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2335B" w14:textId="77777777" w:rsidR="002F1621" w:rsidRDefault="002F1621">
      <w:pPr>
        <w:pStyle w:val="Title"/>
        <w:spacing w:after="0"/>
        <w:jc w:val="both"/>
        <w:rPr>
          <w:rFonts w:ascii="Arial" w:hAnsi="Arial" w:cs="Arial"/>
        </w:rPr>
      </w:pPr>
    </w:p>
    <w:p w14:paraId="4648EBB2" w14:textId="77777777" w:rsidR="002F1621" w:rsidRDefault="000C28D5">
      <w:pPr>
        <w:jc w:val="right"/>
        <w:rPr>
          <w:rFonts w:ascii="Arial" w:hAnsi="Arial" w:cs="Arial"/>
          <w:b/>
          <w:bCs/>
          <w:sz w:val="36"/>
          <w:szCs w:val="36"/>
        </w:rPr>
      </w:pPr>
      <w:r>
        <w:rPr>
          <w:rFonts w:ascii="Arial" w:hAnsi="Arial" w:cs="Arial"/>
          <w:b/>
          <w:bCs/>
          <w:sz w:val="36"/>
          <w:szCs w:val="36"/>
        </w:rPr>
        <w:t>Human and Environmental Risk Assessment of Polycyclic Aromatic Hydrocarbons in Automobile Repair Workshop Sites: A Case Study from Cameroon, Central Africa</w:t>
      </w:r>
    </w:p>
    <w:p w14:paraId="7686E9FF" w14:textId="77777777" w:rsidR="002F1621" w:rsidRDefault="002F1621">
      <w:pPr>
        <w:pStyle w:val="Author"/>
        <w:spacing w:line="240" w:lineRule="auto"/>
        <w:rPr>
          <w:rFonts w:ascii="Arial" w:hAnsi="Arial" w:cs="Arial"/>
          <w:sz w:val="36"/>
        </w:rPr>
      </w:pPr>
    </w:p>
    <w:p w14:paraId="5F4E4EBB" w14:textId="77777777" w:rsidR="002F1621" w:rsidRDefault="002F1621">
      <w:pPr>
        <w:pStyle w:val="Affiliation"/>
        <w:spacing w:after="0" w:line="240" w:lineRule="auto"/>
        <w:jc w:val="both"/>
        <w:rPr>
          <w:rFonts w:ascii="Arial" w:hAnsi="Arial" w:cs="Arial"/>
        </w:rPr>
      </w:pPr>
    </w:p>
    <w:p w14:paraId="5A2F4309" w14:textId="77777777" w:rsidR="002F1621" w:rsidRDefault="002F1621">
      <w:pPr>
        <w:pStyle w:val="Affiliation"/>
        <w:spacing w:after="0" w:line="240" w:lineRule="auto"/>
        <w:jc w:val="both"/>
        <w:rPr>
          <w:rFonts w:ascii="Arial" w:hAnsi="Arial" w:cs="Arial"/>
        </w:rPr>
      </w:pPr>
    </w:p>
    <w:p w14:paraId="622B87B6" w14:textId="77777777" w:rsidR="002F1621" w:rsidRDefault="000C28D5">
      <w:pPr>
        <w:pStyle w:val="Copyright"/>
        <w:spacing w:after="0" w:line="240" w:lineRule="auto"/>
        <w:jc w:val="both"/>
        <w:rPr>
          <w:rFonts w:ascii="Arial" w:hAnsi="Arial" w:cs="Arial"/>
        </w:rPr>
        <w:sectPr w:rsidR="002F1621" w:rsidSect="008B030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781DEF7C" wp14:editId="2F797177">
                <wp:extent cx="5303520" cy="0"/>
                <wp:effectExtent l="0" t="9525" r="11430" b="9525"/>
                <wp:docPr id="8"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DA27AF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C25AtV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3B0229FC" w14:textId="77777777" w:rsidR="002F1621" w:rsidRDefault="000C28D5">
      <w:pPr>
        <w:pStyle w:val="AbstHead"/>
        <w:spacing w:after="0"/>
        <w:jc w:val="both"/>
        <w:rPr>
          <w:rFonts w:ascii="Arial" w:hAnsi="Arial" w:cs="Arial"/>
        </w:rPr>
      </w:pPr>
      <w:r>
        <w:rPr>
          <w:rFonts w:ascii="Arial" w:hAnsi="Arial" w:cs="Arial"/>
        </w:rPr>
        <w:t xml:space="preserve">ABSTRACT </w:t>
      </w:r>
    </w:p>
    <w:p w14:paraId="5D116C5B" w14:textId="77777777" w:rsidR="002F1621" w:rsidRDefault="002F162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F1621" w14:paraId="08ED2716" w14:textId="77777777">
        <w:tc>
          <w:tcPr>
            <w:tcW w:w="9576" w:type="dxa"/>
            <w:shd w:val="clear" w:color="auto" w:fill="F2F2F2"/>
          </w:tcPr>
          <w:p w14:paraId="0076C7AA" w14:textId="77777777" w:rsidR="002F1621" w:rsidRDefault="000C28D5">
            <w:pPr>
              <w:pStyle w:val="NormalWeb"/>
              <w:spacing w:beforeAutospacing="0" w:afterAutospacing="0"/>
              <w:rPr>
                <w:rFonts w:ascii="Arial" w:hAnsi="Arial" w:cs="Arial"/>
                <w:sz w:val="22"/>
                <w:szCs w:val="22"/>
              </w:rPr>
            </w:pPr>
            <w:r>
              <w:rPr>
                <w:rStyle w:val="Strong"/>
                <w:rFonts w:ascii="Arial" w:hAnsi="Arial" w:cs="Arial"/>
                <w:sz w:val="22"/>
                <w:szCs w:val="22"/>
              </w:rPr>
              <w:t>Aims:</w:t>
            </w:r>
            <w:r>
              <w:rPr>
                <w:rFonts w:ascii="Arial" w:hAnsi="Arial" w:cs="Arial"/>
                <w:sz w:val="22"/>
                <w:szCs w:val="22"/>
              </w:rPr>
              <w:br/>
              <w:t>This study aimed to evaluate the concentration, vertical distribution, sources, and potential human health risks of polycyclic aromatic hydrocarbons (PAHs) in soils from informal automobile repair workshops across different geological settings in Cameroon, Central Africa.</w:t>
            </w:r>
          </w:p>
          <w:p w14:paraId="67D667BF" w14:textId="77777777" w:rsidR="002F1621" w:rsidRDefault="000C28D5">
            <w:pPr>
              <w:pStyle w:val="NormalWeb"/>
              <w:spacing w:beforeAutospacing="0" w:afterAutospacing="0"/>
              <w:rPr>
                <w:rFonts w:ascii="Arial" w:hAnsi="Arial" w:cs="Arial"/>
                <w:sz w:val="22"/>
                <w:szCs w:val="22"/>
              </w:rPr>
            </w:pPr>
            <w:r>
              <w:rPr>
                <w:rStyle w:val="Strong"/>
                <w:rFonts w:ascii="Arial" w:hAnsi="Arial" w:cs="Arial"/>
                <w:sz w:val="22"/>
                <w:szCs w:val="22"/>
              </w:rPr>
              <w:t>Study Design:</w:t>
            </w:r>
            <w:r>
              <w:rPr>
                <w:rFonts w:ascii="Arial" w:hAnsi="Arial" w:cs="Arial"/>
                <w:sz w:val="22"/>
                <w:szCs w:val="22"/>
              </w:rPr>
              <w:br/>
              <w:t>A cross-sectional environmental assessment involving field sampling, laboratory analysis, and quantitative health risk modeling.</w:t>
            </w:r>
          </w:p>
          <w:p w14:paraId="275703EC" w14:textId="77777777" w:rsidR="002F1621" w:rsidRDefault="000C28D5">
            <w:pPr>
              <w:pStyle w:val="NormalWeb"/>
              <w:spacing w:beforeAutospacing="0" w:afterAutospacing="0"/>
              <w:rPr>
                <w:rFonts w:ascii="Arial" w:hAnsi="Arial" w:cs="Arial"/>
                <w:sz w:val="22"/>
                <w:szCs w:val="22"/>
              </w:rPr>
            </w:pPr>
            <w:r>
              <w:rPr>
                <w:rStyle w:val="Strong"/>
                <w:rFonts w:ascii="Arial" w:hAnsi="Arial" w:cs="Arial"/>
                <w:sz w:val="22"/>
                <w:szCs w:val="22"/>
              </w:rPr>
              <w:t>Place and Duration of Study:</w:t>
            </w:r>
            <w:r>
              <w:rPr>
                <w:rFonts w:ascii="Arial" w:hAnsi="Arial" w:cs="Arial"/>
                <w:sz w:val="22"/>
                <w:szCs w:val="22"/>
              </w:rPr>
              <w:br/>
              <w:t xml:space="preserve">The study was conducted at six automobile repair workshops located in Bamenda, Buea, and Douala, Cameroon, representing volcanic, </w:t>
            </w:r>
            <w:proofErr w:type="spellStart"/>
            <w:r>
              <w:rPr>
                <w:rFonts w:ascii="Arial" w:hAnsi="Arial" w:cs="Arial"/>
                <w:sz w:val="22"/>
                <w:szCs w:val="22"/>
              </w:rPr>
              <w:t>ferralitic</w:t>
            </w:r>
            <w:proofErr w:type="spellEnd"/>
            <w:r>
              <w:rPr>
                <w:rFonts w:ascii="Arial" w:hAnsi="Arial" w:cs="Arial"/>
                <w:sz w:val="22"/>
                <w:szCs w:val="22"/>
              </w:rPr>
              <w:t>, and alluvial soil types, respectively. Soil sampling and laboratory analysis were carried out during the dry season.</w:t>
            </w:r>
          </w:p>
          <w:p w14:paraId="503E4B80" w14:textId="77777777" w:rsidR="002F1621" w:rsidRDefault="000C28D5">
            <w:pPr>
              <w:pStyle w:val="NormalWeb"/>
              <w:spacing w:beforeAutospacing="0" w:afterAutospacing="0"/>
              <w:rPr>
                <w:rFonts w:ascii="Arial" w:hAnsi="Arial" w:cs="Arial"/>
                <w:sz w:val="22"/>
                <w:szCs w:val="22"/>
              </w:rPr>
            </w:pPr>
            <w:r>
              <w:rPr>
                <w:rStyle w:val="Strong"/>
                <w:rFonts w:ascii="Arial" w:hAnsi="Arial" w:cs="Arial"/>
                <w:sz w:val="22"/>
                <w:szCs w:val="22"/>
              </w:rPr>
              <w:t>Methodology:</w:t>
            </w:r>
          </w:p>
          <w:p w14:paraId="00E35461" w14:textId="77777777" w:rsidR="002F1621" w:rsidRDefault="000C28D5">
            <w:pPr>
              <w:pStyle w:val="NormalWeb"/>
              <w:spacing w:beforeAutospacing="0" w:afterAutospacing="0"/>
              <w:rPr>
                <w:rFonts w:ascii="Arial" w:hAnsi="Arial" w:cs="Arial"/>
                <w:sz w:val="22"/>
                <w:szCs w:val="22"/>
              </w:rPr>
            </w:pPr>
            <w:r>
              <w:rPr>
                <w:rFonts w:ascii="Arial" w:hAnsi="Arial" w:cs="Arial"/>
                <w:sz w:val="22"/>
                <w:szCs w:val="22"/>
              </w:rPr>
              <w:t>Composite soil samples were collected at three depth intervals (0–15 cm, 15–30 cm, and 30–60 cm) from each workshop and corresponding control sites. Sixteen priority PAHs were extracted using ultrasonic extraction and quantified by gas chromatography–mass spectrometry. Source identification was performed using molecular diagnostic ratios. Carcinogenic risk to adult workers was assessed using benzo[a]pyrene toxic equivalency (</w:t>
            </w:r>
            <w:proofErr w:type="spellStart"/>
            <w:r>
              <w:rPr>
                <w:rFonts w:ascii="Arial" w:hAnsi="Arial" w:cs="Arial"/>
                <w:sz w:val="22"/>
                <w:szCs w:val="22"/>
              </w:rPr>
              <w:t>BaP</w:t>
            </w:r>
            <w:proofErr w:type="spellEnd"/>
            <w:r>
              <w:rPr>
                <w:rFonts w:ascii="Arial" w:hAnsi="Arial" w:cs="Arial"/>
                <w:sz w:val="22"/>
                <w:szCs w:val="22"/>
              </w:rPr>
              <w:t>-TEQ) and total cancer risk (TCR) models for ingestion, dermal contact, and inhalation exposure pathways, respectively.</w:t>
            </w:r>
          </w:p>
          <w:p w14:paraId="2C28CFC7" w14:textId="77777777" w:rsidR="002F1621" w:rsidRDefault="000C28D5">
            <w:pPr>
              <w:pStyle w:val="NormalWeb"/>
              <w:spacing w:beforeAutospacing="0" w:afterAutospacing="0"/>
              <w:rPr>
                <w:rFonts w:ascii="Arial" w:hAnsi="Arial" w:cs="Arial"/>
                <w:sz w:val="22"/>
                <w:szCs w:val="22"/>
              </w:rPr>
            </w:pPr>
            <w:r>
              <w:rPr>
                <w:rStyle w:val="Strong"/>
                <w:rFonts w:ascii="Arial" w:hAnsi="Arial" w:cs="Arial"/>
                <w:sz w:val="22"/>
                <w:szCs w:val="22"/>
              </w:rPr>
              <w:t>Results:</w:t>
            </w:r>
            <w:r>
              <w:rPr>
                <w:rFonts w:ascii="Arial" w:hAnsi="Arial" w:cs="Arial"/>
                <w:sz w:val="22"/>
                <w:szCs w:val="22"/>
              </w:rPr>
              <w:br/>
              <w:t xml:space="preserve">Total PAH concentrations ranged from 110 to 3,780 µg/kg in workshop soils, compared to 22–226 µg/kg in control soils. Surface soils generally showed higher PAH levels, although enhanced vertical migration was observed in alluvial soils. High-molecular-weight PAHs dominated most samples, indicating mainly combustion-related inputs with additional petrogenic contributions. </w:t>
            </w:r>
            <w:proofErr w:type="spellStart"/>
            <w:r>
              <w:rPr>
                <w:rFonts w:ascii="Arial" w:hAnsi="Arial" w:cs="Arial"/>
                <w:sz w:val="22"/>
                <w:szCs w:val="22"/>
              </w:rPr>
              <w:t>BaP</w:t>
            </w:r>
            <w:proofErr w:type="spellEnd"/>
            <w:r>
              <w:rPr>
                <w:rFonts w:ascii="Arial" w:hAnsi="Arial" w:cs="Arial"/>
                <w:sz w:val="22"/>
                <w:szCs w:val="22"/>
              </w:rPr>
              <w:t>-TEQ values ranged from 19.5 to 65.9 µg/kg. Total cancer risk values ranged from 1.8 × 10</w:t>
            </w:r>
            <w:r>
              <w:rPr>
                <w:rFonts w:ascii="Arial" w:hAnsi="Arial" w:cs="Arial"/>
                <w:sz w:val="22"/>
                <w:szCs w:val="22"/>
                <w:vertAlign w:val="superscript"/>
              </w:rPr>
              <w:t>-7</w:t>
            </w:r>
            <w:r>
              <w:rPr>
                <w:rFonts w:ascii="Arial" w:hAnsi="Arial" w:cs="Arial"/>
                <w:sz w:val="22"/>
                <w:szCs w:val="22"/>
              </w:rPr>
              <w:t xml:space="preserve"> to 6.3 × 10</w:t>
            </w:r>
            <w:r>
              <w:rPr>
                <w:rFonts w:ascii="Arial" w:hAnsi="Arial" w:cs="Arial"/>
                <w:sz w:val="22"/>
                <w:szCs w:val="22"/>
                <w:vertAlign w:val="superscript"/>
              </w:rPr>
              <w:t>-7</w:t>
            </w:r>
            <w:r>
              <w:rPr>
                <w:rFonts w:ascii="Arial" w:hAnsi="Arial" w:cs="Arial"/>
                <w:sz w:val="22"/>
                <w:szCs w:val="22"/>
              </w:rPr>
              <w:t>, all below acceptable risk thresholds.</w:t>
            </w:r>
          </w:p>
          <w:p w14:paraId="34B7C429" w14:textId="77777777" w:rsidR="002F1621" w:rsidRDefault="000C28D5">
            <w:pPr>
              <w:pStyle w:val="NormalWeb"/>
              <w:spacing w:beforeAutospacing="0" w:afterAutospacing="0"/>
              <w:rPr>
                <w:rFonts w:ascii="Arial" w:hAnsi="Arial" w:cs="Arial"/>
                <w:sz w:val="22"/>
                <w:szCs w:val="22"/>
              </w:rPr>
            </w:pPr>
            <w:r>
              <w:rPr>
                <w:rStyle w:val="Strong"/>
                <w:rFonts w:ascii="Arial" w:eastAsia="SimSun" w:hAnsi="Arial" w:cs="Arial"/>
                <w:sz w:val="22"/>
                <w:szCs w:val="22"/>
              </w:rPr>
              <w:t>Conclusion:</w:t>
            </w:r>
            <w:r>
              <w:rPr>
                <w:rFonts w:ascii="Arial" w:eastAsia="SimSun" w:hAnsi="Arial" w:cs="Arial"/>
                <w:sz w:val="22"/>
                <w:szCs w:val="22"/>
              </w:rPr>
              <w:br/>
              <w:t xml:space="preserve">Automobile repair workshop soils in Cameroon are contaminated with PAHs at levels exceeding background concentrations; however, associated carcinogenic risks to adults are currently negligible. The findings highlight the influence of soil type on PAH mobility and emphasize the need for routine monitoring and improved </w:t>
            </w:r>
            <w:r>
              <w:rPr>
                <w:rFonts w:ascii="Arial" w:eastAsia="SimSun" w:hAnsi="Arial" w:cs="Arial"/>
                <w:sz w:val="22"/>
                <w:szCs w:val="22"/>
              </w:rPr>
              <w:lastRenderedPageBreak/>
              <w:t>environmental management in informal workshop settings.</w:t>
            </w:r>
          </w:p>
        </w:tc>
      </w:tr>
    </w:tbl>
    <w:p w14:paraId="0D012C15" w14:textId="77777777" w:rsidR="002F1621" w:rsidRDefault="002F1621">
      <w:pPr>
        <w:pStyle w:val="Body"/>
        <w:spacing w:after="0"/>
        <w:rPr>
          <w:rFonts w:ascii="Arial" w:hAnsi="Arial" w:cs="Arial"/>
          <w:i/>
        </w:rPr>
      </w:pPr>
    </w:p>
    <w:p w14:paraId="0104DC7D" w14:textId="77777777" w:rsidR="002F1621" w:rsidRDefault="000C28D5">
      <w:pPr>
        <w:pStyle w:val="Body"/>
        <w:spacing w:after="0"/>
        <w:rPr>
          <w:rFonts w:ascii="Arial" w:hAnsi="Arial" w:cs="Arial"/>
          <w:i/>
        </w:rPr>
      </w:pPr>
      <w:r>
        <w:rPr>
          <w:rFonts w:ascii="Arial" w:hAnsi="Arial" w:cs="Arial"/>
          <w:i/>
        </w:rPr>
        <w:t>Keywords: Polycyclic aromatic hydrocarbons; automobile repair workshops; urban soil; health risk assessment; Cameroon</w:t>
      </w:r>
    </w:p>
    <w:p w14:paraId="328B61BE" w14:textId="77777777" w:rsidR="002F1621" w:rsidRDefault="002F1621">
      <w:pPr>
        <w:pStyle w:val="Body"/>
        <w:spacing w:after="0"/>
        <w:rPr>
          <w:rFonts w:ascii="Arial" w:hAnsi="Arial" w:cs="Arial"/>
          <w:i/>
          <w:sz w:val="18"/>
        </w:rPr>
      </w:pPr>
    </w:p>
    <w:p w14:paraId="28318C4E" w14:textId="77777777" w:rsidR="002F1621" w:rsidRDefault="002F1621">
      <w:pPr>
        <w:pStyle w:val="Body"/>
        <w:spacing w:after="0"/>
        <w:rPr>
          <w:rFonts w:ascii="Arial" w:hAnsi="Arial" w:cs="Arial"/>
          <w:i/>
        </w:rPr>
      </w:pPr>
    </w:p>
    <w:p w14:paraId="0FE0649B" w14:textId="77777777" w:rsidR="002F1621" w:rsidRDefault="000C28D5">
      <w:pPr>
        <w:pStyle w:val="AbstHead"/>
        <w:spacing w:after="0"/>
        <w:jc w:val="both"/>
        <w:rPr>
          <w:rFonts w:ascii="Arial" w:hAnsi="Arial" w:cs="Arial"/>
        </w:rPr>
      </w:pPr>
      <w:r>
        <w:rPr>
          <w:rFonts w:ascii="Arial" w:hAnsi="Arial" w:cs="Arial"/>
        </w:rPr>
        <w:t>1. INTRODUCTION</w:t>
      </w:r>
    </w:p>
    <w:p w14:paraId="2E8040BD" w14:textId="77777777" w:rsidR="002F1621" w:rsidRDefault="002F1621">
      <w:pPr>
        <w:pStyle w:val="AbstHead"/>
        <w:spacing w:after="0"/>
        <w:jc w:val="both"/>
        <w:rPr>
          <w:rFonts w:ascii="Arial" w:hAnsi="Arial" w:cs="Arial"/>
        </w:rPr>
      </w:pPr>
    </w:p>
    <w:p w14:paraId="09404F81" w14:textId="77777777" w:rsidR="002F1621" w:rsidRDefault="000C28D5">
      <w:pPr>
        <w:spacing w:line="278" w:lineRule="auto"/>
        <w:jc w:val="both"/>
        <w:rPr>
          <w:rFonts w:ascii="Arial" w:eastAsia="DengXian" w:hAnsi="Arial" w:cs="Arial"/>
          <w:kern w:val="2"/>
          <w14:ligatures w14:val="standardContextual"/>
        </w:rPr>
      </w:pPr>
      <w:r>
        <w:rPr>
          <w:rFonts w:ascii="Arial" w:eastAsia="DengXian" w:hAnsi="Arial" w:cs="Arial"/>
          <w:kern w:val="2"/>
          <w14:ligatures w14:val="standardContextual"/>
        </w:rPr>
        <w:t xml:space="preserve">An automobile repair workshop (ARW) is a place where vehicles are repaired and serviced. These ARWs are widespread in rapidly urbanizing regions, often located along roadsides to provide quick services on vehicle maintenance </w:t>
      </w:r>
      <w:commentRangeStart w:id="0"/>
      <w:r>
        <w:rPr>
          <w:rFonts w:ascii="Arial" w:eastAsia="DengXian" w:hAnsi="Arial" w:cs="Arial"/>
          <w:kern w:val="2"/>
          <w14:ligatures w14:val="standardContextual"/>
        </w:rPr>
        <w:t>and repair.</w:t>
      </w:r>
      <w:commentRangeEnd w:id="0"/>
      <w:r w:rsidR="009034C8">
        <w:rPr>
          <w:rStyle w:val="CommentReference"/>
          <w:rFonts w:ascii="Times New Roman" w:hAnsi="Times New Roman"/>
          <w:lang w:val="nb-NO" w:eastAsia="nb-NO"/>
        </w:rPr>
        <w:commentReference w:id="0"/>
      </w:r>
      <w:r>
        <w:rPr>
          <w:rFonts w:ascii="Arial" w:eastAsia="DengXian" w:hAnsi="Arial" w:cs="Arial"/>
          <w:kern w:val="2"/>
          <w14:ligatures w14:val="standardContextual"/>
        </w:rPr>
        <w:t xml:space="preserve"> The proliferation of such workshops has been driven by the exponential growth in vehicle ownership across Sub-Saharan Africa—as reflected in Douala’s motor fleet, increasing from 31,772 in 2010 to 72,777 in 2019, representing an annual increase of about 9.5% (</w:t>
      </w:r>
      <w:proofErr w:type="spellStart"/>
      <w:r>
        <w:rPr>
          <w:rFonts w:ascii="Arial" w:eastAsia="DengXian" w:hAnsi="Arial" w:cs="Arial"/>
          <w:kern w:val="2"/>
          <w14:ligatures w14:val="standardContextual"/>
        </w:rPr>
        <w:t>Bissai</w:t>
      </w:r>
      <w:proofErr w:type="spellEnd"/>
      <w:r>
        <w:rPr>
          <w:rFonts w:ascii="Arial" w:eastAsia="DengXian" w:hAnsi="Arial" w:cs="Arial"/>
          <w:kern w:val="2"/>
          <w14:ligatures w14:val="standardContextual"/>
        </w:rPr>
        <w:t xml:space="preserve"> et al., 2023)—with Cameroon as a whole experiencing a similar trend, with its motor-vehicle fleet rising from approximately 281,000 in 2010 to 347,000 in 2015 (Helgi Library, 2025). This pattern mirrors broader trends observed in developing economies, where vehicle ownership rates have been gradually increasing, averaging about 3 vehicles per 100 people in sub-Saharan Africa (Marubeni Corporation, 2017).</w:t>
      </w:r>
    </w:p>
    <w:p w14:paraId="0336CE3A" w14:textId="77777777" w:rsidR="002F1621" w:rsidRDefault="002F1621">
      <w:pPr>
        <w:spacing w:line="278" w:lineRule="auto"/>
        <w:jc w:val="both"/>
        <w:rPr>
          <w:rFonts w:ascii="Arial" w:eastAsia="DengXian" w:hAnsi="Arial" w:cs="Arial"/>
          <w:kern w:val="2"/>
          <w14:ligatures w14:val="standardContextual"/>
        </w:rPr>
      </w:pPr>
    </w:p>
    <w:p w14:paraId="689229AF" w14:textId="77777777" w:rsidR="002F1621" w:rsidRDefault="000C28D5">
      <w:pPr>
        <w:spacing w:line="278" w:lineRule="auto"/>
        <w:jc w:val="both"/>
        <w:rPr>
          <w:rFonts w:ascii="Arial" w:eastAsia="DengXian" w:hAnsi="Arial" w:cs="Arial"/>
          <w:kern w:val="2"/>
          <w14:ligatures w14:val="standardContextual"/>
        </w:rPr>
      </w:pPr>
      <w:r>
        <w:rPr>
          <w:rFonts w:ascii="Arial" w:eastAsia="DengXian" w:hAnsi="Arial" w:cs="Arial"/>
          <w:kern w:val="2"/>
          <w14:ligatures w14:val="standardContextual"/>
        </w:rPr>
        <w:t>The informal nature of many ARWs in developing countries exacerbates environmental contamination. These workshops often lack standardized waste disposal practices, adequate infrastructure, and environmental management protocols (Nwachukwu et al., 2010; Inti and Adamu, 2024). Many operate without proper drainage systems, impermeable flooring, or designated waste storage areas. Consequently, hydrocarbons are frequently released onto soil surfaces or into adjacent drainage channels, including used oils, gasoline residues, lubricants, and improperly disposed vehicle components (Adesina et al., 2024). This operational model sharply contrasts with that of regulated automobile service facilities in industrialized nations, where concrete flooring, oil-water separators, and hazardous waste collection systems are mandated by law (US EPA, 2022).</w:t>
      </w:r>
    </w:p>
    <w:p w14:paraId="4A561BA2" w14:textId="77777777" w:rsidR="002F1621" w:rsidRDefault="002F1621">
      <w:pPr>
        <w:spacing w:line="278" w:lineRule="auto"/>
        <w:jc w:val="both"/>
        <w:rPr>
          <w:rFonts w:ascii="Arial" w:eastAsia="DengXian" w:hAnsi="Arial" w:cs="Arial"/>
          <w:kern w:val="2"/>
          <w14:ligatures w14:val="standardContextual"/>
        </w:rPr>
      </w:pPr>
    </w:p>
    <w:p w14:paraId="646EE666" w14:textId="77777777" w:rsidR="002F1621" w:rsidRDefault="000C28D5">
      <w:pPr>
        <w:spacing w:line="278" w:lineRule="auto"/>
        <w:jc w:val="both"/>
        <w:rPr>
          <w:rFonts w:ascii="Arial" w:eastAsia="DengXian" w:hAnsi="Arial" w:cs="Arial"/>
          <w:kern w:val="2"/>
          <w14:ligatures w14:val="standardContextual"/>
        </w:rPr>
      </w:pPr>
      <w:r>
        <w:rPr>
          <w:rFonts w:ascii="Arial" w:eastAsia="DengXian" w:hAnsi="Arial" w:cs="Arial"/>
          <w:kern w:val="2"/>
          <w14:ligatures w14:val="standardContextual"/>
        </w:rPr>
        <w:t>Polycyclic aromatic hydrocarbons (PAHs) are produced primarily during the incomplete burning of fossil fuels, organic matter and biomass and are also present in petroleum products (</w:t>
      </w:r>
      <w:proofErr w:type="spellStart"/>
      <w:r>
        <w:rPr>
          <w:rFonts w:ascii="Arial" w:eastAsia="DengXian" w:hAnsi="Arial" w:cs="Arial"/>
          <w:kern w:val="2"/>
          <w14:ligatures w14:val="standardContextual"/>
        </w:rPr>
        <w:t>Altarawneh</w:t>
      </w:r>
      <w:proofErr w:type="spellEnd"/>
      <w:r>
        <w:rPr>
          <w:rFonts w:ascii="Arial" w:eastAsia="DengXian" w:hAnsi="Arial" w:cs="Arial"/>
          <w:kern w:val="2"/>
          <w14:ligatures w14:val="standardContextual"/>
        </w:rPr>
        <w:t xml:space="preserve"> and Ali, 2024; Feng et al., 2025). Their molecular structure comprises at least two benzene rings arranged in distinct molecular configurations (Harvey, 1997; </w:t>
      </w:r>
      <w:proofErr w:type="spellStart"/>
      <w:r>
        <w:rPr>
          <w:rFonts w:ascii="Arial" w:eastAsia="DengXian" w:hAnsi="Arial" w:cs="Arial"/>
          <w:kern w:val="2"/>
          <w14:ligatures w14:val="standardContextual"/>
        </w:rPr>
        <w:t>Iniaghe</w:t>
      </w:r>
      <w:proofErr w:type="spellEnd"/>
      <w:r>
        <w:rPr>
          <w:rFonts w:ascii="Arial" w:eastAsia="DengXian" w:hAnsi="Arial" w:cs="Arial"/>
          <w:kern w:val="2"/>
          <w14:ligatures w14:val="standardContextual"/>
        </w:rPr>
        <w:t xml:space="preserve"> and </w:t>
      </w:r>
      <w:proofErr w:type="spellStart"/>
      <w:r>
        <w:rPr>
          <w:rFonts w:ascii="Arial" w:eastAsia="DengXian" w:hAnsi="Arial" w:cs="Arial"/>
          <w:kern w:val="2"/>
          <w14:ligatures w14:val="standardContextual"/>
        </w:rPr>
        <w:t>Kpomah</w:t>
      </w:r>
      <w:proofErr w:type="spellEnd"/>
      <w:r>
        <w:rPr>
          <w:rFonts w:ascii="Arial" w:eastAsia="DengXian" w:hAnsi="Arial" w:cs="Arial"/>
          <w:kern w:val="2"/>
          <w14:ligatures w14:val="standardContextual"/>
        </w:rPr>
        <w:t>, 2023</w:t>
      </w:r>
      <w:proofErr w:type="gramStart"/>
      <w:r>
        <w:rPr>
          <w:rFonts w:ascii="Arial" w:eastAsia="DengXian" w:hAnsi="Arial" w:cs="Arial"/>
          <w:kern w:val="2"/>
          <w14:ligatures w14:val="standardContextual"/>
        </w:rPr>
        <w:t>).Once</w:t>
      </w:r>
      <w:proofErr w:type="gramEnd"/>
      <w:r>
        <w:rPr>
          <w:rFonts w:ascii="Arial" w:eastAsia="DengXian" w:hAnsi="Arial" w:cs="Arial"/>
          <w:kern w:val="2"/>
          <w14:ligatures w14:val="standardContextual"/>
        </w:rPr>
        <w:t xml:space="preserve"> released into the environment, PAHs remain in soils for long periods because they repel water, bind tightly to soil particles, and resist microbial degradation (Abdel-Shafy and Mansour, 2016). Smaller PAHs (2–3 rings) are more likely to travel downwards through soil profiles and pose a danger of groundwater pollution due to their higher volatility. In contrast, larger PAHs (4–6 rings) exhibit a strong binding affinity for soil organic matter and clay particles, which leads to surface soil deposition and decreased bioavailability (Abdel-Shafy and Mansour, 2016). However, these generalized patterns of PAH distribution in temperate climates may not fully characterize PAH behavior in tropical environments where high temperature, intense precipitation, and distinct soil mineralogy create unique transport and degradation conditions (Wilcke, 2000).</w:t>
      </w:r>
    </w:p>
    <w:p w14:paraId="0D89BB03" w14:textId="77777777" w:rsidR="002F1621" w:rsidRDefault="002F1621">
      <w:pPr>
        <w:spacing w:line="278" w:lineRule="auto"/>
        <w:jc w:val="both"/>
        <w:rPr>
          <w:rFonts w:ascii="Arial" w:eastAsia="DengXian" w:hAnsi="Arial" w:cs="Arial"/>
          <w:kern w:val="2"/>
          <w14:ligatures w14:val="standardContextual"/>
        </w:rPr>
      </w:pPr>
    </w:p>
    <w:p w14:paraId="77D82167" w14:textId="77777777" w:rsidR="002F1621" w:rsidRDefault="000C28D5">
      <w:pPr>
        <w:spacing w:line="278" w:lineRule="auto"/>
        <w:jc w:val="both"/>
        <w:rPr>
          <w:rFonts w:ascii="Arial" w:eastAsia="DengXian" w:hAnsi="Arial" w:cs="Arial"/>
          <w:kern w:val="2"/>
          <w14:ligatures w14:val="standardContextual"/>
        </w:rPr>
      </w:pPr>
      <w:r>
        <w:rPr>
          <w:rFonts w:ascii="Arial" w:eastAsia="DengXian" w:hAnsi="Arial" w:cs="Arial"/>
          <w:kern w:val="2"/>
          <w14:ligatures w14:val="standardContextual"/>
        </w:rPr>
        <w:lastRenderedPageBreak/>
        <w:t>In Cameroon, previous studies related to automobile workshops have largely focused on microbial degradation of hydrocarbons (</w:t>
      </w:r>
      <w:proofErr w:type="spellStart"/>
      <w:r>
        <w:rPr>
          <w:rFonts w:ascii="Arial" w:eastAsia="DengXian" w:hAnsi="Arial" w:cs="Arial"/>
          <w:kern w:val="2"/>
          <w14:ligatures w14:val="standardContextual"/>
        </w:rPr>
        <w:t>Akoachere</w:t>
      </w:r>
      <w:proofErr w:type="spellEnd"/>
      <w:r>
        <w:rPr>
          <w:rFonts w:ascii="Arial" w:eastAsia="DengXian" w:hAnsi="Arial" w:cs="Arial"/>
          <w:kern w:val="2"/>
          <w14:ligatures w14:val="standardContextual"/>
        </w:rPr>
        <w:t xml:space="preserve"> et al. 2008) with little emphasis on contaminant concentrations, depth profiles, or risk assessment. Furthermore, Cameroon’s geological diversity including volcanic, </w:t>
      </w:r>
      <w:proofErr w:type="spellStart"/>
      <w:r>
        <w:rPr>
          <w:rFonts w:ascii="Arial" w:eastAsia="DengXian" w:hAnsi="Arial" w:cs="Arial"/>
          <w:kern w:val="2"/>
          <w14:ligatures w14:val="standardContextual"/>
        </w:rPr>
        <w:t>ferralitic</w:t>
      </w:r>
      <w:proofErr w:type="spellEnd"/>
      <w:r>
        <w:rPr>
          <w:rFonts w:ascii="Arial" w:eastAsia="DengXian" w:hAnsi="Arial" w:cs="Arial"/>
          <w:kern w:val="2"/>
          <w14:ligatures w14:val="standardContextual"/>
        </w:rPr>
        <w:t>, and alluvial soils, offer a unique opportunity to examine how soil type influence PAH retention and migration. This study therefore aimed to (</w:t>
      </w:r>
      <w:proofErr w:type="spellStart"/>
      <w:r>
        <w:rPr>
          <w:rFonts w:ascii="Arial" w:eastAsia="DengXian" w:hAnsi="Arial" w:cs="Arial"/>
          <w:kern w:val="2"/>
          <w14:ligatures w14:val="standardContextual"/>
        </w:rPr>
        <w:t>i</w:t>
      </w:r>
      <w:proofErr w:type="spellEnd"/>
      <w:r>
        <w:rPr>
          <w:rFonts w:ascii="Arial" w:eastAsia="DengXian" w:hAnsi="Arial" w:cs="Arial"/>
          <w:kern w:val="2"/>
          <w14:ligatures w14:val="standardContextual"/>
        </w:rPr>
        <w:t xml:space="preserve">) quantify PAH concentrations in soils from selected ARWs, (ii) assess vertical distribution patterns across different soil types, (iii) identify potential PAH sources using diagnostic ratios, and (iv) evaluate carcinogenic health risks associated with soil </w:t>
      </w:r>
      <w:bookmarkStart w:id="1" w:name="_GoBack"/>
      <w:r>
        <w:rPr>
          <w:rFonts w:ascii="Arial" w:eastAsia="DengXian" w:hAnsi="Arial" w:cs="Arial"/>
          <w:kern w:val="2"/>
          <w14:ligatures w14:val="standardContextual"/>
        </w:rPr>
        <w:t>exposure.</w:t>
      </w:r>
      <w:bookmarkEnd w:id="1"/>
    </w:p>
    <w:p w14:paraId="398658EA" w14:textId="77777777" w:rsidR="002F1621" w:rsidRDefault="002F1621">
      <w:pPr>
        <w:pStyle w:val="Body"/>
        <w:spacing w:after="0"/>
        <w:rPr>
          <w:rFonts w:ascii="Arial" w:hAnsi="Arial" w:cs="Arial"/>
        </w:rPr>
      </w:pPr>
    </w:p>
    <w:p w14:paraId="720DE372" w14:textId="77777777" w:rsidR="002F1621" w:rsidRDefault="000C28D5">
      <w:pPr>
        <w:pStyle w:val="AbstHead"/>
        <w:numPr>
          <w:ilvl w:val="0"/>
          <w:numId w:val="2"/>
        </w:numPr>
        <w:spacing w:after="0"/>
        <w:jc w:val="both"/>
        <w:rPr>
          <w:rFonts w:ascii="Arial" w:hAnsi="Arial" w:cs="Arial"/>
        </w:rPr>
      </w:pPr>
      <w:r>
        <w:rPr>
          <w:rFonts w:ascii="Arial" w:hAnsi="Arial" w:cs="Arial"/>
        </w:rPr>
        <w:t xml:space="preserve">material and methods </w:t>
      </w:r>
    </w:p>
    <w:p w14:paraId="19DB6F79" w14:textId="77777777" w:rsidR="002F1621" w:rsidRDefault="002F1621">
      <w:pPr>
        <w:pStyle w:val="AbstHead"/>
        <w:spacing w:after="0"/>
        <w:jc w:val="both"/>
        <w:rPr>
          <w:rFonts w:ascii="Arial" w:hAnsi="Arial" w:cs="Arial"/>
        </w:rPr>
      </w:pPr>
    </w:p>
    <w:p w14:paraId="12502D88" w14:textId="77777777" w:rsidR="002F1621" w:rsidRDefault="000C28D5">
      <w:pPr>
        <w:rPr>
          <w:rFonts w:ascii="Arial" w:hAnsi="Arial" w:cs="Arial"/>
          <w:b/>
          <w:bCs/>
          <w:i/>
          <w:iCs/>
          <w:sz w:val="21"/>
          <w:szCs w:val="21"/>
        </w:rPr>
      </w:pPr>
      <w:r>
        <w:rPr>
          <w:rFonts w:ascii="Arial" w:hAnsi="Arial" w:cs="Arial"/>
          <w:b/>
          <w:bCs/>
          <w:sz w:val="22"/>
          <w:szCs w:val="22"/>
        </w:rPr>
        <w:t>2.1</w:t>
      </w:r>
      <w:r>
        <w:rPr>
          <w:rFonts w:ascii="Arial" w:hAnsi="Arial" w:cs="Arial"/>
          <w:b/>
          <w:bCs/>
          <w:sz w:val="22"/>
          <w:szCs w:val="22"/>
        </w:rPr>
        <w:tab/>
        <w:t>Study area</w:t>
      </w:r>
    </w:p>
    <w:p w14:paraId="28EF7334" w14:textId="77777777" w:rsidR="002F1621" w:rsidRDefault="000C28D5">
      <w:pPr>
        <w:pStyle w:val="NormalWeb"/>
        <w:jc w:val="both"/>
        <w:rPr>
          <w:rFonts w:ascii="Arial" w:hAnsi="Arial" w:cs="Arial"/>
          <w:sz w:val="20"/>
          <w:szCs w:val="20"/>
        </w:rPr>
      </w:pPr>
      <w:r>
        <w:rPr>
          <w:rFonts w:ascii="Arial" w:hAnsi="Arial" w:cs="Arial"/>
          <w:sz w:val="20"/>
          <w:szCs w:val="20"/>
        </w:rPr>
        <w:t xml:space="preserve">The study was conducted in three major urban centers in Cameroon: Bamenda (North West Region), Buea (South West Region), and Douala (Littoral Region). These cities represent volcanic, </w:t>
      </w:r>
      <w:proofErr w:type="spellStart"/>
      <w:r>
        <w:rPr>
          <w:rFonts w:ascii="Arial" w:hAnsi="Arial" w:cs="Arial"/>
          <w:sz w:val="20"/>
          <w:szCs w:val="20"/>
        </w:rPr>
        <w:t>ferralitic</w:t>
      </w:r>
      <w:proofErr w:type="spellEnd"/>
      <w:r>
        <w:rPr>
          <w:rFonts w:ascii="Arial" w:hAnsi="Arial" w:cs="Arial"/>
          <w:sz w:val="20"/>
          <w:szCs w:val="20"/>
        </w:rPr>
        <w:t>, and alluvial soil types, respectively, and experience high annual rainfall typical of tropical climates. Figure 1 is a map of Cameroon showing the study areas.</w:t>
      </w:r>
    </w:p>
    <w:p w14:paraId="05235F98" w14:textId="77777777" w:rsidR="002F1621" w:rsidRDefault="000C28D5">
      <w:pPr>
        <w:rPr>
          <w:rFonts w:ascii="Arial" w:hAnsi="Arial" w:cs="Arial"/>
          <w:b/>
          <w:bCs/>
          <w:i/>
          <w:iCs/>
          <w:sz w:val="21"/>
          <w:szCs w:val="21"/>
        </w:rPr>
      </w:pPr>
      <w:r>
        <w:rPr>
          <w:rFonts w:ascii="Arial" w:hAnsi="Arial" w:cs="Arial"/>
          <w:b/>
          <w:bCs/>
          <w:sz w:val="22"/>
          <w:szCs w:val="22"/>
        </w:rPr>
        <w:t>2.2</w:t>
      </w:r>
      <w:r>
        <w:rPr>
          <w:rFonts w:ascii="Arial" w:hAnsi="Arial" w:cs="Arial"/>
          <w:b/>
          <w:bCs/>
          <w:sz w:val="22"/>
          <w:szCs w:val="22"/>
        </w:rPr>
        <w:tab/>
        <w:t>Site Selection and Sampling</w:t>
      </w:r>
    </w:p>
    <w:p w14:paraId="39170B8F" w14:textId="77777777" w:rsidR="002F1621" w:rsidRDefault="000C28D5">
      <w:pPr>
        <w:jc w:val="both"/>
        <w:rPr>
          <w:rFonts w:ascii="Arial" w:hAnsi="Arial" w:cs="Arial"/>
        </w:rPr>
      </w:pPr>
      <w:r>
        <w:rPr>
          <w:rFonts w:ascii="Arial" w:hAnsi="Arial" w:cs="Arial"/>
        </w:rPr>
        <w:t>Six informal ARWs (two per city) with at least five years of continuous operation were purposively selected. Control sites were positioned at least 500 m away from workshop activities. At each site, composite soil samples were collected at depths of 0–15, 15–30, and 30–60 cm using a stainless-steel auger. Samples were wrapped in aluminum foil, transported to the laboratory, air-dried, sieved (&lt;2 mm), and homogenized.</w:t>
      </w:r>
    </w:p>
    <w:p w14:paraId="44232F69" w14:textId="77777777" w:rsidR="002F1621" w:rsidRDefault="002F1621">
      <w:pPr>
        <w:jc w:val="both"/>
        <w:rPr>
          <w:rFonts w:ascii="Arial" w:hAnsi="Arial" w:cs="Arial"/>
          <w:sz w:val="21"/>
          <w:szCs w:val="21"/>
        </w:rPr>
      </w:pPr>
    </w:p>
    <w:p w14:paraId="14DEAD68" w14:textId="77777777" w:rsidR="002F1621" w:rsidRDefault="000C28D5">
      <w:pPr>
        <w:rPr>
          <w:rFonts w:ascii="Arial" w:hAnsi="Arial" w:cs="Arial"/>
          <w:b/>
          <w:bCs/>
          <w:sz w:val="22"/>
          <w:szCs w:val="22"/>
        </w:rPr>
      </w:pPr>
      <w:r>
        <w:rPr>
          <w:rFonts w:ascii="Arial" w:hAnsi="Arial" w:cs="Arial"/>
          <w:b/>
          <w:bCs/>
          <w:sz w:val="22"/>
          <w:szCs w:val="22"/>
        </w:rPr>
        <w:t>2.3</w:t>
      </w:r>
      <w:r>
        <w:rPr>
          <w:rFonts w:ascii="Arial" w:hAnsi="Arial" w:cs="Arial"/>
          <w:b/>
          <w:bCs/>
          <w:sz w:val="22"/>
          <w:szCs w:val="22"/>
        </w:rPr>
        <w:tab/>
        <w:t>Extraction and Quantification of PAHs</w:t>
      </w:r>
    </w:p>
    <w:p w14:paraId="3DAF3597" w14:textId="77777777" w:rsidR="002F1621" w:rsidRDefault="000C28D5">
      <w:pPr>
        <w:jc w:val="both"/>
        <w:rPr>
          <w:rFonts w:ascii="Arial" w:hAnsi="Arial" w:cs="Arial"/>
        </w:rPr>
      </w:pPr>
      <w:r>
        <w:rPr>
          <w:rFonts w:ascii="Arial" w:hAnsi="Arial" w:cs="Arial"/>
        </w:rPr>
        <w:t xml:space="preserve">PAHs were extracted following US EPA (2007) Method 3550C. The analytical procedure comprised: (1) ultrasonic extraction of 10.0 g of each soil sample using hexane/dichloromethane (DCM) (1:1 v/v) spiked with ortho-Terphenyl; (2) solvent removal via rotary evaporation to approximately 4 mL; (3) purification on a column using acidified silica gel, </w:t>
      </w:r>
      <w:proofErr w:type="spellStart"/>
      <w:r>
        <w:rPr>
          <w:rFonts w:ascii="Arial" w:hAnsi="Arial" w:cs="Arial"/>
        </w:rPr>
        <w:t>Florisil</w:t>
      </w:r>
      <w:proofErr w:type="spellEnd"/>
      <w:r>
        <w:rPr>
          <w:rFonts w:ascii="Arial" w:hAnsi="Arial" w:cs="Arial"/>
        </w:rPr>
        <w:t xml:space="preserve">, anhydrous </w:t>
      </w:r>
      <w:proofErr w:type="spellStart"/>
      <w:r>
        <w:rPr>
          <w:rFonts w:ascii="Arial" w:hAnsi="Arial" w:cs="Arial"/>
        </w:rPr>
        <w:t>Na₂SO</w:t>
      </w:r>
      <w:proofErr w:type="spellEnd"/>
      <w:r>
        <w:rPr>
          <w:rFonts w:ascii="Arial" w:hAnsi="Arial" w:cs="Arial"/>
        </w:rPr>
        <w:t xml:space="preserve">₄, and copper powder; (4) PAH elution with 20 mL each of DCM and hexane; (5) concentration of eluate to approximately 2 mL via rotary evaporation; (6) quantitative transfer by rinsing with hexane; (7) nitrogen-assisted evaporation to near-dryness; and (8) final reconstitution in 1.7 mL ethyl acetate. </w:t>
      </w:r>
    </w:p>
    <w:p w14:paraId="05A7AE49" w14:textId="77777777" w:rsidR="002F1621" w:rsidRDefault="002F1621">
      <w:pPr>
        <w:jc w:val="both"/>
        <w:rPr>
          <w:rFonts w:ascii="Arial" w:hAnsi="Arial" w:cs="Arial"/>
          <w:sz w:val="18"/>
          <w:szCs w:val="18"/>
        </w:rPr>
      </w:pPr>
    </w:p>
    <w:p w14:paraId="0CD5E47D" w14:textId="77777777" w:rsidR="002F1621" w:rsidRDefault="000C28D5">
      <w:pPr>
        <w:jc w:val="both"/>
        <w:rPr>
          <w:rFonts w:ascii="Arial" w:hAnsi="Arial" w:cs="Arial"/>
        </w:rPr>
      </w:pPr>
      <w:r>
        <w:rPr>
          <w:rFonts w:ascii="Arial" w:hAnsi="Arial" w:cs="Arial"/>
        </w:rPr>
        <w:t xml:space="preserve">PAH analysis was performed using a gas chromatograph (Agilent 6890N) coupled with a mass selective detector (Agilent 5975B). The system was equipped with an Agilent HP-5 GC column (30 m × 320 µm × 0.25 µm film thickness, temperature limit 60–325°C). The injection and detection temperatures were set at 280°C and 300°C, respectively. The column temperature started at 50°C for 2 minutes, then increased to 150°C at 20°C/min, followed by heating to 160°C at 10°C/min, and finally to 300°C at 5°C/min for 15 minutes. Helium was used as the carrier gas at a constant flow rate of 1.2 mL/min. </w:t>
      </w:r>
    </w:p>
    <w:p w14:paraId="04AB4B35" w14:textId="77777777" w:rsidR="002F1621" w:rsidRDefault="000C28D5">
      <w:pPr>
        <w:keepNext/>
        <w:keepLines/>
        <w:spacing w:before="160" w:after="80"/>
        <w:outlineLvl w:val="2"/>
        <w:rPr>
          <w:rFonts w:ascii="Times New Roman" w:eastAsia="DengXian Light" w:hAnsi="Times New Roman"/>
          <w:b/>
          <w:bCs/>
          <w:kern w:val="2"/>
          <w:sz w:val="24"/>
          <w:szCs w:val="24"/>
          <w14:ligatures w14:val="standardContextual"/>
        </w:rPr>
      </w:pPr>
      <w:r>
        <w:rPr>
          <w:rFonts w:ascii="Times New Roman" w:eastAsia="DengXian Light" w:hAnsi="Times New Roman"/>
          <w:b/>
          <w:bCs/>
          <w:noProof/>
          <w:kern w:val="2"/>
          <w:sz w:val="24"/>
          <w:szCs w:val="24"/>
          <w14:ligatures w14:val="standardContextual"/>
        </w:rPr>
        <w:lastRenderedPageBreak/>
        <w:drawing>
          <wp:inline distT="0" distB="0" distL="114300" distR="114300" wp14:anchorId="6102C12A" wp14:editId="41B9476B">
            <wp:extent cx="2501900" cy="3047365"/>
            <wp:effectExtent l="0" t="0" r="12700" b="635"/>
            <wp:docPr id="1" name="Picture 1" descr="CM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MR map"/>
                    <pic:cNvPicPr>
                      <a:picLocks noChangeAspect="1"/>
                    </pic:cNvPicPr>
                  </pic:nvPicPr>
                  <pic:blipFill>
                    <a:blip r:embed="rId18"/>
                    <a:stretch>
                      <a:fillRect/>
                    </a:stretch>
                  </pic:blipFill>
                  <pic:spPr>
                    <a:xfrm>
                      <a:off x="0" y="0"/>
                      <a:ext cx="2501900" cy="3047365"/>
                    </a:xfrm>
                    <a:prstGeom prst="rect">
                      <a:avLst/>
                    </a:prstGeom>
                  </pic:spPr>
                </pic:pic>
              </a:graphicData>
            </a:graphic>
          </wp:inline>
        </w:drawing>
      </w:r>
      <w:r>
        <w:rPr>
          <w:rFonts w:ascii="Times New Roman" w:eastAsia="DengXian Light" w:hAnsi="Times New Roman"/>
          <w:b/>
          <w:bCs/>
          <w:noProof/>
          <w:kern w:val="2"/>
          <w:sz w:val="24"/>
          <w:szCs w:val="24"/>
          <w14:ligatures w14:val="standardContextual"/>
        </w:rPr>
        <w:drawing>
          <wp:inline distT="0" distB="0" distL="114300" distR="114300" wp14:anchorId="7BF5A192" wp14:editId="194445BE">
            <wp:extent cx="2632710" cy="3082290"/>
            <wp:effectExtent l="0" t="0" r="15240" b="3810"/>
            <wp:docPr id="4" name="Picture 4" descr="CMR map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MR map _2"/>
                    <pic:cNvPicPr>
                      <a:picLocks noChangeAspect="1"/>
                    </pic:cNvPicPr>
                  </pic:nvPicPr>
                  <pic:blipFill>
                    <a:blip r:embed="rId19"/>
                    <a:stretch>
                      <a:fillRect/>
                    </a:stretch>
                  </pic:blipFill>
                  <pic:spPr>
                    <a:xfrm>
                      <a:off x="0" y="0"/>
                      <a:ext cx="2632710" cy="3082290"/>
                    </a:xfrm>
                    <a:prstGeom prst="rect">
                      <a:avLst/>
                    </a:prstGeom>
                  </pic:spPr>
                </pic:pic>
              </a:graphicData>
            </a:graphic>
          </wp:inline>
        </w:drawing>
      </w:r>
    </w:p>
    <w:p w14:paraId="3A70E1C8" w14:textId="77777777" w:rsidR="002F1621" w:rsidRDefault="000C28D5">
      <w:pPr>
        <w:pStyle w:val="Heading3"/>
        <w:numPr>
          <w:ilvl w:val="0"/>
          <w:numId w:val="3"/>
        </w:numPr>
        <w:ind w:firstLineChars="50" w:firstLine="100"/>
        <w:rPr>
          <w:rFonts w:ascii="Arial" w:hAnsi="Arial" w:cs="Arial"/>
          <w:color w:val="auto"/>
          <w:sz w:val="20"/>
          <w:szCs w:val="20"/>
        </w:rPr>
      </w:pPr>
      <w:r>
        <w:rPr>
          <w:rFonts w:ascii="Arial" w:hAnsi="Arial" w:cs="Arial"/>
          <w:color w:val="auto"/>
          <w:sz w:val="20"/>
          <w:szCs w:val="20"/>
        </w:rPr>
        <w:t xml:space="preserve">                                                                    (b)</w:t>
      </w:r>
    </w:p>
    <w:p w14:paraId="179291F8" w14:textId="77777777" w:rsidR="002F1621" w:rsidRDefault="000C28D5">
      <w:pPr>
        <w:pStyle w:val="Heading3"/>
        <w:rPr>
          <w:rFonts w:ascii="Arial" w:hAnsi="Arial" w:cs="Arial"/>
          <w:color w:val="auto"/>
          <w:sz w:val="20"/>
          <w:szCs w:val="20"/>
        </w:rPr>
      </w:pPr>
      <w:r>
        <w:rPr>
          <w:rFonts w:ascii="Arial" w:hAnsi="Arial" w:cs="Arial"/>
          <w:color w:val="auto"/>
          <w:sz w:val="20"/>
          <w:szCs w:val="20"/>
        </w:rPr>
        <w:t xml:space="preserve">Figure 1: Map of Cameroon showing (a) study area, and (b) sample locations. Maps were generated using ESRI ArcGIS </w:t>
      </w:r>
      <w:commentRangeStart w:id="2"/>
      <w:r>
        <w:rPr>
          <w:rFonts w:ascii="Arial" w:hAnsi="Arial" w:cs="Arial"/>
          <w:color w:val="auto"/>
          <w:sz w:val="20"/>
          <w:szCs w:val="20"/>
        </w:rPr>
        <w:t>10.7</w:t>
      </w:r>
      <w:commentRangeEnd w:id="2"/>
      <w:r w:rsidR="009034C8">
        <w:rPr>
          <w:rStyle w:val="CommentReference"/>
          <w:rFonts w:ascii="Times New Roman" w:eastAsia="Times New Roman" w:hAnsi="Times New Roman" w:cs="Times New Roman"/>
          <w:color w:val="auto"/>
          <w:lang w:val="nb-NO" w:eastAsia="nb-NO"/>
        </w:rPr>
        <w:commentReference w:id="2"/>
      </w:r>
    </w:p>
    <w:p w14:paraId="6CF6A88A" w14:textId="77777777" w:rsidR="002F1621" w:rsidRDefault="002F1621">
      <w:pPr>
        <w:pStyle w:val="Body"/>
        <w:spacing w:after="0"/>
        <w:rPr>
          <w:rFonts w:ascii="Arial" w:hAnsi="Arial" w:cs="Arial"/>
        </w:rPr>
      </w:pPr>
    </w:p>
    <w:p w14:paraId="4DACA0FB" w14:textId="77777777" w:rsidR="002F1621" w:rsidRDefault="000C28D5">
      <w:pPr>
        <w:rPr>
          <w:rFonts w:ascii="Arial" w:hAnsi="Arial" w:cs="Arial"/>
          <w:b/>
          <w:bCs/>
          <w:sz w:val="22"/>
          <w:szCs w:val="22"/>
        </w:rPr>
      </w:pPr>
      <w:r>
        <w:rPr>
          <w:rFonts w:ascii="Arial" w:hAnsi="Arial" w:cs="Arial"/>
          <w:b/>
          <w:bCs/>
          <w:sz w:val="22"/>
          <w:szCs w:val="22"/>
        </w:rPr>
        <w:t>2.4</w:t>
      </w:r>
      <w:r>
        <w:rPr>
          <w:rFonts w:ascii="Arial" w:hAnsi="Arial" w:cs="Arial"/>
          <w:b/>
          <w:bCs/>
          <w:sz w:val="22"/>
          <w:szCs w:val="22"/>
        </w:rPr>
        <w:tab/>
        <w:t>Quality control measures</w:t>
      </w:r>
    </w:p>
    <w:p w14:paraId="72A897EB" w14:textId="77777777" w:rsidR="002F1621" w:rsidRDefault="000C28D5">
      <w:pPr>
        <w:jc w:val="both"/>
        <w:rPr>
          <w:rFonts w:ascii="Arial" w:hAnsi="Arial" w:cs="Arial"/>
        </w:rPr>
      </w:pPr>
      <w:r>
        <w:rPr>
          <w:rFonts w:ascii="Arial" w:hAnsi="Arial" w:cs="Arial"/>
        </w:rPr>
        <w:t>All glassware were soaked in 5% nitric acid for 24 h, washed with soap, rinsed with distilled water, and dried in an oven at 105°C. Analytical grade reagents were used throughout the analysis. Laboratory blanks were analyzed with each batch of samples through the entire analytical procedure. All samples were analyzed in duplicate.</w:t>
      </w:r>
    </w:p>
    <w:p w14:paraId="48D9114D" w14:textId="77777777" w:rsidR="002F1621" w:rsidRDefault="002F1621">
      <w:pPr>
        <w:jc w:val="both"/>
        <w:rPr>
          <w:rFonts w:ascii="Arial" w:hAnsi="Arial" w:cs="Arial"/>
        </w:rPr>
      </w:pPr>
    </w:p>
    <w:p w14:paraId="4A79856C" w14:textId="77777777" w:rsidR="002F1621" w:rsidRDefault="000C28D5">
      <w:pPr>
        <w:jc w:val="both"/>
        <w:rPr>
          <w:rFonts w:ascii="Arial" w:hAnsi="Arial" w:cs="Arial"/>
        </w:rPr>
      </w:pPr>
      <w:r>
        <w:rPr>
          <w:rFonts w:ascii="Arial" w:hAnsi="Arial" w:cs="Arial"/>
        </w:rPr>
        <w:t>The PAH extraction efficiency was validated using recovery studies conducted by spiking soil samples with known amounts of the 16 priority PAHs. Recovery rates for individual PAHs ranged from 80.7% to 96.4%. Limits of detection (LODs) and limits of quantification (LOQs) were determined as three and ten times the standard deviation of blank measurements, respectively, giving values of 0.03–0.10 µg/kg and 0.09–0.30 µg/kg, respectively. Non-detect values (i.e., concentrations below LOD) were treated as zero in subsequent statistical analyses, following established protocols for environmental contaminant assessment (</w:t>
      </w:r>
      <w:proofErr w:type="spellStart"/>
      <w:r>
        <w:rPr>
          <w:rFonts w:ascii="Arial" w:hAnsi="Arial" w:cs="Arial"/>
        </w:rPr>
        <w:t>Mihankhah</w:t>
      </w:r>
      <w:proofErr w:type="spellEnd"/>
      <w:r>
        <w:rPr>
          <w:rFonts w:ascii="Arial" w:hAnsi="Arial" w:cs="Arial"/>
        </w:rPr>
        <w:t xml:space="preserve"> et al., 2020).</w:t>
      </w:r>
    </w:p>
    <w:p w14:paraId="330060E5" w14:textId="77777777" w:rsidR="002F1621" w:rsidRDefault="002F1621">
      <w:pPr>
        <w:jc w:val="both"/>
        <w:rPr>
          <w:rFonts w:ascii="Arial" w:hAnsi="Arial" w:cs="Arial"/>
          <w:b/>
          <w:bCs/>
        </w:rPr>
      </w:pPr>
    </w:p>
    <w:p w14:paraId="3091F0CF" w14:textId="77777777" w:rsidR="002F1621" w:rsidRDefault="000C28D5">
      <w:pPr>
        <w:jc w:val="both"/>
        <w:rPr>
          <w:rFonts w:ascii="Arial" w:hAnsi="Arial" w:cs="Arial"/>
          <w:sz w:val="22"/>
          <w:szCs w:val="22"/>
        </w:rPr>
      </w:pPr>
      <w:r>
        <w:rPr>
          <w:rFonts w:ascii="Arial" w:hAnsi="Arial" w:cs="Arial"/>
          <w:b/>
          <w:bCs/>
          <w:sz w:val="22"/>
          <w:szCs w:val="22"/>
        </w:rPr>
        <w:t>2.5</w:t>
      </w:r>
      <w:r>
        <w:rPr>
          <w:rFonts w:ascii="Arial" w:hAnsi="Arial" w:cs="Arial"/>
          <w:b/>
          <w:bCs/>
          <w:sz w:val="22"/>
          <w:szCs w:val="22"/>
        </w:rPr>
        <w:tab/>
        <w:t>Source Identification</w:t>
      </w:r>
    </w:p>
    <w:p w14:paraId="69CFF0D7" w14:textId="77777777" w:rsidR="002F1621" w:rsidRDefault="000C28D5">
      <w:pPr>
        <w:jc w:val="both"/>
        <w:rPr>
          <w:rFonts w:ascii="Arial" w:hAnsi="Arial" w:cs="Arial"/>
        </w:rPr>
      </w:pPr>
      <w:r>
        <w:rPr>
          <w:rFonts w:ascii="Arial" w:hAnsi="Arial" w:cs="Arial"/>
        </w:rPr>
        <w:t xml:space="preserve">PAH sources were inferred using molecular diagnostic ratios, including low </w:t>
      </w:r>
      <w:proofErr w:type="spellStart"/>
      <w:r>
        <w:rPr>
          <w:rFonts w:ascii="Arial" w:hAnsi="Arial" w:cs="Arial"/>
        </w:rPr>
        <w:t>moleular</w:t>
      </w:r>
      <w:proofErr w:type="spellEnd"/>
      <w:r>
        <w:rPr>
          <w:rFonts w:ascii="Arial" w:hAnsi="Arial" w:cs="Arial"/>
        </w:rPr>
        <w:t xml:space="preserve"> weight/high molecular weight (LMW/HMW), fluoranthene/pyrene (Fla/</w:t>
      </w:r>
      <w:proofErr w:type="spellStart"/>
      <w:r>
        <w:rPr>
          <w:rFonts w:ascii="Arial" w:hAnsi="Arial" w:cs="Arial"/>
        </w:rPr>
        <w:t>Pyr</w:t>
      </w:r>
      <w:proofErr w:type="spellEnd"/>
      <w:r>
        <w:rPr>
          <w:rFonts w:ascii="Arial" w:hAnsi="Arial" w:cs="Arial"/>
        </w:rPr>
        <w:t>), phenanthrene/anthracene (</w:t>
      </w:r>
      <w:proofErr w:type="spellStart"/>
      <w:r>
        <w:rPr>
          <w:rFonts w:ascii="Arial" w:hAnsi="Arial" w:cs="Arial"/>
        </w:rPr>
        <w:t>Phen</w:t>
      </w:r>
      <w:proofErr w:type="spellEnd"/>
      <w:r>
        <w:rPr>
          <w:rFonts w:ascii="Arial" w:hAnsi="Arial" w:cs="Arial"/>
        </w:rPr>
        <w:t>/Ant), and anthracene</w:t>
      </w:r>
      <w:proofErr w:type="gramStart"/>
      <w:r>
        <w:rPr>
          <w:rFonts w:ascii="Arial" w:hAnsi="Arial" w:cs="Arial"/>
        </w:rPr>
        <w:t>/(</w:t>
      </w:r>
      <w:proofErr w:type="gramEnd"/>
      <w:r>
        <w:rPr>
          <w:rFonts w:ascii="Arial" w:hAnsi="Arial" w:cs="Arial"/>
        </w:rPr>
        <w:t>anthracene + phenanthrene) (Ant/(</w:t>
      </w:r>
      <w:proofErr w:type="spellStart"/>
      <w:r>
        <w:rPr>
          <w:rFonts w:ascii="Arial" w:hAnsi="Arial" w:cs="Arial"/>
        </w:rPr>
        <w:t>Ant+Phen</w:t>
      </w:r>
      <w:proofErr w:type="spellEnd"/>
      <w:r>
        <w:rPr>
          <w:rFonts w:ascii="Arial" w:hAnsi="Arial" w:cs="Arial"/>
        </w:rPr>
        <w:t>) (Abdel-</w:t>
      </w:r>
      <w:proofErr w:type="spellStart"/>
      <w:r>
        <w:rPr>
          <w:rFonts w:ascii="Arial" w:hAnsi="Arial" w:cs="Arial"/>
        </w:rPr>
        <w:t>Shafy</w:t>
      </w:r>
      <w:proofErr w:type="spellEnd"/>
      <w:r>
        <w:rPr>
          <w:rFonts w:ascii="Arial" w:hAnsi="Arial" w:cs="Arial"/>
        </w:rPr>
        <w:t xml:space="preserve"> and </w:t>
      </w:r>
      <w:proofErr w:type="spellStart"/>
      <w:r>
        <w:rPr>
          <w:rFonts w:ascii="Arial" w:hAnsi="Arial" w:cs="Arial"/>
        </w:rPr>
        <w:t>Monsour</w:t>
      </w:r>
      <w:proofErr w:type="spellEnd"/>
      <w:r>
        <w:rPr>
          <w:rFonts w:ascii="Arial" w:hAnsi="Arial" w:cs="Arial"/>
        </w:rPr>
        <w:t>, 2016).</w:t>
      </w:r>
    </w:p>
    <w:p w14:paraId="6957586C" w14:textId="77777777" w:rsidR="002F1621" w:rsidRDefault="002F1621">
      <w:pPr>
        <w:rPr>
          <w:rFonts w:ascii="Arial" w:hAnsi="Arial" w:cs="Arial"/>
          <w:b/>
          <w:bCs/>
        </w:rPr>
      </w:pPr>
    </w:p>
    <w:p w14:paraId="56E80BC9" w14:textId="77777777" w:rsidR="002F1621" w:rsidRDefault="000C28D5">
      <w:pPr>
        <w:rPr>
          <w:rFonts w:ascii="Arial" w:hAnsi="Arial" w:cs="Arial"/>
          <w:b/>
          <w:bCs/>
          <w:sz w:val="22"/>
          <w:szCs w:val="22"/>
        </w:rPr>
      </w:pPr>
      <w:r>
        <w:rPr>
          <w:rFonts w:ascii="Arial" w:hAnsi="Arial" w:cs="Arial"/>
          <w:b/>
          <w:bCs/>
          <w:sz w:val="22"/>
          <w:szCs w:val="22"/>
        </w:rPr>
        <w:t>2.6</w:t>
      </w:r>
      <w:r>
        <w:rPr>
          <w:rFonts w:ascii="Arial" w:hAnsi="Arial" w:cs="Arial"/>
          <w:b/>
          <w:bCs/>
          <w:sz w:val="22"/>
          <w:szCs w:val="22"/>
        </w:rPr>
        <w:tab/>
        <w:t>Health risk assessment</w:t>
      </w:r>
    </w:p>
    <w:p w14:paraId="1F191515" w14:textId="77777777" w:rsidR="002F1621" w:rsidRDefault="000C28D5">
      <w:pPr>
        <w:rPr>
          <w:rFonts w:ascii="Arial" w:hAnsi="Arial" w:cs="Arial"/>
          <w:b/>
          <w:bCs/>
          <w:i/>
          <w:iCs/>
        </w:rPr>
      </w:pPr>
      <w:r>
        <w:rPr>
          <w:rFonts w:ascii="Arial" w:hAnsi="Arial" w:cs="Arial"/>
          <w:b/>
          <w:bCs/>
          <w:i/>
          <w:iCs/>
        </w:rPr>
        <w:t>2.6.1</w:t>
      </w:r>
      <w:r>
        <w:rPr>
          <w:rFonts w:ascii="Arial" w:hAnsi="Arial" w:cs="Arial"/>
          <w:b/>
          <w:bCs/>
          <w:i/>
          <w:iCs/>
        </w:rPr>
        <w:tab/>
        <w:t>Benzo[a]pyrene equivalent concentration (</w:t>
      </w:r>
      <w:proofErr w:type="spellStart"/>
      <w:r>
        <w:rPr>
          <w:rFonts w:ascii="Arial" w:hAnsi="Arial" w:cs="Arial"/>
          <w:b/>
          <w:bCs/>
          <w:i/>
          <w:iCs/>
        </w:rPr>
        <w:t>BaP</w:t>
      </w:r>
      <w:proofErr w:type="spellEnd"/>
      <w:r>
        <w:rPr>
          <w:rFonts w:ascii="Arial" w:hAnsi="Arial" w:cs="Arial"/>
          <w:b/>
          <w:bCs/>
          <w:i/>
          <w:iCs/>
        </w:rPr>
        <w:t>-TEQ)</w:t>
      </w:r>
    </w:p>
    <w:p w14:paraId="204A9229" w14:textId="77777777" w:rsidR="002F1621" w:rsidRDefault="002F1621">
      <w:pPr>
        <w:jc w:val="both"/>
        <w:rPr>
          <w:rFonts w:ascii="Arial" w:hAnsi="Arial" w:cs="Arial"/>
          <w:sz w:val="13"/>
          <w:szCs w:val="13"/>
        </w:rPr>
      </w:pPr>
    </w:p>
    <w:p w14:paraId="67D5E5F7" w14:textId="77777777" w:rsidR="002F1621" w:rsidRDefault="000C28D5">
      <w:pPr>
        <w:jc w:val="both"/>
        <w:rPr>
          <w:rFonts w:ascii="Arial" w:hAnsi="Arial" w:cs="Arial"/>
        </w:rPr>
      </w:pPr>
      <w:r>
        <w:rPr>
          <w:rFonts w:ascii="Arial" w:hAnsi="Arial" w:cs="Arial"/>
        </w:rPr>
        <w:t xml:space="preserve">Toxic Equivalency Factor for individual PAHs (TEFᵢ) was used to calculate the </w:t>
      </w:r>
      <w:proofErr w:type="spellStart"/>
      <w:r>
        <w:rPr>
          <w:rFonts w:ascii="Arial" w:hAnsi="Arial" w:cs="Arial"/>
        </w:rPr>
        <w:t>BaP</w:t>
      </w:r>
      <w:proofErr w:type="spellEnd"/>
      <w:r>
        <w:rPr>
          <w:rFonts w:ascii="Arial" w:hAnsi="Arial" w:cs="Arial"/>
        </w:rPr>
        <w:t xml:space="preserve">-TEQ concentrations proposed by Nisbet and LaGoy (1992): </w:t>
      </w:r>
    </w:p>
    <w:p w14:paraId="13E421FB" w14:textId="77777777" w:rsidR="002F1621" w:rsidRDefault="00A2674D">
      <w:pPr>
        <w:rPr>
          <w:rFonts w:ascii="Arial" w:hAnsi="Arial" w:cs="Arial"/>
        </w:rPr>
      </w:pPr>
      <m:oMath>
        <m:sSub>
          <m:sSubPr>
            <m:ctrlPr>
              <w:rPr>
                <w:rFonts w:ascii="Cambria Math" w:eastAsiaTheme="minorHAnsi" w:hAnsi="Cambria Math" w:cs="Arial"/>
                <w:i/>
              </w:rPr>
            </m:ctrlPr>
          </m:sSubPr>
          <m:e>
            <m:r>
              <w:rPr>
                <w:rFonts w:ascii="Cambria Math" w:eastAsiaTheme="minorHAnsi" w:hAnsi="Cambria Math" w:cs="Arial"/>
              </w:rPr>
              <m:t>BaP</m:t>
            </m:r>
            <m:r>
              <w:rPr>
                <w:rFonts w:ascii="Cambria Math" w:eastAsiaTheme="minorHAnsi" w:hAnsi="Cambria Math" w:cs="Arial"/>
              </w:rPr>
              <m:t>-</m:t>
            </m:r>
            <m:r>
              <w:rPr>
                <w:rFonts w:ascii="Cambria Math" w:eastAsiaTheme="minorHAnsi" w:hAnsi="Cambria Math" w:cs="Arial"/>
              </w:rPr>
              <m:t>TEQ</m:t>
            </m:r>
          </m:e>
          <m:sub/>
        </m:sSub>
        <m:r>
          <w:rPr>
            <w:rFonts w:ascii="Cambria Math" w:eastAsiaTheme="minorHAnsi" w:hAnsi="Cambria Math" w:cs="Arial"/>
          </w:rPr>
          <m:t>=</m:t>
        </m:r>
        <m:sSub>
          <m:sSubPr>
            <m:ctrlPr>
              <w:rPr>
                <w:rFonts w:ascii="Cambria Math" w:eastAsiaTheme="minorHAnsi" w:hAnsi="Cambria Math" w:cs="Arial"/>
                <w:i/>
              </w:rPr>
            </m:ctrlPr>
          </m:sSubPr>
          <m:e>
            <m:nary>
              <m:naryPr>
                <m:chr m:val="∑"/>
                <m:limLoc m:val="undOvr"/>
                <m:subHide m:val="1"/>
                <m:supHide m:val="1"/>
                <m:ctrlPr>
                  <w:rPr>
                    <w:rFonts w:ascii="Cambria Math" w:eastAsiaTheme="minorHAnsi" w:hAnsi="Cambria Math" w:cs="Arial"/>
                    <w:i/>
                  </w:rPr>
                </m:ctrlPr>
              </m:naryPr>
              <m:sub/>
              <m:sup/>
              <m:e>
                <m:r>
                  <w:rPr>
                    <w:rFonts w:ascii="Cambria Math" w:eastAsiaTheme="minorHAnsi" w:hAnsi="Cambria Math" w:cs="Arial"/>
                  </w:rPr>
                  <m:t>C</m:t>
                </m:r>
              </m:e>
            </m:nary>
          </m:e>
          <m:sub>
            <m:r>
              <w:rPr>
                <w:rFonts w:ascii="Cambria Math" w:eastAsiaTheme="minorHAnsi" w:hAnsi="Cambria Math" w:cs="Arial"/>
              </w:rPr>
              <m:t>i</m:t>
            </m:r>
          </m:sub>
        </m:sSub>
        <m:r>
          <w:rPr>
            <w:rFonts w:ascii="Cambria Math" w:eastAsiaTheme="minorHAnsi" w:hAnsi="Cambria Math" w:cs="Arial"/>
          </w:rPr>
          <m:t>×</m:t>
        </m:r>
        <m:sSub>
          <m:sSubPr>
            <m:ctrlPr>
              <w:rPr>
                <w:rFonts w:ascii="Cambria Math" w:eastAsiaTheme="minorHAnsi" w:hAnsi="Cambria Math" w:cs="Arial"/>
                <w:i/>
              </w:rPr>
            </m:ctrlPr>
          </m:sSubPr>
          <m:e>
            <m:r>
              <w:rPr>
                <w:rFonts w:ascii="Cambria Math" w:eastAsiaTheme="minorHAnsi" w:hAnsi="Cambria Math" w:cs="Arial"/>
              </w:rPr>
              <m:t>TEF</m:t>
            </m:r>
          </m:e>
          <m:sub>
            <m:r>
              <w:rPr>
                <w:rFonts w:ascii="Cambria Math" w:eastAsiaTheme="minorHAnsi" w:hAnsi="Cambria Math" w:cs="Arial"/>
              </w:rPr>
              <m:t>i</m:t>
            </m:r>
          </m:sub>
        </m:sSub>
        <m:r>
          <w:rPr>
            <w:rFonts w:ascii="Cambria Math" w:eastAsiaTheme="minorHAnsi" w:hAnsi="Cambria Math" w:cs="Arial"/>
          </w:rPr>
          <m:t xml:space="preserve"> </m:t>
        </m:r>
      </m:oMath>
      <w:r w:rsidR="000C28D5">
        <w:rPr>
          <w:rFonts w:ascii="Arial" w:hAnsi="Arial" w:cs="Arial"/>
        </w:rPr>
        <w:t xml:space="preserve">                 (1)</w:t>
      </w:r>
    </w:p>
    <w:p w14:paraId="31F84737" w14:textId="77777777" w:rsidR="002F1621" w:rsidRDefault="002F1621">
      <w:pPr>
        <w:rPr>
          <w:rFonts w:ascii="Arial" w:hAnsi="Arial" w:cs="Arial"/>
        </w:rPr>
      </w:pPr>
    </w:p>
    <w:p w14:paraId="1CD0E931" w14:textId="77777777" w:rsidR="002F1621" w:rsidRDefault="000C28D5">
      <w:pPr>
        <w:jc w:val="both"/>
        <w:rPr>
          <w:rFonts w:ascii="Arial" w:hAnsi="Arial" w:cs="Arial"/>
        </w:rPr>
      </w:pPr>
      <w:r>
        <w:rPr>
          <w:rFonts w:ascii="Arial" w:hAnsi="Arial" w:cs="Arial"/>
        </w:rPr>
        <w:t xml:space="preserve">Where </w:t>
      </w:r>
      <w:proofErr w:type="spellStart"/>
      <w:r>
        <w:rPr>
          <w:rFonts w:ascii="Arial" w:hAnsi="Arial" w:cs="Arial"/>
        </w:rPr>
        <w:t>BaP</w:t>
      </w:r>
      <w:proofErr w:type="spellEnd"/>
      <w:r>
        <w:rPr>
          <w:rFonts w:ascii="Arial" w:hAnsi="Arial" w:cs="Arial"/>
        </w:rPr>
        <w:t xml:space="preserve">-TEQ is </w:t>
      </w:r>
      <w:commentRangeStart w:id="3"/>
      <w:r>
        <w:rPr>
          <w:rFonts w:ascii="Arial" w:hAnsi="Arial" w:cs="Arial"/>
        </w:rPr>
        <w:t xml:space="preserve">benzo[a]pyrene toxicity </w:t>
      </w:r>
      <w:commentRangeEnd w:id="3"/>
      <w:r w:rsidR="009034C8">
        <w:rPr>
          <w:rStyle w:val="CommentReference"/>
          <w:rFonts w:ascii="Times New Roman" w:hAnsi="Times New Roman"/>
          <w:lang w:val="nb-NO" w:eastAsia="nb-NO"/>
        </w:rPr>
        <w:commentReference w:id="3"/>
      </w:r>
      <w:r>
        <w:rPr>
          <w:rFonts w:ascii="Arial" w:hAnsi="Arial" w:cs="Arial"/>
        </w:rPr>
        <w:t>equivalent, Cᵢ is the individual PAH concentration (mg/kg), and TEFᵢ is the toxicity equivalent factor.</w:t>
      </w:r>
    </w:p>
    <w:p w14:paraId="158EB8F9" w14:textId="77777777" w:rsidR="002F1621" w:rsidRDefault="002F1621">
      <w:pPr>
        <w:rPr>
          <w:rFonts w:ascii="Arial" w:hAnsi="Arial" w:cs="Arial"/>
          <w:b/>
          <w:bCs/>
          <w:i/>
          <w:iCs/>
        </w:rPr>
      </w:pPr>
    </w:p>
    <w:p w14:paraId="1F5AD677" w14:textId="77777777" w:rsidR="002F1621" w:rsidRDefault="000C28D5">
      <w:pPr>
        <w:rPr>
          <w:rFonts w:ascii="Arial" w:hAnsi="Arial" w:cs="Arial"/>
          <w:b/>
          <w:bCs/>
        </w:rPr>
      </w:pPr>
      <w:r>
        <w:rPr>
          <w:rFonts w:ascii="Arial" w:hAnsi="Arial" w:cs="Arial"/>
          <w:b/>
          <w:bCs/>
          <w:i/>
          <w:iCs/>
        </w:rPr>
        <w:t>2.6.2</w:t>
      </w:r>
      <w:r>
        <w:rPr>
          <w:rFonts w:ascii="Arial" w:hAnsi="Arial" w:cs="Arial"/>
          <w:b/>
          <w:bCs/>
          <w:i/>
          <w:iCs/>
        </w:rPr>
        <w:tab/>
        <w:t xml:space="preserve">Exposure Assessment </w:t>
      </w:r>
    </w:p>
    <w:p w14:paraId="7AE25AEF" w14:textId="77777777" w:rsidR="002F1621" w:rsidRDefault="000C28D5">
      <w:pPr>
        <w:jc w:val="both"/>
        <w:rPr>
          <w:rFonts w:ascii="Arial" w:hAnsi="Arial" w:cs="Arial"/>
        </w:rPr>
      </w:pPr>
      <w:r>
        <w:rPr>
          <w:rFonts w:ascii="Arial" w:hAnsi="Arial" w:cs="Arial"/>
        </w:rPr>
        <w:t>Lifetime cancer risks were estimated for adult artisans through three exposure pathways. The chronic daily intake (CDI) for each pathway was calculated using the US EPA human health risk assessment framework (US EPA, 1989; US EPA, 2001).</w:t>
      </w:r>
    </w:p>
    <w:p w14:paraId="58C77C82" w14:textId="77777777" w:rsidR="002F1621" w:rsidRDefault="002F1621">
      <w:pPr>
        <w:jc w:val="both"/>
        <w:rPr>
          <w:rFonts w:ascii="Arial" w:hAnsi="Arial" w:cs="Arial"/>
        </w:rPr>
      </w:pPr>
    </w:p>
    <w:p w14:paraId="78006077" w14:textId="77777777" w:rsidR="002F1621" w:rsidRDefault="000C28D5">
      <w:pPr>
        <w:numPr>
          <w:ilvl w:val="0"/>
          <w:numId w:val="4"/>
        </w:numPr>
        <w:rPr>
          <w:rFonts w:ascii="Arial" w:hAnsi="Arial" w:cs="Arial"/>
        </w:rPr>
      </w:pPr>
      <w:r>
        <w:rPr>
          <w:rFonts w:ascii="Arial" w:hAnsi="Arial" w:cs="Arial"/>
        </w:rPr>
        <w:t>Soil ingestion:</w:t>
      </w:r>
      <w:r>
        <w:rPr>
          <w:rFonts w:ascii="Arial" w:hAnsi="Arial" w:cs="Arial"/>
        </w:rPr>
        <w:tab/>
      </w:r>
    </w:p>
    <w:p w14:paraId="41819BE2" w14:textId="77777777" w:rsidR="002F1621" w:rsidRDefault="000C28D5">
      <w:pPr>
        <w:ind w:firstLine="720"/>
        <w:rPr>
          <w:rFonts w:ascii="Arial" w:hAnsi="Arial" w:cs="Arial"/>
        </w:rPr>
      </w:pPr>
      <w:proofErr w:type="spellStart"/>
      <w:r>
        <w:rPr>
          <w:rFonts w:ascii="Arial" w:hAnsi="Arial" w:cs="Arial"/>
        </w:rPr>
        <w:t>CDI</w:t>
      </w:r>
      <w:r>
        <w:rPr>
          <w:rFonts w:ascii="Arial" w:hAnsi="Arial" w:cs="Arial"/>
          <w:vertAlign w:val="subscript"/>
        </w:rPr>
        <w:t>ing</w:t>
      </w:r>
      <w:proofErr w:type="spellEnd"/>
      <w:r>
        <w:rPr>
          <w:rFonts w:ascii="Arial" w:hAnsi="Arial" w:cs="Arial"/>
        </w:rPr>
        <w:t xml:space="preserve"> = </w:t>
      </w:r>
      <m:oMath>
        <m:f>
          <m:fPr>
            <m:ctrlPr>
              <w:rPr>
                <w:rFonts w:ascii="Cambria Math" w:hAnsi="Cambria Math" w:cs="Arial"/>
                <w:i/>
              </w:rPr>
            </m:ctrlPr>
          </m:fPr>
          <m:num>
            <m:r>
              <w:rPr>
                <w:rFonts w:ascii="Cambria Math" w:hAnsi="Cambria Math" w:cs="Arial"/>
              </w:rPr>
              <m:t xml:space="preserve">C × IRs × EF × ED </m:t>
            </m:r>
          </m:num>
          <m:den>
            <m:r>
              <w:rPr>
                <w:rFonts w:ascii="Cambria Math" w:hAnsi="Cambria Math" w:cs="Arial"/>
              </w:rPr>
              <m:t>BW × AT</m:t>
            </m:r>
          </m:den>
        </m:f>
      </m:oMath>
      <w:r>
        <w:rPr>
          <w:rFonts w:ascii="Arial" w:hAnsi="Arial" w:cs="Arial"/>
        </w:rPr>
        <w:t xml:space="preserve">    </w:t>
      </w:r>
      <w:r>
        <w:rPr>
          <w:rFonts w:ascii="Arial" w:hAnsi="Arial" w:cs="Arial"/>
        </w:rPr>
        <w:tab/>
      </w:r>
      <w:r>
        <w:rPr>
          <w:rFonts w:ascii="Arial" w:hAnsi="Arial" w:cs="Arial"/>
        </w:rPr>
        <w:tab/>
      </w:r>
      <w:r>
        <w:rPr>
          <w:rFonts w:ascii="Arial" w:hAnsi="Arial" w:cs="Arial"/>
        </w:rPr>
        <w:tab/>
        <w:t>(2)</w:t>
      </w:r>
    </w:p>
    <w:p w14:paraId="24460140" w14:textId="77777777" w:rsidR="002F1621" w:rsidRDefault="002F1621">
      <w:pPr>
        <w:ind w:firstLine="720"/>
        <w:rPr>
          <w:rFonts w:ascii="Arial" w:hAnsi="Arial" w:cs="Arial"/>
        </w:rPr>
      </w:pPr>
    </w:p>
    <w:p w14:paraId="2CAAA70E" w14:textId="77777777" w:rsidR="002F1621" w:rsidRDefault="000C28D5">
      <w:pPr>
        <w:numPr>
          <w:ilvl w:val="0"/>
          <w:numId w:val="4"/>
        </w:numPr>
        <w:rPr>
          <w:rFonts w:ascii="Arial" w:hAnsi="Arial" w:cs="Arial"/>
        </w:rPr>
      </w:pPr>
      <w:r>
        <w:rPr>
          <w:rFonts w:ascii="Arial" w:hAnsi="Arial" w:cs="Arial"/>
        </w:rPr>
        <w:t>Dermal contact:</w:t>
      </w:r>
    </w:p>
    <w:p w14:paraId="29D77D68" w14:textId="77777777" w:rsidR="002F1621" w:rsidRDefault="000C28D5">
      <w:pPr>
        <w:ind w:firstLine="720"/>
        <w:rPr>
          <w:rFonts w:ascii="Arial" w:hAnsi="Arial" w:cs="Arial"/>
        </w:rPr>
      </w:pPr>
      <w:proofErr w:type="spellStart"/>
      <w:r>
        <w:rPr>
          <w:rFonts w:ascii="Arial" w:hAnsi="Arial" w:cs="Arial"/>
        </w:rPr>
        <w:t>CDI</w:t>
      </w:r>
      <w:r>
        <w:rPr>
          <w:rFonts w:ascii="Arial" w:hAnsi="Arial" w:cs="Arial"/>
          <w:vertAlign w:val="subscript"/>
        </w:rPr>
        <w:t>dern</w:t>
      </w:r>
      <w:proofErr w:type="spellEnd"/>
      <w:r>
        <w:rPr>
          <w:rFonts w:ascii="Arial" w:hAnsi="Arial" w:cs="Arial"/>
        </w:rPr>
        <w:t xml:space="preserve"> = </w:t>
      </w:r>
      <m:oMath>
        <m:f>
          <m:fPr>
            <m:ctrlPr>
              <w:rPr>
                <w:rFonts w:ascii="Cambria Math" w:hAnsi="Cambria Math" w:cs="Arial"/>
                <w:i/>
              </w:rPr>
            </m:ctrlPr>
          </m:fPr>
          <m:num>
            <m:r>
              <w:rPr>
                <w:rFonts w:ascii="Cambria Math" w:hAnsi="Cambria Math" w:cs="Arial"/>
              </w:rPr>
              <m:t xml:space="preserve">C × SA × AF × ABS  × EF × ED </m:t>
            </m:r>
          </m:num>
          <m:den>
            <m:r>
              <w:rPr>
                <w:rFonts w:ascii="Cambria Math" w:hAnsi="Cambria Math" w:cs="Arial"/>
              </w:rPr>
              <m:t xml:space="preserve"> BW × AT</m:t>
            </m:r>
          </m:den>
        </m:f>
      </m:oMath>
      <w:r>
        <w:rPr>
          <w:rFonts w:ascii="Arial" w:hAnsi="Arial" w:cs="Arial"/>
        </w:rPr>
        <w:tab/>
      </w:r>
      <w:r>
        <w:rPr>
          <w:rFonts w:ascii="Arial" w:hAnsi="Arial" w:cs="Arial"/>
        </w:rPr>
        <w:tab/>
        <w:t>(3)</w:t>
      </w:r>
    </w:p>
    <w:p w14:paraId="4AF2D6E6" w14:textId="77777777" w:rsidR="002F1621" w:rsidRDefault="002F1621">
      <w:pPr>
        <w:ind w:firstLine="720"/>
        <w:rPr>
          <w:rFonts w:ascii="Arial" w:hAnsi="Arial" w:cs="Arial"/>
        </w:rPr>
      </w:pPr>
    </w:p>
    <w:p w14:paraId="612B0068" w14:textId="77777777" w:rsidR="002F1621" w:rsidRDefault="000C28D5">
      <w:pPr>
        <w:numPr>
          <w:ilvl w:val="0"/>
          <w:numId w:val="4"/>
        </w:numPr>
        <w:rPr>
          <w:rFonts w:ascii="Arial" w:hAnsi="Arial" w:cs="Arial"/>
        </w:rPr>
      </w:pPr>
      <w:r>
        <w:rPr>
          <w:rFonts w:ascii="Arial" w:hAnsi="Arial" w:cs="Arial"/>
        </w:rPr>
        <w:t>Inhalation:</w:t>
      </w:r>
    </w:p>
    <w:p w14:paraId="49BB813A" w14:textId="77777777" w:rsidR="002F1621" w:rsidRDefault="000C28D5">
      <w:pPr>
        <w:ind w:firstLine="720"/>
        <w:rPr>
          <w:rFonts w:ascii="Arial" w:hAnsi="Arial" w:cs="Arial"/>
        </w:rPr>
      </w:pPr>
      <w:proofErr w:type="spellStart"/>
      <w:r>
        <w:rPr>
          <w:rFonts w:ascii="Arial" w:hAnsi="Arial" w:cs="Arial"/>
        </w:rPr>
        <w:t>CDI</w:t>
      </w:r>
      <w:r>
        <w:rPr>
          <w:rFonts w:ascii="Arial" w:hAnsi="Arial" w:cs="Arial"/>
          <w:vertAlign w:val="subscript"/>
        </w:rPr>
        <w:t>inh</w:t>
      </w:r>
      <w:proofErr w:type="spellEnd"/>
      <w:r>
        <w:rPr>
          <w:rFonts w:ascii="Arial" w:hAnsi="Arial" w:cs="Arial"/>
        </w:rPr>
        <w:t xml:space="preserve"> = </w:t>
      </w:r>
      <m:oMath>
        <m:f>
          <m:fPr>
            <m:ctrlPr>
              <w:rPr>
                <w:rFonts w:ascii="Cambria Math" w:hAnsi="Cambria Math" w:cs="Arial"/>
                <w:i/>
              </w:rPr>
            </m:ctrlPr>
          </m:fPr>
          <m:num>
            <m:r>
              <w:rPr>
                <w:rFonts w:ascii="Cambria Math" w:hAnsi="Cambria Math" w:cs="Arial"/>
              </w:rPr>
              <m:t xml:space="preserve">C × IRa × EF × ED </m:t>
            </m:r>
          </m:num>
          <m:den>
            <m:r>
              <w:rPr>
                <w:rFonts w:ascii="Cambria Math" w:hAnsi="Cambria Math" w:cs="Arial"/>
              </w:rPr>
              <m:t>PEF × BW × AT</m:t>
            </m:r>
          </m:den>
        </m:f>
      </m:oMath>
      <w:r>
        <w:rPr>
          <w:rFonts w:ascii="Arial" w:hAnsi="Arial" w:cs="Arial"/>
        </w:rPr>
        <w:tab/>
      </w:r>
      <w:r>
        <w:rPr>
          <w:rFonts w:ascii="Arial" w:hAnsi="Arial" w:cs="Arial"/>
        </w:rPr>
        <w:tab/>
      </w:r>
      <w:r>
        <w:rPr>
          <w:rFonts w:ascii="Arial" w:hAnsi="Arial" w:cs="Arial"/>
        </w:rPr>
        <w:tab/>
        <w:t>(4)</w:t>
      </w:r>
    </w:p>
    <w:p w14:paraId="39597A0B" w14:textId="77777777" w:rsidR="002F1621" w:rsidRDefault="002F1621">
      <w:pPr>
        <w:ind w:firstLine="720"/>
        <w:rPr>
          <w:rFonts w:ascii="Arial" w:hAnsi="Arial" w:cs="Arial"/>
        </w:rPr>
      </w:pPr>
    </w:p>
    <w:p w14:paraId="38ABC805" w14:textId="77777777" w:rsidR="002F1621" w:rsidRDefault="000C28D5">
      <w:pPr>
        <w:jc w:val="both"/>
        <w:rPr>
          <w:rFonts w:ascii="Arial" w:hAnsi="Arial" w:cs="Arial"/>
        </w:rPr>
      </w:pPr>
      <w:r>
        <w:rPr>
          <w:rFonts w:ascii="Arial" w:hAnsi="Arial" w:cs="Arial"/>
        </w:rPr>
        <w:t xml:space="preserve">Where Cs (mg/kg) = </w:t>
      </w:r>
      <w:proofErr w:type="spellStart"/>
      <w:r>
        <w:rPr>
          <w:rFonts w:ascii="Arial" w:hAnsi="Arial" w:cs="Arial"/>
        </w:rPr>
        <w:t>BaP</w:t>
      </w:r>
      <w:proofErr w:type="spellEnd"/>
      <w:r>
        <w:rPr>
          <w:rFonts w:ascii="Arial" w:hAnsi="Arial" w:cs="Arial"/>
        </w:rPr>
        <w:t>-TEQ concentrations in soil (mg kg</w:t>
      </w:r>
      <w:r>
        <w:rPr>
          <w:rFonts w:ascii="Arial" w:hAnsi="Arial" w:cs="Arial"/>
          <w:vertAlign w:val="superscript"/>
        </w:rPr>
        <w:t>-1</w:t>
      </w:r>
      <w:r>
        <w:rPr>
          <w:rFonts w:ascii="Arial" w:hAnsi="Arial" w:cs="Arial"/>
        </w:rPr>
        <w:t>), IRs = soil ingestion rate (0.0001 kg day</w:t>
      </w:r>
      <w:r>
        <w:rPr>
          <w:rFonts w:ascii="Arial" w:hAnsi="Arial" w:cs="Arial"/>
          <w:vertAlign w:val="superscript"/>
        </w:rPr>
        <w:t>-1</w:t>
      </w:r>
      <w:r>
        <w:rPr>
          <w:rFonts w:ascii="Arial" w:hAnsi="Arial" w:cs="Arial"/>
        </w:rPr>
        <w:t xml:space="preserve">), </w:t>
      </w:r>
      <w:proofErr w:type="spellStart"/>
      <w:r>
        <w:rPr>
          <w:rFonts w:ascii="Arial" w:hAnsi="Arial" w:cs="Arial"/>
        </w:rPr>
        <w:t>IRa</w:t>
      </w:r>
      <w:proofErr w:type="spellEnd"/>
      <w:r>
        <w:rPr>
          <w:rFonts w:ascii="Arial" w:hAnsi="Arial" w:cs="Arial"/>
        </w:rPr>
        <w:t xml:space="preserve"> = inhalation rate (20 m</w:t>
      </w:r>
      <w:r>
        <w:rPr>
          <w:rFonts w:ascii="Arial" w:hAnsi="Arial" w:cs="Arial"/>
          <w:vertAlign w:val="superscript"/>
        </w:rPr>
        <w:t>3</w:t>
      </w:r>
      <w:r>
        <w:rPr>
          <w:rFonts w:ascii="Arial" w:hAnsi="Arial" w:cs="Arial"/>
        </w:rPr>
        <w:t xml:space="preserve"> day</w:t>
      </w:r>
      <w:r>
        <w:rPr>
          <w:rFonts w:ascii="Arial" w:hAnsi="Arial" w:cs="Arial"/>
          <w:vertAlign w:val="superscript"/>
        </w:rPr>
        <w:t>-1</w:t>
      </w:r>
      <w:r>
        <w:rPr>
          <w:rFonts w:ascii="Arial" w:hAnsi="Arial" w:cs="Arial"/>
        </w:rPr>
        <w:t>), SA = exposed skin surface area (3300 cm</w:t>
      </w:r>
      <w:r>
        <w:rPr>
          <w:rFonts w:ascii="Arial" w:hAnsi="Arial" w:cs="Arial"/>
          <w:vertAlign w:val="superscript"/>
        </w:rPr>
        <w:t>2</w:t>
      </w:r>
      <w:r>
        <w:rPr>
          <w:rFonts w:ascii="Arial" w:hAnsi="Arial" w:cs="Arial"/>
        </w:rPr>
        <w:t>), AF = soil adherence factor (0.2 mg cm</w:t>
      </w:r>
      <w:r>
        <w:rPr>
          <w:rFonts w:ascii="Arial" w:hAnsi="Arial" w:cs="Arial"/>
          <w:vertAlign w:val="superscript"/>
        </w:rPr>
        <w:t>-2</w:t>
      </w:r>
      <w:r>
        <w:rPr>
          <w:rFonts w:ascii="Arial" w:hAnsi="Arial" w:cs="Arial"/>
        </w:rPr>
        <w:t>), ABS = dermal absorption fraction (0.13), EF = exposure frequency (365 days year</w:t>
      </w:r>
      <w:r>
        <w:rPr>
          <w:rFonts w:ascii="Arial" w:hAnsi="Arial" w:cs="Arial"/>
          <w:vertAlign w:val="superscript"/>
        </w:rPr>
        <w:t>-1</w:t>
      </w:r>
      <w:r>
        <w:rPr>
          <w:rFonts w:ascii="Arial" w:hAnsi="Arial" w:cs="Arial"/>
        </w:rPr>
        <w:t xml:space="preserve">), ED = exposure duration (30 years), BW = body weight (60 kg), AT = averaging time for carcinogens 25,550 days), PEF = particle emission factor (1.36 </w:t>
      </w:r>
      <m:oMath>
        <m:r>
          <m:rPr>
            <m:nor/>
          </m:rPr>
          <w:rPr>
            <w:rFonts w:ascii="Cambria Math" w:hAnsi="Cambria Math" w:cs="Arial"/>
          </w:rPr>
          <m:t>×</m:t>
        </m:r>
      </m:oMath>
      <w:r>
        <w:rPr>
          <w:rFonts w:ascii="Arial" w:hAnsi="Arial" w:cs="Arial"/>
        </w:rPr>
        <w:t xml:space="preserve"> 10</w:t>
      </w:r>
      <w:r>
        <w:rPr>
          <w:rFonts w:ascii="Arial" w:hAnsi="Arial" w:cs="Arial"/>
          <w:vertAlign w:val="superscript"/>
        </w:rPr>
        <w:t>9</w:t>
      </w:r>
      <w:r>
        <w:rPr>
          <w:rFonts w:ascii="Arial" w:hAnsi="Arial" w:cs="Arial"/>
        </w:rPr>
        <w:t xml:space="preserve"> m</w:t>
      </w:r>
      <w:r>
        <w:rPr>
          <w:rFonts w:ascii="Arial" w:hAnsi="Arial" w:cs="Arial"/>
          <w:vertAlign w:val="superscript"/>
        </w:rPr>
        <w:t>3</w:t>
      </w:r>
      <w:r>
        <w:rPr>
          <w:rFonts w:ascii="Arial" w:hAnsi="Arial" w:cs="Arial"/>
        </w:rPr>
        <w:t xml:space="preserve"> kg</w:t>
      </w:r>
      <w:r>
        <w:rPr>
          <w:rFonts w:ascii="Arial" w:hAnsi="Arial" w:cs="Arial"/>
          <w:vertAlign w:val="superscript"/>
        </w:rPr>
        <w:t>-1</w:t>
      </w:r>
      <w:r>
        <w:rPr>
          <w:rFonts w:ascii="Arial" w:hAnsi="Arial" w:cs="Arial"/>
        </w:rPr>
        <w:t>).</w:t>
      </w:r>
    </w:p>
    <w:p w14:paraId="3125415B" w14:textId="77777777" w:rsidR="002F1621" w:rsidRDefault="002F1621">
      <w:pPr>
        <w:rPr>
          <w:rFonts w:ascii="Arial" w:hAnsi="Arial" w:cs="Arial"/>
          <w:b/>
          <w:bCs/>
        </w:rPr>
      </w:pPr>
    </w:p>
    <w:p w14:paraId="7D491C38" w14:textId="77777777" w:rsidR="002F1621" w:rsidRDefault="000C28D5">
      <w:pPr>
        <w:rPr>
          <w:rFonts w:ascii="Arial" w:hAnsi="Arial" w:cs="Arial"/>
          <w:b/>
          <w:bCs/>
          <w:i/>
          <w:iCs/>
        </w:rPr>
      </w:pPr>
      <w:r>
        <w:rPr>
          <w:rFonts w:ascii="Arial" w:hAnsi="Arial" w:cs="Arial"/>
          <w:b/>
          <w:bCs/>
          <w:i/>
          <w:iCs/>
        </w:rPr>
        <w:t>2.6.3</w:t>
      </w:r>
      <w:r>
        <w:rPr>
          <w:rFonts w:ascii="Arial" w:hAnsi="Arial" w:cs="Arial"/>
          <w:b/>
          <w:bCs/>
          <w:i/>
          <w:iCs/>
        </w:rPr>
        <w:tab/>
        <w:t>Cancer risk assessment</w:t>
      </w:r>
    </w:p>
    <w:p w14:paraId="78CC7A37" w14:textId="77777777" w:rsidR="002F1621" w:rsidRDefault="000C28D5">
      <w:pPr>
        <w:rPr>
          <w:rFonts w:ascii="Arial" w:hAnsi="Arial" w:cs="Arial"/>
        </w:rPr>
      </w:pPr>
      <w:r>
        <w:rPr>
          <w:rFonts w:ascii="Arial" w:hAnsi="Arial" w:cs="Arial"/>
        </w:rPr>
        <w:t xml:space="preserve">The lifetime cancer risk for each exposure route was estimated as (US EPA, 1989): </w:t>
      </w:r>
    </w:p>
    <w:p w14:paraId="57798325" w14:textId="77777777" w:rsidR="002F1621" w:rsidRDefault="000C28D5">
      <w:pPr>
        <w:ind w:firstLine="720"/>
        <w:rPr>
          <w:rFonts w:ascii="Arial" w:hAnsi="Arial" w:cs="Arial"/>
        </w:rPr>
      </w:pPr>
      <w:r>
        <w:rPr>
          <w:rFonts w:ascii="Arial" w:hAnsi="Arial" w:cs="Arial"/>
        </w:rPr>
        <w:t xml:space="preserve">CR = CDI </w:t>
      </w:r>
      <m:oMath>
        <m:r>
          <w:rPr>
            <w:rFonts w:ascii="Cambria Math" w:hAnsi="Cambria Math" w:cs="Arial"/>
          </w:rPr>
          <m:t>×</m:t>
        </m:r>
      </m:oMath>
      <w:r>
        <w:rPr>
          <w:rFonts w:ascii="Arial" w:hAnsi="Arial" w:cs="Arial"/>
        </w:rPr>
        <w:t xml:space="preserve"> CSF</w:t>
      </w:r>
      <w:r>
        <w:rPr>
          <w:rFonts w:ascii="Arial" w:hAnsi="Arial" w:cs="Arial"/>
        </w:rPr>
        <w:tab/>
      </w:r>
      <w:r>
        <w:rPr>
          <w:rFonts w:ascii="Arial" w:hAnsi="Arial" w:cs="Arial"/>
        </w:rPr>
        <w:tab/>
      </w:r>
      <w:r>
        <w:rPr>
          <w:rFonts w:ascii="Arial" w:hAnsi="Arial" w:cs="Arial"/>
        </w:rPr>
        <w:tab/>
        <w:t>(5)</w:t>
      </w:r>
    </w:p>
    <w:p w14:paraId="6BA90352" w14:textId="77777777" w:rsidR="002F1621" w:rsidRDefault="002F1621">
      <w:pPr>
        <w:ind w:firstLine="720"/>
        <w:rPr>
          <w:rFonts w:ascii="Arial" w:hAnsi="Arial" w:cs="Arial"/>
        </w:rPr>
      </w:pPr>
    </w:p>
    <w:p w14:paraId="4DF15BAC" w14:textId="77777777" w:rsidR="002F1621" w:rsidRDefault="000C28D5">
      <w:pPr>
        <w:rPr>
          <w:rFonts w:ascii="Arial" w:hAnsi="Arial" w:cs="Arial"/>
        </w:rPr>
      </w:pPr>
      <w:r>
        <w:rPr>
          <w:rFonts w:ascii="Arial" w:hAnsi="Arial" w:cs="Arial"/>
        </w:rPr>
        <w:t xml:space="preserve">Where CSF =cancer slope factor for </w:t>
      </w:r>
      <w:proofErr w:type="spellStart"/>
      <w:r>
        <w:rPr>
          <w:rFonts w:ascii="Arial" w:hAnsi="Arial" w:cs="Arial"/>
        </w:rPr>
        <w:t>BaP</w:t>
      </w:r>
      <w:proofErr w:type="spellEnd"/>
      <w:r>
        <w:rPr>
          <w:rFonts w:ascii="Arial" w:hAnsi="Arial" w:cs="Arial"/>
        </w:rPr>
        <w:t xml:space="preserve"> (7.3 mg kg</w:t>
      </w:r>
      <w:r>
        <w:rPr>
          <w:rFonts w:ascii="Arial" w:hAnsi="Arial" w:cs="Arial"/>
          <w:vertAlign w:val="superscript"/>
        </w:rPr>
        <w:t>-1</w:t>
      </w:r>
      <w:r>
        <w:rPr>
          <w:rFonts w:ascii="Arial" w:hAnsi="Arial" w:cs="Arial"/>
        </w:rPr>
        <w:t xml:space="preserve"> day</w:t>
      </w:r>
      <w:r>
        <w:rPr>
          <w:rFonts w:ascii="Arial" w:hAnsi="Arial" w:cs="Arial"/>
          <w:vertAlign w:val="superscript"/>
        </w:rPr>
        <w:t>-1</w:t>
      </w:r>
      <w:r>
        <w:rPr>
          <w:rFonts w:ascii="Arial" w:hAnsi="Arial" w:cs="Arial"/>
        </w:rPr>
        <w:t>).</w:t>
      </w:r>
    </w:p>
    <w:p w14:paraId="3F56AB21" w14:textId="77777777" w:rsidR="002F1621" w:rsidRDefault="002F1621">
      <w:pPr>
        <w:rPr>
          <w:rFonts w:ascii="Arial" w:hAnsi="Arial" w:cs="Arial"/>
        </w:rPr>
      </w:pPr>
    </w:p>
    <w:p w14:paraId="7AEFDC10" w14:textId="77777777" w:rsidR="002F1621" w:rsidRDefault="000C28D5">
      <w:pPr>
        <w:rPr>
          <w:rFonts w:ascii="Arial" w:hAnsi="Arial" w:cs="Arial"/>
        </w:rPr>
      </w:pPr>
      <w:r>
        <w:rPr>
          <w:rFonts w:ascii="Arial" w:hAnsi="Arial" w:cs="Arial"/>
        </w:rPr>
        <w:t>The total cancer risk (TCR) was calculated as:</w:t>
      </w:r>
    </w:p>
    <w:p w14:paraId="5EDA522A" w14:textId="77777777" w:rsidR="002F1621" w:rsidRDefault="000C28D5">
      <w:pPr>
        <w:ind w:firstLine="720"/>
        <w:rPr>
          <w:rFonts w:ascii="Arial" w:hAnsi="Arial" w:cs="Arial"/>
        </w:rPr>
      </w:pPr>
      <w:r>
        <w:rPr>
          <w:rFonts w:ascii="Arial" w:hAnsi="Arial" w:cs="Arial"/>
        </w:rPr>
        <w:t xml:space="preserve">TCR = </w:t>
      </w:r>
      <w:proofErr w:type="spellStart"/>
      <w:r>
        <w:rPr>
          <w:rFonts w:ascii="Arial" w:hAnsi="Arial" w:cs="Arial"/>
        </w:rPr>
        <w:t>CR</w:t>
      </w:r>
      <w:r>
        <w:rPr>
          <w:rFonts w:ascii="Arial" w:hAnsi="Arial" w:cs="Arial"/>
          <w:vertAlign w:val="subscript"/>
        </w:rPr>
        <w:t>ing</w:t>
      </w:r>
      <w:proofErr w:type="spellEnd"/>
      <w:r>
        <w:rPr>
          <w:rFonts w:ascii="Arial" w:hAnsi="Arial" w:cs="Arial"/>
        </w:rPr>
        <w:t xml:space="preserve"> +</w:t>
      </w:r>
      <w:proofErr w:type="spellStart"/>
      <w:r>
        <w:rPr>
          <w:rFonts w:ascii="Arial" w:hAnsi="Arial" w:cs="Arial"/>
        </w:rPr>
        <w:t>CR</w:t>
      </w:r>
      <w:r>
        <w:rPr>
          <w:rFonts w:ascii="Arial" w:hAnsi="Arial" w:cs="Arial"/>
          <w:vertAlign w:val="subscript"/>
        </w:rPr>
        <w:t>inh</w:t>
      </w:r>
      <w:proofErr w:type="spellEnd"/>
      <w:r>
        <w:rPr>
          <w:rFonts w:ascii="Arial" w:hAnsi="Arial" w:cs="Arial"/>
        </w:rPr>
        <w:t xml:space="preserve"> + </w:t>
      </w:r>
      <w:proofErr w:type="spellStart"/>
      <w:r>
        <w:rPr>
          <w:rFonts w:ascii="Arial" w:hAnsi="Arial" w:cs="Arial"/>
        </w:rPr>
        <w:t>CR</w:t>
      </w:r>
      <w:r>
        <w:rPr>
          <w:rFonts w:ascii="Arial" w:hAnsi="Arial" w:cs="Arial"/>
          <w:vertAlign w:val="subscript"/>
        </w:rPr>
        <w:t>derm</w:t>
      </w:r>
      <w:proofErr w:type="spellEnd"/>
      <w:r>
        <w:rPr>
          <w:rFonts w:ascii="Arial" w:hAnsi="Arial" w:cs="Arial"/>
          <w:vertAlign w:val="subscript"/>
        </w:rPr>
        <w:tab/>
      </w:r>
      <w:r>
        <w:rPr>
          <w:rFonts w:ascii="Arial" w:hAnsi="Arial" w:cs="Arial"/>
          <w:vertAlign w:val="subscript"/>
        </w:rPr>
        <w:tab/>
      </w:r>
      <w:r>
        <w:rPr>
          <w:rFonts w:ascii="Arial" w:hAnsi="Arial" w:cs="Arial"/>
        </w:rPr>
        <w:t>(6)</w:t>
      </w:r>
    </w:p>
    <w:p w14:paraId="788EF4F0" w14:textId="77777777" w:rsidR="002F1621" w:rsidRDefault="002F1621">
      <w:pPr>
        <w:rPr>
          <w:rFonts w:ascii="Arial" w:hAnsi="Arial" w:cs="Arial"/>
        </w:rPr>
      </w:pPr>
    </w:p>
    <w:p w14:paraId="1F5799AB" w14:textId="77777777" w:rsidR="002F1621" w:rsidRDefault="000C28D5">
      <w:pPr>
        <w:rPr>
          <w:rFonts w:ascii="Arial" w:hAnsi="Arial" w:cs="Arial"/>
        </w:rPr>
      </w:pPr>
      <w:r>
        <w:rPr>
          <w:rFonts w:ascii="Arial" w:hAnsi="Arial" w:cs="Arial"/>
        </w:rPr>
        <w:t>CR &lt; 1</w:t>
      </w:r>
      <m:oMath>
        <m:r>
          <m:rPr>
            <m:nor/>
          </m:rPr>
          <w:rPr>
            <w:rFonts w:ascii="Cambria Math" w:hAnsi="Cambria Math" w:cs="Arial"/>
          </w:rPr>
          <m:t>×</m:t>
        </m:r>
      </m:oMath>
      <w:r>
        <w:rPr>
          <w:rFonts w:ascii="Arial" w:hAnsi="Arial" w:cs="Arial"/>
        </w:rPr>
        <w:t>10</w:t>
      </w:r>
      <w:r>
        <w:rPr>
          <w:rFonts w:ascii="Arial" w:hAnsi="Arial" w:cs="Arial"/>
          <w:vertAlign w:val="superscript"/>
        </w:rPr>
        <w:t>-6</w:t>
      </w:r>
      <w:r>
        <w:rPr>
          <w:rFonts w:ascii="Arial" w:hAnsi="Arial" w:cs="Arial"/>
        </w:rPr>
        <w:t xml:space="preserve"> = negligible risk; 1 </w:t>
      </w:r>
      <m:oMath>
        <m:r>
          <m:rPr>
            <m:nor/>
          </m:rPr>
          <w:rPr>
            <w:rFonts w:ascii="Cambria Math" w:hAnsi="Cambria Math" w:cs="Arial"/>
          </w:rPr>
          <m:t>×</m:t>
        </m:r>
      </m:oMath>
      <w:r>
        <w:rPr>
          <w:rFonts w:ascii="Arial" w:hAnsi="Arial" w:cs="Arial"/>
        </w:rPr>
        <w:t>10</w:t>
      </w:r>
      <w:r>
        <w:rPr>
          <w:rFonts w:ascii="Arial" w:hAnsi="Arial" w:cs="Arial"/>
          <w:vertAlign w:val="superscript"/>
        </w:rPr>
        <w:t>-6</w:t>
      </w:r>
      <w:r>
        <w:rPr>
          <w:rFonts w:ascii="Arial" w:hAnsi="Arial" w:cs="Arial"/>
        </w:rPr>
        <w:t xml:space="preserve"> ≤ CR ≤ 1 </w:t>
      </w:r>
      <m:oMath>
        <m:r>
          <m:rPr>
            <m:nor/>
          </m:rPr>
          <w:rPr>
            <w:rFonts w:ascii="Cambria Math" w:hAnsi="Cambria Math" w:cs="Arial"/>
          </w:rPr>
          <m:t>×</m:t>
        </m:r>
      </m:oMath>
      <w:r>
        <w:rPr>
          <w:rFonts w:ascii="Arial" w:hAnsi="Arial" w:cs="Arial"/>
        </w:rPr>
        <w:t>10</w:t>
      </w:r>
      <w:r>
        <w:rPr>
          <w:rFonts w:ascii="Arial" w:hAnsi="Arial" w:cs="Arial"/>
          <w:vertAlign w:val="superscript"/>
        </w:rPr>
        <w:t>-4</w:t>
      </w:r>
      <w:r>
        <w:rPr>
          <w:rFonts w:ascii="Arial" w:hAnsi="Arial" w:cs="Arial"/>
        </w:rPr>
        <w:t xml:space="preserve"> = acceptable or tolerable risk; CR &gt; 1 </w:t>
      </w:r>
      <m:oMath>
        <m:r>
          <m:rPr>
            <m:nor/>
          </m:rPr>
          <w:rPr>
            <w:rFonts w:ascii="Cambria Math" w:hAnsi="Cambria Math" w:cs="Arial"/>
          </w:rPr>
          <m:t>×</m:t>
        </m:r>
      </m:oMath>
      <w:r>
        <w:rPr>
          <w:rFonts w:ascii="Arial" w:hAnsi="Arial" w:cs="Arial"/>
        </w:rPr>
        <w:t>10</w:t>
      </w:r>
      <w:r>
        <w:rPr>
          <w:rFonts w:ascii="Arial" w:hAnsi="Arial" w:cs="Arial"/>
          <w:vertAlign w:val="superscript"/>
        </w:rPr>
        <w:t xml:space="preserve">-4 </w:t>
      </w:r>
      <w:r>
        <w:rPr>
          <w:rFonts w:ascii="Arial" w:hAnsi="Arial" w:cs="Arial"/>
        </w:rPr>
        <w:t>= high risk</w:t>
      </w:r>
    </w:p>
    <w:p w14:paraId="7EAEFFF9" w14:textId="77777777" w:rsidR="002F1621" w:rsidRDefault="002F1621">
      <w:pPr>
        <w:pStyle w:val="Body"/>
        <w:spacing w:after="0"/>
        <w:rPr>
          <w:rFonts w:ascii="Arial" w:hAnsi="Arial" w:cs="Arial"/>
        </w:rPr>
      </w:pPr>
    </w:p>
    <w:p w14:paraId="1A9EDEE8" w14:textId="77777777" w:rsidR="002F1621" w:rsidRDefault="000C28D5">
      <w:pPr>
        <w:pStyle w:val="Head1"/>
        <w:spacing w:after="0"/>
        <w:jc w:val="both"/>
        <w:rPr>
          <w:rFonts w:ascii="Arial" w:hAnsi="Arial" w:cs="Arial"/>
        </w:rPr>
      </w:pPr>
      <w:r>
        <w:rPr>
          <w:rFonts w:ascii="Arial" w:hAnsi="Arial" w:cs="Arial"/>
        </w:rPr>
        <w:t>3. results and discussion</w:t>
      </w:r>
    </w:p>
    <w:p w14:paraId="5BDA300A" w14:textId="77777777" w:rsidR="002F1621" w:rsidRDefault="002F1621">
      <w:pPr>
        <w:pStyle w:val="Head1"/>
        <w:spacing w:after="0"/>
        <w:jc w:val="both"/>
        <w:rPr>
          <w:rFonts w:ascii="Arial" w:hAnsi="Arial" w:cs="Arial"/>
        </w:rPr>
      </w:pPr>
    </w:p>
    <w:p w14:paraId="5C71CD97" w14:textId="77777777" w:rsidR="002F1621" w:rsidRDefault="000C28D5">
      <w:pPr>
        <w:rPr>
          <w:rFonts w:ascii="Arial" w:hAnsi="Arial" w:cs="Arial"/>
          <w:b/>
          <w:bCs/>
          <w:sz w:val="22"/>
          <w:szCs w:val="22"/>
        </w:rPr>
      </w:pPr>
      <w:r>
        <w:rPr>
          <w:rFonts w:ascii="Arial" w:hAnsi="Arial" w:cs="Arial"/>
          <w:b/>
          <w:bCs/>
          <w:sz w:val="22"/>
          <w:szCs w:val="22"/>
        </w:rPr>
        <w:t>3.1</w:t>
      </w:r>
      <w:r>
        <w:rPr>
          <w:rFonts w:ascii="Arial" w:hAnsi="Arial" w:cs="Arial"/>
          <w:b/>
          <w:bCs/>
          <w:sz w:val="22"/>
          <w:szCs w:val="22"/>
        </w:rPr>
        <w:tab/>
        <w:t>Concentration of PAHs in soil</w:t>
      </w:r>
    </w:p>
    <w:p w14:paraId="14E91185" w14:textId="77777777" w:rsidR="002F1621" w:rsidRDefault="000C28D5">
      <w:pPr>
        <w:pStyle w:val="Body"/>
        <w:spacing w:after="0"/>
        <w:rPr>
          <w:rFonts w:ascii="Arial" w:hAnsi="Arial" w:cs="Arial"/>
        </w:rPr>
      </w:pPr>
      <w:r>
        <w:rPr>
          <w:rFonts w:ascii="Arial" w:hAnsi="Arial" w:cs="Arial"/>
        </w:rPr>
        <w:t xml:space="preserve">Figure 2 gives the total PAH concentration in ARW soils. The concentration of Σ16 </w:t>
      </w:r>
      <w:proofErr w:type="gramStart"/>
      <w:r>
        <w:rPr>
          <w:rFonts w:ascii="Arial" w:hAnsi="Arial" w:cs="Arial"/>
        </w:rPr>
        <w:t>PAHs  ranged</w:t>
      </w:r>
      <w:proofErr w:type="gramEnd"/>
      <w:r>
        <w:rPr>
          <w:rFonts w:ascii="Arial" w:hAnsi="Arial" w:cs="Arial"/>
        </w:rPr>
        <w:t xml:space="preserve"> from 110 to 3,780 µg/kg, significantly higher than control soils (PAHs were not detected in subsurface and subsoil from the control sites). Surface soils generally showed the highest concentrations, reflecting direct contamination from workshop activities. The PAH concentrations obtained in this study indicate contamination levels ranging from slightly (Σ16PAHs &gt; 200 µg/kg) to heavily polluted (Σ16PAHs &gt; 1,000 µg/kg) based on classification for PAH soil pollution (Maliszewska-Kordybach,1996). This comparison confirms strong anthropogenic contribution to PAH accumulation in soils from automobile repair workshops rather than natural background levels.</w:t>
      </w:r>
    </w:p>
    <w:p w14:paraId="4C51D1DD" w14:textId="77777777" w:rsidR="002F1621" w:rsidRDefault="002F1621">
      <w:pPr>
        <w:pStyle w:val="Body"/>
        <w:spacing w:after="0"/>
        <w:rPr>
          <w:rFonts w:ascii="Arial" w:hAnsi="Arial" w:cs="Arial"/>
        </w:rPr>
      </w:pPr>
    </w:p>
    <w:p w14:paraId="79ECEE1D" w14:textId="77777777" w:rsidR="002F1621" w:rsidRDefault="000C28D5">
      <w:pPr>
        <w:spacing w:line="480" w:lineRule="auto"/>
        <w:jc w:val="both"/>
        <w:rPr>
          <w:rFonts w:ascii="Arial" w:hAnsi="Arial" w:cs="Arial"/>
        </w:rPr>
      </w:pPr>
      <w:r>
        <w:rPr>
          <w:noProof/>
        </w:rPr>
        <w:lastRenderedPageBreak/>
        <w:drawing>
          <wp:inline distT="0" distB="0" distL="114300" distR="114300" wp14:anchorId="6B344C7C" wp14:editId="50670F4E">
            <wp:extent cx="5346065" cy="2691130"/>
            <wp:effectExtent l="4445" t="4445" r="21590" b="952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77BEC8" w14:textId="77777777" w:rsidR="002F1621" w:rsidRDefault="000C28D5">
      <w:pPr>
        <w:spacing w:line="480" w:lineRule="auto"/>
        <w:jc w:val="both"/>
        <w:rPr>
          <w:rFonts w:ascii="Arial" w:hAnsi="Arial" w:cs="Arial"/>
          <w:b/>
          <w:bCs/>
        </w:rPr>
      </w:pPr>
      <w:r>
        <w:rPr>
          <w:rFonts w:ascii="Arial" w:hAnsi="Arial" w:cs="Arial"/>
          <w:b/>
          <w:bCs/>
        </w:rPr>
        <w:t xml:space="preserve">Figure 2: Concentration of total PAHs in </w:t>
      </w:r>
      <w:commentRangeStart w:id="4"/>
      <w:r>
        <w:rPr>
          <w:rFonts w:ascii="Arial" w:hAnsi="Arial" w:cs="Arial"/>
          <w:b/>
          <w:bCs/>
        </w:rPr>
        <w:t>soil</w:t>
      </w:r>
      <w:commentRangeEnd w:id="4"/>
      <w:r w:rsidR="009034C8">
        <w:rPr>
          <w:rStyle w:val="CommentReference"/>
          <w:rFonts w:ascii="Times New Roman" w:hAnsi="Times New Roman"/>
          <w:lang w:val="nb-NO" w:eastAsia="nb-NO"/>
        </w:rPr>
        <w:commentReference w:id="4"/>
      </w:r>
    </w:p>
    <w:p w14:paraId="39DEB607" w14:textId="77777777" w:rsidR="002F1621" w:rsidRDefault="002F1621">
      <w:pPr>
        <w:pStyle w:val="Body"/>
        <w:spacing w:after="0"/>
        <w:rPr>
          <w:rFonts w:ascii="Arial" w:hAnsi="Arial" w:cs="Arial"/>
        </w:rPr>
      </w:pPr>
    </w:p>
    <w:p w14:paraId="2FFA0D4D" w14:textId="77777777" w:rsidR="002F1621" w:rsidRDefault="000C28D5">
      <w:pPr>
        <w:jc w:val="both"/>
        <w:rPr>
          <w:rFonts w:ascii="Arial" w:hAnsi="Arial" w:cs="Arial"/>
        </w:rPr>
      </w:pPr>
      <w:r>
        <w:rPr>
          <w:rFonts w:ascii="Arial" w:hAnsi="Arial" w:cs="Arial"/>
        </w:rPr>
        <w:t xml:space="preserve">The elevated PAH concentrations in some surface soils suggest direct deposition and retention of petroleum hydrocarbons and combustion products from fuels and lubricants, consistent with residues typical of mechanic workshops. This pattern is similar to earlier observations from automobile repair soils in Makurdi, North Central Nigeria, where </w:t>
      </w:r>
      <w:proofErr w:type="spellStart"/>
      <w:r>
        <w:rPr>
          <w:rFonts w:ascii="Arial" w:hAnsi="Arial" w:cs="Arial"/>
        </w:rPr>
        <w:t>topsoils</w:t>
      </w:r>
      <w:proofErr w:type="spellEnd"/>
      <w:r>
        <w:rPr>
          <w:rFonts w:ascii="Arial" w:hAnsi="Arial" w:cs="Arial"/>
        </w:rPr>
        <w:t xml:space="preserve"> exhibited the greatest PAH concentrations that decreased with depth (</w:t>
      </w:r>
      <w:proofErr w:type="spellStart"/>
      <w:r>
        <w:rPr>
          <w:rFonts w:ascii="Arial" w:hAnsi="Arial" w:cs="Arial"/>
        </w:rPr>
        <w:t>Eneji</w:t>
      </w:r>
      <w:proofErr w:type="spellEnd"/>
      <w:r>
        <w:rPr>
          <w:rFonts w:ascii="Arial" w:hAnsi="Arial" w:cs="Arial"/>
        </w:rPr>
        <w:t xml:space="preserve"> et al., 2016). When compared with other African urban soils, the results of this study (110–3,780 µg/kg) are within the range reported for automobile workshop soils from </w:t>
      </w:r>
      <w:proofErr w:type="spellStart"/>
      <w:r>
        <w:rPr>
          <w:rFonts w:ascii="Arial" w:hAnsi="Arial" w:cs="Arial"/>
        </w:rPr>
        <w:t>Eket</w:t>
      </w:r>
      <w:proofErr w:type="spellEnd"/>
      <w:r>
        <w:rPr>
          <w:rFonts w:ascii="Arial" w:hAnsi="Arial" w:cs="Arial"/>
        </w:rPr>
        <w:t xml:space="preserve">, </w:t>
      </w:r>
      <w:proofErr w:type="spellStart"/>
      <w:r>
        <w:rPr>
          <w:rFonts w:ascii="Arial" w:hAnsi="Arial" w:cs="Arial"/>
        </w:rPr>
        <w:t>Akwa</w:t>
      </w:r>
      <w:proofErr w:type="spellEnd"/>
      <w:r>
        <w:rPr>
          <w:rFonts w:ascii="Arial" w:hAnsi="Arial" w:cs="Arial"/>
        </w:rPr>
        <w:t xml:space="preserve"> Ibom State (470–14,850 µg/kg) (Ekanem et al., 2019) and Ibadan, Oyo State (450–23,400 µg/kg) (</w:t>
      </w:r>
      <w:proofErr w:type="spellStart"/>
      <w:r>
        <w:rPr>
          <w:rFonts w:ascii="Arial" w:hAnsi="Arial" w:cs="Arial"/>
        </w:rPr>
        <w:t>Ipeaiyeda</w:t>
      </w:r>
      <w:proofErr w:type="spellEnd"/>
      <w:r>
        <w:rPr>
          <w:rFonts w:ascii="Arial" w:hAnsi="Arial" w:cs="Arial"/>
        </w:rPr>
        <w:t xml:space="preserve"> and </w:t>
      </w:r>
      <w:proofErr w:type="spellStart"/>
      <w:r>
        <w:rPr>
          <w:rFonts w:ascii="Arial" w:hAnsi="Arial" w:cs="Arial"/>
        </w:rPr>
        <w:t>Ogungbemi</w:t>
      </w:r>
      <w:proofErr w:type="spellEnd"/>
      <w:r>
        <w:rPr>
          <w:rFonts w:ascii="Arial" w:hAnsi="Arial" w:cs="Arial"/>
        </w:rPr>
        <w:t>, 2020), informal trade sites in southern Nigeria (120–8,790 µg/kg) (</w:t>
      </w:r>
      <w:proofErr w:type="spellStart"/>
      <w:r>
        <w:rPr>
          <w:rFonts w:ascii="Arial" w:hAnsi="Arial" w:cs="Arial"/>
        </w:rPr>
        <w:t>Iwegbue</w:t>
      </w:r>
      <w:proofErr w:type="spellEnd"/>
      <w:r>
        <w:rPr>
          <w:rFonts w:ascii="Arial" w:hAnsi="Arial" w:cs="Arial"/>
        </w:rPr>
        <w:t xml:space="preserve"> et al., 2023), and urban soils of Niamey, Niger (372–4,320 µg/kg) (Dan-Badjo et al., 2015) and Cape Town, South Africa (4,080 ± 2,640 µg/kg) (</w:t>
      </w:r>
      <w:proofErr w:type="spellStart"/>
      <w:r>
        <w:rPr>
          <w:rFonts w:ascii="Arial" w:hAnsi="Arial" w:cs="Arial"/>
        </w:rPr>
        <w:t>Omores</w:t>
      </w:r>
      <w:proofErr w:type="spellEnd"/>
      <w:r>
        <w:rPr>
          <w:rFonts w:ascii="Arial" w:hAnsi="Arial" w:cs="Arial"/>
        </w:rPr>
        <w:t xml:space="preserve"> et al., 2017). The results are relatively higher than the range reported for soils from auto-mechanic villages in </w:t>
      </w:r>
      <w:proofErr w:type="spellStart"/>
      <w:r>
        <w:rPr>
          <w:rFonts w:ascii="Arial" w:hAnsi="Arial" w:cs="Arial"/>
        </w:rPr>
        <w:t>Abakaliki</w:t>
      </w:r>
      <w:proofErr w:type="spellEnd"/>
      <w:r>
        <w:rPr>
          <w:rFonts w:ascii="Arial" w:hAnsi="Arial" w:cs="Arial"/>
        </w:rPr>
        <w:t>, Nigeria (18.4–138.5 µg/kg) (</w:t>
      </w:r>
      <w:proofErr w:type="spellStart"/>
      <w:r>
        <w:rPr>
          <w:rFonts w:ascii="Arial" w:hAnsi="Arial" w:cs="Arial"/>
        </w:rPr>
        <w:t>Obini</w:t>
      </w:r>
      <w:proofErr w:type="spellEnd"/>
      <w:r>
        <w:rPr>
          <w:rFonts w:ascii="Arial" w:hAnsi="Arial" w:cs="Arial"/>
        </w:rPr>
        <w:t xml:space="preserve"> et al., 2013) and engine oil contaminated auto-mechanic workshop soils in </w:t>
      </w:r>
      <w:proofErr w:type="spellStart"/>
      <w:r>
        <w:rPr>
          <w:rFonts w:ascii="Arial" w:hAnsi="Arial" w:cs="Arial"/>
        </w:rPr>
        <w:t>Wukari</w:t>
      </w:r>
      <w:proofErr w:type="spellEnd"/>
      <w:r>
        <w:rPr>
          <w:rFonts w:ascii="Arial" w:hAnsi="Arial" w:cs="Arial"/>
        </w:rPr>
        <w:t>, Nigeria (333 µg/kg) (Oko et al., 2024).</w:t>
      </w:r>
    </w:p>
    <w:p w14:paraId="26DD05E3" w14:textId="77777777" w:rsidR="002F1621" w:rsidRDefault="002F1621">
      <w:pPr>
        <w:jc w:val="both"/>
        <w:rPr>
          <w:rFonts w:ascii="Arial" w:hAnsi="Arial" w:cs="Arial"/>
        </w:rPr>
      </w:pPr>
    </w:p>
    <w:p w14:paraId="083790D0" w14:textId="77777777" w:rsidR="002F1621" w:rsidRDefault="000C28D5">
      <w:pPr>
        <w:jc w:val="both"/>
        <w:rPr>
          <w:rFonts w:ascii="Arial" w:hAnsi="Arial" w:cs="Arial"/>
        </w:rPr>
      </w:pPr>
      <w:r>
        <w:rPr>
          <w:rFonts w:ascii="Arial" w:hAnsi="Arial" w:cs="Arial"/>
        </w:rPr>
        <w:t xml:space="preserve">Differences in soil types influenced PAH migration patterns, though the limited sample size precludes definitive conclusions. Volcanic soils in Bamenda exhibited stronger retention, whereas alluvial soils from Douala showed relatively uniform vertical profiles, suggesting enhanced vertical migration. </w:t>
      </w:r>
      <w:proofErr w:type="spellStart"/>
      <w:r>
        <w:rPr>
          <w:rFonts w:ascii="Arial" w:hAnsi="Arial" w:cs="Arial"/>
        </w:rPr>
        <w:t>Ferralitic</w:t>
      </w:r>
      <w:proofErr w:type="spellEnd"/>
      <w:r>
        <w:rPr>
          <w:rFonts w:ascii="Arial" w:hAnsi="Arial" w:cs="Arial"/>
        </w:rPr>
        <w:t xml:space="preserve"> soils exhibited intermediate behavior with relatively consistent concentrations across soil depths. These preliminary observations suggest that volcanic soils retain PAHs at the surface level, while alluvial soils may facilitate vertical migration. However, these patterns require validation through larger-scale studies with systematic replication across multiple sites of each soil type. Although limited data exist on the influence of soil type on PAH distribution in tropical environments, studies have reported that PAH concentrations do not always decrease with depth and that subsoil layers can exhibit elevated concentrations relative to </w:t>
      </w:r>
      <w:proofErr w:type="spellStart"/>
      <w:r>
        <w:rPr>
          <w:rFonts w:ascii="Arial" w:hAnsi="Arial" w:cs="Arial"/>
        </w:rPr>
        <w:t>topsoils</w:t>
      </w:r>
      <w:proofErr w:type="spellEnd"/>
      <w:r>
        <w:rPr>
          <w:rFonts w:ascii="Arial" w:hAnsi="Arial" w:cs="Arial"/>
        </w:rPr>
        <w:t>, depending on soil mixing, leaching, and historical deposition patterns (Azzolina et al., 2016).</w:t>
      </w:r>
    </w:p>
    <w:p w14:paraId="56BB29A4" w14:textId="77777777" w:rsidR="002F1621" w:rsidRDefault="002F1621">
      <w:pPr>
        <w:jc w:val="both"/>
        <w:rPr>
          <w:rFonts w:ascii="Arial" w:hAnsi="Arial" w:cs="Arial"/>
        </w:rPr>
      </w:pPr>
    </w:p>
    <w:p w14:paraId="65396D9D" w14:textId="77777777" w:rsidR="002F1621" w:rsidRDefault="000C28D5">
      <w:pPr>
        <w:jc w:val="both"/>
        <w:rPr>
          <w:rFonts w:ascii="Arial" w:hAnsi="Arial" w:cs="Arial"/>
          <w:sz w:val="22"/>
          <w:szCs w:val="22"/>
        </w:rPr>
      </w:pPr>
      <w:r>
        <w:rPr>
          <w:rFonts w:ascii="Arial" w:hAnsi="Arial" w:cs="Arial"/>
          <w:b/>
          <w:bCs/>
          <w:sz w:val="22"/>
          <w:szCs w:val="22"/>
        </w:rPr>
        <w:t>3.2</w:t>
      </w:r>
      <w:r>
        <w:rPr>
          <w:rFonts w:ascii="Arial" w:hAnsi="Arial" w:cs="Arial"/>
          <w:b/>
          <w:bCs/>
          <w:sz w:val="22"/>
          <w:szCs w:val="22"/>
        </w:rPr>
        <w:tab/>
        <w:t>Concentration of carcinogenic PAHs</w:t>
      </w:r>
    </w:p>
    <w:p w14:paraId="672F1598" w14:textId="77777777" w:rsidR="002F1621" w:rsidRDefault="000C28D5">
      <w:pPr>
        <w:jc w:val="both"/>
        <w:rPr>
          <w:rFonts w:ascii="Arial" w:hAnsi="Arial" w:cs="Arial"/>
        </w:rPr>
      </w:pPr>
      <w:r>
        <w:rPr>
          <w:rFonts w:ascii="Arial" w:hAnsi="Arial" w:cs="Arial"/>
        </w:rPr>
        <w:lastRenderedPageBreak/>
        <w:t>The concentration of carcinogenic PAHs (C-PAHs) in ARW soils (Figure 3) ranged from 20 to 480 µg/kg, with the highest concentration detected at BU2 (30–60 cm), followed by BM2 (15–30 cm). These carcinogenic compounds pose significant health risks due to their genotoxic and mutagenic abilities (Feng et al., 2025). The presence of C-PAHs, even at deeper layers, raises concerns about potential leaching into groundwater and long-term human exposure, especially for inhabitants in proximity to these workshops (</w:t>
      </w:r>
      <w:proofErr w:type="spellStart"/>
      <w:r>
        <w:rPr>
          <w:rFonts w:ascii="Arial" w:hAnsi="Arial" w:cs="Arial"/>
        </w:rPr>
        <w:t>Akinkpelumi</w:t>
      </w:r>
      <w:proofErr w:type="spellEnd"/>
      <w:r>
        <w:rPr>
          <w:rFonts w:ascii="Arial" w:hAnsi="Arial" w:cs="Arial"/>
        </w:rPr>
        <w:t xml:space="preserve"> et al., 2025).</w:t>
      </w:r>
    </w:p>
    <w:p w14:paraId="145C6833" w14:textId="77777777" w:rsidR="002F1621" w:rsidRDefault="002F1621">
      <w:pPr>
        <w:jc w:val="both"/>
        <w:rPr>
          <w:rFonts w:ascii="Arial" w:hAnsi="Arial" w:cs="Arial"/>
        </w:rPr>
      </w:pPr>
    </w:p>
    <w:p w14:paraId="3816294C" w14:textId="77777777" w:rsidR="002F1621" w:rsidRDefault="000C28D5">
      <w:pPr>
        <w:jc w:val="both"/>
        <w:rPr>
          <w:rFonts w:ascii="Arial" w:hAnsi="Arial" w:cs="Arial"/>
          <w:b/>
          <w:bCs/>
        </w:rPr>
      </w:pPr>
      <w:r>
        <w:rPr>
          <w:rFonts w:ascii="Arial" w:hAnsi="Arial" w:cs="Arial"/>
          <w:b/>
          <w:bCs/>
          <w:sz w:val="22"/>
          <w:szCs w:val="22"/>
        </w:rPr>
        <w:t>3.3</w:t>
      </w:r>
      <w:r>
        <w:rPr>
          <w:rFonts w:ascii="Arial" w:hAnsi="Arial" w:cs="Arial"/>
          <w:b/>
          <w:bCs/>
          <w:sz w:val="22"/>
          <w:szCs w:val="22"/>
        </w:rPr>
        <w:tab/>
        <w:t>Ring size distribution of PAHs</w:t>
      </w:r>
    </w:p>
    <w:p w14:paraId="453B0800" w14:textId="77777777" w:rsidR="002F1621" w:rsidRDefault="000C28D5">
      <w:pPr>
        <w:jc w:val="both"/>
        <w:rPr>
          <w:rFonts w:ascii="Arial" w:hAnsi="Arial" w:cs="Arial"/>
        </w:rPr>
      </w:pPr>
      <w:r>
        <w:rPr>
          <w:rFonts w:ascii="Arial" w:hAnsi="Arial" w:cs="Arial"/>
        </w:rPr>
        <w:t xml:space="preserve">The ring number distribution pattern of PAHs in each site followed the order: 6-ring &gt; 4-ring &gt; 2-ring &gt; 3-ring in BW1, 6-ring &gt; 3-ring &gt; 4-ring &gt; 2-ring in BW2, 3-ring &gt; 6-ring &gt; 4-ring &gt; 2-ring in DW1, 6-ring &gt; 3-ring &gt; 4-ring &gt; 2-ring in DW2, 6-ring &gt; 2-ring &gt; 4-ring &gt; 3-ring in FW1, and 6-ring &gt; 2-ring &gt; 3-ring &gt; 4-ring in FW2. Six-ring PAHs were the predominant ring size, while 5-ring PAHs were present only in surface soils of DW1. The dominance of high molecular weight (HMW) PAHs, particularly 6-ring compounds, is consistent with pyrogenic sources typical of combustion processes in automobile repair activities. </w:t>
      </w:r>
    </w:p>
    <w:p w14:paraId="04AEB51B" w14:textId="77777777" w:rsidR="002F1621" w:rsidRDefault="002F1621">
      <w:pPr>
        <w:pStyle w:val="Body"/>
        <w:spacing w:after="0"/>
        <w:rPr>
          <w:rFonts w:ascii="Arial" w:hAnsi="Arial" w:cs="Arial"/>
        </w:rPr>
      </w:pPr>
    </w:p>
    <w:p w14:paraId="3D667CC3" w14:textId="77777777" w:rsidR="002F1621" w:rsidRDefault="000C28D5">
      <w:pPr>
        <w:pStyle w:val="Body"/>
        <w:spacing w:after="0"/>
      </w:pPr>
      <w:r>
        <w:rPr>
          <w:noProof/>
        </w:rPr>
        <w:drawing>
          <wp:inline distT="0" distB="0" distL="114300" distR="114300" wp14:anchorId="1CC310A9" wp14:editId="0262D766">
            <wp:extent cx="5207635" cy="3034030"/>
            <wp:effectExtent l="4445" t="4445" r="7620" b="9525"/>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FCD2846" w14:textId="77777777" w:rsidR="002F1621" w:rsidRDefault="000C28D5">
      <w:pPr>
        <w:pStyle w:val="Body"/>
        <w:spacing w:after="0"/>
      </w:pPr>
      <w:r>
        <w:rPr>
          <w:rFonts w:ascii="Arial" w:hAnsi="Arial" w:cs="Arial"/>
          <w:b/>
          <w:bCs/>
        </w:rPr>
        <w:t xml:space="preserve">Figure 3: Concentration of carcinogenic PAHs in ARW </w:t>
      </w:r>
      <w:commentRangeStart w:id="5"/>
      <w:r>
        <w:rPr>
          <w:rFonts w:ascii="Arial" w:hAnsi="Arial" w:cs="Arial"/>
          <w:b/>
          <w:bCs/>
        </w:rPr>
        <w:t>soils</w:t>
      </w:r>
      <w:commentRangeEnd w:id="5"/>
      <w:r w:rsidR="009034C8">
        <w:rPr>
          <w:rStyle w:val="CommentReference"/>
          <w:rFonts w:ascii="Times New Roman" w:hAnsi="Times New Roman"/>
          <w:lang w:val="nb-NO" w:eastAsia="nb-NO"/>
        </w:rPr>
        <w:commentReference w:id="5"/>
      </w:r>
    </w:p>
    <w:p w14:paraId="1C8EBA55" w14:textId="77777777" w:rsidR="002F1621" w:rsidRDefault="002F1621">
      <w:pPr>
        <w:spacing w:line="480" w:lineRule="auto"/>
        <w:rPr>
          <w:rFonts w:ascii="Arial" w:hAnsi="Arial" w:cs="Arial"/>
        </w:rPr>
      </w:pPr>
    </w:p>
    <w:p w14:paraId="2A8F0B7F" w14:textId="77777777" w:rsidR="002F1621" w:rsidRDefault="000C28D5">
      <w:pPr>
        <w:spacing w:line="480" w:lineRule="auto"/>
        <w:rPr>
          <w:rFonts w:ascii="Arial" w:hAnsi="Arial" w:cs="Arial"/>
        </w:rPr>
      </w:pPr>
      <w:r>
        <w:rPr>
          <w:noProof/>
        </w:rPr>
        <w:lastRenderedPageBreak/>
        <w:drawing>
          <wp:inline distT="0" distB="0" distL="114300" distR="114300" wp14:anchorId="24EE19C8" wp14:editId="5D5FCA33">
            <wp:extent cx="5511165" cy="2762250"/>
            <wp:effectExtent l="4445" t="4445" r="8890" b="14605"/>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CB8DEF4" w14:textId="1E80EB4B" w:rsidR="002F1621" w:rsidRDefault="000C28D5">
      <w:pPr>
        <w:spacing w:line="480" w:lineRule="auto"/>
        <w:rPr>
          <w:rFonts w:ascii="Arial" w:hAnsi="Arial" w:cs="Arial"/>
          <w:b/>
          <w:bCs/>
        </w:rPr>
      </w:pPr>
      <w:r>
        <w:rPr>
          <w:rFonts w:ascii="Arial" w:hAnsi="Arial" w:cs="Arial"/>
          <w:b/>
          <w:bCs/>
        </w:rPr>
        <w:t xml:space="preserve">Figure </w:t>
      </w:r>
      <w:r w:rsidR="00603BC1">
        <w:rPr>
          <w:rFonts w:ascii="Arial" w:hAnsi="Arial" w:cs="Arial"/>
          <w:b/>
          <w:bCs/>
        </w:rPr>
        <w:t>4</w:t>
      </w:r>
      <w:r>
        <w:rPr>
          <w:rFonts w:ascii="Arial" w:hAnsi="Arial" w:cs="Arial"/>
          <w:b/>
          <w:bCs/>
        </w:rPr>
        <w:t xml:space="preserve">: Ring-size distribution of PAHs in </w:t>
      </w:r>
      <w:commentRangeStart w:id="6"/>
      <w:r>
        <w:rPr>
          <w:rFonts w:ascii="Arial" w:hAnsi="Arial" w:cs="Arial"/>
          <w:b/>
          <w:bCs/>
        </w:rPr>
        <w:t>ARW soils</w:t>
      </w:r>
      <w:commentRangeEnd w:id="6"/>
      <w:r w:rsidR="009034C8">
        <w:rPr>
          <w:rStyle w:val="CommentReference"/>
          <w:rFonts w:ascii="Times New Roman" w:hAnsi="Times New Roman"/>
          <w:lang w:val="nb-NO" w:eastAsia="nb-NO"/>
        </w:rPr>
        <w:commentReference w:id="6"/>
      </w:r>
    </w:p>
    <w:p w14:paraId="6B4E0BFB" w14:textId="77777777" w:rsidR="002F1621" w:rsidRDefault="000C28D5">
      <w:pPr>
        <w:jc w:val="both"/>
        <w:rPr>
          <w:rFonts w:ascii="Arial" w:hAnsi="Arial" w:cs="Arial"/>
          <w:b/>
          <w:bCs/>
          <w:sz w:val="22"/>
          <w:szCs w:val="22"/>
        </w:rPr>
      </w:pPr>
      <w:r>
        <w:rPr>
          <w:rFonts w:ascii="Arial" w:hAnsi="Arial" w:cs="Arial"/>
          <w:b/>
          <w:bCs/>
          <w:sz w:val="22"/>
          <w:szCs w:val="22"/>
        </w:rPr>
        <w:t>3.4</w:t>
      </w:r>
      <w:r>
        <w:rPr>
          <w:rFonts w:ascii="Arial" w:hAnsi="Arial" w:cs="Arial"/>
          <w:b/>
          <w:bCs/>
          <w:sz w:val="22"/>
          <w:szCs w:val="22"/>
        </w:rPr>
        <w:tab/>
        <w:t>Composition and Sources of PAHs</w:t>
      </w:r>
    </w:p>
    <w:p w14:paraId="2C2E981E" w14:textId="77777777" w:rsidR="002F1621" w:rsidRDefault="000C28D5">
      <w:pPr>
        <w:jc w:val="both"/>
        <w:rPr>
          <w:rFonts w:ascii="Arial" w:hAnsi="Arial" w:cs="Arial"/>
        </w:rPr>
      </w:pPr>
      <w:r>
        <w:rPr>
          <w:rFonts w:ascii="Arial" w:hAnsi="Arial" w:cs="Arial"/>
        </w:rPr>
        <w:t xml:space="preserve">The concentration of ΣLMW-PAHs ranged from 30 to 1,890 µg/kg, while the concentration of ΣHMW-PAHs ranged from 80 to 1,890 µg/kg. Notably, DW1 (0–15 cm) and BM2 (0–15 cm) exhibited the highest LMW-PAH concentrations, suggesting significant contributions from petrogenic sources. In contrast, sites like BU2 and BM1 recorded relatively higher HMW-PAHs, suggesting additional pyrogenic inputs, likely from incomplete combustion of fuel or burnt oils. This dual-source contamination aligns with earlier reports in Western Nigeria (Adesina et al., 2024), which attributed elevated HMW-PAHs to combustion-related activities in mechanic workshops. </w:t>
      </w:r>
    </w:p>
    <w:p w14:paraId="128E7B29" w14:textId="77777777" w:rsidR="002F1621" w:rsidRDefault="002F1621">
      <w:pPr>
        <w:jc w:val="both"/>
        <w:rPr>
          <w:rFonts w:ascii="Arial" w:hAnsi="Arial" w:cs="Arial"/>
        </w:rPr>
      </w:pPr>
    </w:p>
    <w:p w14:paraId="7F179993" w14:textId="77777777" w:rsidR="002F1621" w:rsidRDefault="000C28D5">
      <w:pPr>
        <w:jc w:val="both"/>
        <w:rPr>
          <w:rFonts w:ascii="Arial" w:hAnsi="Arial" w:cs="Arial"/>
        </w:rPr>
      </w:pPr>
      <w:r>
        <w:rPr>
          <w:rFonts w:ascii="Arial" w:hAnsi="Arial" w:cs="Arial"/>
        </w:rPr>
        <w:t>The LMW/HMW ratio is commonly used to distinguish between petrogenic (ratio &gt; 1) and pyrogenic (ratio &lt; 1) sources. In this study, surface soils (0–15 cm) from BM1 and BU1 recorded LMW/HMW values of 0.24 and 0.26, respectively, indicating a dominant pyrogenic source (Table 2). However, values from BM2 (1.00) and DW1 (1.06) suggest mixed or weak petrogenic influence. In deeper layers (15–30 cm and 30–60 cm), the ratios varied significantly, with DW1 (1.75) and DW2 (1.05) pointing to increased petrogenic contributions. This trend may reflect the infiltration of petroleum residues over time or deeper accumulation from persistent vehicle-related activities.</w:t>
      </w:r>
    </w:p>
    <w:p w14:paraId="476B99C2" w14:textId="77777777" w:rsidR="002F1621" w:rsidRDefault="002F1621">
      <w:pPr>
        <w:jc w:val="both"/>
        <w:rPr>
          <w:rFonts w:ascii="Arial" w:hAnsi="Arial" w:cs="Arial"/>
        </w:rPr>
      </w:pPr>
    </w:p>
    <w:p w14:paraId="05F67CF9" w14:textId="77777777" w:rsidR="002F1621" w:rsidRDefault="000C28D5">
      <w:pPr>
        <w:jc w:val="both"/>
        <w:rPr>
          <w:rFonts w:ascii="Arial" w:hAnsi="Arial" w:cs="Arial"/>
        </w:rPr>
      </w:pPr>
      <w:r>
        <w:rPr>
          <w:rFonts w:ascii="Arial" w:hAnsi="Arial" w:cs="Arial"/>
        </w:rPr>
        <w:t>The Fla/</w:t>
      </w:r>
      <w:proofErr w:type="spellStart"/>
      <w:r>
        <w:rPr>
          <w:rFonts w:ascii="Arial" w:hAnsi="Arial" w:cs="Arial"/>
        </w:rPr>
        <w:t>Pyr</w:t>
      </w:r>
      <w:proofErr w:type="spellEnd"/>
      <w:r>
        <w:rPr>
          <w:rFonts w:ascii="Arial" w:hAnsi="Arial" w:cs="Arial"/>
        </w:rPr>
        <w:t xml:space="preserve"> ratio showed pyrogenic dominance in BM1 and BM2, consistent with incomplete combustion of fossil fuels. The uniformity of pyrogenic sources, especially at surface soils, highlights the influence of combustion-related activities. Similarly, the Ant/(</w:t>
      </w:r>
      <w:proofErr w:type="spellStart"/>
      <w:r>
        <w:rPr>
          <w:rFonts w:ascii="Arial" w:hAnsi="Arial" w:cs="Arial"/>
        </w:rPr>
        <w:t>Ant+Phe</w:t>
      </w:r>
      <w:proofErr w:type="spellEnd"/>
      <w:r>
        <w:rPr>
          <w:rFonts w:ascii="Arial" w:hAnsi="Arial" w:cs="Arial"/>
        </w:rPr>
        <w:t>) ratio showed that most of the surface soils exhibited pyrogenic inputs, while BM1 and DW1 at subsurface soils suggest mixed sources. The spatial and vertical variation of these ratios implies not only direct input but also possible vertical migration of PAHs.</w:t>
      </w:r>
    </w:p>
    <w:p w14:paraId="5C251999" w14:textId="77777777" w:rsidR="002F1621" w:rsidRDefault="002F1621">
      <w:pPr>
        <w:pStyle w:val="Body"/>
        <w:spacing w:after="0"/>
        <w:rPr>
          <w:rFonts w:ascii="Arial" w:hAnsi="Arial" w:cs="Arial"/>
        </w:rPr>
      </w:pPr>
    </w:p>
    <w:p w14:paraId="1653E4D1" w14:textId="77777777" w:rsidR="002F1621" w:rsidRDefault="002F1621">
      <w:pPr>
        <w:rPr>
          <w:rFonts w:ascii="Arial" w:eastAsiaTheme="minorHAnsi" w:hAnsi="Arial" w:cs="Arial"/>
          <w:b/>
          <w:bCs/>
        </w:rPr>
      </w:pPr>
    </w:p>
    <w:p w14:paraId="2B7DDE6C" w14:textId="77777777" w:rsidR="002F1621" w:rsidRDefault="002F1621">
      <w:pPr>
        <w:rPr>
          <w:rFonts w:ascii="Arial" w:eastAsiaTheme="minorHAnsi" w:hAnsi="Arial" w:cs="Arial"/>
          <w:b/>
          <w:bCs/>
        </w:rPr>
      </w:pPr>
    </w:p>
    <w:p w14:paraId="16CAAD6E" w14:textId="77777777" w:rsidR="002F1621" w:rsidRDefault="002F1621">
      <w:pPr>
        <w:rPr>
          <w:rFonts w:ascii="Arial" w:eastAsiaTheme="minorHAnsi" w:hAnsi="Arial" w:cs="Arial"/>
          <w:b/>
          <w:bCs/>
        </w:rPr>
      </w:pPr>
    </w:p>
    <w:p w14:paraId="786C006B" w14:textId="77777777" w:rsidR="002F1621" w:rsidRDefault="002F1621">
      <w:pPr>
        <w:rPr>
          <w:rFonts w:ascii="Arial" w:eastAsiaTheme="minorHAnsi" w:hAnsi="Arial" w:cs="Arial"/>
          <w:b/>
          <w:bCs/>
        </w:rPr>
      </w:pPr>
    </w:p>
    <w:p w14:paraId="6258F032" w14:textId="77777777" w:rsidR="002F1621" w:rsidRDefault="002F1621">
      <w:pPr>
        <w:rPr>
          <w:rFonts w:ascii="Arial" w:eastAsiaTheme="minorHAnsi" w:hAnsi="Arial" w:cs="Arial"/>
          <w:b/>
          <w:bCs/>
        </w:rPr>
      </w:pPr>
    </w:p>
    <w:p w14:paraId="09039A97" w14:textId="77777777" w:rsidR="002F1621" w:rsidRDefault="000C28D5">
      <w:pPr>
        <w:rPr>
          <w:rFonts w:ascii="Arial" w:eastAsiaTheme="minorHAnsi" w:hAnsi="Arial" w:cs="Arial"/>
          <w:b/>
          <w:bCs/>
        </w:rPr>
      </w:pPr>
      <w:r>
        <w:rPr>
          <w:rFonts w:ascii="Arial" w:eastAsiaTheme="minorHAnsi" w:hAnsi="Arial" w:cs="Arial"/>
          <w:b/>
          <w:bCs/>
        </w:rPr>
        <w:lastRenderedPageBreak/>
        <w:t>Table 1. Source identification of PAHs in soils from ARWs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1662"/>
        <w:gridCol w:w="961"/>
        <w:gridCol w:w="759"/>
        <w:gridCol w:w="719"/>
        <w:gridCol w:w="723"/>
        <w:gridCol w:w="723"/>
        <w:gridCol w:w="707"/>
        <w:gridCol w:w="708"/>
      </w:tblGrid>
      <w:tr w:rsidR="002F1621" w14:paraId="22406ABB" w14:textId="77777777">
        <w:tc>
          <w:tcPr>
            <w:tcW w:w="1462" w:type="dxa"/>
            <w:vMerge w:val="restart"/>
          </w:tcPr>
          <w:p w14:paraId="6A4E3FF6"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lang w:val="en-GB"/>
              </w:rPr>
              <w:t>Isomeric ratio</w:t>
            </w:r>
          </w:p>
        </w:tc>
        <w:tc>
          <w:tcPr>
            <w:tcW w:w="1662" w:type="dxa"/>
            <w:vMerge w:val="restart"/>
          </w:tcPr>
          <w:p w14:paraId="56F8A78B"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lang w:val="en-GB"/>
              </w:rPr>
              <w:t xml:space="preserve">Description </w:t>
            </w:r>
          </w:p>
        </w:tc>
        <w:tc>
          <w:tcPr>
            <w:tcW w:w="961" w:type="dxa"/>
            <w:vMerge w:val="restart"/>
          </w:tcPr>
          <w:p w14:paraId="1C405DE9" w14:textId="77777777" w:rsidR="002F1621" w:rsidRDefault="000C28D5">
            <w:pPr>
              <w:spacing w:line="480" w:lineRule="auto"/>
              <w:rPr>
                <w:rFonts w:ascii="Arial" w:eastAsiaTheme="minorHAnsi" w:hAnsi="Arial" w:cs="Arial"/>
                <w:b/>
                <w:bCs/>
                <w:sz w:val="20"/>
                <w:szCs w:val="20"/>
              </w:rPr>
            </w:pPr>
            <w:r>
              <w:rPr>
                <w:rFonts w:ascii="Arial" w:eastAsiaTheme="minorHAnsi" w:hAnsi="Arial" w:cs="Arial"/>
                <w:b/>
                <w:bCs/>
                <w:sz w:val="20"/>
                <w:szCs w:val="20"/>
                <w:lang w:val="en-GB"/>
              </w:rPr>
              <w:t>Depth</w:t>
            </w:r>
            <w:r>
              <w:rPr>
                <w:rFonts w:ascii="Arial" w:eastAsiaTheme="minorHAnsi" w:hAnsi="Arial" w:cs="Arial"/>
                <w:b/>
                <w:bCs/>
                <w:sz w:val="20"/>
                <w:szCs w:val="20"/>
              </w:rPr>
              <w:t xml:space="preserve"> (cm)</w:t>
            </w:r>
          </w:p>
        </w:tc>
        <w:tc>
          <w:tcPr>
            <w:tcW w:w="4339" w:type="dxa"/>
            <w:gridSpan w:val="6"/>
            <w:tcBorders>
              <w:bottom w:val="single" w:sz="4" w:space="0" w:color="auto"/>
            </w:tcBorders>
          </w:tcPr>
          <w:p w14:paraId="6C5F6206" w14:textId="77777777" w:rsidR="002F1621" w:rsidRDefault="000C28D5">
            <w:pPr>
              <w:spacing w:line="480" w:lineRule="auto"/>
              <w:jc w:val="center"/>
              <w:rPr>
                <w:rFonts w:ascii="Arial" w:eastAsiaTheme="minorHAnsi" w:hAnsi="Arial" w:cs="Arial"/>
                <w:b/>
                <w:bCs/>
                <w:sz w:val="20"/>
                <w:szCs w:val="20"/>
                <w:lang w:val="en-GB"/>
              </w:rPr>
            </w:pPr>
            <w:r>
              <w:rPr>
                <w:rFonts w:ascii="Arial" w:eastAsiaTheme="minorHAnsi" w:hAnsi="Arial" w:cs="Arial"/>
                <w:b/>
                <w:bCs/>
                <w:sz w:val="20"/>
                <w:szCs w:val="20"/>
                <w:lang w:val="en-GB"/>
              </w:rPr>
              <w:t>Calculated ratio</w:t>
            </w:r>
          </w:p>
        </w:tc>
      </w:tr>
      <w:tr w:rsidR="002F1621" w14:paraId="6669459B" w14:textId="77777777">
        <w:tc>
          <w:tcPr>
            <w:tcW w:w="1462" w:type="dxa"/>
            <w:vMerge/>
            <w:tcBorders>
              <w:bottom w:val="single" w:sz="4" w:space="0" w:color="auto"/>
            </w:tcBorders>
          </w:tcPr>
          <w:p w14:paraId="1C4B46CD" w14:textId="77777777" w:rsidR="002F1621" w:rsidRDefault="002F1621">
            <w:pPr>
              <w:spacing w:line="480" w:lineRule="auto"/>
              <w:rPr>
                <w:rFonts w:ascii="Arial" w:eastAsiaTheme="minorHAnsi" w:hAnsi="Arial" w:cs="Arial"/>
                <w:b/>
                <w:bCs/>
                <w:sz w:val="20"/>
                <w:szCs w:val="20"/>
                <w:lang w:val="en-GB"/>
              </w:rPr>
            </w:pPr>
          </w:p>
        </w:tc>
        <w:tc>
          <w:tcPr>
            <w:tcW w:w="1662" w:type="dxa"/>
            <w:vMerge/>
            <w:tcBorders>
              <w:bottom w:val="single" w:sz="4" w:space="0" w:color="auto"/>
            </w:tcBorders>
          </w:tcPr>
          <w:p w14:paraId="0EE7E92A" w14:textId="77777777" w:rsidR="002F1621" w:rsidRDefault="002F1621">
            <w:pPr>
              <w:spacing w:line="480" w:lineRule="auto"/>
              <w:rPr>
                <w:rFonts w:ascii="Arial" w:eastAsiaTheme="minorHAnsi" w:hAnsi="Arial" w:cs="Arial"/>
                <w:b/>
                <w:bCs/>
                <w:sz w:val="20"/>
                <w:szCs w:val="20"/>
                <w:lang w:val="en-GB"/>
              </w:rPr>
            </w:pPr>
          </w:p>
        </w:tc>
        <w:tc>
          <w:tcPr>
            <w:tcW w:w="961" w:type="dxa"/>
            <w:vMerge/>
            <w:tcBorders>
              <w:bottom w:val="single" w:sz="4" w:space="0" w:color="auto"/>
            </w:tcBorders>
          </w:tcPr>
          <w:p w14:paraId="71E896B1" w14:textId="77777777" w:rsidR="002F1621" w:rsidRDefault="002F1621">
            <w:pPr>
              <w:spacing w:line="480" w:lineRule="auto"/>
              <w:rPr>
                <w:rFonts w:ascii="Arial" w:eastAsiaTheme="minorHAnsi" w:hAnsi="Arial" w:cs="Arial"/>
                <w:b/>
                <w:bCs/>
                <w:sz w:val="20"/>
                <w:szCs w:val="20"/>
                <w:lang w:val="en-GB"/>
              </w:rPr>
            </w:pPr>
          </w:p>
        </w:tc>
        <w:tc>
          <w:tcPr>
            <w:tcW w:w="759" w:type="dxa"/>
            <w:tcBorders>
              <w:top w:val="single" w:sz="4" w:space="0" w:color="auto"/>
              <w:bottom w:val="single" w:sz="4" w:space="0" w:color="auto"/>
            </w:tcBorders>
          </w:tcPr>
          <w:p w14:paraId="02EA0B7A"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lang w:val="en-GB"/>
              </w:rPr>
              <w:t>B</w:t>
            </w:r>
            <w:r>
              <w:rPr>
                <w:rFonts w:ascii="Arial" w:eastAsiaTheme="minorHAnsi" w:hAnsi="Arial" w:cs="Arial"/>
                <w:b/>
                <w:bCs/>
                <w:sz w:val="20"/>
                <w:szCs w:val="20"/>
              </w:rPr>
              <w:t>M</w:t>
            </w:r>
            <w:r>
              <w:rPr>
                <w:rFonts w:ascii="Arial" w:eastAsiaTheme="minorHAnsi" w:hAnsi="Arial" w:cs="Arial"/>
                <w:b/>
                <w:bCs/>
                <w:sz w:val="20"/>
                <w:szCs w:val="20"/>
                <w:lang w:val="en-GB"/>
              </w:rPr>
              <w:t>1</w:t>
            </w:r>
          </w:p>
        </w:tc>
        <w:tc>
          <w:tcPr>
            <w:tcW w:w="719" w:type="dxa"/>
            <w:tcBorders>
              <w:top w:val="single" w:sz="4" w:space="0" w:color="auto"/>
              <w:bottom w:val="single" w:sz="4" w:space="0" w:color="auto"/>
            </w:tcBorders>
          </w:tcPr>
          <w:p w14:paraId="67C6EE81"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lang w:val="en-GB"/>
              </w:rPr>
              <w:t>B</w:t>
            </w:r>
            <w:r>
              <w:rPr>
                <w:rFonts w:ascii="Arial" w:eastAsiaTheme="minorHAnsi" w:hAnsi="Arial" w:cs="Arial"/>
                <w:b/>
                <w:bCs/>
                <w:sz w:val="20"/>
                <w:szCs w:val="20"/>
              </w:rPr>
              <w:t>M</w:t>
            </w:r>
            <w:r>
              <w:rPr>
                <w:rFonts w:ascii="Arial" w:eastAsiaTheme="minorHAnsi" w:hAnsi="Arial" w:cs="Arial"/>
                <w:b/>
                <w:bCs/>
                <w:sz w:val="20"/>
                <w:szCs w:val="20"/>
                <w:lang w:val="en-GB"/>
              </w:rPr>
              <w:t>2</w:t>
            </w:r>
          </w:p>
        </w:tc>
        <w:tc>
          <w:tcPr>
            <w:tcW w:w="723" w:type="dxa"/>
            <w:tcBorders>
              <w:top w:val="single" w:sz="4" w:space="0" w:color="auto"/>
              <w:bottom w:val="single" w:sz="4" w:space="0" w:color="auto"/>
            </w:tcBorders>
          </w:tcPr>
          <w:p w14:paraId="55B8CAFE"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lang w:val="en-GB"/>
              </w:rPr>
              <w:t>DW1</w:t>
            </w:r>
          </w:p>
        </w:tc>
        <w:tc>
          <w:tcPr>
            <w:tcW w:w="723" w:type="dxa"/>
            <w:tcBorders>
              <w:top w:val="single" w:sz="4" w:space="0" w:color="auto"/>
              <w:bottom w:val="single" w:sz="4" w:space="0" w:color="auto"/>
            </w:tcBorders>
          </w:tcPr>
          <w:p w14:paraId="2D5053FB"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lang w:val="en-GB"/>
              </w:rPr>
              <w:t>DW2</w:t>
            </w:r>
          </w:p>
        </w:tc>
        <w:tc>
          <w:tcPr>
            <w:tcW w:w="707" w:type="dxa"/>
            <w:tcBorders>
              <w:top w:val="single" w:sz="4" w:space="0" w:color="auto"/>
              <w:bottom w:val="single" w:sz="4" w:space="0" w:color="auto"/>
            </w:tcBorders>
          </w:tcPr>
          <w:p w14:paraId="7DB298A0"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rPr>
              <w:t>BU</w:t>
            </w:r>
            <w:r>
              <w:rPr>
                <w:rFonts w:ascii="Arial" w:eastAsiaTheme="minorHAnsi" w:hAnsi="Arial" w:cs="Arial"/>
                <w:b/>
                <w:bCs/>
                <w:sz w:val="20"/>
                <w:szCs w:val="20"/>
                <w:lang w:val="en-GB"/>
              </w:rPr>
              <w:t>1</w:t>
            </w:r>
          </w:p>
        </w:tc>
        <w:tc>
          <w:tcPr>
            <w:tcW w:w="708" w:type="dxa"/>
            <w:tcBorders>
              <w:top w:val="single" w:sz="4" w:space="0" w:color="auto"/>
              <w:bottom w:val="single" w:sz="4" w:space="0" w:color="auto"/>
            </w:tcBorders>
          </w:tcPr>
          <w:p w14:paraId="4796272A" w14:textId="77777777" w:rsidR="002F1621" w:rsidRDefault="000C28D5">
            <w:pPr>
              <w:spacing w:line="480" w:lineRule="auto"/>
              <w:rPr>
                <w:rFonts w:ascii="Arial" w:eastAsiaTheme="minorHAnsi" w:hAnsi="Arial" w:cs="Arial"/>
                <w:b/>
                <w:bCs/>
                <w:sz w:val="20"/>
                <w:szCs w:val="20"/>
                <w:lang w:val="en-GB"/>
              </w:rPr>
            </w:pPr>
            <w:r>
              <w:rPr>
                <w:rFonts w:ascii="Arial" w:eastAsiaTheme="minorHAnsi" w:hAnsi="Arial" w:cs="Arial"/>
                <w:b/>
                <w:bCs/>
                <w:sz w:val="20"/>
                <w:szCs w:val="20"/>
              </w:rPr>
              <w:t>BU</w:t>
            </w:r>
            <w:r>
              <w:rPr>
                <w:rFonts w:ascii="Arial" w:eastAsiaTheme="minorHAnsi" w:hAnsi="Arial" w:cs="Arial"/>
                <w:b/>
                <w:bCs/>
                <w:sz w:val="20"/>
                <w:szCs w:val="20"/>
                <w:lang w:val="en-GB"/>
              </w:rPr>
              <w:t>2</w:t>
            </w:r>
          </w:p>
        </w:tc>
      </w:tr>
      <w:tr w:rsidR="002F1621" w14:paraId="6426E419" w14:textId="77777777">
        <w:trPr>
          <w:trHeight w:val="90"/>
        </w:trPr>
        <w:tc>
          <w:tcPr>
            <w:tcW w:w="1462" w:type="dxa"/>
            <w:vMerge w:val="restart"/>
            <w:tcBorders>
              <w:top w:val="single" w:sz="4" w:space="0" w:color="auto"/>
            </w:tcBorders>
          </w:tcPr>
          <w:p w14:paraId="6FA032DB"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LMW/HMW</w:t>
            </w:r>
          </w:p>
        </w:tc>
        <w:tc>
          <w:tcPr>
            <w:tcW w:w="1662" w:type="dxa"/>
            <w:vMerge w:val="restart"/>
            <w:tcBorders>
              <w:top w:val="single" w:sz="4" w:space="0" w:color="auto"/>
            </w:tcBorders>
          </w:tcPr>
          <w:p w14:paraId="6FCBFCCF"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 xml:space="preserve">&lt;1=pyrogenic </w:t>
            </w:r>
          </w:p>
          <w:p w14:paraId="7FAE77C6"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&gt;1=petrogenic</w:t>
            </w:r>
          </w:p>
          <w:p w14:paraId="6335DA64" w14:textId="77777777" w:rsidR="002F1621" w:rsidRDefault="002F1621">
            <w:pPr>
              <w:spacing w:line="480" w:lineRule="auto"/>
              <w:rPr>
                <w:rFonts w:ascii="Arial" w:eastAsiaTheme="minorHAnsi" w:hAnsi="Arial" w:cs="Arial"/>
                <w:sz w:val="20"/>
                <w:szCs w:val="20"/>
                <w:lang w:val="en-GB"/>
              </w:rPr>
            </w:pPr>
          </w:p>
        </w:tc>
        <w:tc>
          <w:tcPr>
            <w:tcW w:w="961" w:type="dxa"/>
            <w:tcBorders>
              <w:top w:val="single" w:sz="4" w:space="0" w:color="auto"/>
            </w:tcBorders>
          </w:tcPr>
          <w:p w14:paraId="24082B16"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0-15</w:t>
            </w:r>
          </w:p>
        </w:tc>
        <w:tc>
          <w:tcPr>
            <w:tcW w:w="759" w:type="dxa"/>
            <w:tcBorders>
              <w:top w:val="single" w:sz="4" w:space="0" w:color="auto"/>
            </w:tcBorders>
          </w:tcPr>
          <w:p w14:paraId="6869AF06"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0.24</w:t>
            </w:r>
          </w:p>
        </w:tc>
        <w:tc>
          <w:tcPr>
            <w:tcW w:w="719" w:type="dxa"/>
            <w:tcBorders>
              <w:top w:val="single" w:sz="4" w:space="0" w:color="auto"/>
            </w:tcBorders>
          </w:tcPr>
          <w:p w14:paraId="396C76A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1.00</w:t>
            </w:r>
          </w:p>
        </w:tc>
        <w:tc>
          <w:tcPr>
            <w:tcW w:w="723" w:type="dxa"/>
            <w:tcBorders>
              <w:top w:val="single" w:sz="4" w:space="0" w:color="auto"/>
            </w:tcBorders>
          </w:tcPr>
          <w:p w14:paraId="1111FAE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1.06</w:t>
            </w:r>
          </w:p>
        </w:tc>
        <w:tc>
          <w:tcPr>
            <w:tcW w:w="723" w:type="dxa"/>
            <w:tcBorders>
              <w:top w:val="single" w:sz="4" w:space="0" w:color="auto"/>
            </w:tcBorders>
          </w:tcPr>
          <w:p w14:paraId="79D450C1"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0.77</w:t>
            </w:r>
          </w:p>
        </w:tc>
        <w:tc>
          <w:tcPr>
            <w:tcW w:w="707" w:type="dxa"/>
            <w:tcBorders>
              <w:top w:val="single" w:sz="4" w:space="0" w:color="auto"/>
            </w:tcBorders>
          </w:tcPr>
          <w:p w14:paraId="612AE337"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0.26</w:t>
            </w:r>
          </w:p>
        </w:tc>
        <w:tc>
          <w:tcPr>
            <w:tcW w:w="708" w:type="dxa"/>
            <w:tcBorders>
              <w:top w:val="single" w:sz="4" w:space="0" w:color="auto"/>
            </w:tcBorders>
          </w:tcPr>
          <w:p w14:paraId="455B8C6C"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0.11</w:t>
            </w:r>
          </w:p>
        </w:tc>
      </w:tr>
      <w:tr w:rsidR="002F1621" w14:paraId="64FB2D97" w14:textId="77777777">
        <w:tc>
          <w:tcPr>
            <w:tcW w:w="1462" w:type="dxa"/>
            <w:vMerge/>
          </w:tcPr>
          <w:p w14:paraId="43097D41" w14:textId="77777777" w:rsidR="002F1621" w:rsidRDefault="002F1621">
            <w:pPr>
              <w:spacing w:line="480" w:lineRule="auto"/>
              <w:rPr>
                <w:rFonts w:ascii="Arial" w:eastAsiaTheme="minorHAnsi" w:hAnsi="Arial" w:cs="Arial"/>
                <w:sz w:val="20"/>
                <w:szCs w:val="20"/>
                <w:lang w:val="en-GB"/>
              </w:rPr>
            </w:pPr>
          </w:p>
        </w:tc>
        <w:tc>
          <w:tcPr>
            <w:tcW w:w="1662" w:type="dxa"/>
            <w:vMerge/>
          </w:tcPr>
          <w:p w14:paraId="5E170F36" w14:textId="77777777" w:rsidR="002F1621" w:rsidRDefault="002F1621">
            <w:pPr>
              <w:spacing w:line="480" w:lineRule="auto"/>
              <w:rPr>
                <w:rFonts w:ascii="Arial" w:eastAsiaTheme="minorHAnsi" w:hAnsi="Arial" w:cs="Arial"/>
                <w:sz w:val="20"/>
                <w:szCs w:val="20"/>
                <w:lang w:val="en-GB"/>
              </w:rPr>
            </w:pPr>
          </w:p>
        </w:tc>
        <w:tc>
          <w:tcPr>
            <w:tcW w:w="961" w:type="dxa"/>
          </w:tcPr>
          <w:p w14:paraId="35AF7A56"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15-30</w:t>
            </w:r>
          </w:p>
        </w:tc>
        <w:tc>
          <w:tcPr>
            <w:tcW w:w="759" w:type="dxa"/>
          </w:tcPr>
          <w:p w14:paraId="27F5086A"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0.14</w:t>
            </w:r>
          </w:p>
        </w:tc>
        <w:tc>
          <w:tcPr>
            <w:tcW w:w="719" w:type="dxa"/>
          </w:tcPr>
          <w:p w14:paraId="7E5095C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0.15</w:t>
            </w:r>
          </w:p>
        </w:tc>
        <w:tc>
          <w:tcPr>
            <w:tcW w:w="723" w:type="dxa"/>
          </w:tcPr>
          <w:p w14:paraId="74901517"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1.75</w:t>
            </w:r>
          </w:p>
        </w:tc>
        <w:tc>
          <w:tcPr>
            <w:tcW w:w="723" w:type="dxa"/>
          </w:tcPr>
          <w:p w14:paraId="56860CF7"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0.52</w:t>
            </w:r>
          </w:p>
        </w:tc>
        <w:tc>
          <w:tcPr>
            <w:tcW w:w="707" w:type="dxa"/>
          </w:tcPr>
          <w:p w14:paraId="6FAC3213"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0.38</w:t>
            </w:r>
          </w:p>
        </w:tc>
        <w:tc>
          <w:tcPr>
            <w:tcW w:w="708" w:type="dxa"/>
          </w:tcPr>
          <w:p w14:paraId="3C09F4A5"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0.19</w:t>
            </w:r>
          </w:p>
        </w:tc>
      </w:tr>
      <w:tr w:rsidR="002F1621" w14:paraId="0118BB09" w14:textId="77777777">
        <w:tc>
          <w:tcPr>
            <w:tcW w:w="1462" w:type="dxa"/>
            <w:vMerge/>
          </w:tcPr>
          <w:p w14:paraId="1310D6EB" w14:textId="77777777" w:rsidR="002F1621" w:rsidRDefault="002F1621">
            <w:pPr>
              <w:spacing w:line="480" w:lineRule="auto"/>
              <w:rPr>
                <w:rFonts w:ascii="Arial" w:eastAsiaTheme="minorHAnsi" w:hAnsi="Arial" w:cs="Arial"/>
                <w:sz w:val="20"/>
                <w:szCs w:val="20"/>
                <w:lang w:val="en-GB"/>
              </w:rPr>
            </w:pPr>
          </w:p>
        </w:tc>
        <w:tc>
          <w:tcPr>
            <w:tcW w:w="1662" w:type="dxa"/>
            <w:vMerge/>
          </w:tcPr>
          <w:p w14:paraId="0811BFC7" w14:textId="77777777" w:rsidR="002F1621" w:rsidRDefault="002F1621">
            <w:pPr>
              <w:spacing w:line="480" w:lineRule="auto"/>
              <w:rPr>
                <w:rFonts w:ascii="Arial" w:eastAsiaTheme="minorHAnsi" w:hAnsi="Arial" w:cs="Arial"/>
                <w:sz w:val="20"/>
                <w:szCs w:val="20"/>
                <w:lang w:val="en-GB"/>
              </w:rPr>
            </w:pPr>
          </w:p>
        </w:tc>
        <w:tc>
          <w:tcPr>
            <w:tcW w:w="961" w:type="dxa"/>
          </w:tcPr>
          <w:p w14:paraId="2BF6F6E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30-60</w:t>
            </w:r>
          </w:p>
        </w:tc>
        <w:tc>
          <w:tcPr>
            <w:tcW w:w="759" w:type="dxa"/>
          </w:tcPr>
          <w:p w14:paraId="3C6BE6CC"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0.38</w:t>
            </w:r>
          </w:p>
        </w:tc>
        <w:tc>
          <w:tcPr>
            <w:tcW w:w="719" w:type="dxa"/>
          </w:tcPr>
          <w:p w14:paraId="1281EDE3"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0.92</w:t>
            </w:r>
          </w:p>
        </w:tc>
        <w:tc>
          <w:tcPr>
            <w:tcW w:w="723" w:type="dxa"/>
          </w:tcPr>
          <w:p w14:paraId="1D8FE5C6"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0.18</w:t>
            </w:r>
          </w:p>
        </w:tc>
        <w:tc>
          <w:tcPr>
            <w:tcW w:w="723" w:type="dxa"/>
          </w:tcPr>
          <w:p w14:paraId="346E9B45"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1.05</w:t>
            </w:r>
          </w:p>
        </w:tc>
        <w:tc>
          <w:tcPr>
            <w:tcW w:w="707" w:type="dxa"/>
          </w:tcPr>
          <w:p w14:paraId="124784B4"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0.39</w:t>
            </w:r>
          </w:p>
        </w:tc>
        <w:tc>
          <w:tcPr>
            <w:tcW w:w="708" w:type="dxa"/>
          </w:tcPr>
          <w:p w14:paraId="5CBAB0AD"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0.15</w:t>
            </w:r>
          </w:p>
        </w:tc>
      </w:tr>
      <w:tr w:rsidR="002F1621" w14:paraId="5EE5E186" w14:textId="77777777">
        <w:tc>
          <w:tcPr>
            <w:tcW w:w="1462" w:type="dxa"/>
            <w:vMerge w:val="restart"/>
          </w:tcPr>
          <w:p w14:paraId="2CCC081C"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Phen/Ant</w:t>
            </w:r>
          </w:p>
        </w:tc>
        <w:tc>
          <w:tcPr>
            <w:tcW w:w="1662" w:type="dxa"/>
            <w:vMerge w:val="restart"/>
          </w:tcPr>
          <w:p w14:paraId="2A5FEAB9"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&gt;10= pyrogenic</w:t>
            </w:r>
          </w:p>
          <w:p w14:paraId="3CBC844D"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&lt;10=petrogenic</w:t>
            </w:r>
          </w:p>
          <w:p w14:paraId="272C4BF0" w14:textId="77777777" w:rsidR="002F1621" w:rsidRDefault="002F1621">
            <w:pPr>
              <w:spacing w:line="480" w:lineRule="auto"/>
              <w:rPr>
                <w:rFonts w:ascii="Arial" w:eastAsiaTheme="minorHAnsi" w:hAnsi="Arial" w:cs="Arial"/>
                <w:sz w:val="20"/>
                <w:szCs w:val="20"/>
                <w:lang w:val="en-GB"/>
              </w:rPr>
            </w:pPr>
          </w:p>
        </w:tc>
        <w:tc>
          <w:tcPr>
            <w:tcW w:w="961" w:type="dxa"/>
          </w:tcPr>
          <w:p w14:paraId="6969FCC5"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 xml:space="preserve">0-15 </w:t>
            </w:r>
          </w:p>
        </w:tc>
        <w:tc>
          <w:tcPr>
            <w:tcW w:w="759" w:type="dxa"/>
          </w:tcPr>
          <w:p w14:paraId="2212EF74"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1.00</w:t>
            </w:r>
          </w:p>
        </w:tc>
        <w:tc>
          <w:tcPr>
            <w:tcW w:w="719" w:type="dxa"/>
          </w:tcPr>
          <w:p w14:paraId="4B78FF78"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0.35</w:t>
            </w:r>
          </w:p>
        </w:tc>
        <w:tc>
          <w:tcPr>
            <w:tcW w:w="723" w:type="dxa"/>
          </w:tcPr>
          <w:p w14:paraId="7BED7F9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2.92</w:t>
            </w:r>
          </w:p>
        </w:tc>
        <w:tc>
          <w:tcPr>
            <w:tcW w:w="723" w:type="dxa"/>
          </w:tcPr>
          <w:p w14:paraId="6145FF94"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1.32</w:t>
            </w:r>
          </w:p>
        </w:tc>
        <w:tc>
          <w:tcPr>
            <w:tcW w:w="707" w:type="dxa"/>
          </w:tcPr>
          <w:p w14:paraId="556AC4AE"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08" w:type="dxa"/>
          </w:tcPr>
          <w:p w14:paraId="7C0820F9"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3F269FDB" w14:textId="77777777">
        <w:tc>
          <w:tcPr>
            <w:tcW w:w="1462" w:type="dxa"/>
            <w:vMerge/>
          </w:tcPr>
          <w:p w14:paraId="3409AF44" w14:textId="77777777" w:rsidR="002F1621" w:rsidRDefault="002F1621">
            <w:pPr>
              <w:spacing w:line="480" w:lineRule="auto"/>
              <w:rPr>
                <w:rFonts w:ascii="Arial" w:eastAsiaTheme="minorHAnsi" w:hAnsi="Arial" w:cs="Arial"/>
                <w:sz w:val="20"/>
                <w:szCs w:val="20"/>
                <w:lang w:val="en-GB"/>
              </w:rPr>
            </w:pPr>
          </w:p>
        </w:tc>
        <w:tc>
          <w:tcPr>
            <w:tcW w:w="1662" w:type="dxa"/>
            <w:vMerge/>
          </w:tcPr>
          <w:p w14:paraId="72959885" w14:textId="77777777" w:rsidR="002F1621" w:rsidRDefault="002F1621">
            <w:pPr>
              <w:spacing w:line="480" w:lineRule="auto"/>
              <w:rPr>
                <w:rFonts w:ascii="Arial" w:eastAsiaTheme="minorHAnsi" w:hAnsi="Arial" w:cs="Arial"/>
                <w:sz w:val="20"/>
                <w:szCs w:val="20"/>
                <w:lang w:val="en-GB"/>
              </w:rPr>
            </w:pPr>
          </w:p>
        </w:tc>
        <w:tc>
          <w:tcPr>
            <w:tcW w:w="961" w:type="dxa"/>
          </w:tcPr>
          <w:p w14:paraId="700917D5"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15-30</w:t>
            </w:r>
          </w:p>
        </w:tc>
        <w:tc>
          <w:tcPr>
            <w:tcW w:w="759" w:type="dxa"/>
          </w:tcPr>
          <w:p w14:paraId="27E4276A"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1.50</w:t>
            </w:r>
          </w:p>
        </w:tc>
        <w:tc>
          <w:tcPr>
            <w:tcW w:w="719" w:type="dxa"/>
          </w:tcPr>
          <w:p w14:paraId="76C8C9AC"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w:t>
            </w:r>
          </w:p>
        </w:tc>
        <w:tc>
          <w:tcPr>
            <w:tcW w:w="723" w:type="dxa"/>
          </w:tcPr>
          <w:p w14:paraId="0FEDC638"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16.0</w:t>
            </w:r>
          </w:p>
        </w:tc>
        <w:tc>
          <w:tcPr>
            <w:tcW w:w="723" w:type="dxa"/>
          </w:tcPr>
          <w:p w14:paraId="2FDA1A34"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07" w:type="dxa"/>
          </w:tcPr>
          <w:p w14:paraId="5D2BF7C8"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08" w:type="dxa"/>
          </w:tcPr>
          <w:p w14:paraId="7ACDAB04"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0C3D2ADE" w14:textId="77777777">
        <w:tc>
          <w:tcPr>
            <w:tcW w:w="1462" w:type="dxa"/>
            <w:vMerge/>
          </w:tcPr>
          <w:p w14:paraId="47CF6183" w14:textId="77777777" w:rsidR="002F1621" w:rsidRDefault="002F1621">
            <w:pPr>
              <w:spacing w:line="480" w:lineRule="auto"/>
              <w:rPr>
                <w:rFonts w:ascii="Arial" w:eastAsiaTheme="minorHAnsi" w:hAnsi="Arial" w:cs="Arial"/>
                <w:sz w:val="20"/>
                <w:szCs w:val="20"/>
                <w:lang w:val="en-GB"/>
              </w:rPr>
            </w:pPr>
          </w:p>
        </w:tc>
        <w:tc>
          <w:tcPr>
            <w:tcW w:w="1662" w:type="dxa"/>
            <w:vMerge/>
          </w:tcPr>
          <w:p w14:paraId="79DCA6F8" w14:textId="77777777" w:rsidR="002F1621" w:rsidRDefault="002F1621">
            <w:pPr>
              <w:spacing w:line="480" w:lineRule="auto"/>
              <w:rPr>
                <w:rFonts w:ascii="Arial" w:eastAsiaTheme="minorHAnsi" w:hAnsi="Arial" w:cs="Arial"/>
                <w:sz w:val="20"/>
                <w:szCs w:val="20"/>
                <w:lang w:val="en-GB"/>
              </w:rPr>
            </w:pPr>
          </w:p>
        </w:tc>
        <w:tc>
          <w:tcPr>
            <w:tcW w:w="961" w:type="dxa"/>
          </w:tcPr>
          <w:p w14:paraId="20FE63C5"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30-60</w:t>
            </w:r>
          </w:p>
        </w:tc>
        <w:tc>
          <w:tcPr>
            <w:tcW w:w="759" w:type="dxa"/>
          </w:tcPr>
          <w:p w14:paraId="5A4630CA"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19" w:type="dxa"/>
          </w:tcPr>
          <w:p w14:paraId="51CAA660"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23" w:type="dxa"/>
          </w:tcPr>
          <w:p w14:paraId="665D876A"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23" w:type="dxa"/>
          </w:tcPr>
          <w:p w14:paraId="2D20E5D8"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07" w:type="dxa"/>
          </w:tcPr>
          <w:p w14:paraId="621E5E5E"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1.50</w:t>
            </w:r>
          </w:p>
        </w:tc>
        <w:tc>
          <w:tcPr>
            <w:tcW w:w="708" w:type="dxa"/>
          </w:tcPr>
          <w:p w14:paraId="42172041"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3E68FAE5" w14:textId="77777777">
        <w:tc>
          <w:tcPr>
            <w:tcW w:w="1462" w:type="dxa"/>
            <w:vMerge w:val="restart"/>
          </w:tcPr>
          <w:p w14:paraId="21A2448B"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Fla/</w:t>
            </w:r>
            <w:proofErr w:type="spellStart"/>
            <w:r>
              <w:rPr>
                <w:rFonts w:ascii="Arial" w:eastAsia="STIX" w:hAnsi="Arial" w:cs="Arial"/>
                <w:sz w:val="20"/>
                <w:szCs w:val="20"/>
                <w:lang w:val="en-GB" w:eastAsia="zh-CN"/>
              </w:rPr>
              <w:t>Pyr</w:t>
            </w:r>
            <w:proofErr w:type="spellEnd"/>
          </w:p>
          <w:p w14:paraId="692C3D51" w14:textId="77777777" w:rsidR="002F1621" w:rsidRDefault="002F1621">
            <w:pPr>
              <w:spacing w:line="480" w:lineRule="auto"/>
              <w:rPr>
                <w:rFonts w:ascii="Arial" w:eastAsiaTheme="minorHAnsi" w:hAnsi="Arial" w:cs="Arial"/>
                <w:sz w:val="20"/>
                <w:szCs w:val="20"/>
                <w:lang w:val="en-GB"/>
              </w:rPr>
            </w:pPr>
          </w:p>
        </w:tc>
        <w:tc>
          <w:tcPr>
            <w:tcW w:w="1662" w:type="dxa"/>
            <w:vMerge w:val="restart"/>
          </w:tcPr>
          <w:p w14:paraId="61394ECD"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&gt;1=pyrogenic</w:t>
            </w:r>
          </w:p>
          <w:p w14:paraId="6E90EA68"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&lt;1=petrogenic</w:t>
            </w:r>
          </w:p>
          <w:p w14:paraId="487D931D" w14:textId="77777777" w:rsidR="002F1621" w:rsidRDefault="002F1621">
            <w:pPr>
              <w:spacing w:line="480" w:lineRule="auto"/>
              <w:rPr>
                <w:rFonts w:ascii="Arial" w:eastAsiaTheme="minorHAnsi" w:hAnsi="Arial" w:cs="Arial"/>
                <w:sz w:val="20"/>
                <w:szCs w:val="20"/>
                <w:lang w:val="en-GB"/>
              </w:rPr>
            </w:pPr>
          </w:p>
        </w:tc>
        <w:tc>
          <w:tcPr>
            <w:tcW w:w="961" w:type="dxa"/>
          </w:tcPr>
          <w:p w14:paraId="148198C7"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 xml:space="preserve">0-15 </w:t>
            </w:r>
          </w:p>
        </w:tc>
        <w:tc>
          <w:tcPr>
            <w:tcW w:w="759" w:type="dxa"/>
          </w:tcPr>
          <w:p w14:paraId="4ACECA95"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1.00</w:t>
            </w:r>
          </w:p>
        </w:tc>
        <w:tc>
          <w:tcPr>
            <w:tcW w:w="719" w:type="dxa"/>
          </w:tcPr>
          <w:p w14:paraId="7A3E8A1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1.00</w:t>
            </w:r>
          </w:p>
        </w:tc>
        <w:tc>
          <w:tcPr>
            <w:tcW w:w="723" w:type="dxa"/>
          </w:tcPr>
          <w:p w14:paraId="4C45B8DA"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23" w:type="dxa"/>
          </w:tcPr>
          <w:p w14:paraId="29D16B1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1.00</w:t>
            </w:r>
          </w:p>
        </w:tc>
        <w:tc>
          <w:tcPr>
            <w:tcW w:w="707" w:type="dxa"/>
          </w:tcPr>
          <w:p w14:paraId="62075BA0"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08" w:type="dxa"/>
          </w:tcPr>
          <w:p w14:paraId="4F530162"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76E1D43A" w14:textId="77777777">
        <w:tc>
          <w:tcPr>
            <w:tcW w:w="1462" w:type="dxa"/>
            <w:vMerge/>
          </w:tcPr>
          <w:p w14:paraId="5C6E0B6A" w14:textId="77777777" w:rsidR="002F1621" w:rsidRDefault="002F1621">
            <w:pPr>
              <w:spacing w:line="480" w:lineRule="auto"/>
              <w:rPr>
                <w:rFonts w:ascii="Arial" w:eastAsiaTheme="minorHAnsi" w:hAnsi="Arial" w:cs="Arial"/>
                <w:sz w:val="20"/>
                <w:szCs w:val="20"/>
                <w:lang w:val="en-GB"/>
              </w:rPr>
            </w:pPr>
          </w:p>
        </w:tc>
        <w:tc>
          <w:tcPr>
            <w:tcW w:w="1662" w:type="dxa"/>
            <w:vMerge/>
          </w:tcPr>
          <w:p w14:paraId="04B8D4C0" w14:textId="77777777" w:rsidR="002F1621" w:rsidRDefault="002F1621">
            <w:pPr>
              <w:spacing w:line="480" w:lineRule="auto"/>
              <w:rPr>
                <w:rFonts w:ascii="Arial" w:eastAsiaTheme="minorHAnsi" w:hAnsi="Arial" w:cs="Arial"/>
                <w:sz w:val="20"/>
                <w:szCs w:val="20"/>
                <w:lang w:val="en-GB"/>
              </w:rPr>
            </w:pPr>
          </w:p>
        </w:tc>
        <w:tc>
          <w:tcPr>
            <w:tcW w:w="961" w:type="dxa"/>
          </w:tcPr>
          <w:p w14:paraId="41C68B2A"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15-30</w:t>
            </w:r>
          </w:p>
        </w:tc>
        <w:tc>
          <w:tcPr>
            <w:tcW w:w="759" w:type="dxa"/>
          </w:tcPr>
          <w:p w14:paraId="78D593A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2.00</w:t>
            </w:r>
          </w:p>
        </w:tc>
        <w:tc>
          <w:tcPr>
            <w:tcW w:w="719" w:type="dxa"/>
          </w:tcPr>
          <w:p w14:paraId="348FA114"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23" w:type="dxa"/>
          </w:tcPr>
          <w:p w14:paraId="05234387"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2.00</w:t>
            </w:r>
          </w:p>
        </w:tc>
        <w:tc>
          <w:tcPr>
            <w:tcW w:w="723" w:type="dxa"/>
          </w:tcPr>
          <w:p w14:paraId="34E23B8E"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07" w:type="dxa"/>
          </w:tcPr>
          <w:p w14:paraId="66138230"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1.00</w:t>
            </w:r>
          </w:p>
        </w:tc>
        <w:tc>
          <w:tcPr>
            <w:tcW w:w="708" w:type="dxa"/>
          </w:tcPr>
          <w:p w14:paraId="15764FD8"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488380F1" w14:textId="77777777">
        <w:tc>
          <w:tcPr>
            <w:tcW w:w="1462" w:type="dxa"/>
            <w:vMerge/>
          </w:tcPr>
          <w:p w14:paraId="5097AF34" w14:textId="77777777" w:rsidR="002F1621" w:rsidRDefault="002F1621">
            <w:pPr>
              <w:spacing w:line="480" w:lineRule="auto"/>
              <w:rPr>
                <w:rFonts w:ascii="Arial" w:eastAsiaTheme="minorHAnsi" w:hAnsi="Arial" w:cs="Arial"/>
                <w:sz w:val="20"/>
                <w:szCs w:val="20"/>
                <w:lang w:val="en-GB"/>
              </w:rPr>
            </w:pPr>
          </w:p>
        </w:tc>
        <w:tc>
          <w:tcPr>
            <w:tcW w:w="1662" w:type="dxa"/>
            <w:vMerge/>
          </w:tcPr>
          <w:p w14:paraId="66293ABA" w14:textId="77777777" w:rsidR="002F1621" w:rsidRDefault="002F1621">
            <w:pPr>
              <w:spacing w:line="480" w:lineRule="auto"/>
              <w:rPr>
                <w:rFonts w:ascii="Arial" w:eastAsiaTheme="minorHAnsi" w:hAnsi="Arial" w:cs="Arial"/>
                <w:sz w:val="20"/>
                <w:szCs w:val="20"/>
                <w:lang w:val="en-GB"/>
              </w:rPr>
            </w:pPr>
          </w:p>
        </w:tc>
        <w:tc>
          <w:tcPr>
            <w:tcW w:w="961" w:type="dxa"/>
          </w:tcPr>
          <w:p w14:paraId="56BECD6E"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30-60</w:t>
            </w:r>
          </w:p>
        </w:tc>
        <w:tc>
          <w:tcPr>
            <w:tcW w:w="759" w:type="dxa"/>
          </w:tcPr>
          <w:p w14:paraId="70DBE952"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19" w:type="dxa"/>
          </w:tcPr>
          <w:p w14:paraId="3F92F25D"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23" w:type="dxa"/>
          </w:tcPr>
          <w:p w14:paraId="0368B221"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23" w:type="dxa"/>
          </w:tcPr>
          <w:p w14:paraId="62865562"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07" w:type="dxa"/>
          </w:tcPr>
          <w:p w14:paraId="56866FA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1.00</w:t>
            </w:r>
          </w:p>
        </w:tc>
        <w:tc>
          <w:tcPr>
            <w:tcW w:w="708" w:type="dxa"/>
          </w:tcPr>
          <w:p w14:paraId="7E7779AB"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09B3DDB9" w14:textId="77777777">
        <w:tc>
          <w:tcPr>
            <w:tcW w:w="1462" w:type="dxa"/>
            <w:vMerge w:val="restart"/>
          </w:tcPr>
          <w:p w14:paraId="77F68613"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Ant/</w:t>
            </w:r>
            <w:proofErr w:type="spellStart"/>
            <w:r>
              <w:rPr>
                <w:rFonts w:ascii="Arial" w:eastAsia="STIX" w:hAnsi="Arial" w:cs="Arial"/>
                <w:sz w:val="20"/>
                <w:szCs w:val="20"/>
                <w:lang w:val="en-GB" w:eastAsia="zh-CN"/>
              </w:rPr>
              <w:t>Ant+Phen</w:t>
            </w:r>
            <w:proofErr w:type="spellEnd"/>
          </w:p>
          <w:p w14:paraId="47826FA7" w14:textId="77777777" w:rsidR="002F1621" w:rsidRDefault="002F1621">
            <w:pPr>
              <w:spacing w:line="480" w:lineRule="auto"/>
              <w:rPr>
                <w:rFonts w:ascii="Arial" w:eastAsiaTheme="minorHAnsi" w:hAnsi="Arial" w:cs="Arial"/>
                <w:sz w:val="20"/>
                <w:szCs w:val="20"/>
                <w:lang w:val="en-GB"/>
              </w:rPr>
            </w:pPr>
          </w:p>
        </w:tc>
        <w:tc>
          <w:tcPr>
            <w:tcW w:w="1662" w:type="dxa"/>
            <w:vMerge w:val="restart"/>
          </w:tcPr>
          <w:p w14:paraId="7202311B"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 xml:space="preserve">&lt;0.1=petrogenic </w:t>
            </w:r>
          </w:p>
          <w:p w14:paraId="5922D809" w14:textId="77777777" w:rsidR="002F1621" w:rsidRDefault="000C28D5">
            <w:pPr>
              <w:spacing w:line="480" w:lineRule="auto"/>
              <w:rPr>
                <w:rFonts w:ascii="Arial" w:hAnsi="Arial" w:cs="Arial"/>
                <w:sz w:val="20"/>
                <w:szCs w:val="20"/>
                <w:lang w:val="en-GB"/>
              </w:rPr>
            </w:pPr>
            <w:r>
              <w:rPr>
                <w:rFonts w:ascii="Arial" w:eastAsia="STIX" w:hAnsi="Arial" w:cs="Arial"/>
                <w:sz w:val="20"/>
                <w:szCs w:val="20"/>
                <w:lang w:val="en-GB" w:eastAsia="zh-CN"/>
              </w:rPr>
              <w:t>&gt;0.1=pyrogenic</w:t>
            </w:r>
          </w:p>
          <w:p w14:paraId="28C6BB98" w14:textId="77777777" w:rsidR="002F1621" w:rsidRDefault="002F1621">
            <w:pPr>
              <w:spacing w:line="480" w:lineRule="auto"/>
              <w:rPr>
                <w:rFonts w:ascii="Arial" w:eastAsiaTheme="minorHAnsi" w:hAnsi="Arial" w:cs="Arial"/>
                <w:sz w:val="20"/>
                <w:szCs w:val="20"/>
                <w:lang w:val="en-GB"/>
              </w:rPr>
            </w:pPr>
          </w:p>
        </w:tc>
        <w:tc>
          <w:tcPr>
            <w:tcW w:w="961" w:type="dxa"/>
          </w:tcPr>
          <w:p w14:paraId="6B178664"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 xml:space="preserve">0-15 </w:t>
            </w:r>
          </w:p>
        </w:tc>
        <w:tc>
          <w:tcPr>
            <w:tcW w:w="759" w:type="dxa"/>
          </w:tcPr>
          <w:p w14:paraId="008B91C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0.50</w:t>
            </w:r>
          </w:p>
        </w:tc>
        <w:tc>
          <w:tcPr>
            <w:tcW w:w="719" w:type="dxa"/>
          </w:tcPr>
          <w:p w14:paraId="05655FD6"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0.74</w:t>
            </w:r>
          </w:p>
        </w:tc>
        <w:tc>
          <w:tcPr>
            <w:tcW w:w="0" w:type="auto"/>
          </w:tcPr>
          <w:p w14:paraId="1D1A399C"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0.26</w:t>
            </w:r>
          </w:p>
        </w:tc>
        <w:tc>
          <w:tcPr>
            <w:tcW w:w="0" w:type="auto"/>
          </w:tcPr>
          <w:p w14:paraId="1220E2BC"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0.43</w:t>
            </w:r>
          </w:p>
        </w:tc>
        <w:tc>
          <w:tcPr>
            <w:tcW w:w="0" w:type="auto"/>
          </w:tcPr>
          <w:p w14:paraId="12A6FE4F"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0" w:type="auto"/>
          </w:tcPr>
          <w:p w14:paraId="2B76DAC7"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08516CF1" w14:textId="77777777">
        <w:tc>
          <w:tcPr>
            <w:tcW w:w="1462" w:type="dxa"/>
            <w:vMerge/>
          </w:tcPr>
          <w:p w14:paraId="544DC0BC" w14:textId="77777777" w:rsidR="002F1621" w:rsidRDefault="002F1621">
            <w:pPr>
              <w:spacing w:line="480" w:lineRule="auto"/>
              <w:rPr>
                <w:rFonts w:ascii="Arial" w:eastAsiaTheme="minorHAnsi" w:hAnsi="Arial" w:cs="Arial"/>
                <w:sz w:val="20"/>
                <w:szCs w:val="20"/>
                <w:lang w:val="en-GB"/>
              </w:rPr>
            </w:pPr>
          </w:p>
        </w:tc>
        <w:tc>
          <w:tcPr>
            <w:tcW w:w="1662" w:type="dxa"/>
            <w:vMerge/>
          </w:tcPr>
          <w:p w14:paraId="45E7C92C" w14:textId="77777777" w:rsidR="002F1621" w:rsidRDefault="002F1621">
            <w:pPr>
              <w:spacing w:line="480" w:lineRule="auto"/>
              <w:rPr>
                <w:rFonts w:ascii="Arial" w:eastAsiaTheme="minorHAnsi" w:hAnsi="Arial" w:cs="Arial"/>
                <w:sz w:val="20"/>
                <w:szCs w:val="20"/>
                <w:lang w:val="en-GB"/>
              </w:rPr>
            </w:pPr>
          </w:p>
        </w:tc>
        <w:tc>
          <w:tcPr>
            <w:tcW w:w="961" w:type="dxa"/>
          </w:tcPr>
          <w:p w14:paraId="681D691C"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15-30</w:t>
            </w:r>
          </w:p>
        </w:tc>
        <w:tc>
          <w:tcPr>
            <w:tcW w:w="759" w:type="dxa"/>
          </w:tcPr>
          <w:p w14:paraId="4B5645FE"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0.40</w:t>
            </w:r>
          </w:p>
        </w:tc>
        <w:tc>
          <w:tcPr>
            <w:tcW w:w="719" w:type="dxa"/>
          </w:tcPr>
          <w:p w14:paraId="47C7ED8D"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0" w:type="auto"/>
          </w:tcPr>
          <w:p w14:paraId="5BF1109D"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0.06</w:t>
            </w:r>
          </w:p>
        </w:tc>
        <w:tc>
          <w:tcPr>
            <w:tcW w:w="0" w:type="auto"/>
          </w:tcPr>
          <w:p w14:paraId="4A17416F"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0.50</w:t>
            </w:r>
          </w:p>
        </w:tc>
        <w:tc>
          <w:tcPr>
            <w:tcW w:w="0" w:type="auto"/>
          </w:tcPr>
          <w:p w14:paraId="79361676"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0" w:type="auto"/>
          </w:tcPr>
          <w:p w14:paraId="2B08B696"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r w:rsidR="002F1621" w14:paraId="7CFF1929" w14:textId="77777777">
        <w:tc>
          <w:tcPr>
            <w:tcW w:w="1462" w:type="dxa"/>
            <w:vMerge/>
          </w:tcPr>
          <w:p w14:paraId="36CD01DD" w14:textId="77777777" w:rsidR="002F1621" w:rsidRDefault="002F1621">
            <w:pPr>
              <w:spacing w:line="480" w:lineRule="auto"/>
              <w:rPr>
                <w:rFonts w:ascii="Arial" w:eastAsiaTheme="minorHAnsi" w:hAnsi="Arial" w:cs="Arial"/>
                <w:sz w:val="20"/>
                <w:szCs w:val="20"/>
                <w:lang w:val="en-GB"/>
              </w:rPr>
            </w:pPr>
          </w:p>
        </w:tc>
        <w:tc>
          <w:tcPr>
            <w:tcW w:w="1662" w:type="dxa"/>
            <w:vMerge/>
          </w:tcPr>
          <w:p w14:paraId="71CD4A7B" w14:textId="77777777" w:rsidR="002F1621" w:rsidRDefault="002F1621">
            <w:pPr>
              <w:spacing w:line="480" w:lineRule="auto"/>
              <w:rPr>
                <w:rFonts w:ascii="Arial" w:eastAsiaTheme="minorHAnsi" w:hAnsi="Arial" w:cs="Arial"/>
                <w:sz w:val="20"/>
                <w:szCs w:val="20"/>
                <w:lang w:val="en-GB"/>
              </w:rPr>
            </w:pPr>
          </w:p>
        </w:tc>
        <w:tc>
          <w:tcPr>
            <w:tcW w:w="961" w:type="dxa"/>
          </w:tcPr>
          <w:p w14:paraId="6BAF50A9"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30-60</w:t>
            </w:r>
          </w:p>
        </w:tc>
        <w:tc>
          <w:tcPr>
            <w:tcW w:w="759" w:type="dxa"/>
          </w:tcPr>
          <w:p w14:paraId="3FB64686"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719" w:type="dxa"/>
          </w:tcPr>
          <w:p w14:paraId="4EBC6882"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0" w:type="auto"/>
          </w:tcPr>
          <w:p w14:paraId="2D02174C"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0" w:type="auto"/>
          </w:tcPr>
          <w:p w14:paraId="444490CE"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c>
          <w:tcPr>
            <w:tcW w:w="0" w:type="auto"/>
          </w:tcPr>
          <w:p w14:paraId="157412A5" w14:textId="77777777" w:rsidR="002F1621" w:rsidRDefault="000C28D5">
            <w:pPr>
              <w:spacing w:line="480" w:lineRule="auto"/>
              <w:rPr>
                <w:rFonts w:ascii="Arial" w:eastAsiaTheme="minorHAnsi" w:hAnsi="Arial" w:cs="Arial"/>
                <w:sz w:val="20"/>
                <w:szCs w:val="20"/>
                <w:lang w:val="en-GB"/>
              </w:rPr>
            </w:pPr>
            <w:r>
              <w:rPr>
                <w:rFonts w:ascii="Arial" w:eastAsiaTheme="minorHAnsi" w:hAnsi="Arial" w:cs="Arial"/>
                <w:sz w:val="20"/>
                <w:szCs w:val="20"/>
                <w:lang w:val="en-GB"/>
              </w:rPr>
              <w:t>0.40</w:t>
            </w:r>
          </w:p>
        </w:tc>
        <w:tc>
          <w:tcPr>
            <w:tcW w:w="0" w:type="auto"/>
          </w:tcPr>
          <w:p w14:paraId="20FBF552" w14:textId="77777777" w:rsidR="002F1621" w:rsidRDefault="000C28D5">
            <w:pPr>
              <w:spacing w:line="480" w:lineRule="auto"/>
              <w:rPr>
                <w:rFonts w:ascii="Arial" w:eastAsiaTheme="minorHAnsi" w:hAnsi="Arial" w:cs="Arial"/>
                <w:sz w:val="20"/>
                <w:szCs w:val="20"/>
              </w:rPr>
            </w:pPr>
            <w:r>
              <w:rPr>
                <w:rFonts w:ascii="Arial" w:eastAsiaTheme="minorHAnsi" w:hAnsi="Arial" w:cs="Arial"/>
                <w:sz w:val="20"/>
                <w:szCs w:val="20"/>
              </w:rPr>
              <w:t>-</w:t>
            </w:r>
          </w:p>
        </w:tc>
      </w:tr>
    </w:tbl>
    <w:p w14:paraId="617539F2" w14:textId="77777777" w:rsidR="002F1621" w:rsidRDefault="002F1621">
      <w:pPr>
        <w:rPr>
          <w:rFonts w:ascii="Arial" w:hAnsi="Arial" w:cs="Arial"/>
        </w:rPr>
      </w:pPr>
    </w:p>
    <w:p w14:paraId="693CE316" w14:textId="77777777" w:rsidR="002F1621" w:rsidRDefault="002F1621">
      <w:pPr>
        <w:pStyle w:val="Body"/>
        <w:spacing w:after="0"/>
        <w:rPr>
          <w:rFonts w:ascii="Arial" w:hAnsi="Arial" w:cs="Arial"/>
        </w:rPr>
      </w:pPr>
    </w:p>
    <w:p w14:paraId="5FE0AB97" w14:textId="77777777" w:rsidR="002F1621" w:rsidRDefault="000C28D5">
      <w:pPr>
        <w:rPr>
          <w:rFonts w:ascii="Arial" w:hAnsi="Arial" w:cs="Arial"/>
          <w:b/>
          <w:bCs/>
        </w:rPr>
      </w:pPr>
      <w:r>
        <w:rPr>
          <w:rFonts w:ascii="Arial" w:hAnsi="Arial" w:cs="Arial"/>
          <w:b/>
          <w:bCs/>
          <w:sz w:val="22"/>
          <w:szCs w:val="22"/>
        </w:rPr>
        <w:t>3.5</w:t>
      </w:r>
      <w:r>
        <w:rPr>
          <w:rFonts w:ascii="Arial" w:hAnsi="Arial" w:cs="Arial"/>
          <w:b/>
          <w:bCs/>
          <w:sz w:val="22"/>
          <w:szCs w:val="22"/>
        </w:rPr>
        <w:tab/>
        <w:t>Health risk assessment</w:t>
      </w:r>
    </w:p>
    <w:p w14:paraId="4923AF93" w14:textId="77777777" w:rsidR="002F1621" w:rsidRDefault="000C28D5">
      <w:pPr>
        <w:rPr>
          <w:rFonts w:ascii="Arial" w:hAnsi="Arial" w:cs="Arial"/>
          <w:b/>
          <w:bCs/>
          <w:i/>
          <w:iCs/>
        </w:rPr>
      </w:pPr>
      <w:r>
        <w:rPr>
          <w:rFonts w:ascii="Arial" w:hAnsi="Arial" w:cs="Arial"/>
          <w:b/>
          <w:bCs/>
          <w:i/>
          <w:iCs/>
        </w:rPr>
        <w:t>3.5.1</w:t>
      </w:r>
      <w:r>
        <w:rPr>
          <w:rFonts w:ascii="Arial" w:hAnsi="Arial" w:cs="Arial"/>
          <w:b/>
          <w:bCs/>
          <w:i/>
          <w:iCs/>
        </w:rPr>
        <w:tab/>
        <w:t>Toxic equivalency of PAHs in soils from urban mechanic workshops</w:t>
      </w:r>
    </w:p>
    <w:p w14:paraId="79136D92" w14:textId="77777777" w:rsidR="002F1621" w:rsidRDefault="000C28D5">
      <w:pPr>
        <w:jc w:val="both"/>
        <w:rPr>
          <w:rFonts w:ascii="Arial" w:hAnsi="Arial" w:cs="Arial"/>
        </w:rPr>
      </w:pPr>
      <w:r>
        <w:rPr>
          <w:rFonts w:ascii="Arial" w:hAnsi="Arial" w:cs="Arial"/>
        </w:rPr>
        <w:t xml:space="preserve">The calculated </w:t>
      </w:r>
      <w:proofErr w:type="spellStart"/>
      <w:r>
        <w:rPr>
          <w:rFonts w:ascii="Arial" w:hAnsi="Arial" w:cs="Arial"/>
        </w:rPr>
        <w:t>BaP</w:t>
      </w:r>
      <w:proofErr w:type="spellEnd"/>
      <w:r>
        <w:rPr>
          <w:rFonts w:ascii="Arial" w:hAnsi="Arial" w:cs="Arial"/>
        </w:rPr>
        <w:t xml:space="preserve">-TEQ values across surface soils in the studied areas are presented in Table 2. The </w:t>
      </w:r>
      <w:proofErr w:type="spellStart"/>
      <w:r>
        <w:rPr>
          <w:rFonts w:ascii="Arial" w:hAnsi="Arial" w:cs="Arial"/>
        </w:rPr>
        <w:t>BaP</w:t>
      </w:r>
      <w:proofErr w:type="spellEnd"/>
      <w:r>
        <w:rPr>
          <w:rFonts w:ascii="Arial" w:hAnsi="Arial" w:cs="Arial"/>
        </w:rPr>
        <w:t xml:space="preserve">-TEQ concentrations ranged from 19.5 to 65.9 µg/kg, with </w:t>
      </w:r>
      <w:proofErr w:type="spellStart"/>
      <w:r>
        <w:rPr>
          <w:rFonts w:ascii="Arial" w:hAnsi="Arial" w:cs="Arial"/>
        </w:rPr>
        <w:t>IcdP</w:t>
      </w:r>
      <w:proofErr w:type="spellEnd"/>
      <w:r>
        <w:rPr>
          <w:rFonts w:ascii="Arial" w:hAnsi="Arial" w:cs="Arial"/>
        </w:rPr>
        <w:t xml:space="preserve"> contributing the most to overall </w:t>
      </w:r>
      <w:proofErr w:type="gramStart"/>
      <w:r>
        <w:rPr>
          <w:rFonts w:ascii="Arial" w:hAnsi="Arial" w:cs="Arial"/>
        </w:rPr>
        <w:t>toxicity,  and</w:t>
      </w:r>
      <w:proofErr w:type="gramEnd"/>
      <w:r>
        <w:rPr>
          <w:rFonts w:ascii="Arial" w:hAnsi="Arial" w:cs="Arial"/>
        </w:rPr>
        <w:t xml:space="preserve"> it accounted for 67.6 to 85.2% of the total </w:t>
      </w:r>
      <w:proofErr w:type="spellStart"/>
      <w:r>
        <w:rPr>
          <w:rFonts w:ascii="Arial" w:hAnsi="Arial" w:cs="Arial"/>
        </w:rPr>
        <w:t>BaP</w:t>
      </w:r>
      <w:proofErr w:type="spellEnd"/>
      <w:r>
        <w:rPr>
          <w:rFonts w:ascii="Arial" w:hAnsi="Arial" w:cs="Arial"/>
        </w:rPr>
        <w:t xml:space="preserve">-TEQ. This was closely followed by </w:t>
      </w:r>
      <w:proofErr w:type="spellStart"/>
      <w:r>
        <w:rPr>
          <w:rFonts w:ascii="Arial" w:hAnsi="Arial" w:cs="Arial"/>
        </w:rPr>
        <w:t>BghiP</w:t>
      </w:r>
      <w:proofErr w:type="spellEnd"/>
      <w:r>
        <w:rPr>
          <w:rFonts w:ascii="Arial" w:hAnsi="Arial" w:cs="Arial"/>
        </w:rPr>
        <w:t xml:space="preserve">, which accounted for 9.1 to 30.2% of the total </w:t>
      </w:r>
      <w:proofErr w:type="spellStart"/>
      <w:r>
        <w:rPr>
          <w:rFonts w:ascii="Arial" w:hAnsi="Arial" w:cs="Arial"/>
        </w:rPr>
        <w:t>BaP</w:t>
      </w:r>
      <w:proofErr w:type="spellEnd"/>
      <w:r>
        <w:rPr>
          <w:rFonts w:ascii="Arial" w:hAnsi="Arial" w:cs="Arial"/>
        </w:rPr>
        <w:t xml:space="preserve">-TEQ. </w:t>
      </w:r>
    </w:p>
    <w:p w14:paraId="795F6BB4" w14:textId="77777777" w:rsidR="002F1621" w:rsidRDefault="002F1621">
      <w:pPr>
        <w:jc w:val="both"/>
        <w:rPr>
          <w:rFonts w:ascii="Arial" w:hAnsi="Arial" w:cs="Arial"/>
        </w:rPr>
      </w:pPr>
    </w:p>
    <w:p w14:paraId="5CB3C75C" w14:textId="77777777" w:rsidR="002F1621" w:rsidRDefault="000C28D5">
      <w:pPr>
        <w:rPr>
          <w:rFonts w:ascii="Arial" w:hAnsi="Arial" w:cs="Arial"/>
        </w:rPr>
      </w:pPr>
      <w:r>
        <w:rPr>
          <w:rFonts w:ascii="Arial" w:hAnsi="Arial" w:cs="Arial"/>
          <w:b/>
          <w:bCs/>
          <w:i/>
          <w:iCs/>
        </w:rPr>
        <w:t>3.5.2</w:t>
      </w:r>
      <w:r>
        <w:rPr>
          <w:rFonts w:ascii="Arial" w:hAnsi="Arial" w:cs="Arial"/>
          <w:b/>
          <w:bCs/>
          <w:i/>
          <w:iCs/>
        </w:rPr>
        <w:tab/>
        <w:t xml:space="preserve">Total cancer risk (TCR) of PAHs in </w:t>
      </w:r>
      <w:proofErr w:type="spellStart"/>
      <w:r>
        <w:rPr>
          <w:rFonts w:ascii="Arial" w:hAnsi="Arial" w:cs="Arial"/>
          <w:b/>
          <w:bCs/>
          <w:i/>
          <w:iCs/>
        </w:rPr>
        <w:t>ARWc</w:t>
      </w:r>
      <w:proofErr w:type="spellEnd"/>
      <w:r>
        <w:rPr>
          <w:rFonts w:ascii="Arial" w:hAnsi="Arial" w:cs="Arial"/>
          <w:b/>
          <w:bCs/>
          <w:i/>
          <w:iCs/>
        </w:rPr>
        <w:t xml:space="preserve"> soils </w:t>
      </w:r>
    </w:p>
    <w:p w14:paraId="77F3EEB5" w14:textId="77777777" w:rsidR="002F1621" w:rsidRDefault="000C28D5">
      <w:pPr>
        <w:jc w:val="both"/>
        <w:rPr>
          <w:rFonts w:ascii="Arial" w:hAnsi="Arial" w:cs="Arial"/>
        </w:rPr>
      </w:pPr>
      <w:r>
        <w:rPr>
          <w:rFonts w:ascii="Arial" w:hAnsi="Arial" w:cs="Arial"/>
        </w:rPr>
        <w:t>The estimated TCR values for ingestion, inhalation, and dermal exposure routes are presented in Table 3. Cancer risk values ranged from 1.0×10</w:t>
      </w:r>
      <w:r>
        <w:rPr>
          <w:rFonts w:ascii="Arial" w:hAnsi="Arial" w:cs="Arial"/>
          <w:vertAlign w:val="superscript"/>
        </w:rPr>
        <w:t>-7</w:t>
      </w:r>
      <w:r>
        <w:rPr>
          <w:rFonts w:ascii="Arial" w:hAnsi="Arial" w:cs="Arial"/>
        </w:rPr>
        <w:t xml:space="preserve"> to 3.4×10</w:t>
      </w:r>
      <w:r>
        <w:rPr>
          <w:rFonts w:ascii="Arial" w:hAnsi="Arial" w:cs="Arial"/>
          <w:vertAlign w:val="superscript"/>
        </w:rPr>
        <w:t>-7</w:t>
      </w:r>
      <w:r>
        <w:rPr>
          <w:rFonts w:ascii="Arial" w:hAnsi="Arial" w:cs="Arial"/>
        </w:rPr>
        <w:t xml:space="preserve"> for ingestion exposure, 1.4×10</w:t>
      </w:r>
      <w:r>
        <w:rPr>
          <w:rFonts w:ascii="Arial" w:hAnsi="Arial" w:cs="Arial"/>
          <w:vertAlign w:val="superscript"/>
        </w:rPr>
        <w:t>-11</w:t>
      </w:r>
      <w:r>
        <w:rPr>
          <w:rFonts w:ascii="Arial" w:hAnsi="Arial" w:cs="Arial"/>
        </w:rPr>
        <w:t xml:space="preserve"> to 5.0×10</w:t>
      </w:r>
      <w:r>
        <w:rPr>
          <w:rFonts w:ascii="Arial" w:hAnsi="Arial" w:cs="Arial"/>
          <w:vertAlign w:val="superscript"/>
        </w:rPr>
        <w:t>-11</w:t>
      </w:r>
      <w:r>
        <w:rPr>
          <w:rFonts w:ascii="Arial" w:hAnsi="Arial" w:cs="Arial"/>
        </w:rPr>
        <w:t xml:space="preserve"> for inhalation exposure, and 8.7×10</w:t>
      </w:r>
      <w:r>
        <w:rPr>
          <w:rFonts w:ascii="Arial" w:hAnsi="Arial" w:cs="Arial"/>
          <w:vertAlign w:val="superscript"/>
        </w:rPr>
        <w:t>-8</w:t>
      </w:r>
      <w:r>
        <w:rPr>
          <w:rFonts w:ascii="Arial" w:hAnsi="Arial" w:cs="Arial"/>
        </w:rPr>
        <w:t xml:space="preserve"> to 2.9×10</w:t>
      </w:r>
      <w:r>
        <w:rPr>
          <w:rFonts w:ascii="Arial" w:hAnsi="Arial" w:cs="Arial"/>
          <w:vertAlign w:val="superscript"/>
        </w:rPr>
        <w:t>-7</w:t>
      </w:r>
      <w:r>
        <w:rPr>
          <w:rFonts w:ascii="Arial" w:hAnsi="Arial" w:cs="Arial"/>
        </w:rPr>
        <w:t xml:space="preserve"> for dermal exposure. The combined total TCR values ranged from 1.8×10</w:t>
      </w:r>
      <w:r>
        <w:rPr>
          <w:rFonts w:ascii="Arial" w:hAnsi="Arial" w:cs="Arial"/>
          <w:vertAlign w:val="superscript"/>
        </w:rPr>
        <w:t>-7</w:t>
      </w:r>
      <w:r>
        <w:rPr>
          <w:rFonts w:ascii="Arial" w:hAnsi="Arial" w:cs="Arial"/>
        </w:rPr>
        <w:t xml:space="preserve"> (BM1) to 6.3×10</w:t>
      </w:r>
      <w:r>
        <w:rPr>
          <w:rFonts w:ascii="Arial" w:hAnsi="Arial" w:cs="Arial"/>
          <w:vertAlign w:val="superscript"/>
        </w:rPr>
        <w:t>-7</w:t>
      </w:r>
      <w:r>
        <w:rPr>
          <w:rFonts w:ascii="Arial" w:hAnsi="Arial" w:cs="Arial"/>
        </w:rPr>
        <w:t xml:space="preserve"> (DW1), with all sites falling well below the USEPA acceptable risk threshold. </w:t>
      </w:r>
    </w:p>
    <w:p w14:paraId="6419913C" w14:textId="77777777" w:rsidR="002F1621" w:rsidRDefault="002F1621">
      <w:pPr>
        <w:jc w:val="both"/>
        <w:rPr>
          <w:rFonts w:ascii="Arial" w:hAnsi="Arial" w:cs="Arial"/>
        </w:rPr>
      </w:pPr>
    </w:p>
    <w:p w14:paraId="43E591D3" w14:textId="77777777" w:rsidR="002F1621" w:rsidRDefault="000C28D5">
      <w:pPr>
        <w:rPr>
          <w:rFonts w:ascii="Arial" w:hAnsi="Arial" w:cs="Arial"/>
          <w:b/>
          <w:bCs/>
        </w:rPr>
      </w:pPr>
      <w:r>
        <w:rPr>
          <w:rFonts w:ascii="Arial" w:hAnsi="Arial" w:cs="Arial"/>
          <w:b/>
          <w:bCs/>
        </w:rPr>
        <w:br w:type="page"/>
      </w:r>
    </w:p>
    <w:p w14:paraId="59181C20" w14:textId="77777777" w:rsidR="002F1621" w:rsidRDefault="000C28D5">
      <w:pPr>
        <w:jc w:val="both"/>
        <w:rPr>
          <w:rFonts w:ascii="Arial" w:hAnsi="Arial" w:cs="Arial"/>
        </w:rPr>
      </w:pPr>
      <w:r>
        <w:rPr>
          <w:rFonts w:ascii="Arial" w:hAnsi="Arial" w:cs="Arial"/>
          <w:b/>
          <w:bCs/>
        </w:rPr>
        <w:lastRenderedPageBreak/>
        <w:t>Table 2. Benzo[a]pyrene toxic equivalency values in ARW soils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919"/>
        <w:gridCol w:w="938"/>
        <w:gridCol w:w="956"/>
        <w:gridCol w:w="1106"/>
        <w:gridCol w:w="881"/>
        <w:gridCol w:w="900"/>
        <w:gridCol w:w="957"/>
      </w:tblGrid>
      <w:tr w:rsidR="002F1621" w14:paraId="46F93E3E" w14:textId="77777777">
        <w:tc>
          <w:tcPr>
            <w:tcW w:w="994" w:type="dxa"/>
            <w:vMerge w:val="restart"/>
          </w:tcPr>
          <w:p w14:paraId="0CFBD49D" w14:textId="77777777" w:rsidR="002F1621" w:rsidRDefault="002F1621">
            <w:pPr>
              <w:spacing w:line="480" w:lineRule="auto"/>
              <w:jc w:val="both"/>
              <w:rPr>
                <w:rFonts w:ascii="Arial" w:hAnsi="Arial" w:cs="Arial"/>
                <w:b/>
                <w:bCs/>
                <w:sz w:val="20"/>
                <w:szCs w:val="20"/>
                <w:lang w:val="en-GB"/>
              </w:rPr>
            </w:pPr>
          </w:p>
          <w:p w14:paraId="34184E79"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lang w:val="en-GB"/>
              </w:rPr>
              <w:t>PAHs</w:t>
            </w:r>
          </w:p>
        </w:tc>
        <w:tc>
          <w:tcPr>
            <w:tcW w:w="919" w:type="dxa"/>
            <w:vMerge w:val="restart"/>
          </w:tcPr>
          <w:p w14:paraId="23873DB8" w14:textId="77777777" w:rsidR="002F1621" w:rsidRDefault="002F1621">
            <w:pPr>
              <w:spacing w:line="480" w:lineRule="auto"/>
              <w:jc w:val="both"/>
              <w:rPr>
                <w:rFonts w:ascii="Arial" w:hAnsi="Arial" w:cs="Arial"/>
                <w:b/>
                <w:bCs/>
                <w:sz w:val="20"/>
                <w:szCs w:val="20"/>
                <w:lang w:val="en-GB"/>
              </w:rPr>
            </w:pPr>
          </w:p>
          <w:p w14:paraId="16577372"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lang w:val="en-GB"/>
              </w:rPr>
              <w:t>TEF</w:t>
            </w:r>
          </w:p>
        </w:tc>
        <w:tc>
          <w:tcPr>
            <w:tcW w:w="5738" w:type="dxa"/>
            <w:gridSpan w:val="6"/>
            <w:tcBorders>
              <w:bottom w:val="single" w:sz="4" w:space="0" w:color="auto"/>
            </w:tcBorders>
          </w:tcPr>
          <w:p w14:paraId="33F48759" w14:textId="77777777" w:rsidR="002F1621" w:rsidRDefault="000C28D5">
            <w:pPr>
              <w:spacing w:line="480" w:lineRule="auto"/>
              <w:jc w:val="center"/>
              <w:rPr>
                <w:rFonts w:ascii="Arial" w:hAnsi="Arial" w:cs="Arial"/>
                <w:b/>
                <w:bCs/>
                <w:sz w:val="20"/>
                <w:szCs w:val="20"/>
                <w:lang w:val="en-GB"/>
              </w:rPr>
            </w:pPr>
            <w:proofErr w:type="spellStart"/>
            <w:r>
              <w:rPr>
                <w:rFonts w:ascii="Arial" w:hAnsi="Arial" w:cs="Arial"/>
                <w:b/>
                <w:bCs/>
                <w:sz w:val="20"/>
                <w:szCs w:val="20"/>
                <w:lang w:val="en-GB"/>
              </w:rPr>
              <w:t>BaP</w:t>
            </w:r>
            <w:proofErr w:type="spellEnd"/>
            <w:r>
              <w:rPr>
                <w:rFonts w:ascii="Arial" w:hAnsi="Arial" w:cs="Arial"/>
                <w:b/>
                <w:bCs/>
                <w:sz w:val="20"/>
                <w:szCs w:val="20"/>
              </w:rPr>
              <w:t>-TEQ concentration</w:t>
            </w:r>
            <w:r>
              <w:rPr>
                <w:rFonts w:ascii="Arial" w:hAnsi="Arial" w:cs="Arial"/>
                <w:b/>
                <w:bCs/>
                <w:sz w:val="20"/>
                <w:szCs w:val="20"/>
                <w:lang w:val="en-GB"/>
              </w:rPr>
              <w:t xml:space="preserve"> (</w:t>
            </w:r>
            <w:r>
              <w:rPr>
                <w:rFonts w:ascii="Arial" w:eastAsiaTheme="minorHAnsi" w:hAnsi="Arial" w:cs="Arial"/>
                <w:b/>
                <w:bCs/>
                <w:sz w:val="20"/>
                <w:szCs w:val="20"/>
                <w:lang w:val="en-GB"/>
              </w:rPr>
              <w:t>µg/kg</w:t>
            </w:r>
            <w:r>
              <w:rPr>
                <w:rFonts w:ascii="Arial" w:hAnsi="Arial" w:cs="Arial"/>
                <w:b/>
                <w:bCs/>
                <w:sz w:val="20"/>
                <w:szCs w:val="20"/>
                <w:lang w:val="en-GB"/>
              </w:rPr>
              <w:t>)</w:t>
            </w:r>
          </w:p>
        </w:tc>
      </w:tr>
      <w:tr w:rsidR="002F1621" w14:paraId="470A18A7" w14:textId="77777777">
        <w:tc>
          <w:tcPr>
            <w:tcW w:w="994" w:type="dxa"/>
            <w:vMerge/>
            <w:tcBorders>
              <w:bottom w:val="single" w:sz="4" w:space="0" w:color="auto"/>
            </w:tcBorders>
          </w:tcPr>
          <w:p w14:paraId="62D5B35A" w14:textId="77777777" w:rsidR="002F1621" w:rsidRDefault="002F1621">
            <w:pPr>
              <w:spacing w:line="480" w:lineRule="auto"/>
              <w:jc w:val="both"/>
              <w:rPr>
                <w:rFonts w:ascii="Arial" w:hAnsi="Arial" w:cs="Arial"/>
                <w:b/>
                <w:bCs/>
                <w:sz w:val="20"/>
                <w:szCs w:val="20"/>
                <w:lang w:val="en-GB"/>
              </w:rPr>
            </w:pPr>
          </w:p>
        </w:tc>
        <w:tc>
          <w:tcPr>
            <w:tcW w:w="919" w:type="dxa"/>
            <w:vMerge/>
            <w:tcBorders>
              <w:bottom w:val="single" w:sz="4" w:space="0" w:color="auto"/>
            </w:tcBorders>
          </w:tcPr>
          <w:p w14:paraId="3B4E73F0" w14:textId="77777777" w:rsidR="002F1621" w:rsidRDefault="002F1621">
            <w:pPr>
              <w:spacing w:line="480" w:lineRule="auto"/>
              <w:jc w:val="both"/>
              <w:rPr>
                <w:rFonts w:ascii="Arial" w:hAnsi="Arial" w:cs="Arial"/>
                <w:b/>
                <w:bCs/>
                <w:sz w:val="20"/>
                <w:szCs w:val="20"/>
                <w:lang w:val="en-GB"/>
              </w:rPr>
            </w:pPr>
          </w:p>
        </w:tc>
        <w:tc>
          <w:tcPr>
            <w:tcW w:w="938" w:type="dxa"/>
            <w:tcBorders>
              <w:top w:val="single" w:sz="4" w:space="0" w:color="auto"/>
              <w:bottom w:val="single" w:sz="4" w:space="0" w:color="auto"/>
            </w:tcBorders>
          </w:tcPr>
          <w:p w14:paraId="4BC29BC6"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lang w:val="en-GB"/>
              </w:rPr>
              <w:t>B</w:t>
            </w:r>
            <w:r>
              <w:rPr>
                <w:rFonts w:ascii="Arial" w:hAnsi="Arial" w:cs="Arial"/>
                <w:b/>
                <w:bCs/>
                <w:sz w:val="20"/>
                <w:szCs w:val="20"/>
              </w:rPr>
              <w:t>M</w:t>
            </w:r>
            <w:r>
              <w:rPr>
                <w:rFonts w:ascii="Arial" w:hAnsi="Arial" w:cs="Arial"/>
                <w:b/>
                <w:bCs/>
                <w:sz w:val="20"/>
                <w:szCs w:val="20"/>
                <w:lang w:val="en-GB"/>
              </w:rPr>
              <w:t>1</w:t>
            </w:r>
          </w:p>
        </w:tc>
        <w:tc>
          <w:tcPr>
            <w:tcW w:w="956" w:type="dxa"/>
            <w:tcBorders>
              <w:top w:val="single" w:sz="4" w:space="0" w:color="auto"/>
              <w:bottom w:val="single" w:sz="4" w:space="0" w:color="auto"/>
            </w:tcBorders>
          </w:tcPr>
          <w:p w14:paraId="03DECFC1"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lang w:val="en-GB"/>
              </w:rPr>
              <w:t>B</w:t>
            </w:r>
            <w:r>
              <w:rPr>
                <w:rFonts w:ascii="Arial" w:hAnsi="Arial" w:cs="Arial"/>
                <w:b/>
                <w:bCs/>
                <w:sz w:val="20"/>
                <w:szCs w:val="20"/>
              </w:rPr>
              <w:t>M</w:t>
            </w:r>
            <w:r>
              <w:rPr>
                <w:rFonts w:ascii="Arial" w:hAnsi="Arial" w:cs="Arial"/>
                <w:b/>
                <w:bCs/>
                <w:sz w:val="20"/>
                <w:szCs w:val="20"/>
                <w:lang w:val="en-GB"/>
              </w:rPr>
              <w:t>2</w:t>
            </w:r>
          </w:p>
        </w:tc>
        <w:tc>
          <w:tcPr>
            <w:tcW w:w="1106" w:type="dxa"/>
            <w:tcBorders>
              <w:top w:val="single" w:sz="4" w:space="0" w:color="auto"/>
              <w:bottom w:val="single" w:sz="4" w:space="0" w:color="auto"/>
            </w:tcBorders>
          </w:tcPr>
          <w:p w14:paraId="15D4C3E8"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lang w:val="en-GB"/>
              </w:rPr>
              <w:t>DW1</w:t>
            </w:r>
          </w:p>
        </w:tc>
        <w:tc>
          <w:tcPr>
            <w:tcW w:w="881" w:type="dxa"/>
            <w:tcBorders>
              <w:top w:val="single" w:sz="4" w:space="0" w:color="auto"/>
              <w:bottom w:val="single" w:sz="4" w:space="0" w:color="auto"/>
            </w:tcBorders>
          </w:tcPr>
          <w:p w14:paraId="1E6C55E1"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lang w:val="en-GB"/>
              </w:rPr>
              <w:t>DW2</w:t>
            </w:r>
          </w:p>
        </w:tc>
        <w:tc>
          <w:tcPr>
            <w:tcW w:w="900" w:type="dxa"/>
            <w:tcBorders>
              <w:top w:val="single" w:sz="4" w:space="0" w:color="auto"/>
              <w:bottom w:val="single" w:sz="4" w:space="0" w:color="auto"/>
            </w:tcBorders>
          </w:tcPr>
          <w:p w14:paraId="3D274DDD"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rPr>
              <w:t>BU</w:t>
            </w:r>
            <w:r>
              <w:rPr>
                <w:rFonts w:ascii="Arial" w:hAnsi="Arial" w:cs="Arial"/>
                <w:b/>
                <w:bCs/>
                <w:sz w:val="20"/>
                <w:szCs w:val="20"/>
                <w:lang w:val="en-GB"/>
              </w:rPr>
              <w:t>1</w:t>
            </w:r>
          </w:p>
        </w:tc>
        <w:tc>
          <w:tcPr>
            <w:tcW w:w="957" w:type="dxa"/>
            <w:tcBorders>
              <w:top w:val="single" w:sz="4" w:space="0" w:color="auto"/>
              <w:bottom w:val="single" w:sz="4" w:space="0" w:color="auto"/>
            </w:tcBorders>
          </w:tcPr>
          <w:p w14:paraId="27E2E8CF" w14:textId="77777777" w:rsidR="002F1621" w:rsidRDefault="000C28D5">
            <w:pPr>
              <w:spacing w:line="480" w:lineRule="auto"/>
              <w:jc w:val="both"/>
              <w:rPr>
                <w:rFonts w:ascii="Arial" w:hAnsi="Arial" w:cs="Arial"/>
                <w:b/>
                <w:bCs/>
                <w:sz w:val="20"/>
                <w:szCs w:val="20"/>
                <w:lang w:val="en-GB"/>
              </w:rPr>
            </w:pPr>
            <w:r>
              <w:rPr>
                <w:rFonts w:ascii="Arial" w:hAnsi="Arial" w:cs="Arial"/>
                <w:b/>
                <w:bCs/>
                <w:sz w:val="20"/>
                <w:szCs w:val="20"/>
              </w:rPr>
              <w:t>BU</w:t>
            </w:r>
            <w:r>
              <w:rPr>
                <w:rFonts w:ascii="Arial" w:hAnsi="Arial" w:cs="Arial"/>
                <w:b/>
                <w:bCs/>
                <w:sz w:val="20"/>
                <w:szCs w:val="20"/>
                <w:lang w:val="en-GB"/>
              </w:rPr>
              <w:t>2</w:t>
            </w:r>
          </w:p>
        </w:tc>
      </w:tr>
      <w:tr w:rsidR="002F1621" w14:paraId="2F55F948" w14:textId="77777777">
        <w:tc>
          <w:tcPr>
            <w:tcW w:w="994" w:type="dxa"/>
            <w:tcBorders>
              <w:top w:val="single" w:sz="4" w:space="0" w:color="auto"/>
            </w:tcBorders>
          </w:tcPr>
          <w:p w14:paraId="69609522" w14:textId="77777777" w:rsidR="002F1621" w:rsidRDefault="000C28D5">
            <w:pPr>
              <w:spacing w:line="480" w:lineRule="auto"/>
              <w:textAlignment w:val="top"/>
              <w:rPr>
                <w:rFonts w:ascii="Arial" w:hAnsi="Arial" w:cs="Arial"/>
                <w:sz w:val="20"/>
                <w:szCs w:val="20"/>
                <w:lang w:val="en-GB"/>
              </w:rPr>
            </w:pPr>
            <w:r>
              <w:rPr>
                <w:rFonts w:ascii="Arial" w:eastAsia="SimSun" w:hAnsi="Arial" w:cs="Arial"/>
                <w:sz w:val="20"/>
                <w:szCs w:val="20"/>
                <w:lang w:val="en-GB" w:eastAsia="zh-CN"/>
              </w:rPr>
              <w:t>Nap</w:t>
            </w:r>
          </w:p>
        </w:tc>
        <w:tc>
          <w:tcPr>
            <w:tcW w:w="919" w:type="dxa"/>
            <w:tcBorders>
              <w:top w:val="single" w:sz="4" w:space="0" w:color="auto"/>
            </w:tcBorders>
            <w:vAlign w:val="center"/>
          </w:tcPr>
          <w:p w14:paraId="39462AB8"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0.001</w:t>
            </w:r>
          </w:p>
        </w:tc>
        <w:tc>
          <w:tcPr>
            <w:tcW w:w="938" w:type="dxa"/>
            <w:tcBorders>
              <w:top w:val="single" w:sz="4" w:space="0" w:color="auto"/>
            </w:tcBorders>
            <w:vAlign w:val="center"/>
          </w:tcPr>
          <w:p w14:paraId="53E1A7DD"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0.17</w:t>
            </w:r>
          </w:p>
        </w:tc>
        <w:tc>
          <w:tcPr>
            <w:tcW w:w="956" w:type="dxa"/>
            <w:tcBorders>
              <w:top w:val="single" w:sz="4" w:space="0" w:color="auto"/>
            </w:tcBorders>
            <w:vAlign w:val="center"/>
          </w:tcPr>
          <w:p w14:paraId="12F1AD0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w:t>
            </w:r>
          </w:p>
        </w:tc>
        <w:tc>
          <w:tcPr>
            <w:tcW w:w="1106" w:type="dxa"/>
            <w:tcBorders>
              <w:top w:val="single" w:sz="4" w:space="0" w:color="auto"/>
            </w:tcBorders>
            <w:vAlign w:val="center"/>
          </w:tcPr>
          <w:p w14:paraId="5C874339"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c>
          <w:tcPr>
            <w:tcW w:w="881" w:type="dxa"/>
            <w:tcBorders>
              <w:top w:val="single" w:sz="4" w:space="0" w:color="auto"/>
            </w:tcBorders>
            <w:vAlign w:val="center"/>
          </w:tcPr>
          <w:p w14:paraId="4C2ADA91"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0.07</w:t>
            </w:r>
          </w:p>
        </w:tc>
        <w:tc>
          <w:tcPr>
            <w:tcW w:w="900" w:type="dxa"/>
            <w:tcBorders>
              <w:top w:val="single" w:sz="4" w:space="0" w:color="auto"/>
            </w:tcBorders>
            <w:vAlign w:val="center"/>
          </w:tcPr>
          <w:p w14:paraId="230FC5F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0.09</w:t>
            </w:r>
          </w:p>
        </w:tc>
        <w:tc>
          <w:tcPr>
            <w:tcW w:w="957" w:type="dxa"/>
            <w:tcBorders>
              <w:top w:val="single" w:sz="4" w:space="0" w:color="auto"/>
            </w:tcBorders>
            <w:vAlign w:val="center"/>
          </w:tcPr>
          <w:p w14:paraId="2F2B6888"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0.06</w:t>
            </w:r>
          </w:p>
        </w:tc>
      </w:tr>
      <w:tr w:rsidR="002F1621" w14:paraId="55CF175B" w14:textId="77777777">
        <w:tc>
          <w:tcPr>
            <w:tcW w:w="994" w:type="dxa"/>
          </w:tcPr>
          <w:p w14:paraId="10490AC3" w14:textId="77777777" w:rsidR="002F1621" w:rsidRDefault="000C28D5">
            <w:pPr>
              <w:spacing w:line="480" w:lineRule="auto"/>
              <w:textAlignment w:val="top"/>
              <w:rPr>
                <w:rFonts w:ascii="Arial" w:hAnsi="Arial" w:cs="Arial"/>
                <w:sz w:val="20"/>
                <w:szCs w:val="20"/>
                <w:lang w:val="en-GB"/>
              </w:rPr>
            </w:pPr>
            <w:r>
              <w:rPr>
                <w:rFonts w:ascii="Arial" w:eastAsia="SimSun" w:hAnsi="Arial" w:cs="Arial"/>
                <w:sz w:val="20"/>
                <w:szCs w:val="20"/>
                <w:lang w:val="en-GB" w:eastAsia="zh-CN"/>
              </w:rPr>
              <w:t>Acy</w:t>
            </w:r>
          </w:p>
        </w:tc>
        <w:tc>
          <w:tcPr>
            <w:tcW w:w="919" w:type="dxa"/>
            <w:vAlign w:val="center"/>
          </w:tcPr>
          <w:p w14:paraId="5D2E98E1"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0.001</w:t>
            </w:r>
          </w:p>
        </w:tc>
        <w:tc>
          <w:tcPr>
            <w:tcW w:w="938" w:type="dxa"/>
            <w:vAlign w:val="center"/>
          </w:tcPr>
          <w:p w14:paraId="5FABD8DC"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c>
          <w:tcPr>
            <w:tcW w:w="956" w:type="dxa"/>
            <w:vAlign w:val="center"/>
          </w:tcPr>
          <w:p w14:paraId="5EAB6A0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0.13</w:t>
            </w:r>
          </w:p>
        </w:tc>
        <w:tc>
          <w:tcPr>
            <w:tcW w:w="1106" w:type="dxa"/>
            <w:vAlign w:val="center"/>
          </w:tcPr>
          <w:p w14:paraId="711077C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0.23</w:t>
            </w:r>
          </w:p>
        </w:tc>
        <w:tc>
          <w:tcPr>
            <w:tcW w:w="881" w:type="dxa"/>
            <w:vAlign w:val="center"/>
          </w:tcPr>
          <w:p w14:paraId="1FCFB4DB"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0.07</w:t>
            </w:r>
          </w:p>
        </w:tc>
        <w:tc>
          <w:tcPr>
            <w:tcW w:w="900" w:type="dxa"/>
            <w:vAlign w:val="center"/>
          </w:tcPr>
          <w:p w14:paraId="7E5A0BCC"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0.07</w:t>
            </w:r>
          </w:p>
        </w:tc>
        <w:tc>
          <w:tcPr>
            <w:tcW w:w="957" w:type="dxa"/>
            <w:vAlign w:val="center"/>
          </w:tcPr>
          <w:p w14:paraId="5F8393EF"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0.02</w:t>
            </w:r>
          </w:p>
        </w:tc>
      </w:tr>
      <w:tr w:rsidR="002F1621" w14:paraId="0E63F8F7" w14:textId="77777777">
        <w:tc>
          <w:tcPr>
            <w:tcW w:w="994" w:type="dxa"/>
          </w:tcPr>
          <w:p w14:paraId="04BFEE9B" w14:textId="77777777" w:rsidR="002F1621" w:rsidRDefault="000C28D5">
            <w:pPr>
              <w:spacing w:line="480" w:lineRule="auto"/>
              <w:textAlignment w:val="top"/>
              <w:rPr>
                <w:rFonts w:ascii="Arial" w:hAnsi="Arial" w:cs="Arial"/>
                <w:sz w:val="20"/>
                <w:szCs w:val="20"/>
                <w:lang w:val="en-GB"/>
              </w:rPr>
            </w:pPr>
            <w:r>
              <w:rPr>
                <w:rFonts w:ascii="Arial" w:eastAsia="SimSun" w:hAnsi="Arial" w:cs="Arial"/>
                <w:sz w:val="20"/>
                <w:szCs w:val="20"/>
                <w:lang w:val="en-GB" w:eastAsia="zh-CN"/>
              </w:rPr>
              <w:t>Ace</w:t>
            </w:r>
          </w:p>
        </w:tc>
        <w:tc>
          <w:tcPr>
            <w:tcW w:w="919" w:type="dxa"/>
            <w:vAlign w:val="center"/>
          </w:tcPr>
          <w:p w14:paraId="52315D0A"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0.001</w:t>
            </w:r>
          </w:p>
        </w:tc>
        <w:tc>
          <w:tcPr>
            <w:tcW w:w="938" w:type="dxa"/>
            <w:vAlign w:val="center"/>
          </w:tcPr>
          <w:p w14:paraId="4ACB3355"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c>
          <w:tcPr>
            <w:tcW w:w="956" w:type="dxa"/>
            <w:vAlign w:val="center"/>
          </w:tcPr>
          <w:p w14:paraId="707D1087"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c>
          <w:tcPr>
            <w:tcW w:w="1106" w:type="dxa"/>
            <w:vAlign w:val="center"/>
          </w:tcPr>
          <w:p w14:paraId="08F00448"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0.31</w:t>
            </w:r>
          </w:p>
        </w:tc>
        <w:tc>
          <w:tcPr>
            <w:tcW w:w="881" w:type="dxa"/>
            <w:vAlign w:val="center"/>
          </w:tcPr>
          <w:p w14:paraId="7AE0EDBC"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c>
          <w:tcPr>
            <w:tcW w:w="900" w:type="dxa"/>
            <w:vAlign w:val="center"/>
          </w:tcPr>
          <w:p w14:paraId="220D2C40"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eastAsia="zh-CN"/>
              </w:rPr>
              <w:t>-</w:t>
            </w:r>
          </w:p>
        </w:tc>
        <w:tc>
          <w:tcPr>
            <w:tcW w:w="957" w:type="dxa"/>
            <w:vAlign w:val="center"/>
          </w:tcPr>
          <w:p w14:paraId="6E675CE7"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eastAsia="zh-CN"/>
              </w:rPr>
              <w:t>-</w:t>
            </w:r>
          </w:p>
        </w:tc>
      </w:tr>
      <w:tr w:rsidR="002F1621" w14:paraId="25B86F92" w14:textId="77777777">
        <w:tc>
          <w:tcPr>
            <w:tcW w:w="994" w:type="dxa"/>
          </w:tcPr>
          <w:p w14:paraId="2C52D6B3" w14:textId="77777777" w:rsidR="002F1621" w:rsidRDefault="000C28D5">
            <w:pPr>
              <w:spacing w:line="480" w:lineRule="auto"/>
              <w:textAlignment w:val="top"/>
              <w:rPr>
                <w:rFonts w:ascii="Arial" w:hAnsi="Arial" w:cs="Arial"/>
                <w:sz w:val="20"/>
                <w:szCs w:val="20"/>
                <w:lang w:val="en-GB"/>
              </w:rPr>
            </w:pPr>
            <w:r>
              <w:rPr>
                <w:rFonts w:ascii="Arial" w:eastAsia="SimSun" w:hAnsi="Arial" w:cs="Arial"/>
                <w:sz w:val="20"/>
                <w:szCs w:val="20"/>
                <w:lang w:val="en-GB" w:eastAsia="zh-CN"/>
              </w:rPr>
              <w:t>Flu</w:t>
            </w:r>
          </w:p>
        </w:tc>
        <w:tc>
          <w:tcPr>
            <w:tcW w:w="919" w:type="dxa"/>
            <w:vAlign w:val="center"/>
          </w:tcPr>
          <w:p w14:paraId="010368FF"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0.001</w:t>
            </w:r>
          </w:p>
        </w:tc>
        <w:tc>
          <w:tcPr>
            <w:tcW w:w="938" w:type="dxa"/>
            <w:vAlign w:val="center"/>
          </w:tcPr>
          <w:p w14:paraId="7ADFBB8D"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c>
          <w:tcPr>
            <w:tcW w:w="956" w:type="dxa"/>
            <w:vAlign w:val="center"/>
          </w:tcPr>
          <w:p w14:paraId="742B03E9"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0.17</w:t>
            </w:r>
          </w:p>
        </w:tc>
        <w:tc>
          <w:tcPr>
            <w:tcW w:w="1106" w:type="dxa"/>
            <w:vAlign w:val="center"/>
          </w:tcPr>
          <w:p w14:paraId="3141F868"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0.14</w:t>
            </w:r>
          </w:p>
        </w:tc>
        <w:tc>
          <w:tcPr>
            <w:tcW w:w="881" w:type="dxa"/>
            <w:vAlign w:val="center"/>
          </w:tcPr>
          <w:p w14:paraId="4AE383E0"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0.06</w:t>
            </w:r>
          </w:p>
        </w:tc>
        <w:tc>
          <w:tcPr>
            <w:tcW w:w="900" w:type="dxa"/>
            <w:vAlign w:val="center"/>
          </w:tcPr>
          <w:p w14:paraId="1546F6E7"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0.03</w:t>
            </w:r>
          </w:p>
        </w:tc>
        <w:tc>
          <w:tcPr>
            <w:tcW w:w="957" w:type="dxa"/>
            <w:vAlign w:val="center"/>
          </w:tcPr>
          <w:p w14:paraId="5E7ABD2E"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2293C222" w14:textId="77777777">
        <w:tc>
          <w:tcPr>
            <w:tcW w:w="994" w:type="dxa"/>
          </w:tcPr>
          <w:p w14:paraId="2F9CF00F" w14:textId="77777777" w:rsidR="002F1621" w:rsidRDefault="000C28D5">
            <w:pPr>
              <w:spacing w:line="480" w:lineRule="auto"/>
              <w:textAlignment w:val="top"/>
              <w:rPr>
                <w:rFonts w:ascii="Arial" w:hAnsi="Arial" w:cs="Arial"/>
                <w:sz w:val="20"/>
                <w:szCs w:val="20"/>
                <w:lang w:val="en-GB"/>
              </w:rPr>
            </w:pPr>
            <w:r>
              <w:rPr>
                <w:rFonts w:ascii="Arial" w:eastAsia="SimSun" w:hAnsi="Arial" w:cs="Arial"/>
                <w:sz w:val="20"/>
                <w:szCs w:val="20"/>
                <w:lang w:val="en-GB" w:eastAsia="zh-CN"/>
              </w:rPr>
              <w:t>Ant</w:t>
            </w:r>
          </w:p>
        </w:tc>
        <w:tc>
          <w:tcPr>
            <w:tcW w:w="919" w:type="dxa"/>
            <w:vAlign w:val="center"/>
          </w:tcPr>
          <w:p w14:paraId="32B235E2"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0.01</w:t>
            </w:r>
          </w:p>
        </w:tc>
        <w:tc>
          <w:tcPr>
            <w:tcW w:w="938" w:type="dxa"/>
            <w:vAlign w:val="center"/>
          </w:tcPr>
          <w:p w14:paraId="79C9EF0C"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0.2</w:t>
            </w:r>
          </w:p>
        </w:tc>
        <w:tc>
          <w:tcPr>
            <w:tcW w:w="956" w:type="dxa"/>
            <w:vAlign w:val="center"/>
          </w:tcPr>
          <w:p w14:paraId="52E4984B"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11</w:t>
            </w:r>
          </w:p>
        </w:tc>
        <w:tc>
          <w:tcPr>
            <w:tcW w:w="1106" w:type="dxa"/>
            <w:vAlign w:val="center"/>
          </w:tcPr>
          <w:p w14:paraId="26B355A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1.2</w:t>
            </w:r>
          </w:p>
        </w:tc>
        <w:tc>
          <w:tcPr>
            <w:tcW w:w="881" w:type="dxa"/>
            <w:vAlign w:val="center"/>
          </w:tcPr>
          <w:p w14:paraId="48EAC548"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2.2</w:t>
            </w:r>
          </w:p>
        </w:tc>
        <w:tc>
          <w:tcPr>
            <w:tcW w:w="900" w:type="dxa"/>
            <w:vAlign w:val="center"/>
          </w:tcPr>
          <w:p w14:paraId="719F4986"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06D488E1"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0FD66C08" w14:textId="77777777">
        <w:tc>
          <w:tcPr>
            <w:tcW w:w="994" w:type="dxa"/>
          </w:tcPr>
          <w:p w14:paraId="198B5424"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Phe</w:t>
            </w:r>
            <w:proofErr w:type="spellEnd"/>
          </w:p>
        </w:tc>
        <w:tc>
          <w:tcPr>
            <w:tcW w:w="919" w:type="dxa"/>
            <w:vAlign w:val="center"/>
          </w:tcPr>
          <w:p w14:paraId="1127AEFD"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0.001</w:t>
            </w:r>
          </w:p>
        </w:tc>
        <w:tc>
          <w:tcPr>
            <w:tcW w:w="938" w:type="dxa"/>
            <w:vAlign w:val="center"/>
          </w:tcPr>
          <w:p w14:paraId="3A70E572"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0.02</w:t>
            </w:r>
          </w:p>
        </w:tc>
        <w:tc>
          <w:tcPr>
            <w:tcW w:w="956" w:type="dxa"/>
            <w:vAlign w:val="center"/>
          </w:tcPr>
          <w:p w14:paraId="181F0F79"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0.39</w:t>
            </w:r>
          </w:p>
        </w:tc>
        <w:tc>
          <w:tcPr>
            <w:tcW w:w="1106" w:type="dxa"/>
            <w:vAlign w:val="center"/>
          </w:tcPr>
          <w:p w14:paraId="7AA14C40"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0.35</w:t>
            </w:r>
          </w:p>
        </w:tc>
        <w:tc>
          <w:tcPr>
            <w:tcW w:w="881" w:type="dxa"/>
            <w:vAlign w:val="center"/>
          </w:tcPr>
          <w:p w14:paraId="18F73567"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0.29</w:t>
            </w:r>
          </w:p>
        </w:tc>
        <w:tc>
          <w:tcPr>
            <w:tcW w:w="900" w:type="dxa"/>
            <w:vAlign w:val="center"/>
          </w:tcPr>
          <w:p w14:paraId="5EC87786"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4B9E37FB"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4999C293" w14:textId="77777777">
        <w:tc>
          <w:tcPr>
            <w:tcW w:w="994" w:type="dxa"/>
          </w:tcPr>
          <w:p w14:paraId="2FFB2C33" w14:textId="77777777" w:rsidR="002F1621" w:rsidRDefault="000C28D5">
            <w:pPr>
              <w:spacing w:line="480" w:lineRule="auto"/>
              <w:textAlignment w:val="top"/>
              <w:rPr>
                <w:rFonts w:ascii="Arial" w:hAnsi="Arial" w:cs="Arial"/>
                <w:sz w:val="20"/>
                <w:szCs w:val="20"/>
                <w:lang w:val="en-GB"/>
              </w:rPr>
            </w:pPr>
            <w:r>
              <w:rPr>
                <w:rFonts w:ascii="Arial" w:eastAsia="SimSun" w:hAnsi="Arial" w:cs="Arial"/>
                <w:sz w:val="20"/>
                <w:szCs w:val="20"/>
                <w:lang w:val="en-GB" w:eastAsia="zh-CN"/>
              </w:rPr>
              <w:t>Flo</w:t>
            </w:r>
          </w:p>
        </w:tc>
        <w:tc>
          <w:tcPr>
            <w:tcW w:w="919" w:type="dxa"/>
            <w:vAlign w:val="center"/>
          </w:tcPr>
          <w:p w14:paraId="51DB6A5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0.001</w:t>
            </w:r>
          </w:p>
        </w:tc>
        <w:tc>
          <w:tcPr>
            <w:tcW w:w="938" w:type="dxa"/>
            <w:vAlign w:val="center"/>
          </w:tcPr>
          <w:p w14:paraId="698B157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0.23</w:t>
            </w:r>
          </w:p>
        </w:tc>
        <w:tc>
          <w:tcPr>
            <w:tcW w:w="956" w:type="dxa"/>
            <w:vAlign w:val="center"/>
          </w:tcPr>
          <w:p w14:paraId="17C48214"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0.49</w:t>
            </w:r>
          </w:p>
        </w:tc>
        <w:tc>
          <w:tcPr>
            <w:tcW w:w="1106" w:type="dxa"/>
            <w:vAlign w:val="center"/>
          </w:tcPr>
          <w:p w14:paraId="68BF040B"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0.18</w:t>
            </w:r>
          </w:p>
        </w:tc>
        <w:tc>
          <w:tcPr>
            <w:tcW w:w="881" w:type="dxa"/>
            <w:vAlign w:val="center"/>
          </w:tcPr>
          <w:p w14:paraId="030AFE7B"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0.14</w:t>
            </w:r>
          </w:p>
        </w:tc>
        <w:tc>
          <w:tcPr>
            <w:tcW w:w="900" w:type="dxa"/>
            <w:vAlign w:val="center"/>
          </w:tcPr>
          <w:p w14:paraId="57D1580C"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152BBA60"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69FA8703" w14:textId="77777777">
        <w:tc>
          <w:tcPr>
            <w:tcW w:w="994" w:type="dxa"/>
          </w:tcPr>
          <w:p w14:paraId="2ACA691B"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Pyr</w:t>
            </w:r>
            <w:proofErr w:type="spellEnd"/>
          </w:p>
        </w:tc>
        <w:tc>
          <w:tcPr>
            <w:tcW w:w="919" w:type="dxa"/>
            <w:vAlign w:val="center"/>
          </w:tcPr>
          <w:p w14:paraId="322EF34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0.001</w:t>
            </w:r>
          </w:p>
        </w:tc>
        <w:tc>
          <w:tcPr>
            <w:tcW w:w="938" w:type="dxa"/>
            <w:vAlign w:val="center"/>
          </w:tcPr>
          <w:p w14:paraId="4E377C53"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0.21</w:t>
            </w:r>
          </w:p>
        </w:tc>
        <w:tc>
          <w:tcPr>
            <w:tcW w:w="956" w:type="dxa"/>
            <w:vAlign w:val="center"/>
          </w:tcPr>
          <w:p w14:paraId="41A96953"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0.47</w:t>
            </w:r>
          </w:p>
        </w:tc>
        <w:tc>
          <w:tcPr>
            <w:tcW w:w="1106" w:type="dxa"/>
            <w:vAlign w:val="center"/>
          </w:tcPr>
          <w:p w14:paraId="1B3A619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0.55</w:t>
            </w:r>
          </w:p>
        </w:tc>
        <w:tc>
          <w:tcPr>
            <w:tcW w:w="881" w:type="dxa"/>
            <w:vAlign w:val="center"/>
          </w:tcPr>
          <w:p w14:paraId="29BE4F19"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0.17</w:t>
            </w:r>
          </w:p>
        </w:tc>
        <w:tc>
          <w:tcPr>
            <w:tcW w:w="900" w:type="dxa"/>
            <w:vAlign w:val="center"/>
          </w:tcPr>
          <w:p w14:paraId="04ED2DE1"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1A05C245" w14:textId="77777777" w:rsidR="002F1621" w:rsidRDefault="002F1621">
            <w:pPr>
              <w:spacing w:line="480" w:lineRule="auto"/>
              <w:textAlignment w:val="center"/>
              <w:rPr>
                <w:rFonts w:ascii="Arial" w:hAnsi="Arial" w:cs="Arial"/>
                <w:sz w:val="20"/>
                <w:szCs w:val="20"/>
                <w:lang w:val="en-GB"/>
              </w:rPr>
            </w:pPr>
          </w:p>
        </w:tc>
      </w:tr>
      <w:tr w:rsidR="002F1621" w14:paraId="58B1F03C" w14:textId="77777777">
        <w:tc>
          <w:tcPr>
            <w:tcW w:w="994" w:type="dxa"/>
          </w:tcPr>
          <w:p w14:paraId="4B1A75E6"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BaA</w:t>
            </w:r>
            <w:proofErr w:type="spellEnd"/>
          </w:p>
        </w:tc>
        <w:tc>
          <w:tcPr>
            <w:tcW w:w="919" w:type="dxa"/>
            <w:vAlign w:val="center"/>
          </w:tcPr>
          <w:p w14:paraId="5129E367"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w:t>
            </w:r>
          </w:p>
        </w:tc>
        <w:tc>
          <w:tcPr>
            <w:tcW w:w="938" w:type="dxa"/>
            <w:vAlign w:val="center"/>
          </w:tcPr>
          <w:p w14:paraId="4F05C101"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2ACA345B"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2A475D9A"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15</w:t>
            </w:r>
          </w:p>
        </w:tc>
        <w:tc>
          <w:tcPr>
            <w:tcW w:w="881" w:type="dxa"/>
            <w:vAlign w:val="center"/>
          </w:tcPr>
          <w:p w14:paraId="0EDEAEEC"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0FE93C46"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01BA072D"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eastAsia="zh-CN"/>
              </w:rPr>
              <w:t>-</w:t>
            </w:r>
          </w:p>
        </w:tc>
      </w:tr>
      <w:tr w:rsidR="002F1621" w14:paraId="1D033F3B" w14:textId="77777777">
        <w:tc>
          <w:tcPr>
            <w:tcW w:w="994" w:type="dxa"/>
          </w:tcPr>
          <w:p w14:paraId="3D5A120E"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Chry</w:t>
            </w:r>
            <w:proofErr w:type="spellEnd"/>
          </w:p>
        </w:tc>
        <w:tc>
          <w:tcPr>
            <w:tcW w:w="919" w:type="dxa"/>
            <w:vAlign w:val="center"/>
          </w:tcPr>
          <w:p w14:paraId="43736EEA"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0.01</w:t>
            </w:r>
          </w:p>
        </w:tc>
        <w:tc>
          <w:tcPr>
            <w:tcW w:w="938" w:type="dxa"/>
            <w:vAlign w:val="center"/>
          </w:tcPr>
          <w:p w14:paraId="3E72D9F4"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57204267"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0BA03E51"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0.9</w:t>
            </w:r>
          </w:p>
        </w:tc>
        <w:tc>
          <w:tcPr>
            <w:tcW w:w="881" w:type="dxa"/>
            <w:vAlign w:val="center"/>
          </w:tcPr>
          <w:p w14:paraId="1D835530"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5267C8E9"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72936E81"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137BC6AA" w14:textId="77777777">
        <w:tc>
          <w:tcPr>
            <w:tcW w:w="994" w:type="dxa"/>
          </w:tcPr>
          <w:p w14:paraId="209D715C"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BbF</w:t>
            </w:r>
            <w:proofErr w:type="spellEnd"/>
          </w:p>
        </w:tc>
        <w:tc>
          <w:tcPr>
            <w:tcW w:w="919" w:type="dxa"/>
            <w:vAlign w:val="center"/>
          </w:tcPr>
          <w:p w14:paraId="53128F5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w:t>
            </w:r>
          </w:p>
        </w:tc>
        <w:tc>
          <w:tcPr>
            <w:tcW w:w="938" w:type="dxa"/>
            <w:vAlign w:val="center"/>
          </w:tcPr>
          <w:p w14:paraId="0A12E4CA"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11DFD27B"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529A7BE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4</w:t>
            </w:r>
          </w:p>
        </w:tc>
        <w:tc>
          <w:tcPr>
            <w:tcW w:w="881" w:type="dxa"/>
            <w:vAlign w:val="center"/>
          </w:tcPr>
          <w:p w14:paraId="0B8FD769"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28479B1B"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5E162AFB"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2CA4D911" w14:textId="77777777">
        <w:tc>
          <w:tcPr>
            <w:tcW w:w="994" w:type="dxa"/>
          </w:tcPr>
          <w:p w14:paraId="0E811551"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BkF</w:t>
            </w:r>
            <w:proofErr w:type="spellEnd"/>
          </w:p>
        </w:tc>
        <w:tc>
          <w:tcPr>
            <w:tcW w:w="919" w:type="dxa"/>
            <w:vAlign w:val="center"/>
          </w:tcPr>
          <w:p w14:paraId="091B88B0"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w:t>
            </w:r>
          </w:p>
        </w:tc>
        <w:tc>
          <w:tcPr>
            <w:tcW w:w="938" w:type="dxa"/>
            <w:vAlign w:val="center"/>
          </w:tcPr>
          <w:p w14:paraId="00578DA0"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39E0E3C1"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038E3889"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3</w:t>
            </w:r>
          </w:p>
        </w:tc>
        <w:tc>
          <w:tcPr>
            <w:tcW w:w="881" w:type="dxa"/>
            <w:vAlign w:val="center"/>
          </w:tcPr>
          <w:p w14:paraId="021BA455"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797C0C12"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26E7FB6A"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29763322" w14:textId="77777777">
        <w:tc>
          <w:tcPr>
            <w:tcW w:w="994" w:type="dxa"/>
          </w:tcPr>
          <w:p w14:paraId="4B28268F"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BaP</w:t>
            </w:r>
            <w:proofErr w:type="spellEnd"/>
          </w:p>
        </w:tc>
        <w:tc>
          <w:tcPr>
            <w:tcW w:w="919" w:type="dxa"/>
            <w:vAlign w:val="center"/>
          </w:tcPr>
          <w:p w14:paraId="5E5C1D6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w:t>
            </w:r>
          </w:p>
        </w:tc>
        <w:tc>
          <w:tcPr>
            <w:tcW w:w="938" w:type="dxa"/>
            <w:vAlign w:val="center"/>
          </w:tcPr>
          <w:p w14:paraId="0EE1EADE"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0BFBFB54"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5CE56D3A"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40</w:t>
            </w:r>
          </w:p>
        </w:tc>
        <w:tc>
          <w:tcPr>
            <w:tcW w:w="881" w:type="dxa"/>
            <w:vAlign w:val="center"/>
          </w:tcPr>
          <w:p w14:paraId="689C2E3F"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4AA72178"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08BBD8BB"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31344628" w14:textId="77777777">
        <w:tc>
          <w:tcPr>
            <w:tcW w:w="994" w:type="dxa"/>
          </w:tcPr>
          <w:p w14:paraId="369477D8" w14:textId="77777777" w:rsidR="002F1621" w:rsidRDefault="000C28D5">
            <w:pPr>
              <w:spacing w:line="480" w:lineRule="auto"/>
              <w:textAlignment w:val="top"/>
              <w:rPr>
                <w:rFonts w:ascii="Arial" w:hAnsi="Arial" w:cs="Arial"/>
                <w:sz w:val="20"/>
                <w:szCs w:val="20"/>
                <w:lang w:val="en-GB"/>
              </w:rPr>
            </w:pPr>
            <w:r>
              <w:rPr>
                <w:rFonts w:ascii="Arial" w:eastAsia="SimSun" w:hAnsi="Arial" w:cs="Arial"/>
                <w:sz w:val="20"/>
                <w:szCs w:val="20"/>
                <w:lang w:val="en-GB" w:eastAsia="zh-CN"/>
              </w:rPr>
              <w:t>Daha</w:t>
            </w:r>
          </w:p>
        </w:tc>
        <w:tc>
          <w:tcPr>
            <w:tcW w:w="919" w:type="dxa"/>
            <w:vAlign w:val="center"/>
          </w:tcPr>
          <w:p w14:paraId="78C660CC"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w:t>
            </w:r>
          </w:p>
        </w:tc>
        <w:tc>
          <w:tcPr>
            <w:tcW w:w="938" w:type="dxa"/>
            <w:vAlign w:val="center"/>
          </w:tcPr>
          <w:p w14:paraId="6D7C6F50"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59C73DFB"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4BA1B201"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881" w:type="dxa"/>
            <w:vAlign w:val="center"/>
          </w:tcPr>
          <w:p w14:paraId="1536B8D1"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6F5CE557"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59D73C61" w14:textId="77777777" w:rsidR="002F1621" w:rsidRDefault="000C28D5">
            <w:pPr>
              <w:spacing w:line="480" w:lineRule="auto"/>
              <w:textAlignment w:val="center"/>
              <w:rPr>
                <w:rFonts w:ascii="Arial" w:hAnsi="Arial" w:cs="Arial"/>
                <w:sz w:val="20"/>
                <w:szCs w:val="20"/>
              </w:rPr>
            </w:pPr>
            <w:r>
              <w:rPr>
                <w:rFonts w:ascii="Arial" w:hAnsi="Arial" w:cs="Arial"/>
                <w:sz w:val="20"/>
                <w:szCs w:val="20"/>
              </w:rPr>
              <w:t>-</w:t>
            </w:r>
          </w:p>
        </w:tc>
      </w:tr>
      <w:tr w:rsidR="002F1621" w14:paraId="0C219DC3" w14:textId="77777777">
        <w:tc>
          <w:tcPr>
            <w:tcW w:w="994" w:type="dxa"/>
          </w:tcPr>
          <w:p w14:paraId="3D743C1B"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IndP</w:t>
            </w:r>
            <w:proofErr w:type="spellEnd"/>
          </w:p>
        </w:tc>
        <w:tc>
          <w:tcPr>
            <w:tcW w:w="919" w:type="dxa"/>
            <w:vAlign w:val="center"/>
          </w:tcPr>
          <w:p w14:paraId="2F32ADE7"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0.1</w:t>
            </w:r>
          </w:p>
        </w:tc>
        <w:tc>
          <w:tcPr>
            <w:tcW w:w="938" w:type="dxa"/>
            <w:vAlign w:val="center"/>
          </w:tcPr>
          <w:p w14:paraId="46464571"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16</w:t>
            </w:r>
          </w:p>
        </w:tc>
        <w:tc>
          <w:tcPr>
            <w:tcW w:w="956" w:type="dxa"/>
            <w:vAlign w:val="center"/>
          </w:tcPr>
          <w:p w14:paraId="10E2E7A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38</w:t>
            </w:r>
          </w:p>
        </w:tc>
        <w:tc>
          <w:tcPr>
            <w:tcW w:w="1106" w:type="dxa"/>
            <w:vAlign w:val="center"/>
          </w:tcPr>
          <w:p w14:paraId="6BDEB9B4"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881" w:type="dxa"/>
            <w:vAlign w:val="center"/>
          </w:tcPr>
          <w:p w14:paraId="5A8710C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29</w:t>
            </w:r>
          </w:p>
        </w:tc>
        <w:tc>
          <w:tcPr>
            <w:tcW w:w="900" w:type="dxa"/>
            <w:vAlign w:val="center"/>
          </w:tcPr>
          <w:p w14:paraId="0A9B4271"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27</w:t>
            </w:r>
          </w:p>
        </w:tc>
        <w:tc>
          <w:tcPr>
            <w:tcW w:w="957" w:type="dxa"/>
            <w:vAlign w:val="center"/>
          </w:tcPr>
          <w:p w14:paraId="0150999C"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14</w:t>
            </w:r>
          </w:p>
        </w:tc>
      </w:tr>
      <w:tr w:rsidR="002F1621" w14:paraId="0ED461F5" w14:textId="77777777">
        <w:tc>
          <w:tcPr>
            <w:tcW w:w="994" w:type="dxa"/>
          </w:tcPr>
          <w:p w14:paraId="00ADFC24" w14:textId="77777777" w:rsidR="002F1621" w:rsidRDefault="000C28D5">
            <w:pPr>
              <w:spacing w:line="480" w:lineRule="auto"/>
              <w:textAlignment w:val="top"/>
              <w:rPr>
                <w:rFonts w:ascii="Arial" w:hAnsi="Arial" w:cs="Arial"/>
                <w:sz w:val="20"/>
                <w:szCs w:val="20"/>
                <w:lang w:val="en-GB"/>
              </w:rPr>
            </w:pPr>
            <w:proofErr w:type="spellStart"/>
            <w:r>
              <w:rPr>
                <w:rFonts w:ascii="Arial" w:eastAsia="SimSun" w:hAnsi="Arial" w:cs="Arial"/>
                <w:sz w:val="20"/>
                <w:szCs w:val="20"/>
                <w:lang w:val="en-GB" w:eastAsia="zh-CN"/>
              </w:rPr>
              <w:t>BghiP</w:t>
            </w:r>
            <w:proofErr w:type="spellEnd"/>
          </w:p>
        </w:tc>
        <w:tc>
          <w:tcPr>
            <w:tcW w:w="919" w:type="dxa"/>
            <w:vAlign w:val="center"/>
          </w:tcPr>
          <w:p w14:paraId="2DAE95D5"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0.01</w:t>
            </w:r>
          </w:p>
        </w:tc>
        <w:tc>
          <w:tcPr>
            <w:tcW w:w="938" w:type="dxa"/>
            <w:vAlign w:val="center"/>
          </w:tcPr>
          <w:p w14:paraId="1DB6D6AD"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2.7</w:t>
            </w:r>
          </w:p>
        </w:tc>
        <w:tc>
          <w:tcPr>
            <w:tcW w:w="956" w:type="dxa"/>
            <w:vAlign w:val="center"/>
          </w:tcPr>
          <w:p w14:paraId="0A565A5B"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5.5</w:t>
            </w:r>
          </w:p>
        </w:tc>
        <w:tc>
          <w:tcPr>
            <w:tcW w:w="1106" w:type="dxa"/>
            <w:vAlign w:val="center"/>
          </w:tcPr>
          <w:p w14:paraId="2DD50EAE" w14:textId="77777777" w:rsidR="002F1621" w:rsidRDefault="000C28D5">
            <w:pPr>
              <w:spacing w:line="480" w:lineRule="auto"/>
              <w:textAlignment w:val="center"/>
              <w:rPr>
                <w:rFonts w:ascii="Arial" w:hAnsi="Arial" w:cs="Arial"/>
                <w:sz w:val="20"/>
                <w:szCs w:val="20"/>
                <w:lang w:val="en-GB"/>
              </w:rPr>
            </w:pPr>
            <w:r>
              <w:rPr>
                <w:rFonts w:ascii="Arial" w:hAnsi="Arial" w:cs="Arial"/>
                <w:sz w:val="20"/>
                <w:szCs w:val="20"/>
              </w:rPr>
              <w:t>-</w:t>
            </w:r>
          </w:p>
        </w:tc>
        <w:tc>
          <w:tcPr>
            <w:tcW w:w="881" w:type="dxa"/>
            <w:vAlign w:val="center"/>
          </w:tcPr>
          <w:p w14:paraId="61A0F6D6"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3.2</w:t>
            </w:r>
          </w:p>
        </w:tc>
        <w:tc>
          <w:tcPr>
            <w:tcW w:w="900" w:type="dxa"/>
            <w:vAlign w:val="center"/>
          </w:tcPr>
          <w:p w14:paraId="772A5079"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4.5</w:t>
            </w:r>
          </w:p>
        </w:tc>
        <w:tc>
          <w:tcPr>
            <w:tcW w:w="957" w:type="dxa"/>
            <w:vAlign w:val="center"/>
          </w:tcPr>
          <w:p w14:paraId="2D5E1EE7"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6.1</w:t>
            </w:r>
          </w:p>
        </w:tc>
      </w:tr>
      <w:tr w:rsidR="002F1621" w14:paraId="5B79B01C" w14:textId="77777777">
        <w:tc>
          <w:tcPr>
            <w:tcW w:w="1913" w:type="dxa"/>
            <w:gridSpan w:val="2"/>
          </w:tcPr>
          <w:p w14:paraId="04BEA5E9" w14:textId="77777777" w:rsidR="002F1621" w:rsidRDefault="000C28D5">
            <w:pPr>
              <w:spacing w:line="480" w:lineRule="auto"/>
              <w:rPr>
                <w:rFonts w:ascii="Arial" w:hAnsi="Arial" w:cs="Arial"/>
                <w:sz w:val="20"/>
                <w:szCs w:val="20"/>
                <w:lang w:val="en-GB"/>
              </w:rPr>
            </w:pPr>
            <w:proofErr w:type="spellStart"/>
            <w:r>
              <w:rPr>
                <w:rFonts w:ascii="Arial" w:hAnsi="Arial" w:cs="Arial"/>
                <w:sz w:val="20"/>
                <w:szCs w:val="20"/>
                <w:lang w:val="en-GB"/>
              </w:rPr>
              <w:t>ΣBaP</w:t>
            </w:r>
            <w:r>
              <w:rPr>
                <w:rFonts w:ascii="Arial" w:hAnsi="Arial" w:cs="Arial"/>
                <w:sz w:val="20"/>
                <w:szCs w:val="20"/>
                <w:vertAlign w:val="subscript"/>
                <w:lang w:val="en-GB"/>
              </w:rPr>
              <w:t>TEQ</w:t>
            </w:r>
            <w:proofErr w:type="spellEnd"/>
          </w:p>
        </w:tc>
        <w:tc>
          <w:tcPr>
            <w:tcW w:w="938" w:type="dxa"/>
            <w:vAlign w:val="center"/>
          </w:tcPr>
          <w:p w14:paraId="20EF8E13"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19.5</w:t>
            </w:r>
          </w:p>
        </w:tc>
        <w:tc>
          <w:tcPr>
            <w:tcW w:w="956" w:type="dxa"/>
            <w:vAlign w:val="center"/>
          </w:tcPr>
          <w:p w14:paraId="212A2BBF"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56.3</w:t>
            </w:r>
          </w:p>
        </w:tc>
        <w:tc>
          <w:tcPr>
            <w:tcW w:w="1106" w:type="dxa"/>
            <w:vAlign w:val="center"/>
          </w:tcPr>
          <w:p w14:paraId="69DD04B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65.9</w:t>
            </w:r>
          </w:p>
        </w:tc>
        <w:tc>
          <w:tcPr>
            <w:tcW w:w="881" w:type="dxa"/>
            <w:vAlign w:val="center"/>
          </w:tcPr>
          <w:p w14:paraId="5F0BDC5E"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35.2</w:t>
            </w:r>
          </w:p>
        </w:tc>
        <w:tc>
          <w:tcPr>
            <w:tcW w:w="900" w:type="dxa"/>
            <w:vAlign w:val="center"/>
          </w:tcPr>
          <w:p w14:paraId="6511D8D7"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31.7</w:t>
            </w:r>
          </w:p>
        </w:tc>
        <w:tc>
          <w:tcPr>
            <w:tcW w:w="957" w:type="dxa"/>
            <w:vAlign w:val="center"/>
          </w:tcPr>
          <w:p w14:paraId="78B89003" w14:textId="77777777" w:rsidR="002F1621" w:rsidRDefault="000C28D5">
            <w:pPr>
              <w:spacing w:line="480" w:lineRule="auto"/>
              <w:textAlignment w:val="center"/>
              <w:rPr>
                <w:rFonts w:ascii="Arial" w:hAnsi="Arial" w:cs="Arial"/>
                <w:sz w:val="20"/>
                <w:szCs w:val="20"/>
                <w:lang w:val="en-GB"/>
              </w:rPr>
            </w:pPr>
            <w:r>
              <w:rPr>
                <w:rFonts w:ascii="Arial" w:eastAsia="SimSun" w:hAnsi="Arial" w:cs="Arial"/>
                <w:sz w:val="20"/>
                <w:szCs w:val="20"/>
                <w:lang w:val="en-GB" w:eastAsia="zh-CN"/>
              </w:rPr>
              <w:t>20.2</w:t>
            </w:r>
          </w:p>
        </w:tc>
      </w:tr>
    </w:tbl>
    <w:p w14:paraId="66660719" w14:textId="77777777" w:rsidR="002F1621" w:rsidRDefault="002F1621">
      <w:pPr>
        <w:rPr>
          <w:rFonts w:ascii="Arial" w:hAnsi="Arial" w:cs="Arial"/>
        </w:rPr>
      </w:pPr>
    </w:p>
    <w:p w14:paraId="732B3D9E" w14:textId="77777777" w:rsidR="002F1621" w:rsidRDefault="002F1621">
      <w:pPr>
        <w:jc w:val="both"/>
        <w:rPr>
          <w:rFonts w:ascii="Arial" w:hAnsi="Arial" w:cs="Arial"/>
        </w:rPr>
      </w:pPr>
    </w:p>
    <w:p w14:paraId="5CE7DA0C" w14:textId="77777777" w:rsidR="002F1621" w:rsidRDefault="000C28D5">
      <w:pPr>
        <w:rPr>
          <w:rFonts w:ascii="Arial" w:hAnsi="Arial" w:cs="Arial"/>
        </w:rPr>
      </w:pPr>
      <w:r>
        <w:rPr>
          <w:rFonts w:ascii="Arial" w:hAnsi="Arial" w:cs="Arial"/>
          <w:b/>
          <w:bCs/>
        </w:rPr>
        <w:t>Table 3. Total cancer risk (TCR) values for different exposure pathways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1699"/>
        <w:gridCol w:w="1663"/>
        <w:gridCol w:w="1713"/>
        <w:gridCol w:w="1663"/>
      </w:tblGrid>
      <w:tr w:rsidR="002F1621" w14:paraId="65478FD3" w14:textId="77777777">
        <w:tc>
          <w:tcPr>
            <w:tcW w:w="1915" w:type="dxa"/>
          </w:tcPr>
          <w:p w14:paraId="45A4DDBE" w14:textId="77777777" w:rsidR="002F1621" w:rsidRDefault="002F1621">
            <w:pPr>
              <w:spacing w:line="480" w:lineRule="auto"/>
              <w:rPr>
                <w:rFonts w:ascii="Arial" w:hAnsi="Arial" w:cs="Arial"/>
                <w:sz w:val="20"/>
                <w:szCs w:val="20"/>
              </w:rPr>
            </w:pPr>
          </w:p>
        </w:tc>
        <w:tc>
          <w:tcPr>
            <w:tcW w:w="7661" w:type="dxa"/>
            <w:gridSpan w:val="4"/>
            <w:tcBorders>
              <w:bottom w:val="single" w:sz="4" w:space="0" w:color="auto"/>
            </w:tcBorders>
          </w:tcPr>
          <w:p w14:paraId="60DBA4A1" w14:textId="77777777" w:rsidR="002F1621" w:rsidRDefault="000C28D5">
            <w:pPr>
              <w:spacing w:line="480" w:lineRule="auto"/>
              <w:jc w:val="center"/>
              <w:rPr>
                <w:rFonts w:ascii="Arial" w:hAnsi="Arial" w:cs="Arial"/>
                <w:b/>
                <w:bCs/>
                <w:sz w:val="20"/>
                <w:szCs w:val="20"/>
              </w:rPr>
            </w:pPr>
            <w:r>
              <w:rPr>
                <w:rFonts w:ascii="Arial" w:hAnsi="Arial" w:cs="Arial"/>
                <w:b/>
                <w:bCs/>
                <w:sz w:val="20"/>
                <w:szCs w:val="20"/>
              </w:rPr>
              <w:t>Cancer risk</w:t>
            </w:r>
          </w:p>
        </w:tc>
      </w:tr>
      <w:tr w:rsidR="002F1621" w14:paraId="32B731B0" w14:textId="77777777">
        <w:tc>
          <w:tcPr>
            <w:tcW w:w="1915" w:type="dxa"/>
            <w:tcBorders>
              <w:bottom w:val="single" w:sz="4" w:space="0" w:color="auto"/>
            </w:tcBorders>
          </w:tcPr>
          <w:p w14:paraId="05657B9B" w14:textId="77777777" w:rsidR="002F1621" w:rsidRDefault="000C28D5">
            <w:pPr>
              <w:spacing w:line="480" w:lineRule="auto"/>
              <w:rPr>
                <w:rFonts w:ascii="Arial" w:hAnsi="Arial" w:cs="Arial"/>
                <w:sz w:val="20"/>
                <w:szCs w:val="20"/>
              </w:rPr>
            </w:pPr>
            <w:r>
              <w:rPr>
                <w:rFonts w:ascii="Arial" w:hAnsi="Arial" w:cs="Arial"/>
                <w:sz w:val="20"/>
                <w:szCs w:val="20"/>
              </w:rPr>
              <w:t>Location</w:t>
            </w:r>
          </w:p>
        </w:tc>
        <w:tc>
          <w:tcPr>
            <w:tcW w:w="1915" w:type="dxa"/>
            <w:tcBorders>
              <w:top w:val="single" w:sz="4" w:space="0" w:color="auto"/>
              <w:bottom w:val="single" w:sz="4" w:space="0" w:color="auto"/>
            </w:tcBorders>
          </w:tcPr>
          <w:p w14:paraId="214396A4" w14:textId="77777777" w:rsidR="002F1621" w:rsidRDefault="000C28D5">
            <w:pPr>
              <w:spacing w:line="480" w:lineRule="auto"/>
              <w:rPr>
                <w:rFonts w:ascii="Arial" w:hAnsi="Arial" w:cs="Arial"/>
                <w:sz w:val="20"/>
                <w:szCs w:val="20"/>
              </w:rPr>
            </w:pPr>
            <w:r>
              <w:rPr>
                <w:rFonts w:ascii="Arial" w:hAnsi="Arial" w:cs="Arial"/>
                <w:sz w:val="20"/>
                <w:szCs w:val="20"/>
              </w:rPr>
              <w:t>Ingestion</w:t>
            </w:r>
          </w:p>
        </w:tc>
        <w:tc>
          <w:tcPr>
            <w:tcW w:w="1915" w:type="dxa"/>
            <w:tcBorders>
              <w:top w:val="single" w:sz="4" w:space="0" w:color="auto"/>
              <w:bottom w:val="single" w:sz="4" w:space="0" w:color="auto"/>
            </w:tcBorders>
          </w:tcPr>
          <w:p w14:paraId="38F6E74C" w14:textId="77777777" w:rsidR="002F1621" w:rsidRDefault="000C28D5">
            <w:pPr>
              <w:spacing w:line="480" w:lineRule="auto"/>
              <w:rPr>
                <w:rFonts w:ascii="Arial" w:hAnsi="Arial" w:cs="Arial"/>
                <w:sz w:val="20"/>
                <w:szCs w:val="20"/>
              </w:rPr>
            </w:pPr>
            <w:r>
              <w:rPr>
                <w:rFonts w:ascii="Arial" w:hAnsi="Arial" w:cs="Arial"/>
                <w:sz w:val="20"/>
                <w:szCs w:val="20"/>
              </w:rPr>
              <w:t>Dermal</w:t>
            </w:r>
          </w:p>
        </w:tc>
        <w:tc>
          <w:tcPr>
            <w:tcW w:w="1915" w:type="dxa"/>
            <w:tcBorders>
              <w:top w:val="single" w:sz="4" w:space="0" w:color="auto"/>
              <w:bottom w:val="single" w:sz="4" w:space="0" w:color="auto"/>
            </w:tcBorders>
          </w:tcPr>
          <w:p w14:paraId="731420A7" w14:textId="77777777" w:rsidR="002F1621" w:rsidRDefault="000C28D5">
            <w:pPr>
              <w:spacing w:line="480" w:lineRule="auto"/>
              <w:rPr>
                <w:rFonts w:ascii="Arial" w:hAnsi="Arial" w:cs="Arial"/>
                <w:sz w:val="20"/>
                <w:szCs w:val="20"/>
              </w:rPr>
            </w:pPr>
            <w:r>
              <w:rPr>
                <w:rFonts w:ascii="Arial" w:hAnsi="Arial" w:cs="Arial"/>
                <w:sz w:val="20"/>
                <w:szCs w:val="20"/>
              </w:rPr>
              <w:t>Inhalation</w:t>
            </w:r>
          </w:p>
        </w:tc>
        <w:tc>
          <w:tcPr>
            <w:tcW w:w="1916" w:type="dxa"/>
            <w:tcBorders>
              <w:top w:val="single" w:sz="4" w:space="0" w:color="auto"/>
              <w:bottom w:val="single" w:sz="4" w:space="0" w:color="auto"/>
            </w:tcBorders>
          </w:tcPr>
          <w:p w14:paraId="6635A2E6" w14:textId="77777777" w:rsidR="002F1621" w:rsidRDefault="000C28D5">
            <w:pPr>
              <w:spacing w:line="480" w:lineRule="auto"/>
              <w:rPr>
                <w:rFonts w:ascii="Arial" w:hAnsi="Arial" w:cs="Arial"/>
                <w:sz w:val="20"/>
                <w:szCs w:val="20"/>
              </w:rPr>
            </w:pPr>
            <w:r>
              <w:rPr>
                <w:rFonts w:ascii="Arial" w:hAnsi="Arial" w:cs="Arial"/>
                <w:sz w:val="20"/>
                <w:szCs w:val="20"/>
              </w:rPr>
              <w:t>Total</w:t>
            </w:r>
          </w:p>
        </w:tc>
      </w:tr>
      <w:tr w:rsidR="002F1621" w14:paraId="5D407929" w14:textId="77777777">
        <w:tc>
          <w:tcPr>
            <w:tcW w:w="1915" w:type="dxa"/>
            <w:tcBorders>
              <w:top w:val="single" w:sz="4" w:space="0" w:color="auto"/>
            </w:tcBorders>
          </w:tcPr>
          <w:p w14:paraId="38FA0880" w14:textId="77777777" w:rsidR="002F1621" w:rsidRDefault="000C28D5">
            <w:pPr>
              <w:spacing w:line="480" w:lineRule="auto"/>
              <w:rPr>
                <w:rFonts w:ascii="Arial" w:hAnsi="Arial" w:cs="Arial"/>
                <w:sz w:val="20"/>
                <w:szCs w:val="20"/>
              </w:rPr>
            </w:pPr>
            <w:r>
              <w:rPr>
                <w:rFonts w:ascii="Arial" w:hAnsi="Arial" w:cs="Arial"/>
                <w:sz w:val="20"/>
                <w:szCs w:val="20"/>
              </w:rPr>
              <w:t>BM1</w:t>
            </w:r>
          </w:p>
        </w:tc>
        <w:tc>
          <w:tcPr>
            <w:tcW w:w="1915" w:type="dxa"/>
            <w:tcBorders>
              <w:top w:val="single" w:sz="4" w:space="0" w:color="auto"/>
            </w:tcBorders>
          </w:tcPr>
          <w:p w14:paraId="6B24EEFD" w14:textId="77777777" w:rsidR="002F1621" w:rsidRDefault="000C28D5">
            <w:pPr>
              <w:spacing w:line="480" w:lineRule="auto"/>
              <w:rPr>
                <w:rFonts w:ascii="Arial" w:hAnsi="Arial" w:cs="Arial"/>
                <w:sz w:val="20"/>
                <w:szCs w:val="20"/>
              </w:rPr>
            </w:pPr>
            <w:r>
              <w:rPr>
                <w:rFonts w:ascii="Arial" w:hAnsi="Arial" w:cs="Arial"/>
                <w:sz w:val="20"/>
                <w:szCs w:val="20"/>
              </w:rPr>
              <w:t>1.0×10</w:t>
            </w:r>
            <w:r>
              <w:rPr>
                <w:rFonts w:ascii="Arial" w:hAnsi="Arial" w:cs="Arial"/>
                <w:sz w:val="20"/>
                <w:szCs w:val="20"/>
                <w:vertAlign w:val="superscript"/>
              </w:rPr>
              <w:t>-7</w:t>
            </w:r>
          </w:p>
        </w:tc>
        <w:tc>
          <w:tcPr>
            <w:tcW w:w="1915" w:type="dxa"/>
            <w:tcBorders>
              <w:top w:val="single" w:sz="4" w:space="0" w:color="auto"/>
            </w:tcBorders>
          </w:tcPr>
          <w:p w14:paraId="02F14D9C" w14:textId="77777777" w:rsidR="002F1621" w:rsidRDefault="000C28D5">
            <w:pPr>
              <w:spacing w:line="480" w:lineRule="auto"/>
              <w:rPr>
                <w:rFonts w:ascii="Arial" w:hAnsi="Arial" w:cs="Arial"/>
                <w:sz w:val="20"/>
                <w:szCs w:val="20"/>
              </w:rPr>
            </w:pPr>
            <w:r>
              <w:rPr>
                <w:rFonts w:ascii="Arial" w:hAnsi="Arial" w:cs="Arial"/>
                <w:sz w:val="20"/>
                <w:szCs w:val="20"/>
              </w:rPr>
              <w:t>8.7×10</w:t>
            </w:r>
            <w:r>
              <w:rPr>
                <w:rFonts w:ascii="Arial" w:hAnsi="Arial" w:cs="Arial"/>
                <w:sz w:val="20"/>
                <w:szCs w:val="20"/>
                <w:vertAlign w:val="superscript"/>
              </w:rPr>
              <w:t>-8</w:t>
            </w:r>
          </w:p>
        </w:tc>
        <w:tc>
          <w:tcPr>
            <w:tcW w:w="1915" w:type="dxa"/>
            <w:tcBorders>
              <w:top w:val="single" w:sz="4" w:space="0" w:color="auto"/>
            </w:tcBorders>
          </w:tcPr>
          <w:p w14:paraId="7E3B0A26" w14:textId="77777777" w:rsidR="002F1621" w:rsidRDefault="000C28D5">
            <w:pPr>
              <w:spacing w:line="480" w:lineRule="auto"/>
              <w:rPr>
                <w:rFonts w:ascii="Arial" w:eastAsiaTheme="minorEastAsia" w:hAnsi="Arial" w:cs="Arial"/>
                <w:kern w:val="2"/>
                <w:sz w:val="20"/>
                <w:szCs w:val="20"/>
                <w14:ligatures w14:val="standardContextual"/>
              </w:rPr>
            </w:pPr>
            <w:r>
              <w:rPr>
                <w:rFonts w:ascii="Arial" w:hAnsi="Arial" w:cs="Arial"/>
                <w:sz w:val="20"/>
                <w:szCs w:val="20"/>
              </w:rPr>
              <w:t>1.5×10</w:t>
            </w:r>
            <w:r>
              <w:rPr>
                <w:rFonts w:ascii="Arial" w:hAnsi="Arial" w:cs="Arial"/>
                <w:sz w:val="20"/>
                <w:szCs w:val="20"/>
                <w:vertAlign w:val="superscript"/>
              </w:rPr>
              <w:t>-11</w:t>
            </w:r>
          </w:p>
        </w:tc>
        <w:tc>
          <w:tcPr>
            <w:tcW w:w="1916" w:type="dxa"/>
            <w:tcBorders>
              <w:top w:val="single" w:sz="4" w:space="0" w:color="auto"/>
            </w:tcBorders>
          </w:tcPr>
          <w:p w14:paraId="3A0141A7" w14:textId="77777777" w:rsidR="002F1621" w:rsidRDefault="000C28D5">
            <w:pPr>
              <w:spacing w:line="480" w:lineRule="auto"/>
              <w:rPr>
                <w:rFonts w:ascii="Arial" w:hAnsi="Arial" w:cs="Arial"/>
                <w:sz w:val="20"/>
                <w:szCs w:val="20"/>
              </w:rPr>
            </w:pPr>
            <w:r>
              <w:rPr>
                <w:rFonts w:ascii="Arial" w:hAnsi="Arial" w:cs="Arial"/>
                <w:sz w:val="20"/>
                <w:szCs w:val="20"/>
              </w:rPr>
              <w:t>1.8×10</w:t>
            </w:r>
            <w:r>
              <w:rPr>
                <w:rFonts w:ascii="Arial" w:hAnsi="Arial" w:cs="Arial"/>
                <w:sz w:val="20"/>
                <w:szCs w:val="20"/>
                <w:vertAlign w:val="superscript"/>
              </w:rPr>
              <w:t>-7</w:t>
            </w:r>
          </w:p>
        </w:tc>
      </w:tr>
      <w:tr w:rsidR="002F1621" w14:paraId="16EF60FC" w14:textId="77777777">
        <w:tc>
          <w:tcPr>
            <w:tcW w:w="1915" w:type="dxa"/>
          </w:tcPr>
          <w:p w14:paraId="0D74FD67" w14:textId="77777777" w:rsidR="002F1621" w:rsidRDefault="000C28D5">
            <w:pPr>
              <w:spacing w:line="480" w:lineRule="auto"/>
              <w:rPr>
                <w:rFonts w:ascii="Arial" w:hAnsi="Arial" w:cs="Arial"/>
                <w:sz w:val="20"/>
                <w:szCs w:val="20"/>
              </w:rPr>
            </w:pPr>
            <w:r>
              <w:rPr>
                <w:rFonts w:ascii="Arial" w:hAnsi="Arial" w:cs="Arial"/>
                <w:sz w:val="20"/>
                <w:szCs w:val="20"/>
              </w:rPr>
              <w:t>BM2</w:t>
            </w:r>
          </w:p>
        </w:tc>
        <w:tc>
          <w:tcPr>
            <w:tcW w:w="1915" w:type="dxa"/>
          </w:tcPr>
          <w:p w14:paraId="5C2A1449" w14:textId="77777777" w:rsidR="002F1621" w:rsidRDefault="000C28D5">
            <w:pPr>
              <w:spacing w:line="480" w:lineRule="auto"/>
              <w:rPr>
                <w:rFonts w:ascii="Arial" w:hAnsi="Arial" w:cs="Arial"/>
                <w:sz w:val="20"/>
                <w:szCs w:val="20"/>
              </w:rPr>
            </w:pPr>
            <w:r>
              <w:rPr>
                <w:rFonts w:ascii="Arial" w:hAnsi="Arial" w:cs="Arial"/>
                <w:sz w:val="20"/>
                <w:szCs w:val="20"/>
              </w:rPr>
              <w:t>2.9×10</w:t>
            </w:r>
            <w:r>
              <w:rPr>
                <w:rFonts w:ascii="Arial" w:hAnsi="Arial" w:cs="Arial"/>
                <w:sz w:val="20"/>
                <w:szCs w:val="20"/>
                <w:vertAlign w:val="superscript"/>
              </w:rPr>
              <w:t>-7</w:t>
            </w:r>
          </w:p>
        </w:tc>
        <w:tc>
          <w:tcPr>
            <w:tcW w:w="1915" w:type="dxa"/>
          </w:tcPr>
          <w:p w14:paraId="55591361" w14:textId="77777777" w:rsidR="002F1621" w:rsidRDefault="000C28D5">
            <w:pPr>
              <w:spacing w:line="480" w:lineRule="auto"/>
              <w:rPr>
                <w:rFonts w:ascii="Arial" w:hAnsi="Arial" w:cs="Arial"/>
                <w:sz w:val="20"/>
                <w:szCs w:val="20"/>
              </w:rPr>
            </w:pPr>
            <w:r>
              <w:rPr>
                <w:rFonts w:ascii="Arial" w:hAnsi="Arial" w:cs="Arial"/>
                <w:sz w:val="20"/>
                <w:szCs w:val="20"/>
              </w:rPr>
              <w:t>2.5×10</w:t>
            </w:r>
            <w:r>
              <w:rPr>
                <w:rFonts w:ascii="Arial" w:hAnsi="Arial" w:cs="Arial"/>
                <w:sz w:val="20"/>
                <w:szCs w:val="20"/>
                <w:vertAlign w:val="superscript"/>
              </w:rPr>
              <w:t>-7</w:t>
            </w:r>
          </w:p>
        </w:tc>
        <w:tc>
          <w:tcPr>
            <w:tcW w:w="1915" w:type="dxa"/>
          </w:tcPr>
          <w:p w14:paraId="5549486E" w14:textId="77777777" w:rsidR="002F1621" w:rsidRDefault="000C28D5">
            <w:pPr>
              <w:spacing w:line="480" w:lineRule="auto"/>
              <w:rPr>
                <w:rFonts w:ascii="Arial" w:eastAsiaTheme="minorEastAsia" w:hAnsi="Arial" w:cs="Arial"/>
                <w:kern w:val="2"/>
                <w:sz w:val="20"/>
                <w:szCs w:val="20"/>
                <w14:ligatures w14:val="standardContextual"/>
              </w:rPr>
            </w:pPr>
            <w:r>
              <w:rPr>
                <w:rFonts w:ascii="Arial" w:hAnsi="Arial" w:cs="Arial"/>
                <w:sz w:val="20"/>
                <w:szCs w:val="20"/>
              </w:rPr>
              <w:t>4.3×10</w:t>
            </w:r>
            <w:r>
              <w:rPr>
                <w:rFonts w:ascii="Arial" w:hAnsi="Arial" w:cs="Arial"/>
                <w:sz w:val="20"/>
                <w:szCs w:val="20"/>
                <w:vertAlign w:val="superscript"/>
              </w:rPr>
              <w:t>-11</w:t>
            </w:r>
          </w:p>
        </w:tc>
        <w:tc>
          <w:tcPr>
            <w:tcW w:w="1916" w:type="dxa"/>
          </w:tcPr>
          <w:p w14:paraId="776C75C8" w14:textId="77777777" w:rsidR="002F1621" w:rsidRDefault="000C28D5">
            <w:pPr>
              <w:spacing w:line="480" w:lineRule="auto"/>
              <w:rPr>
                <w:rFonts w:ascii="Arial" w:hAnsi="Arial" w:cs="Arial"/>
                <w:sz w:val="20"/>
                <w:szCs w:val="20"/>
              </w:rPr>
            </w:pPr>
            <w:r>
              <w:rPr>
                <w:rFonts w:ascii="Arial" w:hAnsi="Arial" w:cs="Arial"/>
                <w:sz w:val="20"/>
                <w:szCs w:val="20"/>
              </w:rPr>
              <w:t>5.5×10</w:t>
            </w:r>
            <w:r>
              <w:rPr>
                <w:rFonts w:ascii="Arial" w:hAnsi="Arial" w:cs="Arial"/>
                <w:sz w:val="20"/>
                <w:szCs w:val="20"/>
                <w:vertAlign w:val="superscript"/>
              </w:rPr>
              <w:t>-7</w:t>
            </w:r>
          </w:p>
        </w:tc>
      </w:tr>
      <w:tr w:rsidR="002F1621" w14:paraId="4B9A5EC3" w14:textId="77777777">
        <w:tc>
          <w:tcPr>
            <w:tcW w:w="1915" w:type="dxa"/>
          </w:tcPr>
          <w:p w14:paraId="7868699A" w14:textId="77777777" w:rsidR="002F1621" w:rsidRDefault="000C28D5">
            <w:pPr>
              <w:spacing w:line="480" w:lineRule="auto"/>
              <w:rPr>
                <w:rFonts w:ascii="Arial" w:hAnsi="Arial" w:cs="Arial"/>
                <w:sz w:val="20"/>
                <w:szCs w:val="20"/>
              </w:rPr>
            </w:pPr>
            <w:r>
              <w:rPr>
                <w:rFonts w:ascii="Arial" w:hAnsi="Arial" w:cs="Arial"/>
                <w:sz w:val="20"/>
                <w:szCs w:val="20"/>
              </w:rPr>
              <w:t>DW1</w:t>
            </w:r>
          </w:p>
        </w:tc>
        <w:tc>
          <w:tcPr>
            <w:tcW w:w="1915" w:type="dxa"/>
          </w:tcPr>
          <w:p w14:paraId="58A832C7" w14:textId="77777777" w:rsidR="002F1621" w:rsidRDefault="000C28D5">
            <w:pPr>
              <w:spacing w:line="480" w:lineRule="auto"/>
              <w:rPr>
                <w:rFonts w:ascii="Arial" w:hAnsi="Arial" w:cs="Arial"/>
                <w:sz w:val="20"/>
                <w:szCs w:val="20"/>
              </w:rPr>
            </w:pPr>
            <w:r>
              <w:rPr>
                <w:rFonts w:ascii="Arial" w:hAnsi="Arial" w:cs="Arial"/>
                <w:sz w:val="20"/>
                <w:szCs w:val="20"/>
              </w:rPr>
              <w:t>3.4×10</w:t>
            </w:r>
            <w:r>
              <w:rPr>
                <w:rFonts w:ascii="Arial" w:hAnsi="Arial" w:cs="Arial"/>
                <w:sz w:val="20"/>
                <w:szCs w:val="20"/>
                <w:vertAlign w:val="superscript"/>
              </w:rPr>
              <w:t>-7</w:t>
            </w:r>
          </w:p>
        </w:tc>
        <w:tc>
          <w:tcPr>
            <w:tcW w:w="1915" w:type="dxa"/>
          </w:tcPr>
          <w:p w14:paraId="47B0E39E" w14:textId="77777777" w:rsidR="002F1621" w:rsidRDefault="000C28D5">
            <w:pPr>
              <w:spacing w:line="480" w:lineRule="auto"/>
              <w:rPr>
                <w:rFonts w:ascii="Arial" w:hAnsi="Arial" w:cs="Arial"/>
                <w:sz w:val="20"/>
                <w:szCs w:val="20"/>
              </w:rPr>
            </w:pPr>
            <w:r>
              <w:rPr>
                <w:rFonts w:ascii="Arial" w:hAnsi="Arial" w:cs="Arial"/>
                <w:sz w:val="20"/>
                <w:szCs w:val="20"/>
              </w:rPr>
              <w:t>2.9×10</w:t>
            </w:r>
            <w:r>
              <w:rPr>
                <w:rFonts w:ascii="Arial" w:hAnsi="Arial" w:cs="Arial"/>
                <w:sz w:val="20"/>
                <w:szCs w:val="20"/>
                <w:vertAlign w:val="superscript"/>
              </w:rPr>
              <w:t>-7</w:t>
            </w:r>
          </w:p>
        </w:tc>
        <w:tc>
          <w:tcPr>
            <w:tcW w:w="1915" w:type="dxa"/>
          </w:tcPr>
          <w:p w14:paraId="681910BE" w14:textId="77777777" w:rsidR="002F1621" w:rsidRDefault="000C28D5">
            <w:pPr>
              <w:spacing w:line="480" w:lineRule="auto"/>
              <w:rPr>
                <w:rFonts w:ascii="Arial" w:eastAsiaTheme="minorEastAsia" w:hAnsi="Arial" w:cs="Arial"/>
                <w:kern w:val="2"/>
                <w:sz w:val="20"/>
                <w:szCs w:val="20"/>
                <w14:ligatures w14:val="standardContextual"/>
              </w:rPr>
            </w:pPr>
            <w:r>
              <w:rPr>
                <w:rFonts w:ascii="Arial" w:hAnsi="Arial" w:cs="Arial"/>
                <w:sz w:val="20"/>
                <w:szCs w:val="20"/>
              </w:rPr>
              <w:t>5.1×10</w:t>
            </w:r>
            <w:r>
              <w:rPr>
                <w:rFonts w:ascii="Arial" w:hAnsi="Arial" w:cs="Arial"/>
                <w:sz w:val="20"/>
                <w:szCs w:val="20"/>
                <w:vertAlign w:val="superscript"/>
              </w:rPr>
              <w:t>-11</w:t>
            </w:r>
          </w:p>
        </w:tc>
        <w:tc>
          <w:tcPr>
            <w:tcW w:w="1916" w:type="dxa"/>
          </w:tcPr>
          <w:p w14:paraId="24A43BE4" w14:textId="77777777" w:rsidR="002F1621" w:rsidRDefault="000C28D5">
            <w:pPr>
              <w:spacing w:line="480" w:lineRule="auto"/>
              <w:rPr>
                <w:rFonts w:ascii="Arial" w:hAnsi="Arial" w:cs="Arial"/>
                <w:sz w:val="20"/>
                <w:szCs w:val="20"/>
              </w:rPr>
            </w:pPr>
            <w:r>
              <w:rPr>
                <w:rFonts w:ascii="Arial" w:hAnsi="Arial" w:cs="Arial"/>
                <w:sz w:val="20"/>
                <w:szCs w:val="20"/>
              </w:rPr>
              <w:t>6.4×10</w:t>
            </w:r>
            <w:r>
              <w:rPr>
                <w:rFonts w:ascii="Arial" w:hAnsi="Arial" w:cs="Arial"/>
                <w:sz w:val="20"/>
                <w:szCs w:val="20"/>
                <w:vertAlign w:val="superscript"/>
              </w:rPr>
              <w:t>-7</w:t>
            </w:r>
          </w:p>
        </w:tc>
      </w:tr>
      <w:tr w:rsidR="002F1621" w14:paraId="4AB57942" w14:textId="77777777">
        <w:tc>
          <w:tcPr>
            <w:tcW w:w="1915" w:type="dxa"/>
          </w:tcPr>
          <w:p w14:paraId="7C323CDF" w14:textId="77777777" w:rsidR="002F1621" w:rsidRDefault="000C28D5">
            <w:pPr>
              <w:spacing w:line="480" w:lineRule="auto"/>
              <w:rPr>
                <w:rFonts w:ascii="Arial" w:hAnsi="Arial" w:cs="Arial"/>
                <w:sz w:val="20"/>
                <w:szCs w:val="20"/>
              </w:rPr>
            </w:pPr>
            <w:r>
              <w:rPr>
                <w:rFonts w:ascii="Arial" w:hAnsi="Arial" w:cs="Arial"/>
                <w:sz w:val="20"/>
                <w:szCs w:val="20"/>
              </w:rPr>
              <w:lastRenderedPageBreak/>
              <w:t>DW2</w:t>
            </w:r>
          </w:p>
        </w:tc>
        <w:tc>
          <w:tcPr>
            <w:tcW w:w="1915" w:type="dxa"/>
          </w:tcPr>
          <w:p w14:paraId="2E5635A4" w14:textId="77777777" w:rsidR="002F1621" w:rsidRDefault="000C28D5">
            <w:pPr>
              <w:spacing w:line="480" w:lineRule="auto"/>
              <w:rPr>
                <w:rFonts w:ascii="Arial" w:hAnsi="Arial" w:cs="Arial"/>
                <w:sz w:val="20"/>
                <w:szCs w:val="20"/>
              </w:rPr>
            </w:pPr>
            <w:r>
              <w:rPr>
                <w:rFonts w:ascii="Arial" w:hAnsi="Arial" w:cs="Arial"/>
                <w:sz w:val="20"/>
                <w:szCs w:val="20"/>
              </w:rPr>
              <w:t>1.8×10</w:t>
            </w:r>
            <w:r>
              <w:rPr>
                <w:rFonts w:ascii="Arial" w:hAnsi="Arial" w:cs="Arial"/>
                <w:sz w:val="20"/>
                <w:szCs w:val="20"/>
                <w:vertAlign w:val="superscript"/>
              </w:rPr>
              <w:t>-7</w:t>
            </w:r>
          </w:p>
        </w:tc>
        <w:tc>
          <w:tcPr>
            <w:tcW w:w="1915" w:type="dxa"/>
          </w:tcPr>
          <w:p w14:paraId="3C54AD85" w14:textId="77777777" w:rsidR="002F1621" w:rsidRDefault="000C28D5">
            <w:pPr>
              <w:spacing w:line="480" w:lineRule="auto"/>
              <w:rPr>
                <w:rFonts w:ascii="Arial" w:hAnsi="Arial" w:cs="Arial"/>
                <w:sz w:val="20"/>
                <w:szCs w:val="20"/>
              </w:rPr>
            </w:pPr>
            <w:r>
              <w:rPr>
                <w:rFonts w:ascii="Arial" w:hAnsi="Arial" w:cs="Arial"/>
                <w:sz w:val="20"/>
                <w:szCs w:val="20"/>
              </w:rPr>
              <w:t>1.6×10</w:t>
            </w:r>
            <w:r>
              <w:rPr>
                <w:rFonts w:ascii="Arial" w:hAnsi="Arial" w:cs="Arial"/>
                <w:sz w:val="20"/>
                <w:szCs w:val="20"/>
                <w:vertAlign w:val="superscript"/>
              </w:rPr>
              <w:t>-7</w:t>
            </w:r>
          </w:p>
        </w:tc>
        <w:tc>
          <w:tcPr>
            <w:tcW w:w="1915" w:type="dxa"/>
          </w:tcPr>
          <w:p w14:paraId="17919219" w14:textId="77777777" w:rsidR="002F1621" w:rsidRDefault="000C28D5">
            <w:pPr>
              <w:spacing w:line="480" w:lineRule="auto"/>
              <w:rPr>
                <w:rFonts w:ascii="Arial" w:eastAsiaTheme="minorEastAsia" w:hAnsi="Arial" w:cs="Arial"/>
                <w:kern w:val="2"/>
                <w:sz w:val="20"/>
                <w:szCs w:val="20"/>
                <w14:ligatures w14:val="standardContextual"/>
              </w:rPr>
            </w:pPr>
            <w:r>
              <w:rPr>
                <w:rFonts w:ascii="Arial" w:hAnsi="Arial" w:cs="Arial"/>
                <w:sz w:val="20"/>
                <w:szCs w:val="20"/>
              </w:rPr>
              <w:t>2.7×10</w:t>
            </w:r>
            <w:r>
              <w:rPr>
                <w:rFonts w:ascii="Arial" w:hAnsi="Arial" w:cs="Arial"/>
                <w:sz w:val="20"/>
                <w:szCs w:val="20"/>
                <w:vertAlign w:val="superscript"/>
              </w:rPr>
              <w:t>-11</w:t>
            </w:r>
          </w:p>
        </w:tc>
        <w:tc>
          <w:tcPr>
            <w:tcW w:w="1916" w:type="dxa"/>
          </w:tcPr>
          <w:p w14:paraId="469E8733" w14:textId="77777777" w:rsidR="002F1621" w:rsidRDefault="000C28D5">
            <w:pPr>
              <w:spacing w:line="480" w:lineRule="auto"/>
              <w:rPr>
                <w:rFonts w:ascii="Arial" w:hAnsi="Arial" w:cs="Arial"/>
                <w:sz w:val="20"/>
                <w:szCs w:val="20"/>
              </w:rPr>
            </w:pPr>
            <w:r>
              <w:rPr>
                <w:rFonts w:ascii="Arial" w:hAnsi="Arial" w:cs="Arial"/>
                <w:sz w:val="20"/>
                <w:szCs w:val="20"/>
              </w:rPr>
              <w:t>3.4×10</w:t>
            </w:r>
            <w:r>
              <w:rPr>
                <w:rFonts w:ascii="Arial" w:hAnsi="Arial" w:cs="Arial"/>
                <w:sz w:val="20"/>
                <w:szCs w:val="20"/>
                <w:vertAlign w:val="superscript"/>
              </w:rPr>
              <w:t>-7</w:t>
            </w:r>
          </w:p>
        </w:tc>
      </w:tr>
      <w:tr w:rsidR="002F1621" w14:paraId="5E927137" w14:textId="77777777">
        <w:tc>
          <w:tcPr>
            <w:tcW w:w="1915" w:type="dxa"/>
          </w:tcPr>
          <w:p w14:paraId="2EF9A8A0" w14:textId="77777777" w:rsidR="002F1621" w:rsidRDefault="000C28D5">
            <w:pPr>
              <w:spacing w:line="480" w:lineRule="auto"/>
              <w:rPr>
                <w:rFonts w:ascii="Arial" w:hAnsi="Arial" w:cs="Arial"/>
                <w:sz w:val="20"/>
                <w:szCs w:val="20"/>
              </w:rPr>
            </w:pPr>
            <w:r>
              <w:rPr>
                <w:rFonts w:ascii="Arial" w:hAnsi="Arial" w:cs="Arial"/>
                <w:sz w:val="20"/>
                <w:szCs w:val="20"/>
              </w:rPr>
              <w:t>BU1</w:t>
            </w:r>
          </w:p>
        </w:tc>
        <w:tc>
          <w:tcPr>
            <w:tcW w:w="1915" w:type="dxa"/>
          </w:tcPr>
          <w:p w14:paraId="3AC6DF30" w14:textId="77777777" w:rsidR="002F1621" w:rsidRDefault="000C28D5">
            <w:pPr>
              <w:spacing w:line="480" w:lineRule="auto"/>
              <w:rPr>
                <w:rFonts w:ascii="Arial" w:hAnsi="Arial" w:cs="Arial"/>
                <w:sz w:val="20"/>
                <w:szCs w:val="20"/>
              </w:rPr>
            </w:pPr>
            <w:r>
              <w:rPr>
                <w:rFonts w:ascii="Arial" w:hAnsi="Arial" w:cs="Arial"/>
                <w:sz w:val="20"/>
                <w:szCs w:val="20"/>
              </w:rPr>
              <w:t>1.6×10</w:t>
            </w:r>
            <w:r>
              <w:rPr>
                <w:rFonts w:ascii="Arial" w:hAnsi="Arial" w:cs="Arial"/>
                <w:sz w:val="20"/>
                <w:szCs w:val="20"/>
                <w:vertAlign w:val="superscript"/>
              </w:rPr>
              <w:t>-7</w:t>
            </w:r>
          </w:p>
        </w:tc>
        <w:tc>
          <w:tcPr>
            <w:tcW w:w="1915" w:type="dxa"/>
          </w:tcPr>
          <w:p w14:paraId="7A6CFED7" w14:textId="77777777" w:rsidR="002F1621" w:rsidRDefault="000C28D5">
            <w:pPr>
              <w:spacing w:line="480" w:lineRule="auto"/>
              <w:rPr>
                <w:rFonts w:ascii="Arial" w:hAnsi="Arial" w:cs="Arial"/>
                <w:sz w:val="20"/>
                <w:szCs w:val="20"/>
              </w:rPr>
            </w:pPr>
            <w:r>
              <w:rPr>
                <w:rFonts w:ascii="Arial" w:hAnsi="Arial" w:cs="Arial"/>
                <w:sz w:val="20"/>
                <w:szCs w:val="20"/>
              </w:rPr>
              <w:t>1.4×10</w:t>
            </w:r>
            <w:r>
              <w:rPr>
                <w:rFonts w:ascii="Arial" w:hAnsi="Arial" w:cs="Arial"/>
                <w:sz w:val="20"/>
                <w:szCs w:val="20"/>
                <w:vertAlign w:val="superscript"/>
              </w:rPr>
              <w:t>-7</w:t>
            </w:r>
          </w:p>
        </w:tc>
        <w:tc>
          <w:tcPr>
            <w:tcW w:w="1915" w:type="dxa"/>
          </w:tcPr>
          <w:p w14:paraId="4279661B" w14:textId="77777777" w:rsidR="002F1621" w:rsidRDefault="000C28D5">
            <w:pPr>
              <w:spacing w:line="480" w:lineRule="auto"/>
              <w:rPr>
                <w:rFonts w:ascii="Arial" w:eastAsiaTheme="minorEastAsia" w:hAnsi="Arial" w:cs="Arial"/>
                <w:kern w:val="2"/>
                <w:sz w:val="20"/>
                <w:szCs w:val="20"/>
                <w14:ligatures w14:val="standardContextual"/>
              </w:rPr>
            </w:pPr>
            <w:r>
              <w:rPr>
                <w:rFonts w:ascii="Arial" w:hAnsi="Arial" w:cs="Arial"/>
                <w:sz w:val="20"/>
                <w:szCs w:val="20"/>
              </w:rPr>
              <w:t>2.4×10</w:t>
            </w:r>
            <w:r>
              <w:rPr>
                <w:rFonts w:ascii="Arial" w:hAnsi="Arial" w:cs="Arial"/>
                <w:sz w:val="20"/>
                <w:szCs w:val="20"/>
                <w:vertAlign w:val="superscript"/>
              </w:rPr>
              <w:t>-11</w:t>
            </w:r>
          </w:p>
        </w:tc>
        <w:tc>
          <w:tcPr>
            <w:tcW w:w="1916" w:type="dxa"/>
          </w:tcPr>
          <w:p w14:paraId="464EF825" w14:textId="77777777" w:rsidR="002F1621" w:rsidRDefault="000C28D5">
            <w:pPr>
              <w:spacing w:line="480" w:lineRule="auto"/>
              <w:rPr>
                <w:rFonts w:ascii="Arial" w:hAnsi="Arial" w:cs="Arial"/>
                <w:sz w:val="20"/>
                <w:szCs w:val="20"/>
              </w:rPr>
            </w:pPr>
            <w:r>
              <w:rPr>
                <w:rFonts w:ascii="Arial" w:hAnsi="Arial" w:cs="Arial"/>
                <w:sz w:val="20"/>
                <w:szCs w:val="20"/>
              </w:rPr>
              <w:t>3.1×10</w:t>
            </w:r>
            <w:r>
              <w:rPr>
                <w:rFonts w:ascii="Arial" w:hAnsi="Arial" w:cs="Arial"/>
                <w:sz w:val="20"/>
                <w:szCs w:val="20"/>
                <w:vertAlign w:val="superscript"/>
              </w:rPr>
              <w:t>-7</w:t>
            </w:r>
          </w:p>
        </w:tc>
      </w:tr>
      <w:tr w:rsidR="002F1621" w14:paraId="7C46EB68" w14:textId="77777777">
        <w:tc>
          <w:tcPr>
            <w:tcW w:w="1915" w:type="dxa"/>
          </w:tcPr>
          <w:p w14:paraId="330E39A7" w14:textId="77777777" w:rsidR="002F1621" w:rsidRDefault="000C28D5">
            <w:pPr>
              <w:spacing w:line="480" w:lineRule="auto"/>
              <w:rPr>
                <w:rFonts w:ascii="Arial" w:hAnsi="Arial" w:cs="Arial"/>
                <w:sz w:val="20"/>
                <w:szCs w:val="20"/>
              </w:rPr>
            </w:pPr>
            <w:r>
              <w:rPr>
                <w:rFonts w:ascii="Arial" w:hAnsi="Arial" w:cs="Arial"/>
                <w:sz w:val="20"/>
                <w:szCs w:val="20"/>
              </w:rPr>
              <w:t>BU2</w:t>
            </w:r>
          </w:p>
        </w:tc>
        <w:tc>
          <w:tcPr>
            <w:tcW w:w="1915" w:type="dxa"/>
          </w:tcPr>
          <w:p w14:paraId="43C67A02" w14:textId="77777777" w:rsidR="002F1621" w:rsidRDefault="000C28D5">
            <w:pPr>
              <w:spacing w:line="480" w:lineRule="auto"/>
              <w:rPr>
                <w:rFonts w:ascii="Arial" w:eastAsiaTheme="minorEastAsia" w:hAnsi="Arial" w:cs="Arial"/>
                <w:kern w:val="2"/>
                <w:sz w:val="20"/>
                <w:szCs w:val="20"/>
                <w14:ligatures w14:val="standardContextual"/>
              </w:rPr>
            </w:pPr>
            <w:r>
              <w:rPr>
                <w:rFonts w:ascii="Arial" w:hAnsi="Arial" w:cs="Arial"/>
                <w:sz w:val="20"/>
                <w:szCs w:val="20"/>
              </w:rPr>
              <w:t>1.1×10</w:t>
            </w:r>
            <w:r>
              <w:rPr>
                <w:rFonts w:ascii="Arial" w:hAnsi="Arial" w:cs="Arial"/>
                <w:sz w:val="20"/>
                <w:szCs w:val="20"/>
                <w:vertAlign w:val="superscript"/>
              </w:rPr>
              <w:t>-7</w:t>
            </w:r>
          </w:p>
        </w:tc>
        <w:tc>
          <w:tcPr>
            <w:tcW w:w="1915" w:type="dxa"/>
          </w:tcPr>
          <w:p w14:paraId="30437D5D" w14:textId="77777777" w:rsidR="002F1621" w:rsidRDefault="000C28D5">
            <w:pPr>
              <w:spacing w:line="480" w:lineRule="auto"/>
              <w:rPr>
                <w:rFonts w:ascii="Arial" w:hAnsi="Arial" w:cs="Arial"/>
                <w:sz w:val="20"/>
                <w:szCs w:val="20"/>
              </w:rPr>
            </w:pPr>
            <w:r>
              <w:rPr>
                <w:rFonts w:ascii="Arial" w:hAnsi="Arial" w:cs="Arial"/>
                <w:sz w:val="20"/>
                <w:szCs w:val="20"/>
              </w:rPr>
              <w:t>9.0×10</w:t>
            </w:r>
            <w:r>
              <w:rPr>
                <w:rFonts w:ascii="Arial" w:hAnsi="Arial" w:cs="Arial"/>
                <w:sz w:val="20"/>
                <w:szCs w:val="20"/>
                <w:vertAlign w:val="superscript"/>
              </w:rPr>
              <w:t>-8</w:t>
            </w:r>
          </w:p>
        </w:tc>
        <w:tc>
          <w:tcPr>
            <w:tcW w:w="1915" w:type="dxa"/>
          </w:tcPr>
          <w:p w14:paraId="282D1C13" w14:textId="77777777" w:rsidR="002F1621" w:rsidRDefault="000C28D5">
            <w:pPr>
              <w:spacing w:line="480" w:lineRule="auto"/>
              <w:rPr>
                <w:rFonts w:ascii="Arial" w:eastAsiaTheme="minorEastAsia" w:hAnsi="Arial" w:cs="Arial"/>
                <w:kern w:val="2"/>
                <w:sz w:val="20"/>
                <w:szCs w:val="20"/>
                <w14:ligatures w14:val="standardContextual"/>
              </w:rPr>
            </w:pPr>
            <w:r>
              <w:rPr>
                <w:rFonts w:ascii="Arial" w:hAnsi="Arial" w:cs="Arial"/>
                <w:sz w:val="20"/>
                <w:szCs w:val="20"/>
              </w:rPr>
              <w:t>1.5×10</w:t>
            </w:r>
            <w:r>
              <w:rPr>
                <w:rFonts w:ascii="Arial" w:hAnsi="Arial" w:cs="Arial"/>
                <w:sz w:val="20"/>
                <w:szCs w:val="20"/>
                <w:vertAlign w:val="superscript"/>
              </w:rPr>
              <w:t>-11</w:t>
            </w:r>
          </w:p>
        </w:tc>
        <w:tc>
          <w:tcPr>
            <w:tcW w:w="1916" w:type="dxa"/>
          </w:tcPr>
          <w:p w14:paraId="659ABCB9" w14:textId="77777777" w:rsidR="002F1621" w:rsidRDefault="000C28D5">
            <w:pPr>
              <w:spacing w:line="480" w:lineRule="auto"/>
              <w:rPr>
                <w:rFonts w:ascii="Arial" w:hAnsi="Arial" w:cs="Arial"/>
                <w:sz w:val="20"/>
                <w:szCs w:val="20"/>
              </w:rPr>
            </w:pPr>
            <w:r>
              <w:rPr>
                <w:rFonts w:ascii="Arial" w:hAnsi="Arial" w:cs="Arial"/>
                <w:sz w:val="20"/>
                <w:szCs w:val="20"/>
              </w:rPr>
              <w:t>1.9×10</w:t>
            </w:r>
            <w:r>
              <w:rPr>
                <w:rFonts w:ascii="Arial" w:hAnsi="Arial" w:cs="Arial"/>
                <w:sz w:val="20"/>
                <w:szCs w:val="20"/>
                <w:vertAlign w:val="superscript"/>
              </w:rPr>
              <w:t>-7</w:t>
            </w:r>
          </w:p>
        </w:tc>
      </w:tr>
    </w:tbl>
    <w:p w14:paraId="47C1EBB1" w14:textId="77777777" w:rsidR="002F1621" w:rsidRDefault="002F1621">
      <w:pPr>
        <w:pStyle w:val="ConcHead"/>
        <w:spacing w:after="0"/>
        <w:jc w:val="both"/>
        <w:rPr>
          <w:rFonts w:ascii="Arial" w:hAnsi="Arial" w:cs="Arial"/>
        </w:rPr>
      </w:pPr>
    </w:p>
    <w:p w14:paraId="757BC954" w14:textId="77777777" w:rsidR="002F1621" w:rsidRDefault="002F1621">
      <w:pPr>
        <w:pStyle w:val="ConcHead"/>
        <w:spacing w:after="0"/>
        <w:jc w:val="both"/>
        <w:rPr>
          <w:rFonts w:ascii="Arial" w:hAnsi="Arial" w:cs="Arial"/>
        </w:rPr>
      </w:pPr>
    </w:p>
    <w:p w14:paraId="28E7882A" w14:textId="77777777" w:rsidR="002F1621" w:rsidRDefault="000C28D5">
      <w:pPr>
        <w:rPr>
          <w:rFonts w:ascii="Arial" w:hAnsi="Arial" w:cs="Arial"/>
          <w:b/>
          <w:bCs/>
          <w:sz w:val="22"/>
          <w:szCs w:val="22"/>
        </w:rPr>
      </w:pPr>
      <w:r>
        <w:rPr>
          <w:rFonts w:ascii="Arial" w:hAnsi="Arial" w:cs="Arial"/>
          <w:b/>
          <w:bCs/>
          <w:sz w:val="22"/>
          <w:szCs w:val="22"/>
        </w:rPr>
        <w:t>3.6</w:t>
      </w:r>
      <w:r>
        <w:rPr>
          <w:rFonts w:ascii="Arial" w:hAnsi="Arial" w:cs="Arial"/>
          <w:b/>
          <w:bCs/>
          <w:sz w:val="22"/>
          <w:szCs w:val="22"/>
        </w:rPr>
        <w:tab/>
        <w:t>Limitations of the Study and Recommendations</w:t>
      </w:r>
    </w:p>
    <w:p w14:paraId="555F756B" w14:textId="77777777" w:rsidR="002F1621" w:rsidRDefault="000C28D5">
      <w:pPr>
        <w:jc w:val="both"/>
        <w:rPr>
          <w:rFonts w:ascii="Arial" w:hAnsi="Arial" w:cs="Arial"/>
        </w:rPr>
      </w:pPr>
      <w:r>
        <w:rPr>
          <w:rFonts w:ascii="Arial" w:hAnsi="Arial" w:cs="Arial"/>
        </w:rPr>
        <w:t xml:space="preserve">This study was limited by small sample </w:t>
      </w:r>
      <w:proofErr w:type="spellStart"/>
      <w:r>
        <w:rPr>
          <w:rFonts w:ascii="Arial" w:hAnsi="Arial" w:cs="Arial"/>
        </w:rPr>
        <w:t>size</w:t>
      </w:r>
      <w:r>
        <w:rPr>
          <w:rFonts w:ascii="Arial" w:eastAsia="SimSun" w:hAnsi="Arial" w:cs="Arial"/>
        </w:rPr>
        <w:t>－</w:t>
      </w:r>
      <w:r>
        <w:rPr>
          <w:rFonts w:ascii="Arial" w:hAnsi="Arial" w:cs="Arial"/>
        </w:rPr>
        <w:t>two</w:t>
      </w:r>
      <w:proofErr w:type="spellEnd"/>
      <w:r>
        <w:rPr>
          <w:rFonts w:ascii="Arial" w:hAnsi="Arial" w:cs="Arial"/>
        </w:rPr>
        <w:t xml:space="preserve"> ARWs per city across three cities (Douala, Bamenda, and Buea) due to financial and logistical constraints. This limited sample size may limit the generalizability of the results to other automobile repair workshop areas within Cameroon and the broader Central African region. Future research should aim to include more workshops across diverse urban and peri-urban settings to better capture the variability in PAH contamination patterns.</w:t>
      </w:r>
    </w:p>
    <w:p w14:paraId="4A28729F" w14:textId="77777777" w:rsidR="002F1621" w:rsidRDefault="002F1621">
      <w:pPr>
        <w:jc w:val="both"/>
        <w:rPr>
          <w:rFonts w:ascii="Arial" w:hAnsi="Arial" w:cs="Arial"/>
        </w:rPr>
      </w:pPr>
    </w:p>
    <w:p w14:paraId="0CC2150E" w14:textId="77777777" w:rsidR="002F1621" w:rsidRDefault="000C28D5">
      <w:pPr>
        <w:jc w:val="both"/>
        <w:rPr>
          <w:rFonts w:ascii="Arial" w:hAnsi="Arial" w:cs="Arial"/>
        </w:rPr>
      </w:pPr>
      <w:r>
        <w:rPr>
          <w:rFonts w:ascii="Arial" w:hAnsi="Arial" w:cs="Arial"/>
        </w:rPr>
        <w:t>Temporal variability: Sampling was conducted during a single season (dry season), and temporal variations in PAH concentrations resulting from weather patterns, seasonal rainfall variations, and seasonal changes in workshop activity levels were not accounted for.  Multi-season sampling studies are recommended in future studies to characterize temporal dynamics more comprehensively.</w:t>
      </w:r>
    </w:p>
    <w:p w14:paraId="0CAE8505" w14:textId="77777777" w:rsidR="002F1621" w:rsidRDefault="002F1621">
      <w:pPr>
        <w:jc w:val="both"/>
        <w:rPr>
          <w:rFonts w:ascii="Arial" w:hAnsi="Arial" w:cs="Arial"/>
        </w:rPr>
      </w:pPr>
    </w:p>
    <w:p w14:paraId="1E31B682" w14:textId="77777777" w:rsidR="002F1621" w:rsidRDefault="000C28D5">
      <w:pPr>
        <w:jc w:val="both"/>
        <w:rPr>
          <w:rFonts w:ascii="Arial" w:hAnsi="Arial" w:cs="Arial"/>
        </w:rPr>
      </w:pPr>
      <w:r>
        <w:rPr>
          <w:rFonts w:ascii="Arial" w:hAnsi="Arial" w:cs="Arial"/>
        </w:rPr>
        <w:t>Co-contaminants: This study focused exclusively on PAHs and did not assess other contaminants commonly present in automobile workshop environments, including heavy metals (Pb, Cd, Zn, Cu), benzene, toluene, ethylbenzene, xylene (BTEX compounds), and particulate matter. Comprehensive environmental and health risk assessments should adopt a multi-contaminant approach.</w:t>
      </w:r>
    </w:p>
    <w:p w14:paraId="74335AB6" w14:textId="77777777" w:rsidR="002F1621" w:rsidRDefault="002F1621">
      <w:pPr>
        <w:rPr>
          <w:rFonts w:ascii="Arial" w:hAnsi="Arial" w:cs="Arial"/>
          <w:b/>
          <w:bCs/>
        </w:rPr>
      </w:pPr>
    </w:p>
    <w:p w14:paraId="712BEEE0" w14:textId="77777777" w:rsidR="002F1621" w:rsidRDefault="002F1621">
      <w:pPr>
        <w:pStyle w:val="ConcHead"/>
        <w:spacing w:after="0"/>
        <w:jc w:val="both"/>
        <w:rPr>
          <w:rFonts w:ascii="Arial" w:hAnsi="Arial" w:cs="Arial"/>
        </w:rPr>
      </w:pPr>
    </w:p>
    <w:p w14:paraId="3D7803D5" w14:textId="77777777" w:rsidR="002F1621" w:rsidRDefault="000C28D5">
      <w:pPr>
        <w:pStyle w:val="ConcHead"/>
        <w:spacing w:after="0"/>
        <w:jc w:val="both"/>
        <w:rPr>
          <w:rFonts w:ascii="Arial" w:hAnsi="Arial" w:cs="Arial"/>
        </w:rPr>
      </w:pPr>
      <w:r>
        <w:rPr>
          <w:rFonts w:ascii="Arial" w:hAnsi="Arial" w:cs="Arial"/>
        </w:rPr>
        <w:t>4. Conclusion</w:t>
      </w:r>
    </w:p>
    <w:p w14:paraId="4037D0FB" w14:textId="77777777" w:rsidR="002F1621" w:rsidRDefault="002F1621">
      <w:pPr>
        <w:pStyle w:val="ConcHead"/>
        <w:spacing w:after="0"/>
        <w:jc w:val="both"/>
        <w:rPr>
          <w:rFonts w:ascii="Arial" w:hAnsi="Arial" w:cs="Arial"/>
        </w:rPr>
      </w:pPr>
    </w:p>
    <w:p w14:paraId="3858F56A" w14:textId="77777777" w:rsidR="002F1621" w:rsidRDefault="000C28D5">
      <w:pPr>
        <w:jc w:val="both"/>
        <w:rPr>
          <w:rFonts w:ascii="Arial" w:hAnsi="Arial" w:cs="Arial"/>
          <w:shd w:val="clear" w:color="auto" w:fill="FAFAFA"/>
        </w:rPr>
      </w:pPr>
      <w:commentRangeStart w:id="7"/>
      <w:r>
        <w:rPr>
          <w:rFonts w:ascii="Arial" w:hAnsi="Arial" w:cs="Arial"/>
          <w:shd w:val="clear" w:color="auto" w:fill="FAFAFA"/>
        </w:rPr>
        <w:t xml:space="preserve">This study provides the first comprehensive assessment of PAH contamination </w:t>
      </w:r>
      <w:r>
        <w:rPr>
          <w:rStyle w:val="hljs-keyword"/>
          <w:rFonts w:ascii="Arial" w:hAnsi="Arial" w:cs="Arial"/>
        </w:rPr>
        <w:t>in</w:t>
      </w:r>
      <w:r>
        <w:rPr>
          <w:rFonts w:ascii="Arial" w:hAnsi="Arial" w:cs="Arial"/>
          <w:shd w:val="clear" w:color="auto" w:fill="FAFAFA"/>
        </w:rPr>
        <w:t xml:space="preserve"> automobile repair workshop soils across diverse geological settings </w:t>
      </w:r>
      <w:r>
        <w:rPr>
          <w:rStyle w:val="hljs-keyword"/>
          <w:rFonts w:ascii="Arial" w:hAnsi="Arial" w:cs="Arial"/>
        </w:rPr>
        <w:t>in</w:t>
      </w:r>
      <w:r>
        <w:rPr>
          <w:rFonts w:ascii="Arial" w:hAnsi="Arial" w:cs="Arial"/>
          <w:shd w:val="clear" w:color="auto" w:fill="FAFAFA"/>
        </w:rPr>
        <w:t xml:space="preserve"> Cameroon, contributing new insights of international relevance to the understanding of organic contaminant behavior </w:t>
      </w:r>
      <w:r>
        <w:rPr>
          <w:rStyle w:val="hljs-keyword"/>
          <w:rFonts w:ascii="Arial" w:hAnsi="Arial" w:cs="Arial"/>
        </w:rPr>
        <w:t>in</w:t>
      </w:r>
      <w:r>
        <w:rPr>
          <w:rFonts w:ascii="Arial" w:hAnsi="Arial" w:cs="Arial"/>
          <w:shd w:val="clear" w:color="auto" w:fill="FAFAFA"/>
        </w:rPr>
        <w:t xml:space="preserve"> tropical informal sector environments</w:t>
      </w:r>
      <w:commentRangeEnd w:id="7"/>
      <w:r w:rsidR="009034C8">
        <w:rPr>
          <w:rStyle w:val="CommentReference"/>
          <w:rFonts w:ascii="Times New Roman" w:hAnsi="Times New Roman"/>
          <w:lang w:val="nb-NO" w:eastAsia="nb-NO"/>
        </w:rPr>
        <w:commentReference w:id="7"/>
      </w:r>
      <w:r>
        <w:rPr>
          <w:rFonts w:ascii="Arial" w:hAnsi="Arial" w:cs="Arial"/>
          <w:shd w:val="clear" w:color="auto" w:fill="FAFAFA"/>
        </w:rPr>
        <w:t xml:space="preserve">. Different levels of petroleum-related contamination were demonstrated by the total PAH </w:t>
      </w:r>
      <w:r>
        <w:rPr>
          <w:rStyle w:val="hljs-title"/>
          <w:rFonts w:ascii="Arial" w:hAnsi="Arial" w:cs="Arial"/>
        </w:rPr>
        <w:t>content</w:t>
      </w:r>
      <w:r>
        <w:rPr>
          <w:rFonts w:ascii="Arial" w:hAnsi="Arial" w:cs="Arial"/>
          <w:shd w:val="clear" w:color="auto" w:fill="FAFAFA"/>
        </w:rPr>
        <w:t xml:space="preserve">, substantially exceeding control site </w:t>
      </w:r>
      <w:r>
        <w:rPr>
          <w:rStyle w:val="hljs-title"/>
          <w:rFonts w:ascii="Arial" w:hAnsi="Arial" w:cs="Arial"/>
        </w:rPr>
        <w:t>levels</w:t>
      </w:r>
      <w:r>
        <w:rPr>
          <w:rFonts w:ascii="Arial" w:hAnsi="Arial" w:cs="Arial"/>
          <w:shd w:val="clear" w:color="auto" w:fill="FAFAFA"/>
        </w:rPr>
        <w:t xml:space="preserve">, likely resulting from long-term vehicular repair activities, oil handling, and combustion processes. Preliminary evidence suggests that soil </w:t>
      </w:r>
      <w:r>
        <w:rPr>
          <w:rStyle w:val="hljs-keyword"/>
          <w:rFonts w:ascii="Arial" w:hAnsi="Arial" w:cs="Arial"/>
        </w:rPr>
        <w:t>type</w:t>
      </w:r>
      <w:r>
        <w:rPr>
          <w:rFonts w:ascii="Arial" w:hAnsi="Arial" w:cs="Arial"/>
          <w:shd w:val="clear" w:color="auto" w:fill="FAFAFA"/>
        </w:rPr>
        <w:t xml:space="preserve"> </w:t>
      </w:r>
      <w:r>
        <w:rPr>
          <w:rStyle w:val="hljs-title"/>
          <w:rFonts w:ascii="Arial" w:hAnsi="Arial" w:cs="Arial"/>
        </w:rPr>
        <w:t>may</w:t>
      </w:r>
      <w:r>
        <w:rPr>
          <w:rFonts w:ascii="Arial" w:hAnsi="Arial" w:cs="Arial"/>
          <w:shd w:val="clear" w:color="auto" w:fill="FAFAFA"/>
        </w:rPr>
        <w:t xml:space="preserve"> influence vertical PAH migration patterns, with volcanic soils showing greater surface retention and alluvial soils exhibiting enhanced vertical mobility, though larger-scale studies are needed to confirm these observations.</w:t>
      </w:r>
    </w:p>
    <w:p w14:paraId="47CBC13E" w14:textId="77777777" w:rsidR="002F1621" w:rsidRDefault="002F1621">
      <w:pPr>
        <w:jc w:val="both"/>
        <w:rPr>
          <w:rFonts w:ascii="Arial" w:hAnsi="Arial" w:cs="Arial"/>
          <w:shd w:val="clear" w:color="auto" w:fill="FAFAFA"/>
        </w:rPr>
      </w:pPr>
    </w:p>
    <w:p w14:paraId="6EC14A47" w14:textId="77777777" w:rsidR="002F1621" w:rsidRDefault="000C28D5">
      <w:pPr>
        <w:jc w:val="both"/>
        <w:rPr>
          <w:rFonts w:ascii="Arial" w:hAnsi="Arial" w:cs="Arial"/>
          <w:shd w:val="clear" w:color="auto" w:fill="FAFAFA"/>
        </w:rPr>
      </w:pPr>
      <w:r>
        <w:rPr>
          <w:rFonts w:ascii="Arial" w:hAnsi="Arial" w:cs="Arial"/>
          <w:shd w:val="clear" w:color="auto" w:fill="FAFAFA"/>
        </w:rPr>
        <w:t xml:space="preserve">Source apportionment using diagnostic ratios suggests mixed contamination from both </w:t>
      </w:r>
      <w:r>
        <w:rPr>
          <w:rStyle w:val="hljs-title"/>
          <w:rFonts w:ascii="Arial" w:hAnsi="Arial" w:cs="Arial"/>
        </w:rPr>
        <w:t>pyrogenic</w:t>
      </w:r>
      <w:r>
        <w:rPr>
          <w:rFonts w:ascii="Arial" w:hAnsi="Arial" w:cs="Arial"/>
          <w:shd w:val="clear" w:color="auto" w:fill="FAFAFA"/>
        </w:rPr>
        <w:t xml:space="preserve"> (combustion) and </w:t>
      </w:r>
      <w:r>
        <w:rPr>
          <w:rStyle w:val="hljs-title"/>
          <w:rFonts w:ascii="Arial" w:hAnsi="Arial" w:cs="Arial"/>
        </w:rPr>
        <w:t>petrogenic</w:t>
      </w:r>
      <w:r>
        <w:rPr>
          <w:rFonts w:ascii="Arial" w:hAnsi="Arial" w:cs="Arial"/>
          <w:shd w:val="clear" w:color="auto" w:fill="FAFAFA"/>
        </w:rPr>
        <w:t xml:space="preserve"> (petroleum spillage) sources, with pyrogenic sources appearing to dominate at most sites. The predominance of high molecular weight PAHs, particularly </w:t>
      </w:r>
      <w:r>
        <w:rPr>
          <w:rStyle w:val="hljs-number"/>
          <w:rFonts w:ascii="Arial" w:hAnsi="Arial" w:cs="Arial"/>
        </w:rPr>
        <w:t>6</w:t>
      </w:r>
      <w:r>
        <w:rPr>
          <w:rFonts w:ascii="Arial" w:hAnsi="Arial" w:cs="Arial"/>
          <w:shd w:val="clear" w:color="auto" w:fill="FAFAFA"/>
        </w:rPr>
        <w:t xml:space="preserve">-ring compounds, further supports the importance of combustion-related activities </w:t>
      </w:r>
      <w:r>
        <w:rPr>
          <w:rStyle w:val="hljs-keyword"/>
          <w:rFonts w:ascii="Arial" w:hAnsi="Arial" w:cs="Arial"/>
        </w:rPr>
        <w:t>in</w:t>
      </w:r>
      <w:r>
        <w:rPr>
          <w:rFonts w:ascii="Arial" w:hAnsi="Arial" w:cs="Arial"/>
          <w:shd w:val="clear" w:color="auto" w:fill="FAFAFA"/>
        </w:rPr>
        <w:t xml:space="preserve"> these workshop environments.</w:t>
      </w:r>
    </w:p>
    <w:p w14:paraId="084B6F12" w14:textId="77777777" w:rsidR="002F1621" w:rsidRDefault="002F1621">
      <w:pPr>
        <w:jc w:val="both"/>
        <w:rPr>
          <w:rFonts w:ascii="Arial" w:hAnsi="Arial" w:cs="Arial"/>
          <w:shd w:val="clear" w:color="auto" w:fill="FAFAFA"/>
        </w:rPr>
      </w:pPr>
    </w:p>
    <w:p w14:paraId="50F0C0F5" w14:textId="77777777" w:rsidR="002F1621" w:rsidRDefault="000C28D5">
      <w:pPr>
        <w:jc w:val="both"/>
        <w:rPr>
          <w:rFonts w:ascii="Arial" w:hAnsi="Arial" w:cs="Arial"/>
          <w:shd w:val="clear" w:color="auto" w:fill="FAFAFA"/>
        </w:rPr>
      </w:pPr>
      <w:r>
        <w:rPr>
          <w:rFonts w:ascii="Arial" w:hAnsi="Arial" w:cs="Arial"/>
          <w:shd w:val="clear" w:color="auto" w:fill="FAFAFA"/>
        </w:rPr>
        <w:t xml:space="preserve">Health risk assessment indicated that the existing exposure to PAHs </w:t>
      </w:r>
      <w:r>
        <w:rPr>
          <w:rStyle w:val="hljs-keyword"/>
          <w:rFonts w:ascii="Arial" w:hAnsi="Arial" w:cs="Arial"/>
        </w:rPr>
        <w:t>in</w:t>
      </w:r>
      <w:r>
        <w:rPr>
          <w:rFonts w:ascii="Arial" w:hAnsi="Arial" w:cs="Arial"/>
          <w:shd w:val="clear" w:color="auto" w:fill="FAFAFA"/>
        </w:rPr>
        <w:t xml:space="preserve"> these soils appears to pose minimal carcinogenic risk to the general population, </w:t>
      </w:r>
      <w:r>
        <w:rPr>
          <w:rStyle w:val="hljs-keyword"/>
          <w:rFonts w:ascii="Arial" w:hAnsi="Arial" w:cs="Arial"/>
        </w:rPr>
        <w:t>as</w:t>
      </w:r>
      <w:r>
        <w:rPr>
          <w:rFonts w:ascii="Arial" w:hAnsi="Arial" w:cs="Arial"/>
          <w:shd w:val="clear" w:color="auto" w:fill="FAFAFA"/>
        </w:rPr>
        <w:t xml:space="preserve"> indicated by total ILCR </w:t>
      </w:r>
      <w:r>
        <w:rPr>
          <w:rStyle w:val="hljs-title"/>
          <w:rFonts w:ascii="Arial" w:hAnsi="Arial" w:cs="Arial"/>
        </w:rPr>
        <w:t>values</w:t>
      </w:r>
      <w:r>
        <w:rPr>
          <w:rFonts w:ascii="Arial" w:hAnsi="Arial" w:cs="Arial"/>
          <w:shd w:val="clear" w:color="auto" w:fill="FAFAFA"/>
        </w:rPr>
        <w:t xml:space="preserve"> that fall well within the USEPA acceptable threshold. However, these risk estimates are based on generic exposure parameters and may not fully capture risks </w:t>
      </w:r>
      <w:r>
        <w:rPr>
          <w:rStyle w:val="hljs-keyword"/>
          <w:rFonts w:ascii="Arial" w:hAnsi="Arial" w:cs="Arial"/>
        </w:rPr>
        <w:t>for</w:t>
      </w:r>
      <w:r>
        <w:rPr>
          <w:rFonts w:ascii="Arial" w:hAnsi="Arial" w:cs="Arial"/>
          <w:shd w:val="clear" w:color="auto" w:fill="FAFAFA"/>
        </w:rPr>
        <w:t xml:space="preserve"> </w:t>
      </w:r>
      <w:r>
        <w:rPr>
          <w:rStyle w:val="hljs-title"/>
          <w:rFonts w:ascii="Arial" w:hAnsi="Arial" w:cs="Arial"/>
        </w:rPr>
        <w:t>specific</w:t>
      </w:r>
      <w:r>
        <w:rPr>
          <w:rFonts w:ascii="Arial" w:hAnsi="Arial" w:cs="Arial"/>
          <w:shd w:val="clear" w:color="auto" w:fill="FAFAFA"/>
        </w:rPr>
        <w:t xml:space="preserve"> high-exposure subgroups or account </w:t>
      </w:r>
      <w:r>
        <w:rPr>
          <w:rStyle w:val="hljs-keyword"/>
          <w:rFonts w:ascii="Arial" w:hAnsi="Arial" w:cs="Arial"/>
        </w:rPr>
        <w:t>for</w:t>
      </w:r>
      <w:r>
        <w:rPr>
          <w:rFonts w:ascii="Arial" w:hAnsi="Arial" w:cs="Arial"/>
          <w:shd w:val="clear" w:color="auto" w:fill="FAFAFA"/>
        </w:rPr>
        <w:t xml:space="preserve"> </w:t>
      </w:r>
      <w:r>
        <w:rPr>
          <w:rStyle w:val="hljs-title"/>
          <w:rFonts w:ascii="Arial" w:hAnsi="Arial" w:cs="Arial"/>
        </w:rPr>
        <w:t>cumulative</w:t>
      </w:r>
      <w:r>
        <w:rPr>
          <w:rFonts w:ascii="Arial" w:hAnsi="Arial" w:cs="Arial"/>
          <w:shd w:val="clear" w:color="auto" w:fill="FAFAFA"/>
        </w:rPr>
        <w:t xml:space="preserve"> effects from co-contaminants.</w:t>
      </w:r>
    </w:p>
    <w:p w14:paraId="3F27526B" w14:textId="77777777" w:rsidR="002F1621" w:rsidRDefault="000C28D5">
      <w:pPr>
        <w:jc w:val="both"/>
        <w:rPr>
          <w:rFonts w:ascii="Arial" w:hAnsi="Arial" w:cs="Arial"/>
          <w:shd w:val="clear" w:color="auto" w:fill="FAFAFA"/>
        </w:rPr>
      </w:pPr>
      <w:r>
        <w:rPr>
          <w:rFonts w:ascii="Arial" w:hAnsi="Arial" w:cs="Arial"/>
          <w:shd w:val="clear" w:color="auto" w:fill="FAFAFA"/>
        </w:rPr>
        <w:lastRenderedPageBreak/>
        <w:t xml:space="preserve">The results of this study highlight the significance of implementing preventive and remedial measures and offer baseline data </w:t>
      </w:r>
      <w:r>
        <w:rPr>
          <w:rStyle w:val="hljs-keyword"/>
          <w:rFonts w:ascii="Arial" w:hAnsi="Arial" w:cs="Arial"/>
        </w:rPr>
        <w:t>for</w:t>
      </w:r>
      <w:r>
        <w:rPr>
          <w:rFonts w:ascii="Arial" w:hAnsi="Arial" w:cs="Arial"/>
          <w:shd w:val="clear" w:color="auto" w:fill="FAFAFA"/>
        </w:rPr>
        <w:t xml:space="preserve"> </w:t>
      </w:r>
      <w:r>
        <w:rPr>
          <w:rStyle w:val="hljs-title"/>
          <w:rFonts w:ascii="Arial" w:hAnsi="Arial" w:cs="Arial"/>
        </w:rPr>
        <w:t>PAH</w:t>
      </w:r>
      <w:r>
        <w:rPr>
          <w:rFonts w:ascii="Arial" w:hAnsi="Arial" w:cs="Arial"/>
          <w:shd w:val="clear" w:color="auto" w:fill="FAFAFA"/>
        </w:rPr>
        <w:t xml:space="preserve"> contamination </w:t>
      </w:r>
      <w:r>
        <w:rPr>
          <w:rStyle w:val="hljs-keyword"/>
          <w:rFonts w:ascii="Arial" w:hAnsi="Arial" w:cs="Arial"/>
        </w:rPr>
        <w:t>in</w:t>
      </w:r>
      <w:r>
        <w:rPr>
          <w:rFonts w:ascii="Arial" w:hAnsi="Arial" w:cs="Arial"/>
          <w:shd w:val="clear" w:color="auto" w:fill="FAFAFA"/>
        </w:rPr>
        <w:t xml:space="preserve"> urban soils </w:t>
      </w:r>
      <w:r>
        <w:rPr>
          <w:rStyle w:val="hljs-keyword"/>
          <w:rFonts w:ascii="Arial" w:hAnsi="Arial" w:cs="Arial"/>
        </w:rPr>
        <w:t>in</w:t>
      </w:r>
      <w:r>
        <w:rPr>
          <w:rFonts w:ascii="Arial" w:hAnsi="Arial" w:cs="Arial"/>
          <w:shd w:val="clear" w:color="auto" w:fill="FAFAFA"/>
        </w:rPr>
        <w:t xml:space="preserve"> Cameroon. Regular environmental monitoring, public awareness campaigns, occupational health surveillance, and the promotion of best management practices are recommended to prevent future health risks and ensure safe land </w:t>
      </w:r>
      <w:r>
        <w:rPr>
          <w:rStyle w:val="hljs-keyword"/>
          <w:rFonts w:ascii="Arial" w:hAnsi="Arial" w:cs="Arial"/>
        </w:rPr>
        <w:t>use</w:t>
      </w:r>
      <w:r>
        <w:rPr>
          <w:rFonts w:ascii="Arial" w:hAnsi="Arial" w:cs="Arial"/>
          <w:shd w:val="clear" w:color="auto" w:fill="FAFAFA"/>
        </w:rPr>
        <w:t xml:space="preserve"> </w:t>
      </w:r>
      <w:r>
        <w:rPr>
          <w:rStyle w:val="hljs-keyword"/>
          <w:rFonts w:ascii="Arial" w:hAnsi="Arial" w:cs="Arial"/>
        </w:rPr>
        <w:t>in</w:t>
      </w:r>
      <w:r>
        <w:rPr>
          <w:rFonts w:ascii="Arial" w:hAnsi="Arial" w:cs="Arial"/>
          <w:shd w:val="clear" w:color="auto" w:fill="FAFAFA"/>
        </w:rPr>
        <w:t xml:space="preserve"> urban </w:t>
      </w:r>
      <w:commentRangeStart w:id="8"/>
      <w:r>
        <w:rPr>
          <w:rFonts w:ascii="Arial" w:hAnsi="Arial" w:cs="Arial"/>
          <w:shd w:val="clear" w:color="auto" w:fill="FAFAFA"/>
        </w:rPr>
        <w:t xml:space="preserve">centers. </w:t>
      </w:r>
      <w:commentRangeEnd w:id="8"/>
      <w:r w:rsidR="009034C8">
        <w:rPr>
          <w:rStyle w:val="CommentReference"/>
          <w:rFonts w:ascii="Times New Roman" w:hAnsi="Times New Roman"/>
          <w:lang w:val="nb-NO" w:eastAsia="nb-NO"/>
        </w:rPr>
        <w:commentReference w:id="8"/>
      </w:r>
    </w:p>
    <w:p w14:paraId="62919D6C" w14:textId="77777777" w:rsidR="002F1621" w:rsidRDefault="002F1621">
      <w:pPr>
        <w:pStyle w:val="Body"/>
        <w:spacing w:after="0"/>
        <w:rPr>
          <w:rFonts w:ascii="Arial" w:hAnsi="Arial" w:cs="Arial"/>
        </w:rPr>
      </w:pPr>
    </w:p>
    <w:p w14:paraId="4840E263" w14:textId="77777777" w:rsidR="002F1621" w:rsidRDefault="002F1621">
      <w:pPr>
        <w:pStyle w:val="ReferHead"/>
        <w:spacing w:after="0"/>
        <w:jc w:val="both"/>
        <w:rPr>
          <w:rFonts w:ascii="Arial" w:hAnsi="Arial" w:cs="Arial"/>
          <w:b w:val="0"/>
          <w:caps w:val="0"/>
          <w:sz w:val="20"/>
        </w:rPr>
      </w:pPr>
    </w:p>
    <w:p w14:paraId="7C39BF76" w14:textId="77777777" w:rsidR="002F1621" w:rsidRDefault="000C28D5">
      <w:pPr>
        <w:pStyle w:val="ReferHead"/>
        <w:spacing w:after="0"/>
        <w:jc w:val="both"/>
        <w:rPr>
          <w:rFonts w:ascii="Arial" w:hAnsi="Arial" w:cs="Arial"/>
          <w:bCs/>
        </w:rPr>
      </w:pPr>
      <w:r>
        <w:rPr>
          <w:rFonts w:ascii="Arial" w:hAnsi="Arial" w:cs="Arial"/>
          <w:bCs/>
        </w:rPr>
        <w:t>Consent</w:t>
      </w:r>
    </w:p>
    <w:p w14:paraId="4E73075B" w14:textId="77777777" w:rsidR="002F1621" w:rsidRDefault="002F1621">
      <w:pPr>
        <w:pStyle w:val="ReferHead"/>
        <w:spacing w:after="0"/>
        <w:jc w:val="both"/>
        <w:rPr>
          <w:rFonts w:ascii="Arial" w:hAnsi="Arial" w:cs="Arial"/>
          <w:bCs/>
        </w:rPr>
      </w:pPr>
    </w:p>
    <w:p w14:paraId="2DEE00B5" w14:textId="77777777" w:rsidR="002F1621" w:rsidRDefault="000C28D5">
      <w:pPr>
        <w:pStyle w:val="ReferHead"/>
        <w:spacing w:after="0"/>
        <w:jc w:val="both"/>
        <w:rPr>
          <w:rFonts w:ascii="Arial" w:hAnsi="Arial" w:cs="Arial"/>
          <w:b w:val="0"/>
          <w:caps w:val="0"/>
          <w:sz w:val="20"/>
        </w:rPr>
      </w:pPr>
      <w:r>
        <w:rPr>
          <w:rFonts w:ascii="Arial" w:hAnsi="Arial" w:cs="Arial"/>
          <w:b w:val="0"/>
          <w:caps w:val="0"/>
          <w:sz w:val="20"/>
        </w:rPr>
        <w:t xml:space="preserve">Not Applicable </w:t>
      </w:r>
    </w:p>
    <w:p w14:paraId="1E9DE0A5" w14:textId="77777777" w:rsidR="002F1621" w:rsidRDefault="002F1621">
      <w:pPr>
        <w:pStyle w:val="ReferHead"/>
        <w:spacing w:after="0"/>
        <w:jc w:val="both"/>
        <w:rPr>
          <w:rFonts w:ascii="Arial" w:hAnsi="Arial" w:cs="Arial"/>
          <w:b w:val="0"/>
          <w:caps w:val="0"/>
          <w:sz w:val="20"/>
        </w:rPr>
      </w:pPr>
    </w:p>
    <w:p w14:paraId="29BFD8F5" w14:textId="77777777" w:rsidR="002F1621" w:rsidRDefault="000C28D5">
      <w:pPr>
        <w:pStyle w:val="ReferHead"/>
        <w:spacing w:after="0"/>
        <w:jc w:val="both"/>
        <w:rPr>
          <w:rFonts w:ascii="Arial" w:hAnsi="Arial" w:cs="Arial"/>
          <w:bCs/>
        </w:rPr>
      </w:pPr>
      <w:r>
        <w:rPr>
          <w:rFonts w:ascii="Arial" w:hAnsi="Arial" w:cs="Arial"/>
          <w:bCs/>
        </w:rPr>
        <w:t xml:space="preserve">Ethical approval </w:t>
      </w:r>
    </w:p>
    <w:p w14:paraId="3FF2FFA1" w14:textId="77777777" w:rsidR="002F1621" w:rsidRDefault="002F1621">
      <w:pPr>
        <w:pStyle w:val="ReferHead"/>
        <w:spacing w:after="0"/>
        <w:jc w:val="both"/>
        <w:rPr>
          <w:rFonts w:ascii="Arial" w:hAnsi="Arial" w:cs="Arial"/>
          <w:bCs/>
        </w:rPr>
      </w:pPr>
    </w:p>
    <w:p w14:paraId="6845880C" w14:textId="77777777" w:rsidR="002F1621" w:rsidRDefault="000C28D5">
      <w:pPr>
        <w:pStyle w:val="ReferHead"/>
        <w:spacing w:after="0"/>
        <w:jc w:val="both"/>
        <w:rPr>
          <w:rFonts w:ascii="Arial" w:hAnsi="Arial" w:cs="Arial"/>
          <w:b w:val="0"/>
          <w:caps w:val="0"/>
          <w:sz w:val="20"/>
        </w:rPr>
      </w:pPr>
      <w:r>
        <w:rPr>
          <w:rFonts w:ascii="Arial" w:hAnsi="Arial" w:cs="Arial"/>
          <w:b w:val="0"/>
          <w:caps w:val="0"/>
          <w:sz w:val="20"/>
        </w:rPr>
        <w:t>Not Applicable</w:t>
      </w:r>
    </w:p>
    <w:p w14:paraId="4E8115EA" w14:textId="77777777" w:rsidR="002F1621" w:rsidRDefault="002F1621">
      <w:pPr>
        <w:pStyle w:val="ReferHead"/>
        <w:spacing w:after="0"/>
        <w:jc w:val="both"/>
        <w:rPr>
          <w:rFonts w:ascii="Arial" w:hAnsi="Arial" w:cs="Arial"/>
          <w:b w:val="0"/>
          <w:caps w:val="0"/>
          <w:sz w:val="20"/>
        </w:rPr>
      </w:pPr>
    </w:p>
    <w:p w14:paraId="49329EE1" w14:textId="77777777" w:rsidR="002F1621" w:rsidRDefault="000C28D5">
      <w:pPr>
        <w:pStyle w:val="ReferHead"/>
        <w:spacing w:after="0"/>
        <w:jc w:val="both"/>
        <w:rPr>
          <w:rFonts w:ascii="Arial" w:hAnsi="Arial" w:cs="Arial"/>
        </w:rPr>
      </w:pPr>
      <w:r>
        <w:rPr>
          <w:rFonts w:ascii="Arial" w:hAnsi="Arial" w:cs="Arial"/>
        </w:rPr>
        <w:t>References</w:t>
      </w:r>
    </w:p>
    <w:p w14:paraId="3605F4A8" w14:textId="77777777" w:rsidR="002F1621" w:rsidRDefault="000C28D5">
      <w:pPr>
        <w:pStyle w:val="NormalWeb"/>
        <w:jc w:val="both"/>
        <w:rPr>
          <w:rFonts w:ascii="Arial" w:hAnsi="Arial" w:cs="Arial"/>
          <w:sz w:val="20"/>
          <w:szCs w:val="20"/>
        </w:rPr>
      </w:pPr>
      <w:r>
        <w:rPr>
          <w:rFonts w:ascii="Arial" w:eastAsiaTheme="minorHAnsi" w:hAnsi="Arial" w:cs="Arial"/>
          <w:sz w:val="20"/>
          <w:szCs w:val="20"/>
        </w:rPr>
        <w:t>A</w:t>
      </w:r>
      <w:r>
        <w:rPr>
          <w:rFonts w:ascii="Arial" w:hAnsi="Arial" w:cs="Arial"/>
          <w:sz w:val="20"/>
          <w:szCs w:val="20"/>
        </w:rPr>
        <w:t xml:space="preserve">bdel-Shafy, H.I; Mansour, M.S.M. A review on polycyclic aromatic hydrocarbons: source, environmental impact, effect on human health and remediation. Egyptian Journal of Petroleum 2016, 25, 107–123. </w:t>
      </w:r>
      <w:commentRangeStart w:id="9"/>
      <w:r>
        <w:fldChar w:fldCharType="begin"/>
      </w:r>
      <w:r>
        <w:instrText>HYPERLINK "http://dx.doi.org/10.1016/j.ejpe.2015.03.011"</w:instrText>
      </w:r>
      <w:r>
        <w:fldChar w:fldCharType="separate"/>
      </w:r>
      <w:r>
        <w:rPr>
          <w:rFonts w:ascii="Arial" w:hAnsi="Arial" w:cs="Arial"/>
          <w:sz w:val="20"/>
          <w:szCs w:val="20"/>
        </w:rPr>
        <w:t>DOI: 10.1016/j.ejpe.2015.03.011</w:t>
      </w:r>
      <w:r>
        <w:fldChar w:fldCharType="end"/>
      </w:r>
      <w:commentRangeEnd w:id="9"/>
      <w:r w:rsidR="00553DD9">
        <w:rPr>
          <w:rStyle w:val="CommentReference"/>
          <w:rFonts w:ascii="Times New Roman" w:hAnsi="Times New Roman"/>
          <w:lang w:val="nb-NO" w:eastAsia="nb-NO"/>
        </w:rPr>
        <w:commentReference w:id="9"/>
      </w:r>
      <w:r>
        <w:rPr>
          <w:rFonts w:ascii="Arial" w:hAnsi="Arial" w:cs="Arial"/>
          <w:sz w:val="20"/>
          <w:szCs w:val="20"/>
        </w:rPr>
        <w:t xml:space="preserve"> </w:t>
      </w:r>
    </w:p>
    <w:p w14:paraId="1D879F7C" w14:textId="77777777" w:rsidR="002F1621" w:rsidRDefault="000C28D5">
      <w:pPr>
        <w:pStyle w:val="NormalWeb"/>
        <w:jc w:val="both"/>
        <w:rPr>
          <w:rFonts w:ascii="Arial" w:hAnsi="Arial" w:cs="Arial"/>
          <w:sz w:val="20"/>
          <w:szCs w:val="20"/>
        </w:rPr>
      </w:pPr>
      <w:r>
        <w:rPr>
          <w:rFonts w:ascii="Arial" w:hAnsi="Arial" w:cs="Arial"/>
          <w:sz w:val="20"/>
          <w:szCs w:val="20"/>
        </w:rPr>
        <w:t xml:space="preserve">Adesina, O. A., </w:t>
      </w:r>
      <w:proofErr w:type="spellStart"/>
      <w:r>
        <w:rPr>
          <w:rFonts w:ascii="Arial" w:hAnsi="Arial" w:cs="Arial"/>
          <w:sz w:val="20"/>
          <w:szCs w:val="20"/>
        </w:rPr>
        <w:t>Fakayode</w:t>
      </w:r>
      <w:proofErr w:type="spellEnd"/>
      <w:r>
        <w:rPr>
          <w:rFonts w:ascii="Arial" w:hAnsi="Arial" w:cs="Arial"/>
          <w:sz w:val="20"/>
          <w:szCs w:val="20"/>
        </w:rPr>
        <w:t xml:space="preserve">, O. A., &amp; Lala, M. A. (2024). Levels of polycyclic aromatic hydrocarbons in the soil around typical automobile repair workshops in Nigeria. F1000Research, 12, Article 861. </w:t>
      </w:r>
      <w:hyperlink r:id="rId23" w:history="1">
        <w:r>
          <w:rPr>
            <w:rFonts w:ascii="Arial" w:hAnsi="Arial" w:cs="Arial"/>
            <w:sz w:val="20"/>
            <w:szCs w:val="20"/>
          </w:rPr>
          <w:t>https://doi.org/10.12688/f1000research.134682.3</w:t>
        </w:r>
      </w:hyperlink>
    </w:p>
    <w:p w14:paraId="76FE1257" w14:textId="77777777" w:rsidR="002F1621" w:rsidRDefault="000C28D5">
      <w:pPr>
        <w:pStyle w:val="NormalWeb"/>
        <w:jc w:val="both"/>
        <w:rPr>
          <w:rStyle w:val="Hyperlink"/>
          <w:rFonts w:ascii="Arial" w:eastAsia="SimSun" w:hAnsi="Arial" w:cs="Arial"/>
          <w:color w:val="auto"/>
          <w:sz w:val="20"/>
          <w:szCs w:val="20"/>
          <w:u w:val="none"/>
        </w:rPr>
      </w:pPr>
      <w:r>
        <w:rPr>
          <w:rStyle w:val="Hyperlink"/>
          <w:rFonts w:ascii="Arial" w:eastAsia="SimSun" w:hAnsi="Arial" w:cs="Arial"/>
          <w:color w:val="auto"/>
          <w:sz w:val="20"/>
          <w:szCs w:val="20"/>
          <w:u w:val="none"/>
        </w:rPr>
        <w:t xml:space="preserve">Akinkpelumi, V. K., </w:t>
      </w:r>
      <w:proofErr w:type="spellStart"/>
      <w:r>
        <w:rPr>
          <w:rStyle w:val="Hyperlink"/>
          <w:rFonts w:ascii="Arial" w:eastAsia="SimSun" w:hAnsi="Arial" w:cs="Arial"/>
          <w:color w:val="auto"/>
          <w:sz w:val="20"/>
          <w:szCs w:val="20"/>
          <w:u w:val="none"/>
        </w:rPr>
        <w:t>Onyena</w:t>
      </w:r>
      <w:proofErr w:type="spellEnd"/>
      <w:r>
        <w:rPr>
          <w:rStyle w:val="Hyperlink"/>
          <w:rFonts w:ascii="Arial" w:eastAsia="SimSun" w:hAnsi="Arial" w:cs="Arial"/>
          <w:color w:val="auto"/>
          <w:sz w:val="20"/>
          <w:szCs w:val="20"/>
          <w:u w:val="none"/>
        </w:rPr>
        <w:t xml:space="preserve">, A. P., Abdulai, P. M., Ossai, C. M., </w:t>
      </w:r>
      <w:proofErr w:type="spellStart"/>
      <w:r>
        <w:rPr>
          <w:rStyle w:val="Hyperlink"/>
          <w:rFonts w:ascii="Arial" w:eastAsia="SimSun" w:hAnsi="Arial" w:cs="Arial"/>
          <w:color w:val="auto"/>
          <w:sz w:val="20"/>
          <w:szCs w:val="20"/>
          <w:u w:val="none"/>
        </w:rPr>
        <w:t>Frazzoli</w:t>
      </w:r>
      <w:proofErr w:type="spellEnd"/>
      <w:r>
        <w:rPr>
          <w:rStyle w:val="Hyperlink"/>
          <w:rFonts w:ascii="Arial" w:eastAsia="SimSun" w:hAnsi="Arial" w:cs="Arial"/>
          <w:color w:val="auto"/>
          <w:sz w:val="20"/>
          <w:szCs w:val="20"/>
          <w:u w:val="none"/>
        </w:rPr>
        <w:t xml:space="preserve">, C., &amp; </w:t>
      </w:r>
      <w:proofErr w:type="spellStart"/>
      <w:r>
        <w:rPr>
          <w:rStyle w:val="Hyperlink"/>
          <w:rFonts w:ascii="Arial" w:eastAsia="SimSun" w:hAnsi="Arial" w:cs="Arial"/>
          <w:color w:val="auto"/>
          <w:sz w:val="20"/>
          <w:szCs w:val="20"/>
          <w:u w:val="none"/>
        </w:rPr>
        <w:t>Orisakwe</w:t>
      </w:r>
      <w:proofErr w:type="spellEnd"/>
      <w:r>
        <w:rPr>
          <w:rStyle w:val="Hyperlink"/>
          <w:rFonts w:ascii="Arial" w:eastAsia="SimSun" w:hAnsi="Arial" w:cs="Arial"/>
          <w:color w:val="auto"/>
          <w:sz w:val="20"/>
          <w:szCs w:val="20"/>
          <w:u w:val="none"/>
        </w:rPr>
        <w:t xml:space="preserve">, O. E. (2025). Seasonality and ecological risks of polycyclic aromatic hydrocarbons (PAHs) in environmental media and food crops of Ibaa, Niger Delta, Nigeria. Environmental Sciences Europe, 37, Article 215. </w:t>
      </w:r>
      <w:hyperlink r:id="rId24" w:tgtFrame="_new" w:history="1">
        <w:r>
          <w:rPr>
            <w:rStyle w:val="Hyperlink"/>
            <w:rFonts w:ascii="Arial" w:eastAsia="SimSun" w:hAnsi="Arial" w:cs="Arial"/>
            <w:color w:val="auto"/>
            <w:sz w:val="20"/>
            <w:szCs w:val="20"/>
            <w:u w:val="none"/>
          </w:rPr>
          <w:t>https://doi.org/10.1186/s12302-025-01266-8</w:t>
        </w:r>
      </w:hyperlink>
    </w:p>
    <w:p w14:paraId="0C127996" w14:textId="77777777" w:rsidR="002F1621" w:rsidRDefault="000C28D5">
      <w:pPr>
        <w:pStyle w:val="NormalWeb"/>
        <w:jc w:val="both"/>
        <w:rPr>
          <w:rFonts w:ascii="Arial" w:hAnsi="Arial" w:cs="Arial"/>
          <w:sz w:val="20"/>
          <w:szCs w:val="20"/>
        </w:rPr>
      </w:pPr>
      <w:proofErr w:type="spellStart"/>
      <w:r>
        <w:rPr>
          <w:rFonts w:ascii="Arial" w:hAnsi="Arial" w:cs="Arial"/>
          <w:sz w:val="20"/>
          <w:szCs w:val="20"/>
        </w:rPr>
        <w:t>Akoachere</w:t>
      </w:r>
      <w:proofErr w:type="spellEnd"/>
      <w:r>
        <w:rPr>
          <w:rFonts w:ascii="Arial" w:hAnsi="Arial" w:cs="Arial"/>
          <w:sz w:val="20"/>
          <w:szCs w:val="20"/>
        </w:rPr>
        <w:t xml:space="preserve">, J; </w:t>
      </w:r>
      <w:proofErr w:type="spellStart"/>
      <w:r>
        <w:rPr>
          <w:rFonts w:ascii="Arial" w:hAnsi="Arial" w:cs="Arial"/>
          <w:sz w:val="20"/>
          <w:szCs w:val="20"/>
        </w:rPr>
        <w:t>Akenji</w:t>
      </w:r>
      <w:proofErr w:type="spellEnd"/>
      <w:r>
        <w:rPr>
          <w:rFonts w:ascii="Arial" w:hAnsi="Arial" w:cs="Arial"/>
          <w:sz w:val="20"/>
          <w:szCs w:val="20"/>
        </w:rPr>
        <w:t xml:space="preserve">, </w:t>
      </w:r>
      <w:proofErr w:type="spellStart"/>
      <w:proofErr w:type="gramStart"/>
      <w:r>
        <w:rPr>
          <w:rFonts w:ascii="Arial" w:hAnsi="Arial" w:cs="Arial"/>
          <w:sz w:val="20"/>
          <w:szCs w:val="20"/>
        </w:rPr>
        <w:t>T;Yongabi</w:t>
      </w:r>
      <w:proofErr w:type="spellEnd"/>
      <w:proofErr w:type="gramEnd"/>
      <w:r>
        <w:rPr>
          <w:rFonts w:ascii="Arial" w:hAnsi="Arial" w:cs="Arial"/>
          <w:sz w:val="20"/>
          <w:szCs w:val="20"/>
        </w:rPr>
        <w:t xml:space="preserve">, F; </w:t>
      </w:r>
      <w:proofErr w:type="spellStart"/>
      <w:r>
        <w:rPr>
          <w:rFonts w:ascii="Arial" w:hAnsi="Arial" w:cs="Arial"/>
          <w:sz w:val="20"/>
          <w:szCs w:val="20"/>
        </w:rPr>
        <w:t>Nkwelang</w:t>
      </w:r>
      <w:proofErr w:type="spellEnd"/>
      <w:r>
        <w:rPr>
          <w:rFonts w:ascii="Arial" w:hAnsi="Arial" w:cs="Arial"/>
          <w:sz w:val="20"/>
          <w:szCs w:val="20"/>
        </w:rPr>
        <w:t xml:space="preserve">, G; </w:t>
      </w:r>
      <w:proofErr w:type="spellStart"/>
      <w:r>
        <w:rPr>
          <w:rFonts w:ascii="Arial" w:hAnsi="Arial" w:cs="Arial"/>
          <w:sz w:val="20"/>
          <w:szCs w:val="20"/>
        </w:rPr>
        <w:t>Ndip</w:t>
      </w:r>
      <w:proofErr w:type="spellEnd"/>
      <w:r>
        <w:rPr>
          <w:rFonts w:ascii="Arial" w:hAnsi="Arial" w:cs="Arial"/>
          <w:sz w:val="20"/>
          <w:szCs w:val="20"/>
        </w:rPr>
        <w:t>, T. Lubricating oil-degrading bacteria in soils from filling stations and auto-mechanic workshops in Buea, Cameroon: occurrence and characteristics of isolates. African Journal of Biotechnology 2008, 7(11), 1700-1706</w:t>
      </w:r>
    </w:p>
    <w:p w14:paraId="3BCF2B36" w14:textId="77777777" w:rsidR="002F1621" w:rsidRDefault="000C28D5">
      <w:pPr>
        <w:pStyle w:val="ListParagraph"/>
        <w:spacing w:line="240" w:lineRule="auto"/>
        <w:ind w:left="0"/>
        <w:jc w:val="both"/>
        <w:rPr>
          <w:rFonts w:ascii="Arial" w:eastAsiaTheme="minorHAnsi" w:hAnsi="Arial" w:cs="Arial"/>
        </w:rPr>
      </w:pPr>
      <w:proofErr w:type="spellStart"/>
      <w:r>
        <w:rPr>
          <w:rFonts w:ascii="Arial" w:eastAsiaTheme="minorHAnsi" w:hAnsi="Arial" w:cs="Arial"/>
        </w:rPr>
        <w:t>Altarawneh</w:t>
      </w:r>
      <w:proofErr w:type="spellEnd"/>
      <w:r>
        <w:rPr>
          <w:rFonts w:ascii="Arial" w:eastAsiaTheme="minorHAnsi" w:hAnsi="Arial" w:cs="Arial"/>
        </w:rPr>
        <w:t>, M., &amp; Ali, L. (2024). Formation of Polycyclic Aromatic Hydrocarbons (PAHs) in Thermal Systems: A Comprehensive Mechanistic Review. Energy Fuels, 38(22), 21735-</w:t>
      </w:r>
      <w:r>
        <w:rPr>
          <w:rFonts w:ascii="Arial" w:eastAsiaTheme="minorHAnsi" w:hAnsi="Arial" w:cs="Arial"/>
        </w:rPr>
        <w:tab/>
        <w:t>21792. DOI: 10.1021/acs.energyfuels.4c03513</w:t>
      </w:r>
    </w:p>
    <w:p w14:paraId="15B9878B" w14:textId="77777777" w:rsidR="002F1621" w:rsidRDefault="000C28D5">
      <w:pPr>
        <w:pStyle w:val="NormalWeb"/>
        <w:jc w:val="both"/>
        <w:rPr>
          <w:rStyle w:val="Hyperlink"/>
          <w:rFonts w:ascii="Arial" w:eastAsia="SimSun" w:hAnsi="Arial" w:cs="Arial"/>
          <w:color w:val="auto"/>
          <w:sz w:val="20"/>
          <w:szCs w:val="20"/>
          <w:u w:val="none"/>
        </w:rPr>
      </w:pPr>
      <w:r>
        <w:rPr>
          <w:rStyle w:val="Hyperlink"/>
          <w:rFonts w:ascii="Arial" w:eastAsia="SimSun" w:hAnsi="Arial" w:cs="Arial"/>
          <w:color w:val="auto"/>
          <w:sz w:val="20"/>
          <w:szCs w:val="20"/>
          <w:u w:val="none"/>
        </w:rPr>
        <w:t xml:space="preserve">Azzolina, N. A., Kreitinger, J. P., Skorobogatov, Y., &amp; Shaw, R. K. (2016). Background concentrations of PAHs and metals in surface and subsurface soils collected throughout Manhattan, New York. Environmental Forensics, 17(4), 294–310. https://doi.org/10.1080/15275922.2016.1230905 </w:t>
      </w:r>
      <w:hyperlink r:id="rId25" w:tgtFrame="_blank" w:history="1"/>
    </w:p>
    <w:p w14:paraId="09919992" w14:textId="77777777" w:rsidR="002F1621" w:rsidRDefault="000C28D5">
      <w:pPr>
        <w:pStyle w:val="NormalWeb"/>
        <w:jc w:val="both"/>
        <w:rPr>
          <w:rFonts w:ascii="Arial" w:hAnsi="Arial" w:cs="Arial"/>
          <w:sz w:val="20"/>
          <w:szCs w:val="20"/>
        </w:rPr>
      </w:pPr>
      <w:proofErr w:type="spellStart"/>
      <w:r>
        <w:rPr>
          <w:rFonts w:ascii="Arial" w:hAnsi="Arial" w:cs="Arial"/>
          <w:sz w:val="20"/>
          <w:szCs w:val="20"/>
        </w:rPr>
        <w:t>Bissai</w:t>
      </w:r>
      <w:proofErr w:type="spellEnd"/>
      <w:r>
        <w:rPr>
          <w:rFonts w:ascii="Arial" w:hAnsi="Arial" w:cs="Arial"/>
          <w:sz w:val="20"/>
          <w:szCs w:val="20"/>
        </w:rPr>
        <w:t xml:space="preserve">, F. D., </w:t>
      </w:r>
      <w:proofErr w:type="spellStart"/>
      <w:r>
        <w:rPr>
          <w:rFonts w:ascii="Arial" w:hAnsi="Arial" w:cs="Arial"/>
          <w:sz w:val="20"/>
          <w:szCs w:val="20"/>
        </w:rPr>
        <w:t>Mbanga</w:t>
      </w:r>
      <w:proofErr w:type="spellEnd"/>
      <w:r>
        <w:rPr>
          <w:rFonts w:ascii="Arial" w:hAnsi="Arial" w:cs="Arial"/>
          <w:sz w:val="20"/>
          <w:szCs w:val="20"/>
        </w:rPr>
        <w:t xml:space="preserve">, B. G. F., Mezoue, C. A., &amp; </w:t>
      </w:r>
      <w:proofErr w:type="spellStart"/>
      <w:r>
        <w:rPr>
          <w:rFonts w:ascii="Arial" w:hAnsi="Arial" w:cs="Arial"/>
          <w:sz w:val="20"/>
          <w:szCs w:val="20"/>
        </w:rPr>
        <w:t>Nguiya</w:t>
      </w:r>
      <w:proofErr w:type="spellEnd"/>
      <w:r>
        <w:rPr>
          <w:rFonts w:ascii="Arial" w:hAnsi="Arial" w:cs="Arial"/>
          <w:sz w:val="20"/>
          <w:szCs w:val="20"/>
        </w:rPr>
        <w:t xml:space="preserve">, S. (2023). An analysis of the driving factors related to energy consumption in the road transport sector of the city of Douala, Cameroon. </w:t>
      </w:r>
      <w:r>
        <w:rPr>
          <w:rStyle w:val="Emphasis"/>
          <w:rFonts w:ascii="Arial" w:hAnsi="Arial" w:cs="Arial"/>
          <w:sz w:val="20"/>
          <w:szCs w:val="20"/>
        </w:rPr>
        <w:t>Sustainability, 15</w:t>
      </w:r>
      <w:r>
        <w:rPr>
          <w:rFonts w:ascii="Arial" w:hAnsi="Arial" w:cs="Arial"/>
          <w:sz w:val="20"/>
          <w:szCs w:val="20"/>
        </w:rPr>
        <w:t>, 11743. https://doi.org/10.3390/su151511743</w:t>
      </w:r>
    </w:p>
    <w:p w14:paraId="31BD20C0" w14:textId="77777777" w:rsidR="002F1621" w:rsidRDefault="000C28D5">
      <w:pPr>
        <w:pStyle w:val="NormalWeb"/>
        <w:jc w:val="both"/>
        <w:rPr>
          <w:rFonts w:ascii="Arial" w:hAnsi="Arial" w:cs="Arial"/>
          <w:sz w:val="20"/>
          <w:szCs w:val="20"/>
        </w:rPr>
      </w:pPr>
      <w:r>
        <w:rPr>
          <w:rFonts w:ascii="Arial" w:hAnsi="Arial" w:cs="Arial"/>
          <w:sz w:val="20"/>
          <w:szCs w:val="20"/>
        </w:rPr>
        <w:t xml:space="preserve">Dan-Badjo, A., </w:t>
      </w:r>
      <w:proofErr w:type="spellStart"/>
      <w:r>
        <w:rPr>
          <w:rFonts w:ascii="Arial" w:hAnsi="Arial" w:cs="Arial"/>
          <w:sz w:val="20"/>
          <w:szCs w:val="20"/>
        </w:rPr>
        <w:t>Guéro</w:t>
      </w:r>
      <w:proofErr w:type="spellEnd"/>
      <w:r>
        <w:rPr>
          <w:rFonts w:ascii="Arial" w:hAnsi="Arial" w:cs="Arial"/>
          <w:sz w:val="20"/>
          <w:szCs w:val="20"/>
        </w:rPr>
        <w:t xml:space="preserve">, Y., </w:t>
      </w:r>
      <w:proofErr w:type="spellStart"/>
      <w:r>
        <w:rPr>
          <w:rFonts w:ascii="Arial" w:hAnsi="Arial" w:cs="Arial"/>
          <w:sz w:val="20"/>
          <w:szCs w:val="20"/>
        </w:rPr>
        <w:t>Lamso</w:t>
      </w:r>
      <w:proofErr w:type="spellEnd"/>
      <w:r>
        <w:rPr>
          <w:rFonts w:ascii="Arial" w:hAnsi="Arial" w:cs="Arial"/>
          <w:sz w:val="20"/>
          <w:szCs w:val="20"/>
        </w:rPr>
        <w:t xml:space="preserve">, N. D., </w:t>
      </w:r>
      <w:proofErr w:type="spellStart"/>
      <w:r>
        <w:rPr>
          <w:rFonts w:ascii="Arial" w:hAnsi="Arial" w:cs="Arial"/>
          <w:sz w:val="20"/>
          <w:szCs w:val="20"/>
        </w:rPr>
        <w:t>Idder</w:t>
      </w:r>
      <w:proofErr w:type="spellEnd"/>
      <w:r>
        <w:rPr>
          <w:rFonts w:ascii="Arial" w:hAnsi="Arial" w:cs="Arial"/>
          <w:sz w:val="20"/>
          <w:szCs w:val="20"/>
        </w:rPr>
        <w:t xml:space="preserve">, T., </w:t>
      </w:r>
      <w:proofErr w:type="spellStart"/>
      <w:r>
        <w:rPr>
          <w:rFonts w:ascii="Arial" w:hAnsi="Arial" w:cs="Arial"/>
          <w:sz w:val="20"/>
          <w:szCs w:val="20"/>
        </w:rPr>
        <w:t>Echenarria</w:t>
      </w:r>
      <w:proofErr w:type="spellEnd"/>
      <w:r>
        <w:rPr>
          <w:rFonts w:ascii="Arial" w:hAnsi="Arial" w:cs="Arial"/>
          <w:sz w:val="20"/>
          <w:szCs w:val="20"/>
        </w:rPr>
        <w:t xml:space="preserve">, G., &amp; </w:t>
      </w:r>
      <w:proofErr w:type="spellStart"/>
      <w:r>
        <w:rPr>
          <w:rFonts w:ascii="Arial" w:hAnsi="Arial" w:cs="Arial"/>
          <w:sz w:val="20"/>
          <w:szCs w:val="20"/>
        </w:rPr>
        <w:t>Sterckman</w:t>
      </w:r>
      <w:proofErr w:type="spellEnd"/>
      <w:r>
        <w:rPr>
          <w:rFonts w:ascii="Arial" w:hAnsi="Arial" w:cs="Arial"/>
          <w:sz w:val="20"/>
          <w:szCs w:val="20"/>
        </w:rPr>
        <w:t xml:space="preserve">, T. (2015). Assessment of polycyclic aromatic hydrocarbons contamination in urban soils from Niamey, Niger. </w:t>
      </w:r>
      <w:r>
        <w:rPr>
          <w:rStyle w:val="Emphasis"/>
          <w:rFonts w:ascii="Arial" w:hAnsi="Arial" w:cs="Arial"/>
          <w:sz w:val="20"/>
          <w:szCs w:val="20"/>
        </w:rPr>
        <w:t>Journal of Biodiversity and Environmental Science, 6</w:t>
      </w:r>
      <w:r>
        <w:rPr>
          <w:rFonts w:ascii="Arial" w:hAnsi="Arial" w:cs="Arial"/>
          <w:sz w:val="20"/>
          <w:szCs w:val="20"/>
        </w:rPr>
        <w:t>(1), 275–281.</w:t>
      </w:r>
    </w:p>
    <w:p w14:paraId="3F9E2DC2" w14:textId="77777777" w:rsidR="002F1621" w:rsidRDefault="000C28D5">
      <w:pPr>
        <w:pStyle w:val="NormalWeb"/>
        <w:jc w:val="both"/>
        <w:rPr>
          <w:rFonts w:ascii="Arial" w:hAnsi="Arial" w:cs="Arial"/>
          <w:sz w:val="20"/>
          <w:szCs w:val="20"/>
        </w:rPr>
      </w:pPr>
      <w:r>
        <w:rPr>
          <w:rFonts w:ascii="Arial" w:hAnsi="Arial" w:cs="Arial"/>
          <w:sz w:val="20"/>
          <w:szCs w:val="20"/>
        </w:rPr>
        <w:lastRenderedPageBreak/>
        <w:t xml:space="preserve">Ekanem, A. N., </w:t>
      </w:r>
      <w:proofErr w:type="spellStart"/>
      <w:r>
        <w:rPr>
          <w:rFonts w:ascii="Arial" w:hAnsi="Arial" w:cs="Arial"/>
          <w:sz w:val="20"/>
          <w:szCs w:val="20"/>
        </w:rPr>
        <w:t>Osabor</w:t>
      </w:r>
      <w:proofErr w:type="spellEnd"/>
      <w:r>
        <w:rPr>
          <w:rFonts w:ascii="Arial" w:hAnsi="Arial" w:cs="Arial"/>
          <w:sz w:val="20"/>
          <w:szCs w:val="20"/>
        </w:rPr>
        <w:t xml:space="preserve">, V. N., &amp; Ekpo, B. O. (2019). Polycyclic aromatic hydrocarbons contamination of soils and water around automobile repair workshops in </w:t>
      </w:r>
      <w:proofErr w:type="spellStart"/>
      <w:r>
        <w:rPr>
          <w:rFonts w:ascii="Arial" w:hAnsi="Arial" w:cs="Arial"/>
          <w:sz w:val="20"/>
          <w:szCs w:val="20"/>
        </w:rPr>
        <w:t>Eket</w:t>
      </w:r>
      <w:proofErr w:type="spellEnd"/>
      <w:r>
        <w:rPr>
          <w:rFonts w:ascii="Arial" w:hAnsi="Arial" w:cs="Arial"/>
          <w:sz w:val="20"/>
          <w:szCs w:val="20"/>
        </w:rPr>
        <w:t xml:space="preserve"> metropolis, </w:t>
      </w:r>
      <w:proofErr w:type="spellStart"/>
      <w:r>
        <w:rPr>
          <w:rFonts w:ascii="Arial" w:hAnsi="Arial" w:cs="Arial"/>
          <w:sz w:val="20"/>
          <w:szCs w:val="20"/>
        </w:rPr>
        <w:t>Akwa</w:t>
      </w:r>
      <w:proofErr w:type="spellEnd"/>
      <w:r>
        <w:rPr>
          <w:rFonts w:ascii="Arial" w:hAnsi="Arial" w:cs="Arial"/>
          <w:sz w:val="20"/>
          <w:szCs w:val="20"/>
        </w:rPr>
        <w:t xml:space="preserve"> Ibom State, Nigeria. </w:t>
      </w:r>
      <w:r>
        <w:rPr>
          <w:rStyle w:val="Emphasis"/>
          <w:rFonts w:ascii="Arial" w:hAnsi="Arial" w:cs="Arial"/>
          <w:sz w:val="20"/>
          <w:szCs w:val="20"/>
        </w:rPr>
        <w:t>SN Applied Sciences, 1</w:t>
      </w:r>
      <w:r>
        <w:rPr>
          <w:rFonts w:ascii="Arial" w:hAnsi="Arial" w:cs="Arial"/>
          <w:sz w:val="20"/>
          <w:szCs w:val="20"/>
        </w:rPr>
        <w:t xml:space="preserve">, 447. </w:t>
      </w:r>
      <w:hyperlink r:id="rId26" w:tgtFrame="_new" w:history="1">
        <w:r>
          <w:rPr>
            <w:rStyle w:val="Hyperlink"/>
            <w:rFonts w:ascii="Arial" w:hAnsi="Arial" w:cs="Arial"/>
            <w:color w:val="auto"/>
            <w:sz w:val="20"/>
            <w:szCs w:val="20"/>
          </w:rPr>
          <w:t>https://doi.org/10.1007/s42452-019-0397-4</w:t>
        </w:r>
      </w:hyperlink>
    </w:p>
    <w:p w14:paraId="324E344F" w14:textId="77777777" w:rsidR="002F1621" w:rsidRDefault="000C28D5">
      <w:pPr>
        <w:pStyle w:val="NormalWeb"/>
        <w:jc w:val="both"/>
        <w:rPr>
          <w:rFonts w:ascii="Arial" w:hAnsi="Arial" w:cs="Arial"/>
          <w:sz w:val="20"/>
          <w:szCs w:val="20"/>
        </w:rPr>
      </w:pPr>
      <w:proofErr w:type="spellStart"/>
      <w:r>
        <w:rPr>
          <w:rFonts w:ascii="Arial" w:hAnsi="Arial" w:cs="Arial"/>
          <w:sz w:val="20"/>
          <w:szCs w:val="20"/>
        </w:rPr>
        <w:t>Eneji</w:t>
      </w:r>
      <w:proofErr w:type="spellEnd"/>
      <w:r>
        <w:rPr>
          <w:rFonts w:ascii="Arial" w:hAnsi="Arial" w:cs="Arial"/>
          <w:sz w:val="20"/>
          <w:szCs w:val="20"/>
        </w:rPr>
        <w:t xml:space="preserve">, I. S., </w:t>
      </w:r>
      <w:proofErr w:type="spellStart"/>
      <w:r>
        <w:rPr>
          <w:rFonts w:ascii="Arial" w:hAnsi="Arial" w:cs="Arial"/>
          <w:sz w:val="20"/>
          <w:szCs w:val="20"/>
        </w:rPr>
        <w:t>Vesuvwem</w:t>
      </w:r>
      <w:proofErr w:type="spellEnd"/>
      <w:r>
        <w:rPr>
          <w:rFonts w:ascii="Arial" w:hAnsi="Arial" w:cs="Arial"/>
          <w:sz w:val="20"/>
          <w:szCs w:val="20"/>
        </w:rPr>
        <w:t xml:space="preserve">, B. N., &amp; Oloruntoba, S. O. (2016). Analysis of polyaromatic hydrocarbons in soil around auto-mechanic workshops in major towns in Benue State, Nigeria. </w:t>
      </w:r>
      <w:r>
        <w:rPr>
          <w:rStyle w:val="Emphasis"/>
          <w:rFonts w:ascii="Arial" w:hAnsi="Arial" w:cs="Arial"/>
          <w:sz w:val="20"/>
          <w:szCs w:val="20"/>
        </w:rPr>
        <w:t>FUW Trends in Science and Technology, 1</w:t>
      </w:r>
      <w:r>
        <w:rPr>
          <w:rFonts w:ascii="Arial" w:hAnsi="Arial" w:cs="Arial"/>
          <w:sz w:val="20"/>
          <w:szCs w:val="20"/>
        </w:rPr>
        <w:t>(A), 79–84.</w:t>
      </w:r>
    </w:p>
    <w:p w14:paraId="7D398374" w14:textId="77777777" w:rsidR="002F1621" w:rsidRDefault="000C28D5">
      <w:pPr>
        <w:pStyle w:val="NormalWeb"/>
        <w:jc w:val="both"/>
        <w:rPr>
          <w:rFonts w:ascii="Arial" w:hAnsi="Arial" w:cs="Arial"/>
          <w:sz w:val="20"/>
          <w:szCs w:val="20"/>
        </w:rPr>
      </w:pPr>
      <w:r>
        <w:rPr>
          <w:rFonts w:ascii="Arial" w:hAnsi="Arial" w:cs="Arial"/>
          <w:sz w:val="20"/>
          <w:szCs w:val="20"/>
        </w:rPr>
        <w:t xml:space="preserve">Feng, Y., Li, Z., &amp; Li, W. (2025). Polycyclic aromatic hydrocarbons (PAHs): Environmental persistence and human health risks. Natural Product Communications, 20(1). </w:t>
      </w:r>
      <w:hyperlink r:id="rId27" w:tgtFrame="_new" w:history="1">
        <w:r>
          <w:rPr>
            <w:rFonts w:ascii="Arial" w:hAnsi="Arial" w:cs="Arial"/>
            <w:sz w:val="20"/>
            <w:szCs w:val="20"/>
          </w:rPr>
          <w:t>https://doi.org/10.1177/1934578X241311451</w:t>
        </w:r>
      </w:hyperlink>
    </w:p>
    <w:p w14:paraId="2274E14B" w14:textId="77777777" w:rsidR="002F1621" w:rsidRDefault="000C28D5">
      <w:pPr>
        <w:pStyle w:val="NormalWeb"/>
        <w:jc w:val="both"/>
        <w:rPr>
          <w:rFonts w:ascii="Arial" w:hAnsi="Arial" w:cs="Arial"/>
          <w:sz w:val="20"/>
          <w:szCs w:val="20"/>
        </w:rPr>
      </w:pPr>
      <w:r>
        <w:rPr>
          <w:rFonts w:ascii="Arial" w:hAnsi="Arial" w:cs="Arial"/>
          <w:sz w:val="20"/>
          <w:szCs w:val="20"/>
        </w:rPr>
        <w:t>Harvey, R. G. (1997). Polycyclic Aromatic Hydrocarbons. John Wiley &amp; Sons.</w:t>
      </w:r>
    </w:p>
    <w:p w14:paraId="78F3C04D" w14:textId="77777777" w:rsidR="002F1621" w:rsidRDefault="000C28D5">
      <w:pPr>
        <w:pStyle w:val="NormalWeb"/>
        <w:jc w:val="both"/>
        <w:rPr>
          <w:rFonts w:ascii="Arial" w:hAnsi="Arial" w:cs="Arial"/>
          <w:sz w:val="20"/>
          <w:szCs w:val="20"/>
        </w:rPr>
      </w:pPr>
      <w:r>
        <w:rPr>
          <w:rFonts w:ascii="Arial" w:hAnsi="Arial" w:cs="Arial"/>
          <w:sz w:val="20"/>
          <w:szCs w:val="20"/>
        </w:rPr>
        <w:t xml:space="preserve">Helgi Library. (2025). Number of motor vehicles rose 3.89% to 0.347 million in Cameroon in 2015. </w:t>
      </w:r>
      <w:hyperlink r:id="rId28" w:tgtFrame="_new" w:history="1">
        <w:r>
          <w:rPr>
            <w:rFonts w:ascii="Arial" w:hAnsi="Arial" w:cs="Arial"/>
            <w:sz w:val="20"/>
            <w:szCs w:val="20"/>
          </w:rPr>
          <w:t>https://www.helgilibrary.com/charts/numner-of-motor-vehicles-rose-389-to-0347-mil-in-cameroon-in-2015</w:t>
        </w:r>
      </w:hyperlink>
    </w:p>
    <w:p w14:paraId="3A2543CF" w14:textId="77777777" w:rsidR="002F1621" w:rsidRDefault="000C28D5">
      <w:pPr>
        <w:pStyle w:val="NormalWeb"/>
        <w:jc w:val="both"/>
        <w:rPr>
          <w:rFonts w:ascii="Arial" w:hAnsi="Arial" w:cs="Arial"/>
          <w:sz w:val="20"/>
          <w:szCs w:val="20"/>
        </w:rPr>
      </w:pPr>
      <w:proofErr w:type="spellStart"/>
      <w:r>
        <w:rPr>
          <w:rFonts w:ascii="Arial" w:hAnsi="Arial" w:cs="Arial"/>
          <w:sz w:val="20"/>
          <w:szCs w:val="20"/>
        </w:rPr>
        <w:t>Iniaghe</w:t>
      </w:r>
      <w:proofErr w:type="spellEnd"/>
      <w:r>
        <w:rPr>
          <w:rFonts w:ascii="Arial" w:hAnsi="Arial" w:cs="Arial"/>
          <w:sz w:val="20"/>
          <w:szCs w:val="20"/>
        </w:rPr>
        <w:t xml:space="preserve">, P. O., &amp; </w:t>
      </w:r>
      <w:proofErr w:type="spellStart"/>
      <w:r>
        <w:rPr>
          <w:rFonts w:ascii="Arial" w:hAnsi="Arial" w:cs="Arial"/>
          <w:sz w:val="20"/>
          <w:szCs w:val="20"/>
        </w:rPr>
        <w:t>Kpomah</w:t>
      </w:r>
      <w:proofErr w:type="spellEnd"/>
      <w:r>
        <w:rPr>
          <w:rFonts w:ascii="Arial" w:hAnsi="Arial" w:cs="Arial"/>
          <w:sz w:val="20"/>
          <w:szCs w:val="20"/>
        </w:rPr>
        <w:t>, E. D. (2023). A comparative analysis on the concentration and potential risk of polycyclic aromatic hydrocarbons in surface water, sediment and soil from a non</w:t>
      </w:r>
      <w:r>
        <w:rPr>
          <w:rFonts w:ascii="Arial" w:hAnsi="Arial" w:cs="Arial"/>
          <w:sz w:val="20"/>
          <w:szCs w:val="20"/>
        </w:rPr>
        <w:noBreakHyphen/>
        <w:t>crude oil and a crude oil explosion site in the Niger Delta, Nigeria. Chemistry Africa, 6(3), 1633–1653. https://doi.org/10.1007/s42250-023-00596-5</w:t>
      </w:r>
    </w:p>
    <w:p w14:paraId="42A71D2A" w14:textId="77777777" w:rsidR="002F1621" w:rsidRDefault="000C28D5">
      <w:pPr>
        <w:pStyle w:val="NormalWeb"/>
        <w:jc w:val="both"/>
        <w:rPr>
          <w:rFonts w:ascii="Arial" w:hAnsi="Arial" w:cs="Arial"/>
          <w:sz w:val="20"/>
          <w:szCs w:val="20"/>
        </w:rPr>
      </w:pPr>
      <w:r>
        <w:rPr>
          <w:rFonts w:ascii="Arial" w:hAnsi="Arial" w:cs="Arial"/>
          <w:sz w:val="20"/>
          <w:szCs w:val="20"/>
        </w:rPr>
        <w:t>Inti, M. M., &amp; Adamu, A. S. (2024). Knowledge, attitude, and practices of automobile waste management and disposal among roadside mechanics in North East Nigeria for a greener environment. IOSR Journal of Environmental Science, Technology and Food Technology, 18(6), 1–7.</w:t>
      </w:r>
    </w:p>
    <w:p w14:paraId="20169A3E" w14:textId="77777777" w:rsidR="002F1621" w:rsidRDefault="000C28D5">
      <w:pPr>
        <w:pStyle w:val="NormalWeb"/>
        <w:jc w:val="both"/>
        <w:rPr>
          <w:rFonts w:ascii="Arial" w:hAnsi="Arial" w:cs="Arial"/>
          <w:sz w:val="20"/>
          <w:szCs w:val="20"/>
        </w:rPr>
      </w:pPr>
      <w:proofErr w:type="spellStart"/>
      <w:r>
        <w:rPr>
          <w:rFonts w:ascii="Arial" w:hAnsi="Arial" w:cs="Arial"/>
          <w:sz w:val="20"/>
          <w:szCs w:val="20"/>
        </w:rPr>
        <w:t>Ipeaiyeda</w:t>
      </w:r>
      <w:proofErr w:type="spellEnd"/>
      <w:r>
        <w:rPr>
          <w:rFonts w:ascii="Arial" w:hAnsi="Arial" w:cs="Arial"/>
          <w:sz w:val="20"/>
          <w:szCs w:val="20"/>
        </w:rPr>
        <w:t xml:space="preserve">, A. R., &amp; </w:t>
      </w:r>
      <w:proofErr w:type="spellStart"/>
      <w:r>
        <w:rPr>
          <w:rFonts w:ascii="Arial" w:hAnsi="Arial" w:cs="Arial"/>
          <w:sz w:val="20"/>
          <w:szCs w:val="20"/>
        </w:rPr>
        <w:t>Ogungbemi</w:t>
      </w:r>
      <w:proofErr w:type="spellEnd"/>
      <w:r>
        <w:rPr>
          <w:rFonts w:ascii="Arial" w:hAnsi="Arial" w:cs="Arial"/>
          <w:sz w:val="20"/>
          <w:szCs w:val="20"/>
        </w:rPr>
        <w:t xml:space="preserve">, A. O. (2020). Decontamination of automobile workshop soils containing heavy metals and PAHs using chelating agents. </w:t>
      </w:r>
      <w:r>
        <w:rPr>
          <w:rStyle w:val="Emphasis"/>
          <w:rFonts w:ascii="Arial" w:hAnsi="Arial" w:cs="Arial"/>
          <w:sz w:val="20"/>
          <w:szCs w:val="20"/>
        </w:rPr>
        <w:t>International Journal of Environmental Pollution and Remediation, 8</w:t>
      </w:r>
      <w:r>
        <w:rPr>
          <w:rFonts w:ascii="Arial" w:hAnsi="Arial" w:cs="Arial"/>
          <w:sz w:val="20"/>
          <w:szCs w:val="20"/>
        </w:rPr>
        <w:t xml:space="preserve">, 37–45. </w:t>
      </w:r>
      <w:hyperlink r:id="rId29" w:tgtFrame="_new" w:history="1">
        <w:r>
          <w:rPr>
            <w:rStyle w:val="Hyperlink"/>
            <w:rFonts w:ascii="Arial" w:hAnsi="Arial" w:cs="Arial"/>
            <w:color w:val="auto"/>
            <w:sz w:val="20"/>
            <w:szCs w:val="20"/>
          </w:rPr>
          <w:t>https://doi.org/10.11159/ijepr.2020.005</w:t>
        </w:r>
      </w:hyperlink>
    </w:p>
    <w:p w14:paraId="1E280907" w14:textId="77777777" w:rsidR="002F1621" w:rsidRDefault="000C28D5">
      <w:pPr>
        <w:pStyle w:val="NormalWeb"/>
        <w:jc w:val="both"/>
        <w:rPr>
          <w:rFonts w:ascii="Arial" w:hAnsi="Arial" w:cs="Arial"/>
          <w:sz w:val="20"/>
          <w:szCs w:val="20"/>
        </w:rPr>
      </w:pPr>
      <w:r>
        <w:rPr>
          <w:rFonts w:ascii="Arial" w:hAnsi="Arial" w:cs="Arial"/>
          <w:sz w:val="20"/>
          <w:szCs w:val="20"/>
        </w:rPr>
        <w:t xml:space="preserve">Iwegbue, C. M. A., </w:t>
      </w:r>
      <w:proofErr w:type="spellStart"/>
      <w:r>
        <w:rPr>
          <w:rFonts w:ascii="Arial" w:hAnsi="Arial" w:cs="Arial"/>
          <w:sz w:val="20"/>
          <w:szCs w:val="20"/>
        </w:rPr>
        <w:t>Ogbuta</w:t>
      </w:r>
      <w:proofErr w:type="spellEnd"/>
      <w:r>
        <w:rPr>
          <w:rFonts w:ascii="Arial" w:hAnsi="Arial" w:cs="Arial"/>
          <w:sz w:val="20"/>
          <w:szCs w:val="20"/>
        </w:rPr>
        <w:t xml:space="preserve">, A. A., Tesi, G. O., Ossai, J. C., </w:t>
      </w:r>
      <w:proofErr w:type="spellStart"/>
      <w:r>
        <w:rPr>
          <w:rFonts w:ascii="Arial" w:hAnsi="Arial" w:cs="Arial"/>
          <w:sz w:val="20"/>
          <w:szCs w:val="20"/>
        </w:rPr>
        <w:t>Olisah</w:t>
      </w:r>
      <w:proofErr w:type="spellEnd"/>
      <w:r>
        <w:rPr>
          <w:rFonts w:ascii="Arial" w:hAnsi="Arial" w:cs="Arial"/>
          <w:sz w:val="20"/>
          <w:szCs w:val="20"/>
        </w:rPr>
        <w:t xml:space="preserve">, C., Nwajei, G. E., &amp; </w:t>
      </w:r>
      <w:proofErr w:type="spellStart"/>
      <w:r>
        <w:rPr>
          <w:rFonts w:ascii="Arial" w:hAnsi="Arial" w:cs="Arial"/>
          <w:sz w:val="20"/>
          <w:szCs w:val="20"/>
        </w:rPr>
        <w:t>Martincingh</w:t>
      </w:r>
      <w:proofErr w:type="spellEnd"/>
      <w:r>
        <w:rPr>
          <w:rFonts w:ascii="Arial" w:hAnsi="Arial" w:cs="Arial"/>
          <w:sz w:val="20"/>
          <w:szCs w:val="20"/>
        </w:rPr>
        <w:t xml:space="preserve">, B. S. (2023). Spatial distribution of polycyclic aromatic hydrocarbons in dust and soil from informal trade sites in southern Nigeria. </w:t>
      </w:r>
      <w:r>
        <w:rPr>
          <w:rStyle w:val="Emphasis"/>
          <w:rFonts w:ascii="Arial" w:hAnsi="Arial" w:cs="Arial"/>
          <w:sz w:val="20"/>
          <w:szCs w:val="20"/>
        </w:rPr>
        <w:t>Chemosphere, 315</w:t>
      </w:r>
      <w:r>
        <w:rPr>
          <w:rFonts w:ascii="Arial" w:hAnsi="Arial" w:cs="Arial"/>
          <w:sz w:val="20"/>
          <w:szCs w:val="20"/>
        </w:rPr>
        <w:t>, 137824. https://doi.org/10.1016/j.chemosphere.2022.137824</w:t>
      </w:r>
    </w:p>
    <w:p w14:paraId="00EF167B" w14:textId="77777777" w:rsidR="002F1621" w:rsidRDefault="000C28D5">
      <w:pPr>
        <w:pStyle w:val="NormalWeb"/>
        <w:jc w:val="both"/>
        <w:rPr>
          <w:rStyle w:val="Hyperlink"/>
          <w:rFonts w:ascii="Arial" w:eastAsia="SimSun" w:hAnsi="Arial" w:cs="Arial"/>
          <w:color w:val="auto"/>
          <w:sz w:val="20"/>
          <w:szCs w:val="20"/>
          <w:u w:val="none"/>
        </w:rPr>
      </w:pPr>
      <w:proofErr w:type="spellStart"/>
      <w:r>
        <w:rPr>
          <w:rStyle w:val="Hyperlink"/>
          <w:rFonts w:ascii="Arial" w:eastAsia="SimSun" w:hAnsi="Arial" w:cs="Arial"/>
          <w:color w:val="auto"/>
          <w:sz w:val="20"/>
          <w:szCs w:val="20"/>
          <w:u w:val="none"/>
        </w:rPr>
        <w:t>Maliszewska-Kordybach</w:t>
      </w:r>
      <w:proofErr w:type="spellEnd"/>
      <w:r>
        <w:rPr>
          <w:rStyle w:val="Hyperlink"/>
          <w:rFonts w:ascii="Arial" w:eastAsia="SimSun" w:hAnsi="Arial" w:cs="Arial"/>
          <w:color w:val="auto"/>
          <w:sz w:val="20"/>
          <w:szCs w:val="20"/>
          <w:u w:val="none"/>
        </w:rPr>
        <w:t>, B. Polycyclic aromatic hydrocarbons in agricultural soils in Poland: preliminary proposals for criteria to evaluate the level of soil contamination. Applied Geochemistry 1996, 11: 121-127</w:t>
      </w:r>
    </w:p>
    <w:p w14:paraId="6F3E245A" w14:textId="77777777" w:rsidR="002F1621" w:rsidRDefault="000C28D5">
      <w:pPr>
        <w:pStyle w:val="NormalWeb"/>
        <w:jc w:val="both"/>
        <w:rPr>
          <w:rFonts w:ascii="Arial" w:hAnsi="Arial" w:cs="Arial"/>
          <w:sz w:val="20"/>
          <w:szCs w:val="20"/>
        </w:rPr>
      </w:pPr>
      <w:r>
        <w:rPr>
          <w:rFonts w:ascii="Arial" w:hAnsi="Arial" w:cs="Arial"/>
          <w:sz w:val="20"/>
          <w:szCs w:val="20"/>
        </w:rPr>
        <w:t xml:space="preserve">Marubeni Corporation. (2017). </w:t>
      </w:r>
      <w:r>
        <w:rPr>
          <w:rStyle w:val="Emphasis"/>
          <w:rFonts w:ascii="Arial" w:hAnsi="Arial" w:cs="Arial"/>
          <w:sz w:val="20"/>
          <w:szCs w:val="20"/>
        </w:rPr>
        <w:t>Sub-Saharan Africa automobile business</w:t>
      </w:r>
      <w:r>
        <w:rPr>
          <w:rFonts w:ascii="Arial" w:hAnsi="Arial" w:cs="Arial"/>
          <w:sz w:val="20"/>
          <w:szCs w:val="20"/>
        </w:rPr>
        <w:t>. Marubeni Research Institute.</w:t>
      </w:r>
    </w:p>
    <w:p w14:paraId="3E058F53" w14:textId="77777777" w:rsidR="002F1621" w:rsidRDefault="000C28D5">
      <w:pPr>
        <w:pStyle w:val="NormalWeb"/>
        <w:jc w:val="both"/>
        <w:rPr>
          <w:rStyle w:val="Hyperlink"/>
          <w:rFonts w:ascii="Arial" w:eastAsia="SimSun" w:hAnsi="Arial" w:cs="Arial"/>
          <w:color w:val="auto"/>
          <w:sz w:val="20"/>
          <w:szCs w:val="20"/>
          <w:u w:val="none"/>
        </w:rPr>
      </w:pPr>
      <w:proofErr w:type="spellStart"/>
      <w:r>
        <w:rPr>
          <w:rStyle w:val="Hyperlink"/>
          <w:rFonts w:ascii="Arial" w:eastAsia="SimSun" w:hAnsi="Arial" w:cs="Arial"/>
          <w:color w:val="auto"/>
          <w:sz w:val="20"/>
          <w:szCs w:val="20"/>
          <w:u w:val="none"/>
        </w:rPr>
        <w:t>Mihankhah</w:t>
      </w:r>
      <w:proofErr w:type="spellEnd"/>
      <w:r>
        <w:rPr>
          <w:rStyle w:val="Hyperlink"/>
          <w:rFonts w:ascii="Arial" w:eastAsia="SimSun" w:hAnsi="Arial" w:cs="Arial"/>
          <w:color w:val="auto"/>
          <w:sz w:val="20"/>
          <w:szCs w:val="20"/>
          <w:u w:val="none"/>
        </w:rPr>
        <w:t xml:space="preserve">, T; </w:t>
      </w:r>
      <w:proofErr w:type="spellStart"/>
      <w:r>
        <w:rPr>
          <w:rStyle w:val="Hyperlink"/>
          <w:rFonts w:ascii="Arial" w:eastAsia="SimSun" w:hAnsi="Arial" w:cs="Arial"/>
          <w:color w:val="auto"/>
          <w:sz w:val="20"/>
          <w:szCs w:val="20"/>
          <w:u w:val="none"/>
        </w:rPr>
        <w:t>Saeedi</w:t>
      </w:r>
      <w:proofErr w:type="spellEnd"/>
      <w:r>
        <w:rPr>
          <w:rStyle w:val="Hyperlink"/>
          <w:rFonts w:ascii="Arial" w:eastAsia="SimSun" w:hAnsi="Arial" w:cs="Arial"/>
          <w:color w:val="auto"/>
          <w:sz w:val="20"/>
          <w:szCs w:val="20"/>
          <w:u w:val="none"/>
        </w:rPr>
        <w:t xml:space="preserve">, M; </w:t>
      </w:r>
      <w:proofErr w:type="spellStart"/>
      <w:r>
        <w:rPr>
          <w:rStyle w:val="Hyperlink"/>
          <w:rFonts w:ascii="Arial" w:eastAsia="SimSun" w:hAnsi="Arial" w:cs="Arial"/>
          <w:color w:val="auto"/>
          <w:sz w:val="20"/>
          <w:szCs w:val="20"/>
          <w:u w:val="none"/>
        </w:rPr>
        <w:t>Karbassi</w:t>
      </w:r>
      <w:proofErr w:type="spellEnd"/>
      <w:r>
        <w:rPr>
          <w:rStyle w:val="Hyperlink"/>
          <w:rFonts w:ascii="Arial" w:eastAsia="SimSun" w:hAnsi="Arial" w:cs="Arial"/>
          <w:color w:val="auto"/>
          <w:sz w:val="20"/>
          <w:szCs w:val="20"/>
          <w:u w:val="none"/>
        </w:rPr>
        <w:t>, A. Contamination and cancer risk assessment of polycyclic aromatic hydrocarbons (PAHs) in urban dust from different land-uses in the most populated city of Iran.  Ecotoxicology and Environmental Safety 2020, 187, 109838</w:t>
      </w:r>
    </w:p>
    <w:p w14:paraId="7658477A" w14:textId="77777777" w:rsidR="002F1621" w:rsidRDefault="000C28D5">
      <w:pPr>
        <w:pStyle w:val="NormalWeb"/>
        <w:jc w:val="both"/>
        <w:rPr>
          <w:rFonts w:ascii="Arial" w:hAnsi="Arial" w:cs="Arial"/>
          <w:sz w:val="20"/>
          <w:szCs w:val="20"/>
        </w:rPr>
      </w:pPr>
      <w:r>
        <w:rPr>
          <w:rFonts w:ascii="Arial" w:hAnsi="Arial" w:cs="Arial"/>
          <w:sz w:val="20"/>
          <w:szCs w:val="20"/>
        </w:rPr>
        <w:lastRenderedPageBreak/>
        <w:t xml:space="preserve">Nisbet, I. C. T., &amp; LaGoy, P. K. (1992). Toxic equivalency factors (TEFs) for polycyclic aromatic hydrocarbons. </w:t>
      </w:r>
      <w:r>
        <w:rPr>
          <w:rStyle w:val="Emphasis"/>
          <w:rFonts w:ascii="Arial" w:hAnsi="Arial" w:cs="Arial"/>
          <w:sz w:val="20"/>
          <w:szCs w:val="20"/>
        </w:rPr>
        <w:t>Regulatory Toxicology and Pharmacology, 16</w:t>
      </w:r>
      <w:r>
        <w:rPr>
          <w:rFonts w:ascii="Arial" w:hAnsi="Arial" w:cs="Arial"/>
          <w:sz w:val="20"/>
          <w:szCs w:val="20"/>
        </w:rPr>
        <w:t xml:space="preserve">(3), 290–300. </w:t>
      </w:r>
      <w:hyperlink r:id="rId30" w:tgtFrame="_new" w:history="1">
        <w:r>
          <w:rPr>
            <w:rStyle w:val="Hyperlink"/>
            <w:rFonts w:ascii="Arial" w:hAnsi="Arial" w:cs="Arial"/>
            <w:color w:val="auto"/>
            <w:sz w:val="20"/>
            <w:szCs w:val="20"/>
          </w:rPr>
          <w:t>https://doi.org/10.1016/0273-2300(92)90009-X</w:t>
        </w:r>
      </w:hyperlink>
    </w:p>
    <w:p w14:paraId="33BB1BD7" w14:textId="77777777" w:rsidR="002F1621" w:rsidRDefault="000C28D5">
      <w:pPr>
        <w:pStyle w:val="NormalWeb"/>
        <w:jc w:val="both"/>
        <w:rPr>
          <w:rFonts w:ascii="Arial" w:hAnsi="Arial" w:cs="Arial"/>
          <w:sz w:val="20"/>
          <w:szCs w:val="20"/>
        </w:rPr>
      </w:pPr>
      <w:r>
        <w:rPr>
          <w:rFonts w:ascii="Arial" w:hAnsi="Arial" w:cs="Arial"/>
          <w:sz w:val="20"/>
          <w:szCs w:val="20"/>
        </w:rPr>
        <w:t xml:space="preserve">Nwachukwu, M. A., Feng, H., &amp; </w:t>
      </w:r>
      <w:proofErr w:type="spellStart"/>
      <w:r>
        <w:rPr>
          <w:rFonts w:ascii="Arial" w:hAnsi="Arial" w:cs="Arial"/>
          <w:sz w:val="20"/>
          <w:szCs w:val="20"/>
        </w:rPr>
        <w:t>Achilike</w:t>
      </w:r>
      <w:proofErr w:type="spellEnd"/>
      <w:r>
        <w:rPr>
          <w:rFonts w:ascii="Arial" w:hAnsi="Arial" w:cs="Arial"/>
          <w:sz w:val="20"/>
          <w:szCs w:val="20"/>
        </w:rPr>
        <w:t xml:space="preserve">, K. (2010). Integrated study for automobile waste management and environmentally friendly mechanic villages in the Imo River Basin, Nigeria. African Journal of Environmental Science and Technology, 4(4), 234–249. </w:t>
      </w:r>
      <w:hyperlink r:id="rId31" w:history="1">
        <w:r>
          <w:rPr>
            <w:rFonts w:ascii="Arial" w:hAnsi="Arial" w:cs="Arial"/>
            <w:sz w:val="20"/>
            <w:szCs w:val="20"/>
          </w:rPr>
          <w:t>https://doi.org/10.5897/AJEST09.183</w:t>
        </w:r>
      </w:hyperlink>
    </w:p>
    <w:p w14:paraId="2C27DF26" w14:textId="77777777" w:rsidR="002F1621" w:rsidRDefault="000C28D5">
      <w:pPr>
        <w:pStyle w:val="NormalWeb"/>
        <w:jc w:val="both"/>
        <w:rPr>
          <w:rStyle w:val="Hyperlink"/>
          <w:rFonts w:ascii="Arial" w:eastAsia="SimSun" w:hAnsi="Arial" w:cs="Arial"/>
          <w:color w:val="auto"/>
          <w:sz w:val="20"/>
          <w:szCs w:val="20"/>
          <w:u w:val="none"/>
        </w:rPr>
      </w:pPr>
      <w:proofErr w:type="spellStart"/>
      <w:r>
        <w:rPr>
          <w:rStyle w:val="Hyperlink"/>
          <w:rFonts w:ascii="Arial" w:eastAsia="SimSun" w:hAnsi="Arial" w:cs="Arial"/>
          <w:color w:val="auto"/>
          <w:sz w:val="20"/>
          <w:szCs w:val="20"/>
          <w:u w:val="none"/>
        </w:rPr>
        <w:t>Obini</w:t>
      </w:r>
      <w:proofErr w:type="spellEnd"/>
      <w:r>
        <w:rPr>
          <w:rStyle w:val="Hyperlink"/>
          <w:rFonts w:ascii="Arial" w:eastAsia="SimSun" w:hAnsi="Arial" w:cs="Arial"/>
          <w:color w:val="auto"/>
          <w:sz w:val="20"/>
          <w:szCs w:val="20"/>
          <w:u w:val="none"/>
        </w:rPr>
        <w:t xml:space="preserve">, U; Okafor, C.O; </w:t>
      </w:r>
      <w:proofErr w:type="spellStart"/>
      <w:r>
        <w:rPr>
          <w:rStyle w:val="Hyperlink"/>
          <w:rFonts w:ascii="Arial" w:eastAsia="SimSun" w:hAnsi="Arial" w:cs="Arial"/>
          <w:color w:val="auto"/>
          <w:sz w:val="20"/>
          <w:szCs w:val="20"/>
          <w:u w:val="none"/>
        </w:rPr>
        <w:t>Afiukwa</w:t>
      </w:r>
      <w:proofErr w:type="spellEnd"/>
      <w:r>
        <w:rPr>
          <w:rStyle w:val="Hyperlink"/>
          <w:rFonts w:ascii="Arial" w:eastAsia="SimSun" w:hAnsi="Arial" w:cs="Arial"/>
          <w:color w:val="auto"/>
          <w:sz w:val="20"/>
          <w:szCs w:val="20"/>
          <w:u w:val="none"/>
        </w:rPr>
        <w:t xml:space="preserve">, J.N. Determination of levels of polycyclic aromatic hydrocarbons in soil contaminated with spent motor engine oil in </w:t>
      </w:r>
      <w:proofErr w:type="spellStart"/>
      <w:r>
        <w:rPr>
          <w:rStyle w:val="Hyperlink"/>
          <w:rFonts w:ascii="Arial" w:eastAsia="SimSun" w:hAnsi="Arial" w:cs="Arial"/>
          <w:color w:val="auto"/>
          <w:sz w:val="20"/>
          <w:szCs w:val="20"/>
          <w:u w:val="none"/>
        </w:rPr>
        <w:t>Abakaliki</w:t>
      </w:r>
      <w:proofErr w:type="spellEnd"/>
      <w:r>
        <w:rPr>
          <w:rStyle w:val="Hyperlink"/>
          <w:rFonts w:ascii="Arial" w:eastAsia="SimSun" w:hAnsi="Arial" w:cs="Arial"/>
          <w:color w:val="auto"/>
          <w:sz w:val="20"/>
          <w:szCs w:val="20"/>
          <w:u w:val="none"/>
        </w:rPr>
        <w:t xml:space="preserve"> auto-mechanic village. Journal of Applied Sciences and Environmental Management 2013, 17(2), 169–175.</w:t>
      </w:r>
    </w:p>
    <w:p w14:paraId="10A878B1" w14:textId="77777777" w:rsidR="002F1621" w:rsidRDefault="000C28D5">
      <w:pPr>
        <w:pStyle w:val="NormalWeb"/>
        <w:jc w:val="both"/>
        <w:rPr>
          <w:rStyle w:val="Hyperlink"/>
          <w:rFonts w:ascii="Arial" w:eastAsia="SimSun" w:hAnsi="Arial" w:cs="Arial"/>
          <w:color w:val="auto"/>
          <w:sz w:val="20"/>
          <w:szCs w:val="20"/>
          <w:u w:val="none"/>
        </w:rPr>
      </w:pPr>
      <w:r>
        <w:rPr>
          <w:rStyle w:val="Hyperlink"/>
          <w:rFonts w:ascii="Arial" w:eastAsia="SimSun" w:hAnsi="Arial" w:cs="Arial"/>
          <w:color w:val="auto"/>
          <w:sz w:val="20"/>
          <w:szCs w:val="20"/>
          <w:u w:val="none"/>
        </w:rPr>
        <w:t xml:space="preserve">Oko, </w:t>
      </w:r>
      <w:proofErr w:type="gramStart"/>
      <w:r>
        <w:rPr>
          <w:rStyle w:val="Hyperlink"/>
          <w:rFonts w:ascii="Arial" w:eastAsia="SimSun" w:hAnsi="Arial" w:cs="Arial"/>
          <w:color w:val="auto"/>
          <w:sz w:val="20"/>
          <w:szCs w:val="20"/>
          <w:u w:val="none"/>
        </w:rPr>
        <w:t>J.O</w:t>
      </w:r>
      <w:proofErr w:type="gramEnd"/>
      <w:r>
        <w:rPr>
          <w:rStyle w:val="Hyperlink"/>
          <w:rFonts w:ascii="Arial" w:eastAsia="SimSun" w:hAnsi="Arial" w:cs="Arial"/>
          <w:color w:val="auto"/>
          <w:sz w:val="20"/>
          <w:szCs w:val="20"/>
          <w:u w:val="none"/>
        </w:rPr>
        <w:t xml:space="preserve">; </w:t>
      </w:r>
      <w:proofErr w:type="spellStart"/>
      <w:r>
        <w:rPr>
          <w:rStyle w:val="Hyperlink"/>
          <w:rFonts w:ascii="Arial" w:eastAsia="SimSun" w:hAnsi="Arial" w:cs="Arial"/>
          <w:color w:val="auto"/>
          <w:sz w:val="20"/>
          <w:szCs w:val="20"/>
          <w:u w:val="none"/>
        </w:rPr>
        <w:t>Yerima</w:t>
      </w:r>
      <w:proofErr w:type="spellEnd"/>
      <w:r>
        <w:rPr>
          <w:rStyle w:val="Hyperlink"/>
          <w:rFonts w:ascii="Arial" w:eastAsia="SimSun" w:hAnsi="Arial" w:cs="Arial"/>
          <w:color w:val="auto"/>
          <w:sz w:val="20"/>
          <w:szCs w:val="20"/>
          <w:u w:val="none"/>
        </w:rPr>
        <w:t xml:space="preserve">, E.A; </w:t>
      </w:r>
      <w:proofErr w:type="spellStart"/>
      <w:r>
        <w:rPr>
          <w:rStyle w:val="Hyperlink"/>
          <w:rFonts w:ascii="Arial" w:eastAsia="SimSun" w:hAnsi="Arial" w:cs="Arial"/>
          <w:color w:val="auto"/>
          <w:sz w:val="20"/>
          <w:szCs w:val="20"/>
          <w:u w:val="none"/>
        </w:rPr>
        <w:t>Shintema</w:t>
      </w:r>
      <w:proofErr w:type="spellEnd"/>
      <w:r>
        <w:rPr>
          <w:rStyle w:val="Hyperlink"/>
          <w:rFonts w:ascii="Arial" w:eastAsia="SimSun" w:hAnsi="Arial" w:cs="Arial"/>
          <w:color w:val="auto"/>
          <w:sz w:val="20"/>
          <w:szCs w:val="20"/>
          <w:u w:val="none"/>
        </w:rPr>
        <w:t xml:space="preserve">, A; Yakubu, S; </w:t>
      </w:r>
      <w:proofErr w:type="spellStart"/>
      <w:r>
        <w:rPr>
          <w:rStyle w:val="Hyperlink"/>
          <w:rFonts w:ascii="Arial" w:eastAsia="SimSun" w:hAnsi="Arial" w:cs="Arial"/>
          <w:color w:val="auto"/>
          <w:sz w:val="20"/>
          <w:szCs w:val="20"/>
          <w:u w:val="none"/>
        </w:rPr>
        <w:t>Bilyaminu</w:t>
      </w:r>
      <w:proofErr w:type="spellEnd"/>
      <w:r>
        <w:rPr>
          <w:rStyle w:val="Hyperlink"/>
          <w:rFonts w:ascii="Arial" w:eastAsia="SimSun" w:hAnsi="Arial" w:cs="Arial"/>
          <w:color w:val="auto"/>
          <w:sz w:val="20"/>
          <w:szCs w:val="20"/>
          <w:u w:val="none"/>
        </w:rPr>
        <w:t xml:space="preserve">, </w:t>
      </w:r>
      <w:proofErr w:type="spellStart"/>
      <w:r>
        <w:rPr>
          <w:rStyle w:val="Hyperlink"/>
          <w:rFonts w:ascii="Arial" w:eastAsia="SimSun" w:hAnsi="Arial" w:cs="Arial"/>
          <w:color w:val="auto"/>
          <w:sz w:val="20"/>
          <w:szCs w:val="20"/>
          <w:u w:val="none"/>
        </w:rPr>
        <w:t>H.Polycyclic</w:t>
      </w:r>
      <w:proofErr w:type="spellEnd"/>
      <w:r>
        <w:rPr>
          <w:rStyle w:val="Hyperlink"/>
          <w:rFonts w:ascii="Arial" w:eastAsia="SimSun" w:hAnsi="Arial" w:cs="Arial"/>
          <w:color w:val="auto"/>
          <w:sz w:val="20"/>
          <w:szCs w:val="20"/>
          <w:u w:val="none"/>
        </w:rPr>
        <w:t xml:space="preserve"> </w:t>
      </w:r>
      <w:proofErr w:type="spellStart"/>
      <w:r>
        <w:rPr>
          <w:rStyle w:val="Hyperlink"/>
          <w:rFonts w:ascii="Arial" w:eastAsia="SimSun" w:hAnsi="Arial" w:cs="Arial"/>
          <w:color w:val="auto"/>
          <w:sz w:val="20"/>
          <w:szCs w:val="20"/>
          <w:u w:val="none"/>
        </w:rPr>
        <w:t>aromatc</w:t>
      </w:r>
      <w:proofErr w:type="spellEnd"/>
      <w:r>
        <w:rPr>
          <w:rStyle w:val="Hyperlink"/>
          <w:rFonts w:ascii="Arial" w:eastAsia="SimSun" w:hAnsi="Arial" w:cs="Arial"/>
          <w:color w:val="auto"/>
          <w:sz w:val="20"/>
          <w:szCs w:val="20"/>
          <w:u w:val="none"/>
        </w:rPr>
        <w:t xml:space="preserve"> hydrocarbon (PAH) levels in treated spent engine oil contaminated soil from </w:t>
      </w:r>
      <w:proofErr w:type="spellStart"/>
      <w:r>
        <w:rPr>
          <w:rStyle w:val="Hyperlink"/>
          <w:rFonts w:ascii="Arial" w:eastAsia="SimSun" w:hAnsi="Arial" w:cs="Arial"/>
          <w:color w:val="auto"/>
          <w:sz w:val="20"/>
          <w:szCs w:val="20"/>
          <w:u w:val="none"/>
        </w:rPr>
        <w:t>automechanic</w:t>
      </w:r>
      <w:proofErr w:type="spellEnd"/>
      <w:r>
        <w:rPr>
          <w:rStyle w:val="Hyperlink"/>
          <w:rFonts w:ascii="Arial" w:eastAsia="SimSun" w:hAnsi="Arial" w:cs="Arial"/>
          <w:color w:val="auto"/>
          <w:sz w:val="20"/>
          <w:szCs w:val="20"/>
          <w:u w:val="none"/>
        </w:rPr>
        <w:t xml:space="preserve"> workshop site in </w:t>
      </w:r>
      <w:proofErr w:type="spellStart"/>
      <w:r>
        <w:rPr>
          <w:rStyle w:val="Hyperlink"/>
          <w:rFonts w:ascii="Arial" w:eastAsia="SimSun" w:hAnsi="Arial" w:cs="Arial"/>
          <w:color w:val="auto"/>
          <w:sz w:val="20"/>
          <w:szCs w:val="20"/>
          <w:u w:val="none"/>
        </w:rPr>
        <w:t>Wukari</w:t>
      </w:r>
      <w:proofErr w:type="spellEnd"/>
      <w:r>
        <w:rPr>
          <w:rStyle w:val="Hyperlink"/>
          <w:rFonts w:ascii="Arial" w:eastAsia="SimSun" w:hAnsi="Arial" w:cs="Arial"/>
          <w:color w:val="auto"/>
          <w:sz w:val="20"/>
          <w:szCs w:val="20"/>
          <w:u w:val="none"/>
        </w:rPr>
        <w:t>, Nigeria. Lafia Journal of Scientific and Industrial Research 2024, 2(1). DOI: 10.62050/ljsir2024.v2n1.308</w:t>
      </w:r>
    </w:p>
    <w:p w14:paraId="2A2AE782" w14:textId="77777777" w:rsidR="002F1621" w:rsidRDefault="000C28D5">
      <w:pPr>
        <w:pStyle w:val="NormalWeb"/>
        <w:jc w:val="both"/>
        <w:rPr>
          <w:rStyle w:val="Hyperlink"/>
          <w:rFonts w:ascii="Arial" w:eastAsia="SimSun" w:hAnsi="Arial" w:cs="Arial"/>
          <w:color w:val="auto"/>
          <w:sz w:val="20"/>
          <w:szCs w:val="20"/>
          <w:u w:val="none"/>
        </w:rPr>
      </w:pPr>
      <w:proofErr w:type="spellStart"/>
      <w:r>
        <w:rPr>
          <w:rStyle w:val="Hyperlink"/>
          <w:rFonts w:ascii="Arial" w:eastAsia="SimSun" w:hAnsi="Arial" w:cs="Arial"/>
          <w:color w:val="auto"/>
          <w:sz w:val="20"/>
          <w:szCs w:val="20"/>
          <w:u w:val="none"/>
        </w:rPr>
        <w:t>Omores</w:t>
      </w:r>
      <w:proofErr w:type="spellEnd"/>
      <w:r>
        <w:rPr>
          <w:rStyle w:val="Hyperlink"/>
          <w:rFonts w:ascii="Arial" w:eastAsia="SimSun" w:hAnsi="Arial" w:cs="Arial"/>
          <w:color w:val="auto"/>
          <w:sz w:val="20"/>
          <w:szCs w:val="20"/>
          <w:u w:val="none"/>
        </w:rPr>
        <w:t xml:space="preserve">, R.A; </w:t>
      </w:r>
      <w:proofErr w:type="spellStart"/>
      <w:r>
        <w:rPr>
          <w:rStyle w:val="Hyperlink"/>
          <w:rFonts w:ascii="Arial" w:eastAsia="SimSun" w:hAnsi="Arial" w:cs="Arial"/>
          <w:color w:val="auto"/>
          <w:sz w:val="20"/>
          <w:szCs w:val="20"/>
          <w:u w:val="none"/>
        </w:rPr>
        <w:t>Wewers</w:t>
      </w:r>
      <w:proofErr w:type="spellEnd"/>
      <w:r>
        <w:rPr>
          <w:rStyle w:val="Hyperlink"/>
          <w:rFonts w:ascii="Arial" w:eastAsia="SimSun" w:hAnsi="Arial" w:cs="Arial"/>
          <w:color w:val="auto"/>
          <w:sz w:val="20"/>
          <w:szCs w:val="20"/>
          <w:u w:val="none"/>
        </w:rPr>
        <w:t xml:space="preserve">, F; </w:t>
      </w:r>
      <w:proofErr w:type="spellStart"/>
      <w:r>
        <w:rPr>
          <w:rStyle w:val="Hyperlink"/>
          <w:rFonts w:ascii="Arial" w:eastAsia="SimSun" w:hAnsi="Arial" w:cs="Arial"/>
          <w:color w:val="auto"/>
          <w:sz w:val="20"/>
          <w:szCs w:val="20"/>
          <w:u w:val="none"/>
        </w:rPr>
        <w:t>Ikhide</w:t>
      </w:r>
      <w:proofErr w:type="spellEnd"/>
      <w:r>
        <w:rPr>
          <w:rStyle w:val="Hyperlink"/>
          <w:rFonts w:ascii="Arial" w:eastAsia="SimSun" w:hAnsi="Arial" w:cs="Arial"/>
          <w:color w:val="auto"/>
          <w:sz w:val="20"/>
          <w:szCs w:val="20"/>
          <w:u w:val="none"/>
        </w:rPr>
        <w:t xml:space="preserve">, P.O; Farrar, T; Giwa, A. </w:t>
      </w:r>
      <w:proofErr w:type="spellStart"/>
      <w:r>
        <w:rPr>
          <w:rStyle w:val="Hyperlink"/>
          <w:rFonts w:ascii="Arial" w:eastAsia="SimSun" w:hAnsi="Arial" w:cs="Arial"/>
          <w:color w:val="auto"/>
          <w:sz w:val="20"/>
          <w:szCs w:val="20"/>
          <w:u w:val="none"/>
        </w:rPr>
        <w:t>Spatio</w:t>
      </w:r>
      <w:proofErr w:type="spellEnd"/>
      <w:r>
        <w:rPr>
          <w:rStyle w:val="Hyperlink"/>
          <w:rFonts w:ascii="Arial" w:eastAsia="SimSun" w:hAnsi="Arial" w:cs="Arial"/>
          <w:color w:val="auto"/>
          <w:sz w:val="20"/>
          <w:szCs w:val="20"/>
          <w:u w:val="none"/>
        </w:rPr>
        <w:t>-temporal distribution of polycyclic aromatic hydrocarbons on urban soils in Cape Town, South Africa. International Journal of Environmental Research 2017, 11(2): 189-196. DOI: 10.1007/s41742-017-0018-2</w:t>
      </w:r>
    </w:p>
    <w:p w14:paraId="4B002B76" w14:textId="77777777" w:rsidR="002F1621" w:rsidRDefault="000C28D5">
      <w:pPr>
        <w:pStyle w:val="NormalWeb"/>
        <w:jc w:val="both"/>
        <w:rPr>
          <w:rFonts w:ascii="Arial" w:hAnsi="Arial" w:cs="Arial"/>
          <w:sz w:val="20"/>
          <w:szCs w:val="20"/>
        </w:rPr>
      </w:pPr>
      <w:r>
        <w:rPr>
          <w:rFonts w:ascii="Arial" w:hAnsi="Arial" w:cs="Arial"/>
          <w:sz w:val="20"/>
          <w:szCs w:val="20"/>
        </w:rPr>
        <w:t>U.S. Environmental Protection Agency. (1989). Risk assessment guidance for Superfund (RAGS), Volume I: Human health evaluation manual (Part A) (EPA/540/1-89/002).</w:t>
      </w:r>
    </w:p>
    <w:p w14:paraId="60902169" w14:textId="77777777" w:rsidR="002F1621" w:rsidRDefault="000C28D5">
      <w:pPr>
        <w:pStyle w:val="NormalWeb"/>
        <w:jc w:val="both"/>
        <w:rPr>
          <w:rFonts w:ascii="Arial" w:hAnsi="Arial" w:cs="Arial"/>
          <w:sz w:val="20"/>
          <w:szCs w:val="20"/>
        </w:rPr>
      </w:pPr>
      <w:r>
        <w:rPr>
          <w:rFonts w:ascii="Arial" w:hAnsi="Arial" w:cs="Arial"/>
          <w:sz w:val="20"/>
          <w:szCs w:val="20"/>
        </w:rPr>
        <w:t>U.S. Environmental Protection Agency. (2001). Risk assessment guidance for Superfund (RAGS), Volume I, Part E: Supplemental guidance for dermal risk assessment (EPA/540/R-99/005).</w:t>
      </w:r>
    </w:p>
    <w:p w14:paraId="145EA74B" w14:textId="77777777" w:rsidR="002F1621" w:rsidRDefault="000C28D5">
      <w:pPr>
        <w:pStyle w:val="NormalWeb"/>
        <w:jc w:val="both"/>
        <w:rPr>
          <w:rStyle w:val="Hyperlink"/>
          <w:rFonts w:ascii="Arial" w:eastAsia="SimSun" w:hAnsi="Arial" w:cs="Arial"/>
          <w:color w:val="auto"/>
          <w:sz w:val="20"/>
          <w:szCs w:val="20"/>
        </w:rPr>
      </w:pPr>
      <w:r>
        <w:rPr>
          <w:rFonts w:ascii="Arial" w:hAnsi="Arial" w:cs="Arial"/>
          <w:sz w:val="20"/>
          <w:szCs w:val="20"/>
        </w:rPr>
        <w:t xml:space="preserve">U.S. Environmental Protection Agency. </w:t>
      </w:r>
      <w:r>
        <w:rPr>
          <w:rStyle w:val="Hyperlink"/>
          <w:rFonts w:ascii="Arial" w:eastAsia="SimSun" w:hAnsi="Arial" w:cs="Arial"/>
          <w:color w:val="auto"/>
          <w:sz w:val="20"/>
          <w:szCs w:val="20"/>
        </w:rPr>
        <w:t xml:space="preserve">(2007). Method 3550C: Ultrasonic extraction. </w:t>
      </w:r>
      <w:hyperlink r:id="rId32" w:tgtFrame="_new" w:history="1">
        <w:r>
          <w:rPr>
            <w:rStyle w:val="Hyperlink"/>
            <w:rFonts w:ascii="Arial" w:eastAsia="SimSun" w:hAnsi="Arial" w:cs="Arial"/>
            <w:color w:val="auto"/>
            <w:sz w:val="20"/>
            <w:szCs w:val="20"/>
          </w:rPr>
          <w:t>https://www.epa.gov/esam/epa-method-3550c-ultrasonic-extraction</w:t>
        </w:r>
      </w:hyperlink>
    </w:p>
    <w:p w14:paraId="0E449C2D" w14:textId="77777777" w:rsidR="002F1621" w:rsidRDefault="000C28D5">
      <w:pPr>
        <w:pStyle w:val="NormalWeb"/>
        <w:jc w:val="both"/>
        <w:rPr>
          <w:rStyle w:val="Hyperlink"/>
          <w:rFonts w:ascii="Arial" w:eastAsia="SimSun" w:hAnsi="Arial" w:cs="Arial"/>
          <w:color w:val="auto"/>
          <w:sz w:val="20"/>
          <w:szCs w:val="20"/>
          <w:u w:val="none"/>
        </w:rPr>
      </w:pPr>
      <w:r>
        <w:rPr>
          <w:rStyle w:val="Hyperlink"/>
          <w:rFonts w:ascii="Arial" w:eastAsia="SimSun" w:hAnsi="Arial" w:cs="Arial"/>
          <w:color w:val="auto"/>
          <w:sz w:val="20"/>
          <w:szCs w:val="20"/>
          <w:u w:val="none"/>
        </w:rPr>
        <w:t xml:space="preserve">Wilcke, W. Polycyclic </w:t>
      </w:r>
      <w:proofErr w:type="spellStart"/>
      <w:r>
        <w:rPr>
          <w:rStyle w:val="Hyperlink"/>
          <w:rFonts w:ascii="Arial" w:eastAsia="SimSun" w:hAnsi="Arial" w:cs="Arial"/>
          <w:color w:val="auto"/>
          <w:sz w:val="20"/>
          <w:szCs w:val="20"/>
          <w:u w:val="none"/>
        </w:rPr>
        <w:t>aromatin</w:t>
      </w:r>
      <w:proofErr w:type="spellEnd"/>
      <w:r>
        <w:rPr>
          <w:rStyle w:val="Hyperlink"/>
          <w:rFonts w:ascii="Arial" w:eastAsia="SimSun" w:hAnsi="Arial" w:cs="Arial"/>
          <w:color w:val="auto"/>
          <w:sz w:val="20"/>
          <w:szCs w:val="20"/>
          <w:u w:val="none"/>
        </w:rPr>
        <w:t xml:space="preserve"> hydrocarbons (PAHs) in soil - a review. Journal of Plant Nutrition and Soil Science 2000, 163(3): 229-248. DOI: 10.1002/1522-2624(200006)163:3&lt;</w:t>
      </w:r>
      <w:proofErr w:type="gramStart"/>
      <w:r>
        <w:rPr>
          <w:rStyle w:val="Hyperlink"/>
          <w:rFonts w:ascii="Arial" w:eastAsia="SimSun" w:hAnsi="Arial" w:cs="Arial"/>
          <w:color w:val="auto"/>
          <w:sz w:val="20"/>
          <w:szCs w:val="20"/>
          <w:u w:val="none"/>
        </w:rPr>
        <w:t>229::</w:t>
      </w:r>
      <w:proofErr w:type="gramEnd"/>
      <w:r>
        <w:rPr>
          <w:rStyle w:val="Hyperlink"/>
          <w:rFonts w:ascii="Arial" w:eastAsia="SimSun" w:hAnsi="Arial" w:cs="Arial"/>
          <w:color w:val="auto"/>
          <w:sz w:val="20"/>
          <w:szCs w:val="20"/>
          <w:u w:val="none"/>
        </w:rPr>
        <w:t>AID-JPLN229&gt;3.0.CO;2-6</w:t>
      </w:r>
    </w:p>
    <w:sectPr w:rsidR="002F1621" w:rsidSect="008B030B">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SUS" w:date="2026-01-08T10:02:00Z" w:initials="A">
    <w:p w14:paraId="1726C705" w14:textId="77777777" w:rsidR="009034C8" w:rsidRDefault="009034C8" w:rsidP="009034C8">
      <w:pPr>
        <w:pStyle w:val="CommentText"/>
      </w:pPr>
      <w:r>
        <w:rPr>
          <w:rStyle w:val="CommentReference"/>
        </w:rPr>
        <w:annotationRef/>
      </w:r>
      <w:r>
        <w:t>In this section, you should include a brief description regarding the urgency of conducting this research.</w:t>
      </w:r>
    </w:p>
  </w:comment>
  <w:comment w:id="2" w:author="ASUS" w:date="2026-01-08T10:03:00Z" w:initials="A">
    <w:p w14:paraId="73CA7094" w14:textId="77777777" w:rsidR="009034C8" w:rsidRDefault="009034C8" w:rsidP="009034C8">
      <w:pPr>
        <w:pStyle w:val="CommentText"/>
      </w:pPr>
      <w:r>
        <w:rPr>
          <w:rStyle w:val="CommentReference"/>
        </w:rPr>
        <w:annotationRef/>
      </w:r>
      <w:r>
        <w:t>There are six sampling points, (2 at each location, it is necessary to add coordinate data for each sampling point.</w:t>
      </w:r>
    </w:p>
  </w:comment>
  <w:comment w:id="3" w:author="ASUS" w:date="2026-01-08T10:06:00Z" w:initials="A">
    <w:p w14:paraId="339A014E" w14:textId="77777777" w:rsidR="009034C8" w:rsidRDefault="009034C8" w:rsidP="009034C8">
      <w:pPr>
        <w:pStyle w:val="CommentText"/>
      </w:pPr>
      <w:r>
        <w:rPr>
          <w:rStyle w:val="CommentReference"/>
        </w:rPr>
        <w:annotationRef/>
      </w:r>
      <w:r>
        <w:t>Please provide a logical and rational reason for choosing Benzo[a]pyrene as a reference, even though ASTM lists at least 16 types of PAHs that are categorized as carcinogenic and mutagenic and can trigger the activation of cancer cells.</w:t>
      </w:r>
    </w:p>
  </w:comment>
  <w:comment w:id="4" w:author="ASUS" w:date="2026-01-08T10:06:00Z" w:initials="A">
    <w:p w14:paraId="0715EC4E" w14:textId="77777777" w:rsidR="009034C8" w:rsidRDefault="009034C8" w:rsidP="009034C8">
      <w:pPr>
        <w:pStyle w:val="CommentText"/>
      </w:pPr>
      <w:r>
        <w:rPr>
          <w:rStyle w:val="CommentReference"/>
        </w:rPr>
        <w:annotationRef/>
      </w:r>
      <w:r>
        <w:t>In Figure 2, each peak of the bar graph should be given a different color between one sample and another, including the control.</w:t>
      </w:r>
    </w:p>
  </w:comment>
  <w:comment w:id="5" w:author="ASUS" w:date="2026-01-08T10:07:00Z" w:initials="A">
    <w:p w14:paraId="6B30C56C" w14:textId="77777777" w:rsidR="009034C8" w:rsidRDefault="009034C8" w:rsidP="009034C8">
      <w:pPr>
        <w:pStyle w:val="CommentText"/>
      </w:pPr>
      <w:r>
        <w:rPr>
          <w:rStyle w:val="CommentReference"/>
        </w:rPr>
        <w:annotationRef/>
      </w:r>
      <w:r>
        <w:t>Similar to Figure 3, this is an unattractive graphic. Color each sample differently, and display the measured concentration at the top of each bar chart.</w:t>
      </w:r>
    </w:p>
  </w:comment>
  <w:comment w:id="6" w:author="ASUS" w:date="2026-01-08T10:08:00Z" w:initials="A">
    <w:p w14:paraId="225C8BE6" w14:textId="77777777" w:rsidR="009034C8" w:rsidRDefault="009034C8" w:rsidP="009034C8">
      <w:pPr>
        <w:pStyle w:val="CommentText"/>
      </w:pPr>
      <w:r>
        <w:rPr>
          <w:rStyle w:val="CommentReference"/>
        </w:rPr>
        <w:annotationRef/>
      </w:r>
      <w:r>
        <w:t>Please provide a brief description of the data in Figure 4. For example, in sample code BU2, what is the reason that the PAH content is dominated by 6-ring PAHs, and what is the name or type of the 6-ring PAHs in question? Because there are several types of 6-ring PAHs.</w:t>
      </w:r>
    </w:p>
  </w:comment>
  <w:comment w:id="7" w:author="ASUS" w:date="2026-01-08T10:08:00Z" w:initials="A">
    <w:p w14:paraId="685F6918" w14:textId="77777777" w:rsidR="009034C8" w:rsidRDefault="009034C8" w:rsidP="009034C8">
      <w:pPr>
        <w:pStyle w:val="CommentText"/>
      </w:pPr>
      <w:r>
        <w:rPr>
          <w:rStyle w:val="CommentReference"/>
        </w:rPr>
        <w:annotationRef/>
      </w:r>
      <w:r>
        <w:t>If this sentence is appropriate, it should be moved to the introduction. In the conclusion, include the research results and a brief statement of recommendations based on the research.</w:t>
      </w:r>
    </w:p>
  </w:comment>
  <w:comment w:id="8" w:author="ASUS" w:date="2026-01-08T10:09:00Z" w:initials="A">
    <w:p w14:paraId="6082B94F" w14:textId="77777777" w:rsidR="009034C8" w:rsidRDefault="009034C8" w:rsidP="009034C8">
      <w:pPr>
        <w:pStyle w:val="CommentText"/>
      </w:pPr>
      <w:r>
        <w:rPr>
          <w:rStyle w:val="CommentReference"/>
        </w:rPr>
        <w:annotationRef/>
      </w:r>
      <w:r>
        <w:t>All descriptions included in the conclusion do not reflect the results of the research conducted. These are merely theoretical statements. Please include a conclusion based on the research findings.</w:t>
      </w:r>
    </w:p>
  </w:comment>
  <w:comment w:id="9" w:author="ASUS" w:date="2026-01-08T10:12:00Z" w:initials="A">
    <w:p w14:paraId="607DB696" w14:textId="77777777" w:rsidR="00553DD9" w:rsidRDefault="00553DD9" w:rsidP="00553DD9">
      <w:pPr>
        <w:pStyle w:val="CommentText"/>
      </w:pPr>
      <w:r>
        <w:rPr>
          <w:rStyle w:val="CommentReference"/>
        </w:rPr>
        <w:annotationRef/>
      </w:r>
      <w:r>
        <w:t>I've noticed that references are written in different ways. Please review the style adopted by this journal for referencing, especially if the source is a journal, book, proceedings,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26C705" w15:done="0"/>
  <w15:commentEx w15:paraId="73CA7094" w15:done="0"/>
  <w15:commentEx w15:paraId="339A014E" w15:done="0"/>
  <w15:commentEx w15:paraId="0715EC4E" w15:done="0"/>
  <w15:commentEx w15:paraId="6B30C56C" w15:done="0"/>
  <w15:commentEx w15:paraId="225C8BE6" w15:done="0"/>
  <w15:commentEx w15:paraId="685F6918" w15:done="0"/>
  <w15:commentEx w15:paraId="6082B94F" w15:done="0"/>
  <w15:commentEx w15:paraId="607DB6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94B13E" w16cex:dateUtc="2026-01-08T02:02:00Z"/>
  <w16cex:commentExtensible w16cex:durableId="2E3E1A54" w16cex:dateUtc="2026-01-08T02:02:00Z"/>
  <w16cex:commentExtensible w16cex:durableId="60A03506" w16cex:dateUtc="2026-01-08T02:03:00Z"/>
  <w16cex:commentExtensible w16cex:durableId="3DA4A7F5" w16cex:dateUtc="2026-01-08T02:06:00Z"/>
  <w16cex:commentExtensible w16cex:durableId="1D25A7C3" w16cex:dateUtc="2026-01-08T02:06:00Z"/>
  <w16cex:commentExtensible w16cex:durableId="3199DEC5" w16cex:dateUtc="2026-01-08T02:07:00Z"/>
  <w16cex:commentExtensible w16cex:durableId="5E4B995D" w16cex:dateUtc="2026-01-08T02:08:00Z"/>
  <w16cex:commentExtensible w16cex:durableId="2038A8FE" w16cex:dateUtc="2026-01-08T02:08:00Z"/>
  <w16cex:commentExtensible w16cex:durableId="7E513CDF" w16cex:dateUtc="2026-01-08T02:09:00Z"/>
  <w16cex:commentExtensible w16cex:durableId="41CEACD9" w16cex:dateUtc="2026-01-08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6C705" w16cid:durableId="4A94B13E"/>
  <w16cid:commentId w16cid:paraId="73CA7094" w16cid:durableId="60A03506"/>
  <w16cid:commentId w16cid:paraId="339A014E" w16cid:durableId="3DA4A7F5"/>
  <w16cid:commentId w16cid:paraId="0715EC4E" w16cid:durableId="1D25A7C3"/>
  <w16cid:commentId w16cid:paraId="6B30C56C" w16cid:durableId="3199DEC5"/>
  <w16cid:commentId w16cid:paraId="225C8BE6" w16cid:durableId="5E4B995D"/>
  <w16cid:commentId w16cid:paraId="685F6918" w16cid:durableId="2038A8FE"/>
  <w16cid:commentId w16cid:paraId="6082B94F" w16cid:durableId="7E513CDF"/>
  <w16cid:commentId w16cid:paraId="607DB696" w16cid:durableId="41CEAC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814E9" w14:textId="77777777" w:rsidR="00A2674D" w:rsidRDefault="00A2674D">
      <w:r>
        <w:separator/>
      </w:r>
    </w:p>
  </w:endnote>
  <w:endnote w:type="continuationSeparator" w:id="0">
    <w:p w14:paraId="7D55E840" w14:textId="77777777" w:rsidR="00A2674D" w:rsidRDefault="00A2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TIX">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FF1C" w14:textId="77777777" w:rsidR="008B030B" w:rsidRDefault="008B0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D298" w14:textId="77777777" w:rsidR="008B030B" w:rsidRDefault="008B0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44CC1" w14:textId="194AE738" w:rsidR="002F1621" w:rsidRPr="00D44847" w:rsidRDefault="002F1621" w:rsidP="00D44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F8C81" w14:textId="77777777" w:rsidR="00A2674D" w:rsidRDefault="00A2674D">
      <w:r>
        <w:separator/>
      </w:r>
    </w:p>
  </w:footnote>
  <w:footnote w:type="continuationSeparator" w:id="0">
    <w:p w14:paraId="6926EA79" w14:textId="77777777" w:rsidR="00A2674D" w:rsidRDefault="00A26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F247" w14:textId="20B1D55C" w:rsidR="008B030B" w:rsidRDefault="00A2674D">
    <w:pPr>
      <w:pStyle w:val="Header"/>
    </w:pPr>
    <w:r>
      <w:rPr>
        <w:noProof/>
      </w:rPr>
      <w:pict w14:anchorId="7C3BE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2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0F6D" w14:textId="395C294B" w:rsidR="008B030B" w:rsidRDefault="00A2674D">
    <w:pPr>
      <w:pStyle w:val="Header"/>
    </w:pPr>
    <w:r>
      <w:rPr>
        <w:noProof/>
      </w:rPr>
      <w:pict w14:anchorId="50F3F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2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2A25" w14:textId="22EBC3D3" w:rsidR="002F1621" w:rsidRDefault="00A2674D">
    <w:pPr>
      <w:ind w:left="2160"/>
      <w:jc w:val="center"/>
      <w:rPr>
        <w:rFonts w:ascii="Times New Roman" w:eastAsia="Calibri" w:hAnsi="Times New Roman"/>
        <w:i/>
        <w:sz w:val="18"/>
        <w:szCs w:val="22"/>
      </w:rPr>
    </w:pPr>
    <w:r>
      <w:rPr>
        <w:noProof/>
      </w:rPr>
      <w:pict w14:anchorId="56F8D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2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6DAE7A" w14:textId="77777777" w:rsidR="002F1621" w:rsidRDefault="000C28D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5CB3A69" w14:textId="77777777" w:rsidR="002F1621" w:rsidRDefault="000C28D5">
    <w:pPr>
      <w:jc w:val="center"/>
      <w:rPr>
        <w:rFonts w:ascii="Times New Roman" w:eastAsia="Calibri" w:hAnsi="Times New Roman"/>
        <w:i/>
        <w:sz w:val="18"/>
        <w:szCs w:val="22"/>
      </w:rPr>
    </w:pPr>
    <w:r>
      <w:rPr>
        <w:rFonts w:ascii="Times New Roman" w:eastAsia="Calibri" w:hAnsi="Times New Roman"/>
        <w:i/>
        <w:sz w:val="18"/>
        <w:szCs w:val="22"/>
      </w:rPr>
      <w:t>.</w:t>
    </w:r>
  </w:p>
  <w:p w14:paraId="408CC1E9" w14:textId="77777777" w:rsidR="002F1621" w:rsidRDefault="000C28D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2F7D378" w14:textId="77777777" w:rsidR="002F1621" w:rsidRDefault="000C28D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8789BE8" w14:textId="77777777" w:rsidR="002F1621" w:rsidRDefault="000C28D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01C9C1" w14:textId="77777777" w:rsidR="002F1621" w:rsidRDefault="000C28D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9250BD"/>
    <w:multiLevelType w:val="singleLevel"/>
    <w:tmpl w:val="859250BD"/>
    <w:lvl w:ilvl="0">
      <w:start w:val="1"/>
      <w:numFmt w:val="lowerLetter"/>
      <w:lvlText w:val="%1)"/>
      <w:lvlJc w:val="left"/>
    </w:lvl>
  </w:abstractNum>
  <w:abstractNum w:abstractNumId="1" w15:restartNumberingAfterBreak="0">
    <w:nsid w:val="0961FAF3"/>
    <w:multiLevelType w:val="singleLevel"/>
    <w:tmpl w:val="0961FAF3"/>
    <w:lvl w:ilvl="0">
      <w:start w:val="1"/>
      <w:numFmt w:val="lowerLetter"/>
      <w:suff w:val="space"/>
      <w:lvlText w:val="(%1)"/>
      <w:lvlJc w:val="left"/>
    </w:lvl>
  </w:abstractNum>
  <w:abstractNum w:abstractNumId="2" w15:restartNumberingAfterBreak="0">
    <w:nsid w:val="6CEE524E"/>
    <w:multiLevelType w:val="singleLevel"/>
    <w:tmpl w:val="6CEE524E"/>
    <w:lvl w:ilvl="0">
      <w:start w:val="2"/>
      <w:numFmt w:val="decimal"/>
      <w:suff w:val="space"/>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C28D5"/>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05E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621"/>
    <w:rsid w:val="002F750A"/>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0C9B"/>
    <w:rsid w:val="004D305E"/>
    <w:rsid w:val="004D4277"/>
    <w:rsid w:val="00502516"/>
    <w:rsid w:val="00505F06"/>
    <w:rsid w:val="00506828"/>
    <w:rsid w:val="0053056E"/>
    <w:rsid w:val="00553DD9"/>
    <w:rsid w:val="00554FDA"/>
    <w:rsid w:val="005C784C"/>
    <w:rsid w:val="005D17F6"/>
    <w:rsid w:val="005E5539"/>
    <w:rsid w:val="00602BF5"/>
    <w:rsid w:val="00603BC1"/>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69DB"/>
    <w:rsid w:val="007369E6"/>
    <w:rsid w:val="00746E59"/>
    <w:rsid w:val="00754C9A"/>
    <w:rsid w:val="0075599A"/>
    <w:rsid w:val="00761D52"/>
    <w:rsid w:val="0077749E"/>
    <w:rsid w:val="00790ADA"/>
    <w:rsid w:val="007D2288"/>
    <w:rsid w:val="007E088F"/>
    <w:rsid w:val="007F7B32"/>
    <w:rsid w:val="00804BC2"/>
    <w:rsid w:val="00812048"/>
    <w:rsid w:val="0081431A"/>
    <w:rsid w:val="0083216F"/>
    <w:rsid w:val="00860000"/>
    <w:rsid w:val="00863BD3"/>
    <w:rsid w:val="008641ED"/>
    <w:rsid w:val="00866D66"/>
    <w:rsid w:val="008671C6"/>
    <w:rsid w:val="00875803"/>
    <w:rsid w:val="008B030B"/>
    <w:rsid w:val="008B459E"/>
    <w:rsid w:val="008E13AE"/>
    <w:rsid w:val="008E1506"/>
    <w:rsid w:val="008E710C"/>
    <w:rsid w:val="008F69D6"/>
    <w:rsid w:val="00902823"/>
    <w:rsid w:val="009034C8"/>
    <w:rsid w:val="00906352"/>
    <w:rsid w:val="00915CA6"/>
    <w:rsid w:val="00927834"/>
    <w:rsid w:val="009500A6"/>
    <w:rsid w:val="00957C18"/>
    <w:rsid w:val="009659BA"/>
    <w:rsid w:val="00983040"/>
    <w:rsid w:val="0098489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74D"/>
    <w:rsid w:val="00A347C0"/>
    <w:rsid w:val="00A51431"/>
    <w:rsid w:val="00A539AD"/>
    <w:rsid w:val="00A94063"/>
    <w:rsid w:val="00AA6219"/>
    <w:rsid w:val="00AA74E0"/>
    <w:rsid w:val="00AB703F"/>
    <w:rsid w:val="00AC6BB8"/>
    <w:rsid w:val="00AD5BDC"/>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5DA"/>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484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9A916ED"/>
    <w:rsid w:val="1395431D"/>
    <w:rsid w:val="1F001DEB"/>
    <w:rsid w:val="1F5E4263"/>
    <w:rsid w:val="273C7D97"/>
    <w:rsid w:val="5B604611"/>
    <w:rsid w:val="62BC1B34"/>
    <w:rsid w:val="70CC35A7"/>
    <w:rsid w:val="74C35D9C"/>
    <w:rsid w:val="78D62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EB4266C"/>
  <w15:docId w15:val="{9D9F9DAB-5BDF-4702-92AB-1C076539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uiPriority w:val="9"/>
    <w:semiHidden/>
    <w:unhideWhenUsed/>
    <w:qFormat/>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NormalWeb">
    <w:name w:val="Normal (Web)"/>
    <w:basedOn w:val="Normal"/>
    <w:semiHidden/>
    <w:unhideWhenUsed/>
    <w:pPr>
      <w:spacing w:beforeAutospacing="1" w:afterAutospacing="1"/>
    </w:pPr>
    <w:rPr>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ljs-keyword">
    <w:name w:val="hljs-keyword"/>
    <w:basedOn w:val="DefaultParagraphFont"/>
    <w:qFormat/>
  </w:style>
  <w:style w:type="character" w:customStyle="1" w:styleId="hljs-title">
    <w:name w:val="hljs-title"/>
    <w:basedOn w:val="DefaultParagraphFont"/>
    <w:qFormat/>
  </w:style>
  <w:style w:type="character" w:customStyle="1" w:styleId="hljs-number">
    <w:name w:val="hljs-number"/>
    <w:basedOn w:val="DefaultParagraphFont"/>
    <w:qFormat/>
  </w:style>
  <w:style w:type="paragraph" w:styleId="ListParagraph">
    <w:name w:val="List Paragraph"/>
    <w:basedOn w:val="Normal"/>
    <w:uiPriority w:val="34"/>
    <w:qFormat/>
    <w:pPr>
      <w:spacing w:after="200" w:line="276" w:lineRule="auto"/>
      <w:ind w:left="720"/>
      <w:contextualSpacing/>
    </w:pPr>
  </w:style>
  <w:style w:type="paragraph" w:styleId="CommentSubject">
    <w:name w:val="annotation subject"/>
    <w:basedOn w:val="CommentText"/>
    <w:next w:val="CommentText"/>
    <w:link w:val="CommentSubjectChar"/>
    <w:semiHidden/>
    <w:unhideWhenUsed/>
    <w:rsid w:val="009034C8"/>
    <w:rPr>
      <w:rFonts w:ascii="Helvetica" w:hAnsi="Helvetica"/>
      <w:b/>
      <w:bCs/>
      <w:lang w:val="en-US" w:eastAsia="en-US"/>
    </w:rPr>
  </w:style>
  <w:style w:type="character" w:customStyle="1" w:styleId="CommentSubjectChar">
    <w:name w:val="Comment Subject Char"/>
    <w:basedOn w:val="CommentTextChar"/>
    <w:link w:val="CommentSubject"/>
    <w:semiHidden/>
    <w:rsid w:val="009034C8"/>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1.jpeg"/><Relationship Id="rId26" Type="http://schemas.openxmlformats.org/officeDocument/2006/relationships/hyperlink" Target="https://doi.org/10.1007/s42452-019-0397-4" TargetMode="External"/><Relationship Id="rId3" Type="http://schemas.openxmlformats.org/officeDocument/2006/relationships/numbering" Target="numbering.xml"/><Relationship Id="rId21" Type="http://schemas.openxmlformats.org/officeDocument/2006/relationships/chart" Target="charts/chart2.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hyperlink" Target="https://hero.epa.gov/hero/index.cfm/reference/details/reference_id/4887612?utm_source=chatgpt.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chart" Target="charts/chart1.xml"/><Relationship Id="rId29" Type="http://schemas.openxmlformats.org/officeDocument/2006/relationships/hyperlink" Target="https://doi.org/10.11159/ijepr.2020.0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86/s12302-025-01266-8" TargetMode="External"/><Relationship Id="rId32" Type="http://schemas.openxmlformats.org/officeDocument/2006/relationships/hyperlink" Target="https://www.epa.gov/esam/epa-method-3550c-ultrasonic-extraction" TargetMode="Externa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oi.org/10.12688/f1000research.134682.3" TargetMode="External"/><Relationship Id="rId28" Type="http://schemas.openxmlformats.org/officeDocument/2006/relationships/hyperlink" Target="https://www.helgilibrary.com/charts/numner-of-motor-vehicles-rose-389-to-0347-mil-in-cameroon-in-2015" TargetMode="External"/><Relationship Id="rId36"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image" Target="media/image2.jpeg"/><Relationship Id="rId31" Type="http://schemas.openxmlformats.org/officeDocument/2006/relationships/hyperlink" Target="https://doi.org/10.5897/AJEST09.183"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3.xml"/><Relationship Id="rId27" Type="http://schemas.openxmlformats.org/officeDocument/2006/relationships/hyperlink" Target="https://doi.org/10.1177/1934578X241311451" TargetMode="External"/><Relationship Id="rId30" Type="http://schemas.openxmlformats.org/officeDocument/2006/relationships/hyperlink" Target="https://doi.org/10.1016/0273-2300(92)90009-X" TargetMode="Externa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is%20pc\Desktop\Syn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his%20pc\Desktop\Syn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his%20pc\Desktop\Syne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dPt>
            <c:idx val="3"/>
            <c:invertIfNegative val="0"/>
            <c:bubble3D val="0"/>
            <c:spPr>
              <a:solidFill>
                <a:schemeClr val="tx1"/>
              </a:solidFill>
              <a:ln w="12700" cmpd="sng">
                <a:solidFill>
                  <a:schemeClr val="tx1"/>
                </a:solidFill>
                <a:prstDash val="solid"/>
              </a:ln>
              <a:effectLst/>
              <a:sp3d contourW="12700"/>
            </c:spPr>
            <c:extLst>
              <c:ext xmlns:c16="http://schemas.microsoft.com/office/drawing/2014/chart" uri="{C3380CC4-5D6E-409C-BE32-E72D297353CC}">
                <c16:uniqueId val="{00000001-B0E5-4BA1-9C4E-F1FE387A9A99}"/>
              </c:ext>
            </c:extLst>
          </c:dPt>
          <c:errBars>
            <c:errBarType val="both"/>
            <c:errValType val="percentage"/>
            <c:noEndCap val="0"/>
            <c:val val="5"/>
            <c:spPr>
              <a:noFill/>
              <a:ln w="9525" cap="flat" cmpd="sng" algn="ctr">
                <a:solidFill>
                  <a:schemeClr val="tx1">
                    <a:lumMod val="65000"/>
                    <a:lumOff val="35000"/>
                  </a:schemeClr>
                </a:solidFill>
                <a:round/>
              </a:ln>
              <a:effectLst/>
            </c:spPr>
          </c:errBars>
          <c:cat>
            <c:multiLvlStrRef>
              <c:f>[Syner.xlsx]Sheet3!$C$8:$AE$9</c:f>
              <c:multiLvlStrCache>
                <c:ptCount val="29"/>
                <c:lvl>
                  <c:pt idx="0">
                    <c:v>0-15</c:v>
                  </c:pt>
                  <c:pt idx="1">
                    <c:v>15-30</c:v>
                  </c:pt>
                  <c:pt idx="2">
                    <c:v>30-60</c:v>
                  </c:pt>
                  <c:pt idx="3">
                    <c:v>0-15</c:v>
                  </c:pt>
                  <c:pt idx="4">
                    <c:v>15-30</c:v>
                  </c:pt>
                  <c:pt idx="5">
                    <c:v>30-60</c:v>
                  </c:pt>
                  <c:pt idx="6">
                    <c:v>0-15</c:v>
                  </c:pt>
                  <c:pt idx="7">
                    <c:v>15-30</c:v>
                  </c:pt>
                  <c:pt idx="8">
                    <c:v>30-60</c:v>
                  </c:pt>
                  <c:pt idx="10">
                    <c:v>0-15</c:v>
                  </c:pt>
                  <c:pt idx="11">
                    <c:v>15-30</c:v>
                  </c:pt>
                  <c:pt idx="12">
                    <c:v>30-60</c:v>
                  </c:pt>
                  <c:pt idx="13">
                    <c:v>0-15</c:v>
                  </c:pt>
                  <c:pt idx="14">
                    <c:v>15-30</c:v>
                  </c:pt>
                  <c:pt idx="15">
                    <c:v>30-60</c:v>
                  </c:pt>
                  <c:pt idx="16">
                    <c:v>0-15</c:v>
                  </c:pt>
                  <c:pt idx="17">
                    <c:v>15-30</c:v>
                  </c:pt>
                  <c:pt idx="18">
                    <c:v>30-60</c:v>
                  </c:pt>
                  <c:pt idx="20">
                    <c:v>0-15</c:v>
                  </c:pt>
                  <c:pt idx="21">
                    <c:v>15-30</c:v>
                  </c:pt>
                  <c:pt idx="22">
                    <c:v>30-60</c:v>
                  </c:pt>
                  <c:pt idx="23">
                    <c:v>0-15</c:v>
                  </c:pt>
                  <c:pt idx="24">
                    <c:v>15-30</c:v>
                  </c:pt>
                  <c:pt idx="25">
                    <c:v>30-60</c:v>
                  </c:pt>
                  <c:pt idx="26">
                    <c:v>0-15</c:v>
                  </c:pt>
                  <c:pt idx="27">
                    <c:v>15-30</c:v>
                  </c:pt>
                  <c:pt idx="28">
                    <c:v>30-60</c:v>
                  </c:pt>
                </c:lvl>
                <c:lvl>
                  <c:pt idx="0">
                    <c:v>BM1</c:v>
                  </c:pt>
                  <c:pt idx="3">
                    <c:v>BM2</c:v>
                  </c:pt>
                  <c:pt idx="6">
                    <c:v>Control</c:v>
                  </c:pt>
                  <c:pt idx="10">
                    <c:v>DW1</c:v>
                  </c:pt>
                  <c:pt idx="13">
                    <c:v>DW2</c:v>
                  </c:pt>
                  <c:pt idx="16">
                    <c:v>Control</c:v>
                  </c:pt>
                  <c:pt idx="20">
                    <c:v>BU1</c:v>
                  </c:pt>
                  <c:pt idx="23">
                    <c:v>BU2</c:v>
                  </c:pt>
                  <c:pt idx="26">
                    <c:v>Control</c:v>
                  </c:pt>
                </c:lvl>
              </c:multiLvlStrCache>
            </c:multiLvlStrRef>
          </c:cat>
          <c:val>
            <c:numRef>
              <c:f>[Syner.xlsx]Sheet3!$C$10:$AE$10</c:f>
              <c:numCache>
                <c:formatCode>General</c:formatCode>
                <c:ptCount val="29"/>
                <c:pt idx="0">
                  <c:v>1080</c:v>
                </c:pt>
                <c:pt idx="1">
                  <c:v>1670</c:v>
                </c:pt>
                <c:pt idx="2">
                  <c:v>110</c:v>
                </c:pt>
                <c:pt idx="3">
                  <c:v>3780</c:v>
                </c:pt>
                <c:pt idx="4">
                  <c:v>1050</c:v>
                </c:pt>
                <c:pt idx="5">
                  <c:v>960</c:v>
                </c:pt>
                <c:pt idx="6">
                  <c:v>216</c:v>
                </c:pt>
                <c:pt idx="7">
                  <c:v>0</c:v>
                </c:pt>
                <c:pt idx="8">
                  <c:v>0</c:v>
                </c:pt>
                <c:pt idx="10">
                  <c:v>2230</c:v>
                </c:pt>
                <c:pt idx="11">
                  <c:v>330</c:v>
                </c:pt>
                <c:pt idx="12">
                  <c:v>1420</c:v>
                </c:pt>
                <c:pt idx="13">
                  <c:v>1630</c:v>
                </c:pt>
                <c:pt idx="14">
                  <c:v>1490</c:v>
                </c:pt>
                <c:pt idx="15">
                  <c:v>860</c:v>
                </c:pt>
                <c:pt idx="16">
                  <c:v>134</c:v>
                </c:pt>
                <c:pt idx="17">
                  <c:v>0</c:v>
                </c:pt>
                <c:pt idx="18">
                  <c:v>0</c:v>
                </c:pt>
                <c:pt idx="20">
                  <c:v>910</c:v>
                </c:pt>
                <c:pt idx="21">
                  <c:v>1340</c:v>
                </c:pt>
                <c:pt idx="22">
                  <c:v>1040</c:v>
                </c:pt>
                <c:pt idx="23">
                  <c:v>830</c:v>
                </c:pt>
                <c:pt idx="24">
                  <c:v>1020</c:v>
                </c:pt>
                <c:pt idx="25">
                  <c:v>840</c:v>
                </c:pt>
                <c:pt idx="26">
                  <c:v>22</c:v>
                </c:pt>
                <c:pt idx="27">
                  <c:v>0</c:v>
                </c:pt>
                <c:pt idx="28">
                  <c:v>0</c:v>
                </c:pt>
              </c:numCache>
            </c:numRef>
          </c:val>
          <c:extLst>
            <c:ext xmlns:c16="http://schemas.microsoft.com/office/drawing/2014/chart" uri="{C3380CC4-5D6E-409C-BE32-E72D297353CC}">
              <c16:uniqueId val="{00000002-B0E5-4BA1-9C4E-F1FE387A9A99}"/>
            </c:ext>
          </c:extLst>
        </c:ser>
        <c:dLbls>
          <c:showLegendKey val="0"/>
          <c:showVal val="0"/>
          <c:showCatName val="0"/>
          <c:showSerName val="0"/>
          <c:showPercent val="0"/>
          <c:showBubbleSize val="0"/>
        </c:dLbls>
        <c:gapWidth val="0"/>
        <c:axId val="181333310"/>
        <c:axId val="609284215"/>
      </c:barChart>
      <c:catAx>
        <c:axId val="181333310"/>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Locations</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09284215"/>
        <c:crosses val="autoZero"/>
        <c:auto val="1"/>
        <c:lblAlgn val="ctr"/>
        <c:lblOffset val="100"/>
        <c:noMultiLvlLbl val="0"/>
      </c:catAx>
      <c:valAx>
        <c:axId val="609284215"/>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Total PAH concentration (µg/kg)</a:t>
                </a:r>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1333310"/>
        <c:crosses val="autoZero"/>
        <c:crossBetween val="between"/>
      </c:valAx>
      <c:spPr>
        <a:noFill/>
        <a:ln>
          <a:noFill/>
        </a:ln>
        <a:effectLst/>
      </c:spPr>
    </c:plotArea>
    <c:plotVisOnly val="1"/>
    <c:dispBlanksAs val="gap"/>
    <c:showDLblsOverMax val="0"/>
    <c:extLst>
      <c:ext uri="{0b15fc19-7d7d-44ad-8c2d-2c3a37ce22c3}">
        <chartProps xmlns="https://web.wps.cn/et/2018/main" chartId="{4580ac7f-3390-48da-9f1a-30232036d75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multiLvlStrRef>
              <c:f>[Syner.xlsx]Sheet3!$C$11:$AE$12</c:f>
              <c:multiLvlStrCache>
                <c:ptCount val="29"/>
                <c:lvl>
                  <c:pt idx="0">
                    <c:v>0-15</c:v>
                  </c:pt>
                  <c:pt idx="1">
                    <c:v>15-30</c:v>
                  </c:pt>
                  <c:pt idx="2">
                    <c:v>30-60</c:v>
                  </c:pt>
                  <c:pt idx="3">
                    <c:v>0-15</c:v>
                  </c:pt>
                  <c:pt idx="4">
                    <c:v>15-30</c:v>
                  </c:pt>
                  <c:pt idx="5">
                    <c:v>30-60</c:v>
                  </c:pt>
                  <c:pt idx="6">
                    <c:v>0-15</c:v>
                  </c:pt>
                  <c:pt idx="7">
                    <c:v>15-30</c:v>
                  </c:pt>
                  <c:pt idx="8">
                    <c:v>30-60</c:v>
                  </c:pt>
                  <c:pt idx="10">
                    <c:v>0-15</c:v>
                  </c:pt>
                  <c:pt idx="11">
                    <c:v>15-30</c:v>
                  </c:pt>
                  <c:pt idx="12">
                    <c:v>30-60</c:v>
                  </c:pt>
                  <c:pt idx="13">
                    <c:v>0-15</c:v>
                  </c:pt>
                  <c:pt idx="14">
                    <c:v>15-30</c:v>
                  </c:pt>
                  <c:pt idx="15">
                    <c:v>30-60</c:v>
                  </c:pt>
                  <c:pt idx="16">
                    <c:v>0-15</c:v>
                  </c:pt>
                  <c:pt idx="17">
                    <c:v>15-30</c:v>
                  </c:pt>
                  <c:pt idx="18">
                    <c:v>30-60</c:v>
                  </c:pt>
                  <c:pt idx="20">
                    <c:v>0-15</c:v>
                  </c:pt>
                  <c:pt idx="21">
                    <c:v>15-30</c:v>
                  </c:pt>
                  <c:pt idx="22">
                    <c:v>30-60</c:v>
                  </c:pt>
                  <c:pt idx="23">
                    <c:v>0-15</c:v>
                  </c:pt>
                  <c:pt idx="24">
                    <c:v>15-30</c:v>
                  </c:pt>
                  <c:pt idx="25">
                    <c:v>30-60</c:v>
                  </c:pt>
                  <c:pt idx="26">
                    <c:v>0-15</c:v>
                  </c:pt>
                  <c:pt idx="27">
                    <c:v>15-30</c:v>
                  </c:pt>
                  <c:pt idx="28">
                    <c:v>30-60</c:v>
                  </c:pt>
                </c:lvl>
                <c:lvl>
                  <c:pt idx="0">
                    <c:v>BM1</c:v>
                  </c:pt>
                  <c:pt idx="3">
                    <c:v>BM2</c:v>
                  </c:pt>
                  <c:pt idx="6">
                    <c:v>Control</c:v>
                  </c:pt>
                  <c:pt idx="10">
                    <c:v>DW1</c:v>
                  </c:pt>
                  <c:pt idx="13">
                    <c:v>DW2</c:v>
                  </c:pt>
                  <c:pt idx="16">
                    <c:v>Control</c:v>
                  </c:pt>
                  <c:pt idx="20">
                    <c:v>BU1</c:v>
                  </c:pt>
                  <c:pt idx="23">
                    <c:v>BU2</c:v>
                  </c:pt>
                  <c:pt idx="26">
                    <c:v>Control</c:v>
                  </c:pt>
                </c:lvl>
              </c:multiLvlStrCache>
            </c:multiLvlStrRef>
          </c:cat>
          <c:val>
            <c:numRef>
              <c:f>[Syner.xlsx]Sheet3!$C$13:$AE$13</c:f>
              <c:numCache>
                <c:formatCode>General</c:formatCode>
                <c:ptCount val="29"/>
                <c:pt idx="0">
                  <c:v>160</c:v>
                </c:pt>
                <c:pt idx="1">
                  <c:v>290</c:v>
                </c:pt>
                <c:pt idx="2">
                  <c:v>20</c:v>
                </c:pt>
                <c:pt idx="3">
                  <c:v>380</c:v>
                </c:pt>
                <c:pt idx="4">
                  <c:v>420</c:v>
                </c:pt>
                <c:pt idx="5">
                  <c:v>160</c:v>
                </c:pt>
                <c:pt idx="6">
                  <c:v>44</c:v>
                </c:pt>
                <c:pt idx="7">
                  <c:v>0</c:v>
                </c:pt>
                <c:pt idx="8">
                  <c:v>0</c:v>
                </c:pt>
                <c:pt idx="10">
                  <c:v>350</c:v>
                </c:pt>
                <c:pt idx="11">
                  <c:v>30</c:v>
                </c:pt>
                <c:pt idx="12">
                  <c:v>460</c:v>
                </c:pt>
                <c:pt idx="13">
                  <c:v>290</c:v>
                </c:pt>
                <c:pt idx="14">
                  <c:v>210</c:v>
                </c:pt>
                <c:pt idx="15">
                  <c:v>150</c:v>
                </c:pt>
                <c:pt idx="16">
                  <c:v>32</c:v>
                </c:pt>
                <c:pt idx="17">
                  <c:v>0</c:v>
                </c:pt>
                <c:pt idx="18">
                  <c:v>0</c:v>
                </c:pt>
                <c:pt idx="20">
                  <c:v>270</c:v>
                </c:pt>
                <c:pt idx="21">
                  <c:v>140</c:v>
                </c:pt>
                <c:pt idx="22">
                  <c:v>210</c:v>
                </c:pt>
                <c:pt idx="23">
                  <c:v>140</c:v>
                </c:pt>
                <c:pt idx="24">
                  <c:v>430</c:v>
                </c:pt>
                <c:pt idx="25">
                  <c:v>480</c:v>
                </c:pt>
                <c:pt idx="26">
                  <c:v>8</c:v>
                </c:pt>
                <c:pt idx="27">
                  <c:v>0</c:v>
                </c:pt>
                <c:pt idx="28">
                  <c:v>0</c:v>
                </c:pt>
              </c:numCache>
            </c:numRef>
          </c:val>
          <c:extLst>
            <c:ext xmlns:c16="http://schemas.microsoft.com/office/drawing/2014/chart" uri="{C3380CC4-5D6E-409C-BE32-E72D297353CC}">
              <c16:uniqueId val="{00000000-A458-4A1C-9F52-044CD7FECBC8}"/>
            </c:ext>
          </c:extLst>
        </c:ser>
        <c:dLbls>
          <c:showLegendKey val="0"/>
          <c:showVal val="0"/>
          <c:showCatName val="0"/>
          <c:showSerName val="0"/>
          <c:showPercent val="0"/>
          <c:showBubbleSize val="0"/>
        </c:dLbls>
        <c:gapWidth val="150"/>
        <c:axId val="638247992"/>
        <c:axId val="913799557"/>
      </c:barChart>
      <c:catAx>
        <c:axId val="63824799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Locations</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13799557"/>
        <c:crosses val="autoZero"/>
        <c:auto val="1"/>
        <c:lblAlgn val="ctr"/>
        <c:lblOffset val="100"/>
        <c:noMultiLvlLbl val="0"/>
      </c:catAx>
      <c:valAx>
        <c:axId val="913799557"/>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Concentration (µg/kg)</a:t>
                </a:r>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38247992"/>
        <c:crosses val="autoZero"/>
        <c:crossBetween val="between"/>
      </c:valAx>
      <c:spPr>
        <a:noFill/>
        <a:ln>
          <a:noFill/>
        </a:ln>
        <a:effectLst/>
      </c:spPr>
    </c:plotArea>
    <c:plotVisOnly val="1"/>
    <c:dispBlanksAs val="gap"/>
    <c:showDLblsOverMax val="0"/>
    <c:extLst>
      <c:ext uri="{0b15fc19-7d7d-44ad-8c2d-2c3a37ce22c3}">
        <chartProps xmlns="https://web.wps.cn/et/2018/main" chartId="{6484a35d-02af-41f4-9181-df3527a353a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[Syner.xlsx]Sheet3!$D$40</c:f>
              <c:strCache>
                <c:ptCount val="1"/>
                <c:pt idx="0">
                  <c:v>2-ring</c:v>
                </c:pt>
              </c:strCache>
            </c:strRef>
          </c:tx>
          <c:spPr>
            <a:solidFill>
              <a:schemeClr val="tx1"/>
            </a:solidFill>
            <a:ln>
              <a:solidFill>
                <a:schemeClr val="bg1"/>
              </a:solidFill>
            </a:ln>
            <a:effectLst/>
          </c:spPr>
          <c:invertIfNegative val="0"/>
          <c:cat>
            <c:strRef>
              <c:f>[Syner.xlsx]Sheet3!$E$39:$J$39</c:f>
              <c:strCache>
                <c:ptCount val="6"/>
                <c:pt idx="0">
                  <c:v>BM1</c:v>
                </c:pt>
                <c:pt idx="1">
                  <c:v>BM2</c:v>
                </c:pt>
                <c:pt idx="2">
                  <c:v>DW1</c:v>
                </c:pt>
                <c:pt idx="3">
                  <c:v>DW2</c:v>
                </c:pt>
                <c:pt idx="4">
                  <c:v>BU1</c:v>
                </c:pt>
                <c:pt idx="5">
                  <c:v>BU2</c:v>
                </c:pt>
              </c:strCache>
            </c:strRef>
          </c:cat>
          <c:val>
            <c:numRef>
              <c:f>[Syner.xlsx]Sheet3!$E$40:$J$40</c:f>
              <c:numCache>
                <c:formatCode>General</c:formatCode>
                <c:ptCount val="6"/>
                <c:pt idx="0">
                  <c:v>170</c:v>
                </c:pt>
                <c:pt idx="1">
                  <c:v>100</c:v>
                </c:pt>
                <c:pt idx="2">
                  <c:v>0</c:v>
                </c:pt>
                <c:pt idx="3">
                  <c:v>70</c:v>
                </c:pt>
                <c:pt idx="4">
                  <c:v>90</c:v>
                </c:pt>
                <c:pt idx="5">
                  <c:v>20</c:v>
                </c:pt>
              </c:numCache>
            </c:numRef>
          </c:val>
          <c:extLst>
            <c:ext xmlns:c16="http://schemas.microsoft.com/office/drawing/2014/chart" uri="{C3380CC4-5D6E-409C-BE32-E72D297353CC}">
              <c16:uniqueId val="{00000000-8F95-4A73-99CF-E0D54192C9AF}"/>
            </c:ext>
          </c:extLst>
        </c:ser>
        <c:ser>
          <c:idx val="1"/>
          <c:order val="1"/>
          <c:tx>
            <c:strRef>
              <c:f>[Syner.xlsx]Sheet3!$D$41</c:f>
              <c:strCache>
                <c:ptCount val="1"/>
                <c:pt idx="0">
                  <c:v>3-ring</c:v>
                </c:pt>
              </c:strCache>
            </c:strRef>
          </c:tx>
          <c:spPr>
            <a:solidFill>
              <a:schemeClr val="accent2"/>
            </a:solidFill>
            <a:ln>
              <a:solidFill>
                <a:schemeClr val="bg1"/>
              </a:solidFill>
            </a:ln>
            <a:effectLst/>
          </c:spPr>
          <c:invertIfNegative val="0"/>
          <c:cat>
            <c:strRef>
              <c:f>[Syner.xlsx]Sheet3!$E$39:$J$39</c:f>
              <c:strCache>
                <c:ptCount val="6"/>
                <c:pt idx="0">
                  <c:v>BM1</c:v>
                </c:pt>
                <c:pt idx="1">
                  <c:v>BM2</c:v>
                </c:pt>
                <c:pt idx="2">
                  <c:v>DW1</c:v>
                </c:pt>
                <c:pt idx="3">
                  <c:v>DW2</c:v>
                </c:pt>
                <c:pt idx="4">
                  <c:v>BU1</c:v>
                </c:pt>
                <c:pt idx="5">
                  <c:v>BU2</c:v>
                </c:pt>
              </c:strCache>
            </c:strRef>
          </c:cat>
          <c:val>
            <c:numRef>
              <c:f>[Syner.xlsx]Sheet3!$E$41:$J$41</c:f>
              <c:numCache>
                <c:formatCode>General</c:formatCode>
                <c:ptCount val="6"/>
                <c:pt idx="0">
                  <c:v>40</c:v>
                </c:pt>
                <c:pt idx="1">
                  <c:v>1790</c:v>
                </c:pt>
                <c:pt idx="2">
                  <c:v>1150</c:v>
                </c:pt>
                <c:pt idx="3">
                  <c:v>640</c:v>
                </c:pt>
                <c:pt idx="4">
                  <c:v>100</c:v>
                </c:pt>
                <c:pt idx="5">
                  <c:v>0</c:v>
                </c:pt>
              </c:numCache>
            </c:numRef>
          </c:val>
          <c:extLst>
            <c:ext xmlns:c16="http://schemas.microsoft.com/office/drawing/2014/chart" uri="{C3380CC4-5D6E-409C-BE32-E72D297353CC}">
              <c16:uniqueId val="{00000001-8F95-4A73-99CF-E0D54192C9AF}"/>
            </c:ext>
          </c:extLst>
        </c:ser>
        <c:ser>
          <c:idx val="2"/>
          <c:order val="2"/>
          <c:tx>
            <c:strRef>
              <c:f>[Syner.xlsx]Sheet3!$D$42</c:f>
              <c:strCache>
                <c:ptCount val="1"/>
                <c:pt idx="0">
                  <c:v>4-ring</c:v>
                </c:pt>
              </c:strCache>
            </c:strRef>
          </c:tx>
          <c:spPr>
            <a:solidFill>
              <a:schemeClr val="tx2">
                <a:lumMod val="60000"/>
                <a:lumOff val="40000"/>
              </a:schemeClr>
            </a:solidFill>
            <a:ln>
              <a:solidFill>
                <a:schemeClr val="bg1"/>
              </a:solidFill>
            </a:ln>
            <a:effectLst/>
          </c:spPr>
          <c:invertIfNegative val="0"/>
          <c:cat>
            <c:strRef>
              <c:f>[Syner.xlsx]Sheet3!$E$39:$J$39</c:f>
              <c:strCache>
                <c:ptCount val="6"/>
                <c:pt idx="0">
                  <c:v>BM1</c:v>
                </c:pt>
                <c:pt idx="1">
                  <c:v>BM2</c:v>
                </c:pt>
                <c:pt idx="2">
                  <c:v>DW1</c:v>
                </c:pt>
                <c:pt idx="3">
                  <c:v>DW2</c:v>
                </c:pt>
                <c:pt idx="4">
                  <c:v>BU1</c:v>
                </c:pt>
                <c:pt idx="5">
                  <c:v>BU2</c:v>
                </c:pt>
              </c:strCache>
            </c:strRef>
          </c:cat>
          <c:val>
            <c:numRef>
              <c:f>[Syner.xlsx]Sheet3!$E$42:$J$42</c:f>
              <c:numCache>
                <c:formatCode>General</c:formatCode>
                <c:ptCount val="6"/>
                <c:pt idx="0">
                  <c:v>440</c:v>
                </c:pt>
                <c:pt idx="1">
                  <c:v>960</c:v>
                </c:pt>
                <c:pt idx="2">
                  <c:v>970</c:v>
                </c:pt>
                <c:pt idx="3">
                  <c:v>310</c:v>
                </c:pt>
                <c:pt idx="4">
                  <c:v>0</c:v>
                </c:pt>
                <c:pt idx="5">
                  <c:v>0</c:v>
                </c:pt>
              </c:numCache>
            </c:numRef>
          </c:val>
          <c:extLst>
            <c:ext xmlns:c16="http://schemas.microsoft.com/office/drawing/2014/chart" uri="{C3380CC4-5D6E-409C-BE32-E72D297353CC}">
              <c16:uniqueId val="{00000002-8F95-4A73-99CF-E0D54192C9AF}"/>
            </c:ext>
          </c:extLst>
        </c:ser>
        <c:ser>
          <c:idx val="3"/>
          <c:order val="3"/>
          <c:tx>
            <c:strRef>
              <c:f>[Syner.xlsx]Sheet3!$D$43</c:f>
              <c:strCache>
                <c:ptCount val="1"/>
                <c:pt idx="0">
                  <c:v>5-ring</c:v>
                </c:pt>
              </c:strCache>
            </c:strRef>
          </c:tx>
          <c:spPr>
            <a:solidFill>
              <a:schemeClr val="accent4"/>
            </a:solidFill>
            <a:ln>
              <a:solidFill>
                <a:schemeClr val="bg1"/>
              </a:solidFill>
            </a:ln>
            <a:effectLst/>
          </c:spPr>
          <c:invertIfNegative val="0"/>
          <c:cat>
            <c:strRef>
              <c:f>[Syner.xlsx]Sheet3!$E$39:$J$39</c:f>
              <c:strCache>
                <c:ptCount val="6"/>
                <c:pt idx="0">
                  <c:v>BM1</c:v>
                </c:pt>
                <c:pt idx="1">
                  <c:v>BM2</c:v>
                </c:pt>
                <c:pt idx="2">
                  <c:v>DW1</c:v>
                </c:pt>
                <c:pt idx="3">
                  <c:v>DW2</c:v>
                </c:pt>
                <c:pt idx="4">
                  <c:v>BU1</c:v>
                </c:pt>
                <c:pt idx="5">
                  <c:v>BU2</c:v>
                </c:pt>
              </c:strCache>
            </c:strRef>
          </c:cat>
          <c:val>
            <c:numRef>
              <c:f>[Syner.xlsx]Sheet3!$E$43:$J$43</c:f>
              <c:numCache>
                <c:formatCode>General</c:formatCode>
                <c:ptCount val="6"/>
                <c:pt idx="0">
                  <c:v>0</c:v>
                </c:pt>
                <c:pt idx="1">
                  <c:v>0</c:v>
                </c:pt>
                <c:pt idx="2">
                  <c:v>110</c:v>
                </c:pt>
                <c:pt idx="3">
                  <c:v>0</c:v>
                </c:pt>
                <c:pt idx="4">
                  <c:v>0</c:v>
                </c:pt>
                <c:pt idx="5">
                  <c:v>0</c:v>
                </c:pt>
              </c:numCache>
            </c:numRef>
          </c:val>
          <c:extLst>
            <c:ext xmlns:c16="http://schemas.microsoft.com/office/drawing/2014/chart" uri="{C3380CC4-5D6E-409C-BE32-E72D297353CC}">
              <c16:uniqueId val="{00000003-8F95-4A73-99CF-E0D54192C9AF}"/>
            </c:ext>
          </c:extLst>
        </c:ser>
        <c:ser>
          <c:idx val="4"/>
          <c:order val="4"/>
          <c:tx>
            <c:strRef>
              <c:f>[Syner.xlsx]Sheet3!$D$44</c:f>
              <c:strCache>
                <c:ptCount val="1"/>
                <c:pt idx="0">
                  <c:v>6-ring</c:v>
                </c:pt>
              </c:strCache>
            </c:strRef>
          </c:tx>
          <c:spPr>
            <a:solidFill>
              <a:schemeClr val="accent4">
                <a:lumMod val="75000"/>
              </a:schemeClr>
            </a:solidFill>
            <a:ln>
              <a:solidFill>
                <a:schemeClr val="bg1"/>
              </a:solidFill>
            </a:ln>
            <a:effectLst/>
          </c:spPr>
          <c:invertIfNegative val="0"/>
          <c:cat>
            <c:strRef>
              <c:f>[Syner.xlsx]Sheet3!$E$39:$J$39</c:f>
              <c:strCache>
                <c:ptCount val="6"/>
                <c:pt idx="0">
                  <c:v>BM1</c:v>
                </c:pt>
                <c:pt idx="1">
                  <c:v>BM2</c:v>
                </c:pt>
                <c:pt idx="2">
                  <c:v>DW1</c:v>
                </c:pt>
                <c:pt idx="3">
                  <c:v>DW2</c:v>
                </c:pt>
                <c:pt idx="4">
                  <c:v>BU1</c:v>
                </c:pt>
                <c:pt idx="5">
                  <c:v>BU2</c:v>
                </c:pt>
              </c:strCache>
            </c:strRef>
          </c:cat>
          <c:val>
            <c:numRef>
              <c:f>[Syner.xlsx]Sheet3!$E$44:$J$44</c:f>
              <c:numCache>
                <c:formatCode>General</c:formatCode>
                <c:ptCount val="6"/>
                <c:pt idx="0">
                  <c:v>430</c:v>
                </c:pt>
                <c:pt idx="1">
                  <c:v>930</c:v>
                </c:pt>
                <c:pt idx="2">
                  <c:v>0</c:v>
                </c:pt>
                <c:pt idx="3">
                  <c:v>610</c:v>
                </c:pt>
                <c:pt idx="4">
                  <c:v>720</c:v>
                </c:pt>
                <c:pt idx="5">
                  <c:v>750</c:v>
                </c:pt>
              </c:numCache>
            </c:numRef>
          </c:val>
          <c:extLst>
            <c:ext xmlns:c16="http://schemas.microsoft.com/office/drawing/2014/chart" uri="{C3380CC4-5D6E-409C-BE32-E72D297353CC}">
              <c16:uniqueId val="{00000004-8F95-4A73-99CF-E0D54192C9AF}"/>
            </c:ext>
          </c:extLst>
        </c:ser>
        <c:dLbls>
          <c:showLegendKey val="0"/>
          <c:showVal val="0"/>
          <c:showCatName val="0"/>
          <c:showSerName val="0"/>
          <c:showPercent val="0"/>
          <c:showBubbleSize val="0"/>
        </c:dLbls>
        <c:gapWidth val="150"/>
        <c:overlap val="100"/>
        <c:axId val="434037342"/>
        <c:axId val="293828069"/>
      </c:barChart>
      <c:catAx>
        <c:axId val="43403734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Study Locations</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93828069"/>
        <c:crosses val="autoZero"/>
        <c:auto val="1"/>
        <c:lblAlgn val="ctr"/>
        <c:lblOffset val="100"/>
        <c:noMultiLvlLbl val="0"/>
      </c:catAx>
      <c:valAx>
        <c:axId val="293828069"/>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 contribution of PAHs</a:t>
                </a:r>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34037342"/>
        <c:crosses val="autoZero"/>
        <c:crossBetween val="between"/>
      </c:valAx>
      <c:spPr>
        <a:noFill/>
        <a:ln>
          <a:noFill/>
        </a:ln>
        <a:effectLst/>
      </c:spPr>
    </c:plotArea>
    <c:legend>
      <c:legendPos val="r"/>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38e1c77-2ac3-4260-9ab3-4926ddd08de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1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4F123F-6C48-4B96-805F-88A8EB5F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14</Pages>
  <Words>4759</Words>
  <Characters>27128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13</cp:revision>
  <cp:lastPrinted>1999-07-06T11:00:00Z</cp:lastPrinted>
  <dcterms:created xsi:type="dcterms:W3CDTF">2014-10-25T14:34:00Z</dcterms:created>
  <dcterms:modified xsi:type="dcterms:W3CDTF">2026-01-08T11:18:00Z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14707DDE345341E3AB8C10680108697A_13</vt:lpwstr>
  </property>
</Properties>
</file>