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C372" w14:textId="77777777" w:rsidR="009514D4" w:rsidRDefault="00D97169">
      <w:pPr>
        <w:jc w:val="center"/>
        <w:rPr>
          <w:rFonts w:ascii="Times New Roman" w:hAnsi="Times New Roman" w:cs="Times New Roman"/>
          <w:b/>
          <w:bCs/>
          <w:sz w:val="28"/>
          <w:szCs w:val="28"/>
        </w:rPr>
      </w:pPr>
      <w:commentRangeStart w:id="0"/>
      <w:r>
        <w:rPr>
          <w:rFonts w:ascii="Times New Roman" w:hAnsi="Times New Roman" w:cs="Times New Roman"/>
          <w:b/>
          <w:bCs/>
          <w:sz w:val="28"/>
          <w:szCs w:val="28"/>
        </w:rPr>
        <w:t>Holistic Care for a Pediatric Patient with Kawasaki Disease Shock Syndrome Unresponsive to Intravenous Immunoglobulin</w:t>
      </w:r>
      <w:commentRangeEnd w:id="0"/>
      <w:r w:rsidR="005D35F4">
        <w:rPr>
          <w:rStyle w:val="CommentReference"/>
        </w:rPr>
        <w:commentReference w:id="0"/>
      </w:r>
    </w:p>
    <w:p w14:paraId="6FC4EDC8" w14:textId="77777777" w:rsidR="009514D4" w:rsidRDefault="009514D4">
      <w:pPr>
        <w:rPr>
          <w:rFonts w:ascii="Times New Roman" w:hAnsi="Times New Roman" w:cs="Times New Roman"/>
        </w:rPr>
      </w:pPr>
    </w:p>
    <w:p w14:paraId="17A3DA48" w14:textId="77777777" w:rsidR="00ED2B82" w:rsidRDefault="00ED2B82">
      <w:pPr>
        <w:rPr>
          <w:rFonts w:ascii="Times New Roman" w:hAnsi="Times New Roman" w:cs="Times New Roman"/>
          <w:sz w:val="24"/>
        </w:rPr>
      </w:pPr>
    </w:p>
    <w:p w14:paraId="212EF959" w14:textId="77777777" w:rsidR="00ED2B82" w:rsidRDefault="00ED2B82">
      <w:pPr>
        <w:rPr>
          <w:rFonts w:ascii="Times New Roman" w:hAnsi="Times New Roman" w:cs="Times New Roman"/>
          <w:sz w:val="24"/>
        </w:rPr>
      </w:pPr>
    </w:p>
    <w:p w14:paraId="5573C870" w14:textId="77777777" w:rsidR="00ED2B82" w:rsidRDefault="00ED2B82">
      <w:pPr>
        <w:rPr>
          <w:rFonts w:ascii="Times New Roman" w:hAnsi="Times New Roman" w:cs="Times New Roman"/>
          <w:sz w:val="24"/>
        </w:rPr>
      </w:pPr>
    </w:p>
    <w:p w14:paraId="067D9008" w14:textId="77777777" w:rsidR="009514D4" w:rsidRDefault="009514D4">
      <w:pPr>
        <w:rPr>
          <w:rFonts w:ascii="Times New Roman" w:hAnsi="Times New Roman" w:cs="Times New Roman"/>
        </w:rPr>
      </w:pPr>
    </w:p>
    <w:p w14:paraId="391D5259" w14:textId="77777777" w:rsidR="009514D4" w:rsidRDefault="00D97169">
      <w:pPr>
        <w:rPr>
          <w:rFonts w:ascii="Times New Roman" w:hAnsi="Times New Roman" w:cs="Times New Roman"/>
        </w:rPr>
      </w:pPr>
      <w:commentRangeStart w:id="1"/>
      <w:r>
        <w:rPr>
          <w:rFonts w:ascii="Times New Roman" w:hAnsi="Times New Roman" w:cs="Times New Roman"/>
          <w:b/>
          <w:bCs/>
        </w:rPr>
        <w:t>Abstract</w:t>
      </w:r>
      <w:r>
        <w:rPr>
          <w:rFonts w:ascii="Times New Roman" w:hAnsi="Times New Roman" w:cs="Times New Roman" w:hint="eastAsia"/>
          <w:b/>
          <w:bCs/>
        </w:rPr>
        <w:t xml:space="preserve">: </w:t>
      </w:r>
      <w:r>
        <w:rPr>
          <w:rFonts w:ascii="Times New Roman" w:hAnsi="Times New Roman" w:cs="Times New Roman"/>
        </w:rPr>
        <w:t xml:space="preserve">This report summarizes the holistic nursing care for a pediatric patient with Kawasaki disease shock syndrome (KDSS) who was unresponsive to intravenous immunoglobulin (IVIG). The patient, a child with </w:t>
      </w:r>
      <w:r>
        <w:rPr>
          <w:rFonts w:ascii="Times New Roman" w:hAnsi="Times New Roman" w:cs="Times New Roman" w:hint="eastAsia"/>
        </w:rPr>
        <w:t>IVIG-unresponsive</w:t>
      </w:r>
      <w:r>
        <w:rPr>
          <w:rFonts w:ascii="Times New Roman" w:hAnsi="Times New Roman" w:cs="Times New Roman"/>
        </w:rPr>
        <w:t xml:space="preserve"> KDSS admitted in February 2024, received comprehensive holistic nursing in addition to conventional anti-infective, inotropic, and diuretic therapies, along with two courses of IVIG (total 4 g/kg) combined with glucocorticoids. Key nursing interventions involved implementing a holistic care strategy centered on meticulous hemodynamic monitoring, proactive management of multisystem complications, individualized symptom control, and precise medication administration. Through diligent treatment and nursing, the patient’s body temperature normalized, shock was corrected, and inflammatory markers and cardiac function significantly improved, leading to discharge in stable condition after 12 days of hospitalization. Long-term follow-up confirmed a favorable prognosis</w:t>
      </w:r>
      <w:commentRangeEnd w:id="1"/>
      <w:r w:rsidR="00AE5416">
        <w:rPr>
          <w:rStyle w:val="CommentReference"/>
        </w:rPr>
        <w:commentReference w:id="1"/>
      </w:r>
      <w:r>
        <w:rPr>
          <w:rFonts w:ascii="Times New Roman" w:hAnsi="Times New Roman" w:cs="Times New Roman"/>
        </w:rPr>
        <w:t>.</w:t>
      </w:r>
    </w:p>
    <w:p w14:paraId="04EDBDF4" w14:textId="77777777" w:rsidR="009514D4" w:rsidRDefault="009514D4">
      <w:pPr>
        <w:rPr>
          <w:rFonts w:ascii="Times New Roman" w:hAnsi="Times New Roman" w:cs="Times New Roman"/>
        </w:rPr>
      </w:pPr>
    </w:p>
    <w:p w14:paraId="59F49E66" w14:textId="77777777" w:rsidR="009514D4" w:rsidRDefault="00D97169">
      <w:pPr>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Kawasaki disease; Kawasaki disease shock syndrome; IVIG-unresponsive; holistic nursing; pediatric nursing; post-discharge follow-up</w:t>
      </w:r>
    </w:p>
    <w:p w14:paraId="60E36C24" w14:textId="77777777" w:rsidR="009514D4" w:rsidRDefault="009514D4">
      <w:pPr>
        <w:rPr>
          <w:rFonts w:ascii="Times New Roman" w:hAnsi="Times New Roman" w:cs="Times New Roman"/>
        </w:rPr>
      </w:pPr>
    </w:p>
    <w:p w14:paraId="6E160BAF" w14:textId="77777777" w:rsidR="009514D4" w:rsidRDefault="00D97169">
      <w:pPr>
        <w:rPr>
          <w:rFonts w:ascii="Times New Roman" w:hAnsi="Times New Roman" w:cs="Times New Roman"/>
          <w:b/>
          <w:bCs/>
        </w:rPr>
      </w:pPr>
      <w:commentRangeStart w:id="2"/>
      <w:r>
        <w:rPr>
          <w:rFonts w:ascii="Times New Roman" w:hAnsi="Times New Roman" w:cs="Times New Roman"/>
          <w:b/>
          <w:bCs/>
        </w:rPr>
        <w:t>Introduction</w:t>
      </w:r>
      <w:r>
        <w:rPr>
          <w:rFonts w:ascii="Times New Roman" w:hAnsi="Times New Roman" w:cs="Times New Roman" w:hint="eastAsia"/>
          <w:b/>
          <w:bCs/>
        </w:rPr>
        <w:t>:</w:t>
      </w:r>
      <w:commentRangeEnd w:id="2"/>
      <w:r w:rsidR="00874436">
        <w:rPr>
          <w:rStyle w:val="CommentReference"/>
        </w:rPr>
        <w:commentReference w:id="2"/>
      </w:r>
      <w:r>
        <w:rPr>
          <w:rFonts w:ascii="Times New Roman" w:hAnsi="Times New Roman" w:cs="Times New Roman"/>
          <w:b/>
          <w:bCs/>
        </w:rPr>
        <w:t xml:space="preserve">  </w:t>
      </w:r>
    </w:p>
    <w:p w14:paraId="22421EA4" w14:textId="77777777" w:rsidR="009514D4" w:rsidRDefault="00D97169">
      <w:pPr>
        <w:ind w:firstLineChars="200" w:firstLine="420"/>
        <w:rPr>
          <w:rFonts w:ascii="Times New Roman" w:hAnsi="Times New Roman" w:cs="Times New Roman"/>
        </w:rPr>
      </w:pPr>
      <w:r>
        <w:rPr>
          <w:rFonts w:ascii="Times New Roman" w:hAnsi="Times New Roman" w:cs="Times New Roman"/>
        </w:rPr>
        <w:t>Kawasaki disease (KD) is an acute systemic vasculitis predominantly affecting children under five years of age and has become the leading cause of acquired heart disease in children</w:t>
      </w:r>
      <w:r>
        <w:rPr>
          <w:rFonts w:ascii="Times New Roman" w:hAnsi="Times New Roman" w:cs="Times New Roman"/>
        </w:rPr>
        <w:fldChar w:fldCharType="begin"/>
      </w:r>
      <w:r>
        <w:rPr>
          <w:rFonts w:ascii="Times New Roman" w:hAnsi="Times New Roman" w:cs="Times New Roman"/>
        </w:rPr>
        <w:instrText xml:space="preserve"> ADDIN NE.Ref.{99D02D18-2208-4AEF-A855-109B86F32756}</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1</w:t>
      </w:r>
      <w:r>
        <w:rPr>
          <w:rFonts w:ascii="Times New Roman" w:hAnsi="Times New Roman" w:cs="Times New Roman"/>
        </w:rPr>
        <w:fldChar w:fldCharType="end"/>
      </w:r>
      <w:r>
        <w:rPr>
          <w:rFonts w:ascii="Times New Roman" w:hAnsi="Times New Roman" w:cs="Times New Roman"/>
        </w:rPr>
        <w:t xml:space="preserve"> . Kawasaki disease shock syndrome (KDSS) is a severe subtype characterized by hemodynamically unstable shock superimposed on the typical clinical manifestations of KD</w:t>
      </w:r>
      <w:r>
        <w:rPr>
          <w:rFonts w:ascii="Times New Roman" w:hAnsi="Times New Roman" w:cs="Times New Roman"/>
        </w:rPr>
        <w:fldChar w:fldCharType="begin"/>
      </w:r>
      <w:r>
        <w:rPr>
          <w:rFonts w:ascii="Times New Roman" w:hAnsi="Times New Roman" w:cs="Times New Roman"/>
        </w:rPr>
        <w:instrText xml:space="preserve"> ADDIN NE.Ref.{4556F2DC-7CCE-4B61-BAA9-5329FB0644CE}</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2</w:t>
      </w:r>
      <w:r>
        <w:rPr>
          <w:rFonts w:ascii="Times New Roman" w:hAnsi="Times New Roman" w:cs="Times New Roman"/>
        </w:rPr>
        <w:fldChar w:fldCharType="end"/>
      </w:r>
      <w:r>
        <w:rPr>
          <w:rFonts w:ascii="Times New Roman" w:hAnsi="Times New Roman" w:cs="Times New Roman"/>
        </w:rPr>
        <w:t xml:space="preserve"> . Intravenous immunoglobulin (IVIG) is the first-line treatment for KD</w:t>
      </w:r>
      <w:r>
        <w:rPr>
          <w:rFonts w:ascii="Times New Roman" w:hAnsi="Times New Roman" w:cs="Times New Roman"/>
        </w:rPr>
        <w:fldChar w:fldCharType="begin"/>
      </w:r>
      <w:r>
        <w:rPr>
          <w:rFonts w:ascii="Times New Roman" w:hAnsi="Times New Roman" w:cs="Times New Roman"/>
        </w:rPr>
        <w:instrText xml:space="preserve"> ADDIN NE.Ref.{A8A5FAB3-F852-4D7B-B434-56A305018CFF}</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3</w:t>
      </w:r>
      <w:r>
        <w:rPr>
          <w:rFonts w:ascii="Times New Roman" w:hAnsi="Times New Roman" w:cs="Times New Roman"/>
        </w:rPr>
        <w:fldChar w:fldCharType="end"/>
      </w:r>
      <w:r>
        <w:rPr>
          <w:rFonts w:ascii="Times New Roman" w:hAnsi="Times New Roman" w:cs="Times New Roman"/>
        </w:rPr>
        <w:t>; however, approximately 10%–20% of patients exhibit IVIG non-response, defined as persistent or recurrent fever of any degree within 36 hours to two weeks after the initial IVIG dose</w:t>
      </w:r>
      <w:r>
        <w:rPr>
          <w:rFonts w:ascii="Times New Roman" w:hAnsi="Times New Roman" w:cs="Times New Roman"/>
        </w:rPr>
        <w:fldChar w:fldCharType="begin"/>
      </w:r>
      <w:r>
        <w:rPr>
          <w:rFonts w:ascii="Times New Roman" w:hAnsi="Times New Roman" w:cs="Times New Roman"/>
        </w:rPr>
        <w:instrText xml:space="preserve"> ADDIN NE.Ref.{62778175-EAFE-49B6-9E1C-42FEA4C3EDCB}</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4,5</w:t>
      </w:r>
      <w:r>
        <w:rPr>
          <w:rFonts w:ascii="Times New Roman" w:hAnsi="Times New Roman" w:cs="Times New Roman"/>
        </w:rPr>
        <w:fldChar w:fldCharType="end"/>
      </w:r>
      <w:r>
        <w:rPr>
          <w:rFonts w:ascii="Times New Roman" w:hAnsi="Times New Roman" w:cs="Times New Roman"/>
        </w:rPr>
        <w:t xml:space="preserve">. Both </w:t>
      </w:r>
      <w:r>
        <w:rPr>
          <w:rFonts w:ascii="Times New Roman" w:hAnsi="Times New Roman" w:cs="Times New Roman" w:hint="eastAsia"/>
        </w:rPr>
        <w:t>IVIG-unresponsive</w:t>
      </w:r>
      <w:r>
        <w:rPr>
          <w:rFonts w:ascii="Times New Roman" w:hAnsi="Times New Roman" w:cs="Times New Roman"/>
        </w:rPr>
        <w:t xml:space="preserve"> patients and those with KDSS have a higher incidence of coronary artery lesions compared to typical KD</w:t>
      </w:r>
      <w:r>
        <w:rPr>
          <w:rFonts w:ascii="Times New Roman" w:hAnsi="Times New Roman" w:cs="Times New Roman"/>
        </w:rPr>
        <w:fldChar w:fldCharType="begin"/>
      </w:r>
      <w:r>
        <w:rPr>
          <w:rFonts w:ascii="Times New Roman" w:hAnsi="Times New Roman" w:cs="Times New Roman"/>
        </w:rPr>
        <w:instrText xml:space="preserve"> ADDIN NE.Ref.{8382BB27-32DC-4E02-8C24-6C9579817B2C}</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6,7</w:t>
      </w:r>
      <w:r>
        <w:rPr>
          <w:rFonts w:ascii="Times New Roman" w:hAnsi="Times New Roman" w:cs="Times New Roman"/>
        </w:rPr>
        <w:fldChar w:fldCharType="end"/>
      </w:r>
      <w:r>
        <w:rPr>
          <w:rFonts w:ascii="Times New Roman" w:hAnsi="Times New Roman" w:cs="Times New Roman"/>
        </w:rPr>
        <w:t>, significantly increasing treatment complexity and nursing challenges. Managing these patients involves the dual challenges of "severe shock" and "refractory systemic inflammation." Conventional nursing models, often focused on symptomatic management, may lack systematic and proactive approaches, potentially failing to meet the comprehensive needs of such critically ill children. Holistic nursing views the patient, environment, and society as an integrated system, placing the patient at the center of care to address all needs comprehensively</w:t>
      </w:r>
      <w:r>
        <w:rPr>
          <w:rFonts w:ascii="Times New Roman" w:hAnsi="Times New Roman" w:cs="Times New Roman"/>
        </w:rPr>
        <w:fldChar w:fldCharType="begin"/>
      </w:r>
      <w:r>
        <w:rPr>
          <w:rFonts w:ascii="Times New Roman" w:hAnsi="Times New Roman" w:cs="Times New Roman"/>
        </w:rPr>
        <w:instrText xml:space="preserve"> ADDIN NE.Ref.{99326820-27FA-4C49-ACF0-9DFCDBD16768}</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8</w:t>
      </w:r>
      <w:r>
        <w:rPr>
          <w:rFonts w:ascii="Times New Roman" w:hAnsi="Times New Roman" w:cs="Times New Roman"/>
        </w:rPr>
        <w:fldChar w:fldCharType="end"/>
      </w:r>
      <w:r>
        <w:rPr>
          <w:rFonts w:ascii="Times New Roman" w:hAnsi="Times New Roman" w:cs="Times New Roman"/>
        </w:rPr>
        <w:t xml:space="preserve">. Currently, there are no </w:t>
      </w:r>
      <w:commentRangeStart w:id="3"/>
      <w:r>
        <w:rPr>
          <w:rFonts w:ascii="Times New Roman" w:hAnsi="Times New Roman" w:cs="Times New Roman"/>
        </w:rPr>
        <w:t xml:space="preserve">domestic nursing reports </w:t>
      </w:r>
      <w:commentRangeEnd w:id="3"/>
      <w:r w:rsidR="00874436">
        <w:rPr>
          <w:rStyle w:val="CommentReference"/>
        </w:rPr>
        <w:commentReference w:id="3"/>
      </w:r>
      <w:r>
        <w:rPr>
          <w:rFonts w:ascii="Times New Roman" w:hAnsi="Times New Roman" w:cs="Times New Roman"/>
        </w:rPr>
        <w:t xml:space="preserve">on </w:t>
      </w:r>
      <w:r>
        <w:rPr>
          <w:rFonts w:ascii="Times New Roman" w:hAnsi="Times New Roman" w:cs="Times New Roman" w:hint="eastAsia"/>
        </w:rPr>
        <w:t>IVIG-unresponsive</w:t>
      </w:r>
      <w:r>
        <w:rPr>
          <w:rFonts w:ascii="Times New Roman" w:hAnsi="Times New Roman" w:cs="Times New Roman"/>
        </w:rPr>
        <w:t xml:space="preserve"> KDSS, indicating a gap in practical clinical experience. This study summarizes the holistic nursing experience for one such patient, aiming to provide a reference for the clinical care of these children.</w:t>
      </w:r>
    </w:p>
    <w:p w14:paraId="427796D3" w14:textId="77777777" w:rsidR="009514D4" w:rsidRDefault="009514D4">
      <w:pPr>
        <w:rPr>
          <w:rFonts w:ascii="Times New Roman" w:hAnsi="Times New Roman" w:cs="Times New Roman"/>
        </w:rPr>
      </w:pPr>
    </w:p>
    <w:p w14:paraId="36508FE7" w14:textId="77777777" w:rsidR="009514D4" w:rsidRDefault="00D97169">
      <w:pPr>
        <w:rPr>
          <w:rFonts w:ascii="Times New Roman" w:hAnsi="Times New Roman" w:cs="Times New Roman"/>
          <w:b/>
          <w:bCs/>
        </w:rPr>
      </w:pPr>
      <w:r>
        <w:rPr>
          <w:rFonts w:ascii="Times New Roman" w:hAnsi="Times New Roman" w:cs="Times New Roman"/>
          <w:b/>
          <w:bCs/>
        </w:rPr>
        <w:t xml:space="preserve">1 Clinical Data  </w:t>
      </w:r>
    </w:p>
    <w:p w14:paraId="1C0B802F" w14:textId="77777777" w:rsidR="009514D4" w:rsidRDefault="00D97169">
      <w:pPr>
        <w:rPr>
          <w:rFonts w:ascii="Times New Roman" w:hAnsi="Times New Roman" w:cs="Times New Roman"/>
          <w:b/>
          <w:bCs/>
        </w:rPr>
      </w:pPr>
      <w:r>
        <w:rPr>
          <w:rFonts w:ascii="Times New Roman" w:hAnsi="Times New Roman" w:cs="Times New Roman"/>
          <w:b/>
          <w:bCs/>
        </w:rPr>
        <w:lastRenderedPageBreak/>
        <w:t xml:space="preserve">1.1 </w:t>
      </w:r>
      <w:commentRangeStart w:id="4"/>
      <w:r>
        <w:rPr>
          <w:rFonts w:ascii="Times New Roman" w:hAnsi="Times New Roman" w:cs="Times New Roman"/>
          <w:b/>
          <w:bCs/>
        </w:rPr>
        <w:t xml:space="preserve">General Information  </w:t>
      </w:r>
      <w:commentRangeEnd w:id="4"/>
      <w:r w:rsidR="00B344AD">
        <w:rPr>
          <w:rStyle w:val="CommentReference"/>
        </w:rPr>
        <w:commentReference w:id="4"/>
      </w:r>
    </w:p>
    <w:p w14:paraId="2994F0FF"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A 2-year-old female was admitted in February 2024 with a two-day history of fever and a one-day history of rash. Two days prior, she developed a fever of up to 40.4°C without an obvious cause, which resolved temporarily with antipyretics. One day before admission, a papular rash appeared on her back without significant itching. </w:t>
      </w:r>
      <w:commentRangeStart w:id="5"/>
      <w:r>
        <w:rPr>
          <w:rFonts w:ascii="Times New Roman" w:hAnsi="Times New Roman" w:cs="Times New Roman"/>
        </w:rPr>
        <w:t>After self-administered oral antibiotics</w:t>
      </w:r>
      <w:commentRangeEnd w:id="5"/>
      <w:r w:rsidR="00A33E5B">
        <w:rPr>
          <w:rStyle w:val="CommentReference"/>
        </w:rPr>
        <w:commentReference w:id="5"/>
      </w:r>
      <w:r>
        <w:rPr>
          <w:rFonts w:ascii="Times New Roman" w:hAnsi="Times New Roman" w:cs="Times New Roman"/>
        </w:rPr>
        <w:t xml:space="preserve">, the rash spread to the chest, face, and behind the ears, accompanied by </w:t>
      </w:r>
      <w:proofErr w:type="spellStart"/>
      <w:proofErr w:type="gramStart"/>
      <w:r>
        <w:rPr>
          <w:rFonts w:ascii="Times New Roman" w:hAnsi="Times New Roman" w:cs="Times New Roman"/>
        </w:rPr>
        <w:t>itching.On</w:t>
      </w:r>
      <w:proofErr w:type="spellEnd"/>
      <w:proofErr w:type="gramEnd"/>
      <w:r>
        <w:rPr>
          <w:rFonts w:ascii="Times New Roman" w:hAnsi="Times New Roman" w:cs="Times New Roman"/>
        </w:rPr>
        <w:t xml:space="preserve"> admission: temperature 37.7°C, heart rate 170 bpm, respiratory rate 47 bpm, blood pressure 74/42 mmHg, SpO₂ 90% (room air), weight 10 kg. She was conscious but lethargic, with normal development. Examination revealed a vaccination scar without redness, bilateral non-purulent bulbar conjunctival injection, swollen cracked lips, strawberry tongue, cervical lymphadenopathy, diffuse palmar erythema, and a diffuse erythematous rash on the </w:t>
      </w:r>
      <w:proofErr w:type="spellStart"/>
      <w:r>
        <w:rPr>
          <w:rFonts w:ascii="Times New Roman" w:hAnsi="Times New Roman" w:cs="Times New Roman"/>
        </w:rPr>
        <w:t>trunk.Laboratory</w:t>
      </w:r>
      <w:proofErr w:type="spellEnd"/>
      <w:r>
        <w:rPr>
          <w:rFonts w:ascii="Times New Roman" w:hAnsi="Times New Roman" w:cs="Times New Roman"/>
        </w:rPr>
        <w:t xml:space="preserve"> findings: white blood cell count 8.81×10⁹/L, neutrophils 85.7%, hemoglobin 118 g/L, platelets 227×10⁹/L; C-reactive protein (CRP) 99.68mg/L; procalcitonin (PCT) 1.37ng/mL; erythrocyte sedimentation rate (ESR) 69mm/h; interleukin-6 (IL-6) 246.02pg/mL; alanine aminotransferase (ALT) 172U/L, aspartate aminotransferase (AST) 331U/L; N-terminal pro-brain natriuretic peptide (NT-</w:t>
      </w:r>
      <w:proofErr w:type="spellStart"/>
      <w:r>
        <w:rPr>
          <w:rFonts w:ascii="Times New Roman" w:hAnsi="Times New Roman" w:cs="Times New Roman"/>
        </w:rPr>
        <w:t>proBNP</w:t>
      </w:r>
      <w:proofErr w:type="spellEnd"/>
      <w:r>
        <w:rPr>
          <w:rFonts w:ascii="Times New Roman" w:hAnsi="Times New Roman" w:cs="Times New Roman"/>
        </w:rPr>
        <w:t>) 5798pg/</w:t>
      </w:r>
      <w:proofErr w:type="spellStart"/>
      <w:r>
        <w:rPr>
          <w:rFonts w:ascii="Times New Roman" w:hAnsi="Times New Roman" w:cs="Times New Roman"/>
        </w:rPr>
        <w:t>mL.</w:t>
      </w:r>
      <w:proofErr w:type="spellEnd"/>
      <w:r>
        <w:rPr>
          <w:rFonts w:ascii="Times New Roman" w:hAnsi="Times New Roman" w:cs="Times New Roman"/>
        </w:rPr>
        <w:t xml:space="preserve"> Echocardiography showed normal ejection fraction and no coronary artery dilation.</w:t>
      </w:r>
      <w:r>
        <w:rPr>
          <w:rFonts w:ascii="Times New Roman" w:hAnsi="Times New Roman" w:cs="Times New Roman" w:hint="eastAsia"/>
        </w:rPr>
        <w:t xml:space="preserve"> </w:t>
      </w:r>
      <w:commentRangeStart w:id="6"/>
      <w:r>
        <w:rPr>
          <w:rFonts w:ascii="Times New Roman" w:hAnsi="Times New Roman" w:cs="Times New Roman"/>
        </w:rPr>
        <w:t>This case report complies with medical ethics requirements and has obtained the informed consent of the child's guardian</w:t>
      </w:r>
      <w:commentRangeEnd w:id="6"/>
      <w:r w:rsidR="00A33E5B">
        <w:rPr>
          <w:rStyle w:val="CommentReference"/>
        </w:rPr>
        <w:commentReference w:id="6"/>
      </w:r>
      <w:r>
        <w:rPr>
          <w:rFonts w:ascii="Times New Roman" w:hAnsi="Times New Roman" w:cs="Times New Roman"/>
        </w:rPr>
        <w:t>.</w:t>
      </w:r>
    </w:p>
    <w:p w14:paraId="619E9E77" w14:textId="77777777" w:rsidR="009514D4" w:rsidRDefault="009514D4">
      <w:pPr>
        <w:ind w:firstLineChars="200" w:firstLine="420"/>
        <w:rPr>
          <w:rFonts w:ascii="Times New Roman" w:hAnsi="Times New Roman" w:cs="Times New Roman"/>
        </w:rPr>
      </w:pPr>
    </w:p>
    <w:p w14:paraId="4E0A9478" w14:textId="77777777" w:rsidR="009514D4" w:rsidRDefault="00D97169">
      <w:pPr>
        <w:rPr>
          <w:rFonts w:ascii="Times New Roman" w:hAnsi="Times New Roman" w:cs="Times New Roman"/>
          <w:b/>
          <w:bCs/>
        </w:rPr>
      </w:pPr>
      <w:r>
        <w:rPr>
          <w:rFonts w:ascii="Times New Roman" w:hAnsi="Times New Roman" w:cs="Times New Roman"/>
          <w:b/>
          <w:bCs/>
        </w:rPr>
        <w:t xml:space="preserve">1.2 Treatment Course  </w:t>
      </w:r>
    </w:p>
    <w:p w14:paraId="72AC4762"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The patient received anti-infective, anti-inflammatory, inotropic, diuretic, hepatoprotective, and myocardial nutrient therapies. Continuous oxygen was administered. Initial treatment included IVIG (2 g/kg over 12 hours) and oral aspirin (30 mg/kg/day). Thirty-six hours post-IVIG, fever recurred (39.5°C) with rash progression and limb induration, leading to a diagnosis of </w:t>
      </w:r>
      <w:r>
        <w:rPr>
          <w:rFonts w:ascii="Times New Roman" w:hAnsi="Times New Roman" w:cs="Times New Roman" w:hint="eastAsia"/>
        </w:rPr>
        <w:t>IVIG-unresponsive</w:t>
      </w:r>
      <w:r>
        <w:rPr>
          <w:rFonts w:ascii="Times New Roman" w:hAnsi="Times New Roman" w:cs="Times New Roman"/>
        </w:rPr>
        <w:t xml:space="preserve"> KD. Concurrent hypotension</w:t>
      </w:r>
      <w:r>
        <w:rPr>
          <w:rFonts w:ascii="Times New Roman" w:hAnsi="Times New Roman" w:cs="Times New Roman" w:hint="eastAsia"/>
        </w:rPr>
        <w:t xml:space="preserve"> </w:t>
      </w:r>
      <w:r>
        <w:rPr>
          <w:rFonts w:ascii="Times New Roman" w:hAnsi="Times New Roman" w:cs="Times New Roman"/>
        </w:rPr>
        <w:t xml:space="preserve">(approximately 85/50mmHg with dopamine support), hypoxemia, and signs of poor perfusion confirmed KDSS. A second IVIG course (2 g/kg) combined with methylprednisolone (2 mg/kg/day) was initiated alongside aggressive shock </w:t>
      </w:r>
      <w:proofErr w:type="spellStart"/>
      <w:proofErr w:type="gramStart"/>
      <w:r>
        <w:rPr>
          <w:rFonts w:ascii="Times New Roman" w:hAnsi="Times New Roman" w:cs="Times New Roman"/>
        </w:rPr>
        <w:t>management.On</w:t>
      </w:r>
      <w:proofErr w:type="spellEnd"/>
      <w:proofErr w:type="gramEnd"/>
      <w:r>
        <w:rPr>
          <w:rFonts w:ascii="Times New Roman" w:hAnsi="Times New Roman" w:cs="Times New Roman"/>
        </w:rPr>
        <w:t xml:space="preserve"> hospital day 7, the child contracted rotavirus enteritis, presenting with watery diarrhea, poor appetite, and oliguria, which improved with symptomatic management and fluid replacement. Following systematic treatment and holistic nursing, her temperature normalized after the second treatment, the rash resolved, limb induration improved, and mental status and appetite recovered. Inflammatory markers (CRP, IL-6) and cardiac function (NT-</w:t>
      </w:r>
      <w:proofErr w:type="spellStart"/>
      <w:r>
        <w:rPr>
          <w:rFonts w:ascii="Times New Roman" w:hAnsi="Times New Roman" w:cs="Times New Roman"/>
        </w:rPr>
        <w:t>proBNP</w:t>
      </w:r>
      <w:proofErr w:type="spellEnd"/>
      <w:r>
        <w:rPr>
          <w:rFonts w:ascii="Times New Roman" w:hAnsi="Times New Roman" w:cs="Times New Roman"/>
        </w:rPr>
        <w:t>) significantly improved. She was discharged in stable condition after 12 days, with instructions to continue aspirin and undergo regular cardiac follow-up.</w:t>
      </w:r>
    </w:p>
    <w:p w14:paraId="4F922D6C" w14:textId="77777777" w:rsidR="009514D4" w:rsidRDefault="009514D4">
      <w:pPr>
        <w:rPr>
          <w:rFonts w:ascii="Times New Roman" w:hAnsi="Times New Roman" w:cs="Times New Roman"/>
        </w:rPr>
      </w:pPr>
    </w:p>
    <w:p w14:paraId="7F26C1AE" w14:textId="77777777" w:rsidR="009514D4" w:rsidRDefault="00D97169">
      <w:pPr>
        <w:rPr>
          <w:rFonts w:ascii="Times New Roman" w:hAnsi="Times New Roman" w:cs="Times New Roman"/>
          <w:b/>
          <w:bCs/>
        </w:rPr>
      </w:pPr>
      <w:r>
        <w:rPr>
          <w:rFonts w:ascii="Times New Roman" w:hAnsi="Times New Roman" w:cs="Times New Roman"/>
          <w:b/>
          <w:bCs/>
        </w:rPr>
        <w:t xml:space="preserve">2 </w:t>
      </w:r>
      <w:commentRangeStart w:id="7"/>
      <w:r>
        <w:rPr>
          <w:rFonts w:ascii="Times New Roman" w:hAnsi="Times New Roman" w:cs="Times New Roman"/>
          <w:b/>
          <w:bCs/>
        </w:rPr>
        <w:t xml:space="preserve">Nursing Care  </w:t>
      </w:r>
      <w:commentRangeEnd w:id="7"/>
      <w:r w:rsidR="008C1764">
        <w:rPr>
          <w:rStyle w:val="CommentReference"/>
        </w:rPr>
        <w:commentReference w:id="7"/>
      </w:r>
    </w:p>
    <w:p w14:paraId="6E2178A5" w14:textId="77777777" w:rsidR="009514D4" w:rsidRDefault="00D97169">
      <w:pPr>
        <w:rPr>
          <w:rFonts w:ascii="Times New Roman" w:hAnsi="Times New Roman" w:cs="Times New Roman"/>
          <w:b/>
          <w:bCs/>
        </w:rPr>
      </w:pPr>
      <w:r>
        <w:rPr>
          <w:rFonts w:ascii="Times New Roman" w:hAnsi="Times New Roman" w:cs="Times New Roman"/>
          <w:b/>
          <w:bCs/>
        </w:rPr>
        <w:t xml:space="preserve">2.1 Precision Monitoring for Shock and Hemodynamics  </w:t>
      </w:r>
    </w:p>
    <w:p w14:paraId="010B065A" w14:textId="77777777" w:rsidR="009514D4" w:rsidRDefault="00D97169">
      <w:pPr>
        <w:ind w:firstLineChars="200" w:firstLine="420"/>
        <w:rPr>
          <w:rFonts w:ascii="Times New Roman" w:hAnsi="Times New Roman" w:cs="Times New Roman"/>
        </w:rPr>
      </w:pPr>
      <w:r>
        <w:rPr>
          <w:rFonts w:ascii="Times New Roman" w:hAnsi="Times New Roman" w:cs="Times New Roman"/>
        </w:rPr>
        <w:t>Rigorous Vital Signs and Tissue Perfusion Monitoring: The patient was placed in a resuscitation room with continuous invasive arterial pressure monitoring. Vital signs were recorded every 30 minutes. Understanding that KDSS shock often involves distributive and cardiogenic components</w:t>
      </w:r>
      <w:r>
        <w:rPr>
          <w:rFonts w:ascii="Times New Roman" w:hAnsi="Times New Roman" w:cs="Times New Roman"/>
        </w:rPr>
        <w:fldChar w:fldCharType="begin"/>
      </w:r>
      <w:r>
        <w:rPr>
          <w:rFonts w:ascii="Times New Roman" w:hAnsi="Times New Roman" w:cs="Times New Roman"/>
        </w:rPr>
        <w:instrText xml:space="preserve"> ADDIN NE.Ref.{F8AE0391-C140-40C8-8BD4-7671780980F2}</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9</w:t>
      </w:r>
      <w:r>
        <w:rPr>
          <w:rFonts w:ascii="Times New Roman" w:hAnsi="Times New Roman" w:cs="Times New Roman"/>
        </w:rPr>
        <w:fldChar w:fldCharType="end"/>
      </w:r>
      <w:r>
        <w:rPr>
          <w:rFonts w:ascii="Times New Roman" w:hAnsi="Times New Roman" w:cs="Times New Roman"/>
        </w:rPr>
        <w:t xml:space="preserve">, monitoring focused not only on absolute blood pressure but also on pulse pressure trends and waveform. Initial narrow pulse pressure suggested reduced stroke volume; tachycardia (170 bpm) indicated compensation. Hourly assessments included consciousness, skin color/temperature, peripheral pulses, and capillary refill time (CRT). On admission, she was lethargic with cool, mottled extremities and CRT of 4 seconds. After fluid </w:t>
      </w:r>
      <w:r>
        <w:rPr>
          <w:rFonts w:ascii="Times New Roman" w:hAnsi="Times New Roman" w:cs="Times New Roman"/>
        </w:rPr>
        <w:lastRenderedPageBreak/>
        <w:t>resuscitation, extremities warmed, CRT shortened to 2 seconds within 24 hours, and consciousness improved, indicating better tissue perfusion.</w:t>
      </w:r>
    </w:p>
    <w:p w14:paraId="20CB0B75" w14:textId="77777777" w:rsidR="009514D4" w:rsidRDefault="00D97169">
      <w:pPr>
        <w:ind w:firstLineChars="200" w:firstLine="420"/>
        <w:rPr>
          <w:rFonts w:ascii="Times New Roman" w:hAnsi="Times New Roman" w:cs="Times New Roman"/>
        </w:rPr>
      </w:pPr>
      <w:r>
        <w:rPr>
          <w:rFonts w:ascii="Times New Roman" w:hAnsi="Times New Roman" w:cs="Times New Roman"/>
        </w:rPr>
        <w:t>Precision Fluid Management: Given increased vascular permeability in KDSS</w:t>
      </w:r>
      <w:r>
        <w:rPr>
          <w:rFonts w:ascii="Times New Roman" w:hAnsi="Times New Roman" w:cs="Times New Roman"/>
        </w:rPr>
        <w:fldChar w:fldCharType="begin"/>
      </w:r>
      <w:r>
        <w:rPr>
          <w:rFonts w:ascii="Times New Roman" w:hAnsi="Times New Roman" w:cs="Times New Roman"/>
        </w:rPr>
        <w:instrText xml:space="preserve"> ADDIN NE.Ref.{10C677E5-6701-4173-8F5D-4946BC050326}</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10</w:t>
      </w:r>
      <w:r>
        <w:rPr>
          <w:rFonts w:ascii="Times New Roman" w:hAnsi="Times New Roman" w:cs="Times New Roman"/>
        </w:rPr>
        <w:fldChar w:fldCharType="end"/>
      </w:r>
      <w:r>
        <w:rPr>
          <w:rFonts w:ascii="Times New Roman" w:hAnsi="Times New Roman" w:cs="Times New Roman"/>
        </w:rPr>
        <w:t>, fluid management balanced resuscitation against pulmonary edema risk</w:t>
      </w:r>
      <w:r>
        <w:rPr>
          <w:rFonts w:ascii="Times New Roman" w:hAnsi="Times New Roman" w:cs="Times New Roman"/>
        </w:rPr>
        <w:fldChar w:fldCharType="begin"/>
      </w:r>
      <w:r>
        <w:rPr>
          <w:rFonts w:ascii="Times New Roman" w:hAnsi="Times New Roman" w:cs="Times New Roman"/>
        </w:rPr>
        <w:instrText xml:space="preserve"> ADDIN NE.Ref.{A3B3F210-A176-4230-A2A5-AC78B78743A4}</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11</w:t>
      </w:r>
      <w:r>
        <w:rPr>
          <w:rFonts w:ascii="Times New Roman" w:hAnsi="Times New Roman" w:cs="Times New Roman"/>
        </w:rPr>
        <w:fldChar w:fldCharType="end"/>
      </w:r>
      <w:r>
        <w:rPr>
          <w:rFonts w:ascii="Times New Roman" w:hAnsi="Times New Roman" w:cs="Times New Roman"/>
        </w:rPr>
        <w:t xml:space="preserve"> . Two reliable IV lines were maintained using syringe pumps. Infusion rates and types were adjusted hourly based on urine output and blood pressure. For IVIG, an initial rate of 0.5–1.0mL/kg/h was used for the first 30 minutes; after confirming no adverse reactions, the remainder was infused steadily. Urine output was maintained at 1–2mL/kg/h. No fluid overload complications occurred, and IVIG infusion was completed without severe reactions.</w:t>
      </w:r>
    </w:p>
    <w:p w14:paraId="27745F2F" w14:textId="77777777" w:rsidR="009514D4" w:rsidRDefault="009514D4">
      <w:pPr>
        <w:rPr>
          <w:rFonts w:ascii="Times New Roman" w:hAnsi="Times New Roman" w:cs="Times New Roman"/>
        </w:rPr>
      </w:pPr>
    </w:p>
    <w:p w14:paraId="0CFDF3F0" w14:textId="77777777" w:rsidR="009514D4" w:rsidRDefault="00D97169">
      <w:pPr>
        <w:rPr>
          <w:rFonts w:ascii="Times New Roman" w:hAnsi="Times New Roman" w:cs="Times New Roman"/>
          <w:b/>
          <w:bCs/>
        </w:rPr>
      </w:pPr>
      <w:r>
        <w:rPr>
          <w:rFonts w:ascii="Times New Roman" w:hAnsi="Times New Roman" w:cs="Times New Roman"/>
          <w:b/>
          <w:bCs/>
        </w:rPr>
        <w:t xml:space="preserve">2.2 Cardiovascular Protection and Proactive Complication Management </w:t>
      </w:r>
    </w:p>
    <w:p w14:paraId="22C9791E" w14:textId="77777777" w:rsidR="009514D4" w:rsidRDefault="00D97169">
      <w:pPr>
        <w:ind w:firstLineChars="200" w:firstLine="420"/>
        <w:rPr>
          <w:rFonts w:ascii="Times New Roman" w:hAnsi="Times New Roman" w:cs="Times New Roman"/>
        </w:rPr>
      </w:pPr>
      <w:r>
        <w:rPr>
          <w:rFonts w:ascii="Times New Roman" w:hAnsi="Times New Roman" w:cs="Times New Roman"/>
        </w:rPr>
        <w:t>Cardiac Load Management: Acute KD myocarditis can impair contractility</w:t>
      </w:r>
      <w:r>
        <w:rPr>
          <w:rFonts w:ascii="Times New Roman" w:hAnsi="Times New Roman" w:cs="Times New Roman"/>
        </w:rPr>
        <w:fldChar w:fldCharType="begin"/>
      </w:r>
      <w:r>
        <w:rPr>
          <w:rFonts w:ascii="Times New Roman" w:hAnsi="Times New Roman" w:cs="Times New Roman"/>
        </w:rPr>
        <w:instrText xml:space="preserve"> ADDIN NE.Ref.{A91C5A9D-E744-42B6-B5A9-9E3274112EBD}</w:instrText>
      </w:r>
      <w:r>
        <w:rPr>
          <w:rFonts w:ascii="Times New Roman" w:hAnsi="Times New Roman" w:cs="Times New Roman"/>
        </w:rPr>
        <w:fldChar w:fldCharType="separate"/>
      </w:r>
      <w:r>
        <w:rPr>
          <w:rFonts w:ascii="Times New Roman" w:hAnsi="Times New Roman" w:cs="Times New Roman"/>
          <w:color w:val="080000"/>
          <w:vertAlign w:val="superscript"/>
        </w:rPr>
        <w:t>12</w:t>
      </w:r>
      <w:r>
        <w:rPr>
          <w:rFonts w:ascii="Times New Roman" w:hAnsi="Times New Roman" w:cs="Times New Roman"/>
        </w:rPr>
        <w:fldChar w:fldCharType="end"/>
      </w:r>
      <w:r>
        <w:rPr>
          <w:rFonts w:ascii="Times New Roman" w:hAnsi="Times New Roman" w:cs="Times New Roman"/>
        </w:rPr>
        <w:t>. To minimize cardiac strain, the patient was placed in a private room. Nursing and medical activities were clustered into planned blocks, ensuring uninterrupted rest periods of 2–3 hours. This intervention helped reduce the resting heart rate from 170 bpm to 120–140 bpm, increased sleep duration, and decreased irritability.</w:t>
      </w:r>
    </w:p>
    <w:p w14:paraId="472A7EA3" w14:textId="77777777" w:rsidR="009514D4" w:rsidRDefault="00D97169">
      <w:pPr>
        <w:ind w:firstLineChars="200" w:firstLine="420"/>
        <w:rPr>
          <w:rFonts w:ascii="Times New Roman" w:hAnsi="Times New Roman" w:cs="Times New Roman"/>
        </w:rPr>
      </w:pPr>
      <w:r>
        <w:rPr>
          <w:rFonts w:ascii="Times New Roman" w:hAnsi="Times New Roman" w:cs="Times New Roman"/>
        </w:rPr>
        <w:t>Biomarker Monitoring for Myocardial Injury: Beyond administering myocardial nutrients (e.g., sodium creatine phosphate), NT-</w:t>
      </w:r>
      <w:proofErr w:type="spellStart"/>
      <w:r>
        <w:rPr>
          <w:rFonts w:ascii="Times New Roman" w:hAnsi="Times New Roman" w:cs="Times New Roman"/>
        </w:rPr>
        <w:t>proBNP</w:t>
      </w:r>
      <w:proofErr w:type="spellEnd"/>
      <w:r>
        <w:rPr>
          <w:rFonts w:ascii="Times New Roman" w:hAnsi="Times New Roman" w:cs="Times New Roman"/>
        </w:rPr>
        <w:t xml:space="preserve"> and cardiac enzymes were tracked dynamically. NT-</w:t>
      </w:r>
      <w:proofErr w:type="spellStart"/>
      <w:r>
        <w:rPr>
          <w:rFonts w:ascii="Times New Roman" w:hAnsi="Times New Roman" w:cs="Times New Roman"/>
        </w:rPr>
        <w:t>proBNP</w:t>
      </w:r>
      <w:proofErr w:type="spellEnd"/>
      <w:r>
        <w:rPr>
          <w:rFonts w:ascii="Times New Roman" w:hAnsi="Times New Roman" w:cs="Times New Roman"/>
        </w:rPr>
        <w:t>, a sensitive heart failure marke</w:t>
      </w:r>
      <w:r>
        <w:rPr>
          <w:rFonts w:ascii="Times New Roman" w:hAnsi="Times New Roman" w:cs="Times New Roman"/>
        </w:rPr>
        <w:fldChar w:fldCharType="begin"/>
      </w:r>
      <w:r>
        <w:rPr>
          <w:rFonts w:ascii="Times New Roman" w:hAnsi="Times New Roman" w:cs="Times New Roman"/>
        </w:rPr>
        <w:instrText xml:space="preserve"> ADDIN NE.Ref.{5CCC9D94-6563-4AB7-BF4F-7DDB7D39EB88}</w:instrText>
      </w:r>
      <w:r>
        <w:rPr>
          <w:rFonts w:ascii="Times New Roman" w:hAnsi="Times New Roman" w:cs="Times New Roman"/>
        </w:rPr>
        <w:fldChar w:fldCharType="separate"/>
      </w:r>
      <w:r>
        <w:rPr>
          <w:rFonts w:ascii="Times New Roman" w:hAnsi="Times New Roman" w:cs="Times New Roman"/>
          <w:color w:val="080000"/>
          <w:vertAlign w:val="superscript"/>
        </w:rPr>
        <w:t>13</w:t>
      </w:r>
      <w:r>
        <w:rPr>
          <w:rFonts w:ascii="Times New Roman" w:hAnsi="Times New Roman" w:cs="Times New Roman"/>
        </w:rPr>
        <w:fldChar w:fldCharType="end"/>
      </w:r>
      <w:r>
        <w:rPr>
          <w:rFonts w:ascii="Times New Roman" w:hAnsi="Times New Roman" w:cs="Times New Roman"/>
        </w:rPr>
        <w:t xml:space="preserve"> , declined from 5798 </w:t>
      </w:r>
      <w:proofErr w:type="spellStart"/>
      <w:r>
        <w:rPr>
          <w:rFonts w:ascii="Times New Roman" w:hAnsi="Times New Roman" w:cs="Times New Roman"/>
        </w:rPr>
        <w:t>pg</w:t>
      </w:r>
      <w:proofErr w:type="spellEnd"/>
      <w:r>
        <w:rPr>
          <w:rFonts w:ascii="Times New Roman" w:hAnsi="Times New Roman" w:cs="Times New Roman"/>
        </w:rPr>
        <w:t xml:space="preserve">/mL to 850 </w:t>
      </w:r>
      <w:proofErr w:type="spellStart"/>
      <w:r>
        <w:rPr>
          <w:rFonts w:ascii="Times New Roman" w:hAnsi="Times New Roman" w:cs="Times New Roman"/>
        </w:rPr>
        <w:t>pg</w:t>
      </w:r>
      <w:proofErr w:type="spellEnd"/>
      <w:r>
        <w:rPr>
          <w:rFonts w:ascii="Times New Roman" w:hAnsi="Times New Roman" w:cs="Times New Roman"/>
        </w:rPr>
        <w:t>/mL after one week and normalized at discharge, providing objective evidence of improving cardiac function.</w:t>
      </w:r>
    </w:p>
    <w:p w14:paraId="35748F84" w14:textId="77777777" w:rsidR="009514D4" w:rsidRDefault="00D97169">
      <w:pPr>
        <w:ind w:firstLineChars="200" w:firstLine="420"/>
        <w:rPr>
          <w:rFonts w:ascii="Times New Roman" w:hAnsi="Times New Roman" w:cs="Times New Roman"/>
        </w:rPr>
      </w:pPr>
      <w:r>
        <w:rPr>
          <w:rFonts w:ascii="Times New Roman" w:hAnsi="Times New Roman" w:cs="Times New Roman"/>
        </w:rPr>
        <w:t>Long-term Coronary Artery Risk Awareness: Despite normal initial echocardiography, the high coronary risk in KDSS</w:t>
      </w:r>
      <w:r>
        <w:rPr>
          <w:rFonts w:ascii="Times New Roman" w:hAnsi="Times New Roman" w:cs="Times New Roman"/>
        </w:rPr>
        <w:fldChar w:fldCharType="begin"/>
      </w:r>
      <w:r>
        <w:rPr>
          <w:rFonts w:ascii="Times New Roman" w:hAnsi="Times New Roman" w:cs="Times New Roman"/>
        </w:rPr>
        <w:instrText xml:space="preserve"> ADDIN NE.Ref.{B9C5735E-0F20-43BF-A1A1-D8AE37BC230C}</w:instrText>
      </w:r>
      <w:r>
        <w:rPr>
          <w:rFonts w:ascii="Times New Roman" w:hAnsi="Times New Roman" w:cs="Times New Roman"/>
        </w:rPr>
        <w:fldChar w:fldCharType="separate"/>
      </w:r>
      <w:r>
        <w:rPr>
          <w:rFonts w:ascii="Times New Roman" w:hAnsi="Times New Roman" w:cs="Times New Roman"/>
          <w:color w:val="080000"/>
          <w:vertAlign w:val="superscript"/>
        </w:rPr>
        <w:t>14</w:t>
      </w:r>
      <w:r>
        <w:rPr>
          <w:rFonts w:ascii="Times New Roman" w:hAnsi="Times New Roman" w:cs="Times New Roman"/>
        </w:rPr>
        <w:fldChar w:fldCharType="end"/>
      </w:r>
      <w:r>
        <w:rPr>
          <w:rFonts w:ascii="Times New Roman" w:hAnsi="Times New Roman" w:cs="Times New Roman"/>
        </w:rPr>
        <w:t xml:space="preserve"> was emphasized. Families received education using the Kawasaki Disease Coronary Artery Lesion Follow-up Handbook, with visual aids to explain coronary aneurysms. The family understood the importance of long-term follow-up and scheduled the first outpatient echocardiogram before discharge.</w:t>
      </w:r>
    </w:p>
    <w:p w14:paraId="11D2B49E" w14:textId="77777777" w:rsidR="009514D4" w:rsidRDefault="009514D4">
      <w:pPr>
        <w:rPr>
          <w:rFonts w:ascii="Times New Roman" w:hAnsi="Times New Roman" w:cs="Times New Roman"/>
        </w:rPr>
      </w:pPr>
    </w:p>
    <w:p w14:paraId="76E9316A" w14:textId="77777777" w:rsidR="009514D4" w:rsidRDefault="00D97169">
      <w:pPr>
        <w:rPr>
          <w:rFonts w:ascii="Times New Roman" w:hAnsi="Times New Roman" w:cs="Times New Roman"/>
          <w:b/>
          <w:bCs/>
        </w:rPr>
      </w:pPr>
      <w:r>
        <w:rPr>
          <w:rFonts w:ascii="Times New Roman" w:hAnsi="Times New Roman" w:cs="Times New Roman"/>
          <w:b/>
          <w:bCs/>
        </w:rPr>
        <w:t xml:space="preserve">2.3 Targeted Care for Multi-Organ Dysfunction  </w:t>
      </w:r>
    </w:p>
    <w:p w14:paraId="71DA0B40" w14:textId="77777777" w:rsidR="009514D4" w:rsidRDefault="00D97169">
      <w:pPr>
        <w:ind w:firstLineChars="200" w:firstLine="420"/>
        <w:rPr>
          <w:rFonts w:ascii="Times New Roman" w:hAnsi="Times New Roman" w:cs="Times New Roman"/>
        </w:rPr>
      </w:pPr>
      <w:r>
        <w:rPr>
          <w:rFonts w:ascii="Times New Roman" w:hAnsi="Times New Roman" w:cs="Times New Roman"/>
        </w:rPr>
        <w:t>Collaborative Liver Protection: Significantly elevated transaminases indicated hepatic involvement. Alongside hepatoprotective medications (compound glycyrrhizinate injection), a low-fat, easily digestible enteral nutrition plan was developed with the dietitian to reduce metabolic burden. Transaminases trended downward from day 5 and approached normal at discharge, with no jaundice or coagulopathy.</w:t>
      </w:r>
    </w:p>
    <w:p w14:paraId="18365087" w14:textId="77777777" w:rsidR="009514D4" w:rsidRDefault="00D97169">
      <w:pPr>
        <w:ind w:firstLineChars="200" w:firstLine="420"/>
        <w:rPr>
          <w:rFonts w:ascii="Times New Roman" w:hAnsi="Times New Roman" w:cs="Times New Roman"/>
        </w:rPr>
      </w:pPr>
      <w:r>
        <w:rPr>
          <w:rFonts w:ascii="Times New Roman" w:hAnsi="Times New Roman" w:cs="Times New Roman"/>
        </w:rPr>
        <w:t>Coagulation Monitoring and Bleeding Prevention: KD and aspirin therapy affect coagulation</w:t>
      </w:r>
      <w:r>
        <w:rPr>
          <w:rFonts w:ascii="Times New Roman" w:hAnsi="Times New Roman" w:cs="Times New Roman"/>
        </w:rPr>
        <w:fldChar w:fldCharType="begin"/>
      </w:r>
      <w:r>
        <w:rPr>
          <w:rFonts w:ascii="Times New Roman" w:hAnsi="Times New Roman" w:cs="Times New Roman"/>
        </w:rPr>
        <w:instrText xml:space="preserve"> ADDIN NE.Ref.{AEDF7585-37E2-4987-9ADE-F56061A196F7}</w:instrText>
      </w:r>
      <w:r>
        <w:rPr>
          <w:rFonts w:ascii="Times New Roman" w:hAnsi="Times New Roman" w:cs="Times New Roman"/>
        </w:rPr>
        <w:fldChar w:fldCharType="separate"/>
      </w:r>
      <w:r>
        <w:rPr>
          <w:rFonts w:ascii="Times New Roman" w:hAnsi="Times New Roman" w:cs="Times New Roman"/>
          <w:color w:val="080000"/>
          <w:vertAlign w:val="superscript"/>
        </w:rPr>
        <w:t>15</w:t>
      </w:r>
      <w:r>
        <w:rPr>
          <w:rFonts w:ascii="Times New Roman" w:hAnsi="Times New Roman" w:cs="Times New Roman"/>
        </w:rPr>
        <w:fldChar w:fldCharType="end"/>
      </w:r>
      <w:r>
        <w:rPr>
          <w:rFonts w:ascii="Times New Roman" w:hAnsi="Times New Roman" w:cs="Times New Roman"/>
        </w:rPr>
        <w:t>. Besides monitoring for overt bleeding, D-dimer trends were closely watched, as elevated levels suggest hyperfibrinolysis and correlate with KDSS risk</w:t>
      </w:r>
      <w:r>
        <w:rPr>
          <w:rFonts w:ascii="Times New Roman" w:hAnsi="Times New Roman" w:cs="Times New Roman"/>
        </w:rPr>
        <w:fldChar w:fldCharType="begin"/>
      </w:r>
      <w:r>
        <w:rPr>
          <w:rFonts w:ascii="Times New Roman" w:hAnsi="Times New Roman" w:cs="Times New Roman"/>
        </w:rPr>
        <w:instrText xml:space="preserve"> ADDIN NE.Ref.{E5A1A03F-7AC3-4A1B-B7F5-862A22426E11}</w:instrText>
      </w:r>
      <w:r>
        <w:rPr>
          <w:rFonts w:ascii="Times New Roman" w:hAnsi="Times New Roman" w:cs="Times New Roman"/>
        </w:rPr>
        <w:fldChar w:fldCharType="separate"/>
      </w:r>
      <w:r>
        <w:rPr>
          <w:rFonts w:ascii="Times New Roman" w:hAnsi="Times New Roman" w:cs="Times New Roman"/>
          <w:color w:val="080000"/>
          <w:vertAlign w:val="superscript"/>
        </w:rPr>
        <w:t>16</w:t>
      </w:r>
      <w:r>
        <w:rPr>
          <w:rFonts w:ascii="Times New Roman" w:hAnsi="Times New Roman" w:cs="Times New Roman"/>
        </w:rPr>
        <w:fldChar w:fldCharType="end"/>
      </w:r>
      <w:r>
        <w:rPr>
          <w:rFonts w:ascii="Times New Roman" w:hAnsi="Times New Roman" w:cs="Times New Roman"/>
        </w:rPr>
        <w:t>. D-dimer levels decreased with inflammation control, and no bleeding/thrombotic events occurred.</w:t>
      </w:r>
    </w:p>
    <w:p w14:paraId="730F628B" w14:textId="77777777" w:rsidR="009514D4" w:rsidRDefault="00D97169">
      <w:pPr>
        <w:ind w:firstLineChars="200" w:firstLine="420"/>
        <w:rPr>
          <w:rFonts w:ascii="Times New Roman" w:hAnsi="Times New Roman" w:cs="Times New Roman"/>
        </w:rPr>
      </w:pPr>
      <w:r>
        <w:rPr>
          <w:rFonts w:ascii="Times New Roman" w:hAnsi="Times New Roman" w:cs="Times New Roman"/>
        </w:rPr>
        <w:t>Closed-loop Management of Secondary Infection: Rotavirus diarrhea complicated the course. Strict contact isolation was implemented (dedicated equipment, signage, hand hygiene). Perianal skin was protected with stoma powder after each stool to prevent dermatitis. These measures prevented cross-transmission and kept the perianal skin intact. Diarrhea resolved within three days without further complications.</w:t>
      </w:r>
    </w:p>
    <w:p w14:paraId="03EE6892" w14:textId="77777777" w:rsidR="009514D4" w:rsidRDefault="009514D4">
      <w:pPr>
        <w:rPr>
          <w:rFonts w:ascii="Times New Roman" w:hAnsi="Times New Roman" w:cs="Times New Roman"/>
        </w:rPr>
      </w:pPr>
    </w:p>
    <w:p w14:paraId="02397AC1" w14:textId="77777777" w:rsidR="009514D4" w:rsidRDefault="00D97169">
      <w:pPr>
        <w:rPr>
          <w:rFonts w:ascii="Times New Roman" w:hAnsi="Times New Roman" w:cs="Times New Roman"/>
          <w:b/>
          <w:bCs/>
        </w:rPr>
      </w:pPr>
      <w:r>
        <w:rPr>
          <w:rFonts w:ascii="Times New Roman" w:hAnsi="Times New Roman" w:cs="Times New Roman"/>
          <w:b/>
          <w:bCs/>
        </w:rPr>
        <w:t xml:space="preserve">2.4 Symptom Management and Comfort Care  </w:t>
      </w:r>
    </w:p>
    <w:p w14:paraId="47945BE8"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Fever Management: A stepwise approach was used: physical cooling (light clothing, ambient </w:t>
      </w:r>
      <w:r>
        <w:rPr>
          <w:rFonts w:ascii="Times New Roman" w:hAnsi="Times New Roman" w:cs="Times New Roman"/>
        </w:rPr>
        <w:lastRenderedPageBreak/>
        <w:t>temperature 22–24°C, tepid sponging) for temperatures &lt;38.5°C, and antipyretics as prescribed for higher temperatures. Ibuprofen was avoided due to its interaction with aspiri</w:t>
      </w:r>
      <w:r>
        <w:rPr>
          <w:rFonts w:ascii="Times New Roman" w:hAnsi="Times New Roman" w:cs="Times New Roman"/>
        </w:rPr>
        <w:fldChar w:fldCharType="begin"/>
      </w:r>
      <w:r>
        <w:rPr>
          <w:rFonts w:ascii="Times New Roman" w:hAnsi="Times New Roman" w:cs="Times New Roman"/>
        </w:rPr>
        <w:instrText xml:space="preserve"> ADDIN NE.Ref.{7DDC8486-9BDD-4EEC-8FCA-38AB385717D1}</w:instrText>
      </w:r>
      <w:r>
        <w:rPr>
          <w:rFonts w:ascii="Times New Roman" w:hAnsi="Times New Roman" w:cs="Times New Roman"/>
        </w:rPr>
        <w:fldChar w:fldCharType="separate"/>
      </w:r>
      <w:r>
        <w:rPr>
          <w:rFonts w:ascii="Times New Roman" w:hAnsi="Times New Roman" w:cs="Times New Roman"/>
          <w:color w:val="080000"/>
          <w:vertAlign w:val="superscript"/>
        </w:rPr>
        <w:t>17</w:t>
      </w:r>
      <w:r>
        <w:rPr>
          <w:rFonts w:ascii="Times New Roman" w:hAnsi="Times New Roman" w:cs="Times New Roman"/>
        </w:rPr>
        <w:fldChar w:fldCharType="end"/>
      </w:r>
      <w:r>
        <w:rPr>
          <w:rFonts w:ascii="Times New Roman" w:hAnsi="Times New Roman" w:cs="Times New Roman"/>
        </w:rPr>
        <w:t>. Sweating was managed promptly to maintain comfort. Fever resolved after the second IVIG course.</w:t>
      </w:r>
    </w:p>
    <w:p w14:paraId="05EFF131" w14:textId="77777777" w:rsidR="009514D4" w:rsidRDefault="00D97169">
      <w:pPr>
        <w:ind w:firstLineChars="200" w:firstLine="420"/>
        <w:rPr>
          <w:rFonts w:ascii="Times New Roman" w:hAnsi="Times New Roman" w:cs="Times New Roman"/>
        </w:rPr>
      </w:pPr>
      <w:r>
        <w:rPr>
          <w:rFonts w:ascii="Times New Roman" w:hAnsi="Times New Roman" w:cs="Times New Roman"/>
        </w:rPr>
        <w:t>Skin and Mucous Membrane Care:</w:t>
      </w:r>
    </w:p>
    <w:p w14:paraId="15AB7AF2" w14:textId="77777777" w:rsidR="009514D4" w:rsidRDefault="00D97169">
      <w:pPr>
        <w:ind w:firstLineChars="200" w:firstLine="420"/>
        <w:rPr>
          <w:rFonts w:ascii="Times New Roman" w:hAnsi="Times New Roman" w:cs="Times New Roman"/>
        </w:rPr>
      </w:pPr>
      <w:r>
        <w:rPr>
          <w:rFonts w:ascii="Times New Roman" w:hAnsi="Times New Roman" w:cs="Times New Roman"/>
        </w:rPr>
        <w:t>1. Rash: Loose cotton clothing was used; the rash was assessed daily. Nails were trimmed, and antihistamines were given for pruritus. The rash began fading by day 5.</w:t>
      </w:r>
    </w:p>
    <w:p w14:paraId="1A137AD7" w14:textId="77777777" w:rsidR="009514D4" w:rsidRDefault="00D97169">
      <w:pPr>
        <w:ind w:firstLineChars="200" w:firstLine="420"/>
        <w:rPr>
          <w:rFonts w:ascii="Times New Roman" w:hAnsi="Times New Roman" w:cs="Times New Roman"/>
        </w:rPr>
      </w:pPr>
      <w:r>
        <w:rPr>
          <w:rFonts w:ascii="Times New Roman" w:hAnsi="Times New Roman" w:cs="Times New Roman"/>
        </w:rPr>
        <w:t>2. Oral Care: Oral mucosa was cleaned 2–3 times daily with saline swabs; cracked lips were moisturized with vitamin AD drops/balm. A soft, cool diet and straws minimized discomfort.</w:t>
      </w:r>
    </w:p>
    <w:p w14:paraId="6BE3CA15" w14:textId="77777777" w:rsidR="009514D4" w:rsidRDefault="00D97169">
      <w:pPr>
        <w:ind w:firstLineChars="200" w:firstLine="420"/>
        <w:rPr>
          <w:rFonts w:ascii="Times New Roman" w:hAnsi="Times New Roman" w:cs="Times New Roman"/>
        </w:rPr>
      </w:pPr>
      <w:r>
        <w:rPr>
          <w:rFonts w:ascii="Times New Roman" w:hAnsi="Times New Roman" w:cs="Times New Roman"/>
        </w:rPr>
        <w:t>3. Conjunctival Care: Eyes were gently cleaned with saline; bright light was avoided. No secondary infection occurred, and injection resolved by discharge.</w:t>
      </w:r>
    </w:p>
    <w:p w14:paraId="3F6748AF" w14:textId="77777777" w:rsidR="009514D4" w:rsidRDefault="009514D4">
      <w:pPr>
        <w:rPr>
          <w:rFonts w:ascii="Times New Roman" w:hAnsi="Times New Roman" w:cs="Times New Roman"/>
        </w:rPr>
      </w:pPr>
    </w:p>
    <w:p w14:paraId="6462CA6C" w14:textId="77777777" w:rsidR="009514D4" w:rsidRDefault="00D97169">
      <w:pPr>
        <w:rPr>
          <w:rFonts w:ascii="Times New Roman" w:hAnsi="Times New Roman" w:cs="Times New Roman"/>
          <w:b/>
          <w:bCs/>
        </w:rPr>
      </w:pPr>
      <w:r>
        <w:rPr>
          <w:rFonts w:ascii="Times New Roman" w:hAnsi="Times New Roman" w:cs="Times New Roman"/>
          <w:b/>
          <w:bCs/>
        </w:rPr>
        <w:t xml:space="preserve">2.5 Precision Medication Administration  </w:t>
      </w:r>
    </w:p>
    <w:p w14:paraId="279EE5C7" w14:textId="77777777" w:rsidR="009514D4" w:rsidRDefault="00D97169">
      <w:pPr>
        <w:ind w:firstLineChars="200" w:firstLine="420"/>
        <w:rPr>
          <w:rFonts w:ascii="Times New Roman" w:hAnsi="Times New Roman" w:cs="Times New Roman"/>
        </w:rPr>
      </w:pPr>
      <w:r>
        <w:rPr>
          <w:rFonts w:ascii="Times New Roman" w:hAnsi="Times New Roman" w:cs="Times New Roman"/>
        </w:rPr>
        <w:t>IVIG Infusion Care: For the second IVIG dose, cardiac status was pre-assessed. Starting slowly and increasing gradually per protocol</w:t>
      </w:r>
      <w:r>
        <w:rPr>
          <w:rFonts w:ascii="Times New Roman" w:hAnsi="Times New Roman" w:cs="Times New Roman"/>
        </w:rPr>
        <w:fldChar w:fldCharType="begin"/>
      </w:r>
      <w:r>
        <w:rPr>
          <w:rFonts w:ascii="Times New Roman" w:hAnsi="Times New Roman" w:cs="Times New Roman"/>
        </w:rPr>
        <w:instrText xml:space="preserve"> ADDIN NE.Ref.{EDC650D1-B2E1-434D-9ABD-A126B4ED956E}</w:instrText>
      </w:r>
      <w:r>
        <w:rPr>
          <w:rFonts w:ascii="Times New Roman" w:hAnsi="Times New Roman" w:cs="Times New Roman"/>
        </w:rPr>
        <w:fldChar w:fldCharType="separate"/>
      </w:r>
      <w:r>
        <w:rPr>
          <w:rFonts w:ascii="Times New Roman" w:hAnsi="Times New Roman" w:cs="Times New Roman"/>
          <w:color w:val="080000"/>
          <w:vertAlign w:val="superscript"/>
        </w:rPr>
        <w:t>18</w:t>
      </w:r>
      <w:r>
        <w:rPr>
          <w:rFonts w:ascii="Times New Roman" w:hAnsi="Times New Roman" w:cs="Times New Roman"/>
        </w:rPr>
        <w:fldChar w:fldCharType="end"/>
      </w:r>
      <w:r>
        <w:rPr>
          <w:rFonts w:ascii="Times New Roman" w:hAnsi="Times New Roman" w:cs="Times New Roman"/>
        </w:rPr>
        <w:t>, vital signs were monitored continuously, with emergency medications available. No allergic reactions occurred.</w:t>
      </w:r>
    </w:p>
    <w:p w14:paraId="275D5D45"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Glucocorticoid Therapy Care: During methylprednisolone therapy, monitoring included hourly blood pressure and 4-hourly glucose </w:t>
      </w:r>
      <w:proofErr w:type="gramStart"/>
      <w:r>
        <w:rPr>
          <w:rFonts w:ascii="Times New Roman" w:hAnsi="Times New Roman" w:cs="Times New Roman"/>
        </w:rPr>
        <w:t>checks</w:t>
      </w:r>
      <w:proofErr w:type="gramEnd"/>
      <w:r>
        <w:rPr>
          <w:rFonts w:ascii="Times New Roman" w:hAnsi="Times New Roman" w:cs="Times New Roman"/>
        </w:rPr>
        <w:t xml:space="preserve"> for hypertension/hyperglycemia; observation for stress ulcer symptoms with timely gastroprotection; and heightened surveillance for masked infection signs.</w:t>
      </w:r>
    </w:p>
    <w:p w14:paraId="7F95EF7C" w14:textId="77777777" w:rsidR="009514D4" w:rsidRDefault="00D97169">
      <w:pPr>
        <w:ind w:firstLineChars="200" w:firstLine="420"/>
        <w:rPr>
          <w:rFonts w:ascii="Times New Roman" w:hAnsi="Times New Roman" w:cs="Times New Roman"/>
        </w:rPr>
      </w:pPr>
      <w:r>
        <w:rPr>
          <w:rFonts w:ascii="Times New Roman" w:hAnsi="Times New Roman" w:cs="Times New Roman"/>
        </w:rPr>
        <w:t>Antiplatelet Therapy Management: Aspirin was administered correctly (enteric-coated, before meals). The family was educated on adherence, signs of salicylate toxicity, and bleeding precautions. No adverse effects were noted.</w:t>
      </w:r>
    </w:p>
    <w:p w14:paraId="57977F68" w14:textId="77777777" w:rsidR="009514D4" w:rsidRDefault="009514D4">
      <w:pPr>
        <w:rPr>
          <w:rFonts w:ascii="Times New Roman" w:hAnsi="Times New Roman" w:cs="Times New Roman"/>
        </w:rPr>
      </w:pPr>
    </w:p>
    <w:p w14:paraId="0B1574BE" w14:textId="77777777" w:rsidR="009514D4" w:rsidRDefault="00D97169">
      <w:pPr>
        <w:rPr>
          <w:rFonts w:ascii="Times New Roman" w:hAnsi="Times New Roman" w:cs="Times New Roman"/>
          <w:b/>
          <w:bCs/>
        </w:rPr>
      </w:pPr>
      <w:r>
        <w:rPr>
          <w:rFonts w:ascii="Times New Roman" w:hAnsi="Times New Roman" w:cs="Times New Roman"/>
          <w:b/>
          <w:bCs/>
        </w:rPr>
        <w:t xml:space="preserve">2.6 Nutritional Support and Psychosocial Care </w:t>
      </w:r>
    </w:p>
    <w:p w14:paraId="22AF581B" w14:textId="77777777" w:rsidR="009514D4" w:rsidRDefault="00D97169">
      <w:pPr>
        <w:ind w:firstLineChars="200" w:firstLine="420"/>
        <w:rPr>
          <w:rFonts w:ascii="Times New Roman" w:hAnsi="Times New Roman" w:cs="Times New Roman"/>
        </w:rPr>
      </w:pPr>
      <w:r>
        <w:rPr>
          <w:rFonts w:ascii="Times New Roman" w:hAnsi="Times New Roman" w:cs="Times New Roman"/>
        </w:rPr>
        <w:t>Individualized Nutritional Support: A phased plan addressed shock, liver injury, and diarrhea:</w:t>
      </w:r>
    </w:p>
    <w:p w14:paraId="0E85FD20"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    -Acute phase: Small, frequent high-calorie liquids (6–8 meals/day, ≤50 mL/meal).</w:t>
      </w:r>
    </w:p>
    <w:p w14:paraId="12CB7C92"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    -Liver injury phase: Low-fat, easily digestible diet.</w:t>
      </w:r>
    </w:p>
    <w:p w14:paraId="7ACACA8C"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    -Diarrhea phase: Lactose-free formula and oral rehydration.</w:t>
      </w:r>
    </w:p>
    <w:p w14:paraId="7D06A6E1"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    -Recovery phase: Increased high-quality protein.</w:t>
      </w:r>
    </w:p>
    <w:p w14:paraId="2B960201"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    Weight remained stable.</w:t>
      </w:r>
    </w:p>
    <w:p w14:paraId="4761B114" w14:textId="77777777" w:rsidR="009514D4" w:rsidRDefault="00D97169">
      <w:pPr>
        <w:ind w:firstLineChars="200" w:firstLine="420"/>
        <w:rPr>
          <w:rFonts w:ascii="Times New Roman" w:hAnsi="Times New Roman" w:cs="Times New Roman"/>
        </w:rPr>
      </w:pPr>
      <w:r>
        <w:rPr>
          <w:rFonts w:ascii="Times New Roman" w:hAnsi="Times New Roman" w:cs="Times New Roman"/>
        </w:rPr>
        <w:t>Psychological Comfort and Family Support: Child-friendly communication, distraction during procedures, and age-appropriate play were used. Parents received daily updates, were involved in care, and were invited to a support WeChat group for education and peer sharing, reducing their anxiety and improving cooperation.</w:t>
      </w:r>
    </w:p>
    <w:p w14:paraId="663DC1EF" w14:textId="77777777" w:rsidR="009514D4" w:rsidRDefault="009514D4">
      <w:pPr>
        <w:rPr>
          <w:rFonts w:ascii="Times New Roman" w:hAnsi="Times New Roman" w:cs="Times New Roman"/>
        </w:rPr>
      </w:pPr>
    </w:p>
    <w:p w14:paraId="5BD510FB" w14:textId="77777777" w:rsidR="009514D4" w:rsidRDefault="00D97169">
      <w:pPr>
        <w:rPr>
          <w:rFonts w:ascii="Times New Roman" w:hAnsi="Times New Roman" w:cs="Times New Roman"/>
          <w:b/>
          <w:bCs/>
        </w:rPr>
      </w:pPr>
      <w:r>
        <w:rPr>
          <w:rFonts w:ascii="Times New Roman" w:hAnsi="Times New Roman" w:cs="Times New Roman"/>
          <w:b/>
          <w:bCs/>
        </w:rPr>
        <w:t xml:space="preserve">3 Discharge Planning and Long-term Follow-up  </w:t>
      </w:r>
    </w:p>
    <w:p w14:paraId="57DDE687" w14:textId="77777777" w:rsidR="009514D4" w:rsidRDefault="00D97169">
      <w:pPr>
        <w:ind w:firstLineChars="200" w:firstLine="420"/>
        <w:rPr>
          <w:rFonts w:ascii="Times New Roman" w:hAnsi="Times New Roman" w:cs="Times New Roman"/>
        </w:rPr>
      </w:pPr>
      <w:r>
        <w:rPr>
          <w:rFonts w:ascii="Times New Roman" w:hAnsi="Times New Roman" w:cs="Times New Roman"/>
        </w:rPr>
        <w:t>A continuous care plan was established. Detailed written instructions covered aspirin administration, bleeding observation, and the need to temporarily switch to clopidogrel during influenza/varicella to avoid Reye syndrome</w:t>
      </w:r>
      <w:r>
        <w:rPr>
          <w:rFonts w:ascii="Times New Roman" w:hAnsi="Times New Roman" w:cs="Times New Roman"/>
        </w:rPr>
        <w:fldChar w:fldCharType="begin"/>
      </w:r>
      <w:r>
        <w:rPr>
          <w:rFonts w:ascii="Times New Roman" w:hAnsi="Times New Roman" w:cs="Times New Roman"/>
        </w:rPr>
        <w:instrText xml:space="preserve"> ADDIN NE.Ref.{DA8D86B1-7AED-4E96-BBCC-0723BB5605F2}</w:instrText>
      </w:r>
      <w:r>
        <w:rPr>
          <w:rFonts w:ascii="Times New Roman" w:hAnsi="Times New Roman" w:cs="Times New Roman"/>
        </w:rPr>
        <w:fldChar w:fldCharType="separate"/>
      </w:r>
      <w:r>
        <w:rPr>
          <w:rFonts w:ascii="Times New Roman" w:hAnsi="Times New Roman" w:cs="Times New Roman"/>
          <w:color w:val="080000"/>
          <w:vertAlign w:val="superscript"/>
        </w:rPr>
        <w:t>19</w:t>
      </w:r>
      <w:r>
        <w:rPr>
          <w:rFonts w:ascii="Times New Roman" w:hAnsi="Times New Roman" w:cs="Times New Roman"/>
        </w:rPr>
        <w:fldChar w:fldCharType="end"/>
      </w:r>
      <w:r>
        <w:rPr>
          <w:rFonts w:ascii="Times New Roman" w:hAnsi="Times New Roman" w:cs="Times New Roman"/>
        </w:rPr>
        <w:t>. A structured follow-up schedule included outpatient visits and echocardiograms at 1, 2, 3, 6, and 12 months. Families were taught to recognize warning signs (e.g., recurrent fever, chest pain). Activity restrictions (avoiding strenuous exercise for one month) and dietary advice were provided. Ongoing support was offered via WeChat, patient groups, and phone calls to ensure adherence and optimize long-term outcomes.</w:t>
      </w:r>
    </w:p>
    <w:p w14:paraId="72D31AAE" w14:textId="77777777" w:rsidR="009514D4" w:rsidRDefault="009514D4">
      <w:pPr>
        <w:rPr>
          <w:rFonts w:ascii="Times New Roman" w:hAnsi="Times New Roman" w:cs="Times New Roman"/>
        </w:rPr>
      </w:pPr>
    </w:p>
    <w:p w14:paraId="5B95EDDC" w14:textId="77777777" w:rsidR="009514D4" w:rsidRDefault="00D97169">
      <w:pPr>
        <w:rPr>
          <w:rFonts w:ascii="Times New Roman" w:hAnsi="Times New Roman" w:cs="Times New Roman"/>
          <w:b/>
          <w:bCs/>
        </w:rPr>
      </w:pPr>
      <w:r>
        <w:rPr>
          <w:rFonts w:ascii="Times New Roman" w:hAnsi="Times New Roman" w:cs="Times New Roman"/>
          <w:b/>
          <w:bCs/>
        </w:rPr>
        <w:lastRenderedPageBreak/>
        <w:t xml:space="preserve">4 </w:t>
      </w:r>
      <w:commentRangeStart w:id="8"/>
      <w:r>
        <w:rPr>
          <w:rFonts w:ascii="Times New Roman" w:hAnsi="Times New Roman" w:cs="Times New Roman"/>
          <w:b/>
          <w:bCs/>
        </w:rPr>
        <w:t>Discussion</w:t>
      </w:r>
      <w:commentRangeEnd w:id="8"/>
      <w:r w:rsidR="008C1764">
        <w:rPr>
          <w:rStyle w:val="CommentReference"/>
        </w:rPr>
        <w:commentReference w:id="8"/>
      </w:r>
      <w:r>
        <w:rPr>
          <w:rFonts w:ascii="Times New Roman" w:hAnsi="Times New Roman" w:cs="Times New Roman"/>
          <w:b/>
          <w:bCs/>
        </w:rPr>
        <w:t xml:space="preserve">  </w:t>
      </w:r>
    </w:p>
    <w:p w14:paraId="61664483"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The successful management of this complex case relied on a deep understanding of </w:t>
      </w:r>
      <w:r>
        <w:rPr>
          <w:rFonts w:ascii="Times New Roman" w:hAnsi="Times New Roman" w:cs="Times New Roman" w:hint="eastAsia"/>
        </w:rPr>
        <w:t>IVIG-unresponsive</w:t>
      </w:r>
      <w:r>
        <w:rPr>
          <w:rFonts w:ascii="Times New Roman" w:hAnsi="Times New Roman" w:cs="Times New Roman"/>
        </w:rPr>
        <w:t xml:space="preserve"> KDSS pathophysiology, enabling precision nursing that exceeded routine care.</w:t>
      </w:r>
    </w:p>
    <w:p w14:paraId="51294F7F" w14:textId="77777777" w:rsidR="009514D4" w:rsidRDefault="009514D4">
      <w:pPr>
        <w:ind w:firstLineChars="200" w:firstLine="420"/>
        <w:rPr>
          <w:rFonts w:ascii="Times New Roman" w:hAnsi="Times New Roman" w:cs="Times New Roman"/>
        </w:rPr>
      </w:pPr>
    </w:p>
    <w:p w14:paraId="26808129" w14:textId="77777777" w:rsidR="009514D4" w:rsidRDefault="00D97169">
      <w:pPr>
        <w:rPr>
          <w:rFonts w:ascii="Times New Roman" w:hAnsi="Times New Roman" w:cs="Times New Roman"/>
          <w:b/>
          <w:bCs/>
        </w:rPr>
      </w:pPr>
      <w:r>
        <w:rPr>
          <w:rFonts w:ascii="Times New Roman" w:hAnsi="Times New Roman" w:cs="Times New Roman"/>
          <w:b/>
          <w:bCs/>
        </w:rPr>
        <w:t>4.1 Shock Monitoring: From Indicators to Pathophysiology-guided Regulation</w:t>
      </w:r>
    </w:p>
    <w:p w14:paraId="5E2FF115" w14:textId="77777777" w:rsidR="009514D4" w:rsidRDefault="00D97169">
      <w:pPr>
        <w:ind w:firstLineChars="200" w:firstLine="420"/>
        <w:rPr>
          <w:rFonts w:ascii="Times New Roman" w:hAnsi="Times New Roman" w:cs="Times New Roman"/>
        </w:rPr>
      </w:pPr>
      <w:r>
        <w:rPr>
          <w:rFonts w:ascii="Times New Roman" w:hAnsi="Times New Roman" w:cs="Times New Roman"/>
        </w:rPr>
        <w:t>Monitoring extended beyond vital signs to include pulse pressure (reflecting stroke volume) and CRT/skin mottling (microcirculation indicators)</w:t>
      </w:r>
      <w:r>
        <w:rPr>
          <w:rFonts w:ascii="Times New Roman" w:hAnsi="Times New Roman" w:cs="Times New Roman"/>
        </w:rPr>
        <w:fldChar w:fldCharType="begin"/>
      </w:r>
      <w:r>
        <w:rPr>
          <w:rFonts w:ascii="Times New Roman" w:hAnsi="Times New Roman" w:cs="Times New Roman"/>
        </w:rPr>
        <w:instrText xml:space="preserve"> ADDIN NE.Ref.{525E1332-8E7B-426E-99B0-95A0E79617F7}</w:instrText>
      </w:r>
      <w:r>
        <w:rPr>
          <w:rFonts w:ascii="Times New Roman" w:hAnsi="Times New Roman" w:cs="Times New Roman"/>
        </w:rPr>
        <w:fldChar w:fldCharType="separate"/>
      </w:r>
      <w:r>
        <w:rPr>
          <w:rFonts w:ascii="Times New Roman" w:hAnsi="Times New Roman" w:cs="Times New Roman"/>
          <w:color w:val="080000"/>
          <w:vertAlign w:val="superscript"/>
        </w:rPr>
        <w:t>20,21</w:t>
      </w:r>
      <w:r>
        <w:rPr>
          <w:rFonts w:ascii="Times New Roman" w:hAnsi="Times New Roman" w:cs="Times New Roman"/>
        </w:rPr>
        <w:fldChar w:fldCharType="end"/>
      </w:r>
      <w:r>
        <w:rPr>
          <w:rFonts w:ascii="Times New Roman" w:hAnsi="Times New Roman" w:cs="Times New Roman"/>
        </w:rPr>
        <w:t>. Active participation in restrictive fluid management via pump control and strict balance helped avoid pulmonary edema.</w:t>
      </w:r>
    </w:p>
    <w:p w14:paraId="79C39E60" w14:textId="77777777" w:rsidR="009514D4" w:rsidRDefault="009514D4">
      <w:pPr>
        <w:rPr>
          <w:rFonts w:ascii="Times New Roman" w:hAnsi="Times New Roman" w:cs="Times New Roman"/>
        </w:rPr>
      </w:pPr>
    </w:p>
    <w:p w14:paraId="7F725559" w14:textId="77777777" w:rsidR="009514D4" w:rsidRDefault="00D97169">
      <w:pPr>
        <w:rPr>
          <w:rFonts w:ascii="Times New Roman" w:hAnsi="Times New Roman" w:cs="Times New Roman"/>
          <w:b/>
          <w:bCs/>
        </w:rPr>
      </w:pPr>
      <w:r>
        <w:rPr>
          <w:rFonts w:ascii="Times New Roman" w:hAnsi="Times New Roman" w:cs="Times New Roman"/>
          <w:b/>
          <w:bCs/>
        </w:rPr>
        <w:t xml:space="preserve">4.2 Cardiovascular Care: From Task Execution to Risk-based Management </w:t>
      </w:r>
    </w:p>
    <w:p w14:paraId="4F79BFDE" w14:textId="77777777" w:rsidR="009514D4" w:rsidRDefault="00D97169">
      <w:pPr>
        <w:ind w:firstLineChars="200" w:firstLine="420"/>
        <w:rPr>
          <w:rFonts w:ascii="Times New Roman" w:hAnsi="Times New Roman" w:cs="Times New Roman"/>
        </w:rPr>
      </w:pPr>
      <w:r>
        <w:rPr>
          <w:rFonts w:ascii="Times New Roman" w:hAnsi="Times New Roman" w:cs="Times New Roman"/>
        </w:rPr>
        <w:t>Cardiac protection was holistic: clustered care minimized myocardial oxygen demand; dynamic NT-</w:t>
      </w:r>
      <w:proofErr w:type="spellStart"/>
      <w:r>
        <w:rPr>
          <w:rFonts w:ascii="Times New Roman" w:hAnsi="Times New Roman" w:cs="Times New Roman"/>
        </w:rPr>
        <w:t>proBNP</w:t>
      </w:r>
      <w:proofErr w:type="spellEnd"/>
      <w:r>
        <w:rPr>
          <w:rFonts w:ascii="Times New Roman" w:hAnsi="Times New Roman" w:cs="Times New Roman"/>
        </w:rPr>
        <w:t xml:space="preserve"> tracking provided early efficacy feedbac</w:t>
      </w:r>
      <w:r>
        <w:rPr>
          <w:rFonts w:ascii="Times New Roman" w:hAnsi="Times New Roman" w:cs="Times New Roman"/>
        </w:rPr>
        <w:fldChar w:fldCharType="begin"/>
      </w:r>
      <w:r>
        <w:rPr>
          <w:rFonts w:ascii="Times New Roman" w:hAnsi="Times New Roman" w:cs="Times New Roman"/>
        </w:rPr>
        <w:instrText xml:space="preserve"> ADDIN NE.Ref.{5849096E-5B7F-4489-9479-C670C6932ED4}</w:instrText>
      </w:r>
      <w:r>
        <w:rPr>
          <w:rFonts w:ascii="Times New Roman" w:hAnsi="Times New Roman" w:cs="Times New Roman"/>
        </w:rPr>
        <w:fldChar w:fldCharType="separate"/>
      </w:r>
      <w:r>
        <w:rPr>
          <w:rFonts w:ascii="Times New Roman" w:hAnsi="Times New Roman" w:cs="Times New Roman"/>
          <w:color w:val="080000"/>
          <w:vertAlign w:val="superscript"/>
        </w:rPr>
        <w:t>22</w:t>
      </w:r>
      <w:r>
        <w:rPr>
          <w:rFonts w:ascii="Times New Roman" w:hAnsi="Times New Roman" w:cs="Times New Roman"/>
        </w:rPr>
        <w:fldChar w:fldCharType="end"/>
      </w:r>
      <w:r>
        <w:rPr>
          <w:rFonts w:ascii="Times New Roman" w:hAnsi="Times New Roman" w:cs="Times New Roman"/>
        </w:rPr>
        <w:t>; and pre-discharge family education enabled continuity of care for lifelong coronary risk.</w:t>
      </w:r>
    </w:p>
    <w:p w14:paraId="26CE2ED8" w14:textId="77777777" w:rsidR="009514D4" w:rsidRDefault="009514D4">
      <w:pPr>
        <w:rPr>
          <w:rFonts w:ascii="Times New Roman" w:hAnsi="Times New Roman" w:cs="Times New Roman"/>
        </w:rPr>
      </w:pPr>
    </w:p>
    <w:p w14:paraId="170B2527" w14:textId="77777777" w:rsidR="009514D4" w:rsidRDefault="00D97169">
      <w:pPr>
        <w:rPr>
          <w:rFonts w:ascii="Times New Roman" w:hAnsi="Times New Roman" w:cs="Times New Roman"/>
          <w:b/>
          <w:bCs/>
        </w:rPr>
      </w:pPr>
      <w:r>
        <w:rPr>
          <w:rFonts w:ascii="Times New Roman" w:hAnsi="Times New Roman" w:cs="Times New Roman"/>
          <w:b/>
          <w:bCs/>
        </w:rPr>
        <w:t xml:space="preserve">4.3 Organ Support: From Symptomatic to Multidisciplinary Targeted Care </w:t>
      </w:r>
    </w:p>
    <w:p w14:paraId="0E1A5CAF" w14:textId="77777777" w:rsidR="009514D4" w:rsidRDefault="00D97169">
      <w:pPr>
        <w:ind w:firstLineChars="200" w:firstLine="420"/>
        <w:rPr>
          <w:rFonts w:ascii="Times New Roman" w:hAnsi="Times New Roman" w:cs="Times New Roman"/>
        </w:rPr>
      </w:pPr>
      <w:r>
        <w:rPr>
          <w:rFonts w:ascii="Times New Roman" w:hAnsi="Times New Roman" w:cs="Times New Roman"/>
        </w:rPr>
        <w:t>For liver injury, collaboration with dietetics resulted in a targeted nutritional plan. For rotavirus infection, a standardized contact isolation protocol combined with proactive skin care achieved zero cross-transmission and skin breakdown.</w:t>
      </w:r>
    </w:p>
    <w:p w14:paraId="4A1E47CE" w14:textId="77777777" w:rsidR="009514D4" w:rsidRDefault="009514D4">
      <w:pPr>
        <w:rPr>
          <w:rFonts w:ascii="Times New Roman" w:hAnsi="Times New Roman" w:cs="Times New Roman"/>
        </w:rPr>
      </w:pPr>
    </w:p>
    <w:p w14:paraId="1B226FC8" w14:textId="77777777" w:rsidR="009514D4" w:rsidRDefault="00D97169">
      <w:pPr>
        <w:rPr>
          <w:rFonts w:ascii="Times New Roman" w:hAnsi="Times New Roman" w:cs="Times New Roman"/>
          <w:b/>
          <w:bCs/>
        </w:rPr>
      </w:pPr>
      <w:r>
        <w:rPr>
          <w:rFonts w:ascii="Times New Roman" w:hAnsi="Times New Roman" w:cs="Times New Roman"/>
          <w:b/>
          <w:bCs/>
        </w:rPr>
        <w:t xml:space="preserve">4.4 The Core Value of Holistic Nursing in Critical Pediatric Care  </w:t>
      </w:r>
    </w:p>
    <w:p w14:paraId="4793F315" w14:textId="77777777" w:rsidR="009514D4" w:rsidRDefault="00D97169">
      <w:pPr>
        <w:ind w:firstLineChars="200" w:firstLine="420"/>
        <w:rPr>
          <w:rFonts w:ascii="Times New Roman" w:hAnsi="Times New Roman" w:cs="Times New Roman"/>
        </w:rPr>
      </w:pPr>
      <w:r>
        <w:rPr>
          <w:rFonts w:ascii="Times New Roman" w:hAnsi="Times New Roman" w:cs="Times New Roman"/>
        </w:rPr>
        <w:t>The holistic model</w:t>
      </w:r>
      <w:r>
        <w:rPr>
          <w:rFonts w:ascii="Times New Roman" w:hAnsi="Times New Roman" w:cs="Times New Roman"/>
        </w:rPr>
        <w:fldChar w:fldCharType="begin"/>
      </w:r>
      <w:r>
        <w:rPr>
          <w:rFonts w:ascii="Times New Roman" w:hAnsi="Times New Roman" w:cs="Times New Roman"/>
        </w:rPr>
        <w:instrText xml:space="preserve"> ADDIN NE.Ref.{31DA9F1E-C11B-4688-B1EC-3033F781C58D}</w:instrText>
      </w:r>
      <w:r>
        <w:rPr>
          <w:rFonts w:ascii="Times New Roman" w:hAnsi="Times New Roman" w:cs="Times New Roman"/>
        </w:rPr>
        <w:fldChar w:fldCharType="separate"/>
      </w:r>
      <w:r>
        <w:rPr>
          <w:rFonts w:ascii="Times New Roman" w:hAnsi="Times New Roman" w:cs="Times New Roman"/>
          <w:color w:val="080000"/>
          <w:vertAlign w:val="superscript"/>
        </w:rPr>
        <w:t>23</w:t>
      </w:r>
      <w:r>
        <w:rPr>
          <w:rFonts w:ascii="Times New Roman" w:hAnsi="Times New Roman" w:cs="Times New Roman"/>
        </w:rPr>
        <w:fldChar w:fldCharType="end"/>
      </w:r>
      <w:r>
        <w:rPr>
          <w:rFonts w:ascii="Times New Roman" w:hAnsi="Times New Roman" w:cs="Times New Roman"/>
        </w:rPr>
        <w:t>, centered on the patient and integrating physiological, psychological, and social needs, proved essential. The nursing role evolved from order executor to safety guardian, first assessor, team coordinator, and educator. Seamless transition to structured home follow-up was decisive for long-term prognosis.</w:t>
      </w:r>
    </w:p>
    <w:p w14:paraId="5859B3B3" w14:textId="77777777" w:rsidR="009514D4" w:rsidRDefault="009514D4">
      <w:pPr>
        <w:ind w:firstLineChars="200" w:firstLine="420"/>
        <w:rPr>
          <w:rFonts w:ascii="Times New Roman" w:hAnsi="Times New Roman" w:cs="Times New Roman"/>
        </w:rPr>
      </w:pPr>
    </w:p>
    <w:p w14:paraId="6E528D16" w14:textId="77777777" w:rsidR="009514D4" w:rsidRDefault="00D97169">
      <w:pPr>
        <w:rPr>
          <w:rFonts w:ascii="Times New Roman" w:hAnsi="Times New Roman" w:cs="Times New Roman"/>
          <w:b/>
          <w:bCs/>
        </w:rPr>
      </w:pPr>
      <w:r>
        <w:rPr>
          <w:rFonts w:ascii="Times New Roman" w:hAnsi="Times New Roman" w:cs="Times New Roman"/>
          <w:b/>
          <w:bCs/>
        </w:rPr>
        <w:t>4.5 Added Value of the Holistic Care Model Compared to Traditional Nursing Measures</w:t>
      </w:r>
    </w:p>
    <w:p w14:paraId="2964284C"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Compared to traditional nursing practices, the systematic holistic nursing model implemented in this case demonstrates significant added value across multiple dimensions. At the monitoring level, traditional nursing primarily focuses on routine vital sign recording and order execution, whereas this model emphasizes pathophysiology-based precision monitoring (e.g., pulse pressure difference, capillary refill time), achieving a shift from “data recording” to “trend analysis and early warning.” At the intervention level, traditional nursing often involves reactive management of existing symptoms. This model achieves a leap from “passive response” to “proactive prevention and control” through anticipatory care (e.g., early fluid management strategies for shock, long-term coronary artery disease education) and targeted interventions (e.g., collaborative development of liver injury support protocols with the nutrition department). At the collaboration level, holistic nursing breaks down departmental silos. Through nursing-led multidisciplinary coordination (e.g., with clinical nutrition), it delivers integrated care for pediatric patients. In management scope, traditional nursing often remains confined to the hospital setting. This model, however, establishes a seamless continuity of care chain between hospital and home through structured follow-up plans, family empowerment, and remote support. Therefore, for extremely complex cases like </w:t>
      </w:r>
      <w:r>
        <w:rPr>
          <w:rFonts w:ascii="Times New Roman" w:hAnsi="Times New Roman" w:cs="Times New Roman" w:hint="eastAsia"/>
        </w:rPr>
        <w:t>IVIG-unresponsive</w:t>
      </w:r>
      <w:r>
        <w:rPr>
          <w:rFonts w:ascii="Times New Roman" w:hAnsi="Times New Roman" w:cs="Times New Roman"/>
        </w:rPr>
        <w:t xml:space="preserve"> KDSS, the holistic nursing model effectively addresses the limitations of traditional segmented, task-oriented care through its systematic, proactive, collaborative, and continuous approach. This model is crucial for improving both the immediate </w:t>
      </w:r>
      <w:r>
        <w:rPr>
          <w:rFonts w:ascii="Times New Roman" w:hAnsi="Times New Roman" w:cs="Times New Roman"/>
        </w:rPr>
        <w:lastRenderedPageBreak/>
        <w:t>therapeutic outcomes and long-term prognosis of pediatric patients.</w:t>
      </w:r>
    </w:p>
    <w:p w14:paraId="22BA6B80" w14:textId="77777777" w:rsidR="009514D4" w:rsidRDefault="009514D4">
      <w:pPr>
        <w:ind w:firstLineChars="200" w:firstLine="420"/>
        <w:rPr>
          <w:rFonts w:ascii="Times New Roman" w:hAnsi="Times New Roman" w:cs="Times New Roman"/>
        </w:rPr>
      </w:pPr>
    </w:p>
    <w:p w14:paraId="71F27A0C" w14:textId="77777777" w:rsidR="009514D4" w:rsidRDefault="00D97169">
      <w:pPr>
        <w:rPr>
          <w:rFonts w:ascii="Times New Roman" w:hAnsi="Times New Roman" w:cs="Times New Roman"/>
          <w:b/>
          <w:bCs/>
        </w:rPr>
      </w:pPr>
      <w:r>
        <w:rPr>
          <w:rFonts w:ascii="Times New Roman" w:hAnsi="Times New Roman" w:cs="Times New Roman"/>
          <w:b/>
          <w:bCs/>
        </w:rPr>
        <w:t xml:space="preserve">5 </w:t>
      </w:r>
      <w:commentRangeStart w:id="9"/>
      <w:r>
        <w:rPr>
          <w:rFonts w:ascii="Times New Roman" w:hAnsi="Times New Roman" w:cs="Times New Roman"/>
          <w:b/>
          <w:bCs/>
        </w:rPr>
        <w:t>Conclusion</w:t>
      </w:r>
      <w:commentRangeEnd w:id="9"/>
      <w:r w:rsidR="008C1764">
        <w:rPr>
          <w:rStyle w:val="CommentReference"/>
        </w:rPr>
        <w:commentReference w:id="9"/>
      </w:r>
      <w:r>
        <w:rPr>
          <w:rFonts w:ascii="Times New Roman" w:hAnsi="Times New Roman" w:cs="Times New Roman"/>
          <w:b/>
          <w:bCs/>
        </w:rPr>
        <w:t xml:space="preserve">  </w:t>
      </w:r>
    </w:p>
    <w:p w14:paraId="2C9B7845"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Managing </w:t>
      </w:r>
      <w:r>
        <w:rPr>
          <w:rFonts w:ascii="Times New Roman" w:hAnsi="Times New Roman" w:cs="Times New Roman" w:hint="eastAsia"/>
        </w:rPr>
        <w:t>IVIG-unresponsive</w:t>
      </w:r>
      <w:r>
        <w:rPr>
          <w:rFonts w:ascii="Times New Roman" w:hAnsi="Times New Roman" w:cs="Times New Roman"/>
        </w:rPr>
        <w:t xml:space="preserve"> KDSS is a complex nursing endeavor. This case, characterized by rapid progression and multiorgan involvement, was successfully managed through an integrated holistic care loop encompassing advanced monitoring, proactive complication prevention, targeted organ support, meticulous symptom control, precision medication, and comprehensive psychosocial care. Crucially, establishing a structured long-term follow-up system is key to safeguarding cardiac health. This report provides a systematic, reproducible practice framework for nursing such critically ill children.</w:t>
      </w:r>
    </w:p>
    <w:p w14:paraId="7E6C6113" w14:textId="77777777" w:rsidR="00B570B9" w:rsidRDefault="00D97169">
      <w:pPr>
        <w:ind w:firstLineChars="200" w:firstLine="420"/>
        <w:rPr>
          <w:rFonts w:ascii="Times New Roman" w:hAnsi="Times New Roman" w:cs="Times New Roman"/>
        </w:rPr>
      </w:pPr>
      <w:r>
        <w:rPr>
          <w:rFonts w:ascii="Times New Roman" w:hAnsi="Times New Roman" w:cs="Times New Roman"/>
        </w:rPr>
        <w:t xml:space="preserve">This study, as a single case report, provides a detailed summary of individualized nursing experiences but remains subject to certain limitations. First, the findings from a single case observation cannot be generalized to all children with </w:t>
      </w:r>
      <w:r>
        <w:rPr>
          <w:rFonts w:ascii="Times New Roman" w:hAnsi="Times New Roman" w:cs="Times New Roman" w:hint="eastAsia"/>
        </w:rPr>
        <w:t>IVIG-unresponsive</w:t>
      </w:r>
      <w:r>
        <w:rPr>
          <w:rFonts w:ascii="Times New Roman" w:hAnsi="Times New Roman" w:cs="Times New Roman"/>
        </w:rPr>
        <w:t xml:space="preserve"> KDSS; the efficacy of the nursing interventions requires further validation in larger-scale studies. Second, the success of the nursing measures resulted from the combined effects of comprehensive treatment and nursing interventions, making it challenging to fully isolate and quantify the precise contribution of each individual nursing intervention. Future research should include multicenter, prospective cohort studies or controlled trials to validate and optimize comprehensive care protocols for critically ill patients through higher-level evidence-based evidence.</w:t>
      </w:r>
    </w:p>
    <w:p w14:paraId="6D2B993E" w14:textId="77777777" w:rsidR="00B570B9" w:rsidRDefault="00B570B9">
      <w:pPr>
        <w:ind w:firstLineChars="200" w:firstLine="420"/>
        <w:rPr>
          <w:rFonts w:ascii="Times New Roman" w:hAnsi="Times New Roman" w:cs="Times New Roman"/>
        </w:rPr>
      </w:pPr>
    </w:p>
    <w:p w14:paraId="061EAB4B" w14:textId="77777777" w:rsidR="00B570B9" w:rsidRPr="00B570B9" w:rsidRDefault="00B570B9" w:rsidP="00B570B9">
      <w:pPr>
        <w:widowControl/>
        <w:spacing w:after="200" w:line="276" w:lineRule="auto"/>
        <w:outlineLvl w:val="0"/>
        <w:rPr>
          <w:rFonts w:ascii="Arial" w:eastAsia="Times New Roman" w:hAnsi="Arial" w:cs="Arial"/>
          <w:kern w:val="0"/>
          <w:sz w:val="22"/>
          <w:szCs w:val="22"/>
          <w:lang w:val="en-GB" w:eastAsia="en-GB"/>
        </w:rPr>
      </w:pPr>
      <w:r w:rsidRPr="00B570B9">
        <w:rPr>
          <w:rFonts w:ascii="Arial" w:eastAsia="Times New Roman" w:hAnsi="Arial" w:cs="Arial"/>
          <w:b/>
          <w:bCs/>
          <w:kern w:val="0"/>
          <w:sz w:val="22"/>
          <w:szCs w:val="22"/>
          <w:lang w:val="en-GB" w:eastAsia="en-GB"/>
        </w:rPr>
        <w:t>COMPETING INTERESTS DISCLAIMER:</w:t>
      </w:r>
    </w:p>
    <w:p w14:paraId="619E12A4" w14:textId="77777777" w:rsidR="00B570B9" w:rsidRPr="00B570B9" w:rsidRDefault="00B570B9" w:rsidP="00B570B9">
      <w:pPr>
        <w:widowControl/>
        <w:spacing w:after="200" w:line="276" w:lineRule="auto"/>
        <w:jc w:val="left"/>
        <w:rPr>
          <w:rFonts w:ascii="Calibri" w:eastAsia="Times New Roman" w:hAnsi="Calibri" w:cs="Times New Roman"/>
          <w:kern w:val="0"/>
          <w:sz w:val="22"/>
          <w:szCs w:val="22"/>
          <w:lang w:val="en-GB" w:eastAsia="en-GB"/>
        </w:rPr>
      </w:pPr>
      <w:r w:rsidRPr="00B570B9">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80A694F" w14:textId="1ED504F3" w:rsidR="009514D4" w:rsidRDefault="00D97169">
      <w:pPr>
        <w:ind w:firstLineChars="200" w:firstLine="360"/>
        <w:rPr>
          <w:rFonts w:ascii="Times New Roman" w:hAnsi="Times New Roman" w:cs="Times New Roman"/>
          <w:sz w:val="24"/>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NE.Rep</w:instrText>
      </w:r>
      <w:r>
        <w:rPr>
          <w:rFonts w:ascii="Times New Roman" w:hAnsi="Times New Roman" w:cs="Times New Roman"/>
          <w:sz w:val="18"/>
          <w:szCs w:val="18"/>
        </w:rPr>
        <w:fldChar w:fldCharType="separate"/>
      </w:r>
    </w:p>
    <w:p w14:paraId="534FCFFF" w14:textId="77777777" w:rsidR="009514D4" w:rsidRDefault="00D97169">
      <w:pPr>
        <w:jc w:val="left"/>
        <w:rPr>
          <w:rFonts w:ascii="Times New Roman" w:hAnsi="Times New Roman" w:cs="Times New Roman"/>
          <w:sz w:val="18"/>
          <w:szCs w:val="18"/>
        </w:rPr>
      </w:pPr>
      <w:r>
        <w:rPr>
          <w:rFonts w:ascii="Times New Roman" w:hAnsi="Times New Roman" w:cs="Times New Roman"/>
          <w:sz w:val="18"/>
          <w:szCs w:val="18"/>
        </w:rPr>
        <w:fldChar w:fldCharType="end"/>
      </w:r>
    </w:p>
    <w:p w14:paraId="666E3B48" w14:textId="77777777" w:rsidR="009514D4" w:rsidRDefault="00D97169">
      <w:pPr>
        <w:jc w:val="left"/>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ADDIN NE.Bib</w:instrText>
      </w:r>
      <w:r>
        <w:rPr>
          <w:rFonts w:ascii="Times New Roman" w:hAnsi="Times New Roman" w:cs="Times New Roman"/>
          <w:szCs w:val="21"/>
        </w:rPr>
        <w:fldChar w:fldCharType="separate"/>
      </w:r>
    </w:p>
    <w:p w14:paraId="2E7D0D70" w14:textId="77777777" w:rsidR="009514D4" w:rsidRDefault="00D97169">
      <w:pPr>
        <w:jc w:val="center"/>
        <w:rPr>
          <w:rFonts w:ascii="Times New Roman" w:eastAsia="Times New Roman" w:hAnsi="Times New Roman" w:cs="Times New Roman"/>
          <w:b/>
          <w:color w:val="000000"/>
          <w:szCs w:val="21"/>
        </w:rPr>
      </w:pPr>
      <w:r>
        <w:rPr>
          <w:rFonts w:ascii="Times New Roman" w:eastAsia="Times New Roman" w:hAnsi="Times New Roman" w:cs="Times New Roman"/>
          <w:b/>
          <w:color w:val="000000"/>
          <w:szCs w:val="21"/>
        </w:rPr>
        <w:t>References:</w:t>
      </w:r>
    </w:p>
    <w:p w14:paraId="09A2CB06" w14:textId="77777777" w:rsidR="009514D4" w:rsidRDefault="009514D4">
      <w:pPr>
        <w:jc w:val="center"/>
        <w:rPr>
          <w:rFonts w:ascii="Times New Roman" w:eastAsia="Times New Roman" w:hAnsi="Times New Roman" w:cs="Times New Roman"/>
          <w:b/>
          <w:color w:val="000000"/>
          <w:szCs w:val="21"/>
        </w:rPr>
      </w:pPr>
    </w:p>
    <w:p w14:paraId="0AFF4B5D" w14:textId="1FC0C870"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 1. Houska N, Albertz M, Ing RJ. Update on Diagnosis and Management of Kawasaki Disease: A Scientific Statement From the American Heart Association. </w:t>
      </w:r>
      <w:r>
        <w:rPr>
          <w:rFonts w:ascii="Times New Roman" w:eastAsia="Times New Roman" w:hAnsi="Times New Roman" w:cs="Times New Roman"/>
          <w:i/>
          <w:color w:val="000000"/>
          <w:szCs w:val="21"/>
        </w:rPr>
        <w:t>J Cardiothorac Vasc Anesth</w:t>
      </w:r>
      <w:r>
        <w:rPr>
          <w:rFonts w:ascii="Times New Roman" w:eastAsia="Times New Roman" w:hAnsi="Times New Roman" w:cs="Times New Roman"/>
          <w:color w:val="000000"/>
          <w:szCs w:val="21"/>
        </w:rPr>
        <w:t>. 2025;39(5):1103-1105</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https://doi.org/10.1053/j.jvca.2025.02.007</w:t>
      </w:r>
      <w:r w:rsidR="00CB43D0">
        <w:rPr>
          <w:rFonts w:ascii="Times New Roman" w:eastAsia="Times New Roman" w:hAnsi="Times New Roman" w:cs="Times New Roman"/>
          <w:color w:val="000000"/>
          <w:szCs w:val="21"/>
        </w:rPr>
        <w:t xml:space="preserve"> </w:t>
      </w:r>
    </w:p>
    <w:p w14:paraId="6306874B" w14:textId="5A3CB684"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 2. Zhao Z, Yuan Y, Gao L et al. Predicting Kawasaki disease shock syndrome in children. </w:t>
      </w:r>
      <w:r>
        <w:rPr>
          <w:rFonts w:ascii="Times New Roman" w:eastAsia="Times New Roman" w:hAnsi="Times New Roman" w:cs="Times New Roman"/>
          <w:i/>
          <w:color w:val="000000"/>
          <w:szCs w:val="21"/>
        </w:rPr>
        <w:t>Front Immunol</w:t>
      </w:r>
      <w:r>
        <w:rPr>
          <w:rFonts w:ascii="Times New Roman" w:eastAsia="Times New Roman" w:hAnsi="Times New Roman" w:cs="Times New Roman"/>
          <w:color w:val="000000"/>
          <w:szCs w:val="21"/>
        </w:rPr>
        <w:t>. 2024;15:1400046-1400046</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https://doi.org/10.3389/fimmu.2024.1400046</w:t>
      </w:r>
      <w:r w:rsidR="00CB43D0">
        <w:rPr>
          <w:rFonts w:ascii="Times New Roman" w:eastAsia="Times New Roman" w:hAnsi="Times New Roman" w:cs="Times New Roman"/>
          <w:color w:val="000000"/>
          <w:szCs w:val="21"/>
        </w:rPr>
        <w:t xml:space="preserve"> </w:t>
      </w:r>
    </w:p>
    <w:p w14:paraId="1999730D" w14:textId="2251B466"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 3. Broderick C, Kobayashi S, Suto M, Ito S, Kobayashi T. Intravenous immunoglobulin for the treatment of Kawasaki disease. </w:t>
      </w:r>
      <w:r>
        <w:rPr>
          <w:rFonts w:ascii="Times New Roman" w:eastAsia="Times New Roman" w:hAnsi="Times New Roman" w:cs="Times New Roman"/>
          <w:i/>
          <w:color w:val="000000"/>
          <w:szCs w:val="21"/>
        </w:rPr>
        <w:t>The Cochrane database of systematic reviews</w:t>
      </w:r>
      <w:r>
        <w:rPr>
          <w:rFonts w:ascii="Times New Roman" w:eastAsia="Times New Roman" w:hAnsi="Times New Roman" w:cs="Times New Roman"/>
          <w:color w:val="000000"/>
          <w:szCs w:val="21"/>
        </w:rPr>
        <w:t>. 2023;1(1):CD014884-CD014884</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https://doi.org/10.1002/14651858.CD014884.pub2</w:t>
      </w:r>
      <w:r w:rsidR="00CB43D0">
        <w:rPr>
          <w:rFonts w:ascii="Times New Roman" w:eastAsia="Times New Roman" w:hAnsi="Times New Roman" w:cs="Times New Roman"/>
          <w:color w:val="000000"/>
          <w:szCs w:val="21"/>
        </w:rPr>
        <w:t xml:space="preserve"> </w:t>
      </w:r>
    </w:p>
    <w:p w14:paraId="476C612B" w14:textId="00091759"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 4. Yi C, Xue D, Chen J et al. Predictive value of novel nutritional inflammation indexes in IVIG-unresponsive Kawasaki disease: a retrospective study. </w:t>
      </w:r>
      <w:r>
        <w:rPr>
          <w:rFonts w:ascii="Times New Roman" w:eastAsia="Times New Roman" w:hAnsi="Times New Roman" w:cs="Times New Roman"/>
          <w:i/>
          <w:color w:val="000000"/>
          <w:szCs w:val="21"/>
        </w:rPr>
        <w:t>Front Nutr</w:t>
      </w:r>
      <w:r>
        <w:rPr>
          <w:rFonts w:ascii="Times New Roman" w:eastAsia="Times New Roman" w:hAnsi="Times New Roman" w:cs="Times New Roman"/>
          <w:color w:val="000000"/>
          <w:szCs w:val="21"/>
        </w:rPr>
        <w:t>. 2025;12:1651750-1651750</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https://doi.org/10.3389/fnut.2025.1651750</w:t>
      </w:r>
      <w:r w:rsidR="00CB43D0">
        <w:rPr>
          <w:rFonts w:ascii="Times New Roman" w:eastAsia="Times New Roman" w:hAnsi="Times New Roman" w:cs="Times New Roman"/>
          <w:color w:val="000000"/>
          <w:szCs w:val="21"/>
        </w:rPr>
        <w:t xml:space="preserve"> </w:t>
      </w:r>
    </w:p>
    <w:p w14:paraId="7CA8735C" w14:textId="7D35C99C"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5. H</w:t>
      </w:r>
      <w:r w:rsidRPr="00D97169">
        <w:t xml:space="preserve"> </w:t>
      </w:r>
      <w:r w:rsidRPr="00D97169">
        <w:rPr>
          <w:rFonts w:ascii="Times New Roman" w:eastAsia="Times New Roman" w:hAnsi="Times New Roman" w:cs="Times New Roman"/>
          <w:color w:val="000000"/>
          <w:szCs w:val="21"/>
        </w:rPr>
        <w:t xml:space="preserve">Huang, Y., Li, S., Tian, Y., et al. (2023). Evidence-based guidelines for the diagnosis and treatment of Kawasaki disease in children in China (2023). Chinese Journal of Contemporary </w:t>
      </w:r>
      <w:r w:rsidRPr="00D97169">
        <w:rPr>
          <w:rFonts w:ascii="Times New Roman" w:eastAsia="Times New Roman" w:hAnsi="Times New Roman" w:cs="Times New Roman"/>
          <w:color w:val="000000"/>
          <w:szCs w:val="21"/>
        </w:rPr>
        <w:lastRenderedPageBreak/>
        <w:t>Pediatrics, 25(12), 1198-1210. https://doi.org/10.7499/j.issn.1008-8830.2309038</w:t>
      </w:r>
      <w:r>
        <w:rPr>
          <w:rFonts w:ascii="Times New Roman" w:eastAsia="Times New Roman" w:hAnsi="Times New Roman" w:cs="Times New Roman"/>
          <w:color w:val="000000"/>
          <w:szCs w:val="21"/>
        </w:rPr>
        <w:t xml:space="preserve"> .</w:t>
      </w:r>
    </w:p>
    <w:p w14:paraId="75682F6B" w14:textId="164D7626"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6. Zuo Huiwen. Clinical Characteristics and Risk Factor Analysis of IVIG-Nonresponsive Kawasaki Disease [D]. </w:t>
      </w:r>
      <w:r>
        <w:rPr>
          <w:rFonts w:ascii="Times New Roman" w:eastAsia="Times New Roman" w:hAnsi="Times New Roman" w:cs="Times New Roman"/>
          <w:i/>
          <w:iCs/>
          <w:color w:val="000000"/>
          <w:szCs w:val="21"/>
        </w:rPr>
        <w:t>Chongqing Medical University</w:t>
      </w:r>
      <w:r>
        <w:rPr>
          <w:rFonts w:ascii="Times New Roman" w:eastAsia="Times New Roman" w:hAnsi="Times New Roman" w:cs="Times New Roman"/>
          <w:color w:val="000000"/>
          <w:szCs w:val="21"/>
        </w:rPr>
        <w:t>, 2023. DOI: 10.27674/d.cnki.gcyku.2023.002196.</w:t>
      </w:r>
    </w:p>
    <w:p w14:paraId="29B780D2" w14:textId="3D1AF0A1"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7.Zhao Zhihui, Yuan Yue, Gao Lu, et al. Risk Factor Analysis of Kawasaki Disease Shock Syndrome [J]. </w:t>
      </w:r>
      <w:r>
        <w:rPr>
          <w:rFonts w:ascii="Times New Roman" w:eastAsia="Times New Roman" w:hAnsi="Times New Roman" w:cs="Times New Roman"/>
          <w:i/>
          <w:iCs/>
          <w:color w:val="000000"/>
          <w:szCs w:val="21"/>
        </w:rPr>
        <w:t>Journal of Cardiovascular and Pulmonary Diseases</w:t>
      </w:r>
      <w:r>
        <w:rPr>
          <w:rFonts w:ascii="Times New Roman" w:eastAsia="Times New Roman" w:hAnsi="Times New Roman" w:cs="Times New Roman"/>
          <w:color w:val="000000"/>
          <w:szCs w:val="21"/>
        </w:rPr>
        <w:t>, 2025, 44(04): 370-374+408.</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https://doi.org/10.3389/fimmu.2024.1400046</w:t>
      </w:r>
      <w:r w:rsidR="00CB43D0">
        <w:rPr>
          <w:rFonts w:ascii="Times New Roman" w:eastAsia="Times New Roman" w:hAnsi="Times New Roman" w:cs="Times New Roman"/>
          <w:color w:val="000000"/>
          <w:szCs w:val="21"/>
        </w:rPr>
        <w:t xml:space="preserve"> </w:t>
      </w:r>
    </w:p>
    <w:p w14:paraId="16D4DA37" w14:textId="507CB1DA"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8.Gao Wanjun, Hu Yueshuang, Bao Tian, et al. Application Value of Holistic Nursing in the Care of Perinatal Pneumonia Patients [J]. </w:t>
      </w:r>
      <w:r>
        <w:rPr>
          <w:rFonts w:ascii="Times New Roman" w:eastAsia="Times New Roman" w:hAnsi="Times New Roman" w:cs="Times New Roman"/>
          <w:i/>
          <w:iCs/>
          <w:color w:val="000000"/>
          <w:szCs w:val="21"/>
        </w:rPr>
        <w:t>Chinese Journal of Tuberculosis and Respiratory Diseases</w:t>
      </w:r>
      <w:r>
        <w:rPr>
          <w:rFonts w:ascii="Times New Roman" w:eastAsia="Times New Roman" w:hAnsi="Times New Roman" w:cs="Times New Roman"/>
          <w:color w:val="000000"/>
          <w:szCs w:val="21"/>
        </w:rPr>
        <w:t>, 2024, 46(S2): 452-454.</w:t>
      </w:r>
    </w:p>
    <w:p w14:paraId="7FADFE37" w14:textId="53563726"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9.Chang Hongli. Clinical Characteristics and Analysis of Related Risk Factors for Pediatric Kawasaki Disease Shock Syndrome [D]. </w:t>
      </w:r>
      <w:r>
        <w:rPr>
          <w:rFonts w:ascii="Times New Roman" w:eastAsia="Times New Roman" w:hAnsi="Times New Roman" w:cs="Times New Roman"/>
          <w:i/>
          <w:iCs/>
          <w:color w:val="000000"/>
          <w:szCs w:val="21"/>
        </w:rPr>
        <w:t>Henan University</w:t>
      </w:r>
      <w:r>
        <w:rPr>
          <w:rFonts w:ascii="Times New Roman" w:eastAsia="Times New Roman" w:hAnsi="Times New Roman" w:cs="Times New Roman"/>
          <w:color w:val="000000"/>
          <w:szCs w:val="21"/>
        </w:rPr>
        <w:t>, 2024. DOI:10.27114/d.cnki.ghnau.2024.002556.</w:t>
      </w:r>
    </w:p>
    <w:p w14:paraId="57023C41" w14:textId="0BF9D163"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10.Yang Xi. Meta-Analysis Comparing Clinical Features and Laboratory Indicators Between Kawasaki Disease Shock Syndrome and Non-Shock Kawasaki Disease [D]. </w:t>
      </w:r>
      <w:r>
        <w:rPr>
          <w:rFonts w:ascii="Times New Roman" w:eastAsia="Times New Roman" w:hAnsi="Times New Roman" w:cs="Times New Roman"/>
          <w:i/>
          <w:iCs/>
          <w:color w:val="000000"/>
          <w:szCs w:val="21"/>
        </w:rPr>
        <w:t>Nanchang University</w:t>
      </w:r>
      <w:r>
        <w:rPr>
          <w:rFonts w:ascii="Times New Roman" w:eastAsia="Times New Roman" w:hAnsi="Times New Roman" w:cs="Times New Roman"/>
          <w:color w:val="000000"/>
          <w:szCs w:val="21"/>
        </w:rPr>
        <w:t>, 2025. DOI:10.27232/d.cnki.gnchu.2025.001019.</w:t>
      </w:r>
    </w:p>
    <w:p w14:paraId="4DAB781E" w14:textId="20CC860A"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11. Li Weifeng, Li Huibin. Research Progress on Early Fluid Resuscitation in Severe Burns [J]. </w:t>
      </w:r>
      <w:r>
        <w:rPr>
          <w:rFonts w:ascii="Times New Roman" w:eastAsia="Times New Roman" w:hAnsi="Times New Roman" w:cs="Times New Roman"/>
          <w:i/>
          <w:iCs/>
          <w:color w:val="000000"/>
          <w:szCs w:val="21"/>
        </w:rPr>
        <w:t>Journal of Shandong Medical College</w:t>
      </w:r>
      <w:r>
        <w:rPr>
          <w:rFonts w:ascii="Times New Roman" w:eastAsia="Times New Roman" w:hAnsi="Times New Roman" w:cs="Times New Roman"/>
          <w:color w:val="000000"/>
          <w:szCs w:val="21"/>
        </w:rPr>
        <w:t>, 2022, 44(03): 193-195.</w:t>
      </w:r>
    </w:p>
    <w:p w14:paraId="0ED7CE01" w14:textId="41C55650"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12. Fang Lan. Clinical Study on Left Ventricular Diastolic Function in Children with Acute Kawasaki Disease and Discussion on Risk Factors for Concurrent Coronary Artery Lesions [D]. </w:t>
      </w:r>
      <w:r>
        <w:rPr>
          <w:rFonts w:ascii="Times New Roman" w:eastAsia="Times New Roman" w:hAnsi="Times New Roman" w:cs="Times New Roman"/>
          <w:i/>
          <w:iCs/>
          <w:color w:val="000000"/>
          <w:szCs w:val="21"/>
        </w:rPr>
        <w:t>Hebei North University</w:t>
      </w:r>
      <w:r>
        <w:rPr>
          <w:rFonts w:ascii="Times New Roman" w:eastAsia="Times New Roman" w:hAnsi="Times New Roman" w:cs="Times New Roman"/>
          <w:color w:val="000000"/>
          <w:szCs w:val="21"/>
        </w:rPr>
        <w:t>, 2024. DOI: 10.27767/d.cnki.ghbbf.2024.000384.</w:t>
      </w:r>
    </w:p>
    <w:p w14:paraId="2100E902" w14:textId="23294596"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13. Wang Chao, Fu Qiuai, Wang Huihao, et al. Evaluation of Serum AFABP and NT-proBNP in Risk Stratification and Short-term Prognosis of Chronic Heart Failure [J]. </w:t>
      </w:r>
      <w:r>
        <w:rPr>
          <w:rFonts w:ascii="Times New Roman" w:eastAsia="Times New Roman" w:hAnsi="Times New Roman" w:cs="Times New Roman"/>
          <w:i/>
          <w:iCs/>
          <w:color w:val="000000"/>
          <w:szCs w:val="21"/>
        </w:rPr>
        <w:t>Laboratory Medicine and Clinical</w:t>
      </w:r>
      <w:r>
        <w:rPr>
          <w:rFonts w:ascii="Times New Roman" w:eastAsia="Times New Roman" w:hAnsi="Times New Roman" w:cs="Times New Roman"/>
          <w:color w:val="000000"/>
          <w:szCs w:val="21"/>
        </w:rPr>
        <w:t>, 2025, 22(14):1920-1925.</w:t>
      </w:r>
    </w:p>
    <w:p w14:paraId="7C8FD03D" w14:textId="32DD6067"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14. Sun Chongrui. Kawasaki Disease Shock Syndrome with Multisystem Dysfunction Presenting as Acute Pancreatitis (A Case Report) [J]. </w:t>
      </w:r>
      <w:r>
        <w:rPr>
          <w:rFonts w:ascii="Times New Roman" w:eastAsia="Times New Roman" w:hAnsi="Times New Roman" w:cs="Times New Roman"/>
          <w:i/>
          <w:iCs/>
          <w:color w:val="000000"/>
          <w:szCs w:val="21"/>
        </w:rPr>
        <w:t>Shandong Medicine</w:t>
      </w:r>
      <w:r>
        <w:rPr>
          <w:rFonts w:ascii="Times New Roman" w:eastAsia="Times New Roman" w:hAnsi="Times New Roman" w:cs="Times New Roman"/>
          <w:color w:val="000000"/>
          <w:szCs w:val="21"/>
        </w:rPr>
        <w:t>, 2025, 65(09):70-75.</w:t>
      </w:r>
    </w:p>
    <w:p w14:paraId="089B0944" w14:textId="13AA1299"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15. Wang Ling, Ma Qianqian. Mechanism of Aspirin Treatment for Pediatric Kawasaki Disease [J]. </w:t>
      </w:r>
      <w:r>
        <w:rPr>
          <w:rFonts w:ascii="Times New Roman" w:eastAsia="Times New Roman" w:hAnsi="Times New Roman" w:cs="Times New Roman"/>
          <w:i/>
          <w:iCs/>
          <w:color w:val="000000"/>
          <w:szCs w:val="21"/>
        </w:rPr>
        <w:t>Journal of Northwest Pharmaceutical Sciences</w:t>
      </w:r>
      <w:r>
        <w:rPr>
          <w:rFonts w:ascii="Times New Roman" w:eastAsia="Times New Roman" w:hAnsi="Times New Roman" w:cs="Times New Roman"/>
          <w:color w:val="000000"/>
          <w:szCs w:val="21"/>
        </w:rPr>
        <w:t>, 2024, 39(06):184-188.</w:t>
      </w:r>
    </w:p>
    <w:p w14:paraId="1FC79E66" w14:textId="1155C144"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16. Li B, Liu X, Shao S et al. Predictive value of coagulation profiles for Kawasaki disease shock syndrome: a prospective cohort study. </w:t>
      </w:r>
      <w:r>
        <w:rPr>
          <w:rFonts w:ascii="Times New Roman" w:eastAsia="Times New Roman" w:hAnsi="Times New Roman" w:cs="Times New Roman"/>
          <w:i/>
          <w:color w:val="000000"/>
          <w:szCs w:val="21"/>
        </w:rPr>
        <w:t>Front Pediatr</w:t>
      </w:r>
      <w:r>
        <w:rPr>
          <w:rFonts w:ascii="Times New Roman" w:eastAsia="Times New Roman" w:hAnsi="Times New Roman" w:cs="Times New Roman"/>
          <w:color w:val="000000"/>
          <w:szCs w:val="21"/>
        </w:rPr>
        <w:t>. 2024;12:1450710-1450710</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https://doi.org/10.3389/fped.2024.1450710</w:t>
      </w:r>
      <w:r w:rsidR="00CB43D0">
        <w:rPr>
          <w:rFonts w:ascii="Times New Roman" w:eastAsia="Times New Roman" w:hAnsi="Times New Roman" w:cs="Times New Roman"/>
          <w:color w:val="000000"/>
          <w:szCs w:val="21"/>
        </w:rPr>
        <w:t xml:space="preserve"> </w:t>
      </w:r>
    </w:p>
    <w:p w14:paraId="02AC6D04" w14:textId="6CB52BD6"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17.Du Zhongdong, Xie Lijian, Liu Shiping, et al. Pediatric Expert Consensus on Aspirin Use in Kawasaki Disease Treatment [J].</w:t>
      </w:r>
      <w:r>
        <w:rPr>
          <w:rFonts w:ascii="Times New Roman" w:eastAsia="Times New Roman" w:hAnsi="Times New Roman" w:cs="Times New Roman"/>
          <w:i/>
          <w:iCs/>
          <w:color w:val="000000"/>
          <w:szCs w:val="21"/>
        </w:rPr>
        <w:t xml:space="preserve"> Chinese Journal of Contemporary Pediatrics</w:t>
      </w:r>
      <w:r>
        <w:rPr>
          <w:rFonts w:ascii="Times New Roman" w:eastAsia="Times New Roman" w:hAnsi="Times New Roman" w:cs="Times New Roman"/>
          <w:color w:val="000000"/>
          <w:szCs w:val="21"/>
        </w:rPr>
        <w:t>, 2022, 24(06): 597-603.</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https://doi.org/10.7499/j.issn.1008-8830.2203190</w:t>
      </w:r>
      <w:r w:rsidR="00CB43D0">
        <w:rPr>
          <w:rFonts w:ascii="Times New Roman" w:eastAsia="Times New Roman" w:hAnsi="Times New Roman" w:cs="Times New Roman"/>
          <w:color w:val="000000"/>
          <w:szCs w:val="21"/>
        </w:rPr>
        <w:t xml:space="preserve"> </w:t>
      </w:r>
    </w:p>
    <w:p w14:paraId="4118FF35" w14:textId="373F69CD"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18. Zha Xuan, Xu Zhoumei. Comparison of Efficacy and Safety of Immunoglobulin Infusion Rates in Pediatric Patients with Kawasaki Disease [J]. </w:t>
      </w:r>
      <w:r>
        <w:rPr>
          <w:rFonts w:ascii="Times New Roman" w:eastAsia="Times New Roman" w:hAnsi="Times New Roman" w:cs="Times New Roman"/>
          <w:i/>
          <w:iCs/>
          <w:color w:val="000000"/>
          <w:szCs w:val="21"/>
        </w:rPr>
        <w:t>Chinese Pharmacist</w:t>
      </w:r>
      <w:r>
        <w:rPr>
          <w:rFonts w:ascii="Times New Roman" w:eastAsia="Times New Roman" w:hAnsi="Times New Roman" w:cs="Times New Roman"/>
          <w:color w:val="000000"/>
          <w:szCs w:val="21"/>
        </w:rPr>
        <w:t>, 2024, 27(07):1149-1154.</w:t>
      </w:r>
    </w:p>
    <w:p w14:paraId="06569E0B" w14:textId="20D33D37"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19. Visagie JL, Aruwajoye GS, van der Sluis R. Pharmacokinetics of aspirin: evaluating shortcomings in the literature. </w:t>
      </w:r>
      <w:r>
        <w:rPr>
          <w:rFonts w:ascii="Times New Roman" w:eastAsia="Times New Roman" w:hAnsi="Times New Roman" w:cs="Times New Roman"/>
          <w:i/>
          <w:color w:val="000000"/>
          <w:szCs w:val="21"/>
        </w:rPr>
        <w:t>Expert Opin Drug Metab Toxicol</w:t>
      </w:r>
      <w:r>
        <w:rPr>
          <w:rFonts w:ascii="Times New Roman" w:eastAsia="Times New Roman" w:hAnsi="Times New Roman" w:cs="Times New Roman"/>
          <w:color w:val="000000"/>
          <w:szCs w:val="21"/>
        </w:rPr>
        <w:t>. 2024;20(8):727-740</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https://doi.org/10.1080/17425255.2024.2386368</w:t>
      </w:r>
      <w:r w:rsidR="00CB43D0">
        <w:rPr>
          <w:rFonts w:ascii="Times New Roman" w:eastAsia="Times New Roman" w:hAnsi="Times New Roman" w:cs="Times New Roman"/>
          <w:color w:val="000000"/>
          <w:szCs w:val="21"/>
        </w:rPr>
        <w:t xml:space="preserve"> </w:t>
      </w:r>
    </w:p>
    <w:p w14:paraId="39554FE5" w14:textId="084D9235"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20. Wang Wenfeng. Analysis of the Value of Different Microcirculatory Indicators in Early Prediction of Prognosis in Patients with Septic Shock [D]. </w:t>
      </w:r>
      <w:r>
        <w:rPr>
          <w:rFonts w:ascii="Times New Roman" w:eastAsia="Times New Roman" w:hAnsi="Times New Roman" w:cs="Times New Roman"/>
          <w:i/>
          <w:iCs/>
          <w:color w:val="000000"/>
          <w:szCs w:val="21"/>
        </w:rPr>
        <w:t>Jilin University</w:t>
      </w:r>
      <w:r>
        <w:rPr>
          <w:rFonts w:ascii="Times New Roman" w:eastAsia="Times New Roman" w:hAnsi="Times New Roman" w:cs="Times New Roman"/>
          <w:color w:val="000000"/>
          <w:szCs w:val="21"/>
        </w:rPr>
        <w:t>, 2025. DOI:10.27162/d.cnki.gjlin.2025.006783.</w:t>
      </w:r>
    </w:p>
    <w:p w14:paraId="0F9F0F84" w14:textId="4225249B"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21. Zhang Jian, Pan Yueshuai, Xiu Hong, et al. Research Progress on the Application of the Skin Marbling Score in Critically Ill Patients [J]. </w:t>
      </w:r>
      <w:r>
        <w:rPr>
          <w:rFonts w:ascii="Times New Roman" w:eastAsia="Times New Roman" w:hAnsi="Times New Roman" w:cs="Times New Roman"/>
          <w:i/>
          <w:iCs/>
          <w:color w:val="000000"/>
          <w:szCs w:val="21"/>
        </w:rPr>
        <w:t>Nursing Research</w:t>
      </w:r>
      <w:r>
        <w:rPr>
          <w:rFonts w:ascii="Times New Roman" w:eastAsia="Times New Roman" w:hAnsi="Times New Roman" w:cs="Times New Roman"/>
          <w:color w:val="000000"/>
          <w:szCs w:val="21"/>
        </w:rPr>
        <w:t>, 2024, 38(15): 2733-2736.</w:t>
      </w:r>
    </w:p>
    <w:p w14:paraId="348D9B50" w14:textId="2F1BB195"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lastRenderedPageBreak/>
        <w:t xml:space="preserve">22. Ielapi N, Andreucci M, Licastro N et al. Precision Medicine and Precision Nursing: The Era of Biomarkers and Precision Health. </w:t>
      </w:r>
      <w:r>
        <w:rPr>
          <w:rFonts w:ascii="Times New Roman" w:eastAsia="Times New Roman" w:hAnsi="Times New Roman" w:cs="Times New Roman"/>
          <w:i/>
          <w:color w:val="000000"/>
          <w:szCs w:val="21"/>
        </w:rPr>
        <w:t>Int J Gen Med</w:t>
      </w:r>
      <w:r>
        <w:rPr>
          <w:rFonts w:ascii="Times New Roman" w:eastAsia="Times New Roman" w:hAnsi="Times New Roman" w:cs="Times New Roman"/>
          <w:color w:val="000000"/>
          <w:szCs w:val="21"/>
        </w:rPr>
        <w:t>. 2020;13:1705-1711</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https://doi.org/10.2147/IJGM.S285262</w:t>
      </w:r>
      <w:r w:rsidR="00CB43D0">
        <w:rPr>
          <w:rFonts w:ascii="Times New Roman" w:eastAsia="Times New Roman" w:hAnsi="Times New Roman" w:cs="Times New Roman"/>
          <w:color w:val="000000"/>
          <w:szCs w:val="21"/>
        </w:rPr>
        <w:t xml:space="preserve"> </w:t>
      </w:r>
    </w:p>
    <w:p w14:paraId="2B197020" w14:textId="140405F6"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23. Yang HJ. Application of Holistic Nursing Model in Stroke Patients with Chronic Kidney Disease Undergoing Hemodialysis[J]. </w:t>
      </w:r>
      <w:r>
        <w:rPr>
          <w:rFonts w:ascii="Times New Roman" w:eastAsia="Times New Roman" w:hAnsi="Times New Roman" w:cs="Times New Roman"/>
          <w:i/>
          <w:iCs/>
          <w:color w:val="000000"/>
          <w:szCs w:val="21"/>
        </w:rPr>
        <w:t>Chinese Journal of Stroke</w:t>
      </w:r>
      <w:r>
        <w:rPr>
          <w:rFonts w:ascii="Times New Roman" w:eastAsia="Times New Roman" w:hAnsi="Times New Roman" w:cs="Times New Roman"/>
          <w:color w:val="000000"/>
          <w:szCs w:val="21"/>
        </w:rPr>
        <w:t>, 2024, 19(04):482.</w:t>
      </w:r>
    </w:p>
    <w:p w14:paraId="7F1EB46F" w14:textId="77777777" w:rsidR="009514D4" w:rsidRDefault="00D97169">
      <w:pPr>
        <w:rPr>
          <w:rFonts w:ascii="Times New Roman" w:hAnsi="Times New Roman" w:cs="Times New Roman"/>
          <w:szCs w:val="21"/>
        </w:rPr>
      </w:pPr>
      <w:r>
        <w:rPr>
          <w:rFonts w:ascii="Times New Roman" w:hAnsi="Times New Roman" w:cs="Times New Roman"/>
          <w:szCs w:val="21"/>
        </w:rPr>
        <w:fldChar w:fldCharType="end"/>
      </w:r>
    </w:p>
    <w:sectPr w:rsidR="009514D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 H" w:date="2026-01-03T13:09:00Z" w:initials="HH">
    <w:p w14:paraId="2ACDEE3B" w14:textId="77777777" w:rsidR="005D35F4" w:rsidRDefault="005D35F4" w:rsidP="005D35F4">
      <w:pPr>
        <w:pStyle w:val="CommentText"/>
        <w:jc w:val="left"/>
      </w:pPr>
      <w:r>
        <w:rPr>
          <w:rStyle w:val="CommentReference"/>
        </w:rPr>
        <w:annotationRef/>
      </w:r>
      <w:r>
        <w:t>The title is clear and informative, however, it does not explicity indicate that the manuscript is a case report, which is generally required by international journals.</w:t>
      </w:r>
    </w:p>
    <w:p w14:paraId="393929E5" w14:textId="77777777" w:rsidR="005D35F4" w:rsidRDefault="005D35F4" w:rsidP="005D35F4">
      <w:pPr>
        <w:pStyle w:val="CommentText"/>
        <w:jc w:val="left"/>
      </w:pPr>
    </w:p>
    <w:p w14:paraId="0EBBDF99" w14:textId="77777777" w:rsidR="005D35F4" w:rsidRDefault="005D35F4" w:rsidP="005D35F4">
      <w:pPr>
        <w:pStyle w:val="CommentText"/>
        <w:jc w:val="left"/>
      </w:pPr>
      <w:r>
        <w:t>Suggestion : the title should be revised to include the study design (e.g., “A case report”) to align with international publication standards.</w:t>
      </w:r>
    </w:p>
  </w:comment>
  <w:comment w:id="1" w:author="H H" w:date="2026-01-03T13:20:00Z" w:initials="HH">
    <w:p w14:paraId="3BA9B7F2" w14:textId="77777777" w:rsidR="00AE5416" w:rsidRDefault="00AE5416" w:rsidP="00AE5416">
      <w:pPr>
        <w:pStyle w:val="CommentText"/>
        <w:jc w:val="left"/>
      </w:pPr>
      <w:r>
        <w:rPr>
          <w:rStyle w:val="CommentReference"/>
        </w:rPr>
        <w:annotationRef/>
      </w:r>
      <w:r>
        <w:t xml:space="preserve">The abstract is comprehensive and includes background, interventions, outcomes and follow-up. However, it is somewhat narrative in style and does not sufficiently emphasize the unique nursing contribution or novelty of the holistic care model. </w:t>
      </w:r>
    </w:p>
    <w:p w14:paraId="79028318" w14:textId="77777777" w:rsidR="00AE5416" w:rsidRDefault="00AE5416" w:rsidP="00AE5416">
      <w:pPr>
        <w:pStyle w:val="CommentText"/>
        <w:jc w:val="left"/>
      </w:pPr>
    </w:p>
    <w:p w14:paraId="23D16806" w14:textId="77777777" w:rsidR="00AE5416" w:rsidRDefault="00AE5416" w:rsidP="00AE5416">
      <w:pPr>
        <w:pStyle w:val="CommentText"/>
        <w:jc w:val="left"/>
      </w:pPr>
      <w:r>
        <w:t>The abstract should be refined to explicity highlight the added value of holistic nursing care compared with routine or conventional nursing practice.</w:t>
      </w:r>
    </w:p>
  </w:comment>
  <w:comment w:id="2" w:author="H H" w:date="2026-01-03T13:31:00Z" w:initials="HH">
    <w:p w14:paraId="47A824E6" w14:textId="77777777" w:rsidR="00874436" w:rsidRDefault="00874436" w:rsidP="00874436">
      <w:pPr>
        <w:pStyle w:val="CommentText"/>
        <w:jc w:val="left"/>
      </w:pPr>
      <w:r>
        <w:rPr>
          <w:rStyle w:val="CommentReference"/>
        </w:rPr>
        <w:annotationRef/>
      </w:r>
      <w:r>
        <w:t>The introduction provides a logical and well-structured overview from kawasaki disease to KDSS and IVIG resistance, and it appropriately identifies the clinical and nursing challenges. The research gap is clearly stated.</w:t>
      </w:r>
    </w:p>
    <w:p w14:paraId="189C5DD4" w14:textId="77777777" w:rsidR="00874436" w:rsidRDefault="00874436" w:rsidP="00874436">
      <w:pPr>
        <w:pStyle w:val="CommentText"/>
        <w:jc w:val="left"/>
      </w:pPr>
    </w:p>
    <w:p w14:paraId="0BE382B9" w14:textId="77777777" w:rsidR="00874436" w:rsidRDefault="00874436" w:rsidP="00874436">
      <w:pPr>
        <w:pStyle w:val="CommentText"/>
        <w:jc w:val="left"/>
      </w:pPr>
      <w:r>
        <w:t>However, the use of the term “domestic reports” may be ambiguous or inappropriate for an international readership.</w:t>
      </w:r>
    </w:p>
  </w:comment>
  <w:comment w:id="3" w:author="H H" w:date="2026-01-03T13:34:00Z" w:initials="HH">
    <w:p w14:paraId="34951E20" w14:textId="77777777" w:rsidR="00874436" w:rsidRDefault="00874436" w:rsidP="00874436">
      <w:pPr>
        <w:pStyle w:val="CommentText"/>
        <w:jc w:val="left"/>
      </w:pPr>
      <w:r>
        <w:rPr>
          <w:rStyle w:val="CommentReference"/>
        </w:rPr>
        <w:annotationRef/>
      </w:r>
      <w:r>
        <w:t xml:space="preserve">Replace with a more globally relevant expression, such us : </w:t>
      </w:r>
    </w:p>
    <w:p w14:paraId="7A2412E0" w14:textId="77777777" w:rsidR="00874436" w:rsidRDefault="00874436" w:rsidP="00874436">
      <w:pPr>
        <w:pStyle w:val="CommentText"/>
        <w:jc w:val="left"/>
      </w:pPr>
      <w:r>
        <w:t>“Reports focusing specifically on holistic nursing care for IVIG- resistants KDSS remain extremelly limited , particularly from a nursing perspective.”</w:t>
      </w:r>
    </w:p>
  </w:comment>
  <w:comment w:id="4" w:author="H H" w:date="2026-01-03T14:04:00Z" w:initials="HH">
    <w:p w14:paraId="59A91E19" w14:textId="77777777" w:rsidR="00CB145A" w:rsidRDefault="00B344AD" w:rsidP="00CB145A">
      <w:pPr>
        <w:pStyle w:val="CommentText"/>
        <w:ind w:left="300"/>
        <w:jc w:val="left"/>
      </w:pPr>
      <w:r>
        <w:rPr>
          <w:rStyle w:val="CommentReference"/>
        </w:rPr>
        <w:annotationRef/>
      </w:r>
      <w:r w:rsidR="00CB145A">
        <w:t>The clinical information is thorough; however, some sentences are overly long and densely packed with data, which may reduce readability for international readers. Suggestion: consider breaking long sentences into shorter ones and grouping related findings (e.g., vital signs, physical examination, laboratory results) into clearly separated sentences or clauses.</w:t>
      </w:r>
    </w:p>
    <w:p w14:paraId="47F49241" w14:textId="77777777" w:rsidR="00CB145A" w:rsidRDefault="00CB145A" w:rsidP="00CB145A">
      <w:pPr>
        <w:pStyle w:val="CommentText"/>
        <w:ind w:left="300"/>
        <w:jc w:val="left"/>
      </w:pPr>
      <w:r>
        <w:t>While the diagnosis of IVIG-unresponsive Kawasaki disease and KDSS is stated, the clinical reasoning linking the observed signs and laboratory findings to these diagnoses is implicit rather than explicit. Briefly clarify the key diagnostic criteria that supported the diagnoses of IVIG-unresponsive KD and KDSS (e.g., persistent/recurrent fever after IVIG, hypotension, signs of poor perfusion)</w:t>
      </w:r>
    </w:p>
    <w:p w14:paraId="674B3EAF" w14:textId="77777777" w:rsidR="00CB145A" w:rsidRDefault="00CB145A" w:rsidP="00CB145A">
      <w:pPr>
        <w:pStyle w:val="CommentText"/>
        <w:ind w:left="300"/>
        <w:jc w:val="left"/>
      </w:pPr>
      <w:r>
        <w:t xml:space="preserve">The sequence of clinical events is understandable, but the timeline could be clearer, particularly for readers unfamiliar with KDSS progression. Add explicit temporal markers (e.g., on hospital day 1, 36 hours after initial IVIG ) or include a concise clinical timeline table if permitted by the journal. </w:t>
      </w:r>
    </w:p>
  </w:comment>
  <w:comment w:id="5" w:author="H H" w:date="2026-01-03T13:57:00Z" w:initials="HH">
    <w:p w14:paraId="36707A52" w14:textId="478B27F6" w:rsidR="00A33E5B" w:rsidRDefault="00A33E5B" w:rsidP="00A33E5B">
      <w:pPr>
        <w:pStyle w:val="CommentText"/>
        <w:jc w:val="left"/>
      </w:pPr>
      <w:r>
        <w:rPr>
          <w:rStyle w:val="CommentReference"/>
        </w:rPr>
        <w:annotationRef/>
      </w:r>
      <w:r>
        <w:t>If available, specify the antibiotic class or clarify that the exact agent was unknown.</w:t>
      </w:r>
    </w:p>
  </w:comment>
  <w:comment w:id="6" w:author="H H" w:date="2026-01-03T13:51:00Z" w:initials="HH">
    <w:p w14:paraId="701B542E" w14:textId="2915CF2E" w:rsidR="00A33E5B" w:rsidRDefault="00A33E5B" w:rsidP="00A33E5B">
      <w:pPr>
        <w:pStyle w:val="CommentText"/>
        <w:jc w:val="left"/>
      </w:pPr>
      <w:r>
        <w:rPr>
          <w:rStyle w:val="CommentReference"/>
        </w:rPr>
        <w:annotationRef/>
      </w:r>
      <w:r>
        <w:t>The ethical compliance statement is appropriate but embedded within the clinical narrative.</w:t>
      </w:r>
    </w:p>
    <w:p w14:paraId="63796E75" w14:textId="77777777" w:rsidR="00A33E5B" w:rsidRDefault="00A33E5B" w:rsidP="00A33E5B">
      <w:pPr>
        <w:pStyle w:val="CommentText"/>
        <w:jc w:val="left"/>
      </w:pPr>
    </w:p>
    <w:p w14:paraId="7CC3D73B" w14:textId="77777777" w:rsidR="00A33E5B" w:rsidRDefault="00A33E5B" w:rsidP="00A33E5B">
      <w:pPr>
        <w:pStyle w:val="CommentText"/>
        <w:jc w:val="left"/>
      </w:pPr>
      <w:r>
        <w:t>If required by the journal, consider relocating this statement to a dedicated “Ethics statement” or “Concent” section.</w:t>
      </w:r>
    </w:p>
  </w:comment>
  <w:comment w:id="7" w:author="H H" w:date="2026-01-03T14:36:00Z" w:initials="HH">
    <w:p w14:paraId="02640047" w14:textId="77777777" w:rsidR="008C1764" w:rsidRDefault="008C1764" w:rsidP="008C1764">
      <w:pPr>
        <w:pStyle w:val="CommentText"/>
        <w:jc w:val="left"/>
      </w:pPr>
      <w:r>
        <w:rPr>
          <w:rStyle w:val="CommentReference"/>
        </w:rPr>
        <w:annotationRef/>
      </w:r>
      <w:r>
        <w:t xml:space="preserve">Some subheadings are relatively long and could be streamlined for clarity. Terminology should be standardized (e.g., “precision monitoring,” “targeted care,” “proactive management”). </w:t>
      </w:r>
    </w:p>
  </w:comment>
  <w:comment w:id="8" w:author="H H" w:date="2026-01-03T14:42:00Z" w:initials="HH">
    <w:p w14:paraId="70E81CE9" w14:textId="77777777" w:rsidR="008C1764" w:rsidRDefault="008C1764" w:rsidP="008C1764">
      <w:pPr>
        <w:pStyle w:val="CommentText"/>
        <w:jc w:val="left"/>
      </w:pPr>
      <w:r>
        <w:rPr>
          <w:rStyle w:val="CommentReference"/>
        </w:rPr>
        <w:annotationRef/>
      </w:r>
      <w:r>
        <w:t xml:space="preserve">The discussion provides meaningful interpretation rather than repetition of results. The comparison between holistic nursing care and conventional nursing practice is particularly valuable and highlights the practical implications of the proposed model </w:t>
      </w:r>
    </w:p>
  </w:comment>
  <w:comment w:id="9" w:author="H H" w:date="2026-01-03T14:44:00Z" w:initials="HH">
    <w:p w14:paraId="19F496D5" w14:textId="77777777" w:rsidR="008C1764" w:rsidRDefault="008C1764" w:rsidP="008C1764">
      <w:pPr>
        <w:pStyle w:val="CommentText"/>
        <w:jc w:val="left"/>
      </w:pPr>
      <w:r>
        <w:rPr>
          <w:rStyle w:val="CommentReference"/>
        </w:rPr>
        <w:annotationRef/>
      </w:r>
      <w:r>
        <w:t xml:space="preserve">The conclusion appropriately summarizes the key findings and acknowledges the limitations of a single-case report. The tone is both ethical and scientific. </w:t>
      </w:r>
    </w:p>
    <w:p w14:paraId="574B2253" w14:textId="77777777" w:rsidR="008C1764" w:rsidRDefault="008C1764" w:rsidP="008C1764">
      <w:pPr>
        <w:pStyle w:val="CommentText"/>
        <w:jc w:val="left"/>
      </w:pPr>
    </w:p>
    <w:p w14:paraId="48E623BF" w14:textId="77777777" w:rsidR="008C1764" w:rsidRDefault="008C1764" w:rsidP="008C1764">
      <w:pPr>
        <w:pStyle w:val="CommentText"/>
        <w:jc w:val="left"/>
      </w:pPr>
      <w:r>
        <w:t xml:space="preserve">the conclusion could be further strengthened by more explicitly restating the </w:t>
      </w:r>
      <w:r>
        <w:rPr>
          <w:b/>
          <w:bCs/>
        </w:rPr>
        <w:t>specific contribution of holistic nursing care</w:t>
      </w:r>
      <w:r>
        <w:t xml:space="preserve"> to patient outcomes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BBDF99" w15:done="0"/>
  <w15:commentEx w15:paraId="23D16806" w15:done="0"/>
  <w15:commentEx w15:paraId="0BE382B9" w15:done="0"/>
  <w15:commentEx w15:paraId="7A2412E0" w15:done="0"/>
  <w15:commentEx w15:paraId="674B3EAF" w15:done="0"/>
  <w15:commentEx w15:paraId="36707A52" w15:done="0"/>
  <w15:commentEx w15:paraId="7CC3D73B" w15:done="0"/>
  <w15:commentEx w15:paraId="02640047" w15:done="0"/>
  <w15:commentEx w15:paraId="70E81CE9" w15:done="0"/>
  <w15:commentEx w15:paraId="48E623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A3B47C" w16cex:dateUtc="2026-01-03T06:09:00Z"/>
  <w16cex:commentExtensible w16cex:durableId="4D27FF98" w16cex:dateUtc="2026-01-03T06:20:00Z"/>
  <w16cex:commentExtensible w16cex:durableId="2BD417C4" w16cex:dateUtc="2026-01-03T06:31:00Z"/>
  <w16cex:commentExtensible w16cex:durableId="5DE701BA" w16cex:dateUtc="2026-01-03T06:34:00Z"/>
  <w16cex:commentExtensible w16cex:durableId="7D1BAF1C" w16cex:dateUtc="2026-01-03T07:04:00Z"/>
  <w16cex:commentExtensible w16cex:durableId="73518D04" w16cex:dateUtc="2026-01-03T06:57:00Z"/>
  <w16cex:commentExtensible w16cex:durableId="3F9AE91B" w16cex:dateUtc="2026-01-03T06:51:00Z"/>
  <w16cex:commentExtensible w16cex:durableId="1D85CB9B" w16cex:dateUtc="2026-01-03T07:36:00Z"/>
  <w16cex:commentExtensible w16cex:durableId="1D1DC4F3" w16cex:dateUtc="2026-01-03T07:42:00Z"/>
  <w16cex:commentExtensible w16cex:durableId="54E607B6" w16cex:dateUtc="2026-01-03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BBDF99" w16cid:durableId="44A3B47C"/>
  <w16cid:commentId w16cid:paraId="23D16806" w16cid:durableId="4D27FF98"/>
  <w16cid:commentId w16cid:paraId="0BE382B9" w16cid:durableId="2BD417C4"/>
  <w16cid:commentId w16cid:paraId="7A2412E0" w16cid:durableId="5DE701BA"/>
  <w16cid:commentId w16cid:paraId="674B3EAF" w16cid:durableId="7D1BAF1C"/>
  <w16cid:commentId w16cid:paraId="36707A52" w16cid:durableId="73518D04"/>
  <w16cid:commentId w16cid:paraId="7CC3D73B" w16cid:durableId="3F9AE91B"/>
  <w16cid:commentId w16cid:paraId="02640047" w16cid:durableId="1D85CB9B"/>
  <w16cid:commentId w16cid:paraId="70E81CE9" w16cid:durableId="1D1DC4F3"/>
  <w16cid:commentId w16cid:paraId="48E623BF" w16cid:durableId="54E607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844E" w14:textId="77777777" w:rsidR="00F1400E" w:rsidRDefault="00F1400E" w:rsidP="0081197A">
      <w:r>
        <w:separator/>
      </w:r>
    </w:p>
  </w:endnote>
  <w:endnote w:type="continuationSeparator" w:id="0">
    <w:p w14:paraId="1738F9C6" w14:textId="77777777" w:rsidR="00F1400E" w:rsidRDefault="00F1400E" w:rsidP="0081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DC7C" w14:textId="77777777" w:rsidR="0081197A" w:rsidRDefault="00811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C55A" w14:textId="77777777" w:rsidR="0081197A" w:rsidRDefault="00811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1AFE" w14:textId="77777777" w:rsidR="0081197A" w:rsidRDefault="00811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A210" w14:textId="77777777" w:rsidR="00F1400E" w:rsidRDefault="00F1400E" w:rsidP="0081197A">
      <w:r>
        <w:separator/>
      </w:r>
    </w:p>
  </w:footnote>
  <w:footnote w:type="continuationSeparator" w:id="0">
    <w:p w14:paraId="6B6A0A40" w14:textId="77777777" w:rsidR="00F1400E" w:rsidRDefault="00F1400E" w:rsidP="0081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AD78" w14:textId="12C6AFF8" w:rsidR="0081197A" w:rsidRDefault="00000000">
    <w:pPr>
      <w:pStyle w:val="Header"/>
    </w:pPr>
    <w:r>
      <w:rPr>
        <w:noProof/>
      </w:rPr>
      <w:pict w14:anchorId="1FC2E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73672" o:spid="_x0000_s1026"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BC90" w14:textId="7A8C7D33" w:rsidR="0081197A" w:rsidRDefault="00000000">
    <w:pPr>
      <w:pStyle w:val="Header"/>
    </w:pPr>
    <w:r>
      <w:rPr>
        <w:noProof/>
      </w:rPr>
      <w:pict w14:anchorId="34FD7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73673" o:spid="_x0000_s1027"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A095" w14:textId="5465F09F" w:rsidR="0081197A" w:rsidRDefault="00000000">
    <w:pPr>
      <w:pStyle w:val="Header"/>
    </w:pPr>
    <w:r>
      <w:rPr>
        <w:noProof/>
      </w:rPr>
      <w:pict w14:anchorId="6EDAA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73671" o:spid="_x0000_s1025"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 H">
    <w15:presenceInfo w15:providerId="Windows Live" w15:userId="7dc3e4ce3ca59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D85919"/>
    <w:rsid w:val="0000148A"/>
    <w:rsid w:val="000A7127"/>
    <w:rsid w:val="001A6429"/>
    <w:rsid w:val="001B6869"/>
    <w:rsid w:val="002C22AC"/>
    <w:rsid w:val="003D0763"/>
    <w:rsid w:val="004111C3"/>
    <w:rsid w:val="00470A51"/>
    <w:rsid w:val="005D35F4"/>
    <w:rsid w:val="006436DA"/>
    <w:rsid w:val="0081197A"/>
    <w:rsid w:val="00874436"/>
    <w:rsid w:val="00884483"/>
    <w:rsid w:val="008C1764"/>
    <w:rsid w:val="008D41B0"/>
    <w:rsid w:val="008F0B16"/>
    <w:rsid w:val="008F68E4"/>
    <w:rsid w:val="009514D4"/>
    <w:rsid w:val="00A33E5B"/>
    <w:rsid w:val="00AE5416"/>
    <w:rsid w:val="00B344AD"/>
    <w:rsid w:val="00B570B9"/>
    <w:rsid w:val="00CB145A"/>
    <w:rsid w:val="00CB43D0"/>
    <w:rsid w:val="00D356C2"/>
    <w:rsid w:val="00D55A62"/>
    <w:rsid w:val="00D97169"/>
    <w:rsid w:val="00DC30AE"/>
    <w:rsid w:val="00E429DA"/>
    <w:rsid w:val="00E7614F"/>
    <w:rsid w:val="00ED2B82"/>
    <w:rsid w:val="00F1400E"/>
    <w:rsid w:val="00FF76EB"/>
    <w:rsid w:val="023B6BC5"/>
    <w:rsid w:val="0F0547E3"/>
    <w:rsid w:val="13BD568C"/>
    <w:rsid w:val="17CE60BA"/>
    <w:rsid w:val="1B4B7A22"/>
    <w:rsid w:val="1FD04999"/>
    <w:rsid w:val="2020433E"/>
    <w:rsid w:val="32A73338"/>
    <w:rsid w:val="470D0123"/>
    <w:rsid w:val="48BA1BBF"/>
    <w:rsid w:val="494C0D8E"/>
    <w:rsid w:val="4B7818BD"/>
    <w:rsid w:val="51874608"/>
    <w:rsid w:val="54613F0E"/>
    <w:rsid w:val="5BD85919"/>
    <w:rsid w:val="65A96DEB"/>
    <w:rsid w:val="75510906"/>
    <w:rsid w:val="7D0E5A5A"/>
    <w:rsid w:val="7F942D12"/>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D7D9B"/>
  <w15:docId w15:val="{62C458F6-3858-47E9-9CF6-2F0A4A99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2B82"/>
    <w:rPr>
      <w:color w:val="0026E5" w:themeColor="hyperlink"/>
      <w:u w:val="single"/>
    </w:rPr>
  </w:style>
  <w:style w:type="character" w:styleId="UnresolvedMention">
    <w:name w:val="Unresolved Mention"/>
    <w:basedOn w:val="DefaultParagraphFont"/>
    <w:uiPriority w:val="99"/>
    <w:semiHidden/>
    <w:unhideWhenUsed/>
    <w:rsid w:val="00ED2B82"/>
    <w:rPr>
      <w:color w:val="605E5C"/>
      <w:shd w:val="clear" w:color="auto" w:fill="E1DFDD"/>
    </w:rPr>
  </w:style>
  <w:style w:type="paragraph" w:styleId="Header">
    <w:name w:val="header"/>
    <w:basedOn w:val="Normal"/>
    <w:link w:val="HeaderChar"/>
    <w:rsid w:val="0081197A"/>
    <w:pPr>
      <w:tabs>
        <w:tab w:val="center" w:pos="4680"/>
        <w:tab w:val="right" w:pos="9360"/>
      </w:tabs>
    </w:pPr>
  </w:style>
  <w:style w:type="character" w:customStyle="1" w:styleId="HeaderChar">
    <w:name w:val="Header Char"/>
    <w:basedOn w:val="DefaultParagraphFont"/>
    <w:link w:val="Header"/>
    <w:rsid w:val="0081197A"/>
    <w:rPr>
      <w:kern w:val="2"/>
      <w:sz w:val="21"/>
      <w:szCs w:val="24"/>
      <w:lang w:eastAsia="zh-CN"/>
    </w:rPr>
  </w:style>
  <w:style w:type="paragraph" w:styleId="Footer">
    <w:name w:val="footer"/>
    <w:basedOn w:val="Normal"/>
    <w:link w:val="FooterChar"/>
    <w:rsid w:val="0081197A"/>
    <w:pPr>
      <w:tabs>
        <w:tab w:val="center" w:pos="4680"/>
        <w:tab w:val="right" w:pos="9360"/>
      </w:tabs>
    </w:pPr>
  </w:style>
  <w:style w:type="character" w:customStyle="1" w:styleId="FooterChar">
    <w:name w:val="Footer Char"/>
    <w:basedOn w:val="DefaultParagraphFont"/>
    <w:link w:val="Footer"/>
    <w:rsid w:val="0081197A"/>
    <w:rPr>
      <w:kern w:val="2"/>
      <w:sz w:val="21"/>
      <w:szCs w:val="24"/>
      <w:lang w:eastAsia="zh-CN"/>
    </w:rPr>
  </w:style>
  <w:style w:type="character" w:styleId="CommentReference">
    <w:name w:val="annotation reference"/>
    <w:basedOn w:val="DefaultParagraphFont"/>
    <w:rsid w:val="005D35F4"/>
    <w:rPr>
      <w:sz w:val="16"/>
      <w:szCs w:val="16"/>
    </w:rPr>
  </w:style>
  <w:style w:type="paragraph" w:styleId="CommentText">
    <w:name w:val="annotation text"/>
    <w:basedOn w:val="Normal"/>
    <w:link w:val="CommentTextChar"/>
    <w:rsid w:val="005D35F4"/>
    <w:rPr>
      <w:sz w:val="20"/>
      <w:szCs w:val="20"/>
    </w:rPr>
  </w:style>
  <w:style w:type="character" w:customStyle="1" w:styleId="CommentTextChar">
    <w:name w:val="Comment Text Char"/>
    <w:basedOn w:val="DefaultParagraphFont"/>
    <w:link w:val="CommentText"/>
    <w:rsid w:val="005D35F4"/>
    <w:rPr>
      <w:kern w:val="2"/>
      <w:lang w:eastAsia="zh-CN"/>
    </w:rPr>
  </w:style>
  <w:style w:type="paragraph" w:styleId="CommentSubject">
    <w:name w:val="annotation subject"/>
    <w:basedOn w:val="CommentText"/>
    <w:next w:val="CommentText"/>
    <w:link w:val="CommentSubjectChar"/>
    <w:rsid w:val="005D35F4"/>
    <w:rPr>
      <w:b/>
      <w:bCs/>
    </w:rPr>
  </w:style>
  <w:style w:type="character" w:customStyle="1" w:styleId="CommentSubjectChar">
    <w:name w:val="Comment Subject Char"/>
    <w:basedOn w:val="CommentTextChar"/>
    <w:link w:val="CommentSubject"/>
    <w:rsid w:val="005D35F4"/>
    <w:rPr>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倾听寂静</dc:creator>
  <cp:lastModifiedBy>H H</cp:lastModifiedBy>
  <cp:revision>66</cp:revision>
  <dcterms:created xsi:type="dcterms:W3CDTF">2025-12-24T07:04:00Z</dcterms:created>
  <dcterms:modified xsi:type="dcterms:W3CDTF">2026-01-03T07:45:00Z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D92048ED35C34D57B8C3D329CC1F6197_11</vt:lpwstr>
  </property>
  <property fmtid="{D5CDD505-2E9C-101B-9397-08002B2CF9AE}" pid="4" name="KSOTemplateDocerSaveRecord">
    <vt:lpwstr>eyJoZGlkIjoiYTQyZWJkNDMzZDEwMmY5MDE4ZWEwYmFiNDdkNTQ2ZDkiLCJ1c2VySWQiOiIzOTE5NTk3MDMifQ==</vt:lpwstr>
  </property>
  <property fmtid="{D5CDD505-2E9C-101B-9397-08002B2CF9AE}" pid="5" name="GrammarlyDocumentId">
    <vt:lpwstr>4dbaf17f-7bf6-404f-8654-e594a8b7df6a</vt:lpwstr>
  </property>
</Properties>
</file>