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B6F31" w14:textId="77777777" w:rsidR="00B96BA2" w:rsidRPr="00B96BA2" w:rsidRDefault="00B96BA2" w:rsidP="00B96BA2">
      <w:pPr>
        <w:pStyle w:val="Heading1"/>
        <w:rPr>
          <w:kern w:val="0"/>
        </w:rPr>
      </w:pPr>
      <w:r w:rsidRPr="00B96BA2">
        <w:rPr>
          <w:kern w:val="0"/>
        </w:rPr>
        <w:t>Clinical Importance Of Gingival Biotype In Periodontics: From Risk Assessment To Phenotype-Based Therapy</w:t>
      </w:r>
    </w:p>
    <w:p w14:paraId="35159E1E" w14:textId="77777777" w:rsidR="00B96BA2" w:rsidRPr="00B96BA2" w:rsidRDefault="00B96BA2" w:rsidP="00B96BA2">
      <w:pPr>
        <w:spacing w:before="100" w:beforeAutospacing="1" w:after="100" w:afterAutospacing="1" w:line="240" w:lineRule="auto"/>
        <w:ind w:left="0" w:right="0" w:firstLine="0"/>
        <w:jc w:val="left"/>
        <w:outlineLvl w:val="2"/>
        <w:rPr>
          <w:b/>
          <w:bCs/>
          <w:color w:val="auto"/>
          <w:kern w:val="0"/>
          <w:sz w:val="27"/>
          <w:szCs w:val="27"/>
          <w:lang w:val="en-US" w:eastAsia="en-US"/>
        </w:rPr>
      </w:pPr>
      <w:r w:rsidRPr="00B96BA2">
        <w:rPr>
          <w:b/>
          <w:bCs/>
          <w:color w:val="auto"/>
          <w:kern w:val="0"/>
          <w:sz w:val="27"/>
          <w:szCs w:val="27"/>
          <w:lang w:val="en-US" w:eastAsia="en-US"/>
        </w:rPr>
        <w:t>Abstract</w:t>
      </w:r>
    </w:p>
    <w:p w14:paraId="195FAD5B" w14:textId="77777777" w:rsidR="00B96BA2" w:rsidRPr="00B96BA2" w:rsidRDefault="00B96BA2" w:rsidP="00B96BA2">
      <w:pPr>
        <w:spacing w:before="100" w:beforeAutospacing="1" w:after="100" w:afterAutospacing="1" w:line="240" w:lineRule="auto"/>
        <w:ind w:left="0" w:right="0" w:firstLine="0"/>
        <w:jc w:val="left"/>
        <w:rPr>
          <w:color w:val="auto"/>
          <w:kern w:val="0"/>
          <w:lang w:val="en-US" w:eastAsia="en-US"/>
        </w:rPr>
      </w:pPr>
      <w:r w:rsidRPr="00B96BA2">
        <w:rPr>
          <w:color w:val="auto"/>
          <w:kern w:val="0"/>
          <w:lang w:val="en-US" w:eastAsia="en-US"/>
        </w:rPr>
        <w:t xml:space="preserve">Gingival biotype—historically described as “thin” or “thick”—has evolved into the broader concept of periodontal phenotype, integrating gingival thickness, keratinized tissue dimensions, and the underlying bone morphotype. This shift reflects growing evidence that soft tissue thickness and architecture are not merely anatomic descriptors but clinically meaningful modifiers of periodontal stability, </w:t>
      </w:r>
      <w:commentRangeStart w:id="0"/>
      <w:r w:rsidRPr="00B96BA2">
        <w:rPr>
          <w:color w:val="auto"/>
          <w:kern w:val="0"/>
          <w:lang w:val="en-US" w:eastAsia="en-US"/>
        </w:rPr>
        <w:t>aesthetic</w:t>
      </w:r>
      <w:commentRangeEnd w:id="0"/>
      <w:r w:rsidR="00135889">
        <w:rPr>
          <w:rStyle w:val="CommentReference"/>
        </w:rPr>
        <w:commentReference w:id="0"/>
      </w:r>
      <w:r w:rsidRPr="00B96BA2">
        <w:rPr>
          <w:color w:val="auto"/>
          <w:kern w:val="0"/>
          <w:lang w:val="en-US" w:eastAsia="en-US"/>
        </w:rPr>
        <w:t xml:space="preserve"> outcomes, and complication risk across preventive, surgical, restorative, orthodontic, and implant therapies. Thin phenotypes </w:t>
      </w:r>
      <w:commentRangeStart w:id="1"/>
      <w:r w:rsidRPr="00B96BA2">
        <w:rPr>
          <w:color w:val="auto"/>
          <w:kern w:val="0"/>
          <w:lang w:val="en-US" w:eastAsia="en-US"/>
        </w:rPr>
        <w:t xml:space="preserve">are more frequently associated with recession-prone responses to </w:t>
      </w:r>
      <w:commentRangeEnd w:id="1"/>
      <w:r w:rsidR="00630F23">
        <w:rPr>
          <w:rStyle w:val="CommentReference"/>
        </w:rPr>
        <w:commentReference w:id="1"/>
      </w:r>
      <w:r w:rsidRPr="00B96BA2">
        <w:rPr>
          <w:color w:val="auto"/>
          <w:kern w:val="0"/>
          <w:lang w:val="en-US" w:eastAsia="en-US"/>
        </w:rPr>
        <w:t>inflammation or mechanical insult, greater vulnerability to post-surgical marginal tissue changes, and an increased likelihood of aesthetic compromise when restorative or implant components shine through delicate tissue. Conversely, thicker phenotypes often demonstrate greater resistance to recession, more predictable wound stability, and improved capacity to mask restorative materials. Importantly, phenotype is not fixed; contemporary mucogingival and peri-implant soft tissue augmentation strategies can enhance gingival thickness and keratinized tissue conditions, potentially reducing risk and improving long-term stability. This narrative review synthesizes current knowledge regarding definitions, assessment methods, biologic mechanisms, and evidence-based clinical implications of gingival biotype/periodontal phenotype, emphasizing practical decision-making and interdisciplinary treatment planning. The review highlights where phenotype-based personalization is supported by clinical studies and systematic reviews, where evidence remains indirect, and how emerging digital diagnostic workflows may standardize phenotype assessment in daily practice.</w:t>
      </w:r>
    </w:p>
    <w:p w14:paraId="068A4857" w14:textId="77777777" w:rsidR="00B96BA2" w:rsidRPr="00B96BA2" w:rsidRDefault="00B96BA2" w:rsidP="00B96BA2">
      <w:pPr>
        <w:spacing w:before="100" w:beforeAutospacing="1" w:after="100" w:afterAutospacing="1" w:line="240" w:lineRule="auto"/>
        <w:ind w:left="0" w:right="0" w:firstLine="0"/>
        <w:jc w:val="left"/>
        <w:rPr>
          <w:color w:val="auto"/>
          <w:kern w:val="0"/>
          <w:lang w:val="en-US" w:eastAsia="en-US"/>
        </w:rPr>
      </w:pPr>
      <w:commentRangeStart w:id="2"/>
      <w:r w:rsidRPr="00B96BA2">
        <w:rPr>
          <w:b/>
          <w:bCs/>
          <w:color w:val="auto"/>
          <w:kern w:val="0"/>
          <w:lang w:val="en-US" w:eastAsia="en-US"/>
        </w:rPr>
        <w:t>Keywords</w:t>
      </w:r>
      <w:commentRangeEnd w:id="2"/>
      <w:r w:rsidR="00135889">
        <w:rPr>
          <w:rStyle w:val="CommentReference"/>
        </w:rPr>
        <w:commentReference w:id="2"/>
      </w:r>
      <w:r w:rsidRPr="00B96BA2">
        <w:rPr>
          <w:b/>
          <w:bCs/>
          <w:color w:val="auto"/>
          <w:kern w:val="0"/>
          <w:lang w:val="en-US" w:eastAsia="en-US"/>
        </w:rPr>
        <w:t>:</w:t>
      </w:r>
      <w:r w:rsidRPr="00B96BA2">
        <w:rPr>
          <w:color w:val="auto"/>
          <w:kern w:val="0"/>
          <w:lang w:val="en-US" w:eastAsia="en-US"/>
        </w:rPr>
        <w:t xml:space="preserve"> gingival biotype; periodontal phenotype; gingival thickness; gingival recession; mucogingival surgery; root coverage; peri-implant phenotype; soft tissue augmentation; esthetic dentistry.</w:t>
      </w:r>
    </w:p>
    <w:p w14:paraId="0205E1A3" w14:textId="77777777" w:rsidR="00B96BA2" w:rsidRPr="00B96BA2" w:rsidRDefault="00B96BA2" w:rsidP="00B96BA2">
      <w:pPr>
        <w:spacing w:after="0" w:line="240" w:lineRule="auto"/>
        <w:ind w:left="0" w:right="0" w:firstLine="0"/>
        <w:jc w:val="left"/>
        <w:rPr>
          <w:color w:val="auto"/>
          <w:kern w:val="0"/>
          <w:lang w:val="en-US" w:eastAsia="en-US"/>
        </w:rPr>
      </w:pPr>
    </w:p>
    <w:p w14:paraId="36ADEE40" w14:textId="77777777" w:rsidR="00B96BA2" w:rsidRPr="00B96BA2" w:rsidRDefault="00B96BA2" w:rsidP="00B96BA2">
      <w:pPr>
        <w:spacing w:before="100" w:beforeAutospacing="1" w:after="100" w:afterAutospacing="1" w:line="240" w:lineRule="auto"/>
        <w:ind w:left="0" w:right="0" w:firstLine="0"/>
        <w:jc w:val="left"/>
        <w:outlineLvl w:val="1"/>
        <w:rPr>
          <w:b/>
          <w:bCs/>
          <w:color w:val="auto"/>
          <w:kern w:val="0"/>
          <w:sz w:val="36"/>
          <w:szCs w:val="36"/>
          <w:lang w:val="en-US" w:eastAsia="en-US"/>
        </w:rPr>
      </w:pPr>
      <w:r w:rsidRPr="00B96BA2">
        <w:rPr>
          <w:b/>
          <w:bCs/>
          <w:color w:val="auto"/>
          <w:kern w:val="0"/>
          <w:sz w:val="36"/>
          <w:szCs w:val="36"/>
          <w:lang w:val="en-US" w:eastAsia="en-US"/>
        </w:rPr>
        <w:t>1. Introduction</w:t>
      </w:r>
    </w:p>
    <w:p w14:paraId="4999E465" w14:textId="77777777" w:rsidR="00B96BA2" w:rsidRPr="00B96BA2" w:rsidRDefault="00B96BA2" w:rsidP="00B96BA2">
      <w:pPr>
        <w:spacing w:before="100" w:beforeAutospacing="1" w:after="100" w:afterAutospacing="1" w:line="240" w:lineRule="auto"/>
        <w:ind w:left="0" w:right="0" w:firstLine="0"/>
        <w:jc w:val="left"/>
        <w:rPr>
          <w:color w:val="auto"/>
          <w:kern w:val="0"/>
          <w:lang w:val="en-US" w:eastAsia="en-US"/>
        </w:rPr>
      </w:pPr>
      <w:r w:rsidRPr="00B96BA2">
        <w:rPr>
          <w:color w:val="auto"/>
          <w:kern w:val="0"/>
          <w:lang w:val="en-US" w:eastAsia="en-US"/>
        </w:rPr>
        <w:t xml:space="preserve">The soft tissue </w:t>
      </w:r>
      <w:commentRangeStart w:id="3"/>
      <w:r w:rsidRPr="00B96BA2">
        <w:rPr>
          <w:color w:val="auto"/>
          <w:kern w:val="0"/>
          <w:lang w:val="en-US" w:eastAsia="en-US"/>
        </w:rPr>
        <w:t>frame</w:t>
      </w:r>
      <w:commentRangeEnd w:id="3"/>
      <w:r w:rsidR="00630F23">
        <w:rPr>
          <w:rStyle w:val="CommentReference"/>
        </w:rPr>
        <w:commentReference w:id="3"/>
      </w:r>
      <w:r w:rsidRPr="00B96BA2">
        <w:rPr>
          <w:color w:val="auto"/>
          <w:kern w:val="0"/>
          <w:lang w:val="en-US" w:eastAsia="en-US"/>
        </w:rPr>
        <w:t xml:space="preserve"> surrounding teeth and implants is central to periodontal health, function, and aesthetics. Yet, clinical outcomes are often influenced not only by plaque control and surgical technique but also by the patient’s baseline tissue anatomy. Among anatomical variables, “gingival biotype” has received sustained attention in periodontics because it appears to modify how gingiva responds to inflammation, trauma, orthodontic movement, restorative margin positioning, and surgical manipulation. Classically, gingival biotype was simplified into thin and thick categories, frequently inferred by visual inspection and probe transparency. Over time, it became evident that such a binary label is clinically useful but biologically incomplete. The contemporary view emphasizes “periodontal phenotype,” a more integrated construct that aligns with modern classification frameworks and aims to connect soft tissue thickness and keratinized tissue characteristics with the supporting bone </w:t>
      </w:r>
      <w:r w:rsidRPr="00B96BA2">
        <w:rPr>
          <w:color w:val="auto"/>
          <w:kern w:val="0"/>
          <w:lang w:val="en-US" w:eastAsia="en-US"/>
        </w:rPr>
        <w:lastRenderedPageBreak/>
        <w:t>morphology and the resulting risk profile for recession or instability (Caton et al., 2018; Jepsen et al., 2018; Papapanou et al., 2018).</w:t>
      </w:r>
    </w:p>
    <w:p w14:paraId="2FDBCAB0" w14:textId="77777777" w:rsidR="00B96BA2" w:rsidRPr="00B96BA2" w:rsidRDefault="00B96BA2" w:rsidP="00B96BA2">
      <w:pPr>
        <w:spacing w:before="100" w:beforeAutospacing="1" w:after="100" w:afterAutospacing="1" w:line="240" w:lineRule="auto"/>
        <w:ind w:left="0" w:right="0" w:firstLine="0"/>
        <w:jc w:val="left"/>
        <w:rPr>
          <w:color w:val="auto"/>
          <w:kern w:val="0"/>
          <w:lang w:val="en-US" w:eastAsia="en-US"/>
        </w:rPr>
      </w:pPr>
      <w:r w:rsidRPr="00B96BA2">
        <w:rPr>
          <w:color w:val="auto"/>
          <w:kern w:val="0"/>
          <w:lang w:val="en-US" w:eastAsia="en-US"/>
        </w:rPr>
        <w:t>The clinical value of phenotype thinking lies in prediction and prevention. In a thin phenotype, inflammatory lesions and mechanical forces are more likely to result in marginal tissue displacement, and surgical procedures are more susceptible to soft tissue contraction or recession. In a thick phenotype, inflammation may present with more pocketing and fibrotic changes, while marginal stability and tissue masking are often better preserved. These tendencies influence therapy selection, timing, and sequencing. For example, the decision to perform connective tissue grafting with root coverage, to thicken peri-implant mucosa, or to adjust restorative margins may be guided by phenotype. Additionally, the rapid development of digital dentistry has increased interest in quantifying tissue thickness and bone morphotype using ultrasound, optical scanning, or cone-beam computed tomography (CBCT), aiming to move phenotype assessment from subjective estimation to reproducible measurement (</w:t>
      </w:r>
      <w:r w:rsidR="00345946">
        <w:rPr>
          <w:color w:val="auto"/>
          <w:kern w:val="0"/>
          <w:lang w:val="en-US" w:eastAsia="en-US"/>
        </w:rPr>
        <w:t>Schulze et al., 2024</w:t>
      </w:r>
      <w:r w:rsidRPr="00B96BA2">
        <w:rPr>
          <w:color w:val="auto"/>
          <w:kern w:val="0"/>
          <w:lang w:val="en-US" w:eastAsia="en-US"/>
        </w:rPr>
        <w:t>).</w:t>
      </w:r>
    </w:p>
    <w:p w14:paraId="1DFB8D2B" w14:textId="77777777" w:rsidR="00B96BA2" w:rsidRPr="00B96BA2" w:rsidRDefault="00B96BA2" w:rsidP="00B96BA2">
      <w:pPr>
        <w:spacing w:before="100" w:beforeAutospacing="1" w:after="100" w:afterAutospacing="1" w:line="240" w:lineRule="auto"/>
        <w:ind w:left="0" w:right="0" w:firstLine="0"/>
        <w:jc w:val="left"/>
        <w:rPr>
          <w:color w:val="auto"/>
          <w:kern w:val="0"/>
          <w:lang w:val="en-US" w:eastAsia="en-US"/>
        </w:rPr>
      </w:pPr>
      <w:r w:rsidRPr="00B96BA2">
        <w:rPr>
          <w:color w:val="auto"/>
          <w:kern w:val="0"/>
          <w:lang w:val="en-US" w:eastAsia="en-US"/>
        </w:rPr>
        <w:t xml:space="preserve">Despite widespread acceptance that gingival biotype matters, uncertainty remains about </w:t>
      </w:r>
      <w:commentRangeStart w:id="4"/>
      <w:r w:rsidRPr="00B96BA2">
        <w:rPr>
          <w:color w:val="auto"/>
          <w:kern w:val="0"/>
          <w:lang w:val="en-US" w:eastAsia="en-US"/>
        </w:rPr>
        <w:t xml:space="preserve">thresholds, </w:t>
      </w:r>
      <w:commentRangeEnd w:id="4"/>
      <w:r w:rsidR="009B30FC">
        <w:rPr>
          <w:rStyle w:val="CommentReference"/>
        </w:rPr>
        <w:commentReference w:id="4"/>
      </w:r>
      <w:r w:rsidRPr="00B96BA2">
        <w:rPr>
          <w:color w:val="auto"/>
          <w:kern w:val="0"/>
          <w:lang w:val="en-US" w:eastAsia="en-US"/>
        </w:rPr>
        <w:t xml:space="preserve">measurement standardization, and how </w:t>
      </w:r>
      <w:commentRangeStart w:id="5"/>
      <w:r w:rsidRPr="00B96BA2">
        <w:rPr>
          <w:color w:val="auto"/>
          <w:kern w:val="0"/>
          <w:lang w:val="en-US" w:eastAsia="en-US"/>
        </w:rPr>
        <w:t>strongly</w:t>
      </w:r>
      <w:commentRangeEnd w:id="5"/>
      <w:r w:rsidR="009B30FC">
        <w:rPr>
          <w:rStyle w:val="CommentReference"/>
        </w:rPr>
        <w:commentReference w:id="5"/>
      </w:r>
      <w:r w:rsidRPr="00B96BA2">
        <w:rPr>
          <w:color w:val="auto"/>
          <w:kern w:val="0"/>
          <w:lang w:val="en-US" w:eastAsia="en-US"/>
        </w:rPr>
        <w:t xml:space="preserve"> phenotype predicts outcomes in specific procedures. Some associations are supported by </w:t>
      </w:r>
      <w:commentRangeStart w:id="6"/>
      <w:r w:rsidRPr="00B96BA2">
        <w:rPr>
          <w:color w:val="auto"/>
          <w:kern w:val="0"/>
          <w:lang w:val="en-US" w:eastAsia="en-US"/>
        </w:rPr>
        <w:t>systematic reviews and randomized trials</w:t>
      </w:r>
      <w:commentRangeEnd w:id="6"/>
      <w:r w:rsidR="009B30FC">
        <w:rPr>
          <w:rStyle w:val="CommentReference"/>
        </w:rPr>
        <w:commentReference w:id="6"/>
      </w:r>
      <w:r w:rsidRPr="00B96BA2">
        <w:rPr>
          <w:color w:val="auto"/>
          <w:kern w:val="0"/>
          <w:lang w:val="en-US" w:eastAsia="en-US"/>
        </w:rPr>
        <w:t xml:space="preserve">, whereas others rely on consistent clinical observation and mechanistic plausibility. A careful </w:t>
      </w:r>
      <w:commentRangeStart w:id="7"/>
      <w:r w:rsidRPr="00B96BA2">
        <w:rPr>
          <w:color w:val="auto"/>
          <w:kern w:val="0"/>
          <w:lang w:val="en-US" w:eastAsia="en-US"/>
        </w:rPr>
        <w:t>synthesis</w:t>
      </w:r>
      <w:commentRangeEnd w:id="7"/>
      <w:r w:rsidR="009B30FC">
        <w:rPr>
          <w:rStyle w:val="CommentReference"/>
        </w:rPr>
        <w:commentReference w:id="7"/>
      </w:r>
      <w:r w:rsidRPr="00B96BA2">
        <w:rPr>
          <w:color w:val="auto"/>
          <w:kern w:val="0"/>
          <w:lang w:val="en-US" w:eastAsia="en-US"/>
        </w:rPr>
        <w:t xml:space="preserve"> is therefore needed to clarify what is known, what is probable, and what is still speculative</w:t>
      </w:r>
      <w:commentRangeStart w:id="8"/>
      <w:r w:rsidRPr="00B96BA2">
        <w:rPr>
          <w:color w:val="auto"/>
          <w:kern w:val="0"/>
          <w:lang w:val="en-US" w:eastAsia="en-US"/>
        </w:rPr>
        <w:t>.</w:t>
      </w:r>
      <w:commentRangeEnd w:id="8"/>
      <w:r w:rsidR="009B30FC">
        <w:rPr>
          <w:rStyle w:val="CommentReference"/>
        </w:rPr>
        <w:commentReference w:id="8"/>
      </w:r>
    </w:p>
    <w:p w14:paraId="56636C2F" w14:textId="77777777" w:rsidR="00B96BA2" w:rsidRPr="00B96BA2" w:rsidRDefault="00B96BA2" w:rsidP="00B96BA2">
      <w:pPr>
        <w:spacing w:before="100" w:beforeAutospacing="1" w:after="100" w:afterAutospacing="1" w:line="240" w:lineRule="auto"/>
        <w:ind w:left="0" w:right="0" w:firstLine="0"/>
        <w:jc w:val="left"/>
        <w:outlineLvl w:val="2"/>
        <w:rPr>
          <w:b/>
          <w:bCs/>
          <w:color w:val="auto"/>
          <w:kern w:val="0"/>
          <w:sz w:val="27"/>
          <w:szCs w:val="27"/>
          <w:lang w:val="en-US" w:eastAsia="en-US"/>
        </w:rPr>
      </w:pPr>
      <w:r w:rsidRPr="00B96BA2">
        <w:rPr>
          <w:b/>
          <w:bCs/>
          <w:color w:val="auto"/>
          <w:kern w:val="0"/>
          <w:sz w:val="27"/>
          <w:szCs w:val="27"/>
          <w:lang w:val="en-US" w:eastAsia="en-US"/>
        </w:rPr>
        <w:t>1.1 Scope and objective of the review</w:t>
      </w:r>
    </w:p>
    <w:p w14:paraId="3F3A1E71" w14:textId="77777777" w:rsidR="00B96BA2" w:rsidRPr="00B96BA2" w:rsidRDefault="00B96BA2" w:rsidP="00B96BA2">
      <w:pPr>
        <w:spacing w:before="100" w:beforeAutospacing="1" w:after="100" w:afterAutospacing="1" w:line="240" w:lineRule="auto"/>
        <w:ind w:left="0" w:right="0" w:firstLine="0"/>
        <w:jc w:val="left"/>
        <w:rPr>
          <w:color w:val="auto"/>
          <w:kern w:val="0"/>
          <w:lang w:val="en-US" w:eastAsia="en-US"/>
        </w:rPr>
      </w:pPr>
      <w:r w:rsidRPr="00B96BA2">
        <w:rPr>
          <w:color w:val="auto"/>
          <w:kern w:val="0"/>
          <w:lang w:val="en-US" w:eastAsia="en-US"/>
        </w:rPr>
        <w:t xml:space="preserve">This review aims to synthesize current evidence on (i) the evolution from gingival biotype to periodontal phenotype and its clinical meaning; (ii) validated methods to assess gingival thickness and phenotype in daily practice; (iii) biological and clinical mechanisms linking phenotype to periodontal and peri-implant outcomes; and (iv) evidence-based implications for periodontal plastic surgery, orthodontics-related recession risk, restorative procedures, and implant therapy, including phenotype modification strategies. The </w:t>
      </w:r>
      <w:commentRangeStart w:id="9"/>
      <w:r w:rsidRPr="00B96BA2">
        <w:rPr>
          <w:color w:val="auto"/>
          <w:kern w:val="0"/>
          <w:lang w:val="en-US" w:eastAsia="en-US"/>
        </w:rPr>
        <w:t>overarching</w:t>
      </w:r>
      <w:commentRangeEnd w:id="9"/>
      <w:r w:rsidR="00326096">
        <w:rPr>
          <w:rStyle w:val="CommentReference"/>
        </w:rPr>
        <w:commentReference w:id="9"/>
      </w:r>
      <w:r w:rsidRPr="00B96BA2">
        <w:rPr>
          <w:color w:val="auto"/>
          <w:kern w:val="0"/>
          <w:lang w:val="en-US" w:eastAsia="en-US"/>
        </w:rPr>
        <w:t xml:space="preserve"> objective is to support phenotype-informed treatment planning while transparently identifying areas where evidence is limited or heterogeneous.</w:t>
      </w:r>
    </w:p>
    <w:p w14:paraId="33AEA6F3" w14:textId="77777777" w:rsidR="00B96BA2" w:rsidRPr="00B96BA2" w:rsidRDefault="00B96BA2" w:rsidP="00B96BA2">
      <w:pPr>
        <w:spacing w:after="0" w:line="240" w:lineRule="auto"/>
        <w:ind w:left="0" w:right="0" w:firstLine="0"/>
        <w:jc w:val="left"/>
        <w:rPr>
          <w:color w:val="auto"/>
          <w:kern w:val="0"/>
          <w:lang w:val="en-US" w:eastAsia="en-US"/>
        </w:rPr>
      </w:pPr>
    </w:p>
    <w:p w14:paraId="4E478035" w14:textId="77777777" w:rsidR="00B96BA2" w:rsidRPr="00B96BA2" w:rsidRDefault="00B96BA2" w:rsidP="00B96BA2">
      <w:pPr>
        <w:spacing w:before="100" w:beforeAutospacing="1" w:after="100" w:afterAutospacing="1" w:line="240" w:lineRule="auto"/>
        <w:ind w:left="0" w:right="0" w:firstLine="0"/>
        <w:jc w:val="left"/>
        <w:outlineLvl w:val="1"/>
        <w:rPr>
          <w:b/>
          <w:bCs/>
          <w:color w:val="auto"/>
          <w:kern w:val="0"/>
          <w:sz w:val="36"/>
          <w:szCs w:val="36"/>
          <w:lang w:val="en-US" w:eastAsia="en-US"/>
        </w:rPr>
      </w:pPr>
      <w:r w:rsidRPr="00B96BA2">
        <w:rPr>
          <w:b/>
          <w:bCs/>
          <w:color w:val="auto"/>
          <w:kern w:val="0"/>
          <w:sz w:val="36"/>
          <w:szCs w:val="36"/>
          <w:lang w:val="en-US" w:eastAsia="en-US"/>
        </w:rPr>
        <w:t>2. Methods for literature selection</w:t>
      </w:r>
    </w:p>
    <w:p w14:paraId="280E597B" w14:textId="77777777" w:rsidR="00B96BA2" w:rsidRPr="00B96BA2" w:rsidRDefault="00B96BA2" w:rsidP="00B96BA2">
      <w:pPr>
        <w:spacing w:before="100" w:beforeAutospacing="1" w:after="100" w:afterAutospacing="1" w:line="240" w:lineRule="auto"/>
        <w:ind w:left="0" w:right="0" w:firstLine="0"/>
        <w:jc w:val="left"/>
        <w:rPr>
          <w:color w:val="auto"/>
          <w:kern w:val="0"/>
          <w:lang w:val="en-US" w:eastAsia="en-US"/>
        </w:rPr>
      </w:pPr>
      <w:r w:rsidRPr="00B96BA2">
        <w:rPr>
          <w:color w:val="auto"/>
          <w:kern w:val="0"/>
          <w:lang w:val="en-US" w:eastAsia="en-US"/>
        </w:rPr>
        <w:t xml:space="preserve">A focused narrative review was performed using electronic searches in PubMed/MEDLINE, Scopus, and Web of Science for peer-reviewed English-language literature published between January 1, 2010 and December 31, 2025. Search strings combined controlled vocabulary and free-text terms including: (“gingival biotype” OR “gingival phenotype” OR “periodontal phenotype” OR “gingival thickness” OR “mucosal thickness”) AND (“periodontics” OR “gingival recession” OR “root coverage” OR “mucogingival surgery” OR “peri-implant” OR “implant” OR “marginal bone loss” OR “orthodontic”). Reference lists of major consensus reports and recent systematic reviews were hand-searched to identify additional clinical trials and high-impact narrative reviews. Inclusion emphasized systematic reviews, meta-analyses, randomized clinical trials, and well-designed observational studies that directly assessed gingival/periodontal phenotype (or tissue thickness) in relation to </w:t>
      </w:r>
      <w:r w:rsidRPr="00B96BA2">
        <w:rPr>
          <w:color w:val="auto"/>
          <w:kern w:val="0"/>
          <w:lang w:val="en-US" w:eastAsia="en-US"/>
        </w:rPr>
        <w:lastRenderedPageBreak/>
        <w:t xml:space="preserve">clinical endpoints (recession, root coverage outcomes, marginal bone changes, or soft tissue stability). Exclusion </w:t>
      </w:r>
      <w:commentRangeStart w:id="10"/>
      <w:r w:rsidRPr="00B96BA2">
        <w:rPr>
          <w:color w:val="auto"/>
          <w:kern w:val="0"/>
          <w:lang w:val="en-US" w:eastAsia="en-US"/>
        </w:rPr>
        <w:t xml:space="preserve">prioritized </w:t>
      </w:r>
      <w:commentRangeEnd w:id="10"/>
      <w:r w:rsidR="00326096">
        <w:rPr>
          <w:rStyle w:val="CommentReference"/>
        </w:rPr>
        <w:commentReference w:id="10"/>
      </w:r>
      <w:r w:rsidRPr="00B96BA2">
        <w:rPr>
          <w:color w:val="auto"/>
          <w:kern w:val="0"/>
          <w:lang w:val="en-US" w:eastAsia="en-US"/>
        </w:rPr>
        <w:t>case reports, small case series without clear phenotype measurement, animal studies (unless necessary for mechanistic explanation), and articles lacking a verifiable DOI or published in non-indexed sources.</w:t>
      </w:r>
    </w:p>
    <w:p w14:paraId="498B908F" w14:textId="77777777" w:rsidR="00B96BA2" w:rsidRPr="00B96BA2" w:rsidRDefault="00B96BA2" w:rsidP="00B96BA2">
      <w:pPr>
        <w:spacing w:after="0" w:line="240" w:lineRule="auto"/>
        <w:ind w:left="0" w:right="0" w:firstLine="0"/>
        <w:jc w:val="left"/>
        <w:rPr>
          <w:color w:val="auto"/>
          <w:kern w:val="0"/>
          <w:lang w:val="en-US" w:eastAsia="en-US"/>
        </w:rPr>
      </w:pPr>
    </w:p>
    <w:p w14:paraId="0A35A5BA" w14:textId="77777777" w:rsidR="00B96BA2" w:rsidRPr="00B96BA2" w:rsidRDefault="00B96BA2" w:rsidP="00B96BA2">
      <w:pPr>
        <w:spacing w:before="100" w:beforeAutospacing="1" w:after="100" w:afterAutospacing="1" w:line="240" w:lineRule="auto"/>
        <w:ind w:left="0" w:right="0" w:firstLine="0"/>
        <w:jc w:val="left"/>
        <w:outlineLvl w:val="1"/>
        <w:rPr>
          <w:b/>
          <w:bCs/>
          <w:color w:val="auto"/>
          <w:kern w:val="0"/>
          <w:sz w:val="36"/>
          <w:szCs w:val="36"/>
          <w:lang w:val="en-US" w:eastAsia="en-US"/>
        </w:rPr>
      </w:pPr>
      <w:r w:rsidRPr="00B96BA2">
        <w:rPr>
          <w:b/>
          <w:bCs/>
          <w:color w:val="auto"/>
          <w:kern w:val="0"/>
          <w:sz w:val="36"/>
          <w:szCs w:val="36"/>
          <w:lang w:val="en-US" w:eastAsia="en-US"/>
        </w:rPr>
        <w:t>3. Conceptual evolution: from gingival biotype to periodontal phenotype</w:t>
      </w:r>
    </w:p>
    <w:p w14:paraId="47239A00" w14:textId="77777777" w:rsidR="00B96BA2" w:rsidRPr="00B96BA2" w:rsidRDefault="00B96BA2" w:rsidP="00B96BA2">
      <w:pPr>
        <w:spacing w:before="100" w:beforeAutospacing="1" w:after="100" w:afterAutospacing="1" w:line="240" w:lineRule="auto"/>
        <w:ind w:left="0" w:right="0" w:firstLine="0"/>
        <w:jc w:val="left"/>
        <w:rPr>
          <w:color w:val="auto"/>
          <w:kern w:val="0"/>
          <w:lang w:val="en-US" w:eastAsia="en-US"/>
        </w:rPr>
      </w:pPr>
      <w:r w:rsidRPr="00B96BA2">
        <w:rPr>
          <w:color w:val="auto"/>
          <w:kern w:val="0"/>
          <w:lang w:val="en-US" w:eastAsia="en-US"/>
        </w:rPr>
        <w:t xml:space="preserve">Historically, the term gingival biotype </w:t>
      </w:r>
      <w:commentRangeStart w:id="11"/>
      <w:r w:rsidRPr="00B96BA2">
        <w:rPr>
          <w:color w:val="auto"/>
          <w:kern w:val="0"/>
          <w:lang w:val="en-US" w:eastAsia="en-US"/>
        </w:rPr>
        <w:t>attempted</w:t>
      </w:r>
      <w:commentRangeEnd w:id="11"/>
      <w:r w:rsidR="00326096">
        <w:rPr>
          <w:rStyle w:val="CommentReference"/>
        </w:rPr>
        <w:commentReference w:id="11"/>
      </w:r>
      <w:r w:rsidRPr="00B96BA2">
        <w:rPr>
          <w:color w:val="auto"/>
          <w:kern w:val="0"/>
          <w:lang w:val="en-US" w:eastAsia="en-US"/>
        </w:rPr>
        <w:t xml:space="preserve"> to capture a clinically recognizable pattern: thin scalloped tissues with delicate architecture versus thick flat tissues with denser fibrous quality. This framework provided a quick chairside heuristic and helped explain why similar plaque levels or similar surgical procedures could yield different marginal tissue outcomes. However, the gingiva does not function in isolation from the tooth–bone complex. A thin gingival margin often coincides with thinner buccal bone plates and a more scalloped osseous profile, whereas thicker gingiva is more frequently paired with thicker, flatter bone. Consequently, modern classification and consensus documents emphasize phenotype as a multidimensional profile rather than a single trait (Caton et al., 2018; Jepsen et al., 2018; Papapanou et al., 2018).</w:t>
      </w:r>
    </w:p>
    <w:p w14:paraId="3BD7CC24" w14:textId="77777777" w:rsidR="00B96BA2" w:rsidRPr="00B96BA2" w:rsidRDefault="00B96BA2" w:rsidP="00B96BA2">
      <w:pPr>
        <w:spacing w:before="100" w:beforeAutospacing="1" w:after="100" w:afterAutospacing="1" w:line="240" w:lineRule="auto"/>
        <w:ind w:left="0" w:right="0" w:firstLine="0"/>
        <w:jc w:val="left"/>
        <w:outlineLvl w:val="2"/>
        <w:rPr>
          <w:b/>
          <w:bCs/>
          <w:color w:val="auto"/>
          <w:kern w:val="0"/>
          <w:sz w:val="27"/>
          <w:szCs w:val="27"/>
          <w:lang w:val="en-US" w:eastAsia="en-US"/>
        </w:rPr>
      </w:pPr>
      <w:r w:rsidRPr="00B96BA2">
        <w:rPr>
          <w:b/>
          <w:bCs/>
          <w:color w:val="auto"/>
          <w:kern w:val="0"/>
          <w:sz w:val="27"/>
          <w:szCs w:val="27"/>
          <w:lang w:val="en-US" w:eastAsia="en-US"/>
        </w:rPr>
        <w:t>3.1 Definitions and components</w:t>
      </w:r>
    </w:p>
    <w:p w14:paraId="60BF4842" w14:textId="77777777" w:rsidR="00B96BA2" w:rsidRPr="00B96BA2" w:rsidRDefault="00B96BA2" w:rsidP="00B96BA2">
      <w:pPr>
        <w:spacing w:before="100" w:beforeAutospacing="1" w:after="100" w:afterAutospacing="1" w:line="240" w:lineRule="auto"/>
        <w:ind w:left="0" w:right="0" w:firstLine="0"/>
        <w:jc w:val="left"/>
        <w:rPr>
          <w:color w:val="auto"/>
          <w:kern w:val="0"/>
          <w:lang w:val="en-US" w:eastAsia="en-US"/>
        </w:rPr>
      </w:pPr>
      <w:r w:rsidRPr="00B96BA2">
        <w:rPr>
          <w:color w:val="auto"/>
          <w:kern w:val="0"/>
          <w:lang w:val="en-US" w:eastAsia="en-US"/>
        </w:rPr>
        <w:t xml:space="preserve">Within the contemporary periodontal framework, phenotype typically includes gingival thickness, keratinized tissue dimensions, and the morphologic context that influences recession susceptibility and wound stability. While terminology varies across publications, the central idea is consistent: clinicians should assess both the soft tissue envelope and the </w:t>
      </w:r>
      <w:commentRangeStart w:id="12"/>
      <w:r w:rsidRPr="00B96BA2">
        <w:rPr>
          <w:color w:val="auto"/>
          <w:kern w:val="0"/>
          <w:lang w:val="en-US" w:eastAsia="en-US"/>
        </w:rPr>
        <w:t xml:space="preserve">anatomic </w:t>
      </w:r>
      <w:commentRangeEnd w:id="12"/>
      <w:r w:rsidR="005B18D2">
        <w:rPr>
          <w:rStyle w:val="CommentReference"/>
        </w:rPr>
        <w:commentReference w:id="12"/>
      </w:r>
      <w:r w:rsidRPr="00B96BA2">
        <w:rPr>
          <w:color w:val="auto"/>
          <w:kern w:val="0"/>
          <w:lang w:val="en-US" w:eastAsia="en-US"/>
        </w:rPr>
        <w:t xml:space="preserve">support that will influence </w:t>
      </w:r>
      <w:commentRangeStart w:id="13"/>
      <w:r w:rsidRPr="00B96BA2">
        <w:rPr>
          <w:color w:val="auto"/>
          <w:kern w:val="0"/>
          <w:lang w:val="en-US" w:eastAsia="en-US"/>
        </w:rPr>
        <w:t>response</w:t>
      </w:r>
      <w:commentRangeEnd w:id="13"/>
      <w:r w:rsidR="005B18D2">
        <w:rPr>
          <w:rStyle w:val="CommentReference"/>
        </w:rPr>
        <w:commentReference w:id="13"/>
      </w:r>
      <w:r w:rsidRPr="00B96BA2">
        <w:rPr>
          <w:color w:val="auto"/>
          <w:kern w:val="0"/>
          <w:lang w:val="en-US" w:eastAsia="en-US"/>
        </w:rPr>
        <w:t xml:space="preserve"> to therapy. In peri-implant care, the parallel construct of the peri-implant phenotype has been proposed to extend phenotype thinking to mucosal thickness and keratinized mucosa around implants, recognizing differences between tooth-associated supracrestal attachment and implant-associated mucosal sealing (Avila-Ortiz et al., 2020).</w:t>
      </w:r>
    </w:p>
    <w:p w14:paraId="2543FB3F" w14:textId="77777777" w:rsidR="00B96BA2" w:rsidRPr="00B96BA2" w:rsidRDefault="00B96BA2" w:rsidP="00B96BA2">
      <w:pPr>
        <w:spacing w:before="100" w:beforeAutospacing="1" w:after="100" w:afterAutospacing="1" w:line="240" w:lineRule="auto"/>
        <w:ind w:left="0" w:right="0" w:firstLine="0"/>
        <w:jc w:val="left"/>
        <w:outlineLvl w:val="2"/>
        <w:rPr>
          <w:b/>
          <w:bCs/>
          <w:color w:val="auto"/>
          <w:kern w:val="0"/>
          <w:sz w:val="27"/>
          <w:szCs w:val="27"/>
          <w:lang w:val="en-US" w:eastAsia="en-US"/>
        </w:rPr>
      </w:pPr>
      <w:r w:rsidRPr="00B96BA2">
        <w:rPr>
          <w:b/>
          <w:bCs/>
          <w:color w:val="auto"/>
          <w:kern w:val="0"/>
          <w:sz w:val="27"/>
          <w:szCs w:val="27"/>
          <w:lang w:val="en-US" w:eastAsia="en-US"/>
        </w:rPr>
        <w:t>3.2 Why phenotype matters biologically</w:t>
      </w:r>
    </w:p>
    <w:p w14:paraId="3C0A6F9C" w14:textId="77777777" w:rsidR="00B96BA2" w:rsidRPr="00B96BA2" w:rsidRDefault="00B96BA2" w:rsidP="00B96BA2">
      <w:pPr>
        <w:spacing w:before="100" w:beforeAutospacing="1" w:after="100" w:afterAutospacing="1" w:line="240" w:lineRule="auto"/>
        <w:ind w:left="0" w:right="0" w:firstLine="0"/>
        <w:jc w:val="left"/>
        <w:rPr>
          <w:color w:val="auto"/>
          <w:kern w:val="0"/>
          <w:lang w:val="en-US" w:eastAsia="en-US"/>
        </w:rPr>
      </w:pPr>
      <w:r w:rsidRPr="00B96BA2">
        <w:rPr>
          <w:color w:val="auto"/>
          <w:kern w:val="0"/>
          <w:lang w:val="en-US" w:eastAsia="en-US"/>
        </w:rPr>
        <w:t xml:space="preserve">Phenotype influences mechanical resistance, vascular supply distribution, collagen density, and the capacity of tissues to withstand inflammatory breakdown without apical migration of the marginal tissue. Thin marginal tissues have less connective tissue volume and may be less tolerant of surgical trauma, flap tension, or remodeling events that accompany orthodontic tooth movement and restorative margin manipulation. In implant sites, mucosal thickness has been linked to the magnitude of early crestal bone remodeling, </w:t>
      </w:r>
      <w:commentRangeStart w:id="14"/>
      <w:r w:rsidRPr="00B96BA2">
        <w:rPr>
          <w:color w:val="auto"/>
          <w:kern w:val="0"/>
          <w:lang w:val="en-US" w:eastAsia="en-US"/>
        </w:rPr>
        <w:t>plausibly</w:t>
      </w:r>
      <w:commentRangeEnd w:id="14"/>
      <w:r w:rsidR="005B18D2">
        <w:rPr>
          <w:rStyle w:val="CommentReference"/>
        </w:rPr>
        <w:commentReference w:id="14"/>
      </w:r>
      <w:r w:rsidRPr="00B96BA2">
        <w:rPr>
          <w:color w:val="auto"/>
          <w:kern w:val="0"/>
          <w:lang w:val="en-US" w:eastAsia="en-US"/>
        </w:rPr>
        <w:t xml:space="preserve"> because thin soft tissues may require additional bone resorption to establish a stable supracrestal soft tissue dimension (Di Gianfilippo et al., 2020; Tang et al., 2023). These biologic tendencies do not mean phenotype determines outcome alone; rather, phenotype modifies </w:t>
      </w:r>
      <w:commentRangeStart w:id="15"/>
      <w:r w:rsidRPr="00B96BA2">
        <w:rPr>
          <w:color w:val="auto"/>
          <w:kern w:val="0"/>
          <w:lang w:val="en-US" w:eastAsia="en-US"/>
        </w:rPr>
        <w:t>probability distributions</w:t>
      </w:r>
      <w:commentRangeEnd w:id="15"/>
      <w:r w:rsidR="005B18D2">
        <w:rPr>
          <w:rStyle w:val="CommentReference"/>
        </w:rPr>
        <w:commentReference w:id="15"/>
      </w:r>
      <w:r w:rsidRPr="00B96BA2">
        <w:rPr>
          <w:color w:val="auto"/>
          <w:kern w:val="0"/>
          <w:lang w:val="en-US" w:eastAsia="en-US"/>
        </w:rPr>
        <w:t xml:space="preserve"> of outcomes, interacting with plaque control, surgical design, flap thickness, restorative design, and patient-level risks such as smoking or systemic health.</w:t>
      </w:r>
    </w:p>
    <w:p w14:paraId="776897B3" w14:textId="77777777" w:rsidR="00B96BA2" w:rsidRPr="00B96BA2" w:rsidRDefault="00B96BA2" w:rsidP="00B96BA2">
      <w:pPr>
        <w:spacing w:after="0" w:line="240" w:lineRule="auto"/>
        <w:ind w:left="0" w:right="0" w:firstLine="0"/>
        <w:jc w:val="left"/>
        <w:rPr>
          <w:color w:val="auto"/>
          <w:kern w:val="0"/>
          <w:lang w:val="en-US" w:eastAsia="en-US"/>
        </w:rPr>
      </w:pPr>
    </w:p>
    <w:p w14:paraId="02909AAD" w14:textId="77777777" w:rsidR="00B96BA2" w:rsidRPr="00B96BA2" w:rsidRDefault="00B96BA2" w:rsidP="00B96BA2">
      <w:pPr>
        <w:spacing w:before="100" w:beforeAutospacing="1" w:after="100" w:afterAutospacing="1" w:line="240" w:lineRule="auto"/>
        <w:ind w:left="0" w:right="0" w:firstLine="0"/>
        <w:jc w:val="left"/>
        <w:outlineLvl w:val="1"/>
        <w:rPr>
          <w:b/>
          <w:bCs/>
          <w:color w:val="auto"/>
          <w:kern w:val="0"/>
          <w:sz w:val="36"/>
          <w:szCs w:val="36"/>
          <w:lang w:val="en-US" w:eastAsia="en-US"/>
        </w:rPr>
      </w:pPr>
      <w:r w:rsidRPr="00B96BA2">
        <w:rPr>
          <w:b/>
          <w:bCs/>
          <w:color w:val="auto"/>
          <w:kern w:val="0"/>
          <w:sz w:val="36"/>
          <w:szCs w:val="36"/>
          <w:lang w:val="en-US" w:eastAsia="en-US"/>
        </w:rPr>
        <w:lastRenderedPageBreak/>
        <w:t>4. Assessment of gingival biotype and periodontal phenotype in clinical practice</w:t>
      </w:r>
    </w:p>
    <w:p w14:paraId="008AA0DD" w14:textId="77777777" w:rsidR="00B96BA2" w:rsidRPr="00B96BA2" w:rsidRDefault="00B96BA2" w:rsidP="00B96BA2">
      <w:pPr>
        <w:spacing w:before="100" w:beforeAutospacing="1" w:after="100" w:afterAutospacing="1" w:line="240" w:lineRule="auto"/>
        <w:ind w:left="0" w:right="0" w:firstLine="0"/>
        <w:jc w:val="left"/>
        <w:rPr>
          <w:color w:val="auto"/>
          <w:kern w:val="0"/>
          <w:lang w:val="en-US" w:eastAsia="en-US"/>
        </w:rPr>
      </w:pPr>
      <w:r w:rsidRPr="00B96BA2">
        <w:rPr>
          <w:color w:val="auto"/>
          <w:kern w:val="0"/>
          <w:lang w:val="en-US" w:eastAsia="en-US"/>
        </w:rPr>
        <w:t xml:space="preserve">A major barrier to phenotype-based decision-making has been </w:t>
      </w:r>
      <w:commentRangeStart w:id="16"/>
      <w:r w:rsidRPr="00B96BA2">
        <w:rPr>
          <w:color w:val="auto"/>
          <w:kern w:val="0"/>
          <w:lang w:val="en-US" w:eastAsia="en-US"/>
        </w:rPr>
        <w:t xml:space="preserve">inconsistency in measurement. </w:t>
      </w:r>
      <w:commentRangeEnd w:id="16"/>
      <w:r w:rsidR="00F124D2">
        <w:rPr>
          <w:rStyle w:val="CommentReference"/>
        </w:rPr>
        <w:commentReference w:id="16"/>
      </w:r>
      <w:r w:rsidRPr="00B96BA2">
        <w:rPr>
          <w:color w:val="auto"/>
          <w:kern w:val="0"/>
          <w:lang w:val="en-US" w:eastAsia="en-US"/>
        </w:rPr>
        <w:t>Clinicians frequently rely on visual assessment, but inter-examiner agreement can be modest, particularly for intermediate tissue thicknesses. This has driven interest in methods that are minimally invasive yet reproducible.</w:t>
      </w:r>
    </w:p>
    <w:p w14:paraId="6149F2BC" w14:textId="77777777" w:rsidR="00B96BA2" w:rsidRPr="00B96BA2" w:rsidRDefault="00B96BA2" w:rsidP="00B96BA2">
      <w:pPr>
        <w:spacing w:before="100" w:beforeAutospacing="1" w:after="100" w:afterAutospacing="1" w:line="240" w:lineRule="auto"/>
        <w:ind w:left="0" w:right="0" w:firstLine="0"/>
        <w:jc w:val="left"/>
        <w:rPr>
          <w:color w:val="auto"/>
          <w:kern w:val="0"/>
          <w:lang w:val="en-US" w:eastAsia="en-US"/>
        </w:rPr>
      </w:pPr>
      <w:r w:rsidRPr="00B96BA2">
        <w:rPr>
          <w:color w:val="auto"/>
          <w:kern w:val="0"/>
          <w:lang w:val="en-US" w:eastAsia="en-US"/>
        </w:rPr>
        <w:t>Probe transparency has been widely used because it is simple, inexpensive, and quick. The principle is straightforward: if the periodontal probe is visible through the marginal tissue at the sulcus, the phenotype is likely thin; if not visible, thicker tissue is presumed. However, the dichotomous nature of probe transparency may fail to distinguish moderate categories, and tissue pigmentation, inflammation, and probe design may alter visibility thresholds. Efforts to refine transparency-based classification and standardize thresholds have been explored in preclinical and clinical contexts, highlighting that “thin vs thick” may be overly reductive for risk stratification (Fischer et al., 2021).</w:t>
      </w:r>
    </w:p>
    <w:p w14:paraId="6CF20CD3" w14:textId="77777777" w:rsidR="00B96BA2" w:rsidRPr="00B96BA2" w:rsidRDefault="00B96BA2" w:rsidP="00B96BA2">
      <w:pPr>
        <w:spacing w:before="100" w:beforeAutospacing="1" w:after="100" w:afterAutospacing="1" w:line="240" w:lineRule="auto"/>
        <w:ind w:left="0" w:right="0" w:firstLine="0"/>
        <w:jc w:val="left"/>
        <w:rPr>
          <w:color w:val="auto"/>
          <w:kern w:val="0"/>
          <w:lang w:val="en-US" w:eastAsia="en-US"/>
        </w:rPr>
      </w:pPr>
      <w:r w:rsidRPr="00B96BA2">
        <w:rPr>
          <w:color w:val="auto"/>
          <w:kern w:val="0"/>
          <w:lang w:val="en-US" w:eastAsia="en-US"/>
        </w:rPr>
        <w:t>Direct measurements using transgingival probing or endodontic spreaders can provide numerical thickness values but are invasive and may be influenced by probing pressure and tissue compressibility. Ultrasound-based devices offer a noninvasive alternative and have been increasingly studied, though access and cost remain barriers in routine settings. Digital workflows are also gaining attention: CBCT can estimate hard tissue morphotype, while intraoral scanning and soft tissue surface models can support phenotype mapping when integrated with other data. A Periodontology 2000 review emphasized that digital diagnostic approaches may enable more standardized phenotype assessment, especially when soft tissue and bone data are combined to support personalized planning (</w:t>
      </w:r>
      <w:r w:rsidR="00345946">
        <w:rPr>
          <w:color w:val="auto"/>
          <w:kern w:val="0"/>
          <w:lang w:val="en-US" w:eastAsia="en-US"/>
        </w:rPr>
        <w:t>Schulze et al., 2024</w:t>
      </w:r>
      <w:r w:rsidRPr="00B96BA2">
        <w:rPr>
          <w:color w:val="auto"/>
          <w:kern w:val="0"/>
          <w:lang w:val="en-US" w:eastAsia="en-US"/>
        </w:rPr>
        <w:t>). Nevertheless, CBCT-based soft tissue thickness estimation can be technique-sensitive and affected by voxel size, soft tissue contrast, and artifacts, underscoring the need for validated protocols.</w:t>
      </w:r>
    </w:p>
    <w:p w14:paraId="1CE2F563" w14:textId="77777777" w:rsidR="00B96BA2" w:rsidRPr="00B96BA2" w:rsidRDefault="00B96BA2" w:rsidP="00B96BA2">
      <w:pPr>
        <w:spacing w:before="100" w:beforeAutospacing="1" w:after="100" w:afterAutospacing="1" w:line="240" w:lineRule="auto"/>
        <w:ind w:left="0" w:right="0" w:firstLine="0"/>
        <w:jc w:val="left"/>
        <w:rPr>
          <w:color w:val="auto"/>
          <w:kern w:val="0"/>
          <w:lang w:val="en-US" w:eastAsia="en-US"/>
        </w:rPr>
      </w:pPr>
      <w:r w:rsidRPr="00B96BA2">
        <w:rPr>
          <w:color w:val="auto"/>
          <w:kern w:val="0"/>
          <w:lang w:val="en-US" w:eastAsia="en-US"/>
        </w:rPr>
        <w:t>Recent investigations revisiting phenotype classification suggest that clinically meaningful stratification may require more than a single measurement site and may benefit from integrated approaches that consider gingival thickness, keratinized tissue width, and the clinical context (</w:t>
      </w:r>
      <w:r w:rsidR="007521D0">
        <w:rPr>
          <w:color w:val="auto"/>
          <w:kern w:val="0"/>
          <w:lang w:val="en-US" w:eastAsia="en-US"/>
        </w:rPr>
        <w:t>Yildirim Bolat &amp; Lutfioglu, 2025</w:t>
      </w:r>
      <w:r w:rsidRPr="00B96BA2">
        <w:rPr>
          <w:color w:val="auto"/>
          <w:kern w:val="0"/>
          <w:lang w:val="en-US" w:eastAsia="en-US"/>
        </w:rPr>
        <w:t xml:space="preserve">). From a pragmatic standpoint, the most clinically useful approach is often a two-step method: initial chairside screening using probe transparency and phenotype cues (tooth form, scallop, keratinized tissue width), followed by quantitative measurement (transgingival probing, ultrasound, or digital methods) when high-stakes </w:t>
      </w:r>
      <w:r w:rsidRPr="00F124D2">
        <w:rPr>
          <w:color w:val="auto"/>
          <w:kern w:val="0"/>
          <w:highlight w:val="red"/>
          <w:lang w:val="en-US" w:eastAsia="en-US"/>
        </w:rPr>
        <w:t>aesthetic</w:t>
      </w:r>
      <w:r w:rsidRPr="00B96BA2">
        <w:rPr>
          <w:color w:val="auto"/>
          <w:kern w:val="0"/>
          <w:lang w:val="en-US" w:eastAsia="en-US"/>
        </w:rPr>
        <w:t xml:space="preserve"> or surgical decisions are being made.</w:t>
      </w:r>
    </w:p>
    <w:p w14:paraId="49EC9EAC" w14:textId="77777777" w:rsidR="00B96BA2" w:rsidRPr="00B96BA2" w:rsidRDefault="00B96BA2" w:rsidP="00B96BA2">
      <w:pPr>
        <w:spacing w:after="0" w:line="240" w:lineRule="auto"/>
        <w:ind w:left="0" w:right="0" w:firstLine="0"/>
        <w:jc w:val="left"/>
        <w:rPr>
          <w:color w:val="auto"/>
          <w:kern w:val="0"/>
          <w:lang w:val="en-US" w:eastAsia="en-US"/>
        </w:rPr>
      </w:pPr>
    </w:p>
    <w:p w14:paraId="158FFFCF" w14:textId="77777777" w:rsidR="00B96BA2" w:rsidRPr="00B96BA2" w:rsidRDefault="00B96BA2" w:rsidP="00B96BA2">
      <w:pPr>
        <w:spacing w:before="100" w:beforeAutospacing="1" w:after="100" w:afterAutospacing="1" w:line="240" w:lineRule="auto"/>
        <w:ind w:left="0" w:right="0" w:firstLine="0"/>
        <w:jc w:val="left"/>
        <w:outlineLvl w:val="1"/>
        <w:rPr>
          <w:b/>
          <w:bCs/>
          <w:color w:val="auto"/>
          <w:kern w:val="0"/>
          <w:sz w:val="36"/>
          <w:szCs w:val="36"/>
          <w:lang w:val="en-US" w:eastAsia="en-US"/>
        </w:rPr>
      </w:pPr>
      <w:r w:rsidRPr="00B96BA2">
        <w:rPr>
          <w:b/>
          <w:bCs/>
          <w:color w:val="auto"/>
          <w:kern w:val="0"/>
          <w:sz w:val="36"/>
          <w:szCs w:val="36"/>
          <w:lang w:val="en-US" w:eastAsia="en-US"/>
        </w:rPr>
        <w:t>5. Phenotype and susceptibility to recession, inflammation patterns, and stability</w:t>
      </w:r>
    </w:p>
    <w:p w14:paraId="50555B13" w14:textId="77777777" w:rsidR="00B96BA2" w:rsidRPr="00B96BA2" w:rsidRDefault="00B96BA2" w:rsidP="00B96BA2">
      <w:pPr>
        <w:spacing w:before="100" w:beforeAutospacing="1" w:after="100" w:afterAutospacing="1" w:line="240" w:lineRule="auto"/>
        <w:ind w:left="0" w:right="0" w:firstLine="0"/>
        <w:jc w:val="left"/>
        <w:rPr>
          <w:color w:val="auto"/>
          <w:kern w:val="0"/>
          <w:lang w:val="en-US" w:eastAsia="en-US"/>
        </w:rPr>
      </w:pPr>
      <w:r w:rsidRPr="00B96BA2">
        <w:rPr>
          <w:color w:val="auto"/>
          <w:kern w:val="0"/>
          <w:lang w:val="en-US" w:eastAsia="en-US"/>
        </w:rPr>
        <w:t xml:space="preserve">Gingival recession is multifactorial, involving plaque-induced inflammation, traumatic brushing, thin labial bone, tooth malposition, frenum pull, and iatrogenic factors. Phenotype interacts with many of these risks. Thin phenotypes are often described as </w:t>
      </w:r>
      <w:commentRangeStart w:id="17"/>
      <w:r w:rsidRPr="00B96BA2">
        <w:rPr>
          <w:color w:val="auto"/>
          <w:kern w:val="0"/>
          <w:lang w:val="en-US" w:eastAsia="en-US"/>
        </w:rPr>
        <w:t xml:space="preserve">“recession-prone,” </w:t>
      </w:r>
      <w:commentRangeEnd w:id="17"/>
      <w:r w:rsidR="004B3DA4">
        <w:rPr>
          <w:rStyle w:val="CommentReference"/>
        </w:rPr>
        <w:commentReference w:id="17"/>
      </w:r>
      <w:r w:rsidRPr="00B96BA2">
        <w:rPr>
          <w:color w:val="auto"/>
          <w:kern w:val="0"/>
          <w:lang w:val="en-US" w:eastAsia="en-US"/>
        </w:rPr>
        <w:t xml:space="preserve">meaning that when the periodontium is challenged, the marginal tissue is more likely to </w:t>
      </w:r>
      <w:r w:rsidRPr="00B96BA2">
        <w:rPr>
          <w:color w:val="auto"/>
          <w:kern w:val="0"/>
          <w:lang w:val="en-US" w:eastAsia="en-US"/>
        </w:rPr>
        <w:lastRenderedPageBreak/>
        <w:t>migrate apically rather than maintain its coronal position. Thick phenotypes may instead show a tendency toward pocket formation or fibrotic enlargement under inflammatory challenge, though this is not universally observed and depends on host response and plaque levels.</w:t>
      </w:r>
    </w:p>
    <w:p w14:paraId="7593CE8D" w14:textId="77777777" w:rsidR="00B96BA2" w:rsidRPr="00B96BA2" w:rsidRDefault="00B96BA2" w:rsidP="00B96BA2">
      <w:pPr>
        <w:spacing w:before="100" w:beforeAutospacing="1" w:after="100" w:afterAutospacing="1" w:line="240" w:lineRule="auto"/>
        <w:ind w:left="0" w:right="0" w:firstLine="0"/>
        <w:jc w:val="left"/>
        <w:rPr>
          <w:color w:val="auto"/>
          <w:kern w:val="0"/>
          <w:lang w:val="en-US" w:eastAsia="en-US"/>
        </w:rPr>
      </w:pPr>
      <w:r w:rsidRPr="00B96BA2">
        <w:rPr>
          <w:color w:val="auto"/>
          <w:kern w:val="0"/>
          <w:lang w:val="en-US" w:eastAsia="en-US"/>
        </w:rPr>
        <w:t xml:space="preserve">From a clinical risk perspective, phenotype contributes to “tissue tolerance.” When tissues are thin, even modest inflammation or mechanical insult can exceed the threshold for stable marginal position, particularly where buccal bone is thin or </w:t>
      </w:r>
      <w:commentRangeStart w:id="18"/>
      <w:r w:rsidRPr="00B96BA2">
        <w:rPr>
          <w:color w:val="auto"/>
          <w:kern w:val="0"/>
          <w:lang w:val="en-US" w:eastAsia="en-US"/>
        </w:rPr>
        <w:t>dehisced</w:t>
      </w:r>
      <w:commentRangeEnd w:id="18"/>
      <w:r w:rsidR="004B3DA4">
        <w:rPr>
          <w:rStyle w:val="CommentReference"/>
        </w:rPr>
        <w:commentReference w:id="18"/>
      </w:r>
      <w:r w:rsidRPr="00B96BA2">
        <w:rPr>
          <w:color w:val="auto"/>
          <w:kern w:val="0"/>
          <w:lang w:val="en-US" w:eastAsia="en-US"/>
        </w:rPr>
        <w:t>. The association between gingival phenotype and buccal bone thickness has been evaluated in systematic reviews, supporting the concept that soft tissue and bone morphotype are frequently linked, although correlation strength varies and measurement methods contribute to heterogeneity (</w:t>
      </w:r>
      <w:r w:rsidR="00345946">
        <w:rPr>
          <w:color w:val="auto"/>
          <w:kern w:val="0"/>
          <w:lang w:val="en-US" w:eastAsia="en-US"/>
        </w:rPr>
        <w:t>Shafizadeh et al., 2022</w:t>
      </w:r>
      <w:r w:rsidRPr="00B96BA2">
        <w:rPr>
          <w:color w:val="auto"/>
          <w:kern w:val="0"/>
          <w:lang w:val="en-US" w:eastAsia="en-US"/>
        </w:rPr>
        <w:t>). This relationship explains why phenotype should not be considered purely cosmetic; it is often a surrogate for supporting anatomy and thus for stability.</w:t>
      </w:r>
    </w:p>
    <w:p w14:paraId="4267F195" w14:textId="77777777" w:rsidR="00B96BA2" w:rsidRPr="00B96BA2" w:rsidRDefault="00B96BA2" w:rsidP="00B96BA2">
      <w:pPr>
        <w:spacing w:after="0" w:line="240" w:lineRule="auto"/>
        <w:ind w:left="0" w:right="0" w:firstLine="0"/>
        <w:jc w:val="left"/>
        <w:rPr>
          <w:color w:val="auto"/>
          <w:kern w:val="0"/>
          <w:lang w:val="en-US" w:eastAsia="en-US"/>
        </w:rPr>
      </w:pPr>
    </w:p>
    <w:p w14:paraId="28ABAC6F" w14:textId="77777777" w:rsidR="00B96BA2" w:rsidRPr="00B96BA2" w:rsidRDefault="00B96BA2" w:rsidP="00B96BA2">
      <w:pPr>
        <w:spacing w:before="100" w:beforeAutospacing="1" w:after="100" w:afterAutospacing="1" w:line="240" w:lineRule="auto"/>
        <w:ind w:left="0" w:right="0" w:firstLine="0"/>
        <w:jc w:val="left"/>
        <w:outlineLvl w:val="1"/>
        <w:rPr>
          <w:b/>
          <w:bCs/>
          <w:color w:val="auto"/>
          <w:kern w:val="0"/>
          <w:sz w:val="36"/>
          <w:szCs w:val="36"/>
          <w:lang w:val="en-US" w:eastAsia="en-US"/>
        </w:rPr>
      </w:pPr>
      <w:r w:rsidRPr="00B96BA2">
        <w:rPr>
          <w:b/>
          <w:bCs/>
          <w:color w:val="auto"/>
          <w:kern w:val="0"/>
          <w:sz w:val="36"/>
          <w:szCs w:val="36"/>
          <w:lang w:val="en-US" w:eastAsia="en-US"/>
        </w:rPr>
        <w:t>6. Clinical importance in periodontal therapy and mucogingival surgery</w:t>
      </w:r>
    </w:p>
    <w:p w14:paraId="5D02E6DA" w14:textId="77777777" w:rsidR="00B96BA2" w:rsidRPr="00B96BA2" w:rsidRDefault="00B96BA2" w:rsidP="00B96BA2">
      <w:pPr>
        <w:spacing w:before="100" w:beforeAutospacing="1" w:after="100" w:afterAutospacing="1" w:line="240" w:lineRule="auto"/>
        <w:ind w:left="0" w:right="0" w:firstLine="0"/>
        <w:jc w:val="left"/>
        <w:rPr>
          <w:color w:val="auto"/>
          <w:kern w:val="0"/>
          <w:lang w:val="en-US" w:eastAsia="en-US"/>
        </w:rPr>
      </w:pPr>
      <w:r w:rsidRPr="00B96BA2">
        <w:rPr>
          <w:color w:val="auto"/>
          <w:kern w:val="0"/>
          <w:lang w:val="en-US" w:eastAsia="en-US"/>
        </w:rPr>
        <w:t>Phenotype considerations become most tangible in surgical outcomes. Periodontal plastic surgery, crown lengthening, and regenerative procedures involve deliberate manipulation of the marginal tissues, and the baseline thickness of both flap and marginal gingiva can influence stability during healing.</w:t>
      </w:r>
    </w:p>
    <w:p w14:paraId="535F32CE" w14:textId="77777777" w:rsidR="00B96BA2" w:rsidRPr="00B96BA2" w:rsidRDefault="00B96BA2" w:rsidP="00B96BA2">
      <w:pPr>
        <w:spacing w:before="100" w:beforeAutospacing="1" w:after="100" w:afterAutospacing="1" w:line="240" w:lineRule="auto"/>
        <w:ind w:left="0" w:right="0" w:firstLine="0"/>
        <w:jc w:val="left"/>
        <w:outlineLvl w:val="2"/>
        <w:rPr>
          <w:b/>
          <w:bCs/>
          <w:color w:val="auto"/>
          <w:kern w:val="0"/>
          <w:sz w:val="27"/>
          <w:szCs w:val="27"/>
          <w:lang w:val="en-US" w:eastAsia="en-US"/>
        </w:rPr>
      </w:pPr>
      <w:r w:rsidRPr="00B96BA2">
        <w:rPr>
          <w:b/>
          <w:bCs/>
          <w:color w:val="auto"/>
          <w:kern w:val="0"/>
          <w:sz w:val="27"/>
          <w:szCs w:val="27"/>
          <w:lang w:val="en-US" w:eastAsia="en-US"/>
        </w:rPr>
        <w:t>6.1 Root coverage and soft tissue stability</w:t>
      </w:r>
    </w:p>
    <w:p w14:paraId="062CDB1C" w14:textId="77777777" w:rsidR="00B96BA2" w:rsidRPr="00B96BA2" w:rsidRDefault="00B96BA2" w:rsidP="00B96BA2">
      <w:pPr>
        <w:spacing w:before="100" w:beforeAutospacing="1" w:after="100" w:afterAutospacing="1" w:line="240" w:lineRule="auto"/>
        <w:ind w:left="0" w:right="0" w:firstLine="0"/>
        <w:jc w:val="left"/>
        <w:rPr>
          <w:color w:val="auto"/>
          <w:kern w:val="0"/>
          <w:lang w:val="en-US" w:eastAsia="en-US"/>
        </w:rPr>
      </w:pPr>
      <w:r w:rsidRPr="00B96BA2">
        <w:rPr>
          <w:color w:val="auto"/>
          <w:kern w:val="0"/>
          <w:lang w:val="en-US" w:eastAsia="en-US"/>
        </w:rPr>
        <w:t xml:space="preserve">Root coverage procedures for gingival recession have increasingly emphasized not only the amount of coronal root coverage achieved but also long-term stability, patient-centered aesthetics, and thickness gain. Studies and long-term follow-ups suggest that thicker marginal tissues and greater flap thickness are associated with more stable root coverage and improved likelihood of complete coverage, especially for challenging recessions. A randomized clinical trial comparing tunnel techniques and coronally advanced flap approaches for multiple recession defects reported that baseline phenotype and recession type influence outcomes, reinforcing the concept that root coverage is not a </w:t>
      </w:r>
      <w:commentRangeStart w:id="19"/>
      <w:r w:rsidRPr="00B96BA2">
        <w:rPr>
          <w:color w:val="auto"/>
          <w:kern w:val="0"/>
          <w:lang w:val="en-US" w:eastAsia="en-US"/>
        </w:rPr>
        <w:t>one-size-fits-all procedure and that phenotype modifies predictability</w:t>
      </w:r>
      <w:commentRangeEnd w:id="19"/>
      <w:r w:rsidR="004B3DA4">
        <w:rPr>
          <w:rStyle w:val="CommentReference"/>
        </w:rPr>
        <w:commentReference w:id="19"/>
      </w:r>
      <w:r w:rsidRPr="00B96BA2">
        <w:rPr>
          <w:color w:val="auto"/>
          <w:kern w:val="0"/>
          <w:lang w:val="en-US" w:eastAsia="en-US"/>
        </w:rPr>
        <w:t xml:space="preserve"> (Zucchelli et al., 2014). Other randomized clinical evidence indicates that surgical strategies that increase gingival thickness may enhance outcomes in complex recession presentations (Cairo et al., 2020). Long-term follow-up data further suggest that stability can be maintained over years when adequate tissue thickness and careful technique are achieved, but relapse risk remains higher when baseline conditions are unfavorable (Rasperini et al., 2018).</w:t>
      </w:r>
    </w:p>
    <w:p w14:paraId="01DE8596" w14:textId="77777777" w:rsidR="00B96BA2" w:rsidRPr="00B96BA2" w:rsidRDefault="00B96BA2" w:rsidP="00B96BA2">
      <w:pPr>
        <w:spacing w:before="100" w:beforeAutospacing="1" w:after="100" w:afterAutospacing="1" w:line="240" w:lineRule="auto"/>
        <w:ind w:left="0" w:right="0" w:firstLine="0"/>
        <w:jc w:val="left"/>
        <w:rPr>
          <w:color w:val="auto"/>
          <w:kern w:val="0"/>
          <w:lang w:val="en-US" w:eastAsia="en-US"/>
        </w:rPr>
      </w:pPr>
      <w:r w:rsidRPr="00B96BA2">
        <w:rPr>
          <w:color w:val="auto"/>
          <w:kern w:val="0"/>
          <w:lang w:val="en-US" w:eastAsia="en-US"/>
        </w:rPr>
        <w:t>From a biological standpoint, connective tissue grafting or other thickening approaches may provide added collagen volume and vascularization potential, supporting a more robust marginal tissue position over time. However, it is crucial to avoid overly deterministic interpretations. Phenotype may predict risk, but surgical precision—such as flap tension control, papilla preservation, and appropriate coronal advancement—remains essential. The best clinical reading of current evidence is that phenotype-informed case selection and phenotype modification can meaningfully increase the probability of favorable outcomes, particularly in thin or intermediate phenotypes.</w:t>
      </w:r>
    </w:p>
    <w:p w14:paraId="50B778C0" w14:textId="77777777" w:rsidR="00B96BA2" w:rsidRPr="00B96BA2" w:rsidRDefault="00B96BA2" w:rsidP="00B96BA2">
      <w:pPr>
        <w:spacing w:before="100" w:beforeAutospacing="1" w:after="100" w:afterAutospacing="1" w:line="240" w:lineRule="auto"/>
        <w:ind w:left="0" w:right="0" w:firstLine="0"/>
        <w:jc w:val="left"/>
        <w:outlineLvl w:val="2"/>
        <w:rPr>
          <w:b/>
          <w:bCs/>
          <w:color w:val="auto"/>
          <w:kern w:val="0"/>
          <w:sz w:val="27"/>
          <w:szCs w:val="27"/>
          <w:lang w:val="en-US" w:eastAsia="en-US"/>
        </w:rPr>
      </w:pPr>
      <w:r w:rsidRPr="00B96BA2">
        <w:rPr>
          <w:b/>
          <w:bCs/>
          <w:color w:val="auto"/>
          <w:kern w:val="0"/>
          <w:sz w:val="27"/>
          <w:szCs w:val="27"/>
          <w:lang w:val="en-US" w:eastAsia="en-US"/>
        </w:rPr>
        <w:lastRenderedPageBreak/>
        <w:t>6.2 Phenotype modification and the role of grafting materials</w:t>
      </w:r>
    </w:p>
    <w:p w14:paraId="29A02C81" w14:textId="77777777" w:rsidR="00B96BA2" w:rsidRPr="00B96BA2" w:rsidRDefault="00B96BA2" w:rsidP="00B96BA2">
      <w:pPr>
        <w:spacing w:before="100" w:beforeAutospacing="1" w:after="100" w:afterAutospacing="1" w:line="240" w:lineRule="auto"/>
        <w:ind w:left="0" w:right="0" w:firstLine="0"/>
        <w:jc w:val="left"/>
        <w:rPr>
          <w:color w:val="auto"/>
          <w:kern w:val="0"/>
          <w:lang w:val="en-US" w:eastAsia="en-US"/>
        </w:rPr>
      </w:pPr>
      <w:r w:rsidRPr="00B96BA2">
        <w:rPr>
          <w:color w:val="auto"/>
          <w:kern w:val="0"/>
          <w:lang w:val="en-US" w:eastAsia="en-US"/>
        </w:rPr>
        <w:t>Contemporary periodontics increasingly frames soft tissue grafting as “phenotype modification,” shifting the aim from simply covering roots to improving the tissue environment for long-term stability and aesthetics. Collagen matrices and connective tissue grafts have been compared as adjuncts to coronally advanced flap procedures. A randomized clinical trial evaluating coronally advanced flap with a collagen matrix compared to autogenous connective tissue graft reported benefits and trade-offs relevant to phenotype modification goals, including patient morbidity and tissue thickness outcomes (Tonetti et al., 2018). While autogenous grafts remain a benchmark for predictable thickening, biomaterials can be appropriate in selected cases, especially when patient-centered outcomes (pain, morbidity, preference) are weighted heavily.</w:t>
      </w:r>
    </w:p>
    <w:p w14:paraId="00D817AD" w14:textId="77777777" w:rsidR="00B96BA2" w:rsidRPr="00B96BA2" w:rsidRDefault="00B96BA2" w:rsidP="00B96BA2">
      <w:pPr>
        <w:spacing w:before="100" w:beforeAutospacing="1" w:after="100" w:afterAutospacing="1" w:line="240" w:lineRule="auto"/>
        <w:ind w:left="0" w:right="0" w:firstLine="0"/>
        <w:jc w:val="left"/>
        <w:outlineLvl w:val="2"/>
        <w:rPr>
          <w:b/>
          <w:bCs/>
          <w:color w:val="auto"/>
          <w:kern w:val="0"/>
          <w:sz w:val="27"/>
          <w:szCs w:val="27"/>
          <w:lang w:val="en-US" w:eastAsia="en-US"/>
        </w:rPr>
      </w:pPr>
      <w:r w:rsidRPr="00B96BA2">
        <w:rPr>
          <w:b/>
          <w:bCs/>
          <w:color w:val="auto"/>
          <w:kern w:val="0"/>
          <w:sz w:val="27"/>
          <w:szCs w:val="27"/>
          <w:lang w:val="en-US" w:eastAsia="en-US"/>
        </w:rPr>
        <w:t>6.3 Regenerative and resective procedures, including crown lengthening</w:t>
      </w:r>
    </w:p>
    <w:p w14:paraId="7D10EDE8" w14:textId="77777777" w:rsidR="00B96BA2" w:rsidRPr="00B96BA2" w:rsidRDefault="00B96BA2" w:rsidP="00B96BA2">
      <w:pPr>
        <w:spacing w:before="100" w:beforeAutospacing="1" w:after="100" w:afterAutospacing="1" w:line="240" w:lineRule="auto"/>
        <w:ind w:left="0" w:right="0" w:firstLine="0"/>
        <w:jc w:val="left"/>
        <w:rPr>
          <w:color w:val="auto"/>
          <w:kern w:val="0"/>
          <w:lang w:val="en-US" w:eastAsia="en-US"/>
        </w:rPr>
      </w:pPr>
      <w:r w:rsidRPr="00B96BA2">
        <w:rPr>
          <w:color w:val="auto"/>
          <w:kern w:val="0"/>
          <w:lang w:val="en-US" w:eastAsia="en-US"/>
        </w:rPr>
        <w:t>Although the phenotype literature is strongest in recession therapy and implant-related bone remodeling, phenotype considerations extend to crown lengthening and periodontal surgeries where marginal tissue stability is required to protect restorative margins. Thin tissues are generally more prone to post-surgical recession, which can expose margins and compromise aesthetics. Thick tissues may be more forgiving but can also complicate contouring if excessive bulk remains. Even when direct trial evidence is limited for specific crown lengthening protocols, the biologic logic is consistent: the thinner the tissue, the more conservative and controlled surgical manipulation must be, and the more carefully restorative margin placement should respect supracrestal tissue dimensions and tissue tolerance.</w:t>
      </w:r>
    </w:p>
    <w:p w14:paraId="0D83E7FA" w14:textId="77777777" w:rsidR="00B96BA2" w:rsidRPr="00B96BA2" w:rsidRDefault="00B96BA2" w:rsidP="00B96BA2">
      <w:pPr>
        <w:spacing w:after="0" w:line="240" w:lineRule="auto"/>
        <w:ind w:left="0" w:right="0" w:firstLine="0"/>
        <w:jc w:val="left"/>
        <w:rPr>
          <w:color w:val="auto"/>
          <w:kern w:val="0"/>
          <w:lang w:val="en-US" w:eastAsia="en-US"/>
        </w:rPr>
      </w:pPr>
    </w:p>
    <w:p w14:paraId="18672914" w14:textId="77777777" w:rsidR="00B96BA2" w:rsidRPr="00B96BA2" w:rsidRDefault="00B96BA2" w:rsidP="00B96BA2">
      <w:pPr>
        <w:spacing w:before="100" w:beforeAutospacing="1" w:after="100" w:afterAutospacing="1" w:line="240" w:lineRule="auto"/>
        <w:ind w:left="0" w:right="0" w:firstLine="0"/>
        <w:jc w:val="left"/>
        <w:outlineLvl w:val="1"/>
        <w:rPr>
          <w:b/>
          <w:bCs/>
          <w:color w:val="auto"/>
          <w:kern w:val="0"/>
          <w:sz w:val="36"/>
          <w:szCs w:val="36"/>
          <w:lang w:val="en-US" w:eastAsia="en-US"/>
        </w:rPr>
      </w:pPr>
      <w:r w:rsidRPr="00B96BA2">
        <w:rPr>
          <w:b/>
          <w:bCs/>
          <w:color w:val="auto"/>
          <w:kern w:val="0"/>
          <w:sz w:val="36"/>
          <w:szCs w:val="36"/>
          <w:lang w:val="en-US" w:eastAsia="en-US"/>
        </w:rPr>
        <w:t>7. Orthodontics and recession risk: phenotype as an effect modifier</w:t>
      </w:r>
    </w:p>
    <w:p w14:paraId="489FB424" w14:textId="77777777" w:rsidR="00B96BA2" w:rsidRPr="00B96BA2" w:rsidRDefault="00B96BA2" w:rsidP="00B96BA2">
      <w:pPr>
        <w:spacing w:before="100" w:beforeAutospacing="1" w:after="100" w:afterAutospacing="1" w:line="240" w:lineRule="auto"/>
        <w:ind w:left="0" w:right="0" w:firstLine="0"/>
        <w:jc w:val="left"/>
        <w:rPr>
          <w:color w:val="auto"/>
          <w:kern w:val="0"/>
          <w:lang w:val="en-US" w:eastAsia="en-US"/>
        </w:rPr>
      </w:pPr>
      <w:r w:rsidRPr="00B96BA2">
        <w:rPr>
          <w:color w:val="auto"/>
          <w:kern w:val="0"/>
          <w:lang w:val="en-US" w:eastAsia="en-US"/>
        </w:rPr>
        <w:t>Orthodontic tooth movement can challenge periodontal tissues, particularly when teeth are moved toward thin buccal plates or beyond the alveolar housing. The presence of a thin phenotype is often considered a risk enhancer for recession during or after orthodontic treatment, especially if plaque control is inadequate or if pre-existing dehiscence is present. A recent systematic review and meta-analysis evaluated the impact of orthodontic treatment on gingival recession and highlighted that recession risk is multifactorial, with phenotype and baseline periodontal conditions playing meaningful roles in susceptibility (</w:t>
      </w:r>
      <w:r w:rsidR="00F121D0">
        <w:rPr>
          <w:color w:val="auto"/>
          <w:kern w:val="0"/>
          <w:lang w:val="en-US" w:eastAsia="en-US"/>
        </w:rPr>
        <w:t>Cadenas de Llano-Pérula</w:t>
      </w:r>
      <w:r w:rsidRPr="00B96BA2">
        <w:rPr>
          <w:color w:val="auto"/>
          <w:kern w:val="0"/>
          <w:lang w:val="en-US" w:eastAsia="en-US"/>
        </w:rPr>
        <w:t xml:space="preserve"> et al., 2023). Clinically, this supports pre-orthodontic periodontal evaluation that goes beyond probing depths and includes phenotype assessment, especially for patients with thin tissues, minimal keratinized tissue, or labially positioned roots.</w:t>
      </w:r>
    </w:p>
    <w:p w14:paraId="31CE94AF" w14:textId="77777777" w:rsidR="00B96BA2" w:rsidRPr="00B96BA2" w:rsidRDefault="00B96BA2" w:rsidP="00B96BA2">
      <w:pPr>
        <w:spacing w:before="100" w:beforeAutospacing="1" w:after="100" w:afterAutospacing="1" w:line="240" w:lineRule="auto"/>
        <w:ind w:left="0" w:right="0" w:firstLine="0"/>
        <w:jc w:val="left"/>
        <w:rPr>
          <w:color w:val="auto"/>
          <w:kern w:val="0"/>
          <w:lang w:val="en-US" w:eastAsia="en-US"/>
        </w:rPr>
      </w:pPr>
      <w:r w:rsidRPr="00B96BA2">
        <w:rPr>
          <w:color w:val="auto"/>
          <w:kern w:val="0"/>
          <w:lang w:val="en-US" w:eastAsia="en-US"/>
        </w:rPr>
        <w:t>In interdisciplinary planning, the key question is not simply whether orthodontics “causes” recession, but under what anatomic and behavioral conditions recession becomes likely. Phenotype assessment helps identify patients who may benefit from preventive counseling, strict plaque control, and possibly soft tissue augmentation either before orthodontics (when recession risk is high and tissue is thin) or after orthodontics (when final tooth position reveals mucogingival limitations). The evidence base is not uniform enough to dictate a single timing strategy, but it is sufficient to justify phenotype-informed risk communication and tailored monitoring.</w:t>
      </w:r>
    </w:p>
    <w:p w14:paraId="5D2ABB9D" w14:textId="77777777" w:rsidR="00B96BA2" w:rsidRPr="00B96BA2" w:rsidRDefault="00B96BA2" w:rsidP="00B96BA2">
      <w:pPr>
        <w:spacing w:after="0" w:line="240" w:lineRule="auto"/>
        <w:ind w:left="0" w:right="0" w:firstLine="0"/>
        <w:jc w:val="left"/>
        <w:rPr>
          <w:color w:val="auto"/>
          <w:kern w:val="0"/>
          <w:lang w:val="en-US" w:eastAsia="en-US"/>
        </w:rPr>
      </w:pPr>
    </w:p>
    <w:p w14:paraId="4B6C5F29" w14:textId="77777777" w:rsidR="00B96BA2" w:rsidRPr="00B96BA2" w:rsidRDefault="00B96BA2" w:rsidP="00B96BA2">
      <w:pPr>
        <w:spacing w:before="100" w:beforeAutospacing="1" w:after="100" w:afterAutospacing="1" w:line="240" w:lineRule="auto"/>
        <w:ind w:left="0" w:right="0" w:firstLine="0"/>
        <w:jc w:val="left"/>
        <w:outlineLvl w:val="1"/>
        <w:rPr>
          <w:b/>
          <w:bCs/>
          <w:color w:val="auto"/>
          <w:kern w:val="0"/>
          <w:sz w:val="36"/>
          <w:szCs w:val="36"/>
          <w:lang w:val="en-US" w:eastAsia="en-US"/>
        </w:rPr>
      </w:pPr>
      <w:r w:rsidRPr="00B96BA2">
        <w:rPr>
          <w:b/>
          <w:bCs/>
          <w:color w:val="auto"/>
          <w:kern w:val="0"/>
          <w:sz w:val="36"/>
          <w:szCs w:val="36"/>
          <w:lang w:val="en-US" w:eastAsia="en-US"/>
        </w:rPr>
        <w:t>8. Implant and peri-implant therapy: the clinical meaning of mucosal thickness and peri-implant phenotype</w:t>
      </w:r>
    </w:p>
    <w:p w14:paraId="178B7BAB" w14:textId="77777777" w:rsidR="00B96BA2" w:rsidRPr="00B96BA2" w:rsidRDefault="00B96BA2" w:rsidP="00B96BA2">
      <w:pPr>
        <w:spacing w:before="100" w:beforeAutospacing="1" w:after="100" w:afterAutospacing="1" w:line="240" w:lineRule="auto"/>
        <w:ind w:left="0" w:right="0" w:firstLine="0"/>
        <w:jc w:val="left"/>
        <w:rPr>
          <w:color w:val="auto"/>
          <w:kern w:val="0"/>
          <w:lang w:val="en-US" w:eastAsia="en-US"/>
        </w:rPr>
      </w:pPr>
      <w:r w:rsidRPr="00B96BA2">
        <w:rPr>
          <w:color w:val="auto"/>
          <w:kern w:val="0"/>
          <w:lang w:val="en-US" w:eastAsia="en-US"/>
        </w:rPr>
        <w:t>Implant dentistry has elevated phenotype from a cosmetic concern to a biologic stability factor because early crestal bone remodeling and marginal mucosal recession can compromise both function and appearance. Multiple systematic reviews and clinical trials have investigated whether thicker mucosa is associated with reduced marginal bone loss, particularly during the first year after loading.</w:t>
      </w:r>
    </w:p>
    <w:p w14:paraId="5D140571" w14:textId="77777777" w:rsidR="00B96BA2" w:rsidRPr="00B96BA2" w:rsidRDefault="00B96BA2" w:rsidP="00B96BA2">
      <w:pPr>
        <w:spacing w:before="100" w:beforeAutospacing="1" w:after="100" w:afterAutospacing="1" w:line="240" w:lineRule="auto"/>
        <w:ind w:left="0" w:right="0" w:firstLine="0"/>
        <w:jc w:val="left"/>
        <w:rPr>
          <w:color w:val="auto"/>
          <w:kern w:val="0"/>
          <w:lang w:val="en-US" w:eastAsia="en-US"/>
        </w:rPr>
      </w:pPr>
      <w:r w:rsidRPr="00B96BA2">
        <w:rPr>
          <w:color w:val="auto"/>
          <w:kern w:val="0"/>
          <w:lang w:val="en-US" w:eastAsia="en-US"/>
        </w:rPr>
        <w:t>A systematic review and meta-analysis in the Journal of Periodontal &amp; Implant Science concluded that implants placed in sites with thicker mucosa (commonly operationalized as at least 2 mm) demonstrated less early marginal bone loss compared with thin mucosa, although the impact on survival and complications was less definitive (Di Gianfilippo et al., 2020). Another systematic review and meta-analysis in Clinical Oral Investigations similarly reported less short-term marginal bone loss in thick-mucosa groups, with weaker or nonsignificant differences in longer-term follow-up, highlighting heterogeneity and the likelihood that restorative and surgical variables interact with mucosal thickness effects (Tang et al., 2023). These findings support the concept that mucosal thickness is most influential during early remodeling and establishment of peri-implant supracrestal tissue attachment.</w:t>
      </w:r>
    </w:p>
    <w:p w14:paraId="6421B456" w14:textId="77777777" w:rsidR="00B96BA2" w:rsidRPr="00B96BA2" w:rsidRDefault="00B96BA2" w:rsidP="00B96BA2">
      <w:pPr>
        <w:spacing w:before="100" w:beforeAutospacing="1" w:after="100" w:afterAutospacing="1" w:line="240" w:lineRule="auto"/>
        <w:ind w:left="0" w:right="0" w:firstLine="0"/>
        <w:jc w:val="left"/>
        <w:rPr>
          <w:color w:val="auto"/>
          <w:kern w:val="0"/>
          <w:lang w:val="en-US" w:eastAsia="en-US"/>
        </w:rPr>
      </w:pPr>
      <w:r w:rsidRPr="00B96BA2">
        <w:rPr>
          <w:color w:val="auto"/>
          <w:kern w:val="0"/>
          <w:lang w:val="en-US" w:eastAsia="en-US"/>
        </w:rPr>
        <w:t>Randomized clinical trial evidence further suggests that strategies aimed at increasing or preserving soft tissue thickness can influence crestal bone stability. A prospective controlled clinical trial assessed mucosal tissue thickening and its relationship to crestal bone stability around bone-level implants, supporting the view that tissue thickening may reduce unfavorable remodeling in selected contexts (Puisys &amp; Linkevicius, 2015). Another randomized trial investigated submerged healing abutments or subcrestal placement in relation to soft tissue thickness and crestal bone stability, reinforcing that surgical and restorative design choices intersect with tissue phenotype and may mitigate early exposure or remodeling risks (Linkevicius et al., 2020). Complementary evidence indicates that vertical position adaptation relative to soft tissue thickness can help prevent early implant surface exposure, underscoring that phenotype is actionable and not merely descriptive (Vervaeke et al., 2018).</w:t>
      </w:r>
    </w:p>
    <w:p w14:paraId="7C1043D8" w14:textId="77777777" w:rsidR="00B96BA2" w:rsidRPr="00B96BA2" w:rsidRDefault="00B96BA2" w:rsidP="00B96BA2">
      <w:pPr>
        <w:spacing w:before="100" w:beforeAutospacing="1" w:after="100" w:afterAutospacing="1" w:line="240" w:lineRule="auto"/>
        <w:ind w:left="0" w:right="0" w:firstLine="0"/>
        <w:jc w:val="left"/>
        <w:rPr>
          <w:color w:val="auto"/>
          <w:kern w:val="0"/>
          <w:lang w:val="en-US" w:eastAsia="en-US"/>
        </w:rPr>
      </w:pPr>
      <w:r w:rsidRPr="00B96BA2">
        <w:rPr>
          <w:color w:val="auto"/>
          <w:kern w:val="0"/>
          <w:lang w:val="en-US" w:eastAsia="en-US"/>
        </w:rPr>
        <w:t>Beyond marginal bone levels, peri-implant phenotype influences aesthetic integration. Thin peri-implant mucosa is more susceptible to recession and translucency, which can reveal abutment color and disrupt the soft tissue frame. A systematic review in Evidence-Based Dentistry examined whether gingival phenotype influences implant survival and clinical parameters; it concluded that survival is generally high in both phenotypes but suggested that thin phenotype may be indirectly associated with higher risk of peri-implant complications and marginal bone concerns (da Silva et al., 2025). This aligns with the broader peri-implant phenotype concept proposed in the periodontology literature, which frames peri-implant soft tissue quality and quantity as a cornerstone of risk management and long-term maintenance (Avila-Ortiz et al., 2020).</w:t>
      </w:r>
    </w:p>
    <w:p w14:paraId="1707B84C" w14:textId="77777777" w:rsidR="00B96BA2" w:rsidRPr="00B96BA2" w:rsidRDefault="00B96BA2" w:rsidP="00B96BA2">
      <w:pPr>
        <w:spacing w:after="0" w:line="240" w:lineRule="auto"/>
        <w:ind w:left="0" w:right="0" w:firstLine="0"/>
        <w:jc w:val="left"/>
        <w:rPr>
          <w:color w:val="auto"/>
          <w:kern w:val="0"/>
          <w:lang w:val="en-US" w:eastAsia="en-US"/>
        </w:rPr>
      </w:pPr>
    </w:p>
    <w:p w14:paraId="1E35F4A2" w14:textId="77777777" w:rsidR="00B96BA2" w:rsidRPr="00B96BA2" w:rsidRDefault="00B96BA2" w:rsidP="00B96BA2">
      <w:pPr>
        <w:spacing w:before="100" w:beforeAutospacing="1" w:after="100" w:afterAutospacing="1" w:line="240" w:lineRule="auto"/>
        <w:ind w:left="0" w:right="0" w:firstLine="0"/>
        <w:jc w:val="left"/>
        <w:outlineLvl w:val="1"/>
        <w:rPr>
          <w:b/>
          <w:bCs/>
          <w:color w:val="auto"/>
          <w:kern w:val="0"/>
          <w:sz w:val="36"/>
          <w:szCs w:val="36"/>
          <w:lang w:val="en-US" w:eastAsia="en-US"/>
        </w:rPr>
      </w:pPr>
      <w:r w:rsidRPr="00B96BA2">
        <w:rPr>
          <w:b/>
          <w:bCs/>
          <w:color w:val="auto"/>
          <w:kern w:val="0"/>
          <w:sz w:val="36"/>
          <w:szCs w:val="36"/>
          <w:lang w:val="en-US" w:eastAsia="en-US"/>
        </w:rPr>
        <w:lastRenderedPageBreak/>
        <w:t>9. Toward phenotype-based personalized periodontics: practical decision pathways and future directions</w:t>
      </w:r>
    </w:p>
    <w:p w14:paraId="16F6A719" w14:textId="77777777" w:rsidR="00B96BA2" w:rsidRPr="00B96BA2" w:rsidRDefault="00B96BA2" w:rsidP="00B96BA2">
      <w:pPr>
        <w:spacing w:before="100" w:beforeAutospacing="1" w:after="100" w:afterAutospacing="1" w:line="240" w:lineRule="auto"/>
        <w:ind w:left="0" w:right="0" w:firstLine="0"/>
        <w:jc w:val="left"/>
        <w:rPr>
          <w:color w:val="auto"/>
          <w:kern w:val="0"/>
          <w:lang w:val="en-US" w:eastAsia="en-US"/>
        </w:rPr>
      </w:pPr>
      <w:r w:rsidRPr="00B96BA2">
        <w:rPr>
          <w:color w:val="auto"/>
          <w:kern w:val="0"/>
          <w:lang w:val="en-US" w:eastAsia="en-US"/>
        </w:rPr>
        <w:t xml:space="preserve">A clinically useful way to apply phenotype </w:t>
      </w:r>
      <w:commentRangeStart w:id="20"/>
      <w:r w:rsidRPr="00B96BA2">
        <w:rPr>
          <w:color w:val="auto"/>
          <w:kern w:val="0"/>
          <w:lang w:val="en-US" w:eastAsia="en-US"/>
        </w:rPr>
        <w:t>thinking</w:t>
      </w:r>
      <w:commentRangeEnd w:id="20"/>
      <w:r w:rsidR="00A8742B">
        <w:rPr>
          <w:rStyle w:val="CommentReference"/>
        </w:rPr>
        <w:commentReference w:id="20"/>
      </w:r>
      <w:r w:rsidRPr="00B96BA2">
        <w:rPr>
          <w:color w:val="auto"/>
          <w:kern w:val="0"/>
          <w:lang w:val="en-US" w:eastAsia="en-US"/>
        </w:rPr>
        <w:t xml:space="preserve"> is to treat it as a risk stratifier that changes thresholds for intervention rather than as a rigid classifier. In a thick phenotype, many procedures remain predictable with conventional protocols, provided plaque control is adequate and surgery is performed with low tension and proper flap design. In thin phenotypes, clinicians may need to consider additional measures: gentler flap management, more conservative osseous resection in aesthetic zones, careful restorative margin placement, and a lower threshold for soft tissue augmentation when long-term marginal stability is critical.</w:t>
      </w:r>
    </w:p>
    <w:p w14:paraId="0F751F0F" w14:textId="77777777" w:rsidR="00B96BA2" w:rsidRPr="00B96BA2" w:rsidRDefault="00B96BA2" w:rsidP="00B96BA2">
      <w:pPr>
        <w:spacing w:before="100" w:beforeAutospacing="1" w:after="100" w:afterAutospacing="1" w:line="240" w:lineRule="auto"/>
        <w:ind w:left="0" w:right="0" w:firstLine="0"/>
        <w:jc w:val="left"/>
        <w:rPr>
          <w:color w:val="auto"/>
          <w:kern w:val="0"/>
          <w:lang w:val="en-US" w:eastAsia="en-US"/>
        </w:rPr>
      </w:pPr>
      <w:r w:rsidRPr="00B96BA2">
        <w:rPr>
          <w:color w:val="auto"/>
          <w:kern w:val="0"/>
          <w:lang w:val="en-US" w:eastAsia="en-US"/>
        </w:rPr>
        <w:t>The most promising future direction is standardization. Today, clinicians may label the same patient differently depending on lighting, probe type, and examiner experience. Digital dentistry offers a route to reproducible phenotype mapping. Integrating CBCT-derived bone morphotype with optical scanning and, where available, ultrasound-based gingival thickness measurement could enable objective phenotype profiles that can be tracked longitudinally. The feasibility of such integrated approaches has been discussed in contemporary reviews, which emphasize both potential benefits and the need for validated protocols to avoid overinterpretation of imaging artifacts or non-standardized measurement points (</w:t>
      </w:r>
      <w:r w:rsidR="00345946">
        <w:rPr>
          <w:color w:val="auto"/>
          <w:kern w:val="0"/>
          <w:lang w:val="en-US" w:eastAsia="en-US"/>
        </w:rPr>
        <w:t>Schulze et al., 2024</w:t>
      </w:r>
      <w:r w:rsidRPr="00B96BA2">
        <w:rPr>
          <w:color w:val="auto"/>
          <w:kern w:val="0"/>
          <w:lang w:val="en-US" w:eastAsia="en-US"/>
        </w:rPr>
        <w:t>). As phenotype measures become more standardized, research may progress from broadly associational findings (thin vs thick) to more precise, procedure-specific thresholds and predictive models.</w:t>
      </w:r>
    </w:p>
    <w:p w14:paraId="1B35460A" w14:textId="77777777" w:rsidR="00B96BA2" w:rsidRPr="00B96BA2" w:rsidRDefault="00B96BA2" w:rsidP="00B96BA2">
      <w:pPr>
        <w:spacing w:after="0" w:line="240" w:lineRule="auto"/>
        <w:ind w:left="0" w:right="0" w:firstLine="0"/>
        <w:jc w:val="left"/>
        <w:rPr>
          <w:color w:val="auto"/>
          <w:kern w:val="0"/>
          <w:lang w:val="en-US" w:eastAsia="en-US"/>
        </w:rPr>
      </w:pPr>
    </w:p>
    <w:p w14:paraId="65CC9AF6" w14:textId="77777777" w:rsidR="00B96BA2" w:rsidRPr="00B96BA2" w:rsidRDefault="00B96BA2" w:rsidP="00B96BA2">
      <w:pPr>
        <w:spacing w:before="100" w:beforeAutospacing="1" w:after="100" w:afterAutospacing="1" w:line="240" w:lineRule="auto"/>
        <w:ind w:left="0" w:right="0" w:firstLine="0"/>
        <w:jc w:val="left"/>
        <w:outlineLvl w:val="1"/>
        <w:rPr>
          <w:b/>
          <w:bCs/>
          <w:color w:val="auto"/>
          <w:kern w:val="0"/>
          <w:sz w:val="36"/>
          <w:szCs w:val="36"/>
          <w:lang w:val="en-US" w:eastAsia="en-US"/>
        </w:rPr>
      </w:pPr>
      <w:r w:rsidRPr="00B96BA2">
        <w:rPr>
          <w:b/>
          <w:bCs/>
          <w:color w:val="auto"/>
          <w:kern w:val="0"/>
          <w:sz w:val="36"/>
          <w:szCs w:val="36"/>
          <w:lang w:val="en-US" w:eastAsia="en-US"/>
        </w:rPr>
        <w:t>10. Conclusions</w:t>
      </w:r>
    </w:p>
    <w:p w14:paraId="7561CB72" w14:textId="77777777" w:rsidR="00B96BA2" w:rsidRPr="00B96BA2" w:rsidRDefault="00B96BA2" w:rsidP="00B96BA2">
      <w:pPr>
        <w:spacing w:before="100" w:beforeAutospacing="1" w:after="100" w:afterAutospacing="1" w:line="240" w:lineRule="auto"/>
        <w:ind w:left="0" w:right="0" w:firstLine="0"/>
        <w:jc w:val="left"/>
        <w:rPr>
          <w:color w:val="auto"/>
          <w:kern w:val="0"/>
          <w:lang w:val="en-US" w:eastAsia="en-US"/>
        </w:rPr>
      </w:pPr>
      <w:r w:rsidRPr="00B96BA2">
        <w:rPr>
          <w:color w:val="auto"/>
          <w:kern w:val="0"/>
          <w:lang w:val="en-US" w:eastAsia="en-US"/>
        </w:rPr>
        <w:t>Gingival biotype, now more comprehensively understood as periodontal phenotype, has clear clinical relevance across periodontics and implant dentistry. Thin phenotypes are generally more vulnerable to marginal tissue instability and recession, particularly under inflammatory or mechanical challenge, and may show less predictable aesthetic stability following surgical and restorative interventions. Thick phenotypes often demonstrate greater marginal stability and better masking capacity, although they are not immune to complications. Current evidence supports phenotype-informed treatment planning in mucogingival surgery and peri-implant care, especially where tissue thickness is linked to early remodeling and the stability of soft tissue outcomes. Importantly, phenotype is modifiable; targeted soft tissue augmentation strategies can improve the biological and aesthetic environment, potentially reducing risk and improving predictability. The next phase of progress will depend on standardized, reproducible phenotype measurement methods—likely supported by digital diagnostics—so that phenotype-based personalization can move from expert intuition to evidence-driven protocols.</w:t>
      </w:r>
    </w:p>
    <w:p w14:paraId="43C6CCD3" w14:textId="77777777" w:rsidR="00B96BA2" w:rsidRPr="00B96BA2" w:rsidRDefault="00B96BA2" w:rsidP="00B96BA2">
      <w:pPr>
        <w:spacing w:after="0" w:line="240" w:lineRule="auto"/>
        <w:ind w:left="0" w:right="0" w:firstLine="0"/>
        <w:jc w:val="left"/>
        <w:rPr>
          <w:color w:val="auto"/>
          <w:kern w:val="0"/>
          <w:lang w:val="en-US" w:eastAsia="en-US"/>
        </w:rPr>
      </w:pPr>
    </w:p>
    <w:p w14:paraId="3CAC9098" w14:textId="77777777" w:rsidR="00B96BA2" w:rsidRPr="00B96BA2" w:rsidRDefault="00B96BA2" w:rsidP="00B96BA2">
      <w:pPr>
        <w:spacing w:before="100" w:beforeAutospacing="1" w:after="100" w:afterAutospacing="1" w:line="240" w:lineRule="auto"/>
        <w:ind w:left="0" w:right="0" w:firstLine="0"/>
        <w:jc w:val="left"/>
        <w:outlineLvl w:val="1"/>
        <w:rPr>
          <w:b/>
          <w:bCs/>
          <w:color w:val="auto"/>
          <w:kern w:val="0"/>
          <w:sz w:val="36"/>
          <w:szCs w:val="36"/>
          <w:lang w:val="en-US" w:eastAsia="en-US"/>
        </w:rPr>
      </w:pPr>
      <w:r w:rsidRPr="00B96BA2">
        <w:rPr>
          <w:b/>
          <w:bCs/>
          <w:color w:val="auto"/>
          <w:kern w:val="0"/>
          <w:sz w:val="36"/>
          <w:szCs w:val="36"/>
          <w:lang w:val="en-US" w:eastAsia="en-US"/>
        </w:rPr>
        <w:t>11. Limitations</w:t>
      </w:r>
    </w:p>
    <w:p w14:paraId="4333FE2C" w14:textId="77777777" w:rsidR="00B96BA2" w:rsidRPr="00B96BA2" w:rsidRDefault="00B96BA2" w:rsidP="00B96BA2">
      <w:pPr>
        <w:spacing w:before="100" w:beforeAutospacing="1" w:after="100" w:afterAutospacing="1" w:line="240" w:lineRule="auto"/>
        <w:ind w:left="0" w:right="0" w:firstLine="0"/>
        <w:jc w:val="left"/>
        <w:rPr>
          <w:color w:val="auto"/>
          <w:kern w:val="0"/>
          <w:lang w:val="en-US" w:eastAsia="en-US"/>
        </w:rPr>
      </w:pPr>
      <w:r w:rsidRPr="00B96BA2">
        <w:rPr>
          <w:color w:val="auto"/>
          <w:kern w:val="0"/>
          <w:lang w:val="en-US" w:eastAsia="en-US"/>
        </w:rPr>
        <w:lastRenderedPageBreak/>
        <w:t>This review is narrative in nature and therefore cannot eliminate selection bias inherent in non-systematic synthesis. Although emphasis was placed on systematic reviews, randomized trials, and consensus reports, differences in phenotype definitions, measurement points, and outcome reporting across studies limit direct comparability. Additionally, many clinical outcomes are influenced by confounders such as oral hygiene, smoking, surgical technique variation, and restorative design; therefore, phenotype should be interpreted as a risk modifier rather than a deterministic predictor. Finally, because clinical trials often enroll selected patient populations, generalizability to diverse ethnic groups and broader clinical settings may be incomplete.</w:t>
      </w:r>
    </w:p>
    <w:p w14:paraId="3CAAA77D" w14:textId="77777777" w:rsidR="00B96BA2" w:rsidRPr="00B96BA2" w:rsidRDefault="00B96BA2" w:rsidP="00B96BA2">
      <w:pPr>
        <w:spacing w:after="0" w:line="240" w:lineRule="auto"/>
        <w:ind w:left="0" w:right="0" w:firstLine="0"/>
        <w:jc w:val="left"/>
        <w:rPr>
          <w:color w:val="auto"/>
          <w:kern w:val="0"/>
          <w:lang w:val="en-US" w:eastAsia="en-US"/>
        </w:rPr>
      </w:pPr>
    </w:p>
    <w:p w14:paraId="79E84784" w14:textId="77777777" w:rsidR="00B96BA2" w:rsidRPr="00B96BA2" w:rsidRDefault="00B96BA2" w:rsidP="00B96BA2">
      <w:pPr>
        <w:spacing w:before="100" w:beforeAutospacing="1" w:after="100" w:afterAutospacing="1" w:line="240" w:lineRule="auto"/>
        <w:ind w:left="0" w:right="0" w:firstLine="0"/>
        <w:jc w:val="left"/>
        <w:outlineLvl w:val="1"/>
        <w:rPr>
          <w:b/>
          <w:bCs/>
          <w:color w:val="auto"/>
          <w:kern w:val="0"/>
          <w:sz w:val="36"/>
          <w:szCs w:val="36"/>
          <w:lang w:val="en-US" w:eastAsia="en-US"/>
        </w:rPr>
      </w:pPr>
      <w:r w:rsidRPr="00B96BA2">
        <w:rPr>
          <w:b/>
          <w:bCs/>
          <w:color w:val="auto"/>
          <w:kern w:val="0"/>
          <w:sz w:val="36"/>
          <w:szCs w:val="36"/>
          <w:lang w:val="en-US" w:eastAsia="en-US"/>
        </w:rPr>
        <w:t xml:space="preserve">References </w:t>
      </w:r>
    </w:p>
    <w:p w14:paraId="5F0C7C60" w14:textId="77777777" w:rsidR="00F121D0" w:rsidRPr="00F121D0" w:rsidRDefault="00F121D0" w:rsidP="00F121D0">
      <w:pPr>
        <w:spacing w:before="100" w:beforeAutospacing="1" w:after="100" w:afterAutospacing="1" w:line="240" w:lineRule="auto"/>
        <w:ind w:left="0" w:firstLine="0"/>
        <w:rPr>
          <w:color w:val="212121"/>
          <w:shd w:val="clear" w:color="auto" w:fill="FFFFFF"/>
        </w:rPr>
      </w:pPr>
      <w:r w:rsidRPr="00F121D0">
        <w:rPr>
          <w:color w:val="212121"/>
          <w:shd w:val="clear" w:color="auto" w:fill="FFFFFF"/>
        </w:rPr>
        <w:t>Avila-Ortiz, G., Gonzalez-Martin, O., Couso-Queiruga, E., &amp; Wang, H. L. (2020). The peri-implant phenotype. </w:t>
      </w:r>
      <w:r w:rsidRPr="00F121D0">
        <w:rPr>
          <w:i/>
          <w:iCs/>
          <w:color w:val="212121"/>
          <w:shd w:val="clear" w:color="auto" w:fill="FFFFFF"/>
        </w:rPr>
        <w:t>Journal of periodontology</w:t>
      </w:r>
      <w:r w:rsidRPr="00F121D0">
        <w:rPr>
          <w:color w:val="212121"/>
          <w:shd w:val="clear" w:color="auto" w:fill="FFFFFF"/>
        </w:rPr>
        <w:t>, </w:t>
      </w:r>
      <w:r w:rsidRPr="00F121D0">
        <w:rPr>
          <w:i/>
          <w:iCs/>
          <w:color w:val="212121"/>
          <w:shd w:val="clear" w:color="auto" w:fill="FFFFFF"/>
        </w:rPr>
        <w:t>91</w:t>
      </w:r>
      <w:r w:rsidRPr="00F121D0">
        <w:rPr>
          <w:color w:val="212121"/>
          <w:shd w:val="clear" w:color="auto" w:fill="FFFFFF"/>
        </w:rPr>
        <w:t xml:space="preserve">(3), 283–288. </w:t>
      </w:r>
      <w:hyperlink r:id="rId12" w:history="1">
        <w:r w:rsidRPr="00F121D0">
          <w:rPr>
            <w:rStyle w:val="Hyperlink"/>
            <w:shd w:val="clear" w:color="auto" w:fill="FFFFFF"/>
          </w:rPr>
          <w:t>https://doi.org/10.1002/JPER.19-0566</w:t>
        </w:r>
      </w:hyperlink>
      <w:r w:rsidRPr="00F121D0">
        <w:rPr>
          <w:color w:val="212121"/>
          <w:shd w:val="clear" w:color="auto" w:fill="FFFFFF"/>
        </w:rPr>
        <w:t xml:space="preserve"> </w:t>
      </w:r>
    </w:p>
    <w:p w14:paraId="7D0C5E97" w14:textId="77777777" w:rsidR="00F121D0" w:rsidRPr="00F121D0" w:rsidRDefault="00F121D0" w:rsidP="00F121D0">
      <w:pPr>
        <w:spacing w:before="100" w:beforeAutospacing="1" w:after="100" w:afterAutospacing="1" w:line="240" w:lineRule="auto"/>
        <w:ind w:left="0" w:firstLine="0"/>
        <w:rPr>
          <w:color w:val="212121"/>
          <w:shd w:val="clear" w:color="auto" w:fill="FFFFFF"/>
        </w:rPr>
      </w:pPr>
      <w:r w:rsidRPr="00F121D0">
        <w:rPr>
          <w:color w:val="212121"/>
          <w:shd w:val="clear" w:color="auto" w:fill="FFFFFF"/>
        </w:rPr>
        <w:t>Cadenas de Llano-Pérula, M., Castro, A. B., Danneels, M., Schelfhout, A., Teughels, W., &amp; Willems, G. (2023). Risk factors for gingival recessions after orthodontic treatment: a systematic review. </w:t>
      </w:r>
      <w:r w:rsidRPr="00F121D0">
        <w:rPr>
          <w:i/>
          <w:iCs/>
          <w:color w:val="212121"/>
          <w:shd w:val="clear" w:color="auto" w:fill="FFFFFF"/>
        </w:rPr>
        <w:t>European journal of orthodontics</w:t>
      </w:r>
      <w:r w:rsidRPr="00F121D0">
        <w:rPr>
          <w:color w:val="212121"/>
          <w:shd w:val="clear" w:color="auto" w:fill="FFFFFF"/>
        </w:rPr>
        <w:t>, </w:t>
      </w:r>
      <w:r w:rsidRPr="00F121D0">
        <w:rPr>
          <w:i/>
          <w:iCs/>
          <w:color w:val="212121"/>
          <w:shd w:val="clear" w:color="auto" w:fill="FFFFFF"/>
        </w:rPr>
        <w:t>45</w:t>
      </w:r>
      <w:r w:rsidRPr="00F121D0">
        <w:rPr>
          <w:color w:val="212121"/>
          <w:shd w:val="clear" w:color="auto" w:fill="FFFFFF"/>
        </w:rPr>
        <w:t xml:space="preserve">(5), 528–544. </w:t>
      </w:r>
      <w:hyperlink r:id="rId13" w:history="1">
        <w:r w:rsidRPr="00F121D0">
          <w:rPr>
            <w:rStyle w:val="Hyperlink"/>
            <w:shd w:val="clear" w:color="auto" w:fill="FFFFFF"/>
          </w:rPr>
          <w:t>https://doi.org/10.1093/ejo/cjad026</w:t>
        </w:r>
      </w:hyperlink>
      <w:r w:rsidRPr="00F121D0">
        <w:rPr>
          <w:color w:val="212121"/>
          <w:shd w:val="clear" w:color="auto" w:fill="FFFFFF"/>
        </w:rPr>
        <w:t xml:space="preserve"> </w:t>
      </w:r>
    </w:p>
    <w:p w14:paraId="5E95C063" w14:textId="77777777" w:rsidR="00F121D0" w:rsidRPr="00F121D0" w:rsidRDefault="00F121D0" w:rsidP="00F121D0">
      <w:pPr>
        <w:spacing w:before="100" w:beforeAutospacing="1" w:after="100" w:afterAutospacing="1" w:line="240" w:lineRule="auto"/>
        <w:ind w:left="0" w:firstLine="0"/>
        <w:rPr>
          <w:color w:val="212121"/>
          <w:shd w:val="clear" w:color="auto" w:fill="FFFFFF"/>
        </w:rPr>
      </w:pPr>
      <w:r w:rsidRPr="00F121D0">
        <w:rPr>
          <w:color w:val="212121"/>
          <w:shd w:val="clear" w:color="auto" w:fill="FFFFFF"/>
        </w:rPr>
        <w:t>Cairo, F., Cortellini, P., Nieri, M., Pilloni, A., Barbato, L., Pagavino, G., &amp; Tonetti, M. (2020). Coronally advanced flap and composite restoration of the enamel with or without connective tissue graft for the treatment of single maxillary gingival recession with non-carious cervical lesion. A randomized controlled clinical trial. </w:t>
      </w:r>
      <w:r w:rsidRPr="00F121D0">
        <w:rPr>
          <w:i/>
          <w:iCs/>
          <w:color w:val="212121"/>
          <w:shd w:val="clear" w:color="auto" w:fill="FFFFFF"/>
        </w:rPr>
        <w:t>Journal of clinical periodontology</w:t>
      </w:r>
      <w:r w:rsidRPr="00F121D0">
        <w:rPr>
          <w:color w:val="212121"/>
          <w:shd w:val="clear" w:color="auto" w:fill="FFFFFF"/>
        </w:rPr>
        <w:t>, </w:t>
      </w:r>
      <w:r w:rsidRPr="00F121D0">
        <w:rPr>
          <w:i/>
          <w:iCs/>
          <w:color w:val="212121"/>
          <w:shd w:val="clear" w:color="auto" w:fill="FFFFFF"/>
        </w:rPr>
        <w:t>47</w:t>
      </w:r>
      <w:r w:rsidRPr="00F121D0">
        <w:rPr>
          <w:color w:val="212121"/>
          <w:shd w:val="clear" w:color="auto" w:fill="FFFFFF"/>
        </w:rPr>
        <w:t xml:space="preserve">(3), 362–371. </w:t>
      </w:r>
      <w:hyperlink r:id="rId14" w:history="1">
        <w:r w:rsidRPr="00F121D0">
          <w:rPr>
            <w:rStyle w:val="Hyperlink"/>
            <w:shd w:val="clear" w:color="auto" w:fill="FFFFFF"/>
          </w:rPr>
          <w:t>https://doi.org/10.1111/jcpe.13229</w:t>
        </w:r>
      </w:hyperlink>
      <w:r w:rsidRPr="00F121D0">
        <w:rPr>
          <w:color w:val="212121"/>
          <w:shd w:val="clear" w:color="auto" w:fill="FFFFFF"/>
        </w:rPr>
        <w:t xml:space="preserve"> </w:t>
      </w:r>
    </w:p>
    <w:p w14:paraId="320287A2" w14:textId="77777777" w:rsidR="00F121D0" w:rsidRPr="00F121D0" w:rsidRDefault="00F121D0" w:rsidP="00F121D0">
      <w:pPr>
        <w:spacing w:before="100" w:beforeAutospacing="1" w:after="100" w:afterAutospacing="1" w:line="240" w:lineRule="auto"/>
        <w:ind w:left="0" w:firstLine="0"/>
        <w:rPr>
          <w:color w:val="212121"/>
          <w:shd w:val="clear" w:color="auto" w:fill="FFFFFF"/>
        </w:rPr>
      </w:pPr>
      <w:r w:rsidRPr="00F121D0">
        <w:rPr>
          <w:color w:val="212121"/>
          <w:shd w:val="clear" w:color="auto" w:fill="FFFFFF"/>
        </w:rPr>
        <w:t>Caton, J. G., Armitage, G., Berglundh, T., Chapple, I. L. C., Jepsen, S., Kornman, K. S., Mealey, B. L., Papapanou, P. N., Sanz, M., &amp; Tonetti, M. S. (2018). A new classification scheme for periodontal and peri-implant diseases and conditions - Introduction and key changes from the 1999 classification. </w:t>
      </w:r>
      <w:r w:rsidRPr="00F121D0">
        <w:rPr>
          <w:i/>
          <w:iCs/>
          <w:color w:val="212121"/>
          <w:shd w:val="clear" w:color="auto" w:fill="FFFFFF"/>
        </w:rPr>
        <w:t>Journal of clinical periodontology</w:t>
      </w:r>
      <w:r w:rsidRPr="00F121D0">
        <w:rPr>
          <w:color w:val="212121"/>
          <w:shd w:val="clear" w:color="auto" w:fill="FFFFFF"/>
        </w:rPr>
        <w:t>, </w:t>
      </w:r>
      <w:r w:rsidRPr="00F121D0">
        <w:rPr>
          <w:i/>
          <w:iCs/>
          <w:color w:val="212121"/>
          <w:shd w:val="clear" w:color="auto" w:fill="FFFFFF"/>
        </w:rPr>
        <w:t>45 Suppl 20</w:t>
      </w:r>
      <w:r w:rsidRPr="00F121D0">
        <w:rPr>
          <w:color w:val="212121"/>
          <w:shd w:val="clear" w:color="auto" w:fill="FFFFFF"/>
        </w:rPr>
        <w:t xml:space="preserve">, S1–S8. </w:t>
      </w:r>
      <w:hyperlink r:id="rId15" w:history="1">
        <w:r w:rsidRPr="00F121D0">
          <w:rPr>
            <w:rStyle w:val="Hyperlink"/>
            <w:shd w:val="clear" w:color="auto" w:fill="FFFFFF"/>
          </w:rPr>
          <w:t>https://doi.org/10.1111/jcpe.12935</w:t>
        </w:r>
      </w:hyperlink>
      <w:r w:rsidRPr="00F121D0">
        <w:rPr>
          <w:color w:val="212121"/>
          <w:shd w:val="clear" w:color="auto" w:fill="FFFFFF"/>
        </w:rPr>
        <w:t xml:space="preserve"> </w:t>
      </w:r>
    </w:p>
    <w:p w14:paraId="261A1A62" w14:textId="77777777" w:rsidR="00F121D0" w:rsidRPr="00F121D0" w:rsidRDefault="00F121D0" w:rsidP="00F121D0">
      <w:pPr>
        <w:spacing w:before="100" w:beforeAutospacing="1" w:after="100" w:afterAutospacing="1" w:line="240" w:lineRule="auto"/>
        <w:ind w:left="0" w:firstLine="0"/>
        <w:rPr>
          <w:color w:val="212121"/>
          <w:shd w:val="clear" w:color="auto" w:fill="FFFFFF"/>
        </w:rPr>
      </w:pPr>
      <w:r w:rsidRPr="00F121D0">
        <w:rPr>
          <w:color w:val="212121"/>
          <w:shd w:val="clear" w:color="auto" w:fill="FFFFFF"/>
        </w:rPr>
        <w:t>Cortellini, P., &amp; Bissada, N. F. (2018). Mucogingival conditions in the natural dentition: Narrative review, case definitions, and diagnostic considerations. </w:t>
      </w:r>
      <w:r w:rsidRPr="00F121D0">
        <w:rPr>
          <w:i/>
          <w:iCs/>
          <w:color w:val="212121"/>
          <w:shd w:val="clear" w:color="auto" w:fill="FFFFFF"/>
        </w:rPr>
        <w:t>Journal of periodontology</w:t>
      </w:r>
      <w:r w:rsidRPr="00F121D0">
        <w:rPr>
          <w:color w:val="212121"/>
          <w:shd w:val="clear" w:color="auto" w:fill="FFFFFF"/>
        </w:rPr>
        <w:t>, </w:t>
      </w:r>
      <w:r w:rsidRPr="00F121D0">
        <w:rPr>
          <w:i/>
          <w:iCs/>
          <w:color w:val="212121"/>
          <w:shd w:val="clear" w:color="auto" w:fill="FFFFFF"/>
        </w:rPr>
        <w:t>89 Suppl 1</w:t>
      </w:r>
      <w:r w:rsidRPr="00F121D0">
        <w:rPr>
          <w:color w:val="212121"/>
          <w:shd w:val="clear" w:color="auto" w:fill="FFFFFF"/>
        </w:rPr>
        <w:t xml:space="preserve">, S204–S213. </w:t>
      </w:r>
      <w:hyperlink r:id="rId16" w:history="1">
        <w:r w:rsidRPr="00F121D0">
          <w:rPr>
            <w:rStyle w:val="Hyperlink"/>
            <w:shd w:val="clear" w:color="auto" w:fill="FFFFFF"/>
          </w:rPr>
          <w:t>https://doi.org/10.1002/JPER.16-0671</w:t>
        </w:r>
      </w:hyperlink>
      <w:r w:rsidRPr="00F121D0">
        <w:rPr>
          <w:color w:val="212121"/>
          <w:shd w:val="clear" w:color="auto" w:fill="FFFFFF"/>
        </w:rPr>
        <w:t xml:space="preserve"> </w:t>
      </w:r>
    </w:p>
    <w:p w14:paraId="5272F4D9" w14:textId="77777777" w:rsidR="00F121D0" w:rsidRPr="00F121D0" w:rsidRDefault="00F121D0" w:rsidP="00F121D0">
      <w:pPr>
        <w:spacing w:before="100" w:beforeAutospacing="1" w:after="100" w:afterAutospacing="1" w:line="240" w:lineRule="auto"/>
        <w:ind w:left="0" w:firstLine="0"/>
        <w:rPr>
          <w:color w:val="212121"/>
          <w:shd w:val="clear" w:color="auto" w:fill="FFFFFF"/>
        </w:rPr>
      </w:pPr>
      <w:r w:rsidRPr="00F121D0">
        <w:rPr>
          <w:color w:val="212121"/>
          <w:shd w:val="clear" w:color="auto" w:fill="FFFFFF"/>
        </w:rPr>
        <w:t>da Silva, D. M., Castro, F., Martins, B., Fraile, J. F., Fernandes, J. C. H., &amp; Fernandes, G. V. O. (2025). The influence of the gingival phenotype on implant survival rate and clinical parameters: a systematic review. </w:t>
      </w:r>
      <w:r w:rsidRPr="00F121D0">
        <w:rPr>
          <w:i/>
          <w:iCs/>
          <w:color w:val="212121"/>
          <w:shd w:val="clear" w:color="auto" w:fill="FFFFFF"/>
        </w:rPr>
        <w:t>Evidence-based dentistry</w:t>
      </w:r>
      <w:r w:rsidRPr="00F121D0">
        <w:rPr>
          <w:color w:val="212121"/>
          <w:shd w:val="clear" w:color="auto" w:fill="FFFFFF"/>
        </w:rPr>
        <w:t>, </w:t>
      </w:r>
      <w:r w:rsidRPr="00F121D0">
        <w:rPr>
          <w:i/>
          <w:iCs/>
          <w:color w:val="212121"/>
          <w:shd w:val="clear" w:color="auto" w:fill="FFFFFF"/>
        </w:rPr>
        <w:t>26</w:t>
      </w:r>
      <w:r w:rsidRPr="00F121D0">
        <w:rPr>
          <w:color w:val="212121"/>
          <w:shd w:val="clear" w:color="auto" w:fill="FFFFFF"/>
        </w:rPr>
        <w:t xml:space="preserve">(2), 119. </w:t>
      </w:r>
      <w:hyperlink r:id="rId17" w:history="1">
        <w:r w:rsidRPr="00F121D0">
          <w:rPr>
            <w:rStyle w:val="Hyperlink"/>
            <w:shd w:val="clear" w:color="auto" w:fill="FFFFFF"/>
          </w:rPr>
          <w:t>https://doi.org/10.1038/s41432-025-01114-x</w:t>
        </w:r>
      </w:hyperlink>
      <w:r w:rsidRPr="00F121D0">
        <w:rPr>
          <w:color w:val="212121"/>
          <w:shd w:val="clear" w:color="auto" w:fill="FFFFFF"/>
        </w:rPr>
        <w:t xml:space="preserve"> </w:t>
      </w:r>
    </w:p>
    <w:p w14:paraId="1F27FB1B" w14:textId="77777777" w:rsidR="00F121D0" w:rsidRPr="00F121D0" w:rsidRDefault="00F121D0" w:rsidP="00F121D0">
      <w:pPr>
        <w:spacing w:before="100" w:beforeAutospacing="1" w:after="100" w:afterAutospacing="1" w:line="240" w:lineRule="auto"/>
        <w:ind w:left="0" w:firstLine="0"/>
        <w:rPr>
          <w:color w:val="212121"/>
          <w:shd w:val="clear" w:color="auto" w:fill="FFFFFF"/>
        </w:rPr>
      </w:pPr>
      <w:r w:rsidRPr="00F121D0">
        <w:rPr>
          <w:color w:val="212121"/>
          <w:shd w:val="clear" w:color="auto" w:fill="FFFFFF"/>
        </w:rPr>
        <w:t>Di Gianfilippo, R., Valente, N. A., Toti, P., Wang, H. L., &amp; Barone, A. (2020). Influence of implant mucosal thickness on early bone loss: a systematic review with meta-analysis. </w:t>
      </w:r>
      <w:r w:rsidRPr="00F121D0">
        <w:rPr>
          <w:i/>
          <w:iCs/>
          <w:color w:val="212121"/>
          <w:shd w:val="clear" w:color="auto" w:fill="FFFFFF"/>
        </w:rPr>
        <w:t>Journal of periodontal &amp; implant science</w:t>
      </w:r>
      <w:r w:rsidRPr="00F121D0">
        <w:rPr>
          <w:color w:val="212121"/>
          <w:shd w:val="clear" w:color="auto" w:fill="FFFFFF"/>
        </w:rPr>
        <w:t>, </w:t>
      </w:r>
      <w:r w:rsidRPr="00F121D0">
        <w:rPr>
          <w:i/>
          <w:iCs/>
          <w:color w:val="212121"/>
          <w:shd w:val="clear" w:color="auto" w:fill="FFFFFF"/>
        </w:rPr>
        <w:t>50</w:t>
      </w:r>
      <w:r w:rsidRPr="00F121D0">
        <w:rPr>
          <w:color w:val="212121"/>
          <w:shd w:val="clear" w:color="auto" w:fill="FFFFFF"/>
        </w:rPr>
        <w:t xml:space="preserve">(4), 209–225. </w:t>
      </w:r>
      <w:hyperlink r:id="rId18" w:history="1">
        <w:r w:rsidRPr="00F121D0">
          <w:rPr>
            <w:rStyle w:val="Hyperlink"/>
            <w:shd w:val="clear" w:color="auto" w:fill="FFFFFF"/>
          </w:rPr>
          <w:t>https://doi.org/10.5051/jpis.1904440222</w:t>
        </w:r>
      </w:hyperlink>
      <w:r w:rsidRPr="00F121D0">
        <w:rPr>
          <w:color w:val="212121"/>
          <w:shd w:val="clear" w:color="auto" w:fill="FFFFFF"/>
        </w:rPr>
        <w:t xml:space="preserve"> </w:t>
      </w:r>
    </w:p>
    <w:p w14:paraId="5BD8FF37" w14:textId="77777777" w:rsidR="00F121D0" w:rsidRPr="00F121D0" w:rsidRDefault="00F121D0" w:rsidP="00F121D0">
      <w:pPr>
        <w:spacing w:before="100" w:beforeAutospacing="1" w:after="100" w:afterAutospacing="1" w:line="240" w:lineRule="auto"/>
        <w:ind w:left="0" w:firstLine="0"/>
        <w:rPr>
          <w:color w:val="212121"/>
          <w:shd w:val="clear" w:color="auto" w:fill="FFFFFF"/>
        </w:rPr>
      </w:pPr>
      <w:r w:rsidRPr="00F121D0">
        <w:rPr>
          <w:color w:val="212121"/>
          <w:shd w:val="clear" w:color="auto" w:fill="FFFFFF"/>
        </w:rPr>
        <w:lastRenderedPageBreak/>
        <w:t>Fickl, S., Therese Kröger, A., Dietrich, T., &amp; Kebschull, M. (2021). Influence of soft tissue augmentation procedures around dental implants on marginal bone level changes-A systematic review. </w:t>
      </w:r>
      <w:r w:rsidRPr="00F121D0">
        <w:rPr>
          <w:i/>
          <w:iCs/>
          <w:color w:val="212121"/>
          <w:shd w:val="clear" w:color="auto" w:fill="FFFFFF"/>
        </w:rPr>
        <w:t>Clinical oral implants research</w:t>
      </w:r>
      <w:r w:rsidRPr="00F121D0">
        <w:rPr>
          <w:color w:val="212121"/>
          <w:shd w:val="clear" w:color="auto" w:fill="FFFFFF"/>
        </w:rPr>
        <w:t>, </w:t>
      </w:r>
      <w:r w:rsidRPr="00F121D0">
        <w:rPr>
          <w:i/>
          <w:iCs/>
          <w:color w:val="212121"/>
          <w:shd w:val="clear" w:color="auto" w:fill="FFFFFF"/>
        </w:rPr>
        <w:t>32 Suppl 21</w:t>
      </w:r>
      <w:r w:rsidRPr="00F121D0">
        <w:rPr>
          <w:color w:val="212121"/>
          <w:shd w:val="clear" w:color="auto" w:fill="FFFFFF"/>
        </w:rPr>
        <w:t xml:space="preserve">, 108–137. </w:t>
      </w:r>
      <w:hyperlink r:id="rId19" w:history="1">
        <w:r w:rsidRPr="00F121D0">
          <w:rPr>
            <w:rStyle w:val="Hyperlink"/>
            <w:shd w:val="clear" w:color="auto" w:fill="FFFFFF"/>
          </w:rPr>
          <w:t>https://doi.org/10.1111/clr.13829</w:t>
        </w:r>
      </w:hyperlink>
      <w:r w:rsidRPr="00F121D0">
        <w:rPr>
          <w:color w:val="212121"/>
          <w:shd w:val="clear" w:color="auto" w:fill="FFFFFF"/>
        </w:rPr>
        <w:t xml:space="preserve"> </w:t>
      </w:r>
    </w:p>
    <w:p w14:paraId="2EC3DAF7" w14:textId="77777777" w:rsidR="00F121D0" w:rsidRPr="00F121D0" w:rsidRDefault="00F121D0" w:rsidP="00F121D0">
      <w:pPr>
        <w:spacing w:before="100" w:beforeAutospacing="1" w:after="100" w:afterAutospacing="1" w:line="240" w:lineRule="auto"/>
        <w:ind w:left="0" w:firstLine="0"/>
        <w:rPr>
          <w:color w:val="212121"/>
          <w:shd w:val="clear" w:color="auto" w:fill="FFFFFF"/>
        </w:rPr>
      </w:pPr>
      <w:r w:rsidRPr="00F121D0">
        <w:rPr>
          <w:color w:val="212121"/>
          <w:shd w:val="clear" w:color="auto" w:fill="FFFFFF"/>
        </w:rPr>
        <w:t>Fischer, K. R., Büchel, J., Testori, T., Rasperini, G., Attin, T., &amp; Schmidlin, P. (2021). Gingival phenotype assessment methods and classifications revisited: a preclinical study. </w:t>
      </w:r>
      <w:r w:rsidRPr="00F121D0">
        <w:rPr>
          <w:i/>
          <w:iCs/>
          <w:color w:val="212121"/>
          <w:shd w:val="clear" w:color="auto" w:fill="FFFFFF"/>
        </w:rPr>
        <w:t>Clinical oral investigations</w:t>
      </w:r>
      <w:r w:rsidRPr="00F121D0">
        <w:rPr>
          <w:color w:val="212121"/>
          <w:shd w:val="clear" w:color="auto" w:fill="FFFFFF"/>
        </w:rPr>
        <w:t>, </w:t>
      </w:r>
      <w:r w:rsidRPr="00F121D0">
        <w:rPr>
          <w:i/>
          <w:iCs/>
          <w:color w:val="212121"/>
          <w:shd w:val="clear" w:color="auto" w:fill="FFFFFF"/>
        </w:rPr>
        <w:t>25</w:t>
      </w:r>
      <w:r w:rsidRPr="00F121D0">
        <w:rPr>
          <w:color w:val="212121"/>
          <w:shd w:val="clear" w:color="auto" w:fill="FFFFFF"/>
        </w:rPr>
        <w:t xml:space="preserve">(9), 5513–5518. </w:t>
      </w:r>
      <w:hyperlink r:id="rId20" w:history="1">
        <w:r w:rsidRPr="00F121D0">
          <w:rPr>
            <w:rStyle w:val="Hyperlink"/>
            <w:shd w:val="clear" w:color="auto" w:fill="FFFFFF"/>
          </w:rPr>
          <w:t>https://doi.org/10.1007/s00784-021-03860-5</w:t>
        </w:r>
      </w:hyperlink>
      <w:r w:rsidRPr="00F121D0">
        <w:rPr>
          <w:color w:val="212121"/>
          <w:shd w:val="clear" w:color="auto" w:fill="FFFFFF"/>
        </w:rPr>
        <w:t xml:space="preserve"> </w:t>
      </w:r>
    </w:p>
    <w:p w14:paraId="2AB4047B" w14:textId="77777777" w:rsidR="00F121D0" w:rsidRPr="00F121D0" w:rsidRDefault="00F121D0" w:rsidP="00F121D0">
      <w:pPr>
        <w:spacing w:before="100" w:beforeAutospacing="1" w:after="100" w:afterAutospacing="1" w:line="240" w:lineRule="auto"/>
        <w:ind w:left="0" w:firstLine="0"/>
        <w:rPr>
          <w:color w:val="auto"/>
          <w:kern w:val="0"/>
          <w:lang w:val="en-US" w:eastAsia="en-US"/>
        </w:rPr>
      </w:pPr>
      <w:r w:rsidRPr="00F121D0">
        <w:rPr>
          <w:color w:val="212121"/>
          <w:shd w:val="clear" w:color="auto" w:fill="FFFFFF"/>
        </w:rPr>
        <w:t>Jepsen, S., Caton, J. G., Albandar, J. M., Bissada, N. F., Bouchard, P., Cortellini, P., Demirel, K., de Sanctis, M., Ercoli, C., Fan, J., Geurs, N. C., Hughes, F. J., Jin, L., Kantarci, A., Lalla, E., Madianos, P. N., Matthews, D., McGuire, M. K., Mills, M. P., Preshaw, P. M., … Yamazaki, K. (2018). Periodontal manifestations of systemic diseases and developmental and acquired conditions: Consensus report of workgroup 3 of the 2017 World Workshop on the Classification of Periodontal and Peri-Implant Diseases and Conditions. </w:t>
      </w:r>
      <w:r w:rsidRPr="00F121D0">
        <w:rPr>
          <w:i/>
          <w:iCs/>
          <w:color w:val="212121"/>
          <w:shd w:val="clear" w:color="auto" w:fill="FFFFFF"/>
        </w:rPr>
        <w:t>Journal of periodontology</w:t>
      </w:r>
      <w:r w:rsidRPr="00F121D0">
        <w:rPr>
          <w:color w:val="212121"/>
          <w:shd w:val="clear" w:color="auto" w:fill="FFFFFF"/>
        </w:rPr>
        <w:t>, </w:t>
      </w:r>
      <w:r w:rsidRPr="00F121D0">
        <w:rPr>
          <w:i/>
          <w:iCs/>
          <w:color w:val="212121"/>
          <w:shd w:val="clear" w:color="auto" w:fill="FFFFFF"/>
        </w:rPr>
        <w:t>89 Suppl 1</w:t>
      </w:r>
      <w:r w:rsidRPr="00F121D0">
        <w:rPr>
          <w:color w:val="212121"/>
          <w:shd w:val="clear" w:color="auto" w:fill="FFFFFF"/>
        </w:rPr>
        <w:t xml:space="preserve">, S237–S248. </w:t>
      </w:r>
      <w:hyperlink r:id="rId21" w:history="1">
        <w:r w:rsidRPr="00F121D0">
          <w:rPr>
            <w:rStyle w:val="Hyperlink"/>
            <w:shd w:val="clear" w:color="auto" w:fill="FFFFFF"/>
          </w:rPr>
          <w:t>https://doi.org/10.1002/JPER.17-0733</w:t>
        </w:r>
      </w:hyperlink>
      <w:r w:rsidRPr="00F121D0">
        <w:rPr>
          <w:color w:val="212121"/>
          <w:shd w:val="clear" w:color="auto" w:fill="FFFFFF"/>
        </w:rPr>
        <w:t xml:space="preserve"> </w:t>
      </w:r>
    </w:p>
    <w:p w14:paraId="571CB8DA" w14:textId="77777777" w:rsidR="00F121D0" w:rsidRPr="00F121D0" w:rsidRDefault="00F121D0" w:rsidP="00F121D0">
      <w:pPr>
        <w:spacing w:before="100" w:beforeAutospacing="1" w:after="100" w:afterAutospacing="1" w:line="240" w:lineRule="auto"/>
        <w:ind w:left="0" w:firstLine="0"/>
        <w:rPr>
          <w:color w:val="auto"/>
          <w:kern w:val="0"/>
          <w:lang w:val="en-US" w:eastAsia="en-US"/>
        </w:rPr>
      </w:pPr>
      <w:r w:rsidRPr="00F121D0">
        <w:rPr>
          <w:color w:val="212121"/>
          <w:shd w:val="clear" w:color="auto" w:fill="FFFFFF"/>
        </w:rPr>
        <w:t>Linkevicius, T., Puisys, A., Linkevicius, R., Alkimavicius, J., Gineviciute, E., &amp; Linkeviciene, L. (2020). The influence of submerged healing abutment or subcrestal implant placement on soft tissue thickness and crestal bone stability. A 2-year randomized clinical trial. </w:t>
      </w:r>
      <w:r w:rsidRPr="00F121D0">
        <w:rPr>
          <w:i/>
          <w:iCs/>
          <w:color w:val="212121"/>
          <w:shd w:val="clear" w:color="auto" w:fill="FFFFFF"/>
        </w:rPr>
        <w:t>Clinical implant dentistry and related research</w:t>
      </w:r>
      <w:r w:rsidRPr="00F121D0">
        <w:rPr>
          <w:color w:val="212121"/>
          <w:shd w:val="clear" w:color="auto" w:fill="FFFFFF"/>
        </w:rPr>
        <w:t>, </w:t>
      </w:r>
      <w:r w:rsidRPr="00F121D0">
        <w:rPr>
          <w:i/>
          <w:iCs/>
          <w:color w:val="212121"/>
          <w:shd w:val="clear" w:color="auto" w:fill="FFFFFF"/>
        </w:rPr>
        <w:t>22</w:t>
      </w:r>
      <w:r w:rsidRPr="00F121D0">
        <w:rPr>
          <w:color w:val="212121"/>
          <w:shd w:val="clear" w:color="auto" w:fill="FFFFFF"/>
        </w:rPr>
        <w:t xml:space="preserve">(4), 497–506. </w:t>
      </w:r>
      <w:hyperlink r:id="rId22" w:history="1">
        <w:r w:rsidRPr="00F121D0">
          <w:rPr>
            <w:rStyle w:val="Hyperlink"/>
            <w:shd w:val="clear" w:color="auto" w:fill="FFFFFF"/>
          </w:rPr>
          <w:t>https://doi.org/10.1111/cid.12903</w:t>
        </w:r>
      </w:hyperlink>
      <w:r w:rsidRPr="00F121D0">
        <w:rPr>
          <w:color w:val="212121"/>
          <w:shd w:val="clear" w:color="auto" w:fill="FFFFFF"/>
        </w:rPr>
        <w:t xml:space="preserve"> </w:t>
      </w:r>
    </w:p>
    <w:p w14:paraId="03EC58B1" w14:textId="77777777" w:rsidR="00F121D0" w:rsidRPr="00F121D0" w:rsidRDefault="00F121D0" w:rsidP="00F121D0">
      <w:pPr>
        <w:spacing w:before="100" w:beforeAutospacing="1" w:after="100" w:afterAutospacing="1" w:line="240" w:lineRule="auto"/>
        <w:ind w:left="0" w:firstLine="0"/>
        <w:rPr>
          <w:color w:val="212121"/>
          <w:shd w:val="clear" w:color="auto" w:fill="FFFFFF"/>
        </w:rPr>
      </w:pPr>
      <w:r w:rsidRPr="00F121D0">
        <w:rPr>
          <w:color w:val="212121"/>
          <w:shd w:val="clear" w:color="auto" w:fill="FFFFFF"/>
        </w:rPr>
        <w:t>Papapanou, P. N., Sanz, M., Buduneli, N., Dietrich, T., Feres, M., Fine, D. H., Flemmig, T. F., Garcia, R., Giannobile, W. V., Graziani, F., Greenwell, H., Herrera, D., Kao, R. T., Kebschull, M., Kinane, D. F., Kirkwood, K. L., Kocher, T., Kornman, K. S., Kumar, P. S., Loos, B. G., … Tonetti, M. S. (2018). Periodontitis: Consensus report of workgroup 2 of the 2017 World Workshop on the Classification of Periodontal and Peri-Implant Diseases and Conditions. </w:t>
      </w:r>
      <w:r w:rsidRPr="00F121D0">
        <w:rPr>
          <w:i/>
          <w:iCs/>
          <w:color w:val="212121"/>
          <w:shd w:val="clear" w:color="auto" w:fill="FFFFFF"/>
        </w:rPr>
        <w:t>Journal of periodontology</w:t>
      </w:r>
      <w:r w:rsidRPr="00F121D0">
        <w:rPr>
          <w:color w:val="212121"/>
          <w:shd w:val="clear" w:color="auto" w:fill="FFFFFF"/>
        </w:rPr>
        <w:t>, </w:t>
      </w:r>
      <w:r w:rsidRPr="00F121D0">
        <w:rPr>
          <w:i/>
          <w:iCs/>
          <w:color w:val="212121"/>
          <w:shd w:val="clear" w:color="auto" w:fill="FFFFFF"/>
        </w:rPr>
        <w:t>89 Suppl 1</w:t>
      </w:r>
      <w:r w:rsidRPr="00F121D0">
        <w:rPr>
          <w:color w:val="212121"/>
          <w:shd w:val="clear" w:color="auto" w:fill="FFFFFF"/>
        </w:rPr>
        <w:t xml:space="preserve">, S173–S182. </w:t>
      </w:r>
      <w:hyperlink r:id="rId23" w:history="1">
        <w:r w:rsidRPr="00F121D0">
          <w:rPr>
            <w:rStyle w:val="Hyperlink"/>
            <w:shd w:val="clear" w:color="auto" w:fill="FFFFFF"/>
          </w:rPr>
          <w:t>https://doi.org/10.1002/JPER.17-0721</w:t>
        </w:r>
      </w:hyperlink>
      <w:r w:rsidRPr="00F121D0">
        <w:rPr>
          <w:color w:val="212121"/>
          <w:shd w:val="clear" w:color="auto" w:fill="FFFFFF"/>
        </w:rPr>
        <w:t xml:space="preserve"> </w:t>
      </w:r>
    </w:p>
    <w:p w14:paraId="1D133B72" w14:textId="77777777" w:rsidR="00F121D0" w:rsidRPr="00F121D0" w:rsidRDefault="00F121D0" w:rsidP="00F121D0">
      <w:pPr>
        <w:spacing w:before="100" w:beforeAutospacing="1" w:after="100" w:afterAutospacing="1" w:line="240" w:lineRule="auto"/>
        <w:ind w:left="0" w:firstLine="0"/>
        <w:rPr>
          <w:color w:val="212121"/>
          <w:shd w:val="clear" w:color="auto" w:fill="FFFFFF"/>
        </w:rPr>
      </w:pPr>
      <w:r w:rsidRPr="00F121D0">
        <w:rPr>
          <w:color w:val="212121"/>
          <w:shd w:val="clear" w:color="auto" w:fill="FFFFFF"/>
        </w:rPr>
        <w:t>Puisys, A., &amp; Linkevicius, T. (2015). The influence of mucosal tissue thickening on crestal bone stability around bone-level implants. A prospective controlled clinical trial. </w:t>
      </w:r>
      <w:r w:rsidRPr="00F121D0">
        <w:rPr>
          <w:i/>
          <w:iCs/>
          <w:color w:val="212121"/>
          <w:shd w:val="clear" w:color="auto" w:fill="FFFFFF"/>
        </w:rPr>
        <w:t>Clinical oral implants research</w:t>
      </w:r>
      <w:r w:rsidRPr="00F121D0">
        <w:rPr>
          <w:color w:val="212121"/>
          <w:shd w:val="clear" w:color="auto" w:fill="FFFFFF"/>
        </w:rPr>
        <w:t>, </w:t>
      </w:r>
      <w:r w:rsidRPr="00F121D0">
        <w:rPr>
          <w:i/>
          <w:iCs/>
          <w:color w:val="212121"/>
          <w:shd w:val="clear" w:color="auto" w:fill="FFFFFF"/>
        </w:rPr>
        <w:t>26</w:t>
      </w:r>
      <w:r w:rsidRPr="00F121D0">
        <w:rPr>
          <w:color w:val="212121"/>
          <w:shd w:val="clear" w:color="auto" w:fill="FFFFFF"/>
        </w:rPr>
        <w:t xml:space="preserve">(2), 123–129. </w:t>
      </w:r>
      <w:hyperlink r:id="rId24" w:history="1">
        <w:r w:rsidRPr="00F121D0">
          <w:rPr>
            <w:rStyle w:val="Hyperlink"/>
            <w:shd w:val="clear" w:color="auto" w:fill="FFFFFF"/>
          </w:rPr>
          <w:t>https://doi.org/10.1111/clr.12301</w:t>
        </w:r>
      </w:hyperlink>
      <w:r w:rsidRPr="00F121D0">
        <w:rPr>
          <w:color w:val="212121"/>
          <w:shd w:val="clear" w:color="auto" w:fill="FFFFFF"/>
        </w:rPr>
        <w:t xml:space="preserve"> </w:t>
      </w:r>
    </w:p>
    <w:p w14:paraId="05DC4049" w14:textId="77777777" w:rsidR="00F121D0" w:rsidRPr="00F121D0" w:rsidRDefault="00F121D0" w:rsidP="00F121D0">
      <w:pPr>
        <w:spacing w:before="100" w:beforeAutospacing="1" w:after="100" w:afterAutospacing="1" w:line="240" w:lineRule="auto"/>
        <w:ind w:left="0" w:firstLine="0"/>
        <w:rPr>
          <w:color w:val="212121"/>
          <w:shd w:val="clear" w:color="auto" w:fill="FFFFFF"/>
        </w:rPr>
      </w:pPr>
      <w:r w:rsidRPr="00F121D0">
        <w:rPr>
          <w:color w:val="212121"/>
          <w:shd w:val="clear" w:color="auto" w:fill="FFFFFF"/>
        </w:rPr>
        <w:t>Rasperini, G., Acunzo, R., Pellegrini, G., Pagni, G., Tonetti, M., Pini Prato, G. P., &amp; Cortellini, P. (2018). Predictor factors for long-term outcomes stability of coronally advanced flap with or without connective tissue graft in the treatment of single maxillary gingival recessions: 9 years results of a randomized controlled clinical trial. </w:t>
      </w:r>
      <w:r w:rsidRPr="00F121D0">
        <w:rPr>
          <w:i/>
          <w:iCs/>
          <w:color w:val="212121"/>
          <w:shd w:val="clear" w:color="auto" w:fill="FFFFFF"/>
        </w:rPr>
        <w:t>Journal of clinical periodontology</w:t>
      </w:r>
      <w:r w:rsidRPr="00F121D0">
        <w:rPr>
          <w:color w:val="212121"/>
          <w:shd w:val="clear" w:color="auto" w:fill="FFFFFF"/>
        </w:rPr>
        <w:t>, </w:t>
      </w:r>
      <w:r w:rsidRPr="00F121D0">
        <w:rPr>
          <w:i/>
          <w:iCs/>
          <w:color w:val="212121"/>
          <w:shd w:val="clear" w:color="auto" w:fill="FFFFFF"/>
        </w:rPr>
        <w:t>45</w:t>
      </w:r>
      <w:r w:rsidRPr="00F121D0">
        <w:rPr>
          <w:color w:val="212121"/>
          <w:shd w:val="clear" w:color="auto" w:fill="FFFFFF"/>
        </w:rPr>
        <w:t xml:space="preserve">(9), 1107–1117. </w:t>
      </w:r>
      <w:hyperlink r:id="rId25" w:history="1">
        <w:r w:rsidRPr="00F121D0">
          <w:rPr>
            <w:rStyle w:val="Hyperlink"/>
            <w:shd w:val="clear" w:color="auto" w:fill="FFFFFF"/>
          </w:rPr>
          <w:t>https://doi.org/10.1111/jcpe.12932</w:t>
        </w:r>
      </w:hyperlink>
      <w:r w:rsidRPr="00F121D0">
        <w:rPr>
          <w:color w:val="212121"/>
          <w:shd w:val="clear" w:color="auto" w:fill="FFFFFF"/>
        </w:rPr>
        <w:t xml:space="preserve"> </w:t>
      </w:r>
    </w:p>
    <w:p w14:paraId="6D9AE903" w14:textId="77777777" w:rsidR="00F121D0" w:rsidRPr="00F121D0" w:rsidRDefault="00F121D0" w:rsidP="00F121D0">
      <w:pPr>
        <w:spacing w:before="100" w:beforeAutospacing="1" w:after="100" w:afterAutospacing="1" w:line="240" w:lineRule="auto"/>
        <w:ind w:left="0" w:firstLine="0"/>
        <w:rPr>
          <w:color w:val="212121"/>
          <w:shd w:val="clear" w:color="auto" w:fill="FFFFFF"/>
        </w:rPr>
      </w:pPr>
      <w:r w:rsidRPr="00F121D0">
        <w:rPr>
          <w:color w:val="212121"/>
          <w:shd w:val="clear" w:color="auto" w:fill="FFFFFF"/>
        </w:rPr>
        <w:t>Schulze, R., Couso-Queiruga, E., &amp; Katsaros, C. (2024). Accuracy of cone-beam computed tomography in imaging the components of the periodontal phenotype. </w:t>
      </w:r>
      <w:r w:rsidRPr="00F121D0">
        <w:rPr>
          <w:i/>
          <w:iCs/>
          <w:color w:val="212121"/>
          <w:shd w:val="clear" w:color="auto" w:fill="FFFFFF"/>
        </w:rPr>
        <w:t>Periodontology 2000</w:t>
      </w:r>
      <w:r w:rsidRPr="00F121D0">
        <w:rPr>
          <w:color w:val="212121"/>
          <w:shd w:val="clear" w:color="auto" w:fill="FFFFFF"/>
        </w:rPr>
        <w:t xml:space="preserve">, 10.1111/prd.12556. Advance online publication. </w:t>
      </w:r>
      <w:hyperlink r:id="rId26" w:history="1">
        <w:r w:rsidRPr="00F121D0">
          <w:rPr>
            <w:rStyle w:val="Hyperlink"/>
            <w:shd w:val="clear" w:color="auto" w:fill="FFFFFF"/>
          </w:rPr>
          <w:t>https://doi.org/10.1111/prd.12556</w:t>
        </w:r>
      </w:hyperlink>
      <w:r w:rsidRPr="00F121D0">
        <w:rPr>
          <w:color w:val="212121"/>
          <w:shd w:val="clear" w:color="auto" w:fill="FFFFFF"/>
        </w:rPr>
        <w:t xml:space="preserve"> </w:t>
      </w:r>
    </w:p>
    <w:p w14:paraId="6AEA16A4" w14:textId="77777777" w:rsidR="00F121D0" w:rsidRPr="00F121D0" w:rsidRDefault="00F121D0" w:rsidP="00F121D0">
      <w:pPr>
        <w:spacing w:before="100" w:beforeAutospacing="1" w:after="100" w:afterAutospacing="1" w:line="240" w:lineRule="auto"/>
        <w:ind w:left="0" w:firstLine="0"/>
        <w:rPr>
          <w:color w:val="212121"/>
          <w:shd w:val="clear" w:color="auto" w:fill="FFFFFF"/>
        </w:rPr>
      </w:pPr>
      <w:r w:rsidRPr="00F121D0">
        <w:rPr>
          <w:color w:val="212121"/>
          <w:shd w:val="clear" w:color="auto" w:fill="FFFFFF"/>
        </w:rPr>
        <w:t>Shafizadeh, M., Amid, R., Tehranchi, A., &amp; Motamedian, S. R. (2022). Evaluation of the association between gingival phenotype and alveolar bone thickness: A systematic review and meta-analysis. </w:t>
      </w:r>
      <w:r w:rsidRPr="00F121D0">
        <w:rPr>
          <w:i/>
          <w:iCs/>
          <w:color w:val="212121"/>
          <w:shd w:val="clear" w:color="auto" w:fill="FFFFFF"/>
        </w:rPr>
        <w:t>Archives of oral biology</w:t>
      </w:r>
      <w:r w:rsidRPr="00F121D0">
        <w:rPr>
          <w:color w:val="212121"/>
          <w:shd w:val="clear" w:color="auto" w:fill="FFFFFF"/>
        </w:rPr>
        <w:t>, </w:t>
      </w:r>
      <w:r w:rsidRPr="00F121D0">
        <w:rPr>
          <w:i/>
          <w:iCs/>
          <w:color w:val="212121"/>
          <w:shd w:val="clear" w:color="auto" w:fill="FFFFFF"/>
        </w:rPr>
        <w:t>133</w:t>
      </w:r>
      <w:r w:rsidRPr="00F121D0">
        <w:rPr>
          <w:color w:val="212121"/>
          <w:shd w:val="clear" w:color="auto" w:fill="FFFFFF"/>
        </w:rPr>
        <w:t xml:space="preserve">, 105287. </w:t>
      </w:r>
      <w:hyperlink r:id="rId27" w:history="1">
        <w:r w:rsidRPr="00F121D0">
          <w:rPr>
            <w:rStyle w:val="Hyperlink"/>
            <w:shd w:val="clear" w:color="auto" w:fill="FFFFFF"/>
          </w:rPr>
          <w:t>https://doi.org/10.1016/j.archoralbio.2021.105287</w:t>
        </w:r>
      </w:hyperlink>
      <w:r w:rsidRPr="00F121D0">
        <w:rPr>
          <w:color w:val="212121"/>
          <w:shd w:val="clear" w:color="auto" w:fill="FFFFFF"/>
        </w:rPr>
        <w:t xml:space="preserve"> </w:t>
      </w:r>
    </w:p>
    <w:p w14:paraId="317389D7" w14:textId="77777777" w:rsidR="00F121D0" w:rsidRPr="00F121D0" w:rsidRDefault="00F121D0" w:rsidP="00F121D0">
      <w:pPr>
        <w:spacing w:before="100" w:beforeAutospacing="1" w:after="100" w:afterAutospacing="1" w:line="240" w:lineRule="auto"/>
        <w:ind w:left="0" w:firstLine="0"/>
        <w:rPr>
          <w:color w:val="212121"/>
          <w:shd w:val="clear" w:color="auto" w:fill="FFFFFF"/>
        </w:rPr>
      </w:pPr>
      <w:r w:rsidRPr="00F121D0">
        <w:rPr>
          <w:color w:val="212121"/>
          <w:shd w:val="clear" w:color="auto" w:fill="FFFFFF"/>
        </w:rPr>
        <w:lastRenderedPageBreak/>
        <w:t>Suárez-López Del Amo, F., Lin, G. H., Monje, A., Galindo-Moreno, P., &amp; Wang, H. L. (2016). Influence of Soft Tissue Thickness on Peri-Implant Marginal Bone Loss: A Systematic Review and Meta-Analysis. </w:t>
      </w:r>
      <w:r w:rsidRPr="00F121D0">
        <w:rPr>
          <w:i/>
          <w:iCs/>
          <w:color w:val="212121"/>
          <w:shd w:val="clear" w:color="auto" w:fill="FFFFFF"/>
        </w:rPr>
        <w:t>Journal of periodontology</w:t>
      </w:r>
      <w:r w:rsidRPr="00F121D0">
        <w:rPr>
          <w:color w:val="212121"/>
          <w:shd w:val="clear" w:color="auto" w:fill="FFFFFF"/>
        </w:rPr>
        <w:t>, </w:t>
      </w:r>
      <w:r w:rsidRPr="00F121D0">
        <w:rPr>
          <w:i/>
          <w:iCs/>
          <w:color w:val="212121"/>
          <w:shd w:val="clear" w:color="auto" w:fill="FFFFFF"/>
        </w:rPr>
        <w:t>87</w:t>
      </w:r>
      <w:r w:rsidRPr="00F121D0">
        <w:rPr>
          <w:color w:val="212121"/>
          <w:shd w:val="clear" w:color="auto" w:fill="FFFFFF"/>
        </w:rPr>
        <w:t xml:space="preserve">(6), 690–699. </w:t>
      </w:r>
      <w:hyperlink r:id="rId28" w:history="1">
        <w:r w:rsidRPr="00F121D0">
          <w:rPr>
            <w:rStyle w:val="Hyperlink"/>
            <w:shd w:val="clear" w:color="auto" w:fill="FFFFFF"/>
          </w:rPr>
          <w:t>https://doi.org/10.1902/jop.2016.150571</w:t>
        </w:r>
      </w:hyperlink>
      <w:r w:rsidRPr="00F121D0">
        <w:rPr>
          <w:color w:val="212121"/>
          <w:shd w:val="clear" w:color="auto" w:fill="FFFFFF"/>
        </w:rPr>
        <w:t xml:space="preserve"> </w:t>
      </w:r>
    </w:p>
    <w:p w14:paraId="387BC51D" w14:textId="77777777" w:rsidR="00F121D0" w:rsidRPr="00F121D0" w:rsidRDefault="00F121D0" w:rsidP="00F121D0">
      <w:pPr>
        <w:spacing w:before="100" w:beforeAutospacing="1" w:after="100" w:afterAutospacing="1" w:line="240" w:lineRule="auto"/>
        <w:ind w:left="0" w:firstLine="0"/>
        <w:rPr>
          <w:color w:val="auto"/>
          <w:kern w:val="0"/>
          <w:lang w:val="en-US" w:eastAsia="en-US"/>
        </w:rPr>
      </w:pPr>
      <w:r w:rsidRPr="00F121D0">
        <w:rPr>
          <w:color w:val="212121"/>
          <w:shd w:val="clear" w:color="auto" w:fill="FFFFFF"/>
        </w:rPr>
        <w:t>Tang, P., Meng, Z., Song, X., Huang, J., Su, C., &amp; Li, L. (2023). Influence of different mucosal phenotype on early and long-term marginal bone loss around implants: a systematic review and meta-analysis. </w:t>
      </w:r>
      <w:r w:rsidRPr="00F121D0">
        <w:rPr>
          <w:i/>
          <w:iCs/>
          <w:color w:val="212121"/>
          <w:shd w:val="clear" w:color="auto" w:fill="FFFFFF"/>
        </w:rPr>
        <w:t>Clinical oral investigations</w:t>
      </w:r>
      <w:r w:rsidRPr="00F121D0">
        <w:rPr>
          <w:color w:val="212121"/>
          <w:shd w:val="clear" w:color="auto" w:fill="FFFFFF"/>
        </w:rPr>
        <w:t>, </w:t>
      </w:r>
      <w:r w:rsidRPr="00F121D0">
        <w:rPr>
          <w:i/>
          <w:iCs/>
          <w:color w:val="212121"/>
          <w:shd w:val="clear" w:color="auto" w:fill="FFFFFF"/>
        </w:rPr>
        <w:t>27</w:t>
      </w:r>
      <w:r w:rsidRPr="00F121D0">
        <w:rPr>
          <w:color w:val="212121"/>
          <w:shd w:val="clear" w:color="auto" w:fill="FFFFFF"/>
        </w:rPr>
        <w:t xml:space="preserve">(4), 1391–1407. </w:t>
      </w:r>
      <w:hyperlink r:id="rId29" w:history="1">
        <w:r w:rsidRPr="00F121D0">
          <w:rPr>
            <w:rStyle w:val="Hyperlink"/>
            <w:shd w:val="clear" w:color="auto" w:fill="FFFFFF"/>
          </w:rPr>
          <w:t>https://doi.org/10.1007/s00784-023-04902-w</w:t>
        </w:r>
      </w:hyperlink>
      <w:r w:rsidRPr="00F121D0">
        <w:rPr>
          <w:color w:val="212121"/>
          <w:shd w:val="clear" w:color="auto" w:fill="FFFFFF"/>
        </w:rPr>
        <w:t xml:space="preserve"> </w:t>
      </w:r>
    </w:p>
    <w:p w14:paraId="7F45B25D" w14:textId="77777777" w:rsidR="00F121D0" w:rsidRPr="00F121D0" w:rsidRDefault="00F121D0" w:rsidP="00F121D0">
      <w:pPr>
        <w:spacing w:before="100" w:beforeAutospacing="1" w:after="100" w:afterAutospacing="1" w:line="240" w:lineRule="auto"/>
        <w:ind w:left="0" w:firstLine="0"/>
        <w:rPr>
          <w:color w:val="auto"/>
          <w:kern w:val="0"/>
          <w:lang w:val="en-US" w:eastAsia="en-US"/>
        </w:rPr>
      </w:pPr>
      <w:r w:rsidRPr="00F121D0">
        <w:rPr>
          <w:color w:val="212121"/>
          <w:shd w:val="clear" w:color="auto" w:fill="FFFFFF"/>
        </w:rPr>
        <w:t>Tonetti, M. S., Cortellini, P., Pellegrini, G., Nieri, M., Bonaccini, D., Allegri, M., Bouchard, P., Cairo, F., Conforti, G., Fourmousis, I., Graziani, F., Guerrero, A., Halben, J., Malet, J., Rasperini, G., Topoll, H., Wachtel, H., Wallkamm, B., Zabalegui, I., &amp; Zuhr, O. (2018). Xenogenic collagen matrix or autologous connective tissue graft as adjunct to coronally advanced flaps for coverage of multiple adjacent gingival recession: Randomized trial assessing non-inferiority in root coverage and superiority in oral health-related quality of life. </w:t>
      </w:r>
      <w:r w:rsidRPr="00F121D0">
        <w:rPr>
          <w:i/>
          <w:iCs/>
          <w:color w:val="212121"/>
          <w:shd w:val="clear" w:color="auto" w:fill="FFFFFF"/>
        </w:rPr>
        <w:t>Journal of clinical periodontology</w:t>
      </w:r>
      <w:r w:rsidRPr="00F121D0">
        <w:rPr>
          <w:color w:val="212121"/>
          <w:shd w:val="clear" w:color="auto" w:fill="FFFFFF"/>
        </w:rPr>
        <w:t>, </w:t>
      </w:r>
      <w:r w:rsidRPr="00F121D0">
        <w:rPr>
          <w:i/>
          <w:iCs/>
          <w:color w:val="212121"/>
          <w:shd w:val="clear" w:color="auto" w:fill="FFFFFF"/>
        </w:rPr>
        <w:t>45</w:t>
      </w:r>
      <w:r w:rsidRPr="00F121D0">
        <w:rPr>
          <w:color w:val="212121"/>
          <w:shd w:val="clear" w:color="auto" w:fill="FFFFFF"/>
        </w:rPr>
        <w:t xml:space="preserve">(1), 78–88. </w:t>
      </w:r>
      <w:hyperlink r:id="rId30" w:history="1">
        <w:r w:rsidRPr="00F121D0">
          <w:rPr>
            <w:rStyle w:val="Hyperlink"/>
            <w:shd w:val="clear" w:color="auto" w:fill="FFFFFF"/>
          </w:rPr>
          <w:t>https://doi.org/10.1111/jcpe.12834</w:t>
        </w:r>
      </w:hyperlink>
      <w:r w:rsidRPr="00F121D0">
        <w:rPr>
          <w:color w:val="212121"/>
          <w:shd w:val="clear" w:color="auto" w:fill="FFFFFF"/>
        </w:rPr>
        <w:t xml:space="preserve"> </w:t>
      </w:r>
    </w:p>
    <w:p w14:paraId="2FD888E8" w14:textId="77777777" w:rsidR="00F121D0" w:rsidRPr="00F121D0" w:rsidRDefault="00F121D0" w:rsidP="00F121D0">
      <w:pPr>
        <w:spacing w:before="100" w:beforeAutospacing="1" w:after="100" w:afterAutospacing="1" w:line="240" w:lineRule="auto"/>
        <w:ind w:left="0" w:firstLine="0"/>
        <w:rPr>
          <w:kern w:val="0"/>
          <w:lang w:val="en-US"/>
        </w:rPr>
      </w:pPr>
      <w:r w:rsidRPr="00F121D0">
        <w:rPr>
          <w:kern w:val="0"/>
          <w:lang w:val="en-US"/>
        </w:rPr>
        <w:t xml:space="preserve">Vervaeke, S., Matthys, C., Nassar, R., Christiaens, V., Cosyn, J., &amp; De Bruyn, H. (2018). Adapting the vertical position of implants with a conical connection in relation to soft tissue thickness prevents early implant surface exposure: A 2-year prospective intra-subject comparison. Journal of clinical periodontology, 45(5), 605–612. </w:t>
      </w:r>
      <w:hyperlink r:id="rId31" w:history="1">
        <w:r w:rsidRPr="00F121D0">
          <w:rPr>
            <w:rStyle w:val="Hyperlink"/>
            <w:kern w:val="0"/>
            <w:lang w:val="en-US" w:eastAsia="en-US"/>
          </w:rPr>
          <w:t>https://doi.org/10.1111/jcpe.12871</w:t>
        </w:r>
      </w:hyperlink>
    </w:p>
    <w:p w14:paraId="2108EE25" w14:textId="77777777" w:rsidR="00F121D0" w:rsidRPr="00F121D0" w:rsidRDefault="00F121D0" w:rsidP="00F121D0">
      <w:pPr>
        <w:spacing w:before="100" w:beforeAutospacing="1" w:after="100" w:afterAutospacing="1" w:line="240" w:lineRule="auto"/>
        <w:ind w:left="0" w:firstLine="0"/>
        <w:rPr>
          <w:color w:val="212121"/>
          <w:shd w:val="clear" w:color="auto" w:fill="FFFFFF"/>
        </w:rPr>
      </w:pPr>
      <w:r w:rsidRPr="00F121D0">
        <w:rPr>
          <w:color w:val="212121"/>
          <w:shd w:val="clear" w:color="auto" w:fill="FFFFFF"/>
        </w:rPr>
        <w:t>Yildirim Bolat, S., &amp; Lutfioglu, M. (2025). Evaluation of gingival phenotype: the role of gingival thickness measurements from different vertical gingival levels. </w:t>
      </w:r>
      <w:r w:rsidRPr="00F121D0">
        <w:rPr>
          <w:i/>
          <w:iCs/>
          <w:color w:val="212121"/>
          <w:shd w:val="clear" w:color="auto" w:fill="FFFFFF"/>
        </w:rPr>
        <w:t>Clinical oral investigations</w:t>
      </w:r>
      <w:r w:rsidRPr="00F121D0">
        <w:rPr>
          <w:color w:val="212121"/>
          <w:shd w:val="clear" w:color="auto" w:fill="FFFFFF"/>
        </w:rPr>
        <w:t>, </w:t>
      </w:r>
      <w:r w:rsidRPr="00F121D0">
        <w:rPr>
          <w:i/>
          <w:iCs/>
          <w:color w:val="212121"/>
          <w:shd w:val="clear" w:color="auto" w:fill="FFFFFF"/>
        </w:rPr>
        <w:t>29</w:t>
      </w:r>
      <w:r w:rsidRPr="00F121D0">
        <w:rPr>
          <w:color w:val="212121"/>
          <w:shd w:val="clear" w:color="auto" w:fill="FFFFFF"/>
        </w:rPr>
        <w:t xml:space="preserve">(1), 87. </w:t>
      </w:r>
      <w:hyperlink r:id="rId32" w:history="1">
        <w:r w:rsidRPr="00F121D0">
          <w:rPr>
            <w:rStyle w:val="Hyperlink"/>
            <w:shd w:val="clear" w:color="auto" w:fill="FFFFFF"/>
          </w:rPr>
          <w:t>https://doi.org/10.1007/s00784-024-06143-x</w:t>
        </w:r>
      </w:hyperlink>
      <w:r w:rsidRPr="00F121D0">
        <w:rPr>
          <w:color w:val="212121"/>
          <w:shd w:val="clear" w:color="auto" w:fill="FFFFFF"/>
        </w:rPr>
        <w:t xml:space="preserve"> </w:t>
      </w:r>
    </w:p>
    <w:p w14:paraId="6EA4CE51" w14:textId="77777777" w:rsidR="00F121D0" w:rsidRPr="00F121D0" w:rsidRDefault="00F121D0" w:rsidP="00F121D0">
      <w:pPr>
        <w:spacing w:before="100" w:beforeAutospacing="1" w:after="100" w:afterAutospacing="1" w:line="240" w:lineRule="auto"/>
        <w:ind w:left="0" w:firstLine="0"/>
        <w:rPr>
          <w:kern w:val="0"/>
          <w:lang w:val="en-US"/>
        </w:rPr>
      </w:pPr>
      <w:r w:rsidRPr="00F121D0">
        <w:rPr>
          <w:kern w:val="0"/>
          <w:lang w:val="en-US"/>
        </w:rPr>
        <w:t xml:space="preserve">Zucchelli, G., Marzadori, M., Mounssif, I., Mazzotti, C., &amp; Stefanini, M. (2014). Coronally advanced flap + connective tissue graft techniques for the treatment of deep gingival recession in the lower incisors. A controlled randomized clinical trial. Journal of clinical periodontology, 41(8), 806–813. </w:t>
      </w:r>
      <w:hyperlink r:id="rId33" w:history="1">
        <w:r w:rsidRPr="00F121D0">
          <w:rPr>
            <w:rStyle w:val="Hyperlink"/>
            <w:kern w:val="0"/>
            <w:lang w:val="en-US" w:eastAsia="en-US"/>
          </w:rPr>
          <w:t>https://doi.org/10.1111/jcpe.12269</w:t>
        </w:r>
      </w:hyperlink>
      <w:r w:rsidRPr="00F121D0">
        <w:rPr>
          <w:kern w:val="0"/>
          <w:lang w:val="en-US"/>
        </w:rPr>
        <w:t xml:space="preserve">  </w:t>
      </w:r>
    </w:p>
    <w:sectPr w:rsidR="00F121D0" w:rsidRPr="00F121D0" w:rsidSect="00CB6EB6">
      <w:headerReference w:type="even" r:id="rId34"/>
      <w:headerReference w:type="default" r:id="rId35"/>
      <w:footerReference w:type="even" r:id="rId36"/>
      <w:footerReference w:type="default" r:id="rId37"/>
      <w:headerReference w:type="first" r:id="rId38"/>
      <w:footerReference w:type="first" r:id="rId3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eng Boon Chu" w:date="2026-01-14T08:06:00Z" w:initials="SC">
    <w:p w14:paraId="39F0D87E" w14:textId="77777777" w:rsidR="00135889" w:rsidRDefault="00135889" w:rsidP="00135889">
      <w:pPr>
        <w:jc w:val="left"/>
      </w:pPr>
      <w:r>
        <w:rPr>
          <w:rStyle w:val="CommentReference"/>
        </w:rPr>
        <w:annotationRef/>
      </w:r>
      <w:r>
        <w:rPr>
          <w:sz w:val="20"/>
          <w:szCs w:val="20"/>
        </w:rPr>
        <w:t>Standardise your English style, either UK or US, if you are using US English, change this, as per "esthetic' in your keywords below</w:t>
      </w:r>
    </w:p>
    <w:p w14:paraId="0964C31E" w14:textId="77777777" w:rsidR="00135889" w:rsidRDefault="00135889" w:rsidP="00135889">
      <w:pPr>
        <w:jc w:val="left"/>
      </w:pPr>
    </w:p>
  </w:comment>
  <w:comment w:id="1" w:author="Seng Boon Chu" w:date="2026-01-14T08:27:00Z" w:initials="SC">
    <w:p w14:paraId="5E0B62EE" w14:textId="77777777" w:rsidR="00630F23" w:rsidRDefault="00630F23" w:rsidP="00630F23">
      <w:pPr>
        <w:jc w:val="left"/>
      </w:pPr>
      <w:r>
        <w:rPr>
          <w:rStyle w:val="CommentReference"/>
        </w:rPr>
        <w:annotationRef/>
      </w:r>
      <w:r>
        <w:rPr>
          <w:sz w:val="20"/>
          <w:szCs w:val="20"/>
        </w:rPr>
        <w:t>has greater susceptibility to recession resulting from...</w:t>
      </w:r>
    </w:p>
  </w:comment>
  <w:comment w:id="2" w:author="Seng Boon Chu" w:date="2026-01-14T08:06:00Z" w:initials="SC">
    <w:p w14:paraId="475DAB19" w14:textId="3E6CACE6" w:rsidR="00135889" w:rsidRDefault="00135889" w:rsidP="00135889">
      <w:pPr>
        <w:jc w:val="left"/>
      </w:pPr>
      <w:r>
        <w:rPr>
          <w:rStyle w:val="CommentReference"/>
        </w:rPr>
        <w:annotationRef/>
      </w:r>
      <w:r>
        <w:rPr>
          <w:sz w:val="20"/>
          <w:szCs w:val="20"/>
        </w:rPr>
        <w:t>too many keywords, best to key around 5-8</w:t>
      </w:r>
    </w:p>
    <w:p w14:paraId="2286E529" w14:textId="77777777" w:rsidR="00135889" w:rsidRDefault="00135889" w:rsidP="00135889">
      <w:pPr>
        <w:jc w:val="left"/>
      </w:pPr>
    </w:p>
  </w:comment>
  <w:comment w:id="3" w:author="Seng Boon Chu" w:date="2026-01-14T08:28:00Z" w:initials="SC">
    <w:p w14:paraId="540E37DB" w14:textId="77777777" w:rsidR="00630F23" w:rsidRDefault="00630F23" w:rsidP="00630F23">
      <w:pPr>
        <w:jc w:val="left"/>
      </w:pPr>
      <w:r>
        <w:rPr>
          <w:rStyle w:val="CommentReference"/>
        </w:rPr>
        <w:annotationRef/>
      </w:r>
      <w:r>
        <w:rPr>
          <w:sz w:val="20"/>
          <w:szCs w:val="20"/>
        </w:rPr>
        <w:t>soft tissue envelope</w:t>
      </w:r>
    </w:p>
  </w:comment>
  <w:comment w:id="4" w:author="Seng Boon Chu" w:date="2026-01-14T08:53:00Z" w:initials="SC">
    <w:p w14:paraId="6BD49DF8" w14:textId="77777777" w:rsidR="009B30FC" w:rsidRDefault="009B30FC" w:rsidP="009B30FC">
      <w:pPr>
        <w:jc w:val="left"/>
      </w:pPr>
      <w:r>
        <w:rPr>
          <w:rStyle w:val="CommentReference"/>
        </w:rPr>
        <w:annotationRef/>
      </w:r>
      <w:r>
        <w:rPr>
          <w:sz w:val="20"/>
          <w:szCs w:val="20"/>
        </w:rPr>
        <w:t>very vague</w:t>
      </w:r>
    </w:p>
  </w:comment>
  <w:comment w:id="5" w:author="Seng Boon Chu" w:date="2026-01-14T08:57:00Z" w:initials="SC">
    <w:p w14:paraId="3FBF4736" w14:textId="77777777" w:rsidR="009B30FC" w:rsidRDefault="009B30FC" w:rsidP="009B30FC">
      <w:pPr>
        <w:jc w:val="left"/>
      </w:pPr>
      <w:r>
        <w:rPr>
          <w:rStyle w:val="CommentReference"/>
        </w:rPr>
        <w:annotationRef/>
      </w:r>
      <w:r>
        <w:rPr>
          <w:sz w:val="20"/>
          <w:szCs w:val="20"/>
        </w:rPr>
        <w:t>accurately</w:t>
      </w:r>
    </w:p>
  </w:comment>
  <w:comment w:id="6" w:author="Seng Boon Chu" w:date="2026-01-14T08:57:00Z" w:initials="SC">
    <w:p w14:paraId="2CC5A454" w14:textId="77777777" w:rsidR="009B30FC" w:rsidRDefault="009B30FC" w:rsidP="009B30FC">
      <w:pPr>
        <w:jc w:val="left"/>
      </w:pPr>
      <w:r>
        <w:rPr>
          <w:rStyle w:val="CommentReference"/>
        </w:rPr>
        <w:annotationRef/>
      </w:r>
      <w:r>
        <w:rPr>
          <w:sz w:val="20"/>
          <w:szCs w:val="20"/>
        </w:rPr>
        <w:t>list down yuour references</w:t>
      </w:r>
    </w:p>
  </w:comment>
  <w:comment w:id="7" w:author="Seng Boon Chu" w:date="2026-01-14T08:57:00Z" w:initials="SC">
    <w:p w14:paraId="4F2F80A4" w14:textId="77777777" w:rsidR="009B30FC" w:rsidRDefault="009B30FC" w:rsidP="009B30FC">
      <w:pPr>
        <w:jc w:val="left"/>
      </w:pPr>
      <w:r>
        <w:rPr>
          <w:rStyle w:val="CommentReference"/>
        </w:rPr>
        <w:annotationRef/>
      </w:r>
      <w:r>
        <w:rPr>
          <w:sz w:val="20"/>
          <w:szCs w:val="20"/>
        </w:rPr>
        <w:t>Use a better word</w:t>
      </w:r>
    </w:p>
  </w:comment>
  <w:comment w:id="8" w:author="Seng Boon Chu" w:date="2026-01-14T08:58:00Z" w:initials="SC">
    <w:p w14:paraId="13DA2F58" w14:textId="77777777" w:rsidR="009B30FC" w:rsidRDefault="009B30FC" w:rsidP="009B30FC">
      <w:pPr>
        <w:jc w:val="left"/>
      </w:pPr>
      <w:r>
        <w:rPr>
          <w:rStyle w:val="CommentReference"/>
        </w:rPr>
        <w:annotationRef/>
      </w:r>
      <w:r>
        <w:rPr>
          <w:sz w:val="20"/>
          <w:szCs w:val="20"/>
        </w:rPr>
        <w:t>the whole sentence sounds incomplete</w:t>
      </w:r>
    </w:p>
  </w:comment>
  <w:comment w:id="9" w:author="Seng Boon Chu" w:date="2026-01-14T09:36:00Z" w:initials="SC">
    <w:p w14:paraId="2A70B489" w14:textId="77777777" w:rsidR="00326096" w:rsidRDefault="00326096" w:rsidP="00326096">
      <w:pPr>
        <w:jc w:val="left"/>
      </w:pPr>
      <w:r>
        <w:rPr>
          <w:rStyle w:val="CommentReference"/>
        </w:rPr>
        <w:annotationRef/>
      </w:r>
      <w:r>
        <w:rPr>
          <w:sz w:val="20"/>
          <w:szCs w:val="20"/>
        </w:rPr>
        <w:t>use a better descriptive</w:t>
      </w:r>
    </w:p>
  </w:comment>
  <w:comment w:id="10" w:author="Seng Boon Chu" w:date="2026-01-14T09:37:00Z" w:initials="SC">
    <w:p w14:paraId="68D27A53" w14:textId="77777777" w:rsidR="00326096" w:rsidRDefault="00326096" w:rsidP="00326096">
      <w:pPr>
        <w:jc w:val="left"/>
      </w:pPr>
      <w:r>
        <w:rPr>
          <w:rStyle w:val="CommentReference"/>
        </w:rPr>
        <w:annotationRef/>
      </w:r>
      <w:r>
        <w:rPr>
          <w:sz w:val="20"/>
          <w:szCs w:val="20"/>
        </w:rPr>
        <w:t>Use a better words</w:t>
      </w:r>
    </w:p>
    <w:p w14:paraId="70C600F6" w14:textId="77777777" w:rsidR="00326096" w:rsidRDefault="00326096" w:rsidP="00326096">
      <w:pPr>
        <w:jc w:val="left"/>
      </w:pPr>
    </w:p>
  </w:comment>
  <w:comment w:id="11" w:author="Seng Boon Chu" w:date="2026-01-14T09:38:00Z" w:initials="SC">
    <w:p w14:paraId="630FC459" w14:textId="77777777" w:rsidR="00326096" w:rsidRDefault="00326096" w:rsidP="00326096">
      <w:pPr>
        <w:jc w:val="left"/>
      </w:pPr>
      <w:r>
        <w:rPr>
          <w:rStyle w:val="CommentReference"/>
        </w:rPr>
        <w:annotationRef/>
      </w:r>
      <w:r>
        <w:rPr>
          <w:sz w:val="20"/>
          <w:szCs w:val="20"/>
        </w:rPr>
        <w:t>not appropriate</w:t>
      </w:r>
    </w:p>
  </w:comment>
  <w:comment w:id="12" w:author="Seng Boon Chu" w:date="2026-01-14T09:47:00Z" w:initials="SC">
    <w:p w14:paraId="73D178ED" w14:textId="77777777" w:rsidR="005B18D2" w:rsidRDefault="005B18D2" w:rsidP="005B18D2">
      <w:pPr>
        <w:jc w:val="left"/>
      </w:pPr>
      <w:r>
        <w:rPr>
          <w:rStyle w:val="CommentReference"/>
        </w:rPr>
        <w:annotationRef/>
      </w:r>
      <w:r>
        <w:rPr>
          <w:sz w:val="20"/>
          <w:szCs w:val="20"/>
        </w:rPr>
        <w:t>anatomical</w:t>
      </w:r>
    </w:p>
  </w:comment>
  <w:comment w:id="13" w:author="Seng Boon Chu" w:date="2026-01-14T09:48:00Z" w:initials="SC">
    <w:p w14:paraId="074A27CE" w14:textId="77777777" w:rsidR="005B18D2" w:rsidRDefault="005B18D2" w:rsidP="005B18D2">
      <w:pPr>
        <w:jc w:val="left"/>
      </w:pPr>
      <w:r>
        <w:rPr>
          <w:rStyle w:val="CommentReference"/>
        </w:rPr>
        <w:annotationRef/>
      </w:r>
      <w:r>
        <w:rPr>
          <w:sz w:val="20"/>
          <w:szCs w:val="20"/>
        </w:rPr>
        <w:t>their response</w:t>
      </w:r>
    </w:p>
  </w:comment>
  <w:comment w:id="14" w:author="Seng Boon Chu" w:date="2026-01-14T09:49:00Z" w:initials="SC">
    <w:p w14:paraId="33D01702" w14:textId="77777777" w:rsidR="005B18D2" w:rsidRDefault="005B18D2" w:rsidP="005B18D2">
      <w:pPr>
        <w:jc w:val="left"/>
      </w:pPr>
      <w:r>
        <w:rPr>
          <w:rStyle w:val="CommentReference"/>
        </w:rPr>
        <w:annotationRef/>
      </w:r>
      <w:r>
        <w:rPr>
          <w:sz w:val="20"/>
          <w:szCs w:val="20"/>
        </w:rPr>
        <w:t>use appropriate word please</w:t>
      </w:r>
    </w:p>
    <w:p w14:paraId="49770CFC" w14:textId="77777777" w:rsidR="005B18D2" w:rsidRDefault="005B18D2" w:rsidP="005B18D2">
      <w:pPr>
        <w:jc w:val="left"/>
      </w:pPr>
    </w:p>
  </w:comment>
  <w:comment w:id="15" w:author="Seng Boon Chu" w:date="2026-01-14T09:49:00Z" w:initials="SC">
    <w:p w14:paraId="795B7273" w14:textId="77777777" w:rsidR="005B18D2" w:rsidRDefault="005B18D2" w:rsidP="005B18D2">
      <w:pPr>
        <w:jc w:val="left"/>
      </w:pPr>
      <w:r>
        <w:rPr>
          <w:rStyle w:val="CommentReference"/>
        </w:rPr>
        <w:annotationRef/>
      </w:r>
      <w:r>
        <w:rPr>
          <w:sz w:val="20"/>
          <w:szCs w:val="20"/>
        </w:rPr>
        <w:t>something is missing here</w:t>
      </w:r>
    </w:p>
  </w:comment>
  <w:comment w:id="16" w:author="Seng Boon Chu" w:date="2026-01-14T09:50:00Z" w:initials="SC">
    <w:p w14:paraId="4A660BE2" w14:textId="77777777" w:rsidR="00F124D2" w:rsidRDefault="00F124D2" w:rsidP="00F124D2">
      <w:pPr>
        <w:jc w:val="left"/>
      </w:pPr>
      <w:r>
        <w:rPr>
          <w:rStyle w:val="CommentReference"/>
        </w:rPr>
        <w:annotationRef/>
      </w:r>
      <w:r>
        <w:rPr>
          <w:sz w:val="20"/>
          <w:szCs w:val="20"/>
        </w:rPr>
        <w:t>rephrase please</w:t>
      </w:r>
    </w:p>
  </w:comment>
  <w:comment w:id="17" w:author="Seng Boon Chu" w:date="2026-01-14T09:58:00Z" w:initials="SC">
    <w:p w14:paraId="01C8C64B" w14:textId="77777777" w:rsidR="004B3DA4" w:rsidRDefault="004B3DA4" w:rsidP="004B3DA4">
      <w:pPr>
        <w:jc w:val="left"/>
      </w:pPr>
      <w:r>
        <w:rPr>
          <w:rStyle w:val="CommentReference"/>
        </w:rPr>
        <w:annotationRef/>
      </w:r>
      <w:r>
        <w:rPr>
          <w:sz w:val="20"/>
          <w:szCs w:val="20"/>
        </w:rPr>
        <w:t>remove quotation marks</w:t>
      </w:r>
    </w:p>
  </w:comment>
  <w:comment w:id="18" w:author="Seng Boon Chu" w:date="2026-01-14T09:59:00Z" w:initials="SC">
    <w:p w14:paraId="7E59311F" w14:textId="77777777" w:rsidR="004B3DA4" w:rsidRDefault="004B3DA4" w:rsidP="004B3DA4">
      <w:pPr>
        <w:jc w:val="left"/>
      </w:pPr>
      <w:r>
        <w:rPr>
          <w:rStyle w:val="CommentReference"/>
        </w:rPr>
        <w:annotationRef/>
      </w:r>
      <w:r>
        <w:rPr>
          <w:sz w:val="20"/>
          <w:szCs w:val="20"/>
        </w:rPr>
        <w:t>presents with dehiscence</w:t>
      </w:r>
    </w:p>
  </w:comment>
  <w:comment w:id="19" w:author="Seng Boon Chu" w:date="2026-01-14T09:59:00Z" w:initials="SC">
    <w:p w14:paraId="5D39EE75" w14:textId="77777777" w:rsidR="004B3DA4" w:rsidRDefault="004B3DA4" w:rsidP="004B3DA4">
      <w:pPr>
        <w:jc w:val="left"/>
      </w:pPr>
      <w:r>
        <w:rPr>
          <w:rStyle w:val="CommentReference"/>
        </w:rPr>
        <w:annotationRef/>
      </w:r>
      <w:r>
        <w:rPr>
          <w:sz w:val="20"/>
          <w:szCs w:val="20"/>
        </w:rPr>
        <w:t>is not universally predictable</w:t>
      </w:r>
    </w:p>
    <w:p w14:paraId="25FBD9BF" w14:textId="77777777" w:rsidR="004B3DA4" w:rsidRDefault="004B3DA4" w:rsidP="004B3DA4">
      <w:pPr>
        <w:jc w:val="left"/>
      </w:pPr>
    </w:p>
  </w:comment>
  <w:comment w:id="20" w:author="Seng Boon Chu" w:date="2026-01-14T10:01:00Z" w:initials="SC">
    <w:p w14:paraId="67E33E19" w14:textId="77777777" w:rsidR="00A8742B" w:rsidRDefault="00A8742B" w:rsidP="00A8742B">
      <w:pPr>
        <w:jc w:val="left"/>
      </w:pPr>
      <w:r>
        <w:rPr>
          <w:rStyle w:val="CommentReference"/>
        </w:rPr>
        <w:annotationRef/>
      </w:r>
      <w:r>
        <w:rPr>
          <w:sz w:val="20"/>
          <w:szCs w:val="20"/>
        </w:rPr>
        <w:t>principles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964C31E" w15:done="0"/>
  <w15:commentEx w15:paraId="5E0B62EE" w15:done="0"/>
  <w15:commentEx w15:paraId="2286E529" w15:done="0"/>
  <w15:commentEx w15:paraId="540E37DB" w15:done="0"/>
  <w15:commentEx w15:paraId="6BD49DF8" w15:done="0"/>
  <w15:commentEx w15:paraId="3FBF4736" w15:done="0"/>
  <w15:commentEx w15:paraId="2CC5A454" w15:done="0"/>
  <w15:commentEx w15:paraId="4F2F80A4" w15:done="0"/>
  <w15:commentEx w15:paraId="13DA2F58" w15:done="0"/>
  <w15:commentEx w15:paraId="2A70B489" w15:done="0"/>
  <w15:commentEx w15:paraId="70C600F6" w15:done="0"/>
  <w15:commentEx w15:paraId="630FC459" w15:done="0"/>
  <w15:commentEx w15:paraId="73D178ED" w15:done="0"/>
  <w15:commentEx w15:paraId="074A27CE" w15:done="0"/>
  <w15:commentEx w15:paraId="49770CFC" w15:done="0"/>
  <w15:commentEx w15:paraId="795B7273" w15:done="0"/>
  <w15:commentEx w15:paraId="4A660BE2" w15:done="0"/>
  <w15:commentEx w15:paraId="01C8C64B" w15:done="0"/>
  <w15:commentEx w15:paraId="7E59311F" w15:done="0"/>
  <w15:commentEx w15:paraId="25FBD9BF" w15:done="0"/>
  <w15:commentEx w15:paraId="67E33E1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CA6A23" w16cex:dateUtc="2026-01-14T00:06:00Z"/>
  <w16cex:commentExtensible w16cex:durableId="0AD128F6" w16cex:dateUtc="2026-01-14T00:27:00Z"/>
  <w16cex:commentExtensible w16cex:durableId="4E4119D5" w16cex:dateUtc="2026-01-14T00:06:00Z"/>
  <w16cex:commentExtensible w16cex:durableId="12F34012" w16cex:dateUtc="2026-01-14T00:28:00Z"/>
  <w16cex:commentExtensible w16cex:durableId="3ADF4C71" w16cex:dateUtc="2026-01-14T00:53:00Z"/>
  <w16cex:commentExtensible w16cex:durableId="67A932F8" w16cex:dateUtc="2026-01-14T00:57:00Z"/>
  <w16cex:commentExtensible w16cex:durableId="162E7B0C" w16cex:dateUtc="2026-01-14T00:57:00Z"/>
  <w16cex:commentExtensible w16cex:durableId="04E1AB15" w16cex:dateUtc="2026-01-14T00:57:00Z"/>
  <w16cex:commentExtensible w16cex:durableId="34D3C437" w16cex:dateUtc="2026-01-14T00:58:00Z"/>
  <w16cex:commentExtensible w16cex:durableId="1E365854" w16cex:dateUtc="2026-01-14T01:36:00Z"/>
  <w16cex:commentExtensible w16cex:durableId="7A3E9C84" w16cex:dateUtc="2026-01-14T01:37:00Z"/>
  <w16cex:commentExtensible w16cex:durableId="2A86CC38" w16cex:dateUtc="2026-01-14T01:38:00Z"/>
  <w16cex:commentExtensible w16cex:durableId="437AE15A" w16cex:dateUtc="2026-01-14T01:47:00Z"/>
  <w16cex:commentExtensible w16cex:durableId="41C7604D" w16cex:dateUtc="2026-01-14T01:48:00Z"/>
  <w16cex:commentExtensible w16cex:durableId="1FA48F8C" w16cex:dateUtc="2026-01-14T01:49:00Z"/>
  <w16cex:commentExtensible w16cex:durableId="74117FAA" w16cex:dateUtc="2026-01-14T01:49:00Z"/>
  <w16cex:commentExtensible w16cex:durableId="3E99B810" w16cex:dateUtc="2026-01-14T01:50:00Z"/>
  <w16cex:commentExtensible w16cex:durableId="7B3F5DD7" w16cex:dateUtc="2026-01-14T01:58:00Z"/>
  <w16cex:commentExtensible w16cex:durableId="1DC41A13" w16cex:dateUtc="2026-01-14T01:59:00Z"/>
  <w16cex:commentExtensible w16cex:durableId="659854A1" w16cex:dateUtc="2026-01-14T01:59:00Z"/>
  <w16cex:commentExtensible w16cex:durableId="55898880" w16cex:dateUtc="2026-01-14T02: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964C31E" w16cid:durableId="26CA6A23"/>
  <w16cid:commentId w16cid:paraId="5E0B62EE" w16cid:durableId="0AD128F6"/>
  <w16cid:commentId w16cid:paraId="2286E529" w16cid:durableId="4E4119D5"/>
  <w16cid:commentId w16cid:paraId="540E37DB" w16cid:durableId="12F34012"/>
  <w16cid:commentId w16cid:paraId="6BD49DF8" w16cid:durableId="3ADF4C71"/>
  <w16cid:commentId w16cid:paraId="3FBF4736" w16cid:durableId="67A932F8"/>
  <w16cid:commentId w16cid:paraId="2CC5A454" w16cid:durableId="162E7B0C"/>
  <w16cid:commentId w16cid:paraId="4F2F80A4" w16cid:durableId="04E1AB15"/>
  <w16cid:commentId w16cid:paraId="13DA2F58" w16cid:durableId="34D3C437"/>
  <w16cid:commentId w16cid:paraId="2A70B489" w16cid:durableId="1E365854"/>
  <w16cid:commentId w16cid:paraId="70C600F6" w16cid:durableId="7A3E9C84"/>
  <w16cid:commentId w16cid:paraId="630FC459" w16cid:durableId="2A86CC38"/>
  <w16cid:commentId w16cid:paraId="73D178ED" w16cid:durableId="437AE15A"/>
  <w16cid:commentId w16cid:paraId="074A27CE" w16cid:durableId="41C7604D"/>
  <w16cid:commentId w16cid:paraId="49770CFC" w16cid:durableId="1FA48F8C"/>
  <w16cid:commentId w16cid:paraId="795B7273" w16cid:durableId="74117FAA"/>
  <w16cid:commentId w16cid:paraId="4A660BE2" w16cid:durableId="3E99B810"/>
  <w16cid:commentId w16cid:paraId="01C8C64B" w16cid:durableId="7B3F5DD7"/>
  <w16cid:commentId w16cid:paraId="7E59311F" w16cid:durableId="1DC41A13"/>
  <w16cid:commentId w16cid:paraId="25FBD9BF" w16cid:durableId="659854A1"/>
  <w16cid:commentId w16cid:paraId="67E33E19" w16cid:durableId="5589888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AE812" w14:textId="77777777" w:rsidR="00B02E12" w:rsidRDefault="00B02E12" w:rsidP="00E97301">
      <w:pPr>
        <w:spacing w:after="0" w:line="240" w:lineRule="auto"/>
      </w:pPr>
      <w:r>
        <w:separator/>
      </w:r>
    </w:p>
  </w:endnote>
  <w:endnote w:type="continuationSeparator" w:id="0">
    <w:p w14:paraId="7CEF673D" w14:textId="77777777" w:rsidR="00B02E12" w:rsidRDefault="00B02E12" w:rsidP="00E97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39BA8" w14:textId="77777777" w:rsidR="00E97301" w:rsidRDefault="00E973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39AFB" w14:textId="77777777" w:rsidR="00E97301" w:rsidRDefault="00E973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6C0B2" w14:textId="77777777" w:rsidR="00E97301" w:rsidRDefault="00E973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C9AF6" w14:textId="77777777" w:rsidR="00B02E12" w:rsidRDefault="00B02E12" w:rsidP="00E97301">
      <w:pPr>
        <w:spacing w:after="0" w:line="240" w:lineRule="auto"/>
      </w:pPr>
      <w:r>
        <w:separator/>
      </w:r>
    </w:p>
  </w:footnote>
  <w:footnote w:type="continuationSeparator" w:id="0">
    <w:p w14:paraId="2AC7F8BE" w14:textId="77777777" w:rsidR="00B02E12" w:rsidRDefault="00B02E12" w:rsidP="00E973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05319" w14:textId="77777777" w:rsidR="00E97301" w:rsidRDefault="00B02E12">
    <w:pPr>
      <w:pStyle w:val="Header"/>
    </w:pPr>
    <w:r>
      <w:rPr>
        <w:noProof/>
      </w:rPr>
      <w:pict w14:anchorId="4453A0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576938" o:spid="_x0000_s1027" type="#_x0000_t136" alt="" style="position:absolute;left:0;text-align:left;margin-left:0;margin-top:0;width:572.65pt;height:63.6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11633" w14:textId="77777777" w:rsidR="00E97301" w:rsidRDefault="00B02E12">
    <w:pPr>
      <w:pStyle w:val="Header"/>
    </w:pPr>
    <w:r>
      <w:rPr>
        <w:noProof/>
      </w:rPr>
      <w:pict w14:anchorId="1BA55F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576939" o:spid="_x0000_s1026" type="#_x0000_t136" alt="" style="position:absolute;left:0;text-align:left;margin-left:0;margin-top:0;width:572.65pt;height:63.6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8A0EB" w14:textId="77777777" w:rsidR="00E97301" w:rsidRDefault="00B02E12">
    <w:pPr>
      <w:pStyle w:val="Header"/>
    </w:pPr>
    <w:r>
      <w:rPr>
        <w:noProof/>
      </w:rPr>
      <w:pict w14:anchorId="63A283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576937" o:spid="_x0000_s1025" type="#_x0000_t136" alt="" style="position:absolute;left:0;text-align:left;margin-left:0;margin-top:0;width:572.65pt;height:63.6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55CBE"/>
    <w:multiLevelType w:val="hybridMultilevel"/>
    <w:tmpl w:val="73D65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F146D"/>
    <w:multiLevelType w:val="hybridMultilevel"/>
    <w:tmpl w:val="8D046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75ACB"/>
    <w:multiLevelType w:val="hybridMultilevel"/>
    <w:tmpl w:val="BF107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416D3"/>
    <w:multiLevelType w:val="hybridMultilevel"/>
    <w:tmpl w:val="A3904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566CE0"/>
    <w:multiLevelType w:val="hybridMultilevel"/>
    <w:tmpl w:val="1E8682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993B97"/>
    <w:multiLevelType w:val="hybridMultilevel"/>
    <w:tmpl w:val="9398C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26055C"/>
    <w:multiLevelType w:val="multilevel"/>
    <w:tmpl w:val="6FC8E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14205B"/>
    <w:multiLevelType w:val="hybridMultilevel"/>
    <w:tmpl w:val="F00EC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AD63EC"/>
    <w:multiLevelType w:val="hybridMultilevel"/>
    <w:tmpl w:val="66401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A06F3"/>
    <w:multiLevelType w:val="hybridMultilevel"/>
    <w:tmpl w:val="A7CA7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AD6E23"/>
    <w:multiLevelType w:val="multilevel"/>
    <w:tmpl w:val="14681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1919C7"/>
    <w:multiLevelType w:val="multilevel"/>
    <w:tmpl w:val="3962D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9825074"/>
    <w:multiLevelType w:val="hybridMultilevel"/>
    <w:tmpl w:val="720ED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5774F4"/>
    <w:multiLevelType w:val="hybridMultilevel"/>
    <w:tmpl w:val="ED022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B742A8"/>
    <w:multiLevelType w:val="hybridMultilevel"/>
    <w:tmpl w:val="E0B06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6679DE"/>
    <w:multiLevelType w:val="hybridMultilevel"/>
    <w:tmpl w:val="3AF4F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5C54D6"/>
    <w:multiLevelType w:val="hybridMultilevel"/>
    <w:tmpl w:val="9774D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FD7897"/>
    <w:multiLevelType w:val="hybridMultilevel"/>
    <w:tmpl w:val="14C08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852730"/>
    <w:multiLevelType w:val="hybridMultilevel"/>
    <w:tmpl w:val="40F66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B1393D"/>
    <w:multiLevelType w:val="multilevel"/>
    <w:tmpl w:val="2DE27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6E16B1F"/>
    <w:multiLevelType w:val="multilevel"/>
    <w:tmpl w:val="BD1C6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8634F45"/>
    <w:multiLevelType w:val="hybridMultilevel"/>
    <w:tmpl w:val="557E306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545BAB"/>
    <w:multiLevelType w:val="multilevel"/>
    <w:tmpl w:val="11F8A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3A34E53"/>
    <w:multiLevelType w:val="hybridMultilevel"/>
    <w:tmpl w:val="1946E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834FF1"/>
    <w:multiLevelType w:val="hybridMultilevel"/>
    <w:tmpl w:val="18641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96713A"/>
    <w:multiLevelType w:val="hybridMultilevel"/>
    <w:tmpl w:val="41EC8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FB012A"/>
    <w:multiLevelType w:val="hybridMultilevel"/>
    <w:tmpl w:val="C518C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F83FED"/>
    <w:multiLevelType w:val="multilevel"/>
    <w:tmpl w:val="3D14B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2BA3B7C"/>
    <w:multiLevelType w:val="hybridMultilevel"/>
    <w:tmpl w:val="96E8F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0C6F19"/>
    <w:multiLevelType w:val="hybridMultilevel"/>
    <w:tmpl w:val="CDAA9F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4F7310"/>
    <w:multiLevelType w:val="multilevel"/>
    <w:tmpl w:val="0AACD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76D67BF"/>
    <w:multiLevelType w:val="multilevel"/>
    <w:tmpl w:val="CD641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E3F10FA"/>
    <w:multiLevelType w:val="multilevel"/>
    <w:tmpl w:val="FEC0D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FD96EF8"/>
    <w:multiLevelType w:val="hybridMultilevel"/>
    <w:tmpl w:val="F3301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2503346">
    <w:abstractNumId w:val="6"/>
  </w:num>
  <w:num w:numId="2" w16cid:durableId="1994525505">
    <w:abstractNumId w:val="12"/>
  </w:num>
  <w:num w:numId="3" w16cid:durableId="61946363">
    <w:abstractNumId w:val="22"/>
  </w:num>
  <w:num w:numId="4" w16cid:durableId="659188144">
    <w:abstractNumId w:val="7"/>
  </w:num>
  <w:num w:numId="5" w16cid:durableId="1220088761">
    <w:abstractNumId w:val="21"/>
  </w:num>
  <w:num w:numId="6" w16cid:durableId="404645305">
    <w:abstractNumId w:val="9"/>
  </w:num>
  <w:num w:numId="7" w16cid:durableId="1905794380">
    <w:abstractNumId w:val="2"/>
  </w:num>
  <w:num w:numId="8" w16cid:durableId="971642238">
    <w:abstractNumId w:val="33"/>
  </w:num>
  <w:num w:numId="9" w16cid:durableId="1408721789">
    <w:abstractNumId w:val="10"/>
  </w:num>
  <w:num w:numId="10" w16cid:durableId="1475871524">
    <w:abstractNumId w:val="11"/>
  </w:num>
  <w:num w:numId="11" w16cid:durableId="914120703">
    <w:abstractNumId w:val="17"/>
  </w:num>
  <w:num w:numId="12" w16cid:durableId="1670790138">
    <w:abstractNumId w:val="16"/>
  </w:num>
  <w:num w:numId="13" w16cid:durableId="1040544975">
    <w:abstractNumId w:val="18"/>
  </w:num>
  <w:num w:numId="14" w16cid:durableId="1178615032">
    <w:abstractNumId w:val="8"/>
  </w:num>
  <w:num w:numId="15" w16cid:durableId="558782542">
    <w:abstractNumId w:val="1"/>
  </w:num>
  <w:num w:numId="16" w16cid:durableId="1730490619">
    <w:abstractNumId w:val="19"/>
  </w:num>
  <w:num w:numId="17" w16cid:durableId="885726711">
    <w:abstractNumId w:val="30"/>
  </w:num>
  <w:num w:numId="18" w16cid:durableId="1625694090">
    <w:abstractNumId w:val="28"/>
  </w:num>
  <w:num w:numId="19" w16cid:durableId="1375151656">
    <w:abstractNumId w:val="27"/>
  </w:num>
  <w:num w:numId="20" w16cid:durableId="1789198659">
    <w:abstractNumId w:val="14"/>
  </w:num>
  <w:num w:numId="21" w16cid:durableId="525219313">
    <w:abstractNumId w:val="23"/>
  </w:num>
  <w:num w:numId="22" w16cid:durableId="922836989">
    <w:abstractNumId w:val="25"/>
  </w:num>
  <w:num w:numId="23" w16cid:durableId="295140823">
    <w:abstractNumId w:val="0"/>
  </w:num>
  <w:num w:numId="24" w16cid:durableId="1464422031">
    <w:abstractNumId w:val="32"/>
  </w:num>
  <w:num w:numId="25" w16cid:durableId="1995143354">
    <w:abstractNumId w:val="5"/>
  </w:num>
  <w:num w:numId="26" w16cid:durableId="1674528168">
    <w:abstractNumId w:val="20"/>
  </w:num>
  <w:num w:numId="27" w16cid:durableId="1809007236">
    <w:abstractNumId w:val="26"/>
  </w:num>
  <w:num w:numId="28" w16cid:durableId="1061713828">
    <w:abstractNumId w:val="24"/>
  </w:num>
  <w:num w:numId="29" w16cid:durableId="1348025870">
    <w:abstractNumId w:val="15"/>
  </w:num>
  <w:num w:numId="30" w16cid:durableId="1528450766">
    <w:abstractNumId w:val="31"/>
  </w:num>
  <w:num w:numId="31" w16cid:durableId="255090575">
    <w:abstractNumId w:val="13"/>
  </w:num>
  <w:num w:numId="32" w16cid:durableId="1499617508">
    <w:abstractNumId w:val="29"/>
  </w:num>
  <w:num w:numId="33" w16cid:durableId="539324925">
    <w:abstractNumId w:val="3"/>
  </w:num>
  <w:num w:numId="34" w16cid:durableId="1893270869">
    <w:abstractNumId w:val="4"/>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ng Boon Chu">
    <w15:presenceInfo w15:providerId="Windows Live" w15:userId="579c41a76e2089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1CB6"/>
    <w:rsid w:val="00004A77"/>
    <w:rsid w:val="000078F4"/>
    <w:rsid w:val="00007AAB"/>
    <w:rsid w:val="000425DD"/>
    <w:rsid w:val="00053D7A"/>
    <w:rsid w:val="0005616C"/>
    <w:rsid w:val="0006037D"/>
    <w:rsid w:val="0006413B"/>
    <w:rsid w:val="000643E7"/>
    <w:rsid w:val="0006527C"/>
    <w:rsid w:val="000652AA"/>
    <w:rsid w:val="00086EDD"/>
    <w:rsid w:val="000A0EB4"/>
    <w:rsid w:val="000A79B2"/>
    <w:rsid w:val="000C4F0E"/>
    <w:rsid w:val="000D461E"/>
    <w:rsid w:val="000D6AAA"/>
    <w:rsid w:val="000E67D1"/>
    <w:rsid w:val="000E709D"/>
    <w:rsid w:val="000F27AA"/>
    <w:rsid w:val="00114147"/>
    <w:rsid w:val="001261CC"/>
    <w:rsid w:val="00126ADF"/>
    <w:rsid w:val="00131E50"/>
    <w:rsid w:val="00135191"/>
    <w:rsid w:val="00135889"/>
    <w:rsid w:val="00142919"/>
    <w:rsid w:val="001514E1"/>
    <w:rsid w:val="001560E3"/>
    <w:rsid w:val="00166050"/>
    <w:rsid w:val="00186E2A"/>
    <w:rsid w:val="0019059D"/>
    <w:rsid w:val="0019667B"/>
    <w:rsid w:val="001A0E70"/>
    <w:rsid w:val="001A165A"/>
    <w:rsid w:val="001A3703"/>
    <w:rsid w:val="001A7A4E"/>
    <w:rsid w:val="001B2FA4"/>
    <w:rsid w:val="001B5753"/>
    <w:rsid w:val="001E6EC5"/>
    <w:rsid w:val="00202F35"/>
    <w:rsid w:val="0022042D"/>
    <w:rsid w:val="002312EA"/>
    <w:rsid w:val="0024324D"/>
    <w:rsid w:val="0025339C"/>
    <w:rsid w:val="00257AC1"/>
    <w:rsid w:val="00260455"/>
    <w:rsid w:val="00260B1D"/>
    <w:rsid w:val="00267B17"/>
    <w:rsid w:val="00271A26"/>
    <w:rsid w:val="002778DD"/>
    <w:rsid w:val="00284F1F"/>
    <w:rsid w:val="002A01F2"/>
    <w:rsid w:val="002A4C47"/>
    <w:rsid w:val="002B76E6"/>
    <w:rsid w:val="002C0DF9"/>
    <w:rsid w:val="002C48BB"/>
    <w:rsid w:val="002D6FFA"/>
    <w:rsid w:val="002E0776"/>
    <w:rsid w:val="002F0434"/>
    <w:rsid w:val="002F4C0C"/>
    <w:rsid w:val="00307595"/>
    <w:rsid w:val="0031286E"/>
    <w:rsid w:val="00326096"/>
    <w:rsid w:val="00332243"/>
    <w:rsid w:val="00345946"/>
    <w:rsid w:val="0035701C"/>
    <w:rsid w:val="003664CE"/>
    <w:rsid w:val="003740DE"/>
    <w:rsid w:val="00391BB6"/>
    <w:rsid w:val="003975AE"/>
    <w:rsid w:val="003A104D"/>
    <w:rsid w:val="003A4787"/>
    <w:rsid w:val="003B035B"/>
    <w:rsid w:val="003B09B4"/>
    <w:rsid w:val="003B3553"/>
    <w:rsid w:val="003B400E"/>
    <w:rsid w:val="003B6CCD"/>
    <w:rsid w:val="003C31E9"/>
    <w:rsid w:val="003C4000"/>
    <w:rsid w:val="003E35A3"/>
    <w:rsid w:val="003E61B2"/>
    <w:rsid w:val="003F02C5"/>
    <w:rsid w:val="003F6E91"/>
    <w:rsid w:val="00400005"/>
    <w:rsid w:val="00405181"/>
    <w:rsid w:val="004132B1"/>
    <w:rsid w:val="004148C1"/>
    <w:rsid w:val="004148F5"/>
    <w:rsid w:val="00416C8C"/>
    <w:rsid w:val="00456E20"/>
    <w:rsid w:val="004615AF"/>
    <w:rsid w:val="004711B7"/>
    <w:rsid w:val="004A16BD"/>
    <w:rsid w:val="004A508F"/>
    <w:rsid w:val="004A5427"/>
    <w:rsid w:val="004A586B"/>
    <w:rsid w:val="004B02DF"/>
    <w:rsid w:val="004B3DA4"/>
    <w:rsid w:val="004C1A63"/>
    <w:rsid w:val="004C6306"/>
    <w:rsid w:val="004C7547"/>
    <w:rsid w:val="004E1999"/>
    <w:rsid w:val="004E7311"/>
    <w:rsid w:val="004F2BB5"/>
    <w:rsid w:val="004F5E1D"/>
    <w:rsid w:val="00516AA1"/>
    <w:rsid w:val="00523936"/>
    <w:rsid w:val="0052448D"/>
    <w:rsid w:val="0054487D"/>
    <w:rsid w:val="00554C7D"/>
    <w:rsid w:val="005577C6"/>
    <w:rsid w:val="0056389E"/>
    <w:rsid w:val="00564FB4"/>
    <w:rsid w:val="00571246"/>
    <w:rsid w:val="005A2AA6"/>
    <w:rsid w:val="005A5DEC"/>
    <w:rsid w:val="005B18D2"/>
    <w:rsid w:val="005B22C5"/>
    <w:rsid w:val="005B4ADB"/>
    <w:rsid w:val="005D2267"/>
    <w:rsid w:val="005F1FE6"/>
    <w:rsid w:val="006009AA"/>
    <w:rsid w:val="00605701"/>
    <w:rsid w:val="0061521F"/>
    <w:rsid w:val="00622C65"/>
    <w:rsid w:val="00626F6E"/>
    <w:rsid w:val="00630F23"/>
    <w:rsid w:val="00632906"/>
    <w:rsid w:val="0064677F"/>
    <w:rsid w:val="006500A6"/>
    <w:rsid w:val="00650475"/>
    <w:rsid w:val="00655F10"/>
    <w:rsid w:val="00657005"/>
    <w:rsid w:val="00661483"/>
    <w:rsid w:val="006618F5"/>
    <w:rsid w:val="0067007E"/>
    <w:rsid w:val="00671CE7"/>
    <w:rsid w:val="00676549"/>
    <w:rsid w:val="0067685B"/>
    <w:rsid w:val="00683EC3"/>
    <w:rsid w:val="006907D2"/>
    <w:rsid w:val="00692471"/>
    <w:rsid w:val="00693DFE"/>
    <w:rsid w:val="00695D59"/>
    <w:rsid w:val="006A2C8B"/>
    <w:rsid w:val="006A39B3"/>
    <w:rsid w:val="006B66BC"/>
    <w:rsid w:val="006D2558"/>
    <w:rsid w:val="006D455D"/>
    <w:rsid w:val="006E13D4"/>
    <w:rsid w:val="006E4B0A"/>
    <w:rsid w:val="006F708E"/>
    <w:rsid w:val="00711B14"/>
    <w:rsid w:val="00713825"/>
    <w:rsid w:val="00720F41"/>
    <w:rsid w:val="00721966"/>
    <w:rsid w:val="00737A32"/>
    <w:rsid w:val="007521D0"/>
    <w:rsid w:val="00755BDC"/>
    <w:rsid w:val="00761CB6"/>
    <w:rsid w:val="00773599"/>
    <w:rsid w:val="00774395"/>
    <w:rsid w:val="0078275D"/>
    <w:rsid w:val="00783E9E"/>
    <w:rsid w:val="00786C67"/>
    <w:rsid w:val="007B0E74"/>
    <w:rsid w:val="007B437D"/>
    <w:rsid w:val="007C5F8A"/>
    <w:rsid w:val="007C7951"/>
    <w:rsid w:val="007D03BC"/>
    <w:rsid w:val="007D38FC"/>
    <w:rsid w:val="007E249F"/>
    <w:rsid w:val="007F1928"/>
    <w:rsid w:val="008017C0"/>
    <w:rsid w:val="00804929"/>
    <w:rsid w:val="008107F6"/>
    <w:rsid w:val="00812006"/>
    <w:rsid w:val="00820C75"/>
    <w:rsid w:val="00826AC2"/>
    <w:rsid w:val="00831623"/>
    <w:rsid w:val="0083179B"/>
    <w:rsid w:val="008374C4"/>
    <w:rsid w:val="00855A4C"/>
    <w:rsid w:val="00856AFD"/>
    <w:rsid w:val="0087023A"/>
    <w:rsid w:val="00870945"/>
    <w:rsid w:val="00876190"/>
    <w:rsid w:val="008811F8"/>
    <w:rsid w:val="00881487"/>
    <w:rsid w:val="00883166"/>
    <w:rsid w:val="008A2470"/>
    <w:rsid w:val="008A4BFC"/>
    <w:rsid w:val="008A7416"/>
    <w:rsid w:val="008C2A6A"/>
    <w:rsid w:val="008E71C6"/>
    <w:rsid w:val="008F3850"/>
    <w:rsid w:val="00911A60"/>
    <w:rsid w:val="00916DED"/>
    <w:rsid w:val="00921557"/>
    <w:rsid w:val="00925CAF"/>
    <w:rsid w:val="00935182"/>
    <w:rsid w:val="00951A3D"/>
    <w:rsid w:val="009536DC"/>
    <w:rsid w:val="009851F5"/>
    <w:rsid w:val="009929A7"/>
    <w:rsid w:val="00992B92"/>
    <w:rsid w:val="00994A4A"/>
    <w:rsid w:val="009B30FC"/>
    <w:rsid w:val="009B3A8A"/>
    <w:rsid w:val="009B55DE"/>
    <w:rsid w:val="009D05A9"/>
    <w:rsid w:val="009D0B9D"/>
    <w:rsid w:val="009D13F6"/>
    <w:rsid w:val="009D5BA5"/>
    <w:rsid w:val="009E5244"/>
    <w:rsid w:val="009F0120"/>
    <w:rsid w:val="00A00B22"/>
    <w:rsid w:val="00A029C3"/>
    <w:rsid w:val="00A2270F"/>
    <w:rsid w:val="00A24B38"/>
    <w:rsid w:val="00A27BF4"/>
    <w:rsid w:val="00A478B2"/>
    <w:rsid w:val="00A50845"/>
    <w:rsid w:val="00A5299F"/>
    <w:rsid w:val="00A54719"/>
    <w:rsid w:val="00A57A87"/>
    <w:rsid w:val="00A62C46"/>
    <w:rsid w:val="00A64590"/>
    <w:rsid w:val="00A7055A"/>
    <w:rsid w:val="00A8506E"/>
    <w:rsid w:val="00A8742B"/>
    <w:rsid w:val="00A97AEF"/>
    <w:rsid w:val="00AA2B64"/>
    <w:rsid w:val="00AA4644"/>
    <w:rsid w:val="00AA4B35"/>
    <w:rsid w:val="00AB0C7A"/>
    <w:rsid w:val="00AB1103"/>
    <w:rsid w:val="00AD7B8B"/>
    <w:rsid w:val="00AE651D"/>
    <w:rsid w:val="00AE79C2"/>
    <w:rsid w:val="00AF7425"/>
    <w:rsid w:val="00B02E12"/>
    <w:rsid w:val="00B06888"/>
    <w:rsid w:val="00B1065D"/>
    <w:rsid w:val="00B451DB"/>
    <w:rsid w:val="00B6043D"/>
    <w:rsid w:val="00B84C19"/>
    <w:rsid w:val="00B96BA2"/>
    <w:rsid w:val="00BB0BE1"/>
    <w:rsid w:val="00BB6828"/>
    <w:rsid w:val="00BB7829"/>
    <w:rsid w:val="00BC43AE"/>
    <w:rsid w:val="00BD22E5"/>
    <w:rsid w:val="00BE2004"/>
    <w:rsid w:val="00BF0896"/>
    <w:rsid w:val="00BF26BF"/>
    <w:rsid w:val="00BF31D8"/>
    <w:rsid w:val="00C00621"/>
    <w:rsid w:val="00C033E1"/>
    <w:rsid w:val="00C04B81"/>
    <w:rsid w:val="00C077F0"/>
    <w:rsid w:val="00C100D0"/>
    <w:rsid w:val="00C1225B"/>
    <w:rsid w:val="00C13468"/>
    <w:rsid w:val="00C27740"/>
    <w:rsid w:val="00C3420C"/>
    <w:rsid w:val="00C40318"/>
    <w:rsid w:val="00C404E0"/>
    <w:rsid w:val="00C41BA6"/>
    <w:rsid w:val="00C524EC"/>
    <w:rsid w:val="00C54922"/>
    <w:rsid w:val="00C5683C"/>
    <w:rsid w:val="00C57B8F"/>
    <w:rsid w:val="00C6694F"/>
    <w:rsid w:val="00C7136B"/>
    <w:rsid w:val="00C93A8A"/>
    <w:rsid w:val="00C955E0"/>
    <w:rsid w:val="00CA346F"/>
    <w:rsid w:val="00CA5316"/>
    <w:rsid w:val="00CB0EDD"/>
    <w:rsid w:val="00CB6EB6"/>
    <w:rsid w:val="00CB75A8"/>
    <w:rsid w:val="00CC40DF"/>
    <w:rsid w:val="00CE051F"/>
    <w:rsid w:val="00CE0C42"/>
    <w:rsid w:val="00CE5BFA"/>
    <w:rsid w:val="00CF3244"/>
    <w:rsid w:val="00D055EE"/>
    <w:rsid w:val="00D07932"/>
    <w:rsid w:val="00D2322A"/>
    <w:rsid w:val="00D370EF"/>
    <w:rsid w:val="00D40796"/>
    <w:rsid w:val="00D63323"/>
    <w:rsid w:val="00D71250"/>
    <w:rsid w:val="00D75C9D"/>
    <w:rsid w:val="00D9293B"/>
    <w:rsid w:val="00D95D20"/>
    <w:rsid w:val="00DA3203"/>
    <w:rsid w:val="00DC5FB9"/>
    <w:rsid w:val="00DC6BC2"/>
    <w:rsid w:val="00DC74C9"/>
    <w:rsid w:val="00DD02B6"/>
    <w:rsid w:val="00DD62DF"/>
    <w:rsid w:val="00DE0A9F"/>
    <w:rsid w:val="00DE544F"/>
    <w:rsid w:val="00DF20BB"/>
    <w:rsid w:val="00DF5AB4"/>
    <w:rsid w:val="00E125DA"/>
    <w:rsid w:val="00E20962"/>
    <w:rsid w:val="00E22310"/>
    <w:rsid w:val="00E40B47"/>
    <w:rsid w:val="00E52157"/>
    <w:rsid w:val="00E643E8"/>
    <w:rsid w:val="00E6564A"/>
    <w:rsid w:val="00E7044C"/>
    <w:rsid w:val="00E76785"/>
    <w:rsid w:val="00E93BAE"/>
    <w:rsid w:val="00E97301"/>
    <w:rsid w:val="00E97F4E"/>
    <w:rsid w:val="00EA45FD"/>
    <w:rsid w:val="00EC266D"/>
    <w:rsid w:val="00EC4D6C"/>
    <w:rsid w:val="00EE2E7D"/>
    <w:rsid w:val="00EF4D40"/>
    <w:rsid w:val="00EF4D87"/>
    <w:rsid w:val="00F121D0"/>
    <w:rsid w:val="00F124D2"/>
    <w:rsid w:val="00F13040"/>
    <w:rsid w:val="00F133C3"/>
    <w:rsid w:val="00F278AB"/>
    <w:rsid w:val="00F36C5B"/>
    <w:rsid w:val="00F43CC2"/>
    <w:rsid w:val="00F45317"/>
    <w:rsid w:val="00F4728A"/>
    <w:rsid w:val="00F6047F"/>
    <w:rsid w:val="00F754E8"/>
    <w:rsid w:val="00FA03AB"/>
    <w:rsid w:val="00FA5C8B"/>
    <w:rsid w:val="00FA7321"/>
    <w:rsid w:val="00FB1450"/>
    <w:rsid w:val="00FB6475"/>
    <w:rsid w:val="00FC1A30"/>
    <w:rsid w:val="00FC3FB3"/>
    <w:rsid w:val="00FD1C43"/>
    <w:rsid w:val="00FD402F"/>
    <w:rsid w:val="00FF35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661639"/>
  <w15:docId w15:val="{5DAC3667-5A3C-4B0E-B03D-79EFE3BD4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D87"/>
    <w:pPr>
      <w:spacing w:after="158" w:line="368"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Heading1">
    <w:name w:val="heading 1"/>
    <w:basedOn w:val="Normal"/>
    <w:link w:val="Heading1Char"/>
    <w:uiPriority w:val="9"/>
    <w:qFormat/>
    <w:rsid w:val="00761CB6"/>
    <w:pPr>
      <w:spacing w:before="100" w:beforeAutospacing="1" w:after="100" w:afterAutospacing="1" w:line="240" w:lineRule="auto"/>
      <w:ind w:left="0" w:right="0" w:firstLine="0"/>
      <w:jc w:val="left"/>
      <w:outlineLvl w:val="0"/>
    </w:pPr>
    <w:rPr>
      <w:b/>
      <w:bCs/>
      <w:color w:val="auto"/>
      <w:kern w:val="36"/>
      <w:sz w:val="48"/>
      <w:szCs w:val="48"/>
      <w:lang w:val="en-US" w:eastAsia="en-US"/>
    </w:rPr>
  </w:style>
  <w:style w:type="paragraph" w:styleId="Heading2">
    <w:name w:val="heading 2"/>
    <w:basedOn w:val="Normal"/>
    <w:link w:val="Heading2Char"/>
    <w:uiPriority w:val="9"/>
    <w:qFormat/>
    <w:rsid w:val="00761CB6"/>
    <w:pPr>
      <w:spacing w:before="100" w:beforeAutospacing="1" w:after="100" w:afterAutospacing="1" w:line="240" w:lineRule="auto"/>
      <w:ind w:left="0" w:right="0" w:firstLine="0"/>
      <w:jc w:val="left"/>
      <w:outlineLvl w:val="1"/>
    </w:pPr>
    <w:rPr>
      <w:b/>
      <w:bCs/>
      <w:color w:val="auto"/>
      <w:kern w:val="0"/>
      <w:sz w:val="36"/>
      <w:szCs w:val="36"/>
      <w:lang w:val="en-US" w:eastAsia="en-US"/>
    </w:rPr>
  </w:style>
  <w:style w:type="paragraph" w:styleId="Heading3">
    <w:name w:val="heading 3"/>
    <w:basedOn w:val="Normal"/>
    <w:link w:val="Heading3Char"/>
    <w:uiPriority w:val="9"/>
    <w:qFormat/>
    <w:rsid w:val="00761CB6"/>
    <w:pPr>
      <w:spacing w:before="100" w:beforeAutospacing="1" w:after="100" w:afterAutospacing="1" w:line="240" w:lineRule="auto"/>
      <w:ind w:left="0" w:right="0" w:firstLine="0"/>
      <w:jc w:val="left"/>
      <w:outlineLvl w:val="2"/>
    </w:pPr>
    <w:rPr>
      <w:b/>
      <w:bCs/>
      <w:color w:val="auto"/>
      <w:kern w:val="0"/>
      <w:sz w:val="27"/>
      <w:szCs w:val="27"/>
      <w:lang w:val="en-US" w:eastAsia="en-US"/>
    </w:rPr>
  </w:style>
  <w:style w:type="paragraph" w:styleId="Heading4">
    <w:name w:val="heading 4"/>
    <w:basedOn w:val="Normal"/>
    <w:next w:val="Normal"/>
    <w:link w:val="Heading4Char"/>
    <w:uiPriority w:val="9"/>
    <w:semiHidden/>
    <w:unhideWhenUsed/>
    <w:qFormat/>
    <w:rsid w:val="00711B14"/>
    <w:pPr>
      <w:keepNext/>
      <w:keepLines/>
      <w:spacing w:before="200" w:after="0" w:line="259" w:lineRule="auto"/>
      <w:ind w:left="0" w:right="0" w:firstLine="0"/>
      <w:jc w:val="left"/>
      <w:outlineLvl w:val="3"/>
    </w:pPr>
    <w:rPr>
      <w:rFonts w:asciiTheme="majorHAnsi" w:eastAsiaTheme="majorEastAsia" w:hAnsiTheme="majorHAnsi" w:cstheme="majorBidi"/>
      <w:b/>
      <w:bCs/>
      <w:i/>
      <w:iCs/>
      <w:color w:val="4472C4" w:themeColor="accent1"/>
      <w:kern w:val="0"/>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ind w:left="0" w:right="0" w:firstLine="0"/>
      <w:jc w:val="left"/>
    </w:pPr>
    <w:rPr>
      <w:color w:val="auto"/>
      <w:kern w:val="0"/>
      <w:lang w:val="en-US" w:eastAsia="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spacing w:after="160" w:line="259" w:lineRule="auto"/>
      <w:ind w:left="720" w:right="0" w:firstLine="0"/>
      <w:contextualSpacing/>
      <w:jc w:val="left"/>
    </w:pPr>
    <w:rPr>
      <w:rFonts w:asciiTheme="minorHAnsi" w:eastAsiaTheme="minorHAnsi" w:hAnsiTheme="minorHAnsi" w:cstheme="minorBidi"/>
      <w:color w:val="auto"/>
      <w:kern w:val="0"/>
      <w:sz w:val="22"/>
      <w:szCs w:val="22"/>
      <w:lang w:val="en-GB" w:eastAsia="en-US"/>
    </w:r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line="259" w:lineRule="auto"/>
      <w:ind w:left="0" w:right="0" w:firstLine="0"/>
      <w:jc w:val="left"/>
    </w:pPr>
    <w:rPr>
      <w:rFonts w:asciiTheme="minorHAnsi" w:eastAsiaTheme="minorHAnsi" w:hAnsiTheme="minorHAnsi" w:cstheme="minorBidi"/>
      <w:color w:val="auto"/>
      <w:kern w:val="0"/>
      <w:sz w:val="22"/>
      <w:szCs w:val="22"/>
      <w:lang w:val="en-GB" w:eastAsia="en-US"/>
    </w:rPr>
  </w:style>
  <w:style w:type="paragraph" w:styleId="TOC2">
    <w:name w:val="toc 2"/>
    <w:basedOn w:val="Normal"/>
    <w:next w:val="Normal"/>
    <w:autoRedefine/>
    <w:uiPriority w:val="39"/>
    <w:unhideWhenUsed/>
    <w:rsid w:val="0078275D"/>
    <w:pPr>
      <w:spacing w:after="100" w:line="259" w:lineRule="auto"/>
      <w:ind w:left="220" w:right="0" w:firstLine="0"/>
      <w:jc w:val="left"/>
    </w:pPr>
    <w:rPr>
      <w:rFonts w:asciiTheme="minorHAnsi" w:eastAsiaTheme="minorHAnsi" w:hAnsiTheme="minorHAnsi" w:cstheme="minorBidi"/>
      <w:color w:val="auto"/>
      <w:kern w:val="0"/>
      <w:sz w:val="22"/>
      <w:szCs w:val="22"/>
      <w:lang w:val="en-GB" w:eastAsia="en-US"/>
    </w:rPr>
  </w:style>
  <w:style w:type="paragraph" w:styleId="TOC3">
    <w:name w:val="toc 3"/>
    <w:basedOn w:val="Normal"/>
    <w:next w:val="Normal"/>
    <w:autoRedefine/>
    <w:uiPriority w:val="39"/>
    <w:unhideWhenUsed/>
    <w:rsid w:val="0078275D"/>
    <w:pPr>
      <w:spacing w:after="100" w:line="259" w:lineRule="auto"/>
      <w:ind w:left="440" w:right="0" w:firstLine="0"/>
      <w:jc w:val="left"/>
    </w:pPr>
    <w:rPr>
      <w:rFonts w:asciiTheme="minorHAnsi" w:eastAsiaTheme="minorHAnsi" w:hAnsiTheme="minorHAnsi" w:cstheme="minorBidi"/>
      <w:color w:val="auto"/>
      <w:kern w:val="0"/>
      <w:sz w:val="22"/>
      <w:szCs w:val="22"/>
      <w:lang w:val="en-GB" w:eastAsia="en-US"/>
    </w:r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character" w:customStyle="1" w:styleId="author">
    <w:name w:val="author"/>
    <w:basedOn w:val="DefaultParagraphFont"/>
    <w:rsid w:val="0083179B"/>
  </w:style>
  <w:style w:type="character" w:customStyle="1" w:styleId="pubyear">
    <w:name w:val="pubyear"/>
    <w:basedOn w:val="DefaultParagraphFont"/>
    <w:rsid w:val="0083179B"/>
  </w:style>
  <w:style w:type="character" w:customStyle="1" w:styleId="articletitle">
    <w:name w:val="articletitle"/>
    <w:basedOn w:val="DefaultParagraphFont"/>
    <w:rsid w:val="0083179B"/>
  </w:style>
  <w:style w:type="character" w:customStyle="1" w:styleId="pagefirst">
    <w:name w:val="pagefirst"/>
    <w:basedOn w:val="DefaultParagraphFont"/>
    <w:rsid w:val="0083179B"/>
  </w:style>
  <w:style w:type="character" w:customStyle="1" w:styleId="pagelast">
    <w:name w:val="pagelast"/>
    <w:basedOn w:val="DefaultParagraphFont"/>
    <w:rsid w:val="0083179B"/>
  </w:style>
  <w:style w:type="character" w:styleId="FollowedHyperlink">
    <w:name w:val="FollowedHyperlink"/>
    <w:basedOn w:val="DefaultParagraphFont"/>
    <w:uiPriority w:val="99"/>
    <w:semiHidden/>
    <w:unhideWhenUsed/>
    <w:rsid w:val="002F0434"/>
    <w:rPr>
      <w:color w:val="954F72" w:themeColor="followedHyperlink"/>
      <w:u w:val="single"/>
    </w:rPr>
  </w:style>
  <w:style w:type="paragraph" w:styleId="Header">
    <w:name w:val="header"/>
    <w:basedOn w:val="Normal"/>
    <w:link w:val="HeaderChar"/>
    <w:uiPriority w:val="99"/>
    <w:unhideWhenUsed/>
    <w:rsid w:val="00E973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7301"/>
    <w:rPr>
      <w:rFonts w:ascii="Times New Roman" w:eastAsia="Times New Roman" w:hAnsi="Times New Roman" w:cs="Times New Roman"/>
      <w:color w:val="000000"/>
      <w:kern w:val="2"/>
      <w:sz w:val="24"/>
      <w:szCs w:val="24"/>
      <w:lang w:val="en-IN" w:eastAsia="en-IN"/>
    </w:rPr>
  </w:style>
  <w:style w:type="paragraph" w:styleId="Footer">
    <w:name w:val="footer"/>
    <w:basedOn w:val="Normal"/>
    <w:link w:val="FooterChar"/>
    <w:uiPriority w:val="99"/>
    <w:unhideWhenUsed/>
    <w:rsid w:val="00E973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7301"/>
    <w:rPr>
      <w:rFonts w:ascii="Times New Roman" w:eastAsia="Times New Roman" w:hAnsi="Times New Roman" w:cs="Times New Roman"/>
      <w:color w:val="000000"/>
      <w:kern w:val="2"/>
      <w:sz w:val="24"/>
      <w:szCs w:val="24"/>
      <w:lang w:val="en-IN" w:eastAsia="en-IN"/>
    </w:rPr>
  </w:style>
  <w:style w:type="character" w:styleId="CommentReference">
    <w:name w:val="annotation reference"/>
    <w:basedOn w:val="DefaultParagraphFont"/>
    <w:uiPriority w:val="99"/>
    <w:semiHidden/>
    <w:unhideWhenUsed/>
    <w:rsid w:val="00135889"/>
    <w:rPr>
      <w:sz w:val="16"/>
      <w:szCs w:val="16"/>
    </w:rPr>
  </w:style>
  <w:style w:type="paragraph" w:styleId="CommentText">
    <w:name w:val="annotation text"/>
    <w:basedOn w:val="Normal"/>
    <w:link w:val="CommentTextChar"/>
    <w:uiPriority w:val="99"/>
    <w:semiHidden/>
    <w:unhideWhenUsed/>
    <w:rsid w:val="00135889"/>
    <w:pPr>
      <w:spacing w:line="240" w:lineRule="auto"/>
    </w:pPr>
    <w:rPr>
      <w:sz w:val="20"/>
      <w:szCs w:val="20"/>
    </w:rPr>
  </w:style>
  <w:style w:type="character" w:customStyle="1" w:styleId="CommentTextChar">
    <w:name w:val="Comment Text Char"/>
    <w:basedOn w:val="DefaultParagraphFont"/>
    <w:link w:val="CommentText"/>
    <w:uiPriority w:val="99"/>
    <w:semiHidden/>
    <w:rsid w:val="00135889"/>
    <w:rPr>
      <w:rFonts w:ascii="Times New Roman" w:eastAsia="Times New Roman" w:hAnsi="Times New Roman" w:cs="Times New Roman"/>
      <w:color w:val="000000"/>
      <w:kern w:val="2"/>
      <w:sz w:val="20"/>
      <w:szCs w:val="20"/>
      <w:lang w:val="en-IN" w:eastAsia="en-IN"/>
    </w:rPr>
  </w:style>
  <w:style w:type="paragraph" w:styleId="CommentSubject">
    <w:name w:val="annotation subject"/>
    <w:basedOn w:val="CommentText"/>
    <w:next w:val="CommentText"/>
    <w:link w:val="CommentSubjectChar"/>
    <w:uiPriority w:val="99"/>
    <w:semiHidden/>
    <w:unhideWhenUsed/>
    <w:rsid w:val="00135889"/>
    <w:rPr>
      <w:b/>
      <w:bCs/>
    </w:rPr>
  </w:style>
  <w:style w:type="character" w:customStyle="1" w:styleId="CommentSubjectChar">
    <w:name w:val="Comment Subject Char"/>
    <w:basedOn w:val="CommentTextChar"/>
    <w:link w:val="CommentSubject"/>
    <w:uiPriority w:val="99"/>
    <w:semiHidden/>
    <w:rsid w:val="00135889"/>
    <w:rPr>
      <w:rFonts w:ascii="Times New Roman" w:eastAsia="Times New Roman" w:hAnsi="Times New Roman" w:cs="Times New Roman"/>
      <w:b/>
      <w:bCs/>
      <w:color w:val="000000"/>
      <w:kern w:val="2"/>
      <w:sz w:val="20"/>
      <w:szCs w:val="20"/>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46031189">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6735">
      <w:bodyDiv w:val="1"/>
      <w:marLeft w:val="0"/>
      <w:marRight w:val="0"/>
      <w:marTop w:val="0"/>
      <w:marBottom w:val="0"/>
      <w:divBdr>
        <w:top w:val="none" w:sz="0" w:space="0" w:color="auto"/>
        <w:left w:val="none" w:sz="0" w:space="0" w:color="auto"/>
        <w:bottom w:val="none" w:sz="0" w:space="0" w:color="auto"/>
        <w:right w:val="none" w:sz="0" w:space="0" w:color="auto"/>
      </w:divBdr>
      <w:divsChild>
        <w:div w:id="1299413137">
          <w:marLeft w:val="0"/>
          <w:marRight w:val="0"/>
          <w:marTop w:val="0"/>
          <w:marBottom w:val="0"/>
          <w:divBdr>
            <w:top w:val="none" w:sz="0" w:space="0" w:color="auto"/>
            <w:left w:val="none" w:sz="0" w:space="0" w:color="auto"/>
            <w:bottom w:val="none" w:sz="0" w:space="0" w:color="auto"/>
            <w:right w:val="none" w:sz="0" w:space="0" w:color="auto"/>
          </w:divBdr>
          <w:divsChild>
            <w:div w:id="2090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5290">
      <w:bodyDiv w:val="1"/>
      <w:marLeft w:val="0"/>
      <w:marRight w:val="0"/>
      <w:marTop w:val="0"/>
      <w:marBottom w:val="0"/>
      <w:divBdr>
        <w:top w:val="none" w:sz="0" w:space="0" w:color="auto"/>
        <w:left w:val="none" w:sz="0" w:space="0" w:color="auto"/>
        <w:bottom w:val="none" w:sz="0" w:space="0" w:color="auto"/>
        <w:right w:val="none" w:sz="0" w:space="0" w:color="auto"/>
      </w:divBdr>
    </w:div>
    <w:div w:id="74014627">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21783">
      <w:bodyDiv w:val="1"/>
      <w:marLeft w:val="0"/>
      <w:marRight w:val="0"/>
      <w:marTop w:val="0"/>
      <w:marBottom w:val="0"/>
      <w:divBdr>
        <w:top w:val="none" w:sz="0" w:space="0" w:color="auto"/>
        <w:left w:val="none" w:sz="0" w:space="0" w:color="auto"/>
        <w:bottom w:val="none" w:sz="0" w:space="0" w:color="auto"/>
        <w:right w:val="none" w:sz="0" w:space="0" w:color="auto"/>
      </w:divBdr>
    </w:div>
    <w:div w:id="132255981">
      <w:bodyDiv w:val="1"/>
      <w:marLeft w:val="0"/>
      <w:marRight w:val="0"/>
      <w:marTop w:val="0"/>
      <w:marBottom w:val="0"/>
      <w:divBdr>
        <w:top w:val="none" w:sz="0" w:space="0" w:color="auto"/>
        <w:left w:val="none" w:sz="0" w:space="0" w:color="auto"/>
        <w:bottom w:val="none" w:sz="0" w:space="0" w:color="auto"/>
        <w:right w:val="none" w:sz="0" w:space="0" w:color="auto"/>
      </w:divBdr>
    </w:div>
    <w:div w:id="135416228">
      <w:bodyDiv w:val="1"/>
      <w:marLeft w:val="0"/>
      <w:marRight w:val="0"/>
      <w:marTop w:val="0"/>
      <w:marBottom w:val="0"/>
      <w:divBdr>
        <w:top w:val="none" w:sz="0" w:space="0" w:color="auto"/>
        <w:left w:val="none" w:sz="0" w:space="0" w:color="auto"/>
        <w:bottom w:val="none" w:sz="0" w:space="0" w:color="auto"/>
        <w:right w:val="none" w:sz="0" w:space="0" w:color="auto"/>
      </w:divBdr>
    </w:div>
    <w:div w:id="138036949">
      <w:bodyDiv w:val="1"/>
      <w:marLeft w:val="0"/>
      <w:marRight w:val="0"/>
      <w:marTop w:val="0"/>
      <w:marBottom w:val="0"/>
      <w:divBdr>
        <w:top w:val="none" w:sz="0" w:space="0" w:color="auto"/>
        <w:left w:val="none" w:sz="0" w:space="0" w:color="auto"/>
        <w:bottom w:val="none" w:sz="0" w:space="0" w:color="auto"/>
        <w:right w:val="none" w:sz="0" w:space="0" w:color="auto"/>
      </w:divBdr>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202182599">
      <w:bodyDiv w:val="1"/>
      <w:marLeft w:val="0"/>
      <w:marRight w:val="0"/>
      <w:marTop w:val="0"/>
      <w:marBottom w:val="0"/>
      <w:divBdr>
        <w:top w:val="none" w:sz="0" w:space="0" w:color="auto"/>
        <w:left w:val="none" w:sz="0" w:space="0" w:color="auto"/>
        <w:bottom w:val="none" w:sz="0" w:space="0" w:color="auto"/>
        <w:right w:val="none" w:sz="0" w:space="0" w:color="auto"/>
      </w:divBdr>
    </w:div>
    <w:div w:id="202793495">
      <w:bodyDiv w:val="1"/>
      <w:marLeft w:val="0"/>
      <w:marRight w:val="0"/>
      <w:marTop w:val="0"/>
      <w:marBottom w:val="0"/>
      <w:divBdr>
        <w:top w:val="none" w:sz="0" w:space="0" w:color="auto"/>
        <w:left w:val="none" w:sz="0" w:space="0" w:color="auto"/>
        <w:bottom w:val="none" w:sz="0" w:space="0" w:color="auto"/>
        <w:right w:val="none" w:sz="0" w:space="0" w:color="auto"/>
      </w:divBdr>
      <w:divsChild>
        <w:div w:id="1875267406">
          <w:marLeft w:val="0"/>
          <w:marRight w:val="0"/>
          <w:marTop w:val="0"/>
          <w:marBottom w:val="0"/>
          <w:divBdr>
            <w:top w:val="none" w:sz="0" w:space="0" w:color="auto"/>
            <w:left w:val="none" w:sz="0" w:space="0" w:color="auto"/>
            <w:bottom w:val="none" w:sz="0" w:space="0" w:color="auto"/>
            <w:right w:val="none" w:sz="0" w:space="0" w:color="auto"/>
          </w:divBdr>
          <w:divsChild>
            <w:div w:id="2102140389">
              <w:marLeft w:val="0"/>
              <w:marRight w:val="0"/>
              <w:marTop w:val="0"/>
              <w:marBottom w:val="0"/>
              <w:divBdr>
                <w:top w:val="none" w:sz="0" w:space="0" w:color="auto"/>
                <w:left w:val="none" w:sz="0" w:space="0" w:color="auto"/>
                <w:bottom w:val="none" w:sz="0" w:space="0" w:color="auto"/>
                <w:right w:val="none" w:sz="0" w:space="0" w:color="auto"/>
              </w:divBdr>
              <w:divsChild>
                <w:div w:id="297805406">
                  <w:marLeft w:val="0"/>
                  <w:marRight w:val="0"/>
                  <w:marTop w:val="0"/>
                  <w:marBottom w:val="0"/>
                  <w:divBdr>
                    <w:top w:val="none" w:sz="0" w:space="0" w:color="auto"/>
                    <w:left w:val="none" w:sz="0" w:space="0" w:color="auto"/>
                    <w:bottom w:val="none" w:sz="0" w:space="0" w:color="auto"/>
                    <w:right w:val="none" w:sz="0" w:space="0" w:color="auto"/>
                  </w:divBdr>
                  <w:divsChild>
                    <w:div w:id="2094888698">
                      <w:marLeft w:val="0"/>
                      <w:marRight w:val="0"/>
                      <w:marTop w:val="0"/>
                      <w:marBottom w:val="0"/>
                      <w:divBdr>
                        <w:top w:val="none" w:sz="0" w:space="0" w:color="auto"/>
                        <w:left w:val="none" w:sz="0" w:space="0" w:color="auto"/>
                        <w:bottom w:val="none" w:sz="0" w:space="0" w:color="auto"/>
                        <w:right w:val="none" w:sz="0" w:space="0" w:color="auto"/>
                      </w:divBdr>
                      <w:divsChild>
                        <w:div w:id="619410283">
                          <w:marLeft w:val="0"/>
                          <w:marRight w:val="0"/>
                          <w:marTop w:val="0"/>
                          <w:marBottom w:val="0"/>
                          <w:divBdr>
                            <w:top w:val="none" w:sz="0" w:space="0" w:color="auto"/>
                            <w:left w:val="none" w:sz="0" w:space="0" w:color="auto"/>
                            <w:bottom w:val="none" w:sz="0" w:space="0" w:color="auto"/>
                            <w:right w:val="none" w:sz="0" w:space="0" w:color="auto"/>
                          </w:divBdr>
                          <w:divsChild>
                            <w:div w:id="1349067969">
                              <w:marLeft w:val="0"/>
                              <w:marRight w:val="0"/>
                              <w:marTop w:val="0"/>
                              <w:marBottom w:val="0"/>
                              <w:divBdr>
                                <w:top w:val="none" w:sz="0" w:space="0" w:color="auto"/>
                                <w:left w:val="none" w:sz="0" w:space="0" w:color="auto"/>
                                <w:bottom w:val="none" w:sz="0" w:space="0" w:color="auto"/>
                                <w:right w:val="none" w:sz="0" w:space="0" w:color="auto"/>
                              </w:divBdr>
                              <w:divsChild>
                                <w:div w:id="194537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93934">
      <w:bodyDiv w:val="1"/>
      <w:marLeft w:val="0"/>
      <w:marRight w:val="0"/>
      <w:marTop w:val="0"/>
      <w:marBottom w:val="0"/>
      <w:divBdr>
        <w:top w:val="none" w:sz="0" w:space="0" w:color="auto"/>
        <w:left w:val="none" w:sz="0" w:space="0" w:color="auto"/>
        <w:bottom w:val="none" w:sz="0" w:space="0" w:color="auto"/>
        <w:right w:val="none" w:sz="0" w:space="0" w:color="auto"/>
      </w:divBdr>
    </w:div>
    <w:div w:id="229117864">
      <w:bodyDiv w:val="1"/>
      <w:marLeft w:val="0"/>
      <w:marRight w:val="0"/>
      <w:marTop w:val="0"/>
      <w:marBottom w:val="0"/>
      <w:divBdr>
        <w:top w:val="none" w:sz="0" w:space="0" w:color="auto"/>
        <w:left w:val="none" w:sz="0" w:space="0" w:color="auto"/>
        <w:bottom w:val="none" w:sz="0" w:space="0" w:color="auto"/>
        <w:right w:val="none" w:sz="0" w:space="0" w:color="auto"/>
      </w:divBdr>
    </w:div>
    <w:div w:id="231082361">
      <w:bodyDiv w:val="1"/>
      <w:marLeft w:val="0"/>
      <w:marRight w:val="0"/>
      <w:marTop w:val="0"/>
      <w:marBottom w:val="0"/>
      <w:divBdr>
        <w:top w:val="none" w:sz="0" w:space="0" w:color="auto"/>
        <w:left w:val="none" w:sz="0" w:space="0" w:color="auto"/>
        <w:bottom w:val="none" w:sz="0" w:space="0" w:color="auto"/>
        <w:right w:val="none" w:sz="0" w:space="0" w:color="auto"/>
      </w:divBdr>
    </w:div>
    <w:div w:id="248075664">
      <w:bodyDiv w:val="1"/>
      <w:marLeft w:val="0"/>
      <w:marRight w:val="0"/>
      <w:marTop w:val="0"/>
      <w:marBottom w:val="0"/>
      <w:divBdr>
        <w:top w:val="none" w:sz="0" w:space="0" w:color="auto"/>
        <w:left w:val="none" w:sz="0" w:space="0" w:color="auto"/>
        <w:bottom w:val="none" w:sz="0" w:space="0" w:color="auto"/>
        <w:right w:val="none" w:sz="0" w:space="0" w:color="auto"/>
      </w:divBdr>
    </w:div>
    <w:div w:id="260144173">
      <w:bodyDiv w:val="1"/>
      <w:marLeft w:val="0"/>
      <w:marRight w:val="0"/>
      <w:marTop w:val="0"/>
      <w:marBottom w:val="0"/>
      <w:divBdr>
        <w:top w:val="none" w:sz="0" w:space="0" w:color="auto"/>
        <w:left w:val="none" w:sz="0" w:space="0" w:color="auto"/>
        <w:bottom w:val="none" w:sz="0" w:space="0" w:color="auto"/>
        <w:right w:val="none" w:sz="0" w:space="0" w:color="auto"/>
      </w:divBdr>
      <w:divsChild>
        <w:div w:id="1075863005">
          <w:marLeft w:val="0"/>
          <w:marRight w:val="0"/>
          <w:marTop w:val="0"/>
          <w:marBottom w:val="0"/>
          <w:divBdr>
            <w:top w:val="none" w:sz="0" w:space="0" w:color="auto"/>
            <w:left w:val="none" w:sz="0" w:space="0" w:color="auto"/>
            <w:bottom w:val="none" w:sz="0" w:space="0" w:color="auto"/>
            <w:right w:val="none" w:sz="0" w:space="0" w:color="auto"/>
          </w:divBdr>
          <w:divsChild>
            <w:div w:id="1225407557">
              <w:marLeft w:val="0"/>
              <w:marRight w:val="0"/>
              <w:marTop w:val="0"/>
              <w:marBottom w:val="0"/>
              <w:divBdr>
                <w:top w:val="none" w:sz="0" w:space="0" w:color="auto"/>
                <w:left w:val="none" w:sz="0" w:space="0" w:color="auto"/>
                <w:bottom w:val="none" w:sz="0" w:space="0" w:color="auto"/>
                <w:right w:val="none" w:sz="0" w:space="0" w:color="auto"/>
              </w:divBdr>
              <w:divsChild>
                <w:div w:id="1788430416">
                  <w:marLeft w:val="0"/>
                  <w:marRight w:val="0"/>
                  <w:marTop w:val="0"/>
                  <w:marBottom w:val="0"/>
                  <w:divBdr>
                    <w:top w:val="none" w:sz="0" w:space="0" w:color="auto"/>
                    <w:left w:val="none" w:sz="0" w:space="0" w:color="auto"/>
                    <w:bottom w:val="none" w:sz="0" w:space="0" w:color="auto"/>
                    <w:right w:val="none" w:sz="0" w:space="0" w:color="auto"/>
                  </w:divBdr>
                  <w:divsChild>
                    <w:div w:id="907038351">
                      <w:marLeft w:val="0"/>
                      <w:marRight w:val="0"/>
                      <w:marTop w:val="0"/>
                      <w:marBottom w:val="0"/>
                      <w:divBdr>
                        <w:top w:val="none" w:sz="0" w:space="0" w:color="auto"/>
                        <w:left w:val="none" w:sz="0" w:space="0" w:color="auto"/>
                        <w:bottom w:val="none" w:sz="0" w:space="0" w:color="auto"/>
                        <w:right w:val="none" w:sz="0" w:space="0" w:color="auto"/>
                      </w:divBdr>
                      <w:divsChild>
                        <w:div w:id="2111242645">
                          <w:marLeft w:val="0"/>
                          <w:marRight w:val="0"/>
                          <w:marTop w:val="0"/>
                          <w:marBottom w:val="0"/>
                          <w:divBdr>
                            <w:top w:val="none" w:sz="0" w:space="0" w:color="auto"/>
                            <w:left w:val="none" w:sz="0" w:space="0" w:color="auto"/>
                            <w:bottom w:val="none" w:sz="0" w:space="0" w:color="auto"/>
                            <w:right w:val="none" w:sz="0" w:space="0" w:color="auto"/>
                          </w:divBdr>
                          <w:divsChild>
                            <w:div w:id="957686089">
                              <w:marLeft w:val="0"/>
                              <w:marRight w:val="0"/>
                              <w:marTop w:val="0"/>
                              <w:marBottom w:val="0"/>
                              <w:divBdr>
                                <w:top w:val="none" w:sz="0" w:space="0" w:color="auto"/>
                                <w:left w:val="none" w:sz="0" w:space="0" w:color="auto"/>
                                <w:bottom w:val="none" w:sz="0" w:space="0" w:color="auto"/>
                                <w:right w:val="none" w:sz="0" w:space="0" w:color="auto"/>
                              </w:divBdr>
                              <w:divsChild>
                                <w:div w:id="14185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6568020">
      <w:bodyDiv w:val="1"/>
      <w:marLeft w:val="0"/>
      <w:marRight w:val="0"/>
      <w:marTop w:val="0"/>
      <w:marBottom w:val="0"/>
      <w:divBdr>
        <w:top w:val="none" w:sz="0" w:space="0" w:color="auto"/>
        <w:left w:val="none" w:sz="0" w:space="0" w:color="auto"/>
        <w:bottom w:val="none" w:sz="0" w:space="0" w:color="auto"/>
        <w:right w:val="none" w:sz="0" w:space="0" w:color="auto"/>
      </w:divBdr>
    </w:div>
    <w:div w:id="306278432">
      <w:bodyDiv w:val="1"/>
      <w:marLeft w:val="0"/>
      <w:marRight w:val="0"/>
      <w:marTop w:val="0"/>
      <w:marBottom w:val="0"/>
      <w:divBdr>
        <w:top w:val="none" w:sz="0" w:space="0" w:color="auto"/>
        <w:left w:val="none" w:sz="0" w:space="0" w:color="auto"/>
        <w:bottom w:val="none" w:sz="0" w:space="0" w:color="auto"/>
        <w:right w:val="none" w:sz="0" w:space="0" w:color="auto"/>
      </w:divBdr>
    </w:div>
    <w:div w:id="318845677">
      <w:bodyDiv w:val="1"/>
      <w:marLeft w:val="0"/>
      <w:marRight w:val="0"/>
      <w:marTop w:val="0"/>
      <w:marBottom w:val="0"/>
      <w:divBdr>
        <w:top w:val="none" w:sz="0" w:space="0" w:color="auto"/>
        <w:left w:val="none" w:sz="0" w:space="0" w:color="auto"/>
        <w:bottom w:val="none" w:sz="0" w:space="0" w:color="auto"/>
        <w:right w:val="none" w:sz="0" w:space="0" w:color="auto"/>
      </w:divBdr>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34961594">
      <w:bodyDiv w:val="1"/>
      <w:marLeft w:val="0"/>
      <w:marRight w:val="0"/>
      <w:marTop w:val="0"/>
      <w:marBottom w:val="0"/>
      <w:divBdr>
        <w:top w:val="none" w:sz="0" w:space="0" w:color="auto"/>
        <w:left w:val="none" w:sz="0" w:space="0" w:color="auto"/>
        <w:bottom w:val="none" w:sz="0" w:space="0" w:color="auto"/>
        <w:right w:val="none" w:sz="0" w:space="0" w:color="auto"/>
      </w:divBdr>
    </w:div>
    <w:div w:id="336150790">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391852071">
      <w:bodyDiv w:val="1"/>
      <w:marLeft w:val="0"/>
      <w:marRight w:val="0"/>
      <w:marTop w:val="0"/>
      <w:marBottom w:val="0"/>
      <w:divBdr>
        <w:top w:val="none" w:sz="0" w:space="0" w:color="auto"/>
        <w:left w:val="none" w:sz="0" w:space="0" w:color="auto"/>
        <w:bottom w:val="none" w:sz="0" w:space="0" w:color="auto"/>
        <w:right w:val="none" w:sz="0" w:space="0" w:color="auto"/>
      </w:divBdr>
      <w:divsChild>
        <w:div w:id="1847942067">
          <w:marLeft w:val="0"/>
          <w:marRight w:val="0"/>
          <w:marTop w:val="0"/>
          <w:marBottom w:val="0"/>
          <w:divBdr>
            <w:top w:val="none" w:sz="0" w:space="0" w:color="auto"/>
            <w:left w:val="none" w:sz="0" w:space="0" w:color="auto"/>
            <w:bottom w:val="none" w:sz="0" w:space="0" w:color="auto"/>
            <w:right w:val="none" w:sz="0" w:space="0" w:color="auto"/>
          </w:divBdr>
          <w:divsChild>
            <w:div w:id="969477931">
              <w:marLeft w:val="0"/>
              <w:marRight w:val="0"/>
              <w:marTop w:val="0"/>
              <w:marBottom w:val="0"/>
              <w:divBdr>
                <w:top w:val="none" w:sz="0" w:space="0" w:color="auto"/>
                <w:left w:val="none" w:sz="0" w:space="0" w:color="auto"/>
                <w:bottom w:val="none" w:sz="0" w:space="0" w:color="auto"/>
                <w:right w:val="none" w:sz="0" w:space="0" w:color="auto"/>
              </w:divBdr>
              <w:divsChild>
                <w:div w:id="841428176">
                  <w:marLeft w:val="0"/>
                  <w:marRight w:val="0"/>
                  <w:marTop w:val="0"/>
                  <w:marBottom w:val="0"/>
                  <w:divBdr>
                    <w:top w:val="none" w:sz="0" w:space="0" w:color="auto"/>
                    <w:left w:val="none" w:sz="0" w:space="0" w:color="auto"/>
                    <w:bottom w:val="none" w:sz="0" w:space="0" w:color="auto"/>
                    <w:right w:val="none" w:sz="0" w:space="0" w:color="auto"/>
                  </w:divBdr>
                  <w:divsChild>
                    <w:div w:id="1124926379">
                      <w:marLeft w:val="0"/>
                      <w:marRight w:val="0"/>
                      <w:marTop w:val="0"/>
                      <w:marBottom w:val="0"/>
                      <w:divBdr>
                        <w:top w:val="none" w:sz="0" w:space="0" w:color="auto"/>
                        <w:left w:val="none" w:sz="0" w:space="0" w:color="auto"/>
                        <w:bottom w:val="none" w:sz="0" w:space="0" w:color="auto"/>
                        <w:right w:val="none" w:sz="0" w:space="0" w:color="auto"/>
                      </w:divBdr>
                      <w:divsChild>
                        <w:div w:id="1755319348">
                          <w:marLeft w:val="0"/>
                          <w:marRight w:val="0"/>
                          <w:marTop w:val="0"/>
                          <w:marBottom w:val="0"/>
                          <w:divBdr>
                            <w:top w:val="none" w:sz="0" w:space="0" w:color="auto"/>
                            <w:left w:val="none" w:sz="0" w:space="0" w:color="auto"/>
                            <w:bottom w:val="none" w:sz="0" w:space="0" w:color="auto"/>
                            <w:right w:val="none" w:sz="0" w:space="0" w:color="auto"/>
                          </w:divBdr>
                          <w:divsChild>
                            <w:div w:id="1311864016">
                              <w:marLeft w:val="0"/>
                              <w:marRight w:val="0"/>
                              <w:marTop w:val="0"/>
                              <w:marBottom w:val="0"/>
                              <w:divBdr>
                                <w:top w:val="none" w:sz="0" w:space="0" w:color="auto"/>
                                <w:left w:val="none" w:sz="0" w:space="0" w:color="auto"/>
                                <w:bottom w:val="none" w:sz="0" w:space="0" w:color="auto"/>
                                <w:right w:val="none" w:sz="0" w:space="0" w:color="auto"/>
                              </w:divBdr>
                              <w:divsChild>
                                <w:div w:id="10040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854620">
      <w:bodyDiv w:val="1"/>
      <w:marLeft w:val="0"/>
      <w:marRight w:val="0"/>
      <w:marTop w:val="0"/>
      <w:marBottom w:val="0"/>
      <w:divBdr>
        <w:top w:val="none" w:sz="0" w:space="0" w:color="auto"/>
        <w:left w:val="none" w:sz="0" w:space="0" w:color="auto"/>
        <w:bottom w:val="none" w:sz="0" w:space="0" w:color="auto"/>
        <w:right w:val="none" w:sz="0" w:space="0" w:color="auto"/>
      </w:divBdr>
      <w:divsChild>
        <w:div w:id="570700377">
          <w:marLeft w:val="0"/>
          <w:marRight w:val="0"/>
          <w:marTop w:val="0"/>
          <w:marBottom w:val="0"/>
          <w:divBdr>
            <w:top w:val="none" w:sz="0" w:space="0" w:color="auto"/>
            <w:left w:val="none" w:sz="0" w:space="0" w:color="auto"/>
            <w:bottom w:val="none" w:sz="0" w:space="0" w:color="auto"/>
            <w:right w:val="none" w:sz="0" w:space="0" w:color="auto"/>
          </w:divBdr>
          <w:divsChild>
            <w:div w:id="1200439251">
              <w:marLeft w:val="0"/>
              <w:marRight w:val="0"/>
              <w:marTop w:val="0"/>
              <w:marBottom w:val="0"/>
              <w:divBdr>
                <w:top w:val="none" w:sz="0" w:space="0" w:color="auto"/>
                <w:left w:val="none" w:sz="0" w:space="0" w:color="auto"/>
                <w:bottom w:val="none" w:sz="0" w:space="0" w:color="auto"/>
                <w:right w:val="none" w:sz="0" w:space="0" w:color="auto"/>
              </w:divBdr>
              <w:divsChild>
                <w:div w:id="1447624939">
                  <w:marLeft w:val="0"/>
                  <w:marRight w:val="0"/>
                  <w:marTop w:val="0"/>
                  <w:marBottom w:val="0"/>
                  <w:divBdr>
                    <w:top w:val="none" w:sz="0" w:space="0" w:color="auto"/>
                    <w:left w:val="none" w:sz="0" w:space="0" w:color="auto"/>
                    <w:bottom w:val="none" w:sz="0" w:space="0" w:color="auto"/>
                    <w:right w:val="none" w:sz="0" w:space="0" w:color="auto"/>
                  </w:divBdr>
                  <w:divsChild>
                    <w:div w:id="1606645353">
                      <w:marLeft w:val="0"/>
                      <w:marRight w:val="0"/>
                      <w:marTop w:val="0"/>
                      <w:marBottom w:val="0"/>
                      <w:divBdr>
                        <w:top w:val="none" w:sz="0" w:space="0" w:color="auto"/>
                        <w:left w:val="none" w:sz="0" w:space="0" w:color="auto"/>
                        <w:bottom w:val="none" w:sz="0" w:space="0" w:color="auto"/>
                        <w:right w:val="none" w:sz="0" w:space="0" w:color="auto"/>
                      </w:divBdr>
                      <w:divsChild>
                        <w:div w:id="534390662">
                          <w:marLeft w:val="0"/>
                          <w:marRight w:val="0"/>
                          <w:marTop w:val="0"/>
                          <w:marBottom w:val="0"/>
                          <w:divBdr>
                            <w:top w:val="none" w:sz="0" w:space="0" w:color="auto"/>
                            <w:left w:val="none" w:sz="0" w:space="0" w:color="auto"/>
                            <w:bottom w:val="none" w:sz="0" w:space="0" w:color="auto"/>
                            <w:right w:val="none" w:sz="0" w:space="0" w:color="auto"/>
                          </w:divBdr>
                          <w:divsChild>
                            <w:div w:id="1905604719">
                              <w:marLeft w:val="0"/>
                              <w:marRight w:val="0"/>
                              <w:marTop w:val="0"/>
                              <w:marBottom w:val="0"/>
                              <w:divBdr>
                                <w:top w:val="none" w:sz="0" w:space="0" w:color="auto"/>
                                <w:left w:val="none" w:sz="0" w:space="0" w:color="auto"/>
                                <w:bottom w:val="none" w:sz="0" w:space="0" w:color="auto"/>
                                <w:right w:val="none" w:sz="0" w:space="0" w:color="auto"/>
                              </w:divBdr>
                              <w:divsChild>
                                <w:div w:id="154324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307645">
      <w:bodyDiv w:val="1"/>
      <w:marLeft w:val="0"/>
      <w:marRight w:val="0"/>
      <w:marTop w:val="0"/>
      <w:marBottom w:val="0"/>
      <w:divBdr>
        <w:top w:val="none" w:sz="0" w:space="0" w:color="auto"/>
        <w:left w:val="none" w:sz="0" w:space="0" w:color="auto"/>
        <w:bottom w:val="none" w:sz="0" w:space="0" w:color="auto"/>
        <w:right w:val="none" w:sz="0" w:space="0" w:color="auto"/>
      </w:divBdr>
    </w:div>
    <w:div w:id="441262566">
      <w:bodyDiv w:val="1"/>
      <w:marLeft w:val="0"/>
      <w:marRight w:val="0"/>
      <w:marTop w:val="0"/>
      <w:marBottom w:val="0"/>
      <w:divBdr>
        <w:top w:val="none" w:sz="0" w:space="0" w:color="auto"/>
        <w:left w:val="none" w:sz="0" w:space="0" w:color="auto"/>
        <w:bottom w:val="none" w:sz="0" w:space="0" w:color="auto"/>
        <w:right w:val="none" w:sz="0" w:space="0" w:color="auto"/>
      </w:divBdr>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68598164">
      <w:bodyDiv w:val="1"/>
      <w:marLeft w:val="0"/>
      <w:marRight w:val="0"/>
      <w:marTop w:val="0"/>
      <w:marBottom w:val="0"/>
      <w:divBdr>
        <w:top w:val="none" w:sz="0" w:space="0" w:color="auto"/>
        <w:left w:val="none" w:sz="0" w:space="0" w:color="auto"/>
        <w:bottom w:val="none" w:sz="0" w:space="0" w:color="auto"/>
        <w:right w:val="none" w:sz="0" w:space="0" w:color="auto"/>
      </w:divBdr>
    </w:div>
    <w:div w:id="475953032">
      <w:bodyDiv w:val="1"/>
      <w:marLeft w:val="0"/>
      <w:marRight w:val="0"/>
      <w:marTop w:val="0"/>
      <w:marBottom w:val="0"/>
      <w:divBdr>
        <w:top w:val="none" w:sz="0" w:space="0" w:color="auto"/>
        <w:left w:val="none" w:sz="0" w:space="0" w:color="auto"/>
        <w:bottom w:val="none" w:sz="0" w:space="0" w:color="auto"/>
        <w:right w:val="none" w:sz="0" w:space="0" w:color="auto"/>
      </w:divBdr>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504516975">
      <w:bodyDiv w:val="1"/>
      <w:marLeft w:val="0"/>
      <w:marRight w:val="0"/>
      <w:marTop w:val="0"/>
      <w:marBottom w:val="0"/>
      <w:divBdr>
        <w:top w:val="none" w:sz="0" w:space="0" w:color="auto"/>
        <w:left w:val="none" w:sz="0" w:space="0" w:color="auto"/>
        <w:bottom w:val="none" w:sz="0" w:space="0" w:color="auto"/>
        <w:right w:val="none" w:sz="0" w:space="0" w:color="auto"/>
      </w:divBdr>
      <w:divsChild>
        <w:div w:id="1249273770">
          <w:marLeft w:val="0"/>
          <w:marRight w:val="0"/>
          <w:marTop w:val="0"/>
          <w:marBottom w:val="0"/>
          <w:divBdr>
            <w:top w:val="none" w:sz="0" w:space="0" w:color="auto"/>
            <w:left w:val="none" w:sz="0" w:space="0" w:color="auto"/>
            <w:bottom w:val="none" w:sz="0" w:space="0" w:color="auto"/>
            <w:right w:val="none" w:sz="0" w:space="0" w:color="auto"/>
          </w:divBdr>
          <w:divsChild>
            <w:div w:id="613706204">
              <w:marLeft w:val="0"/>
              <w:marRight w:val="0"/>
              <w:marTop w:val="0"/>
              <w:marBottom w:val="0"/>
              <w:divBdr>
                <w:top w:val="none" w:sz="0" w:space="0" w:color="auto"/>
                <w:left w:val="none" w:sz="0" w:space="0" w:color="auto"/>
                <w:bottom w:val="none" w:sz="0" w:space="0" w:color="auto"/>
                <w:right w:val="none" w:sz="0" w:space="0" w:color="auto"/>
              </w:divBdr>
              <w:divsChild>
                <w:div w:id="1791165311">
                  <w:marLeft w:val="0"/>
                  <w:marRight w:val="0"/>
                  <w:marTop w:val="0"/>
                  <w:marBottom w:val="0"/>
                  <w:divBdr>
                    <w:top w:val="none" w:sz="0" w:space="0" w:color="auto"/>
                    <w:left w:val="none" w:sz="0" w:space="0" w:color="auto"/>
                    <w:bottom w:val="none" w:sz="0" w:space="0" w:color="auto"/>
                    <w:right w:val="none" w:sz="0" w:space="0" w:color="auto"/>
                  </w:divBdr>
                  <w:divsChild>
                    <w:div w:id="1105806277">
                      <w:marLeft w:val="0"/>
                      <w:marRight w:val="0"/>
                      <w:marTop w:val="0"/>
                      <w:marBottom w:val="0"/>
                      <w:divBdr>
                        <w:top w:val="none" w:sz="0" w:space="0" w:color="auto"/>
                        <w:left w:val="none" w:sz="0" w:space="0" w:color="auto"/>
                        <w:bottom w:val="none" w:sz="0" w:space="0" w:color="auto"/>
                        <w:right w:val="none" w:sz="0" w:space="0" w:color="auto"/>
                      </w:divBdr>
                      <w:divsChild>
                        <w:div w:id="215242853">
                          <w:marLeft w:val="0"/>
                          <w:marRight w:val="0"/>
                          <w:marTop w:val="0"/>
                          <w:marBottom w:val="0"/>
                          <w:divBdr>
                            <w:top w:val="none" w:sz="0" w:space="0" w:color="auto"/>
                            <w:left w:val="none" w:sz="0" w:space="0" w:color="auto"/>
                            <w:bottom w:val="none" w:sz="0" w:space="0" w:color="auto"/>
                            <w:right w:val="none" w:sz="0" w:space="0" w:color="auto"/>
                          </w:divBdr>
                          <w:divsChild>
                            <w:div w:id="448594511">
                              <w:marLeft w:val="0"/>
                              <w:marRight w:val="0"/>
                              <w:marTop w:val="0"/>
                              <w:marBottom w:val="0"/>
                              <w:divBdr>
                                <w:top w:val="none" w:sz="0" w:space="0" w:color="auto"/>
                                <w:left w:val="none" w:sz="0" w:space="0" w:color="auto"/>
                                <w:bottom w:val="none" w:sz="0" w:space="0" w:color="auto"/>
                                <w:right w:val="none" w:sz="0" w:space="0" w:color="auto"/>
                              </w:divBdr>
                              <w:divsChild>
                                <w:div w:id="171049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6164290">
      <w:bodyDiv w:val="1"/>
      <w:marLeft w:val="0"/>
      <w:marRight w:val="0"/>
      <w:marTop w:val="0"/>
      <w:marBottom w:val="0"/>
      <w:divBdr>
        <w:top w:val="none" w:sz="0" w:space="0" w:color="auto"/>
        <w:left w:val="none" w:sz="0" w:space="0" w:color="auto"/>
        <w:bottom w:val="none" w:sz="0" w:space="0" w:color="auto"/>
        <w:right w:val="none" w:sz="0" w:space="0" w:color="auto"/>
      </w:divBdr>
    </w:div>
    <w:div w:id="557665810">
      <w:bodyDiv w:val="1"/>
      <w:marLeft w:val="0"/>
      <w:marRight w:val="0"/>
      <w:marTop w:val="0"/>
      <w:marBottom w:val="0"/>
      <w:divBdr>
        <w:top w:val="none" w:sz="0" w:space="0" w:color="auto"/>
        <w:left w:val="none" w:sz="0" w:space="0" w:color="auto"/>
        <w:bottom w:val="none" w:sz="0" w:space="0" w:color="auto"/>
        <w:right w:val="none" w:sz="0" w:space="0" w:color="auto"/>
      </w:divBdr>
    </w:div>
    <w:div w:id="559096923">
      <w:bodyDiv w:val="1"/>
      <w:marLeft w:val="0"/>
      <w:marRight w:val="0"/>
      <w:marTop w:val="0"/>
      <w:marBottom w:val="0"/>
      <w:divBdr>
        <w:top w:val="none" w:sz="0" w:space="0" w:color="auto"/>
        <w:left w:val="none" w:sz="0" w:space="0" w:color="auto"/>
        <w:bottom w:val="none" w:sz="0" w:space="0" w:color="auto"/>
        <w:right w:val="none" w:sz="0" w:space="0" w:color="auto"/>
      </w:divBdr>
    </w:div>
    <w:div w:id="598609453">
      <w:bodyDiv w:val="1"/>
      <w:marLeft w:val="0"/>
      <w:marRight w:val="0"/>
      <w:marTop w:val="0"/>
      <w:marBottom w:val="0"/>
      <w:divBdr>
        <w:top w:val="none" w:sz="0" w:space="0" w:color="auto"/>
        <w:left w:val="none" w:sz="0" w:space="0" w:color="auto"/>
        <w:bottom w:val="none" w:sz="0" w:space="0" w:color="auto"/>
        <w:right w:val="none" w:sz="0" w:space="0" w:color="auto"/>
      </w:divBdr>
    </w:div>
    <w:div w:id="598804230">
      <w:bodyDiv w:val="1"/>
      <w:marLeft w:val="0"/>
      <w:marRight w:val="0"/>
      <w:marTop w:val="0"/>
      <w:marBottom w:val="0"/>
      <w:divBdr>
        <w:top w:val="none" w:sz="0" w:space="0" w:color="auto"/>
        <w:left w:val="none" w:sz="0" w:space="0" w:color="auto"/>
        <w:bottom w:val="none" w:sz="0" w:space="0" w:color="auto"/>
        <w:right w:val="none" w:sz="0" w:space="0" w:color="auto"/>
      </w:divBdr>
    </w:div>
    <w:div w:id="599415529">
      <w:bodyDiv w:val="1"/>
      <w:marLeft w:val="0"/>
      <w:marRight w:val="0"/>
      <w:marTop w:val="0"/>
      <w:marBottom w:val="0"/>
      <w:divBdr>
        <w:top w:val="none" w:sz="0" w:space="0" w:color="auto"/>
        <w:left w:val="none" w:sz="0" w:space="0" w:color="auto"/>
        <w:bottom w:val="none" w:sz="0" w:space="0" w:color="auto"/>
        <w:right w:val="none" w:sz="0" w:space="0" w:color="auto"/>
      </w:divBdr>
    </w:div>
    <w:div w:id="617225156">
      <w:bodyDiv w:val="1"/>
      <w:marLeft w:val="0"/>
      <w:marRight w:val="0"/>
      <w:marTop w:val="0"/>
      <w:marBottom w:val="0"/>
      <w:divBdr>
        <w:top w:val="none" w:sz="0" w:space="0" w:color="auto"/>
        <w:left w:val="none" w:sz="0" w:space="0" w:color="auto"/>
        <w:bottom w:val="none" w:sz="0" w:space="0" w:color="auto"/>
        <w:right w:val="none" w:sz="0" w:space="0" w:color="auto"/>
      </w:divBdr>
      <w:divsChild>
        <w:div w:id="516041392">
          <w:marLeft w:val="0"/>
          <w:marRight w:val="0"/>
          <w:marTop w:val="0"/>
          <w:marBottom w:val="0"/>
          <w:divBdr>
            <w:top w:val="none" w:sz="0" w:space="0" w:color="auto"/>
            <w:left w:val="none" w:sz="0" w:space="0" w:color="auto"/>
            <w:bottom w:val="none" w:sz="0" w:space="0" w:color="auto"/>
            <w:right w:val="none" w:sz="0" w:space="0" w:color="auto"/>
          </w:divBdr>
          <w:divsChild>
            <w:div w:id="1548881284">
              <w:marLeft w:val="0"/>
              <w:marRight w:val="0"/>
              <w:marTop w:val="0"/>
              <w:marBottom w:val="0"/>
              <w:divBdr>
                <w:top w:val="none" w:sz="0" w:space="0" w:color="auto"/>
                <w:left w:val="none" w:sz="0" w:space="0" w:color="auto"/>
                <w:bottom w:val="none" w:sz="0" w:space="0" w:color="auto"/>
                <w:right w:val="none" w:sz="0" w:space="0" w:color="auto"/>
              </w:divBdr>
              <w:divsChild>
                <w:div w:id="482625450">
                  <w:marLeft w:val="0"/>
                  <w:marRight w:val="0"/>
                  <w:marTop w:val="0"/>
                  <w:marBottom w:val="0"/>
                  <w:divBdr>
                    <w:top w:val="none" w:sz="0" w:space="0" w:color="auto"/>
                    <w:left w:val="none" w:sz="0" w:space="0" w:color="auto"/>
                    <w:bottom w:val="none" w:sz="0" w:space="0" w:color="auto"/>
                    <w:right w:val="none" w:sz="0" w:space="0" w:color="auto"/>
                  </w:divBdr>
                  <w:divsChild>
                    <w:div w:id="997462795">
                      <w:marLeft w:val="0"/>
                      <w:marRight w:val="0"/>
                      <w:marTop w:val="0"/>
                      <w:marBottom w:val="0"/>
                      <w:divBdr>
                        <w:top w:val="none" w:sz="0" w:space="0" w:color="auto"/>
                        <w:left w:val="none" w:sz="0" w:space="0" w:color="auto"/>
                        <w:bottom w:val="none" w:sz="0" w:space="0" w:color="auto"/>
                        <w:right w:val="none" w:sz="0" w:space="0" w:color="auto"/>
                      </w:divBdr>
                      <w:divsChild>
                        <w:div w:id="667170361">
                          <w:marLeft w:val="0"/>
                          <w:marRight w:val="0"/>
                          <w:marTop w:val="0"/>
                          <w:marBottom w:val="0"/>
                          <w:divBdr>
                            <w:top w:val="none" w:sz="0" w:space="0" w:color="auto"/>
                            <w:left w:val="none" w:sz="0" w:space="0" w:color="auto"/>
                            <w:bottom w:val="none" w:sz="0" w:space="0" w:color="auto"/>
                            <w:right w:val="none" w:sz="0" w:space="0" w:color="auto"/>
                          </w:divBdr>
                          <w:divsChild>
                            <w:div w:id="957682113">
                              <w:marLeft w:val="0"/>
                              <w:marRight w:val="0"/>
                              <w:marTop w:val="0"/>
                              <w:marBottom w:val="0"/>
                              <w:divBdr>
                                <w:top w:val="none" w:sz="0" w:space="0" w:color="auto"/>
                                <w:left w:val="none" w:sz="0" w:space="0" w:color="auto"/>
                                <w:bottom w:val="none" w:sz="0" w:space="0" w:color="auto"/>
                                <w:right w:val="none" w:sz="0" w:space="0" w:color="auto"/>
                              </w:divBdr>
                              <w:divsChild>
                                <w:div w:id="102540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4653887">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0948">
      <w:bodyDiv w:val="1"/>
      <w:marLeft w:val="0"/>
      <w:marRight w:val="0"/>
      <w:marTop w:val="0"/>
      <w:marBottom w:val="0"/>
      <w:divBdr>
        <w:top w:val="none" w:sz="0" w:space="0" w:color="auto"/>
        <w:left w:val="none" w:sz="0" w:space="0" w:color="auto"/>
        <w:bottom w:val="none" w:sz="0" w:space="0" w:color="auto"/>
        <w:right w:val="none" w:sz="0" w:space="0" w:color="auto"/>
      </w:divBdr>
    </w:div>
    <w:div w:id="649945862">
      <w:bodyDiv w:val="1"/>
      <w:marLeft w:val="0"/>
      <w:marRight w:val="0"/>
      <w:marTop w:val="0"/>
      <w:marBottom w:val="0"/>
      <w:divBdr>
        <w:top w:val="none" w:sz="0" w:space="0" w:color="auto"/>
        <w:left w:val="none" w:sz="0" w:space="0" w:color="auto"/>
        <w:bottom w:val="none" w:sz="0" w:space="0" w:color="auto"/>
        <w:right w:val="none" w:sz="0" w:space="0" w:color="auto"/>
      </w:divBdr>
    </w:div>
    <w:div w:id="655305003">
      <w:bodyDiv w:val="1"/>
      <w:marLeft w:val="0"/>
      <w:marRight w:val="0"/>
      <w:marTop w:val="0"/>
      <w:marBottom w:val="0"/>
      <w:divBdr>
        <w:top w:val="none" w:sz="0" w:space="0" w:color="auto"/>
        <w:left w:val="none" w:sz="0" w:space="0" w:color="auto"/>
        <w:bottom w:val="none" w:sz="0" w:space="0" w:color="auto"/>
        <w:right w:val="none" w:sz="0" w:space="0" w:color="auto"/>
      </w:divBdr>
      <w:divsChild>
        <w:div w:id="1058434714">
          <w:marLeft w:val="0"/>
          <w:marRight w:val="0"/>
          <w:marTop w:val="0"/>
          <w:marBottom w:val="0"/>
          <w:divBdr>
            <w:top w:val="none" w:sz="0" w:space="0" w:color="auto"/>
            <w:left w:val="none" w:sz="0" w:space="0" w:color="auto"/>
            <w:bottom w:val="none" w:sz="0" w:space="0" w:color="auto"/>
            <w:right w:val="none" w:sz="0" w:space="0" w:color="auto"/>
          </w:divBdr>
          <w:divsChild>
            <w:div w:id="516965222">
              <w:marLeft w:val="0"/>
              <w:marRight w:val="0"/>
              <w:marTop w:val="0"/>
              <w:marBottom w:val="0"/>
              <w:divBdr>
                <w:top w:val="none" w:sz="0" w:space="0" w:color="auto"/>
                <w:left w:val="none" w:sz="0" w:space="0" w:color="auto"/>
                <w:bottom w:val="none" w:sz="0" w:space="0" w:color="auto"/>
                <w:right w:val="none" w:sz="0" w:space="0" w:color="auto"/>
              </w:divBdr>
              <w:divsChild>
                <w:div w:id="1033576454">
                  <w:marLeft w:val="0"/>
                  <w:marRight w:val="0"/>
                  <w:marTop w:val="0"/>
                  <w:marBottom w:val="0"/>
                  <w:divBdr>
                    <w:top w:val="none" w:sz="0" w:space="0" w:color="auto"/>
                    <w:left w:val="none" w:sz="0" w:space="0" w:color="auto"/>
                    <w:bottom w:val="none" w:sz="0" w:space="0" w:color="auto"/>
                    <w:right w:val="none" w:sz="0" w:space="0" w:color="auto"/>
                  </w:divBdr>
                  <w:divsChild>
                    <w:div w:id="1132406054">
                      <w:marLeft w:val="0"/>
                      <w:marRight w:val="0"/>
                      <w:marTop w:val="0"/>
                      <w:marBottom w:val="0"/>
                      <w:divBdr>
                        <w:top w:val="none" w:sz="0" w:space="0" w:color="auto"/>
                        <w:left w:val="none" w:sz="0" w:space="0" w:color="auto"/>
                        <w:bottom w:val="none" w:sz="0" w:space="0" w:color="auto"/>
                        <w:right w:val="none" w:sz="0" w:space="0" w:color="auto"/>
                      </w:divBdr>
                      <w:divsChild>
                        <w:div w:id="1182354499">
                          <w:marLeft w:val="0"/>
                          <w:marRight w:val="0"/>
                          <w:marTop w:val="0"/>
                          <w:marBottom w:val="0"/>
                          <w:divBdr>
                            <w:top w:val="none" w:sz="0" w:space="0" w:color="auto"/>
                            <w:left w:val="none" w:sz="0" w:space="0" w:color="auto"/>
                            <w:bottom w:val="none" w:sz="0" w:space="0" w:color="auto"/>
                            <w:right w:val="none" w:sz="0" w:space="0" w:color="auto"/>
                          </w:divBdr>
                          <w:divsChild>
                            <w:div w:id="1713579990">
                              <w:marLeft w:val="0"/>
                              <w:marRight w:val="0"/>
                              <w:marTop w:val="0"/>
                              <w:marBottom w:val="0"/>
                              <w:divBdr>
                                <w:top w:val="none" w:sz="0" w:space="0" w:color="auto"/>
                                <w:left w:val="none" w:sz="0" w:space="0" w:color="auto"/>
                                <w:bottom w:val="none" w:sz="0" w:space="0" w:color="auto"/>
                                <w:right w:val="none" w:sz="0" w:space="0" w:color="auto"/>
                              </w:divBdr>
                              <w:divsChild>
                                <w:div w:id="16108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09251">
      <w:bodyDiv w:val="1"/>
      <w:marLeft w:val="0"/>
      <w:marRight w:val="0"/>
      <w:marTop w:val="0"/>
      <w:marBottom w:val="0"/>
      <w:divBdr>
        <w:top w:val="none" w:sz="0" w:space="0" w:color="auto"/>
        <w:left w:val="none" w:sz="0" w:space="0" w:color="auto"/>
        <w:bottom w:val="none" w:sz="0" w:space="0" w:color="auto"/>
        <w:right w:val="none" w:sz="0" w:space="0" w:color="auto"/>
      </w:divBdr>
    </w:div>
    <w:div w:id="674915509">
      <w:bodyDiv w:val="1"/>
      <w:marLeft w:val="0"/>
      <w:marRight w:val="0"/>
      <w:marTop w:val="0"/>
      <w:marBottom w:val="0"/>
      <w:divBdr>
        <w:top w:val="none" w:sz="0" w:space="0" w:color="auto"/>
        <w:left w:val="none" w:sz="0" w:space="0" w:color="auto"/>
        <w:bottom w:val="none" w:sz="0" w:space="0" w:color="auto"/>
        <w:right w:val="none" w:sz="0" w:space="0" w:color="auto"/>
      </w:divBdr>
      <w:divsChild>
        <w:div w:id="1003892470">
          <w:marLeft w:val="0"/>
          <w:marRight w:val="0"/>
          <w:marTop w:val="0"/>
          <w:marBottom w:val="0"/>
          <w:divBdr>
            <w:top w:val="none" w:sz="0" w:space="0" w:color="auto"/>
            <w:left w:val="none" w:sz="0" w:space="0" w:color="auto"/>
            <w:bottom w:val="none" w:sz="0" w:space="0" w:color="auto"/>
            <w:right w:val="none" w:sz="0" w:space="0" w:color="auto"/>
          </w:divBdr>
          <w:divsChild>
            <w:div w:id="504132948">
              <w:marLeft w:val="0"/>
              <w:marRight w:val="0"/>
              <w:marTop w:val="0"/>
              <w:marBottom w:val="0"/>
              <w:divBdr>
                <w:top w:val="none" w:sz="0" w:space="0" w:color="auto"/>
                <w:left w:val="none" w:sz="0" w:space="0" w:color="auto"/>
                <w:bottom w:val="none" w:sz="0" w:space="0" w:color="auto"/>
                <w:right w:val="none" w:sz="0" w:space="0" w:color="auto"/>
              </w:divBdr>
              <w:divsChild>
                <w:div w:id="931858283">
                  <w:marLeft w:val="0"/>
                  <w:marRight w:val="0"/>
                  <w:marTop w:val="0"/>
                  <w:marBottom w:val="0"/>
                  <w:divBdr>
                    <w:top w:val="none" w:sz="0" w:space="0" w:color="auto"/>
                    <w:left w:val="none" w:sz="0" w:space="0" w:color="auto"/>
                    <w:bottom w:val="none" w:sz="0" w:space="0" w:color="auto"/>
                    <w:right w:val="none" w:sz="0" w:space="0" w:color="auto"/>
                  </w:divBdr>
                  <w:divsChild>
                    <w:div w:id="304432901">
                      <w:marLeft w:val="0"/>
                      <w:marRight w:val="0"/>
                      <w:marTop w:val="0"/>
                      <w:marBottom w:val="0"/>
                      <w:divBdr>
                        <w:top w:val="none" w:sz="0" w:space="0" w:color="auto"/>
                        <w:left w:val="none" w:sz="0" w:space="0" w:color="auto"/>
                        <w:bottom w:val="none" w:sz="0" w:space="0" w:color="auto"/>
                        <w:right w:val="none" w:sz="0" w:space="0" w:color="auto"/>
                      </w:divBdr>
                      <w:divsChild>
                        <w:div w:id="217128359">
                          <w:marLeft w:val="0"/>
                          <w:marRight w:val="0"/>
                          <w:marTop w:val="0"/>
                          <w:marBottom w:val="0"/>
                          <w:divBdr>
                            <w:top w:val="none" w:sz="0" w:space="0" w:color="auto"/>
                            <w:left w:val="none" w:sz="0" w:space="0" w:color="auto"/>
                            <w:bottom w:val="none" w:sz="0" w:space="0" w:color="auto"/>
                            <w:right w:val="none" w:sz="0" w:space="0" w:color="auto"/>
                          </w:divBdr>
                          <w:divsChild>
                            <w:div w:id="101606677">
                              <w:marLeft w:val="0"/>
                              <w:marRight w:val="0"/>
                              <w:marTop w:val="0"/>
                              <w:marBottom w:val="0"/>
                              <w:divBdr>
                                <w:top w:val="none" w:sz="0" w:space="0" w:color="auto"/>
                                <w:left w:val="none" w:sz="0" w:space="0" w:color="auto"/>
                                <w:bottom w:val="none" w:sz="0" w:space="0" w:color="auto"/>
                                <w:right w:val="none" w:sz="0" w:space="0" w:color="auto"/>
                              </w:divBdr>
                              <w:divsChild>
                                <w:div w:id="5088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1416669">
      <w:bodyDiv w:val="1"/>
      <w:marLeft w:val="0"/>
      <w:marRight w:val="0"/>
      <w:marTop w:val="0"/>
      <w:marBottom w:val="0"/>
      <w:divBdr>
        <w:top w:val="none" w:sz="0" w:space="0" w:color="auto"/>
        <w:left w:val="none" w:sz="0" w:space="0" w:color="auto"/>
        <w:bottom w:val="none" w:sz="0" w:space="0" w:color="auto"/>
        <w:right w:val="none" w:sz="0" w:space="0" w:color="auto"/>
      </w:divBdr>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718624510">
      <w:bodyDiv w:val="1"/>
      <w:marLeft w:val="0"/>
      <w:marRight w:val="0"/>
      <w:marTop w:val="0"/>
      <w:marBottom w:val="0"/>
      <w:divBdr>
        <w:top w:val="none" w:sz="0" w:space="0" w:color="auto"/>
        <w:left w:val="none" w:sz="0" w:space="0" w:color="auto"/>
        <w:bottom w:val="none" w:sz="0" w:space="0" w:color="auto"/>
        <w:right w:val="none" w:sz="0" w:space="0" w:color="auto"/>
      </w:divBdr>
      <w:divsChild>
        <w:div w:id="1462074204">
          <w:marLeft w:val="0"/>
          <w:marRight w:val="0"/>
          <w:marTop w:val="0"/>
          <w:marBottom w:val="0"/>
          <w:divBdr>
            <w:top w:val="none" w:sz="0" w:space="0" w:color="auto"/>
            <w:left w:val="none" w:sz="0" w:space="0" w:color="auto"/>
            <w:bottom w:val="none" w:sz="0" w:space="0" w:color="auto"/>
            <w:right w:val="none" w:sz="0" w:space="0" w:color="auto"/>
          </w:divBdr>
          <w:divsChild>
            <w:div w:id="1594312811">
              <w:marLeft w:val="0"/>
              <w:marRight w:val="0"/>
              <w:marTop w:val="0"/>
              <w:marBottom w:val="0"/>
              <w:divBdr>
                <w:top w:val="none" w:sz="0" w:space="0" w:color="auto"/>
                <w:left w:val="none" w:sz="0" w:space="0" w:color="auto"/>
                <w:bottom w:val="none" w:sz="0" w:space="0" w:color="auto"/>
                <w:right w:val="none" w:sz="0" w:space="0" w:color="auto"/>
              </w:divBdr>
              <w:divsChild>
                <w:div w:id="212468945">
                  <w:marLeft w:val="0"/>
                  <w:marRight w:val="0"/>
                  <w:marTop w:val="0"/>
                  <w:marBottom w:val="0"/>
                  <w:divBdr>
                    <w:top w:val="none" w:sz="0" w:space="0" w:color="auto"/>
                    <w:left w:val="none" w:sz="0" w:space="0" w:color="auto"/>
                    <w:bottom w:val="none" w:sz="0" w:space="0" w:color="auto"/>
                    <w:right w:val="none" w:sz="0" w:space="0" w:color="auto"/>
                  </w:divBdr>
                  <w:divsChild>
                    <w:div w:id="1987196288">
                      <w:marLeft w:val="0"/>
                      <w:marRight w:val="0"/>
                      <w:marTop w:val="0"/>
                      <w:marBottom w:val="0"/>
                      <w:divBdr>
                        <w:top w:val="none" w:sz="0" w:space="0" w:color="auto"/>
                        <w:left w:val="none" w:sz="0" w:space="0" w:color="auto"/>
                        <w:bottom w:val="none" w:sz="0" w:space="0" w:color="auto"/>
                        <w:right w:val="none" w:sz="0" w:space="0" w:color="auto"/>
                      </w:divBdr>
                      <w:divsChild>
                        <w:div w:id="665477120">
                          <w:marLeft w:val="0"/>
                          <w:marRight w:val="0"/>
                          <w:marTop w:val="0"/>
                          <w:marBottom w:val="0"/>
                          <w:divBdr>
                            <w:top w:val="none" w:sz="0" w:space="0" w:color="auto"/>
                            <w:left w:val="none" w:sz="0" w:space="0" w:color="auto"/>
                            <w:bottom w:val="none" w:sz="0" w:space="0" w:color="auto"/>
                            <w:right w:val="none" w:sz="0" w:space="0" w:color="auto"/>
                          </w:divBdr>
                          <w:divsChild>
                            <w:div w:id="12733336">
                              <w:marLeft w:val="0"/>
                              <w:marRight w:val="0"/>
                              <w:marTop w:val="0"/>
                              <w:marBottom w:val="0"/>
                              <w:divBdr>
                                <w:top w:val="none" w:sz="0" w:space="0" w:color="auto"/>
                                <w:left w:val="none" w:sz="0" w:space="0" w:color="auto"/>
                                <w:bottom w:val="none" w:sz="0" w:space="0" w:color="auto"/>
                                <w:right w:val="none" w:sz="0" w:space="0" w:color="auto"/>
                              </w:divBdr>
                              <w:divsChild>
                                <w:div w:id="710032084">
                                  <w:marLeft w:val="0"/>
                                  <w:marRight w:val="0"/>
                                  <w:marTop w:val="0"/>
                                  <w:marBottom w:val="0"/>
                                  <w:divBdr>
                                    <w:top w:val="none" w:sz="0" w:space="0" w:color="auto"/>
                                    <w:left w:val="none" w:sz="0" w:space="0" w:color="auto"/>
                                    <w:bottom w:val="none" w:sz="0" w:space="0" w:color="auto"/>
                                    <w:right w:val="none" w:sz="0" w:space="0" w:color="auto"/>
                                  </w:divBdr>
                                  <w:divsChild>
                                    <w:div w:id="26812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256914">
          <w:marLeft w:val="0"/>
          <w:marRight w:val="0"/>
          <w:marTop w:val="0"/>
          <w:marBottom w:val="0"/>
          <w:divBdr>
            <w:top w:val="none" w:sz="0" w:space="0" w:color="auto"/>
            <w:left w:val="none" w:sz="0" w:space="0" w:color="auto"/>
            <w:bottom w:val="none" w:sz="0" w:space="0" w:color="auto"/>
            <w:right w:val="none" w:sz="0" w:space="0" w:color="auto"/>
          </w:divBdr>
          <w:divsChild>
            <w:div w:id="1931619968">
              <w:marLeft w:val="0"/>
              <w:marRight w:val="0"/>
              <w:marTop w:val="0"/>
              <w:marBottom w:val="0"/>
              <w:divBdr>
                <w:top w:val="none" w:sz="0" w:space="0" w:color="auto"/>
                <w:left w:val="none" w:sz="0" w:space="0" w:color="auto"/>
                <w:bottom w:val="none" w:sz="0" w:space="0" w:color="auto"/>
                <w:right w:val="none" w:sz="0" w:space="0" w:color="auto"/>
              </w:divBdr>
              <w:divsChild>
                <w:div w:id="1900247281">
                  <w:marLeft w:val="0"/>
                  <w:marRight w:val="0"/>
                  <w:marTop w:val="0"/>
                  <w:marBottom w:val="0"/>
                  <w:divBdr>
                    <w:top w:val="none" w:sz="0" w:space="0" w:color="auto"/>
                    <w:left w:val="none" w:sz="0" w:space="0" w:color="auto"/>
                    <w:bottom w:val="none" w:sz="0" w:space="0" w:color="auto"/>
                    <w:right w:val="none" w:sz="0" w:space="0" w:color="auto"/>
                  </w:divBdr>
                  <w:divsChild>
                    <w:div w:id="1759521881">
                      <w:marLeft w:val="0"/>
                      <w:marRight w:val="0"/>
                      <w:marTop w:val="0"/>
                      <w:marBottom w:val="0"/>
                      <w:divBdr>
                        <w:top w:val="none" w:sz="0" w:space="0" w:color="auto"/>
                        <w:left w:val="none" w:sz="0" w:space="0" w:color="auto"/>
                        <w:bottom w:val="none" w:sz="0" w:space="0" w:color="auto"/>
                        <w:right w:val="none" w:sz="0" w:space="0" w:color="auto"/>
                      </w:divBdr>
                      <w:divsChild>
                        <w:div w:id="305940391">
                          <w:marLeft w:val="0"/>
                          <w:marRight w:val="0"/>
                          <w:marTop w:val="0"/>
                          <w:marBottom w:val="0"/>
                          <w:divBdr>
                            <w:top w:val="none" w:sz="0" w:space="0" w:color="auto"/>
                            <w:left w:val="none" w:sz="0" w:space="0" w:color="auto"/>
                            <w:bottom w:val="none" w:sz="0" w:space="0" w:color="auto"/>
                            <w:right w:val="none" w:sz="0" w:space="0" w:color="auto"/>
                          </w:divBdr>
                          <w:divsChild>
                            <w:div w:id="528568039">
                              <w:marLeft w:val="0"/>
                              <w:marRight w:val="0"/>
                              <w:marTop w:val="0"/>
                              <w:marBottom w:val="0"/>
                              <w:divBdr>
                                <w:top w:val="none" w:sz="0" w:space="0" w:color="auto"/>
                                <w:left w:val="none" w:sz="0" w:space="0" w:color="auto"/>
                                <w:bottom w:val="none" w:sz="0" w:space="0" w:color="auto"/>
                                <w:right w:val="none" w:sz="0" w:space="0" w:color="auto"/>
                              </w:divBdr>
                              <w:divsChild>
                                <w:div w:id="917520306">
                                  <w:marLeft w:val="0"/>
                                  <w:marRight w:val="0"/>
                                  <w:marTop w:val="0"/>
                                  <w:marBottom w:val="0"/>
                                  <w:divBdr>
                                    <w:top w:val="none" w:sz="0" w:space="0" w:color="auto"/>
                                    <w:left w:val="none" w:sz="0" w:space="0" w:color="auto"/>
                                    <w:bottom w:val="none" w:sz="0" w:space="0" w:color="auto"/>
                                    <w:right w:val="none" w:sz="0" w:space="0" w:color="auto"/>
                                  </w:divBdr>
                                  <w:divsChild>
                                    <w:div w:id="1092972176">
                                      <w:marLeft w:val="0"/>
                                      <w:marRight w:val="0"/>
                                      <w:marTop w:val="0"/>
                                      <w:marBottom w:val="0"/>
                                      <w:divBdr>
                                        <w:top w:val="none" w:sz="0" w:space="0" w:color="auto"/>
                                        <w:left w:val="none" w:sz="0" w:space="0" w:color="auto"/>
                                        <w:bottom w:val="none" w:sz="0" w:space="0" w:color="auto"/>
                                        <w:right w:val="none" w:sz="0" w:space="0" w:color="auto"/>
                                      </w:divBdr>
                                      <w:divsChild>
                                        <w:div w:id="62027582">
                                          <w:marLeft w:val="0"/>
                                          <w:marRight w:val="0"/>
                                          <w:marTop w:val="0"/>
                                          <w:marBottom w:val="0"/>
                                          <w:divBdr>
                                            <w:top w:val="none" w:sz="0" w:space="0" w:color="auto"/>
                                            <w:left w:val="none" w:sz="0" w:space="0" w:color="auto"/>
                                            <w:bottom w:val="none" w:sz="0" w:space="0" w:color="auto"/>
                                            <w:right w:val="none" w:sz="0" w:space="0" w:color="auto"/>
                                          </w:divBdr>
                                          <w:divsChild>
                                            <w:div w:id="79313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8382111">
      <w:bodyDiv w:val="1"/>
      <w:marLeft w:val="0"/>
      <w:marRight w:val="0"/>
      <w:marTop w:val="0"/>
      <w:marBottom w:val="0"/>
      <w:divBdr>
        <w:top w:val="none" w:sz="0" w:space="0" w:color="auto"/>
        <w:left w:val="none" w:sz="0" w:space="0" w:color="auto"/>
        <w:bottom w:val="none" w:sz="0" w:space="0" w:color="auto"/>
        <w:right w:val="none" w:sz="0" w:space="0" w:color="auto"/>
      </w:divBdr>
      <w:divsChild>
        <w:div w:id="1247152894">
          <w:marLeft w:val="0"/>
          <w:marRight w:val="0"/>
          <w:marTop w:val="0"/>
          <w:marBottom w:val="0"/>
          <w:divBdr>
            <w:top w:val="none" w:sz="0" w:space="0" w:color="auto"/>
            <w:left w:val="none" w:sz="0" w:space="0" w:color="auto"/>
            <w:bottom w:val="none" w:sz="0" w:space="0" w:color="auto"/>
            <w:right w:val="none" w:sz="0" w:space="0" w:color="auto"/>
          </w:divBdr>
          <w:divsChild>
            <w:div w:id="1160541040">
              <w:marLeft w:val="0"/>
              <w:marRight w:val="0"/>
              <w:marTop w:val="0"/>
              <w:marBottom w:val="0"/>
              <w:divBdr>
                <w:top w:val="none" w:sz="0" w:space="0" w:color="auto"/>
                <w:left w:val="none" w:sz="0" w:space="0" w:color="auto"/>
                <w:bottom w:val="none" w:sz="0" w:space="0" w:color="auto"/>
                <w:right w:val="none" w:sz="0" w:space="0" w:color="auto"/>
              </w:divBdr>
              <w:divsChild>
                <w:div w:id="167332320">
                  <w:marLeft w:val="0"/>
                  <w:marRight w:val="0"/>
                  <w:marTop w:val="0"/>
                  <w:marBottom w:val="0"/>
                  <w:divBdr>
                    <w:top w:val="none" w:sz="0" w:space="0" w:color="auto"/>
                    <w:left w:val="none" w:sz="0" w:space="0" w:color="auto"/>
                    <w:bottom w:val="none" w:sz="0" w:space="0" w:color="auto"/>
                    <w:right w:val="none" w:sz="0" w:space="0" w:color="auto"/>
                  </w:divBdr>
                  <w:divsChild>
                    <w:div w:id="2146314089">
                      <w:marLeft w:val="0"/>
                      <w:marRight w:val="0"/>
                      <w:marTop w:val="0"/>
                      <w:marBottom w:val="0"/>
                      <w:divBdr>
                        <w:top w:val="none" w:sz="0" w:space="0" w:color="auto"/>
                        <w:left w:val="none" w:sz="0" w:space="0" w:color="auto"/>
                        <w:bottom w:val="none" w:sz="0" w:space="0" w:color="auto"/>
                        <w:right w:val="none" w:sz="0" w:space="0" w:color="auto"/>
                      </w:divBdr>
                      <w:divsChild>
                        <w:div w:id="1118378576">
                          <w:marLeft w:val="0"/>
                          <w:marRight w:val="0"/>
                          <w:marTop w:val="0"/>
                          <w:marBottom w:val="0"/>
                          <w:divBdr>
                            <w:top w:val="none" w:sz="0" w:space="0" w:color="auto"/>
                            <w:left w:val="none" w:sz="0" w:space="0" w:color="auto"/>
                            <w:bottom w:val="none" w:sz="0" w:space="0" w:color="auto"/>
                            <w:right w:val="none" w:sz="0" w:space="0" w:color="auto"/>
                          </w:divBdr>
                          <w:divsChild>
                            <w:div w:id="378628735">
                              <w:marLeft w:val="0"/>
                              <w:marRight w:val="0"/>
                              <w:marTop w:val="0"/>
                              <w:marBottom w:val="0"/>
                              <w:divBdr>
                                <w:top w:val="none" w:sz="0" w:space="0" w:color="auto"/>
                                <w:left w:val="none" w:sz="0" w:space="0" w:color="auto"/>
                                <w:bottom w:val="none" w:sz="0" w:space="0" w:color="auto"/>
                                <w:right w:val="none" w:sz="0" w:space="0" w:color="auto"/>
                              </w:divBdr>
                              <w:divsChild>
                                <w:div w:id="338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9181432">
      <w:bodyDiv w:val="1"/>
      <w:marLeft w:val="0"/>
      <w:marRight w:val="0"/>
      <w:marTop w:val="0"/>
      <w:marBottom w:val="0"/>
      <w:divBdr>
        <w:top w:val="none" w:sz="0" w:space="0" w:color="auto"/>
        <w:left w:val="none" w:sz="0" w:space="0" w:color="auto"/>
        <w:bottom w:val="none" w:sz="0" w:space="0" w:color="auto"/>
        <w:right w:val="none" w:sz="0" w:space="0" w:color="auto"/>
      </w:divBdr>
    </w:div>
    <w:div w:id="779758195">
      <w:bodyDiv w:val="1"/>
      <w:marLeft w:val="0"/>
      <w:marRight w:val="0"/>
      <w:marTop w:val="0"/>
      <w:marBottom w:val="0"/>
      <w:divBdr>
        <w:top w:val="none" w:sz="0" w:space="0" w:color="auto"/>
        <w:left w:val="none" w:sz="0" w:space="0" w:color="auto"/>
        <w:bottom w:val="none" w:sz="0" w:space="0" w:color="auto"/>
        <w:right w:val="none" w:sz="0" w:space="0" w:color="auto"/>
      </w:divBdr>
      <w:divsChild>
        <w:div w:id="661927424">
          <w:marLeft w:val="0"/>
          <w:marRight w:val="0"/>
          <w:marTop w:val="0"/>
          <w:marBottom w:val="0"/>
          <w:divBdr>
            <w:top w:val="none" w:sz="0" w:space="0" w:color="auto"/>
            <w:left w:val="none" w:sz="0" w:space="0" w:color="auto"/>
            <w:bottom w:val="none" w:sz="0" w:space="0" w:color="auto"/>
            <w:right w:val="none" w:sz="0" w:space="0" w:color="auto"/>
          </w:divBdr>
          <w:divsChild>
            <w:div w:id="27232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07936">
      <w:bodyDiv w:val="1"/>
      <w:marLeft w:val="0"/>
      <w:marRight w:val="0"/>
      <w:marTop w:val="0"/>
      <w:marBottom w:val="0"/>
      <w:divBdr>
        <w:top w:val="none" w:sz="0" w:space="0" w:color="auto"/>
        <w:left w:val="none" w:sz="0" w:space="0" w:color="auto"/>
        <w:bottom w:val="none" w:sz="0" w:space="0" w:color="auto"/>
        <w:right w:val="none" w:sz="0" w:space="0" w:color="auto"/>
      </w:divBdr>
    </w:div>
    <w:div w:id="808518557">
      <w:bodyDiv w:val="1"/>
      <w:marLeft w:val="0"/>
      <w:marRight w:val="0"/>
      <w:marTop w:val="0"/>
      <w:marBottom w:val="0"/>
      <w:divBdr>
        <w:top w:val="none" w:sz="0" w:space="0" w:color="auto"/>
        <w:left w:val="none" w:sz="0" w:space="0" w:color="auto"/>
        <w:bottom w:val="none" w:sz="0" w:space="0" w:color="auto"/>
        <w:right w:val="none" w:sz="0" w:space="0" w:color="auto"/>
      </w:divBdr>
    </w:div>
    <w:div w:id="810943632">
      <w:bodyDiv w:val="1"/>
      <w:marLeft w:val="0"/>
      <w:marRight w:val="0"/>
      <w:marTop w:val="0"/>
      <w:marBottom w:val="0"/>
      <w:divBdr>
        <w:top w:val="none" w:sz="0" w:space="0" w:color="auto"/>
        <w:left w:val="none" w:sz="0" w:space="0" w:color="auto"/>
        <w:bottom w:val="none" w:sz="0" w:space="0" w:color="auto"/>
        <w:right w:val="none" w:sz="0" w:space="0" w:color="auto"/>
      </w:divBdr>
      <w:divsChild>
        <w:div w:id="447313316">
          <w:marLeft w:val="0"/>
          <w:marRight w:val="0"/>
          <w:marTop w:val="0"/>
          <w:marBottom w:val="0"/>
          <w:divBdr>
            <w:top w:val="none" w:sz="0" w:space="0" w:color="auto"/>
            <w:left w:val="none" w:sz="0" w:space="0" w:color="auto"/>
            <w:bottom w:val="none" w:sz="0" w:space="0" w:color="auto"/>
            <w:right w:val="none" w:sz="0" w:space="0" w:color="auto"/>
          </w:divBdr>
          <w:divsChild>
            <w:div w:id="234512755">
              <w:marLeft w:val="0"/>
              <w:marRight w:val="0"/>
              <w:marTop w:val="0"/>
              <w:marBottom w:val="0"/>
              <w:divBdr>
                <w:top w:val="none" w:sz="0" w:space="0" w:color="auto"/>
                <w:left w:val="none" w:sz="0" w:space="0" w:color="auto"/>
                <w:bottom w:val="none" w:sz="0" w:space="0" w:color="auto"/>
                <w:right w:val="none" w:sz="0" w:space="0" w:color="auto"/>
              </w:divBdr>
              <w:divsChild>
                <w:div w:id="1632976390">
                  <w:marLeft w:val="0"/>
                  <w:marRight w:val="0"/>
                  <w:marTop w:val="0"/>
                  <w:marBottom w:val="0"/>
                  <w:divBdr>
                    <w:top w:val="none" w:sz="0" w:space="0" w:color="auto"/>
                    <w:left w:val="none" w:sz="0" w:space="0" w:color="auto"/>
                    <w:bottom w:val="none" w:sz="0" w:space="0" w:color="auto"/>
                    <w:right w:val="none" w:sz="0" w:space="0" w:color="auto"/>
                  </w:divBdr>
                  <w:divsChild>
                    <w:div w:id="12379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17069677">
      <w:bodyDiv w:val="1"/>
      <w:marLeft w:val="0"/>
      <w:marRight w:val="0"/>
      <w:marTop w:val="0"/>
      <w:marBottom w:val="0"/>
      <w:divBdr>
        <w:top w:val="none" w:sz="0" w:space="0" w:color="auto"/>
        <w:left w:val="none" w:sz="0" w:space="0" w:color="auto"/>
        <w:bottom w:val="none" w:sz="0" w:space="0" w:color="auto"/>
        <w:right w:val="none" w:sz="0" w:space="0" w:color="auto"/>
      </w:divBdr>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587700">
      <w:bodyDiv w:val="1"/>
      <w:marLeft w:val="0"/>
      <w:marRight w:val="0"/>
      <w:marTop w:val="0"/>
      <w:marBottom w:val="0"/>
      <w:divBdr>
        <w:top w:val="none" w:sz="0" w:space="0" w:color="auto"/>
        <w:left w:val="none" w:sz="0" w:space="0" w:color="auto"/>
        <w:bottom w:val="none" w:sz="0" w:space="0" w:color="auto"/>
        <w:right w:val="none" w:sz="0" w:space="0" w:color="auto"/>
      </w:divBdr>
      <w:divsChild>
        <w:div w:id="990598358">
          <w:marLeft w:val="0"/>
          <w:marRight w:val="0"/>
          <w:marTop w:val="0"/>
          <w:marBottom w:val="0"/>
          <w:divBdr>
            <w:top w:val="none" w:sz="0" w:space="0" w:color="auto"/>
            <w:left w:val="none" w:sz="0" w:space="0" w:color="auto"/>
            <w:bottom w:val="none" w:sz="0" w:space="0" w:color="auto"/>
            <w:right w:val="none" w:sz="0" w:space="0" w:color="auto"/>
          </w:divBdr>
          <w:divsChild>
            <w:div w:id="1154687634">
              <w:marLeft w:val="0"/>
              <w:marRight w:val="0"/>
              <w:marTop w:val="0"/>
              <w:marBottom w:val="0"/>
              <w:divBdr>
                <w:top w:val="none" w:sz="0" w:space="0" w:color="auto"/>
                <w:left w:val="none" w:sz="0" w:space="0" w:color="auto"/>
                <w:bottom w:val="none" w:sz="0" w:space="0" w:color="auto"/>
                <w:right w:val="none" w:sz="0" w:space="0" w:color="auto"/>
              </w:divBdr>
              <w:divsChild>
                <w:div w:id="164247044">
                  <w:marLeft w:val="0"/>
                  <w:marRight w:val="0"/>
                  <w:marTop w:val="0"/>
                  <w:marBottom w:val="0"/>
                  <w:divBdr>
                    <w:top w:val="none" w:sz="0" w:space="0" w:color="auto"/>
                    <w:left w:val="none" w:sz="0" w:space="0" w:color="auto"/>
                    <w:bottom w:val="none" w:sz="0" w:space="0" w:color="auto"/>
                    <w:right w:val="none" w:sz="0" w:space="0" w:color="auto"/>
                  </w:divBdr>
                  <w:divsChild>
                    <w:div w:id="1553998794">
                      <w:marLeft w:val="0"/>
                      <w:marRight w:val="0"/>
                      <w:marTop w:val="0"/>
                      <w:marBottom w:val="0"/>
                      <w:divBdr>
                        <w:top w:val="none" w:sz="0" w:space="0" w:color="auto"/>
                        <w:left w:val="none" w:sz="0" w:space="0" w:color="auto"/>
                        <w:bottom w:val="none" w:sz="0" w:space="0" w:color="auto"/>
                        <w:right w:val="none" w:sz="0" w:space="0" w:color="auto"/>
                      </w:divBdr>
                      <w:divsChild>
                        <w:div w:id="1595943808">
                          <w:marLeft w:val="0"/>
                          <w:marRight w:val="0"/>
                          <w:marTop w:val="0"/>
                          <w:marBottom w:val="0"/>
                          <w:divBdr>
                            <w:top w:val="none" w:sz="0" w:space="0" w:color="auto"/>
                            <w:left w:val="none" w:sz="0" w:space="0" w:color="auto"/>
                            <w:bottom w:val="none" w:sz="0" w:space="0" w:color="auto"/>
                            <w:right w:val="none" w:sz="0" w:space="0" w:color="auto"/>
                          </w:divBdr>
                          <w:divsChild>
                            <w:div w:id="1694724567">
                              <w:marLeft w:val="0"/>
                              <w:marRight w:val="0"/>
                              <w:marTop w:val="0"/>
                              <w:marBottom w:val="0"/>
                              <w:divBdr>
                                <w:top w:val="none" w:sz="0" w:space="0" w:color="auto"/>
                                <w:left w:val="none" w:sz="0" w:space="0" w:color="auto"/>
                                <w:bottom w:val="none" w:sz="0" w:space="0" w:color="auto"/>
                                <w:right w:val="none" w:sz="0" w:space="0" w:color="auto"/>
                              </w:divBdr>
                              <w:divsChild>
                                <w:div w:id="139816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05411688">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22757219">
      <w:bodyDiv w:val="1"/>
      <w:marLeft w:val="0"/>
      <w:marRight w:val="0"/>
      <w:marTop w:val="0"/>
      <w:marBottom w:val="0"/>
      <w:divBdr>
        <w:top w:val="none" w:sz="0" w:space="0" w:color="auto"/>
        <w:left w:val="none" w:sz="0" w:space="0" w:color="auto"/>
        <w:bottom w:val="none" w:sz="0" w:space="0" w:color="auto"/>
        <w:right w:val="none" w:sz="0" w:space="0" w:color="auto"/>
      </w:divBdr>
      <w:divsChild>
        <w:div w:id="915359793">
          <w:marLeft w:val="0"/>
          <w:marRight w:val="0"/>
          <w:marTop w:val="0"/>
          <w:marBottom w:val="0"/>
          <w:divBdr>
            <w:top w:val="none" w:sz="0" w:space="0" w:color="auto"/>
            <w:left w:val="none" w:sz="0" w:space="0" w:color="auto"/>
            <w:bottom w:val="none" w:sz="0" w:space="0" w:color="auto"/>
            <w:right w:val="none" w:sz="0" w:space="0" w:color="auto"/>
          </w:divBdr>
          <w:divsChild>
            <w:div w:id="1821339000">
              <w:marLeft w:val="0"/>
              <w:marRight w:val="0"/>
              <w:marTop w:val="0"/>
              <w:marBottom w:val="0"/>
              <w:divBdr>
                <w:top w:val="none" w:sz="0" w:space="0" w:color="auto"/>
                <w:left w:val="none" w:sz="0" w:space="0" w:color="auto"/>
                <w:bottom w:val="none" w:sz="0" w:space="0" w:color="auto"/>
                <w:right w:val="none" w:sz="0" w:space="0" w:color="auto"/>
              </w:divBdr>
              <w:divsChild>
                <w:div w:id="1958952260">
                  <w:marLeft w:val="0"/>
                  <w:marRight w:val="0"/>
                  <w:marTop w:val="0"/>
                  <w:marBottom w:val="0"/>
                  <w:divBdr>
                    <w:top w:val="none" w:sz="0" w:space="0" w:color="auto"/>
                    <w:left w:val="none" w:sz="0" w:space="0" w:color="auto"/>
                    <w:bottom w:val="none" w:sz="0" w:space="0" w:color="auto"/>
                    <w:right w:val="none" w:sz="0" w:space="0" w:color="auto"/>
                  </w:divBdr>
                  <w:divsChild>
                    <w:div w:id="678892418">
                      <w:marLeft w:val="0"/>
                      <w:marRight w:val="0"/>
                      <w:marTop w:val="0"/>
                      <w:marBottom w:val="0"/>
                      <w:divBdr>
                        <w:top w:val="none" w:sz="0" w:space="0" w:color="auto"/>
                        <w:left w:val="none" w:sz="0" w:space="0" w:color="auto"/>
                        <w:bottom w:val="none" w:sz="0" w:space="0" w:color="auto"/>
                        <w:right w:val="none" w:sz="0" w:space="0" w:color="auto"/>
                      </w:divBdr>
                      <w:divsChild>
                        <w:div w:id="207449901">
                          <w:marLeft w:val="0"/>
                          <w:marRight w:val="0"/>
                          <w:marTop w:val="0"/>
                          <w:marBottom w:val="0"/>
                          <w:divBdr>
                            <w:top w:val="none" w:sz="0" w:space="0" w:color="auto"/>
                            <w:left w:val="none" w:sz="0" w:space="0" w:color="auto"/>
                            <w:bottom w:val="none" w:sz="0" w:space="0" w:color="auto"/>
                            <w:right w:val="none" w:sz="0" w:space="0" w:color="auto"/>
                          </w:divBdr>
                          <w:divsChild>
                            <w:div w:id="516620548">
                              <w:marLeft w:val="0"/>
                              <w:marRight w:val="0"/>
                              <w:marTop w:val="0"/>
                              <w:marBottom w:val="0"/>
                              <w:divBdr>
                                <w:top w:val="none" w:sz="0" w:space="0" w:color="auto"/>
                                <w:left w:val="none" w:sz="0" w:space="0" w:color="auto"/>
                                <w:bottom w:val="none" w:sz="0" w:space="0" w:color="auto"/>
                                <w:right w:val="none" w:sz="0" w:space="0" w:color="auto"/>
                              </w:divBdr>
                              <w:divsChild>
                                <w:div w:id="669527044">
                                  <w:marLeft w:val="0"/>
                                  <w:marRight w:val="0"/>
                                  <w:marTop w:val="0"/>
                                  <w:marBottom w:val="0"/>
                                  <w:divBdr>
                                    <w:top w:val="none" w:sz="0" w:space="0" w:color="auto"/>
                                    <w:left w:val="none" w:sz="0" w:space="0" w:color="auto"/>
                                    <w:bottom w:val="none" w:sz="0" w:space="0" w:color="auto"/>
                                    <w:right w:val="none" w:sz="0" w:space="0" w:color="auto"/>
                                  </w:divBdr>
                                  <w:divsChild>
                                    <w:div w:id="92997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613271">
          <w:marLeft w:val="0"/>
          <w:marRight w:val="0"/>
          <w:marTop w:val="0"/>
          <w:marBottom w:val="0"/>
          <w:divBdr>
            <w:top w:val="none" w:sz="0" w:space="0" w:color="auto"/>
            <w:left w:val="none" w:sz="0" w:space="0" w:color="auto"/>
            <w:bottom w:val="none" w:sz="0" w:space="0" w:color="auto"/>
            <w:right w:val="none" w:sz="0" w:space="0" w:color="auto"/>
          </w:divBdr>
          <w:divsChild>
            <w:div w:id="1892692217">
              <w:marLeft w:val="0"/>
              <w:marRight w:val="0"/>
              <w:marTop w:val="0"/>
              <w:marBottom w:val="0"/>
              <w:divBdr>
                <w:top w:val="none" w:sz="0" w:space="0" w:color="auto"/>
                <w:left w:val="none" w:sz="0" w:space="0" w:color="auto"/>
                <w:bottom w:val="none" w:sz="0" w:space="0" w:color="auto"/>
                <w:right w:val="none" w:sz="0" w:space="0" w:color="auto"/>
              </w:divBdr>
              <w:divsChild>
                <w:div w:id="2037534992">
                  <w:marLeft w:val="0"/>
                  <w:marRight w:val="0"/>
                  <w:marTop w:val="0"/>
                  <w:marBottom w:val="0"/>
                  <w:divBdr>
                    <w:top w:val="none" w:sz="0" w:space="0" w:color="auto"/>
                    <w:left w:val="none" w:sz="0" w:space="0" w:color="auto"/>
                    <w:bottom w:val="none" w:sz="0" w:space="0" w:color="auto"/>
                    <w:right w:val="none" w:sz="0" w:space="0" w:color="auto"/>
                  </w:divBdr>
                  <w:divsChild>
                    <w:div w:id="1497382879">
                      <w:marLeft w:val="0"/>
                      <w:marRight w:val="0"/>
                      <w:marTop w:val="0"/>
                      <w:marBottom w:val="0"/>
                      <w:divBdr>
                        <w:top w:val="none" w:sz="0" w:space="0" w:color="auto"/>
                        <w:left w:val="none" w:sz="0" w:space="0" w:color="auto"/>
                        <w:bottom w:val="none" w:sz="0" w:space="0" w:color="auto"/>
                        <w:right w:val="none" w:sz="0" w:space="0" w:color="auto"/>
                      </w:divBdr>
                      <w:divsChild>
                        <w:div w:id="2136631172">
                          <w:marLeft w:val="0"/>
                          <w:marRight w:val="0"/>
                          <w:marTop w:val="0"/>
                          <w:marBottom w:val="0"/>
                          <w:divBdr>
                            <w:top w:val="none" w:sz="0" w:space="0" w:color="auto"/>
                            <w:left w:val="none" w:sz="0" w:space="0" w:color="auto"/>
                            <w:bottom w:val="none" w:sz="0" w:space="0" w:color="auto"/>
                            <w:right w:val="none" w:sz="0" w:space="0" w:color="auto"/>
                          </w:divBdr>
                          <w:divsChild>
                            <w:div w:id="1253777951">
                              <w:marLeft w:val="0"/>
                              <w:marRight w:val="0"/>
                              <w:marTop w:val="0"/>
                              <w:marBottom w:val="0"/>
                              <w:divBdr>
                                <w:top w:val="none" w:sz="0" w:space="0" w:color="auto"/>
                                <w:left w:val="none" w:sz="0" w:space="0" w:color="auto"/>
                                <w:bottom w:val="none" w:sz="0" w:space="0" w:color="auto"/>
                                <w:right w:val="none" w:sz="0" w:space="0" w:color="auto"/>
                              </w:divBdr>
                              <w:divsChild>
                                <w:div w:id="683482653">
                                  <w:marLeft w:val="0"/>
                                  <w:marRight w:val="0"/>
                                  <w:marTop w:val="0"/>
                                  <w:marBottom w:val="0"/>
                                  <w:divBdr>
                                    <w:top w:val="none" w:sz="0" w:space="0" w:color="auto"/>
                                    <w:left w:val="none" w:sz="0" w:space="0" w:color="auto"/>
                                    <w:bottom w:val="none" w:sz="0" w:space="0" w:color="auto"/>
                                    <w:right w:val="none" w:sz="0" w:space="0" w:color="auto"/>
                                  </w:divBdr>
                                  <w:divsChild>
                                    <w:div w:id="1289626340">
                                      <w:marLeft w:val="0"/>
                                      <w:marRight w:val="0"/>
                                      <w:marTop w:val="0"/>
                                      <w:marBottom w:val="0"/>
                                      <w:divBdr>
                                        <w:top w:val="none" w:sz="0" w:space="0" w:color="auto"/>
                                        <w:left w:val="none" w:sz="0" w:space="0" w:color="auto"/>
                                        <w:bottom w:val="none" w:sz="0" w:space="0" w:color="auto"/>
                                        <w:right w:val="none" w:sz="0" w:space="0" w:color="auto"/>
                                      </w:divBdr>
                                      <w:divsChild>
                                        <w:div w:id="737434839">
                                          <w:marLeft w:val="0"/>
                                          <w:marRight w:val="0"/>
                                          <w:marTop w:val="0"/>
                                          <w:marBottom w:val="0"/>
                                          <w:divBdr>
                                            <w:top w:val="none" w:sz="0" w:space="0" w:color="auto"/>
                                            <w:left w:val="none" w:sz="0" w:space="0" w:color="auto"/>
                                            <w:bottom w:val="none" w:sz="0" w:space="0" w:color="auto"/>
                                            <w:right w:val="none" w:sz="0" w:space="0" w:color="auto"/>
                                          </w:divBdr>
                                          <w:divsChild>
                                            <w:div w:id="52005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3534301">
      <w:bodyDiv w:val="1"/>
      <w:marLeft w:val="0"/>
      <w:marRight w:val="0"/>
      <w:marTop w:val="0"/>
      <w:marBottom w:val="0"/>
      <w:divBdr>
        <w:top w:val="none" w:sz="0" w:space="0" w:color="auto"/>
        <w:left w:val="none" w:sz="0" w:space="0" w:color="auto"/>
        <w:bottom w:val="none" w:sz="0" w:space="0" w:color="auto"/>
        <w:right w:val="none" w:sz="0" w:space="0" w:color="auto"/>
      </w:divBdr>
    </w:div>
    <w:div w:id="967397051">
      <w:bodyDiv w:val="1"/>
      <w:marLeft w:val="0"/>
      <w:marRight w:val="0"/>
      <w:marTop w:val="0"/>
      <w:marBottom w:val="0"/>
      <w:divBdr>
        <w:top w:val="none" w:sz="0" w:space="0" w:color="auto"/>
        <w:left w:val="none" w:sz="0" w:space="0" w:color="auto"/>
        <w:bottom w:val="none" w:sz="0" w:space="0" w:color="auto"/>
        <w:right w:val="none" w:sz="0" w:space="0" w:color="auto"/>
      </w:divBdr>
      <w:divsChild>
        <w:div w:id="1426225862">
          <w:marLeft w:val="0"/>
          <w:marRight w:val="0"/>
          <w:marTop w:val="0"/>
          <w:marBottom w:val="0"/>
          <w:divBdr>
            <w:top w:val="none" w:sz="0" w:space="0" w:color="auto"/>
            <w:left w:val="none" w:sz="0" w:space="0" w:color="auto"/>
            <w:bottom w:val="none" w:sz="0" w:space="0" w:color="auto"/>
            <w:right w:val="none" w:sz="0" w:space="0" w:color="auto"/>
          </w:divBdr>
          <w:divsChild>
            <w:div w:id="57214675">
              <w:marLeft w:val="0"/>
              <w:marRight w:val="0"/>
              <w:marTop w:val="0"/>
              <w:marBottom w:val="0"/>
              <w:divBdr>
                <w:top w:val="none" w:sz="0" w:space="0" w:color="auto"/>
                <w:left w:val="none" w:sz="0" w:space="0" w:color="auto"/>
                <w:bottom w:val="none" w:sz="0" w:space="0" w:color="auto"/>
                <w:right w:val="none" w:sz="0" w:space="0" w:color="auto"/>
              </w:divBdr>
              <w:divsChild>
                <w:div w:id="837231325">
                  <w:marLeft w:val="0"/>
                  <w:marRight w:val="0"/>
                  <w:marTop w:val="0"/>
                  <w:marBottom w:val="0"/>
                  <w:divBdr>
                    <w:top w:val="none" w:sz="0" w:space="0" w:color="auto"/>
                    <w:left w:val="none" w:sz="0" w:space="0" w:color="auto"/>
                    <w:bottom w:val="none" w:sz="0" w:space="0" w:color="auto"/>
                    <w:right w:val="none" w:sz="0" w:space="0" w:color="auto"/>
                  </w:divBdr>
                  <w:divsChild>
                    <w:div w:id="1929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446719">
      <w:bodyDiv w:val="1"/>
      <w:marLeft w:val="0"/>
      <w:marRight w:val="0"/>
      <w:marTop w:val="0"/>
      <w:marBottom w:val="0"/>
      <w:divBdr>
        <w:top w:val="none" w:sz="0" w:space="0" w:color="auto"/>
        <w:left w:val="none" w:sz="0" w:space="0" w:color="auto"/>
        <w:bottom w:val="none" w:sz="0" w:space="0" w:color="auto"/>
        <w:right w:val="none" w:sz="0" w:space="0" w:color="auto"/>
      </w:divBdr>
      <w:divsChild>
        <w:div w:id="1992588842">
          <w:marLeft w:val="0"/>
          <w:marRight w:val="0"/>
          <w:marTop w:val="0"/>
          <w:marBottom w:val="0"/>
          <w:divBdr>
            <w:top w:val="none" w:sz="0" w:space="0" w:color="auto"/>
            <w:left w:val="none" w:sz="0" w:space="0" w:color="auto"/>
            <w:bottom w:val="none" w:sz="0" w:space="0" w:color="auto"/>
            <w:right w:val="none" w:sz="0" w:space="0" w:color="auto"/>
          </w:divBdr>
          <w:divsChild>
            <w:div w:id="1716735418">
              <w:marLeft w:val="0"/>
              <w:marRight w:val="0"/>
              <w:marTop w:val="0"/>
              <w:marBottom w:val="0"/>
              <w:divBdr>
                <w:top w:val="none" w:sz="0" w:space="0" w:color="auto"/>
                <w:left w:val="none" w:sz="0" w:space="0" w:color="auto"/>
                <w:bottom w:val="none" w:sz="0" w:space="0" w:color="auto"/>
                <w:right w:val="none" w:sz="0" w:space="0" w:color="auto"/>
              </w:divBdr>
              <w:divsChild>
                <w:div w:id="1555970044">
                  <w:marLeft w:val="0"/>
                  <w:marRight w:val="0"/>
                  <w:marTop w:val="0"/>
                  <w:marBottom w:val="0"/>
                  <w:divBdr>
                    <w:top w:val="none" w:sz="0" w:space="0" w:color="auto"/>
                    <w:left w:val="none" w:sz="0" w:space="0" w:color="auto"/>
                    <w:bottom w:val="none" w:sz="0" w:space="0" w:color="auto"/>
                    <w:right w:val="none" w:sz="0" w:space="0" w:color="auto"/>
                  </w:divBdr>
                  <w:divsChild>
                    <w:div w:id="1983348163">
                      <w:marLeft w:val="0"/>
                      <w:marRight w:val="0"/>
                      <w:marTop w:val="0"/>
                      <w:marBottom w:val="0"/>
                      <w:divBdr>
                        <w:top w:val="none" w:sz="0" w:space="0" w:color="auto"/>
                        <w:left w:val="none" w:sz="0" w:space="0" w:color="auto"/>
                        <w:bottom w:val="none" w:sz="0" w:space="0" w:color="auto"/>
                        <w:right w:val="none" w:sz="0" w:space="0" w:color="auto"/>
                      </w:divBdr>
                      <w:divsChild>
                        <w:div w:id="1220940364">
                          <w:marLeft w:val="0"/>
                          <w:marRight w:val="0"/>
                          <w:marTop w:val="0"/>
                          <w:marBottom w:val="0"/>
                          <w:divBdr>
                            <w:top w:val="none" w:sz="0" w:space="0" w:color="auto"/>
                            <w:left w:val="none" w:sz="0" w:space="0" w:color="auto"/>
                            <w:bottom w:val="none" w:sz="0" w:space="0" w:color="auto"/>
                            <w:right w:val="none" w:sz="0" w:space="0" w:color="auto"/>
                          </w:divBdr>
                          <w:divsChild>
                            <w:div w:id="703023615">
                              <w:marLeft w:val="0"/>
                              <w:marRight w:val="0"/>
                              <w:marTop w:val="0"/>
                              <w:marBottom w:val="0"/>
                              <w:divBdr>
                                <w:top w:val="none" w:sz="0" w:space="0" w:color="auto"/>
                                <w:left w:val="none" w:sz="0" w:space="0" w:color="auto"/>
                                <w:bottom w:val="none" w:sz="0" w:space="0" w:color="auto"/>
                                <w:right w:val="none" w:sz="0" w:space="0" w:color="auto"/>
                              </w:divBdr>
                              <w:divsChild>
                                <w:div w:id="200469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943746">
      <w:bodyDiv w:val="1"/>
      <w:marLeft w:val="0"/>
      <w:marRight w:val="0"/>
      <w:marTop w:val="0"/>
      <w:marBottom w:val="0"/>
      <w:divBdr>
        <w:top w:val="none" w:sz="0" w:space="0" w:color="auto"/>
        <w:left w:val="none" w:sz="0" w:space="0" w:color="auto"/>
        <w:bottom w:val="none" w:sz="0" w:space="0" w:color="auto"/>
        <w:right w:val="none" w:sz="0" w:space="0" w:color="auto"/>
      </w:divBdr>
    </w:div>
    <w:div w:id="994183264">
      <w:bodyDiv w:val="1"/>
      <w:marLeft w:val="0"/>
      <w:marRight w:val="0"/>
      <w:marTop w:val="0"/>
      <w:marBottom w:val="0"/>
      <w:divBdr>
        <w:top w:val="none" w:sz="0" w:space="0" w:color="auto"/>
        <w:left w:val="none" w:sz="0" w:space="0" w:color="auto"/>
        <w:bottom w:val="none" w:sz="0" w:space="0" w:color="auto"/>
        <w:right w:val="none" w:sz="0" w:space="0" w:color="auto"/>
      </w:divBdr>
    </w:div>
    <w:div w:id="994527600">
      <w:bodyDiv w:val="1"/>
      <w:marLeft w:val="0"/>
      <w:marRight w:val="0"/>
      <w:marTop w:val="0"/>
      <w:marBottom w:val="0"/>
      <w:divBdr>
        <w:top w:val="none" w:sz="0" w:space="0" w:color="auto"/>
        <w:left w:val="none" w:sz="0" w:space="0" w:color="auto"/>
        <w:bottom w:val="none" w:sz="0" w:space="0" w:color="auto"/>
        <w:right w:val="none" w:sz="0" w:space="0" w:color="auto"/>
      </w:divBdr>
      <w:divsChild>
        <w:div w:id="615796740">
          <w:marLeft w:val="0"/>
          <w:marRight w:val="0"/>
          <w:marTop w:val="0"/>
          <w:marBottom w:val="0"/>
          <w:divBdr>
            <w:top w:val="none" w:sz="0" w:space="0" w:color="auto"/>
            <w:left w:val="none" w:sz="0" w:space="0" w:color="auto"/>
            <w:bottom w:val="none" w:sz="0" w:space="0" w:color="auto"/>
            <w:right w:val="none" w:sz="0" w:space="0" w:color="auto"/>
          </w:divBdr>
          <w:divsChild>
            <w:div w:id="607930954">
              <w:marLeft w:val="0"/>
              <w:marRight w:val="0"/>
              <w:marTop w:val="0"/>
              <w:marBottom w:val="0"/>
              <w:divBdr>
                <w:top w:val="none" w:sz="0" w:space="0" w:color="auto"/>
                <w:left w:val="none" w:sz="0" w:space="0" w:color="auto"/>
                <w:bottom w:val="none" w:sz="0" w:space="0" w:color="auto"/>
                <w:right w:val="none" w:sz="0" w:space="0" w:color="auto"/>
              </w:divBdr>
              <w:divsChild>
                <w:div w:id="137655268">
                  <w:marLeft w:val="0"/>
                  <w:marRight w:val="0"/>
                  <w:marTop w:val="0"/>
                  <w:marBottom w:val="0"/>
                  <w:divBdr>
                    <w:top w:val="none" w:sz="0" w:space="0" w:color="auto"/>
                    <w:left w:val="none" w:sz="0" w:space="0" w:color="auto"/>
                    <w:bottom w:val="none" w:sz="0" w:space="0" w:color="auto"/>
                    <w:right w:val="none" w:sz="0" w:space="0" w:color="auto"/>
                  </w:divBdr>
                  <w:divsChild>
                    <w:div w:id="715348728">
                      <w:marLeft w:val="0"/>
                      <w:marRight w:val="0"/>
                      <w:marTop w:val="0"/>
                      <w:marBottom w:val="0"/>
                      <w:divBdr>
                        <w:top w:val="none" w:sz="0" w:space="0" w:color="auto"/>
                        <w:left w:val="none" w:sz="0" w:space="0" w:color="auto"/>
                        <w:bottom w:val="none" w:sz="0" w:space="0" w:color="auto"/>
                        <w:right w:val="none" w:sz="0" w:space="0" w:color="auto"/>
                      </w:divBdr>
                      <w:divsChild>
                        <w:div w:id="1790275296">
                          <w:marLeft w:val="0"/>
                          <w:marRight w:val="0"/>
                          <w:marTop w:val="0"/>
                          <w:marBottom w:val="0"/>
                          <w:divBdr>
                            <w:top w:val="none" w:sz="0" w:space="0" w:color="auto"/>
                            <w:left w:val="none" w:sz="0" w:space="0" w:color="auto"/>
                            <w:bottom w:val="none" w:sz="0" w:space="0" w:color="auto"/>
                            <w:right w:val="none" w:sz="0" w:space="0" w:color="auto"/>
                          </w:divBdr>
                          <w:divsChild>
                            <w:div w:id="362752085">
                              <w:marLeft w:val="0"/>
                              <w:marRight w:val="0"/>
                              <w:marTop w:val="0"/>
                              <w:marBottom w:val="0"/>
                              <w:divBdr>
                                <w:top w:val="none" w:sz="0" w:space="0" w:color="auto"/>
                                <w:left w:val="none" w:sz="0" w:space="0" w:color="auto"/>
                                <w:bottom w:val="none" w:sz="0" w:space="0" w:color="auto"/>
                                <w:right w:val="none" w:sz="0" w:space="0" w:color="auto"/>
                              </w:divBdr>
                              <w:divsChild>
                                <w:div w:id="107848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922649">
      <w:bodyDiv w:val="1"/>
      <w:marLeft w:val="0"/>
      <w:marRight w:val="0"/>
      <w:marTop w:val="0"/>
      <w:marBottom w:val="0"/>
      <w:divBdr>
        <w:top w:val="none" w:sz="0" w:space="0" w:color="auto"/>
        <w:left w:val="none" w:sz="0" w:space="0" w:color="auto"/>
        <w:bottom w:val="none" w:sz="0" w:space="0" w:color="auto"/>
        <w:right w:val="none" w:sz="0" w:space="0" w:color="auto"/>
      </w:divBdr>
    </w:div>
    <w:div w:id="1005665252">
      <w:bodyDiv w:val="1"/>
      <w:marLeft w:val="0"/>
      <w:marRight w:val="0"/>
      <w:marTop w:val="0"/>
      <w:marBottom w:val="0"/>
      <w:divBdr>
        <w:top w:val="none" w:sz="0" w:space="0" w:color="auto"/>
        <w:left w:val="none" w:sz="0" w:space="0" w:color="auto"/>
        <w:bottom w:val="none" w:sz="0" w:space="0" w:color="auto"/>
        <w:right w:val="none" w:sz="0" w:space="0" w:color="auto"/>
      </w:divBdr>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120544">
      <w:bodyDiv w:val="1"/>
      <w:marLeft w:val="0"/>
      <w:marRight w:val="0"/>
      <w:marTop w:val="0"/>
      <w:marBottom w:val="0"/>
      <w:divBdr>
        <w:top w:val="none" w:sz="0" w:space="0" w:color="auto"/>
        <w:left w:val="none" w:sz="0" w:space="0" w:color="auto"/>
        <w:bottom w:val="none" w:sz="0" w:space="0" w:color="auto"/>
        <w:right w:val="none" w:sz="0" w:space="0" w:color="auto"/>
      </w:divBdr>
      <w:divsChild>
        <w:div w:id="1652295001">
          <w:marLeft w:val="0"/>
          <w:marRight w:val="0"/>
          <w:marTop w:val="0"/>
          <w:marBottom w:val="0"/>
          <w:divBdr>
            <w:top w:val="none" w:sz="0" w:space="0" w:color="auto"/>
            <w:left w:val="none" w:sz="0" w:space="0" w:color="auto"/>
            <w:bottom w:val="none" w:sz="0" w:space="0" w:color="auto"/>
            <w:right w:val="none" w:sz="0" w:space="0" w:color="auto"/>
          </w:divBdr>
          <w:divsChild>
            <w:div w:id="19831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09804">
      <w:bodyDiv w:val="1"/>
      <w:marLeft w:val="0"/>
      <w:marRight w:val="0"/>
      <w:marTop w:val="0"/>
      <w:marBottom w:val="0"/>
      <w:divBdr>
        <w:top w:val="none" w:sz="0" w:space="0" w:color="auto"/>
        <w:left w:val="none" w:sz="0" w:space="0" w:color="auto"/>
        <w:bottom w:val="none" w:sz="0" w:space="0" w:color="auto"/>
        <w:right w:val="none" w:sz="0" w:space="0" w:color="auto"/>
      </w:divBdr>
      <w:divsChild>
        <w:div w:id="1949238090">
          <w:marLeft w:val="0"/>
          <w:marRight w:val="0"/>
          <w:marTop w:val="0"/>
          <w:marBottom w:val="0"/>
          <w:divBdr>
            <w:top w:val="none" w:sz="0" w:space="0" w:color="auto"/>
            <w:left w:val="none" w:sz="0" w:space="0" w:color="auto"/>
            <w:bottom w:val="none" w:sz="0" w:space="0" w:color="auto"/>
            <w:right w:val="none" w:sz="0" w:space="0" w:color="auto"/>
          </w:divBdr>
          <w:divsChild>
            <w:div w:id="1904871301">
              <w:marLeft w:val="0"/>
              <w:marRight w:val="0"/>
              <w:marTop w:val="0"/>
              <w:marBottom w:val="0"/>
              <w:divBdr>
                <w:top w:val="none" w:sz="0" w:space="0" w:color="auto"/>
                <w:left w:val="none" w:sz="0" w:space="0" w:color="auto"/>
                <w:bottom w:val="none" w:sz="0" w:space="0" w:color="auto"/>
                <w:right w:val="none" w:sz="0" w:space="0" w:color="auto"/>
              </w:divBdr>
              <w:divsChild>
                <w:div w:id="762649281">
                  <w:marLeft w:val="0"/>
                  <w:marRight w:val="0"/>
                  <w:marTop w:val="0"/>
                  <w:marBottom w:val="0"/>
                  <w:divBdr>
                    <w:top w:val="none" w:sz="0" w:space="0" w:color="auto"/>
                    <w:left w:val="none" w:sz="0" w:space="0" w:color="auto"/>
                    <w:bottom w:val="none" w:sz="0" w:space="0" w:color="auto"/>
                    <w:right w:val="none" w:sz="0" w:space="0" w:color="auto"/>
                  </w:divBdr>
                  <w:divsChild>
                    <w:div w:id="1059405856">
                      <w:marLeft w:val="0"/>
                      <w:marRight w:val="0"/>
                      <w:marTop w:val="0"/>
                      <w:marBottom w:val="0"/>
                      <w:divBdr>
                        <w:top w:val="none" w:sz="0" w:space="0" w:color="auto"/>
                        <w:left w:val="none" w:sz="0" w:space="0" w:color="auto"/>
                        <w:bottom w:val="none" w:sz="0" w:space="0" w:color="auto"/>
                        <w:right w:val="none" w:sz="0" w:space="0" w:color="auto"/>
                      </w:divBdr>
                      <w:divsChild>
                        <w:div w:id="1184393548">
                          <w:marLeft w:val="0"/>
                          <w:marRight w:val="0"/>
                          <w:marTop w:val="0"/>
                          <w:marBottom w:val="0"/>
                          <w:divBdr>
                            <w:top w:val="none" w:sz="0" w:space="0" w:color="auto"/>
                            <w:left w:val="none" w:sz="0" w:space="0" w:color="auto"/>
                            <w:bottom w:val="none" w:sz="0" w:space="0" w:color="auto"/>
                            <w:right w:val="none" w:sz="0" w:space="0" w:color="auto"/>
                          </w:divBdr>
                          <w:divsChild>
                            <w:div w:id="932512820">
                              <w:marLeft w:val="0"/>
                              <w:marRight w:val="0"/>
                              <w:marTop w:val="0"/>
                              <w:marBottom w:val="0"/>
                              <w:divBdr>
                                <w:top w:val="none" w:sz="0" w:space="0" w:color="auto"/>
                                <w:left w:val="none" w:sz="0" w:space="0" w:color="auto"/>
                                <w:bottom w:val="none" w:sz="0" w:space="0" w:color="auto"/>
                                <w:right w:val="none" w:sz="0" w:space="0" w:color="auto"/>
                              </w:divBdr>
                              <w:divsChild>
                                <w:div w:id="1322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103188779">
      <w:bodyDiv w:val="1"/>
      <w:marLeft w:val="0"/>
      <w:marRight w:val="0"/>
      <w:marTop w:val="0"/>
      <w:marBottom w:val="0"/>
      <w:divBdr>
        <w:top w:val="none" w:sz="0" w:space="0" w:color="auto"/>
        <w:left w:val="none" w:sz="0" w:space="0" w:color="auto"/>
        <w:bottom w:val="none" w:sz="0" w:space="0" w:color="auto"/>
        <w:right w:val="none" w:sz="0" w:space="0" w:color="auto"/>
      </w:divBdr>
      <w:divsChild>
        <w:div w:id="1830367127">
          <w:marLeft w:val="0"/>
          <w:marRight w:val="0"/>
          <w:marTop w:val="0"/>
          <w:marBottom w:val="0"/>
          <w:divBdr>
            <w:top w:val="none" w:sz="0" w:space="0" w:color="auto"/>
            <w:left w:val="none" w:sz="0" w:space="0" w:color="auto"/>
            <w:bottom w:val="none" w:sz="0" w:space="0" w:color="auto"/>
            <w:right w:val="none" w:sz="0" w:space="0" w:color="auto"/>
          </w:divBdr>
          <w:divsChild>
            <w:div w:id="419252489">
              <w:marLeft w:val="0"/>
              <w:marRight w:val="0"/>
              <w:marTop w:val="0"/>
              <w:marBottom w:val="0"/>
              <w:divBdr>
                <w:top w:val="none" w:sz="0" w:space="0" w:color="auto"/>
                <w:left w:val="none" w:sz="0" w:space="0" w:color="auto"/>
                <w:bottom w:val="none" w:sz="0" w:space="0" w:color="auto"/>
                <w:right w:val="none" w:sz="0" w:space="0" w:color="auto"/>
              </w:divBdr>
              <w:divsChild>
                <w:div w:id="967049920">
                  <w:marLeft w:val="0"/>
                  <w:marRight w:val="0"/>
                  <w:marTop w:val="0"/>
                  <w:marBottom w:val="0"/>
                  <w:divBdr>
                    <w:top w:val="none" w:sz="0" w:space="0" w:color="auto"/>
                    <w:left w:val="none" w:sz="0" w:space="0" w:color="auto"/>
                    <w:bottom w:val="none" w:sz="0" w:space="0" w:color="auto"/>
                    <w:right w:val="none" w:sz="0" w:space="0" w:color="auto"/>
                  </w:divBdr>
                  <w:divsChild>
                    <w:div w:id="10262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32093174">
      <w:bodyDiv w:val="1"/>
      <w:marLeft w:val="0"/>
      <w:marRight w:val="0"/>
      <w:marTop w:val="0"/>
      <w:marBottom w:val="0"/>
      <w:divBdr>
        <w:top w:val="none" w:sz="0" w:space="0" w:color="auto"/>
        <w:left w:val="none" w:sz="0" w:space="0" w:color="auto"/>
        <w:bottom w:val="none" w:sz="0" w:space="0" w:color="auto"/>
        <w:right w:val="none" w:sz="0" w:space="0" w:color="auto"/>
      </w:divBdr>
    </w:div>
    <w:div w:id="1134641895">
      <w:bodyDiv w:val="1"/>
      <w:marLeft w:val="0"/>
      <w:marRight w:val="0"/>
      <w:marTop w:val="0"/>
      <w:marBottom w:val="0"/>
      <w:divBdr>
        <w:top w:val="none" w:sz="0" w:space="0" w:color="auto"/>
        <w:left w:val="none" w:sz="0" w:space="0" w:color="auto"/>
        <w:bottom w:val="none" w:sz="0" w:space="0" w:color="auto"/>
        <w:right w:val="none" w:sz="0" w:space="0" w:color="auto"/>
      </w:divBdr>
    </w:div>
    <w:div w:id="1173450064">
      <w:bodyDiv w:val="1"/>
      <w:marLeft w:val="0"/>
      <w:marRight w:val="0"/>
      <w:marTop w:val="0"/>
      <w:marBottom w:val="0"/>
      <w:divBdr>
        <w:top w:val="none" w:sz="0" w:space="0" w:color="auto"/>
        <w:left w:val="none" w:sz="0" w:space="0" w:color="auto"/>
        <w:bottom w:val="none" w:sz="0" w:space="0" w:color="auto"/>
        <w:right w:val="none" w:sz="0" w:space="0" w:color="auto"/>
      </w:divBdr>
      <w:divsChild>
        <w:div w:id="544803903">
          <w:marLeft w:val="0"/>
          <w:marRight w:val="0"/>
          <w:marTop w:val="0"/>
          <w:marBottom w:val="0"/>
          <w:divBdr>
            <w:top w:val="none" w:sz="0" w:space="0" w:color="auto"/>
            <w:left w:val="none" w:sz="0" w:space="0" w:color="auto"/>
            <w:bottom w:val="none" w:sz="0" w:space="0" w:color="auto"/>
            <w:right w:val="none" w:sz="0" w:space="0" w:color="auto"/>
          </w:divBdr>
          <w:divsChild>
            <w:div w:id="1255284729">
              <w:marLeft w:val="0"/>
              <w:marRight w:val="0"/>
              <w:marTop w:val="0"/>
              <w:marBottom w:val="0"/>
              <w:divBdr>
                <w:top w:val="none" w:sz="0" w:space="0" w:color="auto"/>
                <w:left w:val="none" w:sz="0" w:space="0" w:color="auto"/>
                <w:bottom w:val="none" w:sz="0" w:space="0" w:color="auto"/>
                <w:right w:val="none" w:sz="0" w:space="0" w:color="auto"/>
              </w:divBdr>
              <w:divsChild>
                <w:div w:id="498542473">
                  <w:marLeft w:val="0"/>
                  <w:marRight w:val="0"/>
                  <w:marTop w:val="0"/>
                  <w:marBottom w:val="0"/>
                  <w:divBdr>
                    <w:top w:val="none" w:sz="0" w:space="0" w:color="auto"/>
                    <w:left w:val="none" w:sz="0" w:space="0" w:color="auto"/>
                    <w:bottom w:val="none" w:sz="0" w:space="0" w:color="auto"/>
                    <w:right w:val="none" w:sz="0" w:space="0" w:color="auto"/>
                  </w:divBdr>
                  <w:divsChild>
                    <w:div w:id="1053582921">
                      <w:marLeft w:val="0"/>
                      <w:marRight w:val="0"/>
                      <w:marTop w:val="0"/>
                      <w:marBottom w:val="0"/>
                      <w:divBdr>
                        <w:top w:val="none" w:sz="0" w:space="0" w:color="auto"/>
                        <w:left w:val="none" w:sz="0" w:space="0" w:color="auto"/>
                        <w:bottom w:val="none" w:sz="0" w:space="0" w:color="auto"/>
                        <w:right w:val="none" w:sz="0" w:space="0" w:color="auto"/>
                      </w:divBdr>
                      <w:divsChild>
                        <w:div w:id="1463578710">
                          <w:marLeft w:val="0"/>
                          <w:marRight w:val="0"/>
                          <w:marTop w:val="0"/>
                          <w:marBottom w:val="0"/>
                          <w:divBdr>
                            <w:top w:val="none" w:sz="0" w:space="0" w:color="auto"/>
                            <w:left w:val="none" w:sz="0" w:space="0" w:color="auto"/>
                            <w:bottom w:val="none" w:sz="0" w:space="0" w:color="auto"/>
                            <w:right w:val="none" w:sz="0" w:space="0" w:color="auto"/>
                          </w:divBdr>
                          <w:divsChild>
                            <w:div w:id="1258832960">
                              <w:marLeft w:val="0"/>
                              <w:marRight w:val="0"/>
                              <w:marTop w:val="0"/>
                              <w:marBottom w:val="0"/>
                              <w:divBdr>
                                <w:top w:val="none" w:sz="0" w:space="0" w:color="auto"/>
                                <w:left w:val="none" w:sz="0" w:space="0" w:color="auto"/>
                                <w:bottom w:val="none" w:sz="0" w:space="0" w:color="auto"/>
                                <w:right w:val="none" w:sz="0" w:space="0" w:color="auto"/>
                              </w:divBdr>
                              <w:divsChild>
                                <w:div w:id="80885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7954572">
      <w:bodyDiv w:val="1"/>
      <w:marLeft w:val="0"/>
      <w:marRight w:val="0"/>
      <w:marTop w:val="0"/>
      <w:marBottom w:val="0"/>
      <w:divBdr>
        <w:top w:val="none" w:sz="0" w:space="0" w:color="auto"/>
        <w:left w:val="none" w:sz="0" w:space="0" w:color="auto"/>
        <w:bottom w:val="none" w:sz="0" w:space="0" w:color="auto"/>
        <w:right w:val="none" w:sz="0" w:space="0" w:color="auto"/>
      </w:divBdr>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72250421">
      <w:bodyDiv w:val="1"/>
      <w:marLeft w:val="0"/>
      <w:marRight w:val="0"/>
      <w:marTop w:val="0"/>
      <w:marBottom w:val="0"/>
      <w:divBdr>
        <w:top w:val="none" w:sz="0" w:space="0" w:color="auto"/>
        <w:left w:val="none" w:sz="0" w:space="0" w:color="auto"/>
        <w:bottom w:val="none" w:sz="0" w:space="0" w:color="auto"/>
        <w:right w:val="none" w:sz="0" w:space="0" w:color="auto"/>
      </w:divBdr>
    </w:div>
    <w:div w:id="1286960983">
      <w:bodyDiv w:val="1"/>
      <w:marLeft w:val="0"/>
      <w:marRight w:val="0"/>
      <w:marTop w:val="0"/>
      <w:marBottom w:val="0"/>
      <w:divBdr>
        <w:top w:val="none" w:sz="0" w:space="0" w:color="auto"/>
        <w:left w:val="none" w:sz="0" w:space="0" w:color="auto"/>
        <w:bottom w:val="none" w:sz="0" w:space="0" w:color="auto"/>
        <w:right w:val="none" w:sz="0" w:space="0" w:color="auto"/>
      </w:divBdr>
    </w:div>
    <w:div w:id="1288925935">
      <w:bodyDiv w:val="1"/>
      <w:marLeft w:val="0"/>
      <w:marRight w:val="0"/>
      <w:marTop w:val="0"/>
      <w:marBottom w:val="0"/>
      <w:divBdr>
        <w:top w:val="none" w:sz="0" w:space="0" w:color="auto"/>
        <w:left w:val="none" w:sz="0" w:space="0" w:color="auto"/>
        <w:bottom w:val="none" w:sz="0" w:space="0" w:color="auto"/>
        <w:right w:val="none" w:sz="0" w:space="0" w:color="auto"/>
      </w:divBdr>
    </w:div>
    <w:div w:id="1290938645">
      <w:bodyDiv w:val="1"/>
      <w:marLeft w:val="0"/>
      <w:marRight w:val="0"/>
      <w:marTop w:val="0"/>
      <w:marBottom w:val="0"/>
      <w:divBdr>
        <w:top w:val="none" w:sz="0" w:space="0" w:color="auto"/>
        <w:left w:val="none" w:sz="0" w:space="0" w:color="auto"/>
        <w:bottom w:val="none" w:sz="0" w:space="0" w:color="auto"/>
        <w:right w:val="none" w:sz="0" w:space="0" w:color="auto"/>
      </w:divBdr>
    </w:div>
    <w:div w:id="1296791314">
      <w:bodyDiv w:val="1"/>
      <w:marLeft w:val="0"/>
      <w:marRight w:val="0"/>
      <w:marTop w:val="0"/>
      <w:marBottom w:val="0"/>
      <w:divBdr>
        <w:top w:val="none" w:sz="0" w:space="0" w:color="auto"/>
        <w:left w:val="none" w:sz="0" w:space="0" w:color="auto"/>
        <w:bottom w:val="none" w:sz="0" w:space="0" w:color="auto"/>
        <w:right w:val="none" w:sz="0" w:space="0" w:color="auto"/>
      </w:divBdr>
      <w:divsChild>
        <w:div w:id="708645137">
          <w:marLeft w:val="0"/>
          <w:marRight w:val="0"/>
          <w:marTop w:val="0"/>
          <w:marBottom w:val="0"/>
          <w:divBdr>
            <w:top w:val="none" w:sz="0" w:space="0" w:color="auto"/>
            <w:left w:val="none" w:sz="0" w:space="0" w:color="auto"/>
            <w:bottom w:val="none" w:sz="0" w:space="0" w:color="auto"/>
            <w:right w:val="none" w:sz="0" w:space="0" w:color="auto"/>
          </w:divBdr>
          <w:divsChild>
            <w:div w:id="2125345960">
              <w:marLeft w:val="0"/>
              <w:marRight w:val="0"/>
              <w:marTop w:val="0"/>
              <w:marBottom w:val="0"/>
              <w:divBdr>
                <w:top w:val="none" w:sz="0" w:space="0" w:color="auto"/>
                <w:left w:val="none" w:sz="0" w:space="0" w:color="auto"/>
                <w:bottom w:val="none" w:sz="0" w:space="0" w:color="auto"/>
                <w:right w:val="none" w:sz="0" w:space="0" w:color="auto"/>
              </w:divBdr>
              <w:divsChild>
                <w:div w:id="446778143">
                  <w:marLeft w:val="0"/>
                  <w:marRight w:val="0"/>
                  <w:marTop w:val="0"/>
                  <w:marBottom w:val="0"/>
                  <w:divBdr>
                    <w:top w:val="none" w:sz="0" w:space="0" w:color="auto"/>
                    <w:left w:val="none" w:sz="0" w:space="0" w:color="auto"/>
                    <w:bottom w:val="none" w:sz="0" w:space="0" w:color="auto"/>
                    <w:right w:val="none" w:sz="0" w:space="0" w:color="auto"/>
                  </w:divBdr>
                  <w:divsChild>
                    <w:div w:id="1448043698">
                      <w:marLeft w:val="0"/>
                      <w:marRight w:val="0"/>
                      <w:marTop w:val="0"/>
                      <w:marBottom w:val="0"/>
                      <w:divBdr>
                        <w:top w:val="none" w:sz="0" w:space="0" w:color="auto"/>
                        <w:left w:val="none" w:sz="0" w:space="0" w:color="auto"/>
                        <w:bottom w:val="none" w:sz="0" w:space="0" w:color="auto"/>
                        <w:right w:val="none" w:sz="0" w:space="0" w:color="auto"/>
                      </w:divBdr>
                      <w:divsChild>
                        <w:div w:id="1295912826">
                          <w:marLeft w:val="0"/>
                          <w:marRight w:val="0"/>
                          <w:marTop w:val="0"/>
                          <w:marBottom w:val="0"/>
                          <w:divBdr>
                            <w:top w:val="none" w:sz="0" w:space="0" w:color="auto"/>
                            <w:left w:val="none" w:sz="0" w:space="0" w:color="auto"/>
                            <w:bottom w:val="none" w:sz="0" w:space="0" w:color="auto"/>
                            <w:right w:val="none" w:sz="0" w:space="0" w:color="auto"/>
                          </w:divBdr>
                          <w:divsChild>
                            <w:div w:id="1730111584">
                              <w:marLeft w:val="0"/>
                              <w:marRight w:val="0"/>
                              <w:marTop w:val="0"/>
                              <w:marBottom w:val="0"/>
                              <w:divBdr>
                                <w:top w:val="none" w:sz="0" w:space="0" w:color="auto"/>
                                <w:left w:val="none" w:sz="0" w:space="0" w:color="auto"/>
                                <w:bottom w:val="none" w:sz="0" w:space="0" w:color="auto"/>
                                <w:right w:val="none" w:sz="0" w:space="0" w:color="auto"/>
                              </w:divBdr>
                              <w:divsChild>
                                <w:div w:id="2844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828">
      <w:bodyDiv w:val="1"/>
      <w:marLeft w:val="0"/>
      <w:marRight w:val="0"/>
      <w:marTop w:val="0"/>
      <w:marBottom w:val="0"/>
      <w:divBdr>
        <w:top w:val="none" w:sz="0" w:space="0" w:color="auto"/>
        <w:left w:val="none" w:sz="0" w:space="0" w:color="auto"/>
        <w:bottom w:val="none" w:sz="0" w:space="0" w:color="auto"/>
        <w:right w:val="none" w:sz="0" w:space="0" w:color="auto"/>
      </w:divBdr>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1518631">
      <w:bodyDiv w:val="1"/>
      <w:marLeft w:val="0"/>
      <w:marRight w:val="0"/>
      <w:marTop w:val="0"/>
      <w:marBottom w:val="0"/>
      <w:divBdr>
        <w:top w:val="none" w:sz="0" w:space="0" w:color="auto"/>
        <w:left w:val="none" w:sz="0" w:space="0" w:color="auto"/>
        <w:bottom w:val="none" w:sz="0" w:space="0" w:color="auto"/>
        <w:right w:val="none" w:sz="0" w:space="0" w:color="auto"/>
      </w:divBdr>
      <w:divsChild>
        <w:div w:id="2113166531">
          <w:marLeft w:val="0"/>
          <w:marRight w:val="0"/>
          <w:marTop w:val="0"/>
          <w:marBottom w:val="0"/>
          <w:divBdr>
            <w:top w:val="none" w:sz="0" w:space="0" w:color="auto"/>
            <w:left w:val="none" w:sz="0" w:space="0" w:color="auto"/>
            <w:bottom w:val="none" w:sz="0" w:space="0" w:color="auto"/>
            <w:right w:val="none" w:sz="0" w:space="0" w:color="auto"/>
          </w:divBdr>
          <w:divsChild>
            <w:div w:id="103768161">
              <w:marLeft w:val="0"/>
              <w:marRight w:val="0"/>
              <w:marTop w:val="0"/>
              <w:marBottom w:val="0"/>
              <w:divBdr>
                <w:top w:val="none" w:sz="0" w:space="0" w:color="auto"/>
                <w:left w:val="none" w:sz="0" w:space="0" w:color="auto"/>
                <w:bottom w:val="none" w:sz="0" w:space="0" w:color="auto"/>
                <w:right w:val="none" w:sz="0" w:space="0" w:color="auto"/>
              </w:divBdr>
              <w:divsChild>
                <w:div w:id="932053002">
                  <w:marLeft w:val="0"/>
                  <w:marRight w:val="0"/>
                  <w:marTop w:val="0"/>
                  <w:marBottom w:val="0"/>
                  <w:divBdr>
                    <w:top w:val="none" w:sz="0" w:space="0" w:color="auto"/>
                    <w:left w:val="none" w:sz="0" w:space="0" w:color="auto"/>
                    <w:bottom w:val="none" w:sz="0" w:space="0" w:color="auto"/>
                    <w:right w:val="none" w:sz="0" w:space="0" w:color="auto"/>
                  </w:divBdr>
                  <w:divsChild>
                    <w:div w:id="1236670390">
                      <w:marLeft w:val="0"/>
                      <w:marRight w:val="0"/>
                      <w:marTop w:val="0"/>
                      <w:marBottom w:val="0"/>
                      <w:divBdr>
                        <w:top w:val="none" w:sz="0" w:space="0" w:color="auto"/>
                        <w:left w:val="none" w:sz="0" w:space="0" w:color="auto"/>
                        <w:bottom w:val="none" w:sz="0" w:space="0" w:color="auto"/>
                        <w:right w:val="none" w:sz="0" w:space="0" w:color="auto"/>
                      </w:divBdr>
                      <w:divsChild>
                        <w:div w:id="2075007713">
                          <w:marLeft w:val="0"/>
                          <w:marRight w:val="0"/>
                          <w:marTop w:val="0"/>
                          <w:marBottom w:val="0"/>
                          <w:divBdr>
                            <w:top w:val="none" w:sz="0" w:space="0" w:color="auto"/>
                            <w:left w:val="none" w:sz="0" w:space="0" w:color="auto"/>
                            <w:bottom w:val="none" w:sz="0" w:space="0" w:color="auto"/>
                            <w:right w:val="none" w:sz="0" w:space="0" w:color="auto"/>
                          </w:divBdr>
                          <w:divsChild>
                            <w:div w:id="1145047107">
                              <w:marLeft w:val="0"/>
                              <w:marRight w:val="0"/>
                              <w:marTop w:val="0"/>
                              <w:marBottom w:val="0"/>
                              <w:divBdr>
                                <w:top w:val="none" w:sz="0" w:space="0" w:color="auto"/>
                                <w:left w:val="none" w:sz="0" w:space="0" w:color="auto"/>
                                <w:bottom w:val="none" w:sz="0" w:space="0" w:color="auto"/>
                                <w:right w:val="none" w:sz="0" w:space="0" w:color="auto"/>
                              </w:divBdr>
                              <w:divsChild>
                                <w:div w:id="137091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343624707">
      <w:bodyDiv w:val="1"/>
      <w:marLeft w:val="0"/>
      <w:marRight w:val="0"/>
      <w:marTop w:val="0"/>
      <w:marBottom w:val="0"/>
      <w:divBdr>
        <w:top w:val="none" w:sz="0" w:space="0" w:color="auto"/>
        <w:left w:val="none" w:sz="0" w:space="0" w:color="auto"/>
        <w:bottom w:val="none" w:sz="0" w:space="0" w:color="auto"/>
        <w:right w:val="none" w:sz="0" w:space="0" w:color="auto"/>
      </w:divBdr>
    </w:div>
    <w:div w:id="1354384458">
      <w:bodyDiv w:val="1"/>
      <w:marLeft w:val="0"/>
      <w:marRight w:val="0"/>
      <w:marTop w:val="0"/>
      <w:marBottom w:val="0"/>
      <w:divBdr>
        <w:top w:val="none" w:sz="0" w:space="0" w:color="auto"/>
        <w:left w:val="none" w:sz="0" w:space="0" w:color="auto"/>
        <w:bottom w:val="none" w:sz="0" w:space="0" w:color="auto"/>
        <w:right w:val="none" w:sz="0" w:space="0" w:color="auto"/>
      </w:divBdr>
    </w:div>
    <w:div w:id="1372459619">
      <w:bodyDiv w:val="1"/>
      <w:marLeft w:val="0"/>
      <w:marRight w:val="0"/>
      <w:marTop w:val="0"/>
      <w:marBottom w:val="0"/>
      <w:divBdr>
        <w:top w:val="none" w:sz="0" w:space="0" w:color="auto"/>
        <w:left w:val="none" w:sz="0" w:space="0" w:color="auto"/>
        <w:bottom w:val="none" w:sz="0" w:space="0" w:color="auto"/>
        <w:right w:val="none" w:sz="0" w:space="0" w:color="auto"/>
      </w:divBdr>
    </w:div>
    <w:div w:id="1374698840">
      <w:bodyDiv w:val="1"/>
      <w:marLeft w:val="0"/>
      <w:marRight w:val="0"/>
      <w:marTop w:val="0"/>
      <w:marBottom w:val="0"/>
      <w:divBdr>
        <w:top w:val="none" w:sz="0" w:space="0" w:color="auto"/>
        <w:left w:val="none" w:sz="0" w:space="0" w:color="auto"/>
        <w:bottom w:val="none" w:sz="0" w:space="0" w:color="auto"/>
        <w:right w:val="none" w:sz="0" w:space="0" w:color="auto"/>
      </w:divBdr>
    </w:div>
    <w:div w:id="1377849151">
      <w:bodyDiv w:val="1"/>
      <w:marLeft w:val="0"/>
      <w:marRight w:val="0"/>
      <w:marTop w:val="0"/>
      <w:marBottom w:val="0"/>
      <w:divBdr>
        <w:top w:val="none" w:sz="0" w:space="0" w:color="auto"/>
        <w:left w:val="none" w:sz="0" w:space="0" w:color="auto"/>
        <w:bottom w:val="none" w:sz="0" w:space="0" w:color="auto"/>
        <w:right w:val="none" w:sz="0" w:space="0" w:color="auto"/>
      </w:divBdr>
    </w:div>
    <w:div w:id="1381512780">
      <w:bodyDiv w:val="1"/>
      <w:marLeft w:val="0"/>
      <w:marRight w:val="0"/>
      <w:marTop w:val="0"/>
      <w:marBottom w:val="0"/>
      <w:divBdr>
        <w:top w:val="none" w:sz="0" w:space="0" w:color="auto"/>
        <w:left w:val="none" w:sz="0" w:space="0" w:color="auto"/>
        <w:bottom w:val="none" w:sz="0" w:space="0" w:color="auto"/>
        <w:right w:val="none" w:sz="0" w:space="0" w:color="auto"/>
      </w:divBdr>
    </w:div>
    <w:div w:id="1382828072">
      <w:bodyDiv w:val="1"/>
      <w:marLeft w:val="0"/>
      <w:marRight w:val="0"/>
      <w:marTop w:val="0"/>
      <w:marBottom w:val="0"/>
      <w:divBdr>
        <w:top w:val="none" w:sz="0" w:space="0" w:color="auto"/>
        <w:left w:val="none" w:sz="0" w:space="0" w:color="auto"/>
        <w:bottom w:val="none" w:sz="0" w:space="0" w:color="auto"/>
        <w:right w:val="none" w:sz="0" w:space="0" w:color="auto"/>
      </w:divBdr>
    </w:div>
    <w:div w:id="1386492560">
      <w:bodyDiv w:val="1"/>
      <w:marLeft w:val="0"/>
      <w:marRight w:val="0"/>
      <w:marTop w:val="0"/>
      <w:marBottom w:val="0"/>
      <w:divBdr>
        <w:top w:val="none" w:sz="0" w:space="0" w:color="auto"/>
        <w:left w:val="none" w:sz="0" w:space="0" w:color="auto"/>
        <w:bottom w:val="none" w:sz="0" w:space="0" w:color="auto"/>
        <w:right w:val="none" w:sz="0" w:space="0" w:color="auto"/>
      </w:divBdr>
    </w:div>
    <w:div w:id="1416512089">
      <w:bodyDiv w:val="1"/>
      <w:marLeft w:val="0"/>
      <w:marRight w:val="0"/>
      <w:marTop w:val="0"/>
      <w:marBottom w:val="0"/>
      <w:divBdr>
        <w:top w:val="none" w:sz="0" w:space="0" w:color="auto"/>
        <w:left w:val="none" w:sz="0" w:space="0" w:color="auto"/>
        <w:bottom w:val="none" w:sz="0" w:space="0" w:color="auto"/>
        <w:right w:val="none" w:sz="0" w:space="0" w:color="auto"/>
      </w:divBdr>
    </w:div>
    <w:div w:id="1416975870">
      <w:bodyDiv w:val="1"/>
      <w:marLeft w:val="0"/>
      <w:marRight w:val="0"/>
      <w:marTop w:val="0"/>
      <w:marBottom w:val="0"/>
      <w:divBdr>
        <w:top w:val="none" w:sz="0" w:space="0" w:color="auto"/>
        <w:left w:val="none" w:sz="0" w:space="0" w:color="auto"/>
        <w:bottom w:val="none" w:sz="0" w:space="0" w:color="auto"/>
        <w:right w:val="none" w:sz="0" w:space="0" w:color="auto"/>
      </w:divBdr>
    </w:div>
    <w:div w:id="1418866787">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756201">
      <w:bodyDiv w:val="1"/>
      <w:marLeft w:val="0"/>
      <w:marRight w:val="0"/>
      <w:marTop w:val="0"/>
      <w:marBottom w:val="0"/>
      <w:divBdr>
        <w:top w:val="none" w:sz="0" w:space="0" w:color="auto"/>
        <w:left w:val="none" w:sz="0" w:space="0" w:color="auto"/>
        <w:bottom w:val="none" w:sz="0" w:space="0" w:color="auto"/>
        <w:right w:val="none" w:sz="0" w:space="0" w:color="auto"/>
      </w:divBdr>
    </w:div>
    <w:div w:id="1460226786">
      <w:bodyDiv w:val="1"/>
      <w:marLeft w:val="0"/>
      <w:marRight w:val="0"/>
      <w:marTop w:val="0"/>
      <w:marBottom w:val="0"/>
      <w:divBdr>
        <w:top w:val="none" w:sz="0" w:space="0" w:color="auto"/>
        <w:left w:val="none" w:sz="0" w:space="0" w:color="auto"/>
        <w:bottom w:val="none" w:sz="0" w:space="0" w:color="auto"/>
        <w:right w:val="none" w:sz="0" w:space="0" w:color="auto"/>
      </w:divBdr>
    </w:div>
    <w:div w:id="1463419442">
      <w:bodyDiv w:val="1"/>
      <w:marLeft w:val="0"/>
      <w:marRight w:val="0"/>
      <w:marTop w:val="0"/>
      <w:marBottom w:val="0"/>
      <w:divBdr>
        <w:top w:val="none" w:sz="0" w:space="0" w:color="auto"/>
        <w:left w:val="none" w:sz="0" w:space="0" w:color="auto"/>
        <w:bottom w:val="none" w:sz="0" w:space="0" w:color="auto"/>
        <w:right w:val="none" w:sz="0" w:space="0" w:color="auto"/>
      </w:divBdr>
    </w:div>
    <w:div w:id="1488744511">
      <w:bodyDiv w:val="1"/>
      <w:marLeft w:val="0"/>
      <w:marRight w:val="0"/>
      <w:marTop w:val="0"/>
      <w:marBottom w:val="0"/>
      <w:divBdr>
        <w:top w:val="none" w:sz="0" w:space="0" w:color="auto"/>
        <w:left w:val="none" w:sz="0" w:space="0" w:color="auto"/>
        <w:bottom w:val="none" w:sz="0" w:space="0" w:color="auto"/>
        <w:right w:val="none" w:sz="0" w:space="0" w:color="auto"/>
      </w:divBdr>
    </w:div>
    <w:div w:id="1491478723">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994005">
      <w:bodyDiv w:val="1"/>
      <w:marLeft w:val="0"/>
      <w:marRight w:val="0"/>
      <w:marTop w:val="0"/>
      <w:marBottom w:val="0"/>
      <w:divBdr>
        <w:top w:val="none" w:sz="0" w:space="0" w:color="auto"/>
        <w:left w:val="none" w:sz="0" w:space="0" w:color="auto"/>
        <w:bottom w:val="none" w:sz="0" w:space="0" w:color="auto"/>
        <w:right w:val="none" w:sz="0" w:space="0" w:color="auto"/>
      </w:divBdr>
    </w:div>
    <w:div w:id="1537698383">
      <w:bodyDiv w:val="1"/>
      <w:marLeft w:val="0"/>
      <w:marRight w:val="0"/>
      <w:marTop w:val="0"/>
      <w:marBottom w:val="0"/>
      <w:divBdr>
        <w:top w:val="none" w:sz="0" w:space="0" w:color="auto"/>
        <w:left w:val="none" w:sz="0" w:space="0" w:color="auto"/>
        <w:bottom w:val="none" w:sz="0" w:space="0" w:color="auto"/>
        <w:right w:val="none" w:sz="0" w:space="0" w:color="auto"/>
      </w:divBdr>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567374531">
      <w:bodyDiv w:val="1"/>
      <w:marLeft w:val="0"/>
      <w:marRight w:val="0"/>
      <w:marTop w:val="0"/>
      <w:marBottom w:val="0"/>
      <w:divBdr>
        <w:top w:val="none" w:sz="0" w:space="0" w:color="auto"/>
        <w:left w:val="none" w:sz="0" w:space="0" w:color="auto"/>
        <w:bottom w:val="none" w:sz="0" w:space="0" w:color="auto"/>
        <w:right w:val="none" w:sz="0" w:space="0" w:color="auto"/>
      </w:divBdr>
    </w:div>
    <w:div w:id="1582712533">
      <w:bodyDiv w:val="1"/>
      <w:marLeft w:val="0"/>
      <w:marRight w:val="0"/>
      <w:marTop w:val="0"/>
      <w:marBottom w:val="0"/>
      <w:divBdr>
        <w:top w:val="none" w:sz="0" w:space="0" w:color="auto"/>
        <w:left w:val="none" w:sz="0" w:space="0" w:color="auto"/>
        <w:bottom w:val="none" w:sz="0" w:space="0" w:color="auto"/>
        <w:right w:val="none" w:sz="0" w:space="0" w:color="auto"/>
      </w:divBdr>
    </w:div>
    <w:div w:id="1599479874">
      <w:bodyDiv w:val="1"/>
      <w:marLeft w:val="0"/>
      <w:marRight w:val="0"/>
      <w:marTop w:val="0"/>
      <w:marBottom w:val="0"/>
      <w:divBdr>
        <w:top w:val="none" w:sz="0" w:space="0" w:color="auto"/>
        <w:left w:val="none" w:sz="0" w:space="0" w:color="auto"/>
        <w:bottom w:val="none" w:sz="0" w:space="0" w:color="auto"/>
        <w:right w:val="none" w:sz="0" w:space="0" w:color="auto"/>
      </w:divBdr>
    </w:div>
    <w:div w:id="1604411197">
      <w:bodyDiv w:val="1"/>
      <w:marLeft w:val="0"/>
      <w:marRight w:val="0"/>
      <w:marTop w:val="0"/>
      <w:marBottom w:val="0"/>
      <w:divBdr>
        <w:top w:val="none" w:sz="0" w:space="0" w:color="auto"/>
        <w:left w:val="none" w:sz="0" w:space="0" w:color="auto"/>
        <w:bottom w:val="none" w:sz="0" w:space="0" w:color="auto"/>
        <w:right w:val="none" w:sz="0" w:space="0" w:color="auto"/>
      </w:divBdr>
    </w:div>
    <w:div w:id="1616672098">
      <w:bodyDiv w:val="1"/>
      <w:marLeft w:val="0"/>
      <w:marRight w:val="0"/>
      <w:marTop w:val="0"/>
      <w:marBottom w:val="0"/>
      <w:divBdr>
        <w:top w:val="none" w:sz="0" w:space="0" w:color="auto"/>
        <w:left w:val="none" w:sz="0" w:space="0" w:color="auto"/>
        <w:bottom w:val="none" w:sz="0" w:space="0" w:color="auto"/>
        <w:right w:val="none" w:sz="0" w:space="0" w:color="auto"/>
      </w:divBdr>
    </w:div>
    <w:div w:id="1624310085">
      <w:bodyDiv w:val="1"/>
      <w:marLeft w:val="0"/>
      <w:marRight w:val="0"/>
      <w:marTop w:val="0"/>
      <w:marBottom w:val="0"/>
      <w:divBdr>
        <w:top w:val="none" w:sz="0" w:space="0" w:color="auto"/>
        <w:left w:val="none" w:sz="0" w:space="0" w:color="auto"/>
        <w:bottom w:val="none" w:sz="0" w:space="0" w:color="auto"/>
        <w:right w:val="none" w:sz="0" w:space="0" w:color="auto"/>
      </w:divBdr>
    </w:div>
    <w:div w:id="1668358242">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94989157">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69758095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08027695">
      <w:bodyDiv w:val="1"/>
      <w:marLeft w:val="0"/>
      <w:marRight w:val="0"/>
      <w:marTop w:val="0"/>
      <w:marBottom w:val="0"/>
      <w:divBdr>
        <w:top w:val="none" w:sz="0" w:space="0" w:color="auto"/>
        <w:left w:val="none" w:sz="0" w:space="0" w:color="auto"/>
        <w:bottom w:val="none" w:sz="0" w:space="0" w:color="auto"/>
        <w:right w:val="none" w:sz="0" w:space="0" w:color="auto"/>
      </w:divBdr>
    </w:div>
    <w:div w:id="1710643147">
      <w:bodyDiv w:val="1"/>
      <w:marLeft w:val="0"/>
      <w:marRight w:val="0"/>
      <w:marTop w:val="0"/>
      <w:marBottom w:val="0"/>
      <w:divBdr>
        <w:top w:val="none" w:sz="0" w:space="0" w:color="auto"/>
        <w:left w:val="none" w:sz="0" w:space="0" w:color="auto"/>
        <w:bottom w:val="none" w:sz="0" w:space="0" w:color="auto"/>
        <w:right w:val="none" w:sz="0" w:space="0" w:color="auto"/>
      </w:divBdr>
    </w:div>
    <w:div w:id="1740975867">
      <w:bodyDiv w:val="1"/>
      <w:marLeft w:val="0"/>
      <w:marRight w:val="0"/>
      <w:marTop w:val="0"/>
      <w:marBottom w:val="0"/>
      <w:divBdr>
        <w:top w:val="none" w:sz="0" w:space="0" w:color="auto"/>
        <w:left w:val="none" w:sz="0" w:space="0" w:color="auto"/>
        <w:bottom w:val="none" w:sz="0" w:space="0" w:color="auto"/>
        <w:right w:val="none" w:sz="0" w:space="0" w:color="auto"/>
      </w:divBdr>
    </w:div>
    <w:div w:id="1746683272">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65370898">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799950025">
      <w:bodyDiv w:val="1"/>
      <w:marLeft w:val="0"/>
      <w:marRight w:val="0"/>
      <w:marTop w:val="0"/>
      <w:marBottom w:val="0"/>
      <w:divBdr>
        <w:top w:val="none" w:sz="0" w:space="0" w:color="auto"/>
        <w:left w:val="none" w:sz="0" w:space="0" w:color="auto"/>
        <w:bottom w:val="none" w:sz="0" w:space="0" w:color="auto"/>
        <w:right w:val="none" w:sz="0" w:space="0" w:color="auto"/>
      </w:divBdr>
    </w:div>
    <w:div w:id="1803813342">
      <w:bodyDiv w:val="1"/>
      <w:marLeft w:val="0"/>
      <w:marRight w:val="0"/>
      <w:marTop w:val="0"/>
      <w:marBottom w:val="0"/>
      <w:divBdr>
        <w:top w:val="none" w:sz="0" w:space="0" w:color="auto"/>
        <w:left w:val="none" w:sz="0" w:space="0" w:color="auto"/>
        <w:bottom w:val="none" w:sz="0" w:space="0" w:color="auto"/>
        <w:right w:val="none" w:sz="0" w:space="0" w:color="auto"/>
      </w:divBdr>
    </w:div>
    <w:div w:id="1816527056">
      <w:bodyDiv w:val="1"/>
      <w:marLeft w:val="0"/>
      <w:marRight w:val="0"/>
      <w:marTop w:val="0"/>
      <w:marBottom w:val="0"/>
      <w:divBdr>
        <w:top w:val="none" w:sz="0" w:space="0" w:color="auto"/>
        <w:left w:val="none" w:sz="0" w:space="0" w:color="auto"/>
        <w:bottom w:val="none" w:sz="0" w:space="0" w:color="auto"/>
        <w:right w:val="none" w:sz="0" w:space="0" w:color="auto"/>
      </w:divBdr>
      <w:divsChild>
        <w:div w:id="326641693">
          <w:marLeft w:val="0"/>
          <w:marRight w:val="0"/>
          <w:marTop w:val="0"/>
          <w:marBottom w:val="0"/>
          <w:divBdr>
            <w:top w:val="none" w:sz="0" w:space="0" w:color="auto"/>
            <w:left w:val="none" w:sz="0" w:space="0" w:color="auto"/>
            <w:bottom w:val="none" w:sz="0" w:space="0" w:color="auto"/>
            <w:right w:val="none" w:sz="0" w:space="0" w:color="auto"/>
          </w:divBdr>
          <w:divsChild>
            <w:div w:id="1839809341">
              <w:marLeft w:val="0"/>
              <w:marRight w:val="0"/>
              <w:marTop w:val="0"/>
              <w:marBottom w:val="0"/>
              <w:divBdr>
                <w:top w:val="none" w:sz="0" w:space="0" w:color="auto"/>
                <w:left w:val="none" w:sz="0" w:space="0" w:color="auto"/>
                <w:bottom w:val="none" w:sz="0" w:space="0" w:color="auto"/>
                <w:right w:val="none" w:sz="0" w:space="0" w:color="auto"/>
              </w:divBdr>
              <w:divsChild>
                <w:div w:id="1012531236">
                  <w:marLeft w:val="0"/>
                  <w:marRight w:val="0"/>
                  <w:marTop w:val="0"/>
                  <w:marBottom w:val="0"/>
                  <w:divBdr>
                    <w:top w:val="none" w:sz="0" w:space="0" w:color="auto"/>
                    <w:left w:val="none" w:sz="0" w:space="0" w:color="auto"/>
                    <w:bottom w:val="none" w:sz="0" w:space="0" w:color="auto"/>
                    <w:right w:val="none" w:sz="0" w:space="0" w:color="auto"/>
                  </w:divBdr>
                  <w:divsChild>
                    <w:div w:id="2077361751">
                      <w:marLeft w:val="0"/>
                      <w:marRight w:val="0"/>
                      <w:marTop w:val="0"/>
                      <w:marBottom w:val="0"/>
                      <w:divBdr>
                        <w:top w:val="none" w:sz="0" w:space="0" w:color="auto"/>
                        <w:left w:val="none" w:sz="0" w:space="0" w:color="auto"/>
                        <w:bottom w:val="none" w:sz="0" w:space="0" w:color="auto"/>
                        <w:right w:val="none" w:sz="0" w:space="0" w:color="auto"/>
                      </w:divBdr>
                      <w:divsChild>
                        <w:div w:id="1355578016">
                          <w:marLeft w:val="0"/>
                          <w:marRight w:val="0"/>
                          <w:marTop w:val="0"/>
                          <w:marBottom w:val="0"/>
                          <w:divBdr>
                            <w:top w:val="none" w:sz="0" w:space="0" w:color="auto"/>
                            <w:left w:val="none" w:sz="0" w:space="0" w:color="auto"/>
                            <w:bottom w:val="none" w:sz="0" w:space="0" w:color="auto"/>
                            <w:right w:val="none" w:sz="0" w:space="0" w:color="auto"/>
                          </w:divBdr>
                          <w:divsChild>
                            <w:div w:id="924847651">
                              <w:marLeft w:val="0"/>
                              <w:marRight w:val="0"/>
                              <w:marTop w:val="0"/>
                              <w:marBottom w:val="0"/>
                              <w:divBdr>
                                <w:top w:val="none" w:sz="0" w:space="0" w:color="auto"/>
                                <w:left w:val="none" w:sz="0" w:space="0" w:color="auto"/>
                                <w:bottom w:val="none" w:sz="0" w:space="0" w:color="auto"/>
                                <w:right w:val="none" w:sz="0" w:space="0" w:color="auto"/>
                              </w:divBdr>
                              <w:divsChild>
                                <w:div w:id="13233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10496">
      <w:bodyDiv w:val="1"/>
      <w:marLeft w:val="0"/>
      <w:marRight w:val="0"/>
      <w:marTop w:val="0"/>
      <w:marBottom w:val="0"/>
      <w:divBdr>
        <w:top w:val="none" w:sz="0" w:space="0" w:color="auto"/>
        <w:left w:val="none" w:sz="0" w:space="0" w:color="auto"/>
        <w:bottom w:val="none" w:sz="0" w:space="0" w:color="auto"/>
        <w:right w:val="none" w:sz="0" w:space="0" w:color="auto"/>
      </w:divBdr>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70677982">
      <w:bodyDiv w:val="1"/>
      <w:marLeft w:val="0"/>
      <w:marRight w:val="0"/>
      <w:marTop w:val="0"/>
      <w:marBottom w:val="0"/>
      <w:divBdr>
        <w:top w:val="none" w:sz="0" w:space="0" w:color="auto"/>
        <w:left w:val="none" w:sz="0" w:space="0" w:color="auto"/>
        <w:bottom w:val="none" w:sz="0" w:space="0" w:color="auto"/>
        <w:right w:val="none" w:sz="0" w:space="0" w:color="auto"/>
      </w:divBdr>
      <w:divsChild>
        <w:div w:id="271281229">
          <w:marLeft w:val="0"/>
          <w:marRight w:val="0"/>
          <w:marTop w:val="0"/>
          <w:marBottom w:val="0"/>
          <w:divBdr>
            <w:top w:val="none" w:sz="0" w:space="0" w:color="auto"/>
            <w:left w:val="none" w:sz="0" w:space="0" w:color="auto"/>
            <w:bottom w:val="none" w:sz="0" w:space="0" w:color="auto"/>
            <w:right w:val="none" w:sz="0" w:space="0" w:color="auto"/>
          </w:divBdr>
          <w:divsChild>
            <w:div w:id="1957445196">
              <w:marLeft w:val="0"/>
              <w:marRight w:val="0"/>
              <w:marTop w:val="0"/>
              <w:marBottom w:val="0"/>
              <w:divBdr>
                <w:top w:val="none" w:sz="0" w:space="0" w:color="auto"/>
                <w:left w:val="none" w:sz="0" w:space="0" w:color="auto"/>
                <w:bottom w:val="none" w:sz="0" w:space="0" w:color="auto"/>
                <w:right w:val="none" w:sz="0" w:space="0" w:color="auto"/>
              </w:divBdr>
              <w:divsChild>
                <w:div w:id="384329595">
                  <w:marLeft w:val="0"/>
                  <w:marRight w:val="0"/>
                  <w:marTop w:val="0"/>
                  <w:marBottom w:val="0"/>
                  <w:divBdr>
                    <w:top w:val="none" w:sz="0" w:space="0" w:color="auto"/>
                    <w:left w:val="none" w:sz="0" w:space="0" w:color="auto"/>
                    <w:bottom w:val="none" w:sz="0" w:space="0" w:color="auto"/>
                    <w:right w:val="none" w:sz="0" w:space="0" w:color="auto"/>
                  </w:divBdr>
                  <w:divsChild>
                    <w:div w:id="1680888081">
                      <w:marLeft w:val="0"/>
                      <w:marRight w:val="0"/>
                      <w:marTop w:val="0"/>
                      <w:marBottom w:val="0"/>
                      <w:divBdr>
                        <w:top w:val="none" w:sz="0" w:space="0" w:color="auto"/>
                        <w:left w:val="none" w:sz="0" w:space="0" w:color="auto"/>
                        <w:bottom w:val="none" w:sz="0" w:space="0" w:color="auto"/>
                        <w:right w:val="none" w:sz="0" w:space="0" w:color="auto"/>
                      </w:divBdr>
                      <w:divsChild>
                        <w:div w:id="1633247905">
                          <w:marLeft w:val="0"/>
                          <w:marRight w:val="0"/>
                          <w:marTop w:val="0"/>
                          <w:marBottom w:val="0"/>
                          <w:divBdr>
                            <w:top w:val="none" w:sz="0" w:space="0" w:color="auto"/>
                            <w:left w:val="none" w:sz="0" w:space="0" w:color="auto"/>
                            <w:bottom w:val="none" w:sz="0" w:space="0" w:color="auto"/>
                            <w:right w:val="none" w:sz="0" w:space="0" w:color="auto"/>
                          </w:divBdr>
                          <w:divsChild>
                            <w:div w:id="671642404">
                              <w:marLeft w:val="0"/>
                              <w:marRight w:val="0"/>
                              <w:marTop w:val="0"/>
                              <w:marBottom w:val="0"/>
                              <w:divBdr>
                                <w:top w:val="none" w:sz="0" w:space="0" w:color="auto"/>
                                <w:left w:val="none" w:sz="0" w:space="0" w:color="auto"/>
                                <w:bottom w:val="none" w:sz="0" w:space="0" w:color="auto"/>
                                <w:right w:val="none" w:sz="0" w:space="0" w:color="auto"/>
                              </w:divBdr>
                              <w:divsChild>
                                <w:div w:id="135535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7944">
      <w:bodyDiv w:val="1"/>
      <w:marLeft w:val="0"/>
      <w:marRight w:val="0"/>
      <w:marTop w:val="0"/>
      <w:marBottom w:val="0"/>
      <w:divBdr>
        <w:top w:val="none" w:sz="0" w:space="0" w:color="auto"/>
        <w:left w:val="none" w:sz="0" w:space="0" w:color="auto"/>
        <w:bottom w:val="none" w:sz="0" w:space="0" w:color="auto"/>
        <w:right w:val="none" w:sz="0" w:space="0" w:color="auto"/>
      </w:divBdr>
    </w:div>
    <w:div w:id="1917592279">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1945573253">
      <w:bodyDiv w:val="1"/>
      <w:marLeft w:val="0"/>
      <w:marRight w:val="0"/>
      <w:marTop w:val="0"/>
      <w:marBottom w:val="0"/>
      <w:divBdr>
        <w:top w:val="none" w:sz="0" w:space="0" w:color="auto"/>
        <w:left w:val="none" w:sz="0" w:space="0" w:color="auto"/>
        <w:bottom w:val="none" w:sz="0" w:space="0" w:color="auto"/>
        <w:right w:val="none" w:sz="0" w:space="0" w:color="auto"/>
      </w:divBdr>
    </w:div>
    <w:div w:id="1952515171">
      <w:bodyDiv w:val="1"/>
      <w:marLeft w:val="0"/>
      <w:marRight w:val="0"/>
      <w:marTop w:val="0"/>
      <w:marBottom w:val="0"/>
      <w:divBdr>
        <w:top w:val="none" w:sz="0" w:space="0" w:color="auto"/>
        <w:left w:val="none" w:sz="0" w:space="0" w:color="auto"/>
        <w:bottom w:val="none" w:sz="0" w:space="0" w:color="auto"/>
        <w:right w:val="none" w:sz="0" w:space="0" w:color="auto"/>
      </w:divBdr>
      <w:divsChild>
        <w:div w:id="492724040">
          <w:marLeft w:val="0"/>
          <w:marRight w:val="0"/>
          <w:marTop w:val="0"/>
          <w:marBottom w:val="0"/>
          <w:divBdr>
            <w:top w:val="none" w:sz="0" w:space="0" w:color="auto"/>
            <w:left w:val="none" w:sz="0" w:space="0" w:color="auto"/>
            <w:bottom w:val="none" w:sz="0" w:space="0" w:color="auto"/>
            <w:right w:val="none" w:sz="0" w:space="0" w:color="auto"/>
          </w:divBdr>
          <w:divsChild>
            <w:div w:id="1519585131">
              <w:marLeft w:val="0"/>
              <w:marRight w:val="0"/>
              <w:marTop w:val="0"/>
              <w:marBottom w:val="0"/>
              <w:divBdr>
                <w:top w:val="none" w:sz="0" w:space="0" w:color="auto"/>
                <w:left w:val="none" w:sz="0" w:space="0" w:color="auto"/>
                <w:bottom w:val="none" w:sz="0" w:space="0" w:color="auto"/>
                <w:right w:val="none" w:sz="0" w:space="0" w:color="auto"/>
              </w:divBdr>
              <w:divsChild>
                <w:div w:id="728915393">
                  <w:marLeft w:val="0"/>
                  <w:marRight w:val="0"/>
                  <w:marTop w:val="0"/>
                  <w:marBottom w:val="0"/>
                  <w:divBdr>
                    <w:top w:val="none" w:sz="0" w:space="0" w:color="auto"/>
                    <w:left w:val="none" w:sz="0" w:space="0" w:color="auto"/>
                    <w:bottom w:val="none" w:sz="0" w:space="0" w:color="auto"/>
                    <w:right w:val="none" w:sz="0" w:space="0" w:color="auto"/>
                  </w:divBdr>
                  <w:divsChild>
                    <w:div w:id="950668927">
                      <w:marLeft w:val="0"/>
                      <w:marRight w:val="0"/>
                      <w:marTop w:val="0"/>
                      <w:marBottom w:val="0"/>
                      <w:divBdr>
                        <w:top w:val="none" w:sz="0" w:space="0" w:color="auto"/>
                        <w:left w:val="none" w:sz="0" w:space="0" w:color="auto"/>
                        <w:bottom w:val="none" w:sz="0" w:space="0" w:color="auto"/>
                        <w:right w:val="none" w:sz="0" w:space="0" w:color="auto"/>
                      </w:divBdr>
                      <w:divsChild>
                        <w:div w:id="624041924">
                          <w:marLeft w:val="0"/>
                          <w:marRight w:val="0"/>
                          <w:marTop w:val="0"/>
                          <w:marBottom w:val="0"/>
                          <w:divBdr>
                            <w:top w:val="none" w:sz="0" w:space="0" w:color="auto"/>
                            <w:left w:val="none" w:sz="0" w:space="0" w:color="auto"/>
                            <w:bottom w:val="none" w:sz="0" w:space="0" w:color="auto"/>
                            <w:right w:val="none" w:sz="0" w:space="0" w:color="auto"/>
                          </w:divBdr>
                          <w:divsChild>
                            <w:div w:id="258489496">
                              <w:marLeft w:val="0"/>
                              <w:marRight w:val="0"/>
                              <w:marTop w:val="0"/>
                              <w:marBottom w:val="0"/>
                              <w:divBdr>
                                <w:top w:val="none" w:sz="0" w:space="0" w:color="auto"/>
                                <w:left w:val="none" w:sz="0" w:space="0" w:color="auto"/>
                                <w:bottom w:val="none" w:sz="0" w:space="0" w:color="auto"/>
                                <w:right w:val="none" w:sz="0" w:space="0" w:color="auto"/>
                              </w:divBdr>
                              <w:divsChild>
                                <w:div w:id="181594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2059898">
      <w:bodyDiv w:val="1"/>
      <w:marLeft w:val="0"/>
      <w:marRight w:val="0"/>
      <w:marTop w:val="0"/>
      <w:marBottom w:val="0"/>
      <w:divBdr>
        <w:top w:val="none" w:sz="0" w:space="0" w:color="auto"/>
        <w:left w:val="none" w:sz="0" w:space="0" w:color="auto"/>
        <w:bottom w:val="none" w:sz="0" w:space="0" w:color="auto"/>
        <w:right w:val="none" w:sz="0" w:space="0" w:color="auto"/>
      </w:divBdr>
    </w:div>
    <w:div w:id="2007514737">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31486405">
      <w:bodyDiv w:val="1"/>
      <w:marLeft w:val="0"/>
      <w:marRight w:val="0"/>
      <w:marTop w:val="0"/>
      <w:marBottom w:val="0"/>
      <w:divBdr>
        <w:top w:val="none" w:sz="0" w:space="0" w:color="auto"/>
        <w:left w:val="none" w:sz="0" w:space="0" w:color="auto"/>
        <w:bottom w:val="none" w:sz="0" w:space="0" w:color="auto"/>
        <w:right w:val="none" w:sz="0" w:space="0" w:color="auto"/>
      </w:divBdr>
      <w:divsChild>
        <w:div w:id="944775504">
          <w:marLeft w:val="0"/>
          <w:marRight w:val="0"/>
          <w:marTop w:val="0"/>
          <w:marBottom w:val="0"/>
          <w:divBdr>
            <w:top w:val="none" w:sz="0" w:space="0" w:color="auto"/>
            <w:left w:val="none" w:sz="0" w:space="0" w:color="auto"/>
            <w:bottom w:val="none" w:sz="0" w:space="0" w:color="auto"/>
            <w:right w:val="none" w:sz="0" w:space="0" w:color="auto"/>
          </w:divBdr>
          <w:divsChild>
            <w:div w:id="177739929">
              <w:marLeft w:val="0"/>
              <w:marRight w:val="0"/>
              <w:marTop w:val="0"/>
              <w:marBottom w:val="0"/>
              <w:divBdr>
                <w:top w:val="none" w:sz="0" w:space="0" w:color="auto"/>
                <w:left w:val="none" w:sz="0" w:space="0" w:color="auto"/>
                <w:bottom w:val="none" w:sz="0" w:space="0" w:color="auto"/>
                <w:right w:val="none" w:sz="0" w:space="0" w:color="auto"/>
              </w:divBdr>
              <w:divsChild>
                <w:div w:id="196238563">
                  <w:marLeft w:val="0"/>
                  <w:marRight w:val="0"/>
                  <w:marTop w:val="0"/>
                  <w:marBottom w:val="0"/>
                  <w:divBdr>
                    <w:top w:val="none" w:sz="0" w:space="0" w:color="auto"/>
                    <w:left w:val="none" w:sz="0" w:space="0" w:color="auto"/>
                    <w:bottom w:val="none" w:sz="0" w:space="0" w:color="auto"/>
                    <w:right w:val="none" w:sz="0" w:space="0" w:color="auto"/>
                  </w:divBdr>
                  <w:divsChild>
                    <w:div w:id="10704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624612">
      <w:bodyDiv w:val="1"/>
      <w:marLeft w:val="0"/>
      <w:marRight w:val="0"/>
      <w:marTop w:val="0"/>
      <w:marBottom w:val="0"/>
      <w:divBdr>
        <w:top w:val="none" w:sz="0" w:space="0" w:color="auto"/>
        <w:left w:val="none" w:sz="0" w:space="0" w:color="auto"/>
        <w:bottom w:val="none" w:sz="0" w:space="0" w:color="auto"/>
        <w:right w:val="none" w:sz="0" w:space="0" w:color="auto"/>
      </w:divBdr>
    </w:div>
    <w:div w:id="2063749454">
      <w:bodyDiv w:val="1"/>
      <w:marLeft w:val="0"/>
      <w:marRight w:val="0"/>
      <w:marTop w:val="0"/>
      <w:marBottom w:val="0"/>
      <w:divBdr>
        <w:top w:val="none" w:sz="0" w:space="0" w:color="auto"/>
        <w:left w:val="none" w:sz="0" w:space="0" w:color="auto"/>
        <w:bottom w:val="none" w:sz="0" w:space="0" w:color="auto"/>
        <w:right w:val="none" w:sz="0" w:space="0" w:color="auto"/>
      </w:divBdr>
      <w:divsChild>
        <w:div w:id="1662149942">
          <w:marLeft w:val="0"/>
          <w:marRight w:val="0"/>
          <w:marTop w:val="0"/>
          <w:marBottom w:val="0"/>
          <w:divBdr>
            <w:top w:val="none" w:sz="0" w:space="0" w:color="auto"/>
            <w:left w:val="none" w:sz="0" w:space="0" w:color="auto"/>
            <w:bottom w:val="none" w:sz="0" w:space="0" w:color="auto"/>
            <w:right w:val="none" w:sz="0" w:space="0" w:color="auto"/>
          </w:divBdr>
          <w:divsChild>
            <w:div w:id="10489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081318782">
      <w:bodyDiv w:val="1"/>
      <w:marLeft w:val="0"/>
      <w:marRight w:val="0"/>
      <w:marTop w:val="0"/>
      <w:marBottom w:val="0"/>
      <w:divBdr>
        <w:top w:val="none" w:sz="0" w:space="0" w:color="auto"/>
        <w:left w:val="none" w:sz="0" w:space="0" w:color="auto"/>
        <w:bottom w:val="none" w:sz="0" w:space="0" w:color="auto"/>
        <w:right w:val="none" w:sz="0" w:space="0" w:color="auto"/>
      </w:divBdr>
    </w:div>
    <w:div w:id="2100324433">
      <w:bodyDiv w:val="1"/>
      <w:marLeft w:val="0"/>
      <w:marRight w:val="0"/>
      <w:marTop w:val="0"/>
      <w:marBottom w:val="0"/>
      <w:divBdr>
        <w:top w:val="none" w:sz="0" w:space="0" w:color="auto"/>
        <w:left w:val="none" w:sz="0" w:space="0" w:color="auto"/>
        <w:bottom w:val="none" w:sz="0" w:space="0" w:color="auto"/>
        <w:right w:val="none" w:sz="0" w:space="0" w:color="auto"/>
      </w:divBdr>
    </w:div>
    <w:div w:id="2102556165">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4764335">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18013814">
      <w:bodyDiv w:val="1"/>
      <w:marLeft w:val="0"/>
      <w:marRight w:val="0"/>
      <w:marTop w:val="0"/>
      <w:marBottom w:val="0"/>
      <w:divBdr>
        <w:top w:val="none" w:sz="0" w:space="0" w:color="auto"/>
        <w:left w:val="none" w:sz="0" w:space="0" w:color="auto"/>
        <w:bottom w:val="none" w:sz="0" w:space="0" w:color="auto"/>
        <w:right w:val="none" w:sz="0" w:space="0" w:color="auto"/>
      </w:divBdr>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93/ejo/cjad026" TargetMode="External"/><Relationship Id="rId18" Type="http://schemas.openxmlformats.org/officeDocument/2006/relationships/hyperlink" Target="https://doi.org/10.5051/jpis.1904440222" TargetMode="External"/><Relationship Id="rId26" Type="http://schemas.openxmlformats.org/officeDocument/2006/relationships/hyperlink" Target="https://doi.org/10.1111/prd.12556" TargetMode="External"/><Relationship Id="rId39" Type="http://schemas.openxmlformats.org/officeDocument/2006/relationships/footer" Target="footer3.xml"/><Relationship Id="rId21" Type="http://schemas.openxmlformats.org/officeDocument/2006/relationships/hyperlink" Target="https://doi.org/10.1002/JPER.17-0733" TargetMode="External"/><Relationship Id="rId34" Type="http://schemas.openxmlformats.org/officeDocument/2006/relationships/header" Target="header1.xm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02/JPER.16-0671" TargetMode="External"/><Relationship Id="rId20" Type="http://schemas.openxmlformats.org/officeDocument/2006/relationships/hyperlink" Target="https://doi.org/10.1007/s00784-021-03860-5" TargetMode="External"/><Relationship Id="rId29" Type="http://schemas.openxmlformats.org/officeDocument/2006/relationships/hyperlink" Target="https://doi.org/10.1007/s00784-023-04902-w"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doi.org/10.1111/clr.12301" TargetMode="External"/><Relationship Id="rId32" Type="http://schemas.openxmlformats.org/officeDocument/2006/relationships/hyperlink" Target="https://doi.org/10.1007/s00784-024-06143-x"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111/jcpe.12935" TargetMode="External"/><Relationship Id="rId23" Type="http://schemas.openxmlformats.org/officeDocument/2006/relationships/hyperlink" Target="https://doi.org/10.1002/JPER.17-0721" TargetMode="External"/><Relationship Id="rId28" Type="http://schemas.openxmlformats.org/officeDocument/2006/relationships/hyperlink" Target="https://doi.org/10.1902/jop.2016.150571" TargetMode="External"/><Relationship Id="rId36" Type="http://schemas.openxmlformats.org/officeDocument/2006/relationships/footer" Target="footer1.xml"/><Relationship Id="rId10" Type="http://schemas.microsoft.com/office/2016/09/relationships/commentsIds" Target="commentsIds.xml"/><Relationship Id="rId19" Type="http://schemas.openxmlformats.org/officeDocument/2006/relationships/hyperlink" Target="https://doi.org/10.1111/clr.13829" TargetMode="External"/><Relationship Id="rId31" Type="http://schemas.openxmlformats.org/officeDocument/2006/relationships/hyperlink" Target="https://doi.org/10.1111/jcpe.12871"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1111/jcpe.13229" TargetMode="External"/><Relationship Id="rId22" Type="http://schemas.openxmlformats.org/officeDocument/2006/relationships/hyperlink" Target="https://doi.org/10.1111/cid.12903" TargetMode="External"/><Relationship Id="rId27" Type="http://schemas.openxmlformats.org/officeDocument/2006/relationships/hyperlink" Target="https://doi.org/10.1016/j.archoralbio.2021.105287" TargetMode="External"/><Relationship Id="rId30" Type="http://schemas.openxmlformats.org/officeDocument/2006/relationships/hyperlink" Target="https://doi.org/10.1111/jcpe.12834" TargetMode="External"/><Relationship Id="rId35" Type="http://schemas.openxmlformats.org/officeDocument/2006/relationships/header" Target="header2.xml"/><Relationship Id="rId8" Type="http://schemas.openxmlformats.org/officeDocument/2006/relationships/comments" Target="comments.xml"/><Relationship Id="rId3" Type="http://schemas.openxmlformats.org/officeDocument/2006/relationships/styles" Target="styles.xml"/><Relationship Id="rId12" Type="http://schemas.openxmlformats.org/officeDocument/2006/relationships/hyperlink" Target="https://doi.org/10.1002/JPER.19-0566" TargetMode="External"/><Relationship Id="rId17" Type="http://schemas.openxmlformats.org/officeDocument/2006/relationships/hyperlink" Target="https://doi.org/10.1038/s41432-025-01114-x" TargetMode="External"/><Relationship Id="rId25" Type="http://schemas.openxmlformats.org/officeDocument/2006/relationships/hyperlink" Target="https://doi.org/10.1111/jcpe.12932" TargetMode="External"/><Relationship Id="rId33" Type="http://schemas.openxmlformats.org/officeDocument/2006/relationships/hyperlink" Target="https://doi.org/10.1111/jcpe.12269"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E2DE2F-8826-4608-B8FA-719495105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6610</TotalTime>
  <Pages>11</Pages>
  <Words>5247</Words>
  <Characters>29914</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Seng Boon Chu</cp:lastModifiedBy>
  <cp:revision>86</cp:revision>
  <cp:lastPrinted>2025-12-13T07:14:00Z</cp:lastPrinted>
  <dcterms:created xsi:type="dcterms:W3CDTF">2025-09-24T12:44:00Z</dcterms:created>
  <dcterms:modified xsi:type="dcterms:W3CDTF">2026-01-14T02:11:00Z</dcterms:modified>
</cp:coreProperties>
</file>