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F8E47" w14:textId="77777777" w:rsidR="004F1CE0" w:rsidRPr="0075265E" w:rsidRDefault="004F1CE0" w:rsidP="004F1CE0">
      <w:pPr>
        <w:spacing w:after="7" w:line="360" w:lineRule="auto"/>
        <w:jc w:val="both"/>
        <w:rPr>
          <w:rFonts w:ascii="Arial" w:hAnsi="Arial" w:cs="Arial"/>
          <w:b/>
          <w:bCs/>
          <w:sz w:val="24"/>
          <w:szCs w:val="24"/>
        </w:rPr>
      </w:pPr>
      <w:r w:rsidRPr="0075265E">
        <w:rPr>
          <w:rFonts w:ascii="Arial" w:hAnsi="Arial" w:cs="Arial"/>
          <w:b/>
          <w:bCs/>
          <w:sz w:val="24"/>
          <w:szCs w:val="24"/>
        </w:rPr>
        <w:t xml:space="preserve">Effect of different transplanting dates on </w:t>
      </w:r>
      <w:r>
        <w:rPr>
          <w:rFonts w:ascii="Arial" w:hAnsi="Arial" w:cs="Arial"/>
          <w:b/>
          <w:bCs/>
          <w:sz w:val="24"/>
          <w:szCs w:val="24"/>
        </w:rPr>
        <w:t>yield</w:t>
      </w:r>
      <w:r w:rsidRPr="0075265E">
        <w:rPr>
          <w:rFonts w:ascii="Arial" w:hAnsi="Arial" w:cs="Arial"/>
          <w:b/>
          <w:bCs/>
          <w:sz w:val="24"/>
          <w:szCs w:val="24"/>
        </w:rPr>
        <w:t xml:space="preserve"> of basmati rice (</w:t>
      </w:r>
      <w:r w:rsidRPr="0075265E">
        <w:rPr>
          <w:rFonts w:ascii="Arial" w:hAnsi="Arial" w:cs="Arial"/>
          <w:b/>
          <w:bCs/>
          <w:i/>
          <w:iCs/>
          <w:sz w:val="24"/>
          <w:szCs w:val="24"/>
        </w:rPr>
        <w:t xml:space="preserve">Oryza sativa </w:t>
      </w:r>
      <w:r w:rsidRPr="0075265E">
        <w:rPr>
          <w:rFonts w:ascii="Arial" w:hAnsi="Arial" w:cs="Arial"/>
          <w:b/>
          <w:bCs/>
          <w:sz w:val="24"/>
          <w:szCs w:val="24"/>
        </w:rPr>
        <w:t>L.)</w:t>
      </w:r>
      <w:r>
        <w:rPr>
          <w:rFonts w:ascii="Arial" w:hAnsi="Arial" w:cs="Arial"/>
          <w:b/>
          <w:bCs/>
          <w:sz w:val="24"/>
          <w:szCs w:val="24"/>
        </w:rPr>
        <w:t xml:space="preserve"> under mid-hill conditions of Himachal Pradesh</w:t>
      </w:r>
    </w:p>
    <w:p w14:paraId="5C519130" w14:textId="77777777" w:rsidR="008B21D4" w:rsidRDefault="008B21D4" w:rsidP="004F1CE0">
      <w:pPr>
        <w:spacing w:after="7" w:line="360" w:lineRule="auto"/>
        <w:jc w:val="both"/>
        <w:rPr>
          <w:rFonts w:ascii="Arial" w:hAnsi="Arial" w:cs="Arial"/>
          <w:sz w:val="24"/>
          <w:szCs w:val="24"/>
        </w:rPr>
      </w:pPr>
    </w:p>
    <w:p w14:paraId="50583399" w14:textId="77777777" w:rsidR="008B21D4" w:rsidRDefault="008B21D4" w:rsidP="004F1CE0">
      <w:pPr>
        <w:spacing w:after="7" w:line="360" w:lineRule="auto"/>
        <w:jc w:val="both"/>
        <w:rPr>
          <w:rFonts w:ascii="Arial" w:hAnsi="Arial" w:cs="Arial"/>
          <w:sz w:val="24"/>
          <w:szCs w:val="24"/>
        </w:rPr>
      </w:pPr>
    </w:p>
    <w:p w14:paraId="0972F58B" w14:textId="77777777" w:rsidR="008B21D4" w:rsidRDefault="008B21D4" w:rsidP="00840A53">
      <w:pPr>
        <w:spacing w:after="7" w:line="360" w:lineRule="auto"/>
        <w:rPr>
          <w:rFonts w:ascii="Arial" w:hAnsi="Arial" w:cs="Arial"/>
          <w:b/>
          <w:bCs/>
        </w:rPr>
      </w:pPr>
    </w:p>
    <w:p w14:paraId="7464B18E" w14:textId="62C061C0" w:rsidR="00FB6053" w:rsidRPr="00840A53" w:rsidRDefault="00840A53" w:rsidP="00840A53">
      <w:pPr>
        <w:spacing w:after="7" w:line="360" w:lineRule="auto"/>
        <w:rPr>
          <w:rFonts w:ascii="Arial" w:hAnsi="Arial" w:cs="Arial"/>
        </w:rPr>
      </w:pPr>
      <w:r w:rsidRPr="00840A53">
        <w:rPr>
          <w:rFonts w:ascii="Arial" w:hAnsi="Arial" w:cs="Arial"/>
          <w:b/>
          <w:bCs/>
        </w:rPr>
        <w:t>ABSTRACT</w:t>
      </w:r>
    </w:p>
    <w:p w14:paraId="55FC9623" w14:textId="77777777" w:rsidR="00FB6053" w:rsidRPr="00840A53" w:rsidRDefault="00FB6053" w:rsidP="00840A53">
      <w:pPr>
        <w:spacing w:after="7" w:line="360" w:lineRule="auto"/>
        <w:rPr>
          <w:rFonts w:ascii="Arial" w:hAnsi="Arial" w:cs="Arial"/>
        </w:rPr>
      </w:pPr>
      <w:commentRangeStart w:id="0"/>
      <w:r w:rsidRPr="00840A53">
        <w:rPr>
          <w:rFonts w:ascii="Arial" w:eastAsia="Times New Roman" w:hAnsi="Arial" w:cs="Arial"/>
          <w:b/>
          <w:bCs/>
          <w:kern w:val="0"/>
          <w:lang w:val="en-US" w:bidi="hi-IN"/>
          <w14:ligatures w14:val="none"/>
        </w:rPr>
        <w:t>Aims:</w:t>
      </w:r>
      <w:r w:rsidRPr="00FB6053">
        <w:rPr>
          <w:rFonts w:ascii="Arial" w:eastAsia="Times New Roman" w:hAnsi="Arial" w:cs="Arial"/>
          <w:kern w:val="0"/>
          <w:lang w:val="en-US" w:bidi="hi-IN"/>
          <w14:ligatures w14:val="none"/>
        </w:rPr>
        <w:br/>
        <w:t xml:space="preserve">To </w:t>
      </w:r>
      <w:r w:rsidRPr="00840A53">
        <w:rPr>
          <w:rFonts w:ascii="Arial" w:eastAsia="Times New Roman" w:hAnsi="Arial" w:cs="Arial"/>
          <w:kern w:val="0"/>
          <w:lang w:val="en-US" w:bidi="hi-IN"/>
          <w14:ligatures w14:val="none"/>
        </w:rPr>
        <w:t>assess the impact of</w:t>
      </w:r>
      <w:r w:rsidRPr="00FB6053">
        <w:rPr>
          <w:rFonts w:ascii="Arial" w:eastAsia="Times New Roman" w:hAnsi="Arial" w:cs="Arial"/>
          <w:kern w:val="0"/>
          <w:lang w:val="en-US" w:bidi="hi-IN"/>
          <w14:ligatures w14:val="none"/>
        </w:rPr>
        <w:t xml:space="preserve"> different transplanting dates on yield attributes and productivity </w:t>
      </w:r>
      <w:r w:rsidRPr="00840A53">
        <w:rPr>
          <w:rFonts w:ascii="Arial" w:eastAsia="Times New Roman" w:hAnsi="Arial" w:cs="Arial"/>
          <w:kern w:val="0"/>
          <w:lang w:val="en-US" w:bidi="hi-IN"/>
          <w14:ligatures w14:val="none"/>
        </w:rPr>
        <w:t xml:space="preserve">of </w:t>
      </w:r>
      <w:r w:rsidRPr="00FB6053">
        <w:rPr>
          <w:rFonts w:ascii="Arial" w:eastAsia="Times New Roman" w:hAnsi="Arial" w:cs="Arial"/>
          <w:kern w:val="0"/>
          <w:lang w:val="en-US" w:bidi="hi-IN"/>
          <w14:ligatures w14:val="none"/>
        </w:rPr>
        <w:t>basmati rice varieties under mid-hill conditions of Himachal Pradesh.</w:t>
      </w:r>
    </w:p>
    <w:p w14:paraId="561898CD" w14:textId="77777777" w:rsidR="00FB6053" w:rsidRPr="00840A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Study Design:</w:t>
      </w:r>
      <w:r w:rsidRPr="00FB6053">
        <w:rPr>
          <w:rFonts w:ascii="Arial" w:eastAsia="Times New Roman" w:hAnsi="Arial" w:cs="Arial"/>
          <w:kern w:val="0"/>
          <w:lang w:val="en-US" w:bidi="hi-IN"/>
          <w14:ligatures w14:val="none"/>
        </w:rPr>
        <w:br/>
        <w:t>Randomized Block Design (RBD).</w:t>
      </w:r>
    </w:p>
    <w:p w14:paraId="08AAD362" w14:textId="77777777" w:rsidR="00FB6053" w:rsidRPr="00840A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Place and Duration of Study:</w:t>
      </w:r>
      <w:r w:rsidRPr="00FB6053">
        <w:rPr>
          <w:rFonts w:ascii="Arial" w:eastAsia="Times New Roman" w:hAnsi="Arial" w:cs="Arial"/>
          <w:kern w:val="0"/>
          <w:lang w:val="en-US" w:bidi="hi-IN"/>
          <w14:ligatures w14:val="none"/>
        </w:rPr>
        <w:br/>
        <w:t xml:space="preserve">The experiment was conducted during </w:t>
      </w:r>
      <w:r w:rsidRPr="00840A53">
        <w:rPr>
          <w:rFonts w:ascii="Arial" w:eastAsia="Times New Roman" w:hAnsi="Arial" w:cs="Arial"/>
          <w:i/>
          <w:iCs/>
          <w:kern w:val="0"/>
          <w:lang w:val="en-US" w:bidi="hi-IN"/>
          <w14:ligatures w14:val="none"/>
        </w:rPr>
        <w:t>kharif</w:t>
      </w:r>
      <w:r w:rsidRPr="00FB6053">
        <w:rPr>
          <w:rFonts w:ascii="Arial" w:eastAsia="Times New Roman" w:hAnsi="Arial" w:cs="Arial"/>
          <w:kern w:val="0"/>
          <w:lang w:val="en-US" w:bidi="hi-IN"/>
          <w14:ligatures w14:val="none"/>
        </w:rPr>
        <w:t xml:space="preserve"> 2024 at the Experimental Farm, Department of Agronomy, CSK Himachal Pradesh Krishi Vishvavidyalaya, Palampur, Himachal Pradesh, India.</w:t>
      </w:r>
    </w:p>
    <w:p w14:paraId="1C7C0117" w14:textId="77777777" w:rsidR="00FB6053" w:rsidRPr="00FB60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Methodology:</w:t>
      </w:r>
      <w:r w:rsidRPr="00FB6053">
        <w:rPr>
          <w:rFonts w:ascii="Arial" w:eastAsia="Times New Roman" w:hAnsi="Arial" w:cs="Arial"/>
          <w:kern w:val="0"/>
          <w:lang w:val="en-US" w:bidi="hi-IN"/>
          <w14:ligatures w14:val="none"/>
        </w:rPr>
        <w:br/>
        <w:t>The experiment comprised</w:t>
      </w:r>
      <w:r w:rsidR="00C76479" w:rsidRPr="00840A53">
        <w:rPr>
          <w:rFonts w:ascii="Arial" w:eastAsia="Times New Roman" w:hAnsi="Arial" w:cs="Arial"/>
          <w:kern w:val="0"/>
          <w:lang w:val="en-US" w:bidi="hi-IN"/>
          <w14:ligatures w14:val="none"/>
        </w:rPr>
        <w:t xml:space="preserve"> three transplanting dates (5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June, 15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June and 25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 xml:space="preserve">June) and three varieties (Basmati-370, Kasturi Basmati and Pusa Basmati 1121) </w:t>
      </w:r>
      <w:r w:rsidRPr="00840A53">
        <w:rPr>
          <w:rFonts w:ascii="Arial" w:eastAsia="Times New Roman" w:hAnsi="Arial" w:cs="Arial"/>
          <w:kern w:val="0"/>
          <w:lang w:val="en-US" w:bidi="hi-IN"/>
          <w14:ligatures w14:val="none"/>
        </w:rPr>
        <w:t>which replicated thrice</w:t>
      </w:r>
      <w:r w:rsidRPr="00FB6053">
        <w:rPr>
          <w:rFonts w:ascii="Arial" w:eastAsia="Times New Roman" w:hAnsi="Arial" w:cs="Arial"/>
          <w:kern w:val="0"/>
          <w:lang w:val="en-US" w:bidi="hi-IN"/>
          <w14:ligatures w14:val="none"/>
        </w:rPr>
        <w:t>. The soil of the experimental site was silty clay loam in texture, acidic in reaction and medium in available nitrogen, phosphorus and potassium. Observations were recorded on yield attributes such</w:t>
      </w:r>
      <w:r w:rsidRPr="00840A53">
        <w:rPr>
          <w:rFonts w:ascii="Arial" w:eastAsia="Times New Roman" w:hAnsi="Arial" w:cs="Arial"/>
          <w:kern w:val="0"/>
          <w:lang w:val="en-US" w:bidi="hi-IN"/>
          <w14:ligatures w14:val="none"/>
        </w:rPr>
        <w:t xml:space="preserve"> as number of effective tillers/</w:t>
      </w:r>
      <w:r w:rsidRPr="00FB6053">
        <w:rPr>
          <w:rFonts w:ascii="Arial" w:eastAsia="Times New Roman" w:hAnsi="Arial" w:cs="Arial"/>
          <w:kern w:val="0"/>
          <w:lang w:val="en-US" w:bidi="hi-IN"/>
          <w14:ligatures w14:val="none"/>
        </w:rPr>
        <w:t>m</w:t>
      </w:r>
      <w:r w:rsidRPr="00840A53">
        <w:rPr>
          <w:rFonts w:ascii="Arial" w:eastAsia="Times New Roman" w:hAnsi="Arial" w:cs="Arial"/>
          <w:kern w:val="0"/>
          <w:vertAlign w:val="superscript"/>
          <w:lang w:val="en-US" w:bidi="hi-IN"/>
          <w14:ligatures w14:val="none"/>
        </w:rPr>
        <w:t>2</w:t>
      </w:r>
      <w:r w:rsidRPr="00FB6053">
        <w:rPr>
          <w:rFonts w:ascii="Arial" w:eastAsia="Times New Roman" w:hAnsi="Arial" w:cs="Arial"/>
          <w:kern w:val="0"/>
          <w:lang w:val="en-US" w:bidi="hi-IN"/>
          <w14:ligatures w14:val="none"/>
        </w:rPr>
        <w:t>, panicle length, weight</w:t>
      </w:r>
      <w:r w:rsidRPr="00840A53">
        <w:rPr>
          <w:rFonts w:ascii="Arial" w:eastAsia="Times New Roman" w:hAnsi="Arial" w:cs="Arial"/>
          <w:kern w:val="0"/>
          <w:lang w:val="en-US" w:bidi="hi-IN"/>
          <w14:ligatures w14:val="none"/>
        </w:rPr>
        <w:t xml:space="preserve"> of panicle, grain weight/</w:t>
      </w:r>
      <w:r w:rsidRPr="00FB6053">
        <w:rPr>
          <w:rFonts w:ascii="Arial" w:eastAsia="Times New Roman" w:hAnsi="Arial" w:cs="Arial"/>
          <w:kern w:val="0"/>
          <w:lang w:val="en-US" w:bidi="hi-IN"/>
          <w14:ligatures w14:val="none"/>
        </w:rPr>
        <w:t>panicle and 1000-grain weight, as well as yield parameters including grain yield, straw yield, biological yield and harvest index.</w:t>
      </w:r>
    </w:p>
    <w:p w14:paraId="5C428275" w14:textId="77777777" w:rsidR="008D14F7" w:rsidRPr="00840A53" w:rsidRDefault="00FB6053" w:rsidP="00840A53">
      <w:pPr>
        <w:spacing w:before="100" w:beforeAutospacing="1" w:after="100" w:afterAutospacing="1" w:line="360" w:lineRule="auto"/>
        <w:rPr>
          <w:rFonts w:ascii="Arial" w:eastAsia="Times New Roman" w:hAnsi="Arial" w:cs="Arial"/>
          <w:kern w:val="0"/>
          <w:lang w:val="en-US" w:bidi="hi-IN"/>
          <w14:ligatures w14:val="none"/>
        </w:rPr>
      </w:pPr>
      <w:r w:rsidRPr="00840A53">
        <w:rPr>
          <w:rFonts w:ascii="Arial" w:eastAsia="Times New Roman" w:hAnsi="Arial" w:cs="Arial"/>
          <w:b/>
          <w:bCs/>
          <w:kern w:val="0"/>
          <w:lang w:val="en-US" w:bidi="hi-IN"/>
          <w14:ligatures w14:val="none"/>
        </w:rPr>
        <w:t>Results:</w:t>
      </w:r>
      <w:r w:rsidR="00C76479" w:rsidRPr="00840A53">
        <w:rPr>
          <w:rFonts w:ascii="Arial" w:eastAsia="Times New Roman" w:hAnsi="Arial" w:cs="Arial"/>
          <w:kern w:val="0"/>
          <w:lang w:val="en-US" w:bidi="hi-IN"/>
          <w14:ligatures w14:val="none"/>
        </w:rPr>
        <w:br/>
        <w:t>Transplanting on 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June resulted in significantly higher yield attributes and yields compared to later transplanting dates. The lowest values for all para</w:t>
      </w:r>
      <w:r w:rsidR="00C76479" w:rsidRPr="00840A53">
        <w:rPr>
          <w:rFonts w:ascii="Arial" w:eastAsia="Times New Roman" w:hAnsi="Arial" w:cs="Arial"/>
          <w:kern w:val="0"/>
          <w:lang w:val="en-US" w:bidi="hi-IN"/>
          <w14:ligatures w14:val="none"/>
        </w:rPr>
        <w:t>meters were recorded under 25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June transplanting. Among the varieties, Basmati-370 consistently produced significantly higher number of effective tillers</w:t>
      </w:r>
      <w:r w:rsidR="00C76479" w:rsidRPr="00840A53">
        <w:rPr>
          <w:rFonts w:ascii="Arial" w:eastAsia="Times New Roman" w:hAnsi="Arial" w:cs="Arial"/>
          <w:kern w:val="0"/>
          <w:lang w:val="en-US" w:bidi="hi-IN"/>
          <w14:ligatures w14:val="none"/>
        </w:rPr>
        <w:t>/m</w:t>
      </w:r>
      <w:r w:rsidR="00C76479" w:rsidRPr="00840A53">
        <w:rPr>
          <w:rFonts w:ascii="Arial" w:eastAsia="Times New Roman" w:hAnsi="Arial" w:cs="Arial"/>
          <w:kern w:val="0"/>
          <w:vertAlign w:val="superscript"/>
          <w:lang w:val="en-US" w:bidi="hi-IN"/>
          <w14:ligatures w14:val="none"/>
        </w:rPr>
        <w:t>2</w:t>
      </w:r>
      <w:r w:rsidRPr="00FB6053">
        <w:rPr>
          <w:rFonts w:ascii="Arial" w:eastAsia="Times New Roman" w:hAnsi="Arial" w:cs="Arial"/>
          <w:kern w:val="0"/>
          <w:lang w:val="en-US" w:bidi="hi-IN"/>
          <w14:ligatures w14:val="none"/>
        </w:rPr>
        <w:t>, superior yield attributes and higher grain, straw and biological yields compared to Kasturi Basmati and Pusa Basmati 1121. Pusa Basmati 1121 recorded the lowest performance across most parameters.</w:t>
      </w:r>
    </w:p>
    <w:p w14:paraId="7E9397B2" w14:textId="77777777" w:rsidR="00FB6053" w:rsidRPr="00FB6053" w:rsidRDefault="00FB6053" w:rsidP="00840A53">
      <w:pPr>
        <w:spacing w:before="100" w:beforeAutospacing="1" w:after="100" w:afterAutospacing="1" w:line="360" w:lineRule="auto"/>
        <w:rPr>
          <w:rFonts w:ascii="Arial" w:eastAsia="Times New Roman" w:hAnsi="Arial" w:cs="Arial"/>
          <w:kern w:val="0"/>
          <w:lang w:val="en-US" w:bidi="hi-IN"/>
          <w14:ligatures w14:val="none"/>
        </w:rPr>
      </w:pPr>
      <w:r w:rsidRPr="00840A53">
        <w:rPr>
          <w:rFonts w:ascii="Arial" w:eastAsia="Times New Roman" w:hAnsi="Arial" w:cs="Arial"/>
          <w:b/>
          <w:bCs/>
          <w:kern w:val="0"/>
          <w:lang w:val="en-US" w:bidi="hi-IN"/>
          <w14:ligatures w14:val="none"/>
        </w:rPr>
        <w:t>Conclusion</w:t>
      </w:r>
      <w:proofErr w:type="gramStart"/>
      <w:r w:rsidRPr="00840A53">
        <w:rPr>
          <w:rFonts w:ascii="Arial" w:eastAsia="Times New Roman" w:hAnsi="Arial" w:cs="Arial"/>
          <w:b/>
          <w:bCs/>
          <w:kern w:val="0"/>
          <w:lang w:val="en-US" w:bidi="hi-IN"/>
          <w14:ligatures w14:val="none"/>
        </w:rPr>
        <w:t>:</w:t>
      </w:r>
      <w:proofErr w:type="gramEnd"/>
      <w:r w:rsidR="008D14F7" w:rsidRPr="00840A53">
        <w:rPr>
          <w:rFonts w:ascii="Arial" w:eastAsia="Times New Roman" w:hAnsi="Arial" w:cs="Arial"/>
          <w:kern w:val="0"/>
          <w:lang w:val="en-US" w:bidi="hi-IN"/>
          <w14:ligatures w14:val="none"/>
        </w:rPr>
        <w:br/>
        <w:t>Early transplanting on 5</w:t>
      </w:r>
      <w:r w:rsidR="008D14F7" w:rsidRPr="00840A53">
        <w:rPr>
          <w:rFonts w:ascii="Arial" w:eastAsia="Times New Roman" w:hAnsi="Arial" w:cs="Arial"/>
          <w:kern w:val="0"/>
          <w:vertAlign w:val="superscript"/>
          <w:lang w:val="en-US" w:bidi="hi-IN"/>
          <w14:ligatures w14:val="none"/>
        </w:rPr>
        <w:t>th</w:t>
      </w:r>
      <w:r w:rsidR="008D14F7"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 xml:space="preserve">June combined with Basmati-370 was found to be the most </w:t>
      </w:r>
      <w:r w:rsidR="008D14F7" w:rsidRPr="00840A53">
        <w:rPr>
          <w:rFonts w:ascii="Arial" w:eastAsia="Times New Roman" w:hAnsi="Arial" w:cs="Arial"/>
          <w:kern w:val="0"/>
          <w:lang w:val="en-US" w:bidi="hi-IN"/>
          <w14:ligatures w14:val="none"/>
        </w:rPr>
        <w:t>suitable</w:t>
      </w:r>
      <w:r w:rsidRPr="00FB6053">
        <w:rPr>
          <w:rFonts w:ascii="Arial" w:eastAsia="Times New Roman" w:hAnsi="Arial" w:cs="Arial"/>
          <w:kern w:val="0"/>
          <w:lang w:val="en-US" w:bidi="hi-IN"/>
          <w14:ligatures w14:val="none"/>
        </w:rPr>
        <w:t xml:space="preserve"> for enhancing yield and productivity of basmati rice under mid-hill conditions of Himachal Pradesh.</w:t>
      </w:r>
      <w:commentRangeEnd w:id="0"/>
      <w:r w:rsidR="00601C52">
        <w:rPr>
          <w:rStyle w:val="CommentReference"/>
        </w:rPr>
        <w:commentReference w:id="0"/>
      </w:r>
    </w:p>
    <w:p w14:paraId="7F2F75A8" w14:textId="77777777" w:rsidR="004F1CE0" w:rsidRPr="0075265E" w:rsidRDefault="004F1CE0" w:rsidP="00840A53">
      <w:pPr>
        <w:spacing w:line="360" w:lineRule="auto"/>
        <w:rPr>
          <w:rFonts w:ascii="Arial" w:hAnsi="Arial" w:cs="Arial"/>
          <w:sz w:val="24"/>
          <w:szCs w:val="24"/>
        </w:rPr>
      </w:pPr>
      <w:r w:rsidRPr="0075265E">
        <w:rPr>
          <w:rFonts w:ascii="Arial" w:hAnsi="Arial" w:cs="Arial"/>
          <w:b/>
          <w:bCs/>
          <w:sz w:val="24"/>
          <w:szCs w:val="24"/>
        </w:rPr>
        <w:t>Keywords:</w:t>
      </w:r>
      <w:r w:rsidRPr="0075265E">
        <w:rPr>
          <w:rFonts w:ascii="Arial" w:hAnsi="Arial" w:cs="Arial"/>
          <w:sz w:val="24"/>
          <w:szCs w:val="24"/>
        </w:rPr>
        <w:t xml:space="preserve"> </w:t>
      </w:r>
      <w:r w:rsidRPr="00840A53">
        <w:rPr>
          <w:rFonts w:ascii="Arial" w:hAnsi="Arial" w:cs="Arial"/>
          <w:i/>
          <w:iCs/>
          <w:sz w:val="20"/>
          <w:szCs w:val="20"/>
        </w:rPr>
        <w:t>Growth attributes; basmati rice; transplanting dates; yield</w:t>
      </w:r>
      <w:r w:rsidRPr="0075265E">
        <w:rPr>
          <w:rFonts w:ascii="Arial" w:hAnsi="Arial" w:cs="Arial"/>
          <w:sz w:val="24"/>
          <w:szCs w:val="24"/>
        </w:rPr>
        <w:t>.</w:t>
      </w:r>
    </w:p>
    <w:p w14:paraId="5AC1A0BF" w14:textId="77777777" w:rsidR="004F1CE0" w:rsidRPr="00840A53" w:rsidRDefault="00840A53" w:rsidP="00840A53">
      <w:pPr>
        <w:pStyle w:val="ListParagraph"/>
        <w:numPr>
          <w:ilvl w:val="0"/>
          <w:numId w:val="1"/>
        </w:numPr>
        <w:spacing w:after="7" w:line="360" w:lineRule="auto"/>
        <w:rPr>
          <w:rFonts w:ascii="Arial" w:hAnsi="Arial" w:cs="Arial"/>
          <w:b/>
          <w:bCs/>
        </w:rPr>
      </w:pPr>
      <w:commentRangeStart w:id="1"/>
      <w:r w:rsidRPr="00840A53">
        <w:rPr>
          <w:rFonts w:ascii="Arial" w:hAnsi="Arial" w:cs="Arial"/>
          <w:b/>
          <w:bCs/>
        </w:rPr>
        <w:lastRenderedPageBreak/>
        <w:t>INTRODUCTION</w:t>
      </w:r>
      <w:commentRangeEnd w:id="1"/>
      <w:r w:rsidR="00601C52">
        <w:rPr>
          <w:rStyle w:val="CommentReference"/>
        </w:rPr>
        <w:commentReference w:id="1"/>
      </w:r>
    </w:p>
    <w:p w14:paraId="51409CD2" w14:textId="77777777" w:rsidR="004F1CE0" w:rsidRPr="00840A53" w:rsidRDefault="004F1CE0" w:rsidP="004F1CE0">
      <w:pPr>
        <w:spacing w:after="7" w:line="360" w:lineRule="auto"/>
        <w:ind w:firstLine="720"/>
        <w:jc w:val="both"/>
        <w:rPr>
          <w:rFonts w:ascii="Arial" w:hAnsi="Arial" w:cs="Arial"/>
          <w:sz w:val="20"/>
          <w:szCs w:val="20"/>
        </w:rPr>
      </w:pPr>
      <w:r w:rsidRPr="00840A53">
        <w:rPr>
          <w:rFonts w:ascii="Arial" w:hAnsi="Arial" w:cs="Arial"/>
          <w:sz w:val="20"/>
          <w:szCs w:val="20"/>
        </w:rPr>
        <w:t>Rice (</w:t>
      </w:r>
      <w:r w:rsidRPr="00840A53">
        <w:rPr>
          <w:rFonts w:ascii="Arial" w:hAnsi="Arial" w:cs="Arial"/>
          <w:i/>
          <w:iCs/>
          <w:sz w:val="20"/>
          <w:szCs w:val="20"/>
        </w:rPr>
        <w:t>Oryza sativa</w:t>
      </w:r>
      <w:r w:rsidRPr="00840A53">
        <w:rPr>
          <w:rFonts w:ascii="Arial" w:hAnsi="Arial" w:cs="Arial"/>
          <w:sz w:val="20"/>
          <w:szCs w:val="20"/>
        </w:rPr>
        <w:t xml:space="preserve"> L.) is the one of the most important staple food crops feeding nearly half of the global population. It contributes significantly to food and livelihood security in most Asian countries, where more than 90 % of the world’s rice produced and consumed. India stands first in </w:t>
      </w:r>
      <w:r w:rsidRPr="00840A53">
        <w:rPr>
          <w:rFonts w:ascii="Arial" w:hAnsi="Arial" w:cs="Arial"/>
          <w:color w:val="000000" w:themeColor="text1"/>
          <w:sz w:val="20"/>
          <w:szCs w:val="20"/>
        </w:rPr>
        <w:t xml:space="preserve">area with 51.5 m ha and second in production with 151 million tonnes with a productivity of 4.40 kg/ha, reflecting its vital role in the agricultural economy (Anonymous, 2025). In Himachal Pradesh, rice is the second major cereal after maize and is predominantly grown under mid-hill humid conditions, where climatic factors such as rainfall distribution, temperature fluctuations and relative humidity strongly governs its growth and productivity (Anonymous, </w:t>
      </w:r>
      <w:commentRangeStart w:id="2"/>
      <w:r w:rsidRPr="00840A53">
        <w:rPr>
          <w:rFonts w:ascii="Arial" w:hAnsi="Arial" w:cs="Arial"/>
          <w:color w:val="000000" w:themeColor="text1"/>
          <w:sz w:val="20"/>
          <w:szCs w:val="20"/>
        </w:rPr>
        <w:t>2022-23</w:t>
      </w:r>
      <w:commentRangeEnd w:id="2"/>
      <w:r w:rsidR="00601C52">
        <w:rPr>
          <w:rStyle w:val="CommentReference"/>
        </w:rPr>
        <w:commentReference w:id="2"/>
      </w:r>
      <w:r w:rsidRPr="00840A53">
        <w:rPr>
          <w:rFonts w:ascii="Arial" w:hAnsi="Arial" w:cs="Arial"/>
          <w:color w:val="000000" w:themeColor="text1"/>
          <w:sz w:val="20"/>
          <w:szCs w:val="20"/>
        </w:rPr>
        <w:t xml:space="preserve">). </w:t>
      </w:r>
      <w:r w:rsidRPr="00840A53">
        <w:rPr>
          <w:rFonts w:ascii="Arial" w:hAnsi="Arial" w:cs="Arial"/>
          <w:color w:val="000000" w:themeColor="text1"/>
          <w:sz w:val="20"/>
          <w:szCs w:val="20"/>
        </w:rPr>
        <w:tab/>
      </w:r>
    </w:p>
    <w:p w14:paraId="36CD1189" w14:textId="77777777" w:rsidR="004F1CE0" w:rsidRPr="00840A53" w:rsidRDefault="004F1CE0" w:rsidP="004F1CE0">
      <w:pPr>
        <w:spacing w:after="7" w:line="360" w:lineRule="auto"/>
        <w:ind w:left="14" w:firstLine="706"/>
        <w:jc w:val="both"/>
        <w:rPr>
          <w:rFonts w:ascii="Arial" w:hAnsi="Arial" w:cs="Arial"/>
          <w:sz w:val="20"/>
          <w:szCs w:val="20"/>
        </w:rPr>
      </w:pPr>
      <w:r w:rsidRPr="00840A53">
        <w:rPr>
          <w:rFonts w:ascii="Arial" w:hAnsi="Arial" w:cs="Arial"/>
          <w:sz w:val="20"/>
          <w:szCs w:val="20"/>
        </w:rPr>
        <w:t xml:space="preserve">The growth of rice mainly depends on choosing the right time for transplanting because it decides how the crop will face the weather during different growth stages. Rice is a warm-loving crop and grows best when the climate is hot and humid. If the temperature or rainfall is not suitable, it can negatively affect plant height, seedling establishment, tiller formation and biomass build-up. When the crop is transplanted early, it gets more time under favourable temperature and longer days, which supports better vegetative growth. However, late transplanting exposes the crop to less sunlight and lower temperatures, which slows down growth and reduces overall plant development </w:t>
      </w:r>
      <w:r w:rsidRPr="00840A53">
        <w:rPr>
          <w:rFonts w:ascii="Arial" w:hAnsi="Arial" w:cs="Arial"/>
          <w:color w:val="000000" w:themeColor="text1"/>
          <w:sz w:val="20"/>
          <w:szCs w:val="20"/>
        </w:rPr>
        <w:t>(</w:t>
      </w:r>
      <w:commentRangeStart w:id="3"/>
      <w:r w:rsidRPr="00840A53">
        <w:rPr>
          <w:rFonts w:ascii="Arial" w:hAnsi="Arial" w:cs="Arial"/>
          <w:sz w:val="20"/>
          <w:szCs w:val="20"/>
        </w:rPr>
        <w:t xml:space="preserve">Ji </w:t>
      </w:r>
      <w:r w:rsidRPr="00840A53">
        <w:rPr>
          <w:rFonts w:ascii="Arial" w:hAnsi="Arial" w:cs="Arial"/>
          <w:i/>
          <w:iCs/>
          <w:sz w:val="20"/>
          <w:szCs w:val="20"/>
        </w:rPr>
        <w:t>et al</w:t>
      </w:r>
      <w:r w:rsidRPr="00840A53">
        <w:rPr>
          <w:rFonts w:ascii="Arial" w:hAnsi="Arial" w:cs="Arial"/>
          <w:sz w:val="20"/>
          <w:szCs w:val="20"/>
        </w:rPr>
        <w:t xml:space="preserve">., 2007; </w:t>
      </w:r>
      <w:proofErr w:type="spellStart"/>
      <w:r w:rsidRPr="00840A53">
        <w:rPr>
          <w:rFonts w:ascii="Arial" w:hAnsi="Arial" w:cs="Arial"/>
          <w:color w:val="000000" w:themeColor="text1"/>
          <w:sz w:val="20"/>
          <w:szCs w:val="20"/>
        </w:rPr>
        <w:t>Saseendran</w:t>
      </w:r>
      <w:proofErr w:type="spellEnd"/>
      <w:r w:rsidRPr="00840A53">
        <w:rPr>
          <w:rFonts w:ascii="Arial" w:hAnsi="Arial" w:cs="Arial"/>
          <w:color w:val="000000" w:themeColor="text1"/>
          <w:sz w:val="20"/>
          <w:szCs w:val="20"/>
        </w:rPr>
        <w:t xml:space="preserve"> </w:t>
      </w:r>
      <w:r w:rsidRPr="00840A53">
        <w:rPr>
          <w:rFonts w:ascii="Arial" w:hAnsi="Arial" w:cs="Arial"/>
          <w:i/>
          <w:iCs/>
          <w:color w:val="000000" w:themeColor="text1"/>
          <w:sz w:val="20"/>
          <w:szCs w:val="20"/>
        </w:rPr>
        <w:t>et al</w:t>
      </w:r>
      <w:r w:rsidRPr="00840A53">
        <w:rPr>
          <w:rFonts w:ascii="Arial" w:hAnsi="Arial" w:cs="Arial"/>
          <w:color w:val="000000" w:themeColor="text1"/>
          <w:sz w:val="20"/>
          <w:szCs w:val="20"/>
        </w:rPr>
        <w:t>., 2000</w:t>
      </w:r>
      <w:commentRangeEnd w:id="3"/>
      <w:r w:rsidR="00601C52">
        <w:rPr>
          <w:rStyle w:val="CommentReference"/>
        </w:rPr>
        <w:commentReference w:id="3"/>
      </w:r>
      <w:r w:rsidRPr="00840A53">
        <w:rPr>
          <w:rFonts w:ascii="Arial" w:hAnsi="Arial" w:cs="Arial"/>
          <w:color w:val="000000" w:themeColor="text1"/>
          <w:sz w:val="20"/>
          <w:szCs w:val="20"/>
        </w:rPr>
        <w:t>)</w:t>
      </w:r>
      <w:r w:rsidRPr="00840A53">
        <w:rPr>
          <w:rFonts w:ascii="Arial" w:hAnsi="Arial" w:cs="Arial"/>
          <w:sz w:val="20"/>
          <w:szCs w:val="20"/>
        </w:rPr>
        <w:t>.</w:t>
      </w:r>
    </w:p>
    <w:p w14:paraId="74268829" w14:textId="77777777" w:rsidR="004F1CE0" w:rsidRPr="00840A53" w:rsidRDefault="004F1CE0" w:rsidP="004F1CE0">
      <w:pPr>
        <w:pStyle w:val="NormalWeb"/>
        <w:spacing w:line="360" w:lineRule="auto"/>
        <w:ind w:firstLine="720"/>
        <w:jc w:val="both"/>
        <w:rPr>
          <w:rFonts w:ascii="Arial" w:hAnsi="Arial" w:cs="Arial"/>
          <w:sz w:val="20"/>
          <w:szCs w:val="20"/>
        </w:rPr>
      </w:pPr>
      <w:r w:rsidRPr="00840A53">
        <w:rPr>
          <w:rFonts w:ascii="Arial" w:hAnsi="Arial" w:cs="Arial"/>
          <w:sz w:val="20"/>
          <w:szCs w:val="20"/>
        </w:rPr>
        <w:t xml:space="preserve">Previous studies have reported wide variation in varietal response to transplanting time due to differences in growth </w:t>
      </w:r>
      <w:proofErr w:type="spellStart"/>
      <w:r w:rsidRPr="00840A53">
        <w:rPr>
          <w:rFonts w:ascii="Arial" w:hAnsi="Arial" w:cs="Arial"/>
          <w:sz w:val="20"/>
          <w:szCs w:val="20"/>
        </w:rPr>
        <w:t>behaviour</w:t>
      </w:r>
      <w:proofErr w:type="spellEnd"/>
      <w:r w:rsidRPr="00840A53">
        <w:rPr>
          <w:rFonts w:ascii="Arial" w:hAnsi="Arial" w:cs="Arial"/>
          <w:sz w:val="20"/>
          <w:szCs w:val="20"/>
        </w:rPr>
        <w:t xml:space="preserve"> and genetic adaptability </w:t>
      </w:r>
      <w:commentRangeStart w:id="4"/>
      <w:r w:rsidRPr="00840A53">
        <w:rPr>
          <w:rFonts w:ascii="Arial" w:hAnsi="Arial" w:cs="Arial"/>
          <w:sz w:val="20"/>
          <w:szCs w:val="20"/>
        </w:rPr>
        <w:t xml:space="preserve">(Mann and Dhillon, 2021; Mehta </w:t>
      </w:r>
      <w:r w:rsidRPr="00840A53">
        <w:rPr>
          <w:rFonts w:ascii="Arial" w:hAnsi="Arial" w:cs="Arial"/>
          <w:i/>
          <w:iCs/>
          <w:sz w:val="20"/>
          <w:szCs w:val="20"/>
        </w:rPr>
        <w:t>et al</w:t>
      </w:r>
      <w:r w:rsidRPr="00840A53">
        <w:rPr>
          <w:rFonts w:ascii="Arial" w:hAnsi="Arial" w:cs="Arial"/>
          <w:sz w:val="20"/>
          <w:szCs w:val="20"/>
        </w:rPr>
        <w:t>., 2019</w:t>
      </w:r>
      <w:commentRangeEnd w:id="4"/>
      <w:r w:rsidR="00601C52">
        <w:rPr>
          <w:rStyle w:val="CommentReference"/>
          <w:rFonts w:asciiTheme="minorHAnsi" w:eastAsiaTheme="minorHAnsi" w:hAnsiTheme="minorHAnsi" w:cstheme="minorBidi"/>
          <w:kern w:val="2"/>
          <w:lang w:val="en-IN" w:bidi="ar-SA"/>
          <w14:ligatures w14:val="standardContextual"/>
        </w:rPr>
        <w:commentReference w:id="4"/>
      </w:r>
      <w:r w:rsidRPr="00840A53">
        <w:rPr>
          <w:rFonts w:ascii="Arial" w:hAnsi="Arial" w:cs="Arial"/>
          <w:sz w:val="20"/>
          <w:szCs w:val="20"/>
        </w:rPr>
        <w:t>). Basmati rice varieties, in particular, are sensitive to environmental variation during early growth stages due to their longer growth duration and aromatic grain quality attributes. Under mid-hill conditions of Himachal Pradesh, where rainfall patterns are erratic and temperatures gradually decline after July, optimum transplanting time becomes crucial for achieving desirable vegetative growth and biomass accumulation. Although considerable research exists on the influence of transplanting dates under plains and lowlands, limited scientific evidence is available for the mid-hill ecology where crop phenology is closely linked with microclimatic variation.</w:t>
      </w:r>
    </w:p>
    <w:p w14:paraId="05429378" w14:textId="77777777" w:rsidR="004F1CE0" w:rsidRPr="00840A53" w:rsidRDefault="004F1CE0" w:rsidP="004F1CE0">
      <w:pPr>
        <w:pStyle w:val="NormalWeb"/>
        <w:spacing w:line="360" w:lineRule="auto"/>
        <w:ind w:firstLine="360"/>
        <w:jc w:val="both"/>
        <w:rPr>
          <w:rFonts w:ascii="Arial" w:hAnsi="Arial" w:cs="Arial"/>
          <w:sz w:val="20"/>
          <w:szCs w:val="20"/>
        </w:rPr>
      </w:pPr>
      <w:r w:rsidRPr="00840A53">
        <w:rPr>
          <w:rFonts w:ascii="Arial" w:hAnsi="Arial" w:cs="Arial"/>
          <w:sz w:val="20"/>
          <w:szCs w:val="20"/>
        </w:rPr>
        <w:t xml:space="preserve">Keeping this in view, the present investigation entitled </w:t>
      </w:r>
      <w:r w:rsidRPr="00840A53">
        <w:rPr>
          <w:rStyle w:val="Emphasis"/>
          <w:rFonts w:ascii="Arial" w:eastAsiaTheme="majorEastAsia" w:hAnsi="Arial" w:cs="Arial"/>
          <w:sz w:val="20"/>
          <w:szCs w:val="20"/>
        </w:rPr>
        <w:t>“Effect of different transplanting times on yield of basmati rice (Oryza sativa L.) under mid-hill conditions of Himachal Pradesh”</w:t>
      </w:r>
      <w:r w:rsidRPr="00840A53">
        <w:rPr>
          <w:rFonts w:ascii="Arial" w:hAnsi="Arial" w:cs="Arial"/>
          <w:i/>
          <w:iCs/>
          <w:sz w:val="20"/>
          <w:szCs w:val="20"/>
        </w:rPr>
        <w:t xml:space="preserve"> </w:t>
      </w:r>
      <w:r w:rsidRPr="00840A53">
        <w:rPr>
          <w:rFonts w:ascii="Arial" w:hAnsi="Arial" w:cs="Arial"/>
          <w:sz w:val="20"/>
          <w:szCs w:val="20"/>
        </w:rPr>
        <w:t>was carried out with the objective to see the response of different transplanting dates on yield of basmati rice varieties.</w:t>
      </w:r>
    </w:p>
    <w:p w14:paraId="66201EC2" w14:textId="77777777" w:rsidR="004B632C" w:rsidRDefault="004B632C" w:rsidP="004B632C">
      <w:pPr>
        <w:pStyle w:val="NormalWeb"/>
        <w:numPr>
          <w:ilvl w:val="0"/>
          <w:numId w:val="1"/>
        </w:numPr>
        <w:spacing w:line="360" w:lineRule="auto"/>
        <w:rPr>
          <w:rFonts w:ascii="Arial" w:hAnsi="Arial" w:cs="Arial"/>
          <w:b/>
          <w:bCs/>
          <w:sz w:val="22"/>
          <w:szCs w:val="22"/>
        </w:rPr>
      </w:pPr>
      <w:r w:rsidRPr="004B632C">
        <w:rPr>
          <w:rFonts w:ascii="Arial" w:hAnsi="Arial" w:cs="Arial"/>
          <w:b/>
          <w:bCs/>
          <w:sz w:val="22"/>
          <w:szCs w:val="22"/>
        </w:rPr>
        <w:t>DATA AND METHODOLOGY</w:t>
      </w:r>
    </w:p>
    <w:p w14:paraId="7948F335" w14:textId="77777777" w:rsidR="004B632C" w:rsidRDefault="004F1CE0" w:rsidP="004B632C">
      <w:pPr>
        <w:pStyle w:val="NormalWeb"/>
        <w:spacing w:line="360" w:lineRule="auto"/>
        <w:ind w:firstLine="720"/>
        <w:rPr>
          <w:rFonts w:ascii="Arial" w:hAnsi="Arial" w:cs="Arial"/>
          <w:sz w:val="20"/>
          <w:szCs w:val="20"/>
        </w:rPr>
      </w:pPr>
      <w:r w:rsidRPr="004B632C">
        <w:rPr>
          <w:rFonts w:ascii="Arial" w:hAnsi="Arial" w:cs="Arial"/>
          <w:sz w:val="20"/>
          <w:szCs w:val="20"/>
        </w:rPr>
        <w:t xml:space="preserve">A field experiment was conducted during </w:t>
      </w:r>
      <w:r w:rsidRPr="004B632C">
        <w:rPr>
          <w:rStyle w:val="Strong"/>
          <w:rFonts w:ascii="Arial" w:eastAsiaTheme="majorEastAsia" w:hAnsi="Arial" w:cs="Arial"/>
          <w:b w:val="0"/>
          <w:bCs w:val="0"/>
          <w:i/>
          <w:iCs/>
          <w:sz w:val="20"/>
          <w:szCs w:val="20"/>
        </w:rPr>
        <w:t xml:space="preserve">kharif </w:t>
      </w:r>
      <w:r w:rsidRPr="004B632C">
        <w:rPr>
          <w:rStyle w:val="Strong"/>
          <w:rFonts w:ascii="Arial" w:eastAsiaTheme="majorEastAsia" w:hAnsi="Arial" w:cs="Arial"/>
          <w:b w:val="0"/>
          <w:bCs w:val="0"/>
          <w:sz w:val="20"/>
          <w:szCs w:val="20"/>
        </w:rPr>
        <w:t>2024</w:t>
      </w:r>
      <w:r w:rsidRPr="004B632C">
        <w:rPr>
          <w:rFonts w:ascii="Arial" w:hAnsi="Arial" w:cs="Arial"/>
          <w:sz w:val="20"/>
          <w:szCs w:val="20"/>
        </w:rPr>
        <w:t xml:space="preserve"> at the </w:t>
      </w:r>
      <w:r w:rsidRPr="004B632C">
        <w:rPr>
          <w:rStyle w:val="Strong"/>
          <w:rFonts w:ascii="Arial" w:eastAsiaTheme="majorEastAsia" w:hAnsi="Arial" w:cs="Arial"/>
          <w:b w:val="0"/>
          <w:bCs w:val="0"/>
          <w:sz w:val="20"/>
          <w:szCs w:val="20"/>
        </w:rPr>
        <w:t>Experimental Farm, Department of Agronomy, CSK HPKV, Palampur</w:t>
      </w:r>
      <w:r w:rsidRPr="004B632C">
        <w:rPr>
          <w:rFonts w:ascii="Arial" w:hAnsi="Arial" w:cs="Arial"/>
          <w:sz w:val="20"/>
          <w:szCs w:val="20"/>
        </w:rPr>
        <w:t>. The location of the experiment was 1290 meters above mean sea level at 32°6ꞌN latitude, 76°3ꞌ E longitude. During the crop growth season, the weekly maximum and minimum temperatures varied from between 35.3 °C and 7.8 °C, respectively. The total rainfall received during the crop season was 2512 mm; however, it was unevenly distributed during the early growth stages of crop. The bright sunshine hours ranged from 0.9 hours to 11.1 hours, and the mean relative humidity ranged between 26.1 to 91.8 % during the cropping season.</w:t>
      </w:r>
    </w:p>
    <w:p w14:paraId="7EA72652" w14:textId="77777777" w:rsidR="00D32778" w:rsidRDefault="00D32778" w:rsidP="00D32778">
      <w:pPr>
        <w:pStyle w:val="NormalWeb"/>
        <w:spacing w:line="360" w:lineRule="auto"/>
        <w:rPr>
          <w:rFonts w:ascii="Arial" w:hAnsi="Arial" w:cs="Arial"/>
          <w:sz w:val="20"/>
          <w:szCs w:val="20"/>
        </w:rPr>
      </w:pPr>
      <w:r w:rsidRPr="0075265E">
        <w:rPr>
          <w:rFonts w:ascii="Arial" w:hAnsi="Arial" w:cs="Arial"/>
          <w:noProof/>
        </w:rPr>
        <w:lastRenderedPageBreak/>
        <w:drawing>
          <wp:inline distT="0" distB="0" distL="0" distR="0" wp14:anchorId="5B25C5E3" wp14:editId="532579F1">
            <wp:extent cx="5995035" cy="4157980"/>
            <wp:effectExtent l="0" t="0" r="5715" b="1397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76118C" w14:textId="77777777" w:rsidR="00D32778" w:rsidRPr="00D32778" w:rsidRDefault="00D32778" w:rsidP="004B632C">
      <w:pPr>
        <w:pStyle w:val="NormalWeb"/>
        <w:spacing w:line="360" w:lineRule="auto"/>
        <w:ind w:firstLine="720"/>
        <w:rPr>
          <w:rFonts w:ascii="Arial" w:hAnsi="Arial" w:cs="Arial"/>
          <w:sz w:val="20"/>
          <w:szCs w:val="20"/>
        </w:rPr>
      </w:pPr>
      <w:r w:rsidRPr="00D32778">
        <w:rPr>
          <w:rFonts w:ascii="Arial" w:hAnsi="Arial" w:cs="Arial"/>
          <w:sz w:val="20"/>
          <w:szCs w:val="20"/>
        </w:rPr>
        <w:t xml:space="preserve">Fig. 1. Mean weekly meteorological data of </w:t>
      </w:r>
      <w:r w:rsidRPr="00D32778">
        <w:rPr>
          <w:rFonts w:ascii="Arial" w:hAnsi="Arial" w:cs="Arial"/>
          <w:i/>
          <w:iCs/>
          <w:sz w:val="20"/>
          <w:szCs w:val="20"/>
        </w:rPr>
        <w:t xml:space="preserve">kharif </w:t>
      </w:r>
      <w:r>
        <w:rPr>
          <w:rFonts w:ascii="Arial" w:hAnsi="Arial" w:cs="Arial"/>
          <w:sz w:val="20"/>
          <w:szCs w:val="20"/>
        </w:rPr>
        <w:t>2024 at Palampur</w:t>
      </w:r>
    </w:p>
    <w:p w14:paraId="658C0824" w14:textId="77777777" w:rsidR="004F1CE0" w:rsidRPr="004B632C" w:rsidRDefault="004F1CE0" w:rsidP="004B632C">
      <w:pPr>
        <w:pStyle w:val="NormalWeb"/>
        <w:spacing w:line="360" w:lineRule="auto"/>
        <w:ind w:firstLine="720"/>
        <w:rPr>
          <w:rFonts w:ascii="Arial" w:hAnsi="Arial" w:cs="Arial"/>
          <w:sz w:val="20"/>
          <w:szCs w:val="20"/>
        </w:rPr>
      </w:pPr>
      <w:r w:rsidRPr="004B632C">
        <w:rPr>
          <w:rFonts w:ascii="Arial" w:hAnsi="Arial" w:cs="Arial"/>
          <w:sz w:val="20"/>
          <w:szCs w:val="20"/>
        </w:rPr>
        <w:t>The soil at the site was</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silty clay loam, acidic in nature,</w:t>
      </w:r>
      <w:r w:rsidRPr="004B632C">
        <w:rPr>
          <w:rFonts w:ascii="Arial" w:hAnsi="Arial" w:cs="Arial"/>
          <w:sz w:val="20"/>
          <w:szCs w:val="20"/>
        </w:rPr>
        <w:t xml:space="preserve"> with</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medium levels of available nitrogen, phosphorus, and potassium</w:t>
      </w:r>
      <w:r w:rsidRPr="004B632C">
        <w:rPr>
          <w:rFonts w:ascii="Arial" w:hAnsi="Arial" w:cs="Arial"/>
          <w:sz w:val="20"/>
          <w:szCs w:val="20"/>
        </w:rPr>
        <w:t>.</w:t>
      </w:r>
      <w:r w:rsidRPr="004B632C">
        <w:rPr>
          <w:rFonts w:ascii="Arial" w:hAnsi="Arial" w:cs="Arial"/>
          <w:b/>
          <w:bCs/>
          <w:sz w:val="20"/>
          <w:szCs w:val="20"/>
        </w:rPr>
        <w:t xml:space="preserve"> </w:t>
      </w:r>
    </w:p>
    <w:p w14:paraId="482136A7" w14:textId="77777777" w:rsidR="004F1CE0" w:rsidRPr="004B632C" w:rsidRDefault="004F1CE0" w:rsidP="004B632C">
      <w:pPr>
        <w:pStyle w:val="ListParagraph"/>
        <w:spacing w:after="7" w:line="360" w:lineRule="auto"/>
        <w:ind w:left="0"/>
        <w:jc w:val="both"/>
        <w:rPr>
          <w:rFonts w:ascii="Arial" w:hAnsi="Arial" w:cs="Arial"/>
          <w:b/>
          <w:bCs/>
          <w:sz w:val="20"/>
          <w:szCs w:val="20"/>
        </w:rPr>
      </w:pPr>
      <w:r w:rsidRPr="004B632C">
        <w:rPr>
          <w:rFonts w:ascii="Arial" w:hAnsi="Arial" w:cs="Arial"/>
          <w:b/>
          <w:bCs/>
          <w:sz w:val="20"/>
          <w:szCs w:val="20"/>
        </w:rPr>
        <w:t xml:space="preserve">Table 1.  Physio-chemical properties of the soil </w:t>
      </w:r>
    </w:p>
    <w:tbl>
      <w:tblPr>
        <w:tblW w:w="5000" w:type="pct"/>
        <w:tblLook w:val="00A0" w:firstRow="1" w:lastRow="0" w:firstColumn="1" w:lastColumn="0" w:noHBand="0" w:noVBand="0"/>
        <w:tblPrChange w:id="5" w:author="Microsoft account" w:date="2025-12-23T16:52:00Z">
          <w:tblPr>
            <w:tblW w:w="5000" w:type="pct"/>
            <w:tblLook w:val="04A0" w:firstRow="1" w:lastRow="0" w:firstColumn="1" w:lastColumn="0" w:noHBand="0" w:noVBand="1"/>
          </w:tblPr>
        </w:tblPrChange>
      </w:tblPr>
      <w:tblGrid>
        <w:gridCol w:w="3233"/>
        <w:gridCol w:w="1596"/>
        <w:gridCol w:w="4197"/>
        <w:tblGridChange w:id="6">
          <w:tblGrid>
            <w:gridCol w:w="3233"/>
            <w:gridCol w:w="1596"/>
            <w:gridCol w:w="4197"/>
          </w:tblGrid>
        </w:tblGridChange>
      </w:tblGrid>
      <w:tr w:rsidR="00D32778" w:rsidRPr="00D32778" w14:paraId="24DE4D0B" w14:textId="77777777" w:rsidTr="001D3CE9">
        <w:trPr>
          <w:trHeight w:val="316"/>
          <w:trPrChange w:id="7" w:author="Microsoft account" w:date="2025-12-23T16:52:00Z">
            <w:trPr>
              <w:trHeight w:val="316"/>
            </w:trPr>
          </w:trPrChange>
        </w:trPr>
        <w:tc>
          <w:tcPr>
            <w:tcW w:w="1791" w:type="pct"/>
            <w:tcBorders>
              <w:top w:val="single" w:sz="4" w:space="0" w:color="auto"/>
              <w:left w:val="nil"/>
              <w:bottom w:val="single" w:sz="4" w:space="0" w:color="auto"/>
              <w:right w:val="nil"/>
            </w:tcBorders>
            <w:hideMark/>
            <w:tcPrChange w:id="8" w:author="Microsoft account" w:date="2025-12-23T16:52:00Z">
              <w:tcPr>
                <w:tcW w:w="1791" w:type="pct"/>
                <w:tcBorders>
                  <w:top w:val="single" w:sz="4" w:space="0" w:color="auto"/>
                  <w:left w:val="nil"/>
                  <w:bottom w:val="single" w:sz="4" w:space="0" w:color="auto"/>
                  <w:right w:val="nil"/>
                </w:tcBorders>
                <w:hideMark/>
              </w:tcPr>
            </w:tcPrChange>
          </w:tcPr>
          <w:p w14:paraId="3D3A7BE3" w14:textId="77777777" w:rsidR="00D32778" w:rsidRPr="00D32778" w:rsidRDefault="00D32778" w:rsidP="001D3CE9">
            <w:pPr>
              <w:spacing w:line="360" w:lineRule="auto"/>
              <w:rPr>
                <w:rFonts w:ascii="Arial" w:hAnsi="Arial" w:cs="Arial"/>
                <w:b/>
                <w:bCs/>
                <w:sz w:val="20"/>
                <w:szCs w:val="20"/>
                <w:lang w:bidi="en-US"/>
              </w:rPr>
            </w:pPr>
            <w:r w:rsidRPr="00D32778">
              <w:rPr>
                <w:rFonts w:ascii="Arial" w:hAnsi="Arial" w:cs="Arial"/>
                <w:b/>
                <w:bCs/>
                <w:sz w:val="20"/>
                <w:szCs w:val="20"/>
                <w:lang w:bidi="en-US"/>
              </w:rPr>
              <w:t>Soil property</w:t>
            </w:r>
          </w:p>
        </w:tc>
        <w:tc>
          <w:tcPr>
            <w:tcW w:w="884" w:type="pct"/>
            <w:tcBorders>
              <w:top w:val="single" w:sz="4" w:space="0" w:color="auto"/>
              <w:left w:val="nil"/>
              <w:bottom w:val="single" w:sz="4" w:space="0" w:color="auto"/>
              <w:right w:val="nil"/>
            </w:tcBorders>
            <w:hideMark/>
            <w:tcPrChange w:id="9" w:author="Microsoft account" w:date="2025-12-23T16:52:00Z">
              <w:tcPr>
                <w:tcW w:w="884" w:type="pct"/>
                <w:tcBorders>
                  <w:top w:val="single" w:sz="4" w:space="0" w:color="auto"/>
                  <w:left w:val="nil"/>
                  <w:bottom w:val="single" w:sz="4" w:space="0" w:color="auto"/>
                  <w:right w:val="nil"/>
                </w:tcBorders>
                <w:hideMark/>
              </w:tcPr>
            </w:tcPrChange>
          </w:tcPr>
          <w:p w14:paraId="07AF776E" w14:textId="77777777" w:rsidR="00D32778" w:rsidRPr="00D32778" w:rsidRDefault="00D32778" w:rsidP="001D3CE9">
            <w:pPr>
              <w:spacing w:line="360" w:lineRule="auto"/>
              <w:rPr>
                <w:rFonts w:ascii="Arial" w:hAnsi="Arial" w:cs="Arial"/>
                <w:b/>
                <w:bCs/>
                <w:sz w:val="20"/>
                <w:szCs w:val="20"/>
                <w:lang w:bidi="en-US"/>
              </w:rPr>
            </w:pPr>
            <w:r w:rsidRPr="00D32778">
              <w:rPr>
                <w:rFonts w:ascii="Arial" w:hAnsi="Arial" w:cs="Arial"/>
                <w:b/>
                <w:bCs/>
                <w:sz w:val="20"/>
                <w:szCs w:val="20"/>
                <w:lang w:bidi="en-US"/>
              </w:rPr>
              <w:t>Value</w:t>
            </w:r>
          </w:p>
        </w:tc>
        <w:tc>
          <w:tcPr>
            <w:tcW w:w="2325" w:type="pct"/>
            <w:tcBorders>
              <w:top w:val="single" w:sz="4" w:space="0" w:color="auto"/>
              <w:left w:val="nil"/>
              <w:bottom w:val="single" w:sz="4" w:space="0" w:color="auto"/>
              <w:right w:val="nil"/>
            </w:tcBorders>
            <w:hideMark/>
            <w:tcPrChange w:id="10" w:author="Microsoft account" w:date="2025-12-23T16:52:00Z">
              <w:tcPr>
                <w:tcW w:w="2325" w:type="pct"/>
                <w:tcBorders>
                  <w:top w:val="single" w:sz="4" w:space="0" w:color="auto"/>
                  <w:left w:val="nil"/>
                  <w:bottom w:val="single" w:sz="4" w:space="0" w:color="auto"/>
                  <w:right w:val="nil"/>
                </w:tcBorders>
                <w:hideMark/>
              </w:tcPr>
            </w:tcPrChange>
          </w:tcPr>
          <w:p w14:paraId="718560C5" w14:textId="77777777" w:rsidR="00D32778" w:rsidRPr="00D32778" w:rsidRDefault="00D32778" w:rsidP="001D3CE9">
            <w:pPr>
              <w:spacing w:line="360" w:lineRule="auto"/>
              <w:rPr>
                <w:rFonts w:ascii="Arial" w:hAnsi="Arial" w:cs="Arial"/>
                <w:b/>
                <w:bCs/>
                <w:sz w:val="20"/>
                <w:szCs w:val="20"/>
                <w:lang w:bidi="en-US"/>
              </w:rPr>
            </w:pPr>
            <w:r w:rsidRPr="00D32778">
              <w:rPr>
                <w:rFonts w:ascii="Arial" w:hAnsi="Arial" w:cs="Arial"/>
                <w:b/>
                <w:bCs/>
                <w:sz w:val="20"/>
                <w:szCs w:val="20"/>
                <w:lang w:bidi="en-US"/>
              </w:rPr>
              <w:t>Method</w:t>
            </w:r>
          </w:p>
        </w:tc>
      </w:tr>
      <w:tr w:rsidR="00D32778" w:rsidRPr="00D32778" w14:paraId="194D276E" w14:textId="77777777" w:rsidTr="001D3CE9">
        <w:trPr>
          <w:trHeight w:val="285"/>
          <w:trPrChange w:id="11" w:author="Microsoft account" w:date="2025-12-23T16:52:00Z">
            <w:trPr>
              <w:trHeight w:val="285"/>
            </w:trPr>
          </w:trPrChange>
        </w:trPr>
        <w:tc>
          <w:tcPr>
            <w:tcW w:w="2675" w:type="pct"/>
            <w:gridSpan w:val="2"/>
            <w:tcBorders>
              <w:top w:val="single" w:sz="4" w:space="0" w:color="auto"/>
              <w:left w:val="nil"/>
              <w:bottom w:val="nil"/>
              <w:right w:val="nil"/>
            </w:tcBorders>
            <w:hideMark/>
            <w:tcPrChange w:id="12" w:author="Microsoft account" w:date="2025-12-23T16:52:00Z">
              <w:tcPr>
                <w:tcW w:w="2675" w:type="pct"/>
                <w:gridSpan w:val="2"/>
                <w:tcBorders>
                  <w:top w:val="single" w:sz="4" w:space="0" w:color="auto"/>
                  <w:left w:val="nil"/>
                  <w:bottom w:val="nil"/>
                  <w:right w:val="nil"/>
                </w:tcBorders>
                <w:hideMark/>
              </w:tcPr>
            </w:tcPrChange>
          </w:tcPr>
          <w:p w14:paraId="7F3E72FD" w14:textId="77777777" w:rsidR="00D32778" w:rsidRPr="00D32778" w:rsidRDefault="00D32778" w:rsidP="001D3CE9">
            <w:pPr>
              <w:spacing w:line="360" w:lineRule="auto"/>
              <w:jc w:val="both"/>
              <w:rPr>
                <w:rFonts w:ascii="Arial" w:hAnsi="Arial" w:cs="Arial"/>
                <w:b/>
                <w:sz w:val="20"/>
                <w:szCs w:val="20"/>
                <w:lang w:bidi="en-US"/>
              </w:rPr>
            </w:pPr>
          </w:p>
        </w:tc>
        <w:tc>
          <w:tcPr>
            <w:tcW w:w="2325" w:type="pct"/>
            <w:tcBorders>
              <w:top w:val="single" w:sz="4" w:space="0" w:color="auto"/>
              <w:left w:val="nil"/>
              <w:bottom w:val="nil"/>
              <w:right w:val="nil"/>
            </w:tcBorders>
            <w:tcPrChange w:id="13" w:author="Microsoft account" w:date="2025-12-23T16:52:00Z">
              <w:tcPr>
                <w:tcW w:w="2325" w:type="pct"/>
                <w:tcBorders>
                  <w:top w:val="single" w:sz="4" w:space="0" w:color="auto"/>
                  <w:left w:val="nil"/>
                  <w:bottom w:val="nil"/>
                  <w:right w:val="nil"/>
                </w:tcBorders>
              </w:tcPr>
            </w:tcPrChange>
          </w:tcPr>
          <w:p w14:paraId="19CE4581" w14:textId="77777777" w:rsidR="00D32778" w:rsidRPr="00D32778" w:rsidRDefault="00D32778" w:rsidP="001D3CE9">
            <w:pPr>
              <w:spacing w:line="360" w:lineRule="auto"/>
              <w:rPr>
                <w:rFonts w:ascii="Arial" w:hAnsi="Arial" w:cs="Arial"/>
                <w:sz w:val="20"/>
                <w:szCs w:val="20"/>
                <w:lang w:bidi="en-US"/>
              </w:rPr>
            </w:pPr>
          </w:p>
        </w:tc>
      </w:tr>
      <w:tr w:rsidR="00D32778" w:rsidRPr="00D32778" w14:paraId="29F62919" w14:textId="77777777" w:rsidTr="001D3CE9">
        <w:trPr>
          <w:trHeight w:val="285"/>
          <w:trPrChange w:id="14" w:author="Microsoft account" w:date="2025-12-23T16:52:00Z">
            <w:trPr>
              <w:trHeight w:val="285"/>
            </w:trPr>
          </w:trPrChange>
        </w:trPr>
        <w:tc>
          <w:tcPr>
            <w:tcW w:w="1791" w:type="pct"/>
            <w:hideMark/>
            <w:tcPrChange w:id="15" w:author="Microsoft account" w:date="2025-12-23T16:52:00Z">
              <w:tcPr>
                <w:tcW w:w="1791" w:type="pct"/>
                <w:hideMark/>
              </w:tcPr>
            </w:tcPrChange>
          </w:tcPr>
          <w:p w14:paraId="3FEE57F7"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Sand (%)</w:t>
            </w:r>
          </w:p>
        </w:tc>
        <w:tc>
          <w:tcPr>
            <w:tcW w:w="884" w:type="pct"/>
            <w:hideMark/>
            <w:tcPrChange w:id="16" w:author="Microsoft account" w:date="2025-12-23T16:52:00Z">
              <w:tcPr>
                <w:tcW w:w="884" w:type="pct"/>
                <w:hideMark/>
              </w:tcPr>
            </w:tcPrChange>
          </w:tcPr>
          <w:p w14:paraId="35B170A1"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21.5</w:t>
            </w:r>
          </w:p>
        </w:tc>
        <w:tc>
          <w:tcPr>
            <w:tcW w:w="2325" w:type="pct"/>
            <w:hideMark/>
            <w:tcPrChange w:id="17" w:author="Microsoft account" w:date="2025-12-23T16:52:00Z">
              <w:tcPr>
                <w:tcW w:w="2325" w:type="pct"/>
                <w:hideMark/>
              </w:tcPr>
            </w:tcPrChange>
          </w:tcPr>
          <w:p w14:paraId="733A986B"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International pipette method (Piper, 1966)</w:t>
            </w:r>
          </w:p>
        </w:tc>
      </w:tr>
      <w:tr w:rsidR="00D32778" w:rsidRPr="00D32778" w14:paraId="24AD2E56" w14:textId="77777777" w:rsidTr="001D3CE9">
        <w:trPr>
          <w:trHeight w:val="285"/>
          <w:trPrChange w:id="18" w:author="Microsoft account" w:date="2025-12-23T16:52:00Z">
            <w:trPr>
              <w:trHeight w:val="285"/>
            </w:trPr>
          </w:trPrChange>
        </w:trPr>
        <w:tc>
          <w:tcPr>
            <w:tcW w:w="1791" w:type="pct"/>
            <w:hideMark/>
            <w:tcPrChange w:id="19" w:author="Microsoft account" w:date="2025-12-23T16:52:00Z">
              <w:tcPr>
                <w:tcW w:w="1791" w:type="pct"/>
                <w:hideMark/>
              </w:tcPr>
            </w:tcPrChange>
          </w:tcPr>
          <w:p w14:paraId="63937108"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Silt (%)</w:t>
            </w:r>
          </w:p>
        </w:tc>
        <w:tc>
          <w:tcPr>
            <w:tcW w:w="884" w:type="pct"/>
            <w:hideMark/>
            <w:tcPrChange w:id="20" w:author="Microsoft account" w:date="2025-12-23T16:52:00Z">
              <w:tcPr>
                <w:tcW w:w="884" w:type="pct"/>
                <w:hideMark/>
              </w:tcPr>
            </w:tcPrChange>
          </w:tcPr>
          <w:p w14:paraId="2A642EA7"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44.3</w:t>
            </w:r>
          </w:p>
        </w:tc>
        <w:tc>
          <w:tcPr>
            <w:tcW w:w="2325" w:type="pct"/>
            <w:shd w:val="clear" w:color="auto" w:fill="FFFF00"/>
            <w:tcPrChange w:id="21" w:author="Microsoft account" w:date="2025-12-23T16:52:00Z">
              <w:tcPr>
                <w:tcW w:w="2325" w:type="pct"/>
              </w:tcPr>
            </w:tcPrChange>
          </w:tcPr>
          <w:p w14:paraId="605E81FA" w14:textId="77777777" w:rsidR="00D32778" w:rsidRPr="00601C52" w:rsidRDefault="00D32778" w:rsidP="001D3CE9">
            <w:pPr>
              <w:spacing w:line="360" w:lineRule="auto"/>
              <w:rPr>
                <w:rFonts w:ascii="Arial" w:hAnsi="Arial" w:cs="Arial"/>
                <w:sz w:val="20"/>
                <w:szCs w:val="20"/>
                <w:highlight w:val="yellow"/>
                <w:lang w:bidi="en-US"/>
              </w:rPr>
            </w:pPr>
          </w:p>
        </w:tc>
      </w:tr>
      <w:tr w:rsidR="00D32778" w:rsidRPr="00D32778" w14:paraId="5C5D26FD" w14:textId="77777777" w:rsidTr="001D3CE9">
        <w:trPr>
          <w:trHeight w:val="301"/>
          <w:trPrChange w:id="22" w:author="Microsoft account" w:date="2025-12-23T16:52:00Z">
            <w:trPr>
              <w:trHeight w:val="301"/>
            </w:trPr>
          </w:trPrChange>
        </w:trPr>
        <w:tc>
          <w:tcPr>
            <w:tcW w:w="1791" w:type="pct"/>
            <w:hideMark/>
            <w:tcPrChange w:id="23" w:author="Microsoft account" w:date="2025-12-23T16:52:00Z">
              <w:tcPr>
                <w:tcW w:w="1791" w:type="pct"/>
                <w:hideMark/>
              </w:tcPr>
            </w:tcPrChange>
          </w:tcPr>
          <w:p w14:paraId="22D75CE8"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Clay (%)</w:t>
            </w:r>
          </w:p>
        </w:tc>
        <w:tc>
          <w:tcPr>
            <w:tcW w:w="884" w:type="pct"/>
            <w:hideMark/>
            <w:tcPrChange w:id="24" w:author="Microsoft account" w:date="2025-12-23T16:52:00Z">
              <w:tcPr>
                <w:tcW w:w="884" w:type="pct"/>
                <w:hideMark/>
              </w:tcPr>
            </w:tcPrChange>
          </w:tcPr>
          <w:p w14:paraId="3B13E495"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34.2</w:t>
            </w:r>
          </w:p>
        </w:tc>
        <w:tc>
          <w:tcPr>
            <w:tcW w:w="2325" w:type="pct"/>
            <w:shd w:val="clear" w:color="auto" w:fill="FFFF00"/>
            <w:tcPrChange w:id="25" w:author="Microsoft account" w:date="2025-12-23T16:52:00Z">
              <w:tcPr>
                <w:tcW w:w="2325" w:type="pct"/>
              </w:tcPr>
            </w:tcPrChange>
          </w:tcPr>
          <w:p w14:paraId="0534F9BB" w14:textId="77777777" w:rsidR="00D32778" w:rsidRPr="00601C52" w:rsidRDefault="00D32778" w:rsidP="001D3CE9">
            <w:pPr>
              <w:spacing w:line="360" w:lineRule="auto"/>
              <w:rPr>
                <w:rFonts w:ascii="Arial" w:hAnsi="Arial" w:cs="Arial"/>
                <w:sz w:val="20"/>
                <w:szCs w:val="20"/>
                <w:highlight w:val="yellow"/>
                <w:lang w:bidi="en-US"/>
              </w:rPr>
            </w:pPr>
          </w:p>
        </w:tc>
      </w:tr>
      <w:tr w:rsidR="00D32778" w:rsidRPr="00D32778" w14:paraId="4F85E7A1" w14:textId="77777777" w:rsidTr="001D3CE9">
        <w:trPr>
          <w:trHeight w:val="585"/>
          <w:trPrChange w:id="26" w:author="Microsoft account" w:date="2025-12-23T16:52:00Z">
            <w:trPr>
              <w:trHeight w:val="585"/>
            </w:trPr>
          </w:trPrChange>
        </w:trPr>
        <w:tc>
          <w:tcPr>
            <w:tcW w:w="1791" w:type="pct"/>
            <w:hideMark/>
            <w:tcPrChange w:id="27" w:author="Microsoft account" w:date="2025-12-23T16:52:00Z">
              <w:tcPr>
                <w:tcW w:w="1791" w:type="pct"/>
                <w:hideMark/>
              </w:tcPr>
            </w:tcPrChange>
          </w:tcPr>
          <w:p w14:paraId="7CADB09E"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Textural class</w:t>
            </w:r>
          </w:p>
        </w:tc>
        <w:tc>
          <w:tcPr>
            <w:tcW w:w="884" w:type="pct"/>
            <w:hideMark/>
            <w:tcPrChange w:id="28" w:author="Microsoft account" w:date="2025-12-23T16:52:00Z">
              <w:tcPr>
                <w:tcW w:w="884" w:type="pct"/>
                <w:hideMark/>
              </w:tcPr>
            </w:tcPrChange>
          </w:tcPr>
          <w:p w14:paraId="2E5D8F24"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Silty clay loam</w:t>
            </w:r>
          </w:p>
        </w:tc>
        <w:tc>
          <w:tcPr>
            <w:tcW w:w="2325" w:type="pct"/>
            <w:shd w:val="clear" w:color="auto" w:fill="FFFF00"/>
            <w:tcPrChange w:id="29" w:author="Microsoft account" w:date="2025-12-23T16:52:00Z">
              <w:tcPr>
                <w:tcW w:w="2325" w:type="pct"/>
              </w:tcPr>
            </w:tcPrChange>
          </w:tcPr>
          <w:p w14:paraId="564927BA" w14:textId="77777777" w:rsidR="00D32778" w:rsidRPr="00601C52" w:rsidRDefault="00D32778" w:rsidP="001D3CE9">
            <w:pPr>
              <w:spacing w:line="360" w:lineRule="auto"/>
              <w:rPr>
                <w:rFonts w:ascii="Arial" w:hAnsi="Arial" w:cs="Arial"/>
                <w:sz w:val="20"/>
                <w:szCs w:val="20"/>
                <w:highlight w:val="yellow"/>
                <w:lang w:bidi="en-US"/>
              </w:rPr>
            </w:pPr>
          </w:p>
        </w:tc>
      </w:tr>
      <w:tr w:rsidR="00D32778" w:rsidRPr="00D32778" w14:paraId="222E344A" w14:textId="77777777" w:rsidTr="001D3CE9">
        <w:trPr>
          <w:trHeight w:val="285"/>
          <w:trPrChange w:id="30" w:author="Microsoft account" w:date="2025-12-23T16:52:00Z">
            <w:trPr>
              <w:trHeight w:val="285"/>
            </w:trPr>
          </w:trPrChange>
        </w:trPr>
        <w:tc>
          <w:tcPr>
            <w:tcW w:w="1791" w:type="pct"/>
            <w:shd w:val="clear" w:color="auto" w:fill="FFFF00"/>
            <w:hideMark/>
            <w:tcPrChange w:id="31" w:author="Microsoft account" w:date="2025-12-23T16:52:00Z">
              <w:tcPr>
                <w:tcW w:w="1791" w:type="pct"/>
                <w:hideMark/>
              </w:tcPr>
            </w:tcPrChange>
          </w:tcPr>
          <w:p w14:paraId="5F13FC41" w14:textId="77777777" w:rsidR="00D32778" w:rsidRPr="00D32778" w:rsidRDefault="00D32778" w:rsidP="001D3CE9">
            <w:pPr>
              <w:spacing w:line="360" w:lineRule="auto"/>
              <w:jc w:val="both"/>
              <w:rPr>
                <w:rFonts w:ascii="Arial" w:hAnsi="Arial" w:cs="Arial"/>
                <w:b/>
                <w:sz w:val="20"/>
                <w:szCs w:val="20"/>
                <w:lang w:bidi="en-US"/>
              </w:rPr>
            </w:pPr>
          </w:p>
        </w:tc>
        <w:tc>
          <w:tcPr>
            <w:tcW w:w="884" w:type="pct"/>
            <w:shd w:val="clear" w:color="auto" w:fill="FFFF00"/>
            <w:tcPrChange w:id="32" w:author="Microsoft account" w:date="2025-12-23T16:52:00Z">
              <w:tcPr>
                <w:tcW w:w="884" w:type="pct"/>
              </w:tcPr>
            </w:tcPrChange>
          </w:tcPr>
          <w:p w14:paraId="1CC1319E" w14:textId="77777777" w:rsidR="00D32778" w:rsidRPr="00D32778" w:rsidRDefault="00D32778" w:rsidP="001D3CE9">
            <w:pPr>
              <w:spacing w:line="360" w:lineRule="auto"/>
              <w:rPr>
                <w:rFonts w:ascii="Arial" w:hAnsi="Arial" w:cs="Arial"/>
                <w:b/>
                <w:sz w:val="20"/>
                <w:szCs w:val="20"/>
                <w:lang w:bidi="en-US"/>
              </w:rPr>
            </w:pPr>
          </w:p>
        </w:tc>
        <w:tc>
          <w:tcPr>
            <w:tcW w:w="2325" w:type="pct"/>
            <w:shd w:val="clear" w:color="auto" w:fill="FFFF00"/>
            <w:tcPrChange w:id="33" w:author="Microsoft account" w:date="2025-12-23T16:52:00Z">
              <w:tcPr>
                <w:tcW w:w="2325" w:type="pct"/>
              </w:tcPr>
            </w:tcPrChange>
          </w:tcPr>
          <w:p w14:paraId="3A99325F" w14:textId="77777777" w:rsidR="00D32778" w:rsidRPr="00D32778" w:rsidRDefault="00D32778" w:rsidP="001D3CE9">
            <w:pPr>
              <w:spacing w:line="360" w:lineRule="auto"/>
              <w:rPr>
                <w:rFonts w:ascii="Arial" w:hAnsi="Arial" w:cs="Arial"/>
                <w:b/>
                <w:sz w:val="20"/>
                <w:szCs w:val="20"/>
                <w:lang w:bidi="en-US"/>
              </w:rPr>
            </w:pPr>
          </w:p>
        </w:tc>
      </w:tr>
      <w:tr w:rsidR="00D32778" w:rsidRPr="00D32778" w14:paraId="21139BC5" w14:textId="77777777" w:rsidTr="001D3CE9">
        <w:trPr>
          <w:trHeight w:val="285"/>
          <w:trPrChange w:id="34" w:author="Microsoft account" w:date="2025-12-23T16:52:00Z">
            <w:trPr>
              <w:trHeight w:val="285"/>
            </w:trPr>
          </w:trPrChange>
        </w:trPr>
        <w:tc>
          <w:tcPr>
            <w:tcW w:w="1791" w:type="pct"/>
            <w:hideMark/>
            <w:tcPrChange w:id="35" w:author="Microsoft account" w:date="2025-12-23T16:52:00Z">
              <w:tcPr>
                <w:tcW w:w="1791" w:type="pct"/>
                <w:hideMark/>
              </w:tcPr>
            </w:tcPrChange>
          </w:tcPr>
          <w:p w14:paraId="6198C330"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 xml:space="preserve">pH </w:t>
            </w:r>
          </w:p>
        </w:tc>
        <w:tc>
          <w:tcPr>
            <w:tcW w:w="884" w:type="pct"/>
            <w:hideMark/>
            <w:tcPrChange w:id="36" w:author="Microsoft account" w:date="2025-12-23T16:52:00Z">
              <w:tcPr>
                <w:tcW w:w="884" w:type="pct"/>
                <w:hideMark/>
              </w:tcPr>
            </w:tcPrChange>
          </w:tcPr>
          <w:p w14:paraId="3C84ED24"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5.45</w:t>
            </w:r>
          </w:p>
        </w:tc>
        <w:tc>
          <w:tcPr>
            <w:tcW w:w="2325" w:type="pct"/>
            <w:hideMark/>
            <w:tcPrChange w:id="37" w:author="Microsoft account" w:date="2025-12-23T16:52:00Z">
              <w:tcPr>
                <w:tcW w:w="2325" w:type="pct"/>
                <w:hideMark/>
              </w:tcPr>
            </w:tcPrChange>
          </w:tcPr>
          <w:p w14:paraId="528A5CB6" w14:textId="77777777" w:rsidR="00D32778" w:rsidRPr="00D32778" w:rsidRDefault="00D32778" w:rsidP="001D3CE9">
            <w:pPr>
              <w:spacing w:line="360" w:lineRule="auto"/>
              <w:jc w:val="both"/>
              <w:rPr>
                <w:rFonts w:ascii="Arial" w:hAnsi="Arial" w:cs="Arial"/>
                <w:sz w:val="20"/>
                <w:szCs w:val="20"/>
                <w:lang w:bidi="en-US"/>
              </w:rPr>
            </w:pPr>
            <w:r w:rsidRPr="00D32778">
              <w:rPr>
                <w:rFonts w:ascii="Arial" w:hAnsi="Arial" w:cs="Arial"/>
                <w:sz w:val="20"/>
                <w:szCs w:val="20"/>
                <w:lang w:bidi="en-US"/>
              </w:rPr>
              <w:t xml:space="preserve"> 1: 2.5 Soil: water suspension (Jackson,    1967)</w:t>
            </w:r>
          </w:p>
        </w:tc>
      </w:tr>
      <w:tr w:rsidR="00D32778" w:rsidRPr="00D32778" w14:paraId="664AA793" w14:textId="77777777" w:rsidTr="001D3CE9">
        <w:trPr>
          <w:trHeight w:val="585"/>
          <w:trPrChange w:id="38" w:author="Microsoft account" w:date="2025-12-23T16:52:00Z">
            <w:trPr>
              <w:trHeight w:val="585"/>
            </w:trPr>
          </w:trPrChange>
        </w:trPr>
        <w:tc>
          <w:tcPr>
            <w:tcW w:w="1791" w:type="pct"/>
            <w:hideMark/>
            <w:tcPrChange w:id="39" w:author="Microsoft account" w:date="2025-12-23T16:52:00Z">
              <w:tcPr>
                <w:tcW w:w="1791" w:type="pct"/>
                <w:hideMark/>
              </w:tcPr>
            </w:tcPrChange>
          </w:tcPr>
          <w:p w14:paraId="084B8C64"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Organic carbon (%)</w:t>
            </w:r>
          </w:p>
        </w:tc>
        <w:tc>
          <w:tcPr>
            <w:tcW w:w="884" w:type="pct"/>
            <w:hideMark/>
            <w:tcPrChange w:id="40" w:author="Microsoft account" w:date="2025-12-23T16:52:00Z">
              <w:tcPr>
                <w:tcW w:w="884" w:type="pct"/>
                <w:hideMark/>
              </w:tcPr>
            </w:tcPrChange>
          </w:tcPr>
          <w:p w14:paraId="5555982B"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0.74</w:t>
            </w:r>
          </w:p>
        </w:tc>
        <w:tc>
          <w:tcPr>
            <w:tcW w:w="2325" w:type="pct"/>
            <w:hideMark/>
            <w:tcPrChange w:id="41" w:author="Microsoft account" w:date="2025-12-23T16:52:00Z">
              <w:tcPr>
                <w:tcW w:w="2325" w:type="pct"/>
                <w:hideMark/>
              </w:tcPr>
            </w:tcPrChange>
          </w:tcPr>
          <w:p w14:paraId="4FBB7A2B" w14:textId="77777777" w:rsidR="00D32778" w:rsidRPr="00D32778" w:rsidRDefault="00D32778" w:rsidP="001D3CE9">
            <w:pPr>
              <w:spacing w:line="360" w:lineRule="auto"/>
              <w:jc w:val="both"/>
              <w:rPr>
                <w:rFonts w:ascii="Arial" w:hAnsi="Arial" w:cs="Arial"/>
                <w:sz w:val="20"/>
                <w:szCs w:val="20"/>
                <w:lang w:bidi="en-US"/>
              </w:rPr>
            </w:pPr>
            <w:r w:rsidRPr="00D32778">
              <w:rPr>
                <w:rFonts w:ascii="Arial" w:hAnsi="Arial" w:cs="Arial"/>
                <w:sz w:val="20"/>
                <w:szCs w:val="20"/>
                <w:lang w:bidi="en-US"/>
              </w:rPr>
              <w:t>Rapid titration method (Walkley and Black, 1934)</w:t>
            </w:r>
          </w:p>
        </w:tc>
      </w:tr>
      <w:tr w:rsidR="00D32778" w:rsidRPr="00D32778" w14:paraId="212AE8DA" w14:textId="77777777" w:rsidTr="001D3CE9">
        <w:trPr>
          <w:trHeight w:val="585"/>
          <w:trPrChange w:id="42" w:author="Microsoft account" w:date="2025-12-23T16:52:00Z">
            <w:trPr>
              <w:trHeight w:val="585"/>
            </w:trPr>
          </w:trPrChange>
        </w:trPr>
        <w:tc>
          <w:tcPr>
            <w:tcW w:w="1791" w:type="pct"/>
            <w:hideMark/>
            <w:tcPrChange w:id="43" w:author="Microsoft account" w:date="2025-12-23T16:52:00Z">
              <w:tcPr>
                <w:tcW w:w="1791" w:type="pct"/>
                <w:hideMark/>
              </w:tcPr>
            </w:tcPrChange>
          </w:tcPr>
          <w:p w14:paraId="590B9814"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lastRenderedPageBreak/>
              <w:t>Available Nitrogen (kg/ha)</w:t>
            </w:r>
          </w:p>
        </w:tc>
        <w:tc>
          <w:tcPr>
            <w:tcW w:w="884" w:type="pct"/>
            <w:hideMark/>
            <w:tcPrChange w:id="44" w:author="Microsoft account" w:date="2025-12-23T16:52:00Z">
              <w:tcPr>
                <w:tcW w:w="884" w:type="pct"/>
                <w:hideMark/>
              </w:tcPr>
            </w:tcPrChange>
          </w:tcPr>
          <w:p w14:paraId="2CD623C3"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288.2</w:t>
            </w:r>
          </w:p>
        </w:tc>
        <w:tc>
          <w:tcPr>
            <w:tcW w:w="2325" w:type="pct"/>
            <w:hideMark/>
            <w:tcPrChange w:id="45" w:author="Microsoft account" w:date="2025-12-23T16:52:00Z">
              <w:tcPr>
                <w:tcW w:w="2325" w:type="pct"/>
                <w:hideMark/>
              </w:tcPr>
            </w:tcPrChange>
          </w:tcPr>
          <w:p w14:paraId="2E26CA48" w14:textId="77777777" w:rsidR="00D32778" w:rsidRPr="00D32778" w:rsidRDefault="00D32778" w:rsidP="001D3CE9">
            <w:pPr>
              <w:spacing w:line="360" w:lineRule="auto"/>
              <w:jc w:val="both"/>
              <w:rPr>
                <w:rFonts w:ascii="Arial" w:hAnsi="Arial" w:cs="Arial"/>
                <w:sz w:val="20"/>
                <w:szCs w:val="20"/>
                <w:lang w:bidi="en-US"/>
              </w:rPr>
            </w:pPr>
            <w:r w:rsidRPr="00D32778">
              <w:rPr>
                <w:rFonts w:ascii="Arial" w:hAnsi="Arial" w:cs="Arial"/>
                <w:sz w:val="20"/>
                <w:szCs w:val="20"/>
                <w:lang w:bidi="en-US"/>
              </w:rPr>
              <w:t>Alkaline permanganate method (Subbiah and Asija, 1956)</w:t>
            </w:r>
          </w:p>
        </w:tc>
      </w:tr>
      <w:tr w:rsidR="00D32778" w:rsidRPr="00D32778" w14:paraId="18D68A58" w14:textId="77777777" w:rsidTr="001D3CE9">
        <w:trPr>
          <w:trHeight w:val="285"/>
          <w:trPrChange w:id="46" w:author="Microsoft account" w:date="2025-12-23T16:52:00Z">
            <w:trPr>
              <w:trHeight w:val="285"/>
            </w:trPr>
          </w:trPrChange>
        </w:trPr>
        <w:tc>
          <w:tcPr>
            <w:tcW w:w="1791" w:type="pct"/>
            <w:hideMark/>
            <w:tcPrChange w:id="47" w:author="Microsoft account" w:date="2025-12-23T16:52:00Z">
              <w:tcPr>
                <w:tcW w:w="1791" w:type="pct"/>
                <w:hideMark/>
              </w:tcPr>
            </w:tcPrChange>
          </w:tcPr>
          <w:p w14:paraId="0633AB9F"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Available Phosphorus (kg/ha)</w:t>
            </w:r>
          </w:p>
        </w:tc>
        <w:tc>
          <w:tcPr>
            <w:tcW w:w="884" w:type="pct"/>
            <w:hideMark/>
            <w:tcPrChange w:id="48" w:author="Microsoft account" w:date="2025-12-23T16:52:00Z">
              <w:tcPr>
                <w:tcW w:w="884" w:type="pct"/>
                <w:hideMark/>
              </w:tcPr>
            </w:tcPrChange>
          </w:tcPr>
          <w:p w14:paraId="074B9DA0"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23.9</w:t>
            </w:r>
          </w:p>
        </w:tc>
        <w:tc>
          <w:tcPr>
            <w:tcW w:w="2325" w:type="pct"/>
            <w:hideMark/>
            <w:tcPrChange w:id="49" w:author="Microsoft account" w:date="2025-12-23T16:52:00Z">
              <w:tcPr>
                <w:tcW w:w="2325" w:type="pct"/>
                <w:hideMark/>
              </w:tcPr>
            </w:tcPrChange>
          </w:tcPr>
          <w:p w14:paraId="7AEAB2B4" w14:textId="77777777" w:rsidR="00D32778" w:rsidRPr="00D32778" w:rsidRDefault="00D32778" w:rsidP="001D3CE9">
            <w:pPr>
              <w:spacing w:line="360" w:lineRule="auto"/>
              <w:jc w:val="both"/>
              <w:rPr>
                <w:rFonts w:ascii="Arial" w:hAnsi="Arial" w:cs="Arial"/>
                <w:sz w:val="20"/>
                <w:szCs w:val="20"/>
                <w:lang w:bidi="en-US"/>
              </w:rPr>
            </w:pPr>
            <w:r w:rsidRPr="00D32778">
              <w:rPr>
                <w:rFonts w:ascii="Arial" w:hAnsi="Arial" w:cs="Arial"/>
                <w:sz w:val="20"/>
                <w:szCs w:val="20"/>
                <w:lang w:bidi="en-US"/>
              </w:rPr>
              <w:t>0.5 NaHCO</w:t>
            </w:r>
            <w:r w:rsidRPr="00D32778">
              <w:rPr>
                <w:rFonts w:ascii="Arial" w:hAnsi="Arial" w:cs="Arial"/>
                <w:sz w:val="20"/>
                <w:szCs w:val="20"/>
                <w:vertAlign w:val="subscript"/>
                <w:lang w:bidi="en-US"/>
              </w:rPr>
              <w:t>3</w:t>
            </w:r>
            <w:r w:rsidRPr="00D32778">
              <w:rPr>
                <w:rFonts w:ascii="Arial" w:hAnsi="Arial" w:cs="Arial"/>
                <w:sz w:val="20"/>
                <w:szCs w:val="20"/>
                <w:lang w:bidi="en-US"/>
              </w:rPr>
              <w:t xml:space="preserve"> extraction (Olsen </w:t>
            </w:r>
            <w:r w:rsidRPr="00D32778">
              <w:rPr>
                <w:rFonts w:ascii="Arial" w:hAnsi="Arial" w:cs="Arial"/>
                <w:i/>
                <w:iCs/>
                <w:sz w:val="20"/>
                <w:szCs w:val="20"/>
                <w:lang w:bidi="en-US"/>
              </w:rPr>
              <w:t>et al</w:t>
            </w:r>
            <w:r w:rsidRPr="00D32778">
              <w:rPr>
                <w:rFonts w:ascii="Arial" w:hAnsi="Arial" w:cs="Arial"/>
                <w:sz w:val="20"/>
                <w:szCs w:val="20"/>
                <w:lang w:bidi="en-US"/>
              </w:rPr>
              <w:t>. 1954)</w:t>
            </w:r>
          </w:p>
        </w:tc>
      </w:tr>
      <w:tr w:rsidR="00D32778" w:rsidRPr="00D32778" w14:paraId="0F44E297" w14:textId="77777777" w:rsidTr="001D3CE9">
        <w:trPr>
          <w:trHeight w:val="585"/>
          <w:trPrChange w:id="50" w:author="Microsoft account" w:date="2025-12-23T16:52:00Z">
            <w:trPr>
              <w:trHeight w:val="585"/>
            </w:trPr>
          </w:trPrChange>
        </w:trPr>
        <w:tc>
          <w:tcPr>
            <w:tcW w:w="1791" w:type="pct"/>
            <w:tcBorders>
              <w:top w:val="nil"/>
              <w:left w:val="nil"/>
              <w:bottom w:val="single" w:sz="4" w:space="0" w:color="auto"/>
              <w:right w:val="nil"/>
            </w:tcBorders>
            <w:hideMark/>
            <w:tcPrChange w:id="51" w:author="Microsoft account" w:date="2025-12-23T16:52:00Z">
              <w:tcPr>
                <w:tcW w:w="1791" w:type="pct"/>
                <w:tcBorders>
                  <w:top w:val="nil"/>
                  <w:left w:val="nil"/>
                  <w:bottom w:val="single" w:sz="4" w:space="0" w:color="auto"/>
                  <w:right w:val="nil"/>
                </w:tcBorders>
                <w:hideMark/>
              </w:tcPr>
            </w:tcPrChange>
          </w:tcPr>
          <w:p w14:paraId="79861B9F"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Available Potassium (kg/ha)</w:t>
            </w:r>
          </w:p>
        </w:tc>
        <w:tc>
          <w:tcPr>
            <w:tcW w:w="884" w:type="pct"/>
            <w:tcBorders>
              <w:top w:val="nil"/>
              <w:left w:val="nil"/>
              <w:bottom w:val="single" w:sz="4" w:space="0" w:color="auto"/>
              <w:right w:val="nil"/>
            </w:tcBorders>
            <w:hideMark/>
            <w:tcPrChange w:id="52" w:author="Microsoft account" w:date="2025-12-23T16:52:00Z">
              <w:tcPr>
                <w:tcW w:w="884" w:type="pct"/>
                <w:tcBorders>
                  <w:top w:val="nil"/>
                  <w:left w:val="nil"/>
                  <w:bottom w:val="single" w:sz="4" w:space="0" w:color="auto"/>
                  <w:right w:val="nil"/>
                </w:tcBorders>
                <w:hideMark/>
              </w:tcPr>
            </w:tcPrChange>
          </w:tcPr>
          <w:p w14:paraId="28DE91CF" w14:textId="77777777" w:rsidR="00D32778" w:rsidRPr="00D32778" w:rsidRDefault="00D32778" w:rsidP="001D3CE9">
            <w:pPr>
              <w:spacing w:line="360" w:lineRule="auto"/>
              <w:rPr>
                <w:rFonts w:ascii="Arial" w:hAnsi="Arial" w:cs="Arial"/>
                <w:sz w:val="20"/>
                <w:szCs w:val="20"/>
                <w:lang w:bidi="en-US"/>
              </w:rPr>
            </w:pPr>
            <w:r w:rsidRPr="00D32778">
              <w:rPr>
                <w:rFonts w:ascii="Arial" w:hAnsi="Arial" w:cs="Arial"/>
                <w:sz w:val="20"/>
                <w:szCs w:val="20"/>
                <w:lang w:bidi="en-US"/>
              </w:rPr>
              <w:t>240.5</w:t>
            </w:r>
          </w:p>
        </w:tc>
        <w:tc>
          <w:tcPr>
            <w:tcW w:w="2325" w:type="pct"/>
            <w:tcBorders>
              <w:top w:val="nil"/>
              <w:left w:val="nil"/>
              <w:bottom w:val="single" w:sz="4" w:space="0" w:color="auto"/>
              <w:right w:val="nil"/>
            </w:tcBorders>
            <w:hideMark/>
            <w:tcPrChange w:id="53" w:author="Microsoft account" w:date="2025-12-23T16:52:00Z">
              <w:tcPr>
                <w:tcW w:w="2325" w:type="pct"/>
                <w:tcBorders>
                  <w:top w:val="nil"/>
                  <w:left w:val="nil"/>
                  <w:bottom w:val="single" w:sz="4" w:space="0" w:color="auto"/>
                  <w:right w:val="nil"/>
                </w:tcBorders>
                <w:hideMark/>
              </w:tcPr>
            </w:tcPrChange>
          </w:tcPr>
          <w:p w14:paraId="7D8C6D2A" w14:textId="77777777" w:rsidR="00D32778" w:rsidRPr="00D32778" w:rsidRDefault="00D32778" w:rsidP="001D3CE9">
            <w:pPr>
              <w:spacing w:line="360" w:lineRule="auto"/>
              <w:jc w:val="both"/>
              <w:rPr>
                <w:rFonts w:ascii="Arial" w:hAnsi="Arial" w:cs="Arial"/>
                <w:sz w:val="20"/>
                <w:szCs w:val="20"/>
                <w:lang w:bidi="en-US"/>
              </w:rPr>
            </w:pPr>
            <w:r w:rsidRPr="00D32778">
              <w:rPr>
                <w:rFonts w:ascii="Arial" w:hAnsi="Arial" w:cs="Arial"/>
                <w:sz w:val="20"/>
                <w:szCs w:val="20"/>
                <w:lang w:bidi="en-US"/>
              </w:rPr>
              <w:t>Neutral normal ammonium acetate extraction method (AOAC, 1970)</w:t>
            </w:r>
          </w:p>
        </w:tc>
      </w:tr>
    </w:tbl>
    <w:p w14:paraId="60B577EC" w14:textId="77777777" w:rsidR="004F1CE0" w:rsidRPr="004B632C" w:rsidRDefault="004F1CE0" w:rsidP="004B632C">
      <w:pPr>
        <w:pStyle w:val="ListParagraph"/>
        <w:spacing w:after="7" w:line="360" w:lineRule="auto"/>
        <w:ind w:left="0"/>
        <w:jc w:val="both"/>
        <w:rPr>
          <w:rFonts w:ascii="Arial" w:hAnsi="Arial" w:cs="Arial"/>
          <w:sz w:val="20"/>
          <w:szCs w:val="20"/>
        </w:rPr>
      </w:pPr>
    </w:p>
    <w:p w14:paraId="2CC67400" w14:textId="77777777" w:rsidR="004F1CE0" w:rsidRPr="004B632C" w:rsidRDefault="004F1CE0" w:rsidP="004B632C">
      <w:pPr>
        <w:spacing w:after="7" w:line="360" w:lineRule="auto"/>
        <w:ind w:firstLine="720"/>
        <w:jc w:val="both"/>
        <w:rPr>
          <w:rFonts w:ascii="Arial" w:hAnsi="Arial" w:cs="Arial"/>
          <w:sz w:val="20"/>
          <w:szCs w:val="20"/>
        </w:rPr>
      </w:pPr>
      <w:r w:rsidRPr="004B632C">
        <w:rPr>
          <w:rFonts w:ascii="Arial" w:hAnsi="Arial" w:cs="Arial"/>
          <w:sz w:val="20"/>
          <w:szCs w:val="20"/>
        </w:rPr>
        <w:t>The study was laid out in a</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Randomized Block Design (RBD)</w:t>
      </w:r>
      <w:r w:rsidRPr="004B632C">
        <w:rPr>
          <w:rStyle w:val="Strong"/>
          <w:rFonts w:ascii="Arial" w:eastAsiaTheme="majorEastAsia" w:hAnsi="Arial" w:cs="Arial"/>
          <w:sz w:val="20"/>
          <w:szCs w:val="20"/>
        </w:rPr>
        <w:t xml:space="preserve"> </w:t>
      </w:r>
      <w:r w:rsidRPr="004B632C">
        <w:rPr>
          <w:rFonts w:ascii="Arial" w:hAnsi="Arial" w:cs="Arial"/>
          <w:sz w:val="20"/>
          <w:szCs w:val="20"/>
        </w:rPr>
        <w:t>including</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three transplanting dates</w:t>
      </w:r>
      <w:r w:rsidRPr="004B632C">
        <w:rPr>
          <w:rFonts w:ascii="Arial" w:hAnsi="Arial" w:cs="Arial"/>
          <w:b/>
          <w:bCs/>
          <w:sz w:val="20"/>
          <w:szCs w:val="20"/>
        </w:rPr>
        <w:t xml:space="preserve"> </w:t>
      </w:r>
      <w:r w:rsidRPr="004B632C">
        <w:rPr>
          <w:rFonts w:ascii="Arial" w:hAnsi="Arial" w:cs="Arial"/>
          <w:sz w:val="20"/>
          <w:szCs w:val="20"/>
        </w:rPr>
        <w:t>(5</w:t>
      </w:r>
      <w:r w:rsidRPr="004B632C">
        <w:rPr>
          <w:rFonts w:ascii="Arial" w:hAnsi="Arial" w:cs="Arial"/>
          <w:sz w:val="20"/>
          <w:szCs w:val="20"/>
          <w:vertAlign w:val="superscript"/>
        </w:rPr>
        <w:t>th</w:t>
      </w:r>
      <w:r w:rsidRPr="004B632C">
        <w:rPr>
          <w:rFonts w:ascii="Arial" w:hAnsi="Arial" w:cs="Arial"/>
          <w:sz w:val="20"/>
          <w:szCs w:val="20"/>
        </w:rPr>
        <w:t xml:space="preserve"> June, 15</w:t>
      </w:r>
      <w:r w:rsidRPr="004B632C">
        <w:rPr>
          <w:rFonts w:ascii="Arial" w:hAnsi="Arial" w:cs="Arial"/>
          <w:sz w:val="20"/>
          <w:szCs w:val="20"/>
          <w:vertAlign w:val="superscript"/>
        </w:rPr>
        <w:t>th</w:t>
      </w:r>
      <w:r w:rsidRPr="004B632C">
        <w:rPr>
          <w:rFonts w:ascii="Arial" w:hAnsi="Arial" w:cs="Arial"/>
          <w:sz w:val="20"/>
          <w:szCs w:val="20"/>
        </w:rPr>
        <w:t xml:space="preserve"> June and 25</w:t>
      </w:r>
      <w:r w:rsidRPr="004B632C">
        <w:rPr>
          <w:rFonts w:ascii="Arial" w:hAnsi="Arial" w:cs="Arial"/>
          <w:sz w:val="20"/>
          <w:szCs w:val="20"/>
          <w:vertAlign w:val="superscript"/>
        </w:rPr>
        <w:t>th</w:t>
      </w:r>
      <w:r w:rsidRPr="004B632C">
        <w:rPr>
          <w:rFonts w:ascii="Arial" w:hAnsi="Arial" w:cs="Arial"/>
          <w:sz w:val="20"/>
          <w:szCs w:val="20"/>
        </w:rPr>
        <w:t xml:space="preserve"> June) and </w:t>
      </w:r>
      <w:r w:rsidRPr="004B632C">
        <w:rPr>
          <w:rStyle w:val="Strong"/>
          <w:rFonts w:ascii="Arial" w:eastAsiaTheme="majorEastAsia" w:hAnsi="Arial" w:cs="Arial"/>
          <w:b w:val="0"/>
          <w:bCs w:val="0"/>
          <w:sz w:val="20"/>
          <w:szCs w:val="20"/>
        </w:rPr>
        <w:t>three rice varieties</w:t>
      </w:r>
      <w:r w:rsidRPr="004B632C">
        <w:rPr>
          <w:rFonts w:ascii="Arial" w:hAnsi="Arial" w:cs="Arial"/>
          <w:sz w:val="20"/>
          <w:szCs w:val="20"/>
        </w:rPr>
        <w:t xml:space="preserve"> (Basmati-370, Kasturi Basmati and Pusa Basmati 1121), with </w:t>
      </w:r>
      <w:r w:rsidRPr="004B632C">
        <w:rPr>
          <w:rStyle w:val="Strong"/>
          <w:rFonts w:ascii="Arial" w:eastAsiaTheme="majorEastAsia" w:hAnsi="Arial" w:cs="Arial"/>
          <w:b w:val="0"/>
          <w:bCs w:val="0"/>
          <w:sz w:val="20"/>
          <w:szCs w:val="20"/>
        </w:rPr>
        <w:t>three replications</w:t>
      </w:r>
      <w:r w:rsidRPr="004B632C">
        <w:rPr>
          <w:rFonts w:ascii="Arial" w:hAnsi="Arial" w:cs="Arial"/>
          <w:sz w:val="20"/>
          <w:szCs w:val="20"/>
        </w:rPr>
        <w:t xml:space="preserve"> for each treatment combination. </w:t>
      </w:r>
      <w:r w:rsidRPr="004B632C">
        <w:rPr>
          <w:rStyle w:val="Strong"/>
          <w:rFonts w:ascii="Arial" w:eastAsiaTheme="majorEastAsia" w:hAnsi="Arial" w:cs="Arial"/>
          <w:b w:val="0"/>
          <w:bCs w:val="0"/>
          <w:sz w:val="20"/>
          <w:szCs w:val="20"/>
        </w:rPr>
        <w:t>Thirty-day-old seedlings</w:t>
      </w:r>
      <w:r w:rsidRPr="004B632C">
        <w:rPr>
          <w:rFonts w:ascii="Arial" w:hAnsi="Arial" w:cs="Arial"/>
          <w:b/>
          <w:bCs/>
          <w:sz w:val="20"/>
          <w:szCs w:val="20"/>
        </w:rPr>
        <w:t xml:space="preserve"> </w:t>
      </w:r>
      <w:r w:rsidRPr="004B632C">
        <w:rPr>
          <w:rFonts w:ascii="Arial" w:hAnsi="Arial" w:cs="Arial"/>
          <w:sz w:val="20"/>
          <w:szCs w:val="20"/>
        </w:rPr>
        <w:t>were transplanted at a</w:t>
      </w:r>
      <w:r w:rsidRPr="004B632C">
        <w:rPr>
          <w:rFonts w:ascii="Arial" w:hAnsi="Arial" w:cs="Arial"/>
          <w:b/>
          <w:bCs/>
          <w:sz w:val="20"/>
          <w:szCs w:val="20"/>
        </w:rPr>
        <w:t xml:space="preserve"> </w:t>
      </w:r>
      <w:r w:rsidRPr="004B632C">
        <w:rPr>
          <w:rFonts w:ascii="Arial" w:hAnsi="Arial" w:cs="Arial"/>
          <w:sz w:val="20"/>
          <w:szCs w:val="20"/>
        </w:rPr>
        <w:t>spacing of</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20 × 20 cm</w:t>
      </w:r>
      <w:r w:rsidRPr="004B632C">
        <w:rPr>
          <w:rFonts w:ascii="Arial" w:hAnsi="Arial" w:cs="Arial"/>
          <w:sz w:val="20"/>
          <w:szCs w:val="20"/>
        </w:rPr>
        <w:t>, with</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one seedling per hill</w:t>
      </w:r>
      <w:r w:rsidRPr="004B632C">
        <w:rPr>
          <w:rFonts w:ascii="Arial" w:hAnsi="Arial" w:cs="Arial"/>
          <w:sz w:val="20"/>
          <w:szCs w:val="20"/>
        </w:rPr>
        <w:t>.</w:t>
      </w:r>
    </w:p>
    <w:p w14:paraId="545CE09E" w14:textId="77777777" w:rsidR="004F1CE0" w:rsidRPr="004B632C" w:rsidRDefault="004F1CE0" w:rsidP="004B632C">
      <w:pPr>
        <w:pStyle w:val="ListParagraph"/>
        <w:spacing w:after="7" w:line="360" w:lineRule="auto"/>
        <w:ind w:left="0" w:firstLine="720"/>
        <w:jc w:val="both"/>
        <w:rPr>
          <w:rFonts w:ascii="Arial" w:hAnsi="Arial" w:cs="Arial"/>
          <w:sz w:val="20"/>
          <w:szCs w:val="20"/>
        </w:rPr>
      </w:pPr>
      <w:r w:rsidRPr="004B632C">
        <w:rPr>
          <w:rFonts w:ascii="Arial" w:hAnsi="Arial" w:cs="Arial"/>
          <w:sz w:val="20"/>
          <w:szCs w:val="20"/>
        </w:rPr>
        <w:t xml:space="preserve">The crop received </w:t>
      </w:r>
      <w:r w:rsidRPr="004B632C">
        <w:rPr>
          <w:rStyle w:val="Strong"/>
          <w:rFonts w:ascii="Arial" w:eastAsiaTheme="majorEastAsia" w:hAnsi="Arial" w:cs="Arial"/>
          <w:b w:val="0"/>
          <w:bCs w:val="0"/>
          <w:sz w:val="20"/>
          <w:szCs w:val="20"/>
        </w:rPr>
        <w:t>90 kg N, 40 kg P</w:t>
      </w:r>
      <w:r w:rsidRPr="004B632C">
        <w:rPr>
          <w:rStyle w:val="Strong"/>
          <w:rFonts w:ascii="Cambria Math" w:eastAsiaTheme="majorEastAsia" w:hAnsi="Cambria Math" w:cs="Cambria Math"/>
          <w:b w:val="0"/>
          <w:bCs w:val="0"/>
          <w:sz w:val="20"/>
          <w:szCs w:val="20"/>
        </w:rPr>
        <w:t>₂</w:t>
      </w:r>
      <w:r w:rsidRPr="004B632C">
        <w:rPr>
          <w:rStyle w:val="Strong"/>
          <w:rFonts w:ascii="Arial" w:eastAsiaTheme="majorEastAsia" w:hAnsi="Arial" w:cs="Arial"/>
          <w:b w:val="0"/>
          <w:bCs w:val="0"/>
          <w:sz w:val="20"/>
          <w:szCs w:val="20"/>
        </w:rPr>
        <w:t>O</w:t>
      </w:r>
      <w:r w:rsidRPr="004B632C">
        <w:rPr>
          <w:rStyle w:val="Strong"/>
          <w:rFonts w:ascii="Cambria Math" w:eastAsiaTheme="majorEastAsia" w:hAnsi="Cambria Math" w:cs="Cambria Math"/>
          <w:b w:val="0"/>
          <w:bCs w:val="0"/>
          <w:sz w:val="20"/>
          <w:szCs w:val="20"/>
        </w:rPr>
        <w:t>₅</w:t>
      </w:r>
      <w:r w:rsidRPr="004B632C">
        <w:rPr>
          <w:rStyle w:val="Strong"/>
          <w:rFonts w:ascii="Arial" w:eastAsiaTheme="majorEastAsia" w:hAnsi="Arial" w:cs="Arial"/>
          <w:b w:val="0"/>
          <w:bCs w:val="0"/>
          <w:sz w:val="20"/>
          <w:szCs w:val="20"/>
        </w:rPr>
        <w:t>, and 40 kg K</w:t>
      </w:r>
      <w:r w:rsidRPr="004B632C">
        <w:rPr>
          <w:rStyle w:val="Strong"/>
          <w:rFonts w:ascii="Cambria Math" w:eastAsiaTheme="majorEastAsia" w:hAnsi="Cambria Math" w:cs="Cambria Math"/>
          <w:b w:val="0"/>
          <w:bCs w:val="0"/>
          <w:sz w:val="20"/>
          <w:szCs w:val="20"/>
        </w:rPr>
        <w:t>₂</w:t>
      </w:r>
      <w:r w:rsidRPr="004B632C">
        <w:rPr>
          <w:rStyle w:val="Strong"/>
          <w:rFonts w:ascii="Arial" w:eastAsiaTheme="majorEastAsia" w:hAnsi="Arial" w:cs="Arial"/>
          <w:b w:val="0"/>
          <w:bCs w:val="0"/>
          <w:sz w:val="20"/>
          <w:szCs w:val="20"/>
        </w:rPr>
        <w:t>O per hectare</w:t>
      </w:r>
      <w:r w:rsidRPr="004B632C">
        <w:rPr>
          <w:rFonts w:ascii="Arial" w:hAnsi="Arial" w:cs="Arial"/>
          <w:sz w:val="20"/>
          <w:szCs w:val="20"/>
        </w:rPr>
        <w:t xml:space="preserve">. Nitrogen was applied in </w:t>
      </w:r>
      <w:r w:rsidRPr="004B632C">
        <w:rPr>
          <w:rStyle w:val="Strong"/>
          <w:rFonts w:ascii="Arial" w:eastAsiaTheme="majorEastAsia" w:hAnsi="Arial" w:cs="Arial"/>
          <w:b w:val="0"/>
          <w:bCs w:val="0"/>
          <w:sz w:val="20"/>
          <w:szCs w:val="20"/>
        </w:rPr>
        <w:t>three equal doses</w:t>
      </w:r>
      <w:r w:rsidRPr="004B632C">
        <w:rPr>
          <w:rFonts w:ascii="Arial" w:hAnsi="Arial" w:cs="Arial"/>
          <w:sz w:val="20"/>
          <w:szCs w:val="20"/>
        </w:rPr>
        <w:t xml:space="preserve">: one-third at transplanting, one-third at maximum tillering, and the final one-third at the panicle initiation stage. Phosphorus was applied as </w:t>
      </w:r>
      <w:r w:rsidRPr="004B632C">
        <w:rPr>
          <w:rStyle w:val="Strong"/>
          <w:rFonts w:ascii="Arial" w:eastAsiaTheme="majorEastAsia" w:hAnsi="Arial" w:cs="Arial"/>
          <w:b w:val="0"/>
          <w:bCs w:val="0"/>
          <w:sz w:val="20"/>
          <w:szCs w:val="20"/>
        </w:rPr>
        <w:t>single superphosphate at the time of transplanting</w:t>
      </w:r>
      <w:r w:rsidRPr="004B632C">
        <w:rPr>
          <w:rFonts w:ascii="Arial" w:hAnsi="Arial" w:cs="Arial"/>
          <w:sz w:val="20"/>
          <w:szCs w:val="20"/>
        </w:rPr>
        <w:t xml:space="preserve">, while potassium was supplied through </w:t>
      </w:r>
      <w:r w:rsidRPr="004B632C">
        <w:rPr>
          <w:rStyle w:val="Strong"/>
          <w:rFonts w:ascii="Arial" w:eastAsiaTheme="majorEastAsia" w:hAnsi="Arial" w:cs="Arial"/>
          <w:b w:val="0"/>
          <w:bCs w:val="0"/>
          <w:sz w:val="20"/>
          <w:szCs w:val="20"/>
        </w:rPr>
        <w:t>muriate of potash at the time of transplanting</w:t>
      </w:r>
      <w:r w:rsidRPr="004B632C">
        <w:rPr>
          <w:rFonts w:ascii="Arial" w:hAnsi="Arial" w:cs="Arial"/>
          <w:sz w:val="20"/>
          <w:szCs w:val="20"/>
        </w:rPr>
        <w:t xml:space="preserve">. </w:t>
      </w:r>
    </w:p>
    <w:p w14:paraId="0A21E538" w14:textId="77777777" w:rsidR="004F1CE0" w:rsidRPr="00FB6188" w:rsidRDefault="00FB6188" w:rsidP="004F1CE0">
      <w:pPr>
        <w:pStyle w:val="ListParagraph"/>
        <w:numPr>
          <w:ilvl w:val="0"/>
          <w:numId w:val="2"/>
        </w:numPr>
        <w:spacing w:after="7" w:line="360" w:lineRule="auto"/>
        <w:jc w:val="both"/>
        <w:rPr>
          <w:rFonts w:ascii="Arial" w:hAnsi="Arial" w:cs="Arial"/>
          <w:b/>
          <w:bCs/>
        </w:rPr>
      </w:pPr>
      <w:r w:rsidRPr="00FB6188">
        <w:rPr>
          <w:rFonts w:ascii="Arial" w:hAnsi="Arial" w:cs="Arial"/>
          <w:b/>
          <w:bCs/>
        </w:rPr>
        <w:t xml:space="preserve">RESULTS </w:t>
      </w:r>
    </w:p>
    <w:p w14:paraId="51634453" w14:textId="77777777" w:rsidR="004F1CE0" w:rsidRPr="00FB6188" w:rsidRDefault="00FB6188" w:rsidP="004F1CE0">
      <w:pPr>
        <w:pStyle w:val="ListParagraph"/>
        <w:numPr>
          <w:ilvl w:val="1"/>
          <w:numId w:val="2"/>
        </w:numPr>
        <w:spacing w:line="360" w:lineRule="auto"/>
        <w:rPr>
          <w:rFonts w:ascii="Arial" w:hAnsi="Arial" w:cs="Arial"/>
          <w:b/>
          <w:bCs/>
        </w:rPr>
      </w:pPr>
      <w:r w:rsidRPr="00FB6188">
        <w:rPr>
          <w:rFonts w:ascii="Arial" w:hAnsi="Arial" w:cs="Arial"/>
          <w:b/>
          <w:bCs/>
        </w:rPr>
        <w:t>YIELD ATTRIBUTES AND YIELD</w:t>
      </w:r>
    </w:p>
    <w:p w14:paraId="6840F9B8" w14:textId="77777777" w:rsidR="004F1CE0" w:rsidRPr="00D32778" w:rsidRDefault="004F1CE0" w:rsidP="004F1CE0">
      <w:pPr>
        <w:spacing w:line="360" w:lineRule="auto"/>
        <w:jc w:val="both"/>
        <w:rPr>
          <w:rFonts w:ascii="Arial" w:hAnsi="Arial" w:cs="Arial"/>
          <w:sz w:val="20"/>
          <w:szCs w:val="20"/>
        </w:rPr>
      </w:pPr>
      <w:r w:rsidRPr="0075265E">
        <w:rPr>
          <w:rFonts w:ascii="Arial" w:hAnsi="Arial" w:cs="Arial"/>
          <w:sz w:val="24"/>
          <w:szCs w:val="24"/>
        </w:rPr>
        <w:tab/>
      </w:r>
      <w:r w:rsidRPr="00D32778">
        <w:rPr>
          <w:rFonts w:ascii="Arial" w:hAnsi="Arial" w:cs="Arial"/>
          <w:sz w:val="20"/>
          <w:szCs w:val="20"/>
        </w:rPr>
        <w:t>As regards with transplanting dates significantly higher values for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were reported on first day of transplanting (5</w:t>
      </w:r>
      <w:r w:rsidRPr="00D32778">
        <w:rPr>
          <w:rFonts w:ascii="Arial" w:hAnsi="Arial" w:cs="Arial"/>
          <w:sz w:val="20"/>
          <w:szCs w:val="20"/>
          <w:vertAlign w:val="superscript"/>
        </w:rPr>
        <w:t>th</w:t>
      </w:r>
      <w:r w:rsidRPr="00D32778">
        <w:rPr>
          <w:rFonts w:ascii="Arial" w:hAnsi="Arial" w:cs="Arial"/>
          <w:sz w:val="20"/>
          <w:szCs w:val="20"/>
        </w:rPr>
        <w:t xml:space="preserve"> June) which was statistically at par with the 15</w:t>
      </w:r>
      <w:r w:rsidRPr="00D32778">
        <w:rPr>
          <w:rFonts w:ascii="Arial" w:hAnsi="Arial" w:cs="Arial"/>
          <w:sz w:val="20"/>
          <w:szCs w:val="20"/>
          <w:vertAlign w:val="superscript"/>
        </w:rPr>
        <w:t>th</w:t>
      </w:r>
      <w:r w:rsidRPr="00D32778">
        <w:rPr>
          <w:rFonts w:ascii="Arial" w:hAnsi="Arial" w:cs="Arial"/>
          <w:sz w:val="20"/>
          <w:szCs w:val="20"/>
        </w:rPr>
        <w:t xml:space="preserve"> June of transplanting, in contrast, the crop transplanted on 25</w:t>
      </w:r>
      <w:r w:rsidRPr="00D32778">
        <w:rPr>
          <w:rFonts w:ascii="Arial" w:hAnsi="Arial" w:cs="Arial"/>
          <w:sz w:val="20"/>
          <w:szCs w:val="20"/>
          <w:vertAlign w:val="superscript"/>
        </w:rPr>
        <w:t>th</w:t>
      </w:r>
      <w:r w:rsidRPr="00D32778">
        <w:rPr>
          <w:rFonts w:ascii="Arial" w:hAnsi="Arial" w:cs="Arial"/>
          <w:sz w:val="20"/>
          <w:szCs w:val="20"/>
        </w:rPr>
        <w:t xml:space="preserve"> June recorded lower values for the number of effective tillers/m</w:t>
      </w:r>
      <w:r w:rsidRPr="00D32778">
        <w:rPr>
          <w:rFonts w:ascii="Arial" w:hAnsi="Arial" w:cs="Arial"/>
          <w:sz w:val="20"/>
          <w:szCs w:val="20"/>
          <w:vertAlign w:val="superscript"/>
        </w:rPr>
        <w:t>2</w:t>
      </w:r>
      <w:r w:rsidRPr="00D32778">
        <w:rPr>
          <w:rFonts w:ascii="Arial" w:hAnsi="Arial" w:cs="Arial"/>
          <w:sz w:val="20"/>
          <w:szCs w:val="20"/>
        </w:rPr>
        <w:t>. Among the varieties, Basmati-370 recorded higher values for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followed by Kasturi Basmati. While the lower values were recorded for Pusa Basmati 1121.</w:t>
      </w:r>
    </w:p>
    <w:p w14:paraId="1FB8F252" w14:textId="77777777" w:rsidR="004F1CE0" w:rsidRPr="00D32778" w:rsidRDefault="004F1CE0" w:rsidP="004F1CE0">
      <w:pPr>
        <w:spacing w:line="360" w:lineRule="auto"/>
        <w:ind w:firstLine="720"/>
        <w:jc w:val="both"/>
        <w:rPr>
          <w:rFonts w:ascii="Arial" w:hAnsi="Arial" w:cs="Arial"/>
          <w:sz w:val="20"/>
          <w:szCs w:val="20"/>
        </w:rPr>
      </w:pPr>
      <w:r w:rsidRPr="00D32778">
        <w:rPr>
          <w:rFonts w:ascii="Arial" w:hAnsi="Arial" w:cs="Arial"/>
          <w:sz w:val="20"/>
          <w:szCs w:val="20"/>
        </w:rPr>
        <w:t>An analogous outcome was observed for the length of panicle, further reinforcing the positive influence of the treatment on reproductive yield attributes, early transplanting of the crop led to the significantly higher value for panicle length which was followed by 15</w:t>
      </w:r>
      <w:r w:rsidRPr="00D32778">
        <w:rPr>
          <w:rFonts w:ascii="Arial" w:hAnsi="Arial" w:cs="Arial"/>
          <w:sz w:val="20"/>
          <w:szCs w:val="20"/>
          <w:vertAlign w:val="superscript"/>
        </w:rPr>
        <w:t>th</w:t>
      </w:r>
      <w:r w:rsidRPr="00D32778">
        <w:rPr>
          <w:rFonts w:ascii="Arial" w:hAnsi="Arial" w:cs="Arial"/>
          <w:sz w:val="20"/>
          <w:szCs w:val="20"/>
        </w:rPr>
        <w:t xml:space="preserve"> June transplanting. All the varieties also showed significant difference in panicle length under observation. Basmati-370 showed higher panicle length, which was statistically at par with Kasturi Basmati. Significantly, the lower values were recorded for Pusa Basmati 1121. The data on Table 2 indicated that the weight of panicle and weight of grains/panicles also follows the same trend as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the 5</w:t>
      </w:r>
      <w:r w:rsidRPr="00D32778">
        <w:rPr>
          <w:rFonts w:ascii="Arial" w:hAnsi="Arial" w:cs="Arial"/>
          <w:sz w:val="20"/>
          <w:szCs w:val="20"/>
          <w:vertAlign w:val="superscript"/>
        </w:rPr>
        <w:t>th</w:t>
      </w:r>
      <w:r w:rsidRPr="00D32778">
        <w:rPr>
          <w:rFonts w:ascii="Arial" w:hAnsi="Arial" w:cs="Arial"/>
          <w:sz w:val="20"/>
          <w:szCs w:val="20"/>
        </w:rPr>
        <w:t xml:space="preserve"> June transplanted crop recorded higher value, which was statistically at par with 15</w:t>
      </w:r>
      <w:r w:rsidRPr="00D32778">
        <w:rPr>
          <w:rFonts w:ascii="Arial" w:hAnsi="Arial" w:cs="Arial"/>
          <w:sz w:val="20"/>
          <w:szCs w:val="20"/>
          <w:vertAlign w:val="superscript"/>
        </w:rPr>
        <w:t>th</w:t>
      </w:r>
      <w:r w:rsidRPr="00D32778">
        <w:rPr>
          <w:rFonts w:ascii="Arial" w:hAnsi="Arial" w:cs="Arial"/>
          <w:sz w:val="20"/>
          <w:szCs w:val="20"/>
        </w:rPr>
        <w:t xml:space="preserve"> June. Among the cultivars, Basmati-370 recorded higher value, which was at par with Kasturi Basmati. The effect of transplanting dates and varieties on 1000-grain weight was found to non-significant. While the higher value was recorded for 5</w:t>
      </w:r>
      <w:r w:rsidRPr="00D32778">
        <w:rPr>
          <w:rFonts w:ascii="Arial" w:hAnsi="Arial" w:cs="Arial"/>
          <w:sz w:val="20"/>
          <w:szCs w:val="20"/>
          <w:vertAlign w:val="superscript"/>
        </w:rPr>
        <w:t>th</w:t>
      </w:r>
      <w:r w:rsidRPr="00D32778">
        <w:rPr>
          <w:rFonts w:ascii="Arial" w:hAnsi="Arial" w:cs="Arial"/>
          <w:sz w:val="20"/>
          <w:szCs w:val="20"/>
        </w:rPr>
        <w:t xml:space="preserve"> June, transplanting and lower value was recorded on 25</w:t>
      </w:r>
      <w:r w:rsidRPr="00D32778">
        <w:rPr>
          <w:rFonts w:ascii="Arial" w:hAnsi="Arial" w:cs="Arial"/>
          <w:sz w:val="20"/>
          <w:szCs w:val="20"/>
          <w:vertAlign w:val="superscript"/>
        </w:rPr>
        <w:t>th</w:t>
      </w:r>
      <w:r w:rsidRPr="00D32778">
        <w:rPr>
          <w:rFonts w:ascii="Arial" w:hAnsi="Arial" w:cs="Arial"/>
          <w:sz w:val="20"/>
          <w:szCs w:val="20"/>
        </w:rPr>
        <w:t xml:space="preserve"> June. Among the varieties, Basmati-370 recorded higher value and lower values were obtained on Pusa Basmati 1121.</w:t>
      </w:r>
    </w:p>
    <w:p w14:paraId="1534EB8A"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 xml:space="preserve">Table 2. Effect of treatments on yield attributes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417"/>
        <w:gridCol w:w="1401"/>
        <w:gridCol w:w="1324"/>
        <w:gridCol w:w="1690"/>
        <w:gridCol w:w="1347"/>
      </w:tblGrid>
      <w:tr w:rsidR="004F1CE0" w:rsidRPr="00D32778" w14:paraId="2A6EF2E1" w14:textId="77777777" w:rsidTr="001D3CE9">
        <w:trPr>
          <w:trHeight w:val="288"/>
        </w:trPr>
        <w:tc>
          <w:tcPr>
            <w:tcW w:w="1019" w:type="pct"/>
            <w:noWrap/>
            <w:hideMark/>
          </w:tcPr>
          <w:p w14:paraId="2A3CC601" w14:textId="77777777" w:rsidR="004F1CE0" w:rsidRPr="00D32778" w:rsidRDefault="004F1CE0" w:rsidP="001D3CE9">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Treatments</w:t>
            </w:r>
          </w:p>
        </w:tc>
        <w:tc>
          <w:tcPr>
            <w:tcW w:w="786" w:type="pct"/>
            <w:noWrap/>
            <w:hideMark/>
          </w:tcPr>
          <w:p w14:paraId="7884E907" w14:textId="77777777" w:rsidR="004F1CE0" w:rsidRPr="00D32778" w:rsidRDefault="004F1CE0" w:rsidP="001D3CE9">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 xml:space="preserve">Number of effective </w:t>
            </w:r>
            <w:r w:rsidRPr="00D32778">
              <w:rPr>
                <w:rFonts w:ascii="Arial" w:eastAsia="Times New Roman" w:hAnsi="Arial" w:cs="Arial"/>
                <w:b/>
                <w:bCs/>
                <w:color w:val="000000"/>
                <w:sz w:val="20"/>
                <w:szCs w:val="20"/>
                <w:lang w:eastAsia="en-IN"/>
              </w:rPr>
              <w:lastRenderedPageBreak/>
              <w:t>tillers/m</w:t>
            </w:r>
            <w:r w:rsidRPr="00D32778">
              <w:rPr>
                <w:rFonts w:ascii="Arial" w:eastAsia="Times New Roman" w:hAnsi="Arial" w:cs="Arial"/>
                <w:b/>
                <w:bCs/>
                <w:color w:val="000000"/>
                <w:sz w:val="20"/>
                <w:szCs w:val="20"/>
                <w:vertAlign w:val="superscript"/>
                <w:lang w:eastAsia="en-IN"/>
              </w:rPr>
              <w:t>2</w:t>
            </w:r>
            <w:r w:rsidRPr="00D32778">
              <w:rPr>
                <w:rFonts w:ascii="Arial" w:eastAsia="Times New Roman" w:hAnsi="Arial" w:cs="Arial"/>
                <w:b/>
                <w:bCs/>
                <w:color w:val="000000"/>
                <w:sz w:val="20"/>
                <w:szCs w:val="20"/>
                <w:lang w:eastAsia="en-IN"/>
              </w:rPr>
              <w:t xml:space="preserve"> (No.)</w:t>
            </w:r>
          </w:p>
        </w:tc>
        <w:tc>
          <w:tcPr>
            <w:tcW w:w="777" w:type="pct"/>
            <w:noWrap/>
            <w:hideMark/>
          </w:tcPr>
          <w:p w14:paraId="1DECBB7D" w14:textId="77777777" w:rsidR="004F1CE0" w:rsidRPr="00D32778" w:rsidRDefault="004F1CE0" w:rsidP="001D3CE9">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lastRenderedPageBreak/>
              <w:t>Length of panicle (cm)</w:t>
            </w:r>
          </w:p>
        </w:tc>
        <w:tc>
          <w:tcPr>
            <w:tcW w:w="734" w:type="pct"/>
            <w:noWrap/>
            <w:hideMark/>
          </w:tcPr>
          <w:p w14:paraId="1DE16D53" w14:textId="77777777" w:rsidR="004F1CE0" w:rsidRPr="00D32778" w:rsidRDefault="004F1CE0" w:rsidP="001D3CE9">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Weight of panicle (g)</w:t>
            </w:r>
          </w:p>
        </w:tc>
        <w:tc>
          <w:tcPr>
            <w:tcW w:w="937" w:type="pct"/>
            <w:noWrap/>
            <w:hideMark/>
          </w:tcPr>
          <w:p w14:paraId="6C2BC47E" w14:textId="77777777" w:rsidR="004F1CE0" w:rsidRPr="00D32778" w:rsidRDefault="004F1CE0" w:rsidP="001D3CE9">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Weight of grains/panicle (g)</w:t>
            </w:r>
          </w:p>
        </w:tc>
        <w:tc>
          <w:tcPr>
            <w:tcW w:w="746" w:type="pct"/>
            <w:noWrap/>
            <w:hideMark/>
          </w:tcPr>
          <w:p w14:paraId="661E1094" w14:textId="77777777" w:rsidR="004F1CE0" w:rsidRPr="00D32778" w:rsidRDefault="004F1CE0" w:rsidP="001D3CE9">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1000-grain weight (g)</w:t>
            </w:r>
          </w:p>
        </w:tc>
      </w:tr>
      <w:tr w:rsidR="004F1CE0" w:rsidRPr="00D32778" w14:paraId="2BCCD4C7" w14:textId="77777777" w:rsidTr="001D3CE9">
        <w:trPr>
          <w:trHeight w:val="288"/>
        </w:trPr>
        <w:tc>
          <w:tcPr>
            <w:tcW w:w="5000" w:type="pct"/>
            <w:gridSpan w:val="6"/>
            <w:noWrap/>
          </w:tcPr>
          <w:p w14:paraId="7D6877E7" w14:textId="77777777" w:rsidR="004F1CE0" w:rsidRPr="00D32778" w:rsidRDefault="004F1CE0" w:rsidP="001D3CE9">
            <w:pPr>
              <w:spacing w:line="360" w:lineRule="auto"/>
              <w:jc w:val="both"/>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lastRenderedPageBreak/>
              <w:t>Date of transplanting</w:t>
            </w:r>
          </w:p>
        </w:tc>
      </w:tr>
      <w:tr w:rsidR="004F1CE0" w:rsidRPr="00D32778" w14:paraId="28C90083" w14:textId="77777777" w:rsidTr="001D3CE9">
        <w:trPr>
          <w:trHeight w:val="288"/>
        </w:trPr>
        <w:tc>
          <w:tcPr>
            <w:tcW w:w="1019" w:type="pct"/>
            <w:noWrap/>
            <w:vAlign w:val="center"/>
            <w:hideMark/>
          </w:tcPr>
          <w:p w14:paraId="6C0B9382"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1326CB6E"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238.0</w:t>
            </w:r>
          </w:p>
        </w:tc>
        <w:tc>
          <w:tcPr>
            <w:tcW w:w="777" w:type="pct"/>
            <w:noWrap/>
            <w:vAlign w:val="bottom"/>
            <w:hideMark/>
          </w:tcPr>
          <w:p w14:paraId="5256EF56"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22.54</w:t>
            </w:r>
          </w:p>
        </w:tc>
        <w:tc>
          <w:tcPr>
            <w:tcW w:w="734" w:type="pct"/>
            <w:noWrap/>
            <w:vAlign w:val="bottom"/>
            <w:hideMark/>
          </w:tcPr>
          <w:p w14:paraId="6C288ECE"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3.79</w:t>
            </w:r>
          </w:p>
        </w:tc>
        <w:tc>
          <w:tcPr>
            <w:tcW w:w="937" w:type="pct"/>
            <w:noWrap/>
            <w:vAlign w:val="bottom"/>
            <w:hideMark/>
          </w:tcPr>
          <w:p w14:paraId="6AFB697F"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3.39</w:t>
            </w:r>
          </w:p>
        </w:tc>
        <w:tc>
          <w:tcPr>
            <w:tcW w:w="746" w:type="pct"/>
            <w:noWrap/>
            <w:vAlign w:val="bottom"/>
            <w:hideMark/>
          </w:tcPr>
          <w:p w14:paraId="4A0B264C"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28.1</w:t>
            </w:r>
          </w:p>
        </w:tc>
      </w:tr>
      <w:tr w:rsidR="004F1CE0" w:rsidRPr="00D32778" w14:paraId="1285FC25" w14:textId="77777777" w:rsidTr="001D3CE9">
        <w:trPr>
          <w:trHeight w:val="288"/>
        </w:trPr>
        <w:tc>
          <w:tcPr>
            <w:tcW w:w="1019" w:type="pct"/>
            <w:noWrap/>
            <w:vAlign w:val="center"/>
            <w:hideMark/>
          </w:tcPr>
          <w:p w14:paraId="42255F55"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15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2EC70D22"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224.3</w:t>
            </w:r>
          </w:p>
        </w:tc>
        <w:tc>
          <w:tcPr>
            <w:tcW w:w="777" w:type="pct"/>
            <w:noWrap/>
            <w:vAlign w:val="bottom"/>
            <w:hideMark/>
          </w:tcPr>
          <w:p w14:paraId="254F8F3F"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21.58</w:t>
            </w:r>
          </w:p>
        </w:tc>
        <w:tc>
          <w:tcPr>
            <w:tcW w:w="734" w:type="pct"/>
            <w:noWrap/>
            <w:vAlign w:val="bottom"/>
            <w:hideMark/>
          </w:tcPr>
          <w:p w14:paraId="783718B5"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3.53</w:t>
            </w:r>
          </w:p>
        </w:tc>
        <w:tc>
          <w:tcPr>
            <w:tcW w:w="937" w:type="pct"/>
            <w:noWrap/>
            <w:vAlign w:val="bottom"/>
            <w:hideMark/>
          </w:tcPr>
          <w:p w14:paraId="74BBDA20"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3.27</w:t>
            </w:r>
          </w:p>
        </w:tc>
        <w:tc>
          <w:tcPr>
            <w:tcW w:w="746" w:type="pct"/>
            <w:noWrap/>
            <w:vAlign w:val="bottom"/>
            <w:hideMark/>
          </w:tcPr>
          <w:p w14:paraId="65ABFFEC"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27.9</w:t>
            </w:r>
          </w:p>
        </w:tc>
      </w:tr>
      <w:tr w:rsidR="004F1CE0" w:rsidRPr="00D32778" w14:paraId="5D4D1603" w14:textId="77777777" w:rsidTr="001D3CE9">
        <w:trPr>
          <w:trHeight w:val="288"/>
        </w:trPr>
        <w:tc>
          <w:tcPr>
            <w:tcW w:w="1019" w:type="pct"/>
            <w:noWrap/>
            <w:vAlign w:val="center"/>
            <w:hideMark/>
          </w:tcPr>
          <w:p w14:paraId="3926D123"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25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21320050"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205.4</w:t>
            </w:r>
          </w:p>
        </w:tc>
        <w:tc>
          <w:tcPr>
            <w:tcW w:w="777" w:type="pct"/>
            <w:noWrap/>
            <w:vAlign w:val="bottom"/>
            <w:hideMark/>
          </w:tcPr>
          <w:p w14:paraId="1642B350"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20.42</w:t>
            </w:r>
          </w:p>
        </w:tc>
        <w:tc>
          <w:tcPr>
            <w:tcW w:w="734" w:type="pct"/>
            <w:noWrap/>
            <w:vAlign w:val="bottom"/>
            <w:hideMark/>
          </w:tcPr>
          <w:p w14:paraId="17E5CB06"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3.33</w:t>
            </w:r>
          </w:p>
        </w:tc>
        <w:tc>
          <w:tcPr>
            <w:tcW w:w="937" w:type="pct"/>
            <w:noWrap/>
            <w:vAlign w:val="bottom"/>
            <w:hideMark/>
          </w:tcPr>
          <w:p w14:paraId="65AA592E"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3.13</w:t>
            </w:r>
          </w:p>
        </w:tc>
        <w:tc>
          <w:tcPr>
            <w:tcW w:w="746" w:type="pct"/>
            <w:noWrap/>
            <w:vAlign w:val="bottom"/>
            <w:hideMark/>
          </w:tcPr>
          <w:p w14:paraId="532C15CC"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27.7</w:t>
            </w:r>
          </w:p>
        </w:tc>
      </w:tr>
      <w:tr w:rsidR="004F1CE0" w:rsidRPr="00D32778" w14:paraId="0AC757F0" w14:textId="77777777" w:rsidTr="001D3CE9">
        <w:trPr>
          <w:trHeight w:val="288"/>
        </w:trPr>
        <w:tc>
          <w:tcPr>
            <w:tcW w:w="1019" w:type="pct"/>
            <w:noWrap/>
            <w:vAlign w:val="center"/>
            <w:hideMark/>
          </w:tcPr>
          <w:p w14:paraId="7152684C" w14:textId="77777777" w:rsidR="004F1CE0" w:rsidRPr="00D32778" w:rsidRDefault="004F1CE0" w:rsidP="001D3CE9">
            <w:pPr>
              <w:spacing w:line="360" w:lineRule="auto"/>
              <w:rPr>
                <w:rFonts w:ascii="Arial" w:eastAsia="Times New Roman" w:hAnsi="Arial" w:cs="Arial"/>
                <w:b/>
                <w:bCs/>
                <w:color w:val="000000"/>
                <w:sz w:val="20"/>
                <w:szCs w:val="20"/>
                <w:lang w:eastAsia="en-IN"/>
              </w:rPr>
            </w:pPr>
            <w:proofErr w:type="spellStart"/>
            <w:r w:rsidRPr="00D32778">
              <w:rPr>
                <w:rFonts w:ascii="Arial" w:eastAsia="Times New Roman" w:hAnsi="Arial" w:cs="Arial"/>
                <w:b/>
                <w:bCs/>
                <w:color w:val="000000"/>
                <w:sz w:val="20"/>
                <w:szCs w:val="20"/>
                <w:lang w:eastAsia="en-IN"/>
              </w:rPr>
              <w:t>SEm</w:t>
            </w:r>
            <w:proofErr w:type="spellEnd"/>
            <w:r w:rsidRPr="00D32778">
              <w:rPr>
                <w:rFonts w:ascii="Arial" w:eastAsia="Times New Roman" w:hAnsi="Arial" w:cs="Arial"/>
                <w:b/>
                <w:bCs/>
                <w:color w:val="000000"/>
                <w:sz w:val="20"/>
                <w:szCs w:val="20"/>
                <w:lang w:eastAsia="en-IN"/>
              </w:rPr>
              <w:t xml:space="preserve"> ±</w:t>
            </w:r>
          </w:p>
        </w:tc>
        <w:tc>
          <w:tcPr>
            <w:tcW w:w="786" w:type="pct"/>
            <w:noWrap/>
            <w:vAlign w:val="bottom"/>
            <w:hideMark/>
          </w:tcPr>
          <w:p w14:paraId="01782B71"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eastAsia="Aptos" w:hAnsi="Arial" w:cs="Arial"/>
                <w:color w:val="000000"/>
                <w:sz w:val="20"/>
                <w:szCs w:val="20"/>
              </w:rPr>
              <w:t>3.6</w:t>
            </w:r>
          </w:p>
        </w:tc>
        <w:tc>
          <w:tcPr>
            <w:tcW w:w="777" w:type="pct"/>
            <w:noWrap/>
            <w:vAlign w:val="bottom"/>
            <w:hideMark/>
          </w:tcPr>
          <w:p w14:paraId="7A273D07"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0.31</w:t>
            </w:r>
          </w:p>
        </w:tc>
        <w:tc>
          <w:tcPr>
            <w:tcW w:w="734" w:type="pct"/>
            <w:noWrap/>
            <w:vAlign w:val="bottom"/>
            <w:hideMark/>
          </w:tcPr>
          <w:p w14:paraId="4E5D317A"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0.05</w:t>
            </w:r>
          </w:p>
        </w:tc>
        <w:tc>
          <w:tcPr>
            <w:tcW w:w="937" w:type="pct"/>
            <w:noWrap/>
            <w:vAlign w:val="bottom"/>
            <w:hideMark/>
          </w:tcPr>
          <w:p w14:paraId="683FE4F8"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0.04</w:t>
            </w:r>
          </w:p>
        </w:tc>
        <w:tc>
          <w:tcPr>
            <w:tcW w:w="746" w:type="pct"/>
            <w:noWrap/>
            <w:vAlign w:val="bottom"/>
            <w:hideMark/>
          </w:tcPr>
          <w:p w14:paraId="763FDB27"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w:t>
            </w:r>
          </w:p>
        </w:tc>
      </w:tr>
      <w:tr w:rsidR="004F1CE0" w:rsidRPr="00D32778" w14:paraId="40299332" w14:textId="77777777" w:rsidTr="001D3CE9">
        <w:trPr>
          <w:trHeight w:val="288"/>
        </w:trPr>
        <w:tc>
          <w:tcPr>
            <w:tcW w:w="1019" w:type="pct"/>
            <w:noWrap/>
            <w:vAlign w:val="center"/>
            <w:hideMark/>
          </w:tcPr>
          <w:p w14:paraId="1C8553E7" w14:textId="77777777" w:rsidR="004F1CE0" w:rsidRPr="00D32778" w:rsidRDefault="004F1CE0" w:rsidP="001D3CE9">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CD (</w:t>
            </w:r>
            <w:r w:rsidRPr="00D32778">
              <w:rPr>
                <w:rFonts w:ascii="Arial" w:eastAsia="Times New Roman" w:hAnsi="Arial" w:cs="Arial"/>
                <w:b/>
                <w:bCs/>
                <w:i/>
                <w:iCs/>
                <w:color w:val="000000"/>
                <w:sz w:val="20"/>
                <w:szCs w:val="20"/>
                <w:lang w:eastAsia="en-IN"/>
              </w:rPr>
              <w:t>P=0.05</w:t>
            </w:r>
            <w:r w:rsidRPr="00D32778">
              <w:rPr>
                <w:rFonts w:ascii="Arial" w:eastAsia="Times New Roman" w:hAnsi="Arial" w:cs="Arial"/>
                <w:b/>
                <w:bCs/>
                <w:color w:val="000000"/>
                <w:sz w:val="20"/>
                <w:szCs w:val="20"/>
                <w:lang w:eastAsia="en-IN"/>
              </w:rPr>
              <w:t>)</w:t>
            </w:r>
          </w:p>
        </w:tc>
        <w:tc>
          <w:tcPr>
            <w:tcW w:w="786" w:type="pct"/>
            <w:noWrap/>
            <w:vAlign w:val="bottom"/>
            <w:hideMark/>
          </w:tcPr>
          <w:p w14:paraId="41F083DC"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10.8</w:t>
            </w:r>
          </w:p>
        </w:tc>
        <w:tc>
          <w:tcPr>
            <w:tcW w:w="777" w:type="pct"/>
            <w:noWrap/>
            <w:vAlign w:val="bottom"/>
            <w:hideMark/>
          </w:tcPr>
          <w:p w14:paraId="42FF5894"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0.94</w:t>
            </w:r>
          </w:p>
        </w:tc>
        <w:tc>
          <w:tcPr>
            <w:tcW w:w="734" w:type="pct"/>
            <w:noWrap/>
            <w:vAlign w:val="bottom"/>
            <w:hideMark/>
          </w:tcPr>
          <w:p w14:paraId="58F5EE72"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0.16</w:t>
            </w:r>
          </w:p>
        </w:tc>
        <w:tc>
          <w:tcPr>
            <w:tcW w:w="937" w:type="pct"/>
            <w:noWrap/>
            <w:vAlign w:val="bottom"/>
            <w:hideMark/>
          </w:tcPr>
          <w:p w14:paraId="6DC96C98"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0.12</w:t>
            </w:r>
          </w:p>
        </w:tc>
        <w:tc>
          <w:tcPr>
            <w:tcW w:w="746" w:type="pct"/>
            <w:noWrap/>
            <w:vAlign w:val="bottom"/>
            <w:hideMark/>
          </w:tcPr>
          <w:p w14:paraId="6357F39C"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NS</w:t>
            </w:r>
          </w:p>
        </w:tc>
      </w:tr>
      <w:tr w:rsidR="004F1CE0" w:rsidRPr="00D32778" w14:paraId="33AF91ED" w14:textId="77777777" w:rsidTr="001D3CE9">
        <w:trPr>
          <w:trHeight w:val="288"/>
        </w:trPr>
        <w:tc>
          <w:tcPr>
            <w:tcW w:w="5000" w:type="pct"/>
            <w:gridSpan w:val="6"/>
            <w:noWrap/>
            <w:vAlign w:val="center"/>
            <w:hideMark/>
          </w:tcPr>
          <w:p w14:paraId="1600B1BE" w14:textId="77777777" w:rsidR="004F1CE0" w:rsidRPr="00D32778" w:rsidRDefault="004F1CE0" w:rsidP="001D3CE9">
            <w:pPr>
              <w:spacing w:line="360" w:lineRule="auto"/>
              <w:jc w:val="both"/>
              <w:rPr>
                <w:rFonts w:ascii="Arial" w:eastAsia="Times New Roman" w:hAnsi="Arial" w:cs="Arial"/>
                <w:sz w:val="20"/>
                <w:szCs w:val="20"/>
                <w:lang w:eastAsia="en-IN"/>
              </w:rPr>
            </w:pPr>
            <w:r w:rsidRPr="00D32778">
              <w:rPr>
                <w:rFonts w:ascii="Arial" w:eastAsia="Times New Roman" w:hAnsi="Arial" w:cs="Arial"/>
                <w:b/>
                <w:bCs/>
                <w:color w:val="000000"/>
                <w:sz w:val="20"/>
                <w:szCs w:val="20"/>
                <w:lang w:eastAsia="en-IN"/>
              </w:rPr>
              <w:t>Variety</w:t>
            </w:r>
          </w:p>
        </w:tc>
      </w:tr>
      <w:tr w:rsidR="004F1CE0" w:rsidRPr="00D32778" w14:paraId="1A6AB136" w14:textId="77777777" w:rsidTr="001D3CE9">
        <w:trPr>
          <w:trHeight w:val="288"/>
        </w:trPr>
        <w:tc>
          <w:tcPr>
            <w:tcW w:w="1019" w:type="pct"/>
            <w:noWrap/>
            <w:vAlign w:val="center"/>
            <w:hideMark/>
          </w:tcPr>
          <w:p w14:paraId="717E0B02"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Basmati-370</w:t>
            </w:r>
          </w:p>
        </w:tc>
        <w:tc>
          <w:tcPr>
            <w:tcW w:w="786" w:type="pct"/>
            <w:noWrap/>
            <w:vAlign w:val="center"/>
            <w:hideMark/>
          </w:tcPr>
          <w:p w14:paraId="0B794ABC"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245.4</w:t>
            </w:r>
          </w:p>
        </w:tc>
        <w:tc>
          <w:tcPr>
            <w:tcW w:w="777" w:type="pct"/>
            <w:noWrap/>
            <w:vAlign w:val="center"/>
            <w:hideMark/>
          </w:tcPr>
          <w:p w14:paraId="4734BD47"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22.44</w:t>
            </w:r>
          </w:p>
        </w:tc>
        <w:tc>
          <w:tcPr>
            <w:tcW w:w="734" w:type="pct"/>
            <w:noWrap/>
            <w:vAlign w:val="center"/>
            <w:hideMark/>
          </w:tcPr>
          <w:p w14:paraId="4D4E225C"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3.73</w:t>
            </w:r>
          </w:p>
        </w:tc>
        <w:tc>
          <w:tcPr>
            <w:tcW w:w="937" w:type="pct"/>
            <w:noWrap/>
            <w:vAlign w:val="center"/>
            <w:hideMark/>
          </w:tcPr>
          <w:p w14:paraId="49890DE5"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3.40</w:t>
            </w:r>
          </w:p>
        </w:tc>
        <w:tc>
          <w:tcPr>
            <w:tcW w:w="746" w:type="pct"/>
            <w:noWrap/>
            <w:vAlign w:val="center"/>
            <w:hideMark/>
          </w:tcPr>
          <w:p w14:paraId="29E6E84E"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28.6</w:t>
            </w:r>
          </w:p>
        </w:tc>
      </w:tr>
      <w:tr w:rsidR="004F1CE0" w:rsidRPr="00D32778" w14:paraId="326481D3" w14:textId="77777777" w:rsidTr="001D3CE9">
        <w:trPr>
          <w:trHeight w:val="288"/>
        </w:trPr>
        <w:tc>
          <w:tcPr>
            <w:tcW w:w="1019" w:type="pct"/>
            <w:noWrap/>
            <w:vAlign w:val="center"/>
            <w:hideMark/>
          </w:tcPr>
          <w:p w14:paraId="0A1D12ED"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Kasturi Basmati</w:t>
            </w:r>
          </w:p>
        </w:tc>
        <w:tc>
          <w:tcPr>
            <w:tcW w:w="786" w:type="pct"/>
            <w:noWrap/>
            <w:vAlign w:val="center"/>
            <w:hideMark/>
          </w:tcPr>
          <w:p w14:paraId="186BCB51"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220.1</w:t>
            </w:r>
          </w:p>
        </w:tc>
        <w:tc>
          <w:tcPr>
            <w:tcW w:w="777" w:type="pct"/>
            <w:noWrap/>
            <w:vAlign w:val="center"/>
            <w:hideMark/>
          </w:tcPr>
          <w:p w14:paraId="7A63A542"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21.52</w:t>
            </w:r>
          </w:p>
        </w:tc>
        <w:tc>
          <w:tcPr>
            <w:tcW w:w="734" w:type="pct"/>
            <w:noWrap/>
            <w:vAlign w:val="center"/>
            <w:hideMark/>
          </w:tcPr>
          <w:p w14:paraId="5BC7D614"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3.53</w:t>
            </w:r>
          </w:p>
        </w:tc>
        <w:tc>
          <w:tcPr>
            <w:tcW w:w="937" w:type="pct"/>
            <w:noWrap/>
            <w:vAlign w:val="center"/>
            <w:hideMark/>
          </w:tcPr>
          <w:p w14:paraId="1C6C95E9"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3.24</w:t>
            </w:r>
          </w:p>
        </w:tc>
        <w:tc>
          <w:tcPr>
            <w:tcW w:w="746" w:type="pct"/>
            <w:noWrap/>
            <w:vAlign w:val="center"/>
            <w:hideMark/>
          </w:tcPr>
          <w:p w14:paraId="0CBFBA8E"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27.9</w:t>
            </w:r>
          </w:p>
        </w:tc>
      </w:tr>
      <w:tr w:rsidR="004F1CE0" w:rsidRPr="00D32778" w14:paraId="0ECED29C" w14:textId="77777777" w:rsidTr="001D3CE9">
        <w:trPr>
          <w:trHeight w:val="288"/>
        </w:trPr>
        <w:tc>
          <w:tcPr>
            <w:tcW w:w="1019" w:type="pct"/>
            <w:noWrap/>
            <w:vAlign w:val="center"/>
            <w:hideMark/>
          </w:tcPr>
          <w:p w14:paraId="54D543E2"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Pusa Basmati 1121</w:t>
            </w:r>
          </w:p>
        </w:tc>
        <w:tc>
          <w:tcPr>
            <w:tcW w:w="786" w:type="pct"/>
            <w:noWrap/>
            <w:vAlign w:val="center"/>
            <w:hideMark/>
          </w:tcPr>
          <w:p w14:paraId="149A12D7"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202.2</w:t>
            </w:r>
          </w:p>
        </w:tc>
        <w:tc>
          <w:tcPr>
            <w:tcW w:w="777" w:type="pct"/>
            <w:noWrap/>
            <w:vAlign w:val="center"/>
            <w:hideMark/>
          </w:tcPr>
          <w:p w14:paraId="75D17E7F"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20.73</w:t>
            </w:r>
          </w:p>
        </w:tc>
        <w:tc>
          <w:tcPr>
            <w:tcW w:w="734" w:type="pct"/>
            <w:noWrap/>
            <w:vAlign w:val="center"/>
            <w:hideMark/>
          </w:tcPr>
          <w:p w14:paraId="00EEB76A"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3.38</w:t>
            </w:r>
          </w:p>
        </w:tc>
        <w:tc>
          <w:tcPr>
            <w:tcW w:w="937" w:type="pct"/>
            <w:noWrap/>
            <w:vAlign w:val="center"/>
            <w:hideMark/>
          </w:tcPr>
          <w:p w14:paraId="60FF18ED"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3.15</w:t>
            </w:r>
          </w:p>
        </w:tc>
        <w:tc>
          <w:tcPr>
            <w:tcW w:w="746" w:type="pct"/>
            <w:noWrap/>
            <w:vAlign w:val="center"/>
            <w:hideMark/>
          </w:tcPr>
          <w:p w14:paraId="356C1783"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27.4</w:t>
            </w:r>
          </w:p>
        </w:tc>
      </w:tr>
      <w:tr w:rsidR="004F1CE0" w:rsidRPr="00D32778" w14:paraId="45F72339" w14:textId="77777777" w:rsidTr="001D3CE9">
        <w:trPr>
          <w:trHeight w:val="288"/>
        </w:trPr>
        <w:tc>
          <w:tcPr>
            <w:tcW w:w="1019" w:type="pct"/>
            <w:noWrap/>
            <w:vAlign w:val="center"/>
            <w:hideMark/>
          </w:tcPr>
          <w:p w14:paraId="2F72723B" w14:textId="77777777" w:rsidR="004F1CE0" w:rsidRPr="00D32778" w:rsidRDefault="004F1CE0" w:rsidP="001D3CE9">
            <w:pPr>
              <w:spacing w:line="360" w:lineRule="auto"/>
              <w:rPr>
                <w:rFonts w:ascii="Arial" w:eastAsia="Times New Roman" w:hAnsi="Arial" w:cs="Arial"/>
                <w:b/>
                <w:bCs/>
                <w:color w:val="000000"/>
                <w:sz w:val="20"/>
                <w:szCs w:val="20"/>
                <w:lang w:eastAsia="en-IN"/>
              </w:rPr>
            </w:pPr>
            <w:proofErr w:type="spellStart"/>
            <w:r w:rsidRPr="00D32778">
              <w:rPr>
                <w:rFonts w:ascii="Arial" w:eastAsia="Times New Roman" w:hAnsi="Arial" w:cs="Arial"/>
                <w:b/>
                <w:bCs/>
                <w:color w:val="000000"/>
                <w:sz w:val="20"/>
                <w:szCs w:val="20"/>
                <w:lang w:eastAsia="en-IN"/>
              </w:rPr>
              <w:t>SEm</w:t>
            </w:r>
            <w:proofErr w:type="spellEnd"/>
            <w:r w:rsidRPr="00D32778">
              <w:rPr>
                <w:rFonts w:ascii="Arial" w:eastAsia="Times New Roman" w:hAnsi="Arial" w:cs="Arial"/>
                <w:b/>
                <w:bCs/>
                <w:color w:val="000000"/>
                <w:sz w:val="20"/>
                <w:szCs w:val="20"/>
                <w:lang w:eastAsia="en-IN"/>
              </w:rPr>
              <w:t xml:space="preserve"> ±</w:t>
            </w:r>
          </w:p>
        </w:tc>
        <w:tc>
          <w:tcPr>
            <w:tcW w:w="786" w:type="pct"/>
            <w:noWrap/>
            <w:vAlign w:val="center"/>
            <w:hideMark/>
          </w:tcPr>
          <w:p w14:paraId="549506D1"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eastAsia="Aptos" w:hAnsi="Arial" w:cs="Arial"/>
                <w:color w:val="000000"/>
                <w:sz w:val="20"/>
                <w:szCs w:val="20"/>
              </w:rPr>
              <w:t>3.6</w:t>
            </w:r>
          </w:p>
        </w:tc>
        <w:tc>
          <w:tcPr>
            <w:tcW w:w="777" w:type="pct"/>
            <w:noWrap/>
            <w:vAlign w:val="center"/>
            <w:hideMark/>
          </w:tcPr>
          <w:p w14:paraId="74336168"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0.31</w:t>
            </w:r>
          </w:p>
        </w:tc>
        <w:tc>
          <w:tcPr>
            <w:tcW w:w="734" w:type="pct"/>
            <w:noWrap/>
            <w:vAlign w:val="center"/>
            <w:hideMark/>
          </w:tcPr>
          <w:p w14:paraId="722CB8AE"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0.05</w:t>
            </w:r>
          </w:p>
        </w:tc>
        <w:tc>
          <w:tcPr>
            <w:tcW w:w="937" w:type="pct"/>
            <w:noWrap/>
            <w:vAlign w:val="center"/>
            <w:hideMark/>
          </w:tcPr>
          <w:p w14:paraId="38B5EC9D"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0.04</w:t>
            </w:r>
          </w:p>
        </w:tc>
        <w:tc>
          <w:tcPr>
            <w:tcW w:w="746" w:type="pct"/>
            <w:noWrap/>
            <w:vAlign w:val="center"/>
            <w:hideMark/>
          </w:tcPr>
          <w:p w14:paraId="36431130"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w:t>
            </w:r>
          </w:p>
        </w:tc>
      </w:tr>
      <w:tr w:rsidR="004F1CE0" w:rsidRPr="00D32778" w14:paraId="5C6DB8C5" w14:textId="77777777" w:rsidTr="001D3CE9">
        <w:trPr>
          <w:trHeight w:val="288"/>
        </w:trPr>
        <w:tc>
          <w:tcPr>
            <w:tcW w:w="1019" w:type="pct"/>
            <w:noWrap/>
            <w:vAlign w:val="center"/>
            <w:hideMark/>
          </w:tcPr>
          <w:p w14:paraId="350F11CE" w14:textId="77777777" w:rsidR="004F1CE0" w:rsidRPr="00D32778" w:rsidRDefault="004F1CE0" w:rsidP="001D3CE9">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CD (</w:t>
            </w:r>
            <w:r w:rsidRPr="00D32778">
              <w:rPr>
                <w:rFonts w:ascii="Arial" w:eastAsia="Times New Roman" w:hAnsi="Arial" w:cs="Arial"/>
                <w:b/>
                <w:bCs/>
                <w:i/>
                <w:iCs/>
                <w:color w:val="000000"/>
                <w:sz w:val="20"/>
                <w:szCs w:val="20"/>
                <w:lang w:eastAsia="en-IN"/>
              </w:rPr>
              <w:t>P=0.05</w:t>
            </w:r>
            <w:r w:rsidRPr="00D32778">
              <w:rPr>
                <w:rFonts w:ascii="Arial" w:eastAsia="Times New Roman" w:hAnsi="Arial" w:cs="Arial"/>
                <w:b/>
                <w:bCs/>
                <w:color w:val="000000"/>
                <w:sz w:val="20"/>
                <w:szCs w:val="20"/>
                <w:lang w:eastAsia="en-IN"/>
              </w:rPr>
              <w:t>)</w:t>
            </w:r>
          </w:p>
        </w:tc>
        <w:tc>
          <w:tcPr>
            <w:tcW w:w="786" w:type="pct"/>
            <w:noWrap/>
            <w:vAlign w:val="center"/>
            <w:hideMark/>
          </w:tcPr>
          <w:p w14:paraId="1E2AEC59"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10.8</w:t>
            </w:r>
          </w:p>
        </w:tc>
        <w:tc>
          <w:tcPr>
            <w:tcW w:w="777" w:type="pct"/>
            <w:noWrap/>
            <w:vAlign w:val="center"/>
            <w:hideMark/>
          </w:tcPr>
          <w:p w14:paraId="6FB9C402"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0.94</w:t>
            </w:r>
          </w:p>
        </w:tc>
        <w:tc>
          <w:tcPr>
            <w:tcW w:w="734" w:type="pct"/>
            <w:noWrap/>
            <w:vAlign w:val="center"/>
            <w:hideMark/>
          </w:tcPr>
          <w:p w14:paraId="44A16AFA"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0.16</w:t>
            </w:r>
          </w:p>
        </w:tc>
        <w:tc>
          <w:tcPr>
            <w:tcW w:w="937" w:type="pct"/>
            <w:noWrap/>
            <w:vAlign w:val="center"/>
            <w:hideMark/>
          </w:tcPr>
          <w:p w14:paraId="7F91C22C"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0.12</w:t>
            </w:r>
          </w:p>
        </w:tc>
        <w:tc>
          <w:tcPr>
            <w:tcW w:w="746" w:type="pct"/>
            <w:noWrap/>
            <w:vAlign w:val="center"/>
            <w:hideMark/>
          </w:tcPr>
          <w:p w14:paraId="15D30B85" w14:textId="77777777" w:rsidR="004F1CE0" w:rsidRPr="00D32778" w:rsidRDefault="004F1CE0" w:rsidP="001D3CE9">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NS</w:t>
            </w:r>
          </w:p>
        </w:tc>
      </w:tr>
    </w:tbl>
    <w:p w14:paraId="78563408" w14:textId="77777777" w:rsidR="004F1CE0" w:rsidRPr="00D32778" w:rsidRDefault="004F1CE0" w:rsidP="004F1CE0">
      <w:pPr>
        <w:spacing w:line="360" w:lineRule="auto"/>
        <w:rPr>
          <w:rFonts w:ascii="Arial" w:hAnsi="Arial" w:cs="Arial"/>
          <w:b/>
          <w:bCs/>
          <w:sz w:val="20"/>
          <w:szCs w:val="20"/>
        </w:rPr>
      </w:pPr>
    </w:p>
    <w:p w14:paraId="1E170846" w14:textId="77777777" w:rsidR="004F1CE0" w:rsidRPr="00D32778" w:rsidRDefault="004F1CE0" w:rsidP="004F1CE0">
      <w:pPr>
        <w:spacing w:line="360" w:lineRule="auto"/>
        <w:jc w:val="both"/>
        <w:rPr>
          <w:rFonts w:ascii="Arial" w:hAnsi="Arial" w:cs="Arial"/>
          <w:sz w:val="20"/>
          <w:szCs w:val="20"/>
        </w:rPr>
      </w:pPr>
      <w:r w:rsidRPr="00D32778">
        <w:rPr>
          <w:rFonts w:ascii="Arial" w:hAnsi="Arial" w:cs="Arial"/>
          <w:sz w:val="20"/>
          <w:szCs w:val="20"/>
        </w:rPr>
        <w:t>The yield of the basmati rice was interpreted in Table 3. The crop transplanted on 5</w:t>
      </w:r>
      <w:r w:rsidRPr="00D32778">
        <w:rPr>
          <w:rFonts w:ascii="Arial" w:hAnsi="Arial" w:cs="Arial"/>
          <w:sz w:val="20"/>
          <w:szCs w:val="20"/>
          <w:vertAlign w:val="superscript"/>
        </w:rPr>
        <w:t>th</w:t>
      </w:r>
      <w:r w:rsidRPr="00D32778">
        <w:rPr>
          <w:rFonts w:ascii="Arial" w:hAnsi="Arial" w:cs="Arial"/>
          <w:sz w:val="20"/>
          <w:szCs w:val="20"/>
        </w:rPr>
        <w:t xml:space="preserve"> June consistently outperformed in terms of yield and harvest index. Basmati-370 produced noticeable higher grain yield among all the cultivars. In addition, this variety produced higher straw yield and has higher harvest index as compare to all cultivars. </w:t>
      </w:r>
    </w:p>
    <w:p w14:paraId="74A53886"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Table 3. Effect of treatments on yield</w:t>
      </w:r>
    </w:p>
    <w:tbl>
      <w:tblPr>
        <w:tblW w:w="5000" w:type="pct"/>
        <w:tblLook w:val="04A0" w:firstRow="1" w:lastRow="0" w:firstColumn="1" w:lastColumn="0" w:noHBand="0" w:noVBand="1"/>
      </w:tblPr>
      <w:tblGrid>
        <w:gridCol w:w="2154"/>
        <w:gridCol w:w="2341"/>
        <w:gridCol w:w="2386"/>
        <w:gridCol w:w="2135"/>
      </w:tblGrid>
      <w:tr w:rsidR="004F1CE0" w:rsidRPr="00D32778" w14:paraId="4879EA91" w14:textId="77777777" w:rsidTr="001D3CE9">
        <w:trPr>
          <w:trHeight w:val="315"/>
        </w:trPr>
        <w:tc>
          <w:tcPr>
            <w:tcW w:w="1195" w:type="pct"/>
            <w:tcBorders>
              <w:top w:val="single" w:sz="4" w:space="0" w:color="auto"/>
              <w:left w:val="single" w:sz="4" w:space="0" w:color="auto"/>
              <w:bottom w:val="single" w:sz="4" w:space="0" w:color="auto"/>
              <w:right w:val="single" w:sz="4" w:space="0" w:color="auto"/>
            </w:tcBorders>
            <w:noWrap/>
            <w:vAlign w:val="bottom"/>
            <w:hideMark/>
          </w:tcPr>
          <w:p w14:paraId="01765762" w14:textId="77777777" w:rsidR="004F1CE0" w:rsidRPr="00D32778" w:rsidRDefault="004F1CE0" w:rsidP="001D3CE9">
            <w:pPr>
              <w:spacing w:line="360" w:lineRule="auto"/>
              <w:rPr>
                <w:rFonts w:ascii="Arial" w:hAnsi="Arial" w:cs="Arial"/>
                <w:b/>
                <w:bCs/>
                <w:color w:val="000000"/>
                <w:sz w:val="20"/>
                <w:szCs w:val="20"/>
              </w:rPr>
            </w:pPr>
            <w:r w:rsidRPr="00D32778">
              <w:rPr>
                <w:rFonts w:ascii="Arial" w:hAnsi="Arial" w:cs="Arial"/>
                <w:b/>
                <w:bCs/>
                <w:color w:val="000000"/>
                <w:sz w:val="20"/>
                <w:szCs w:val="20"/>
              </w:rPr>
              <w:t>Treatment</w:t>
            </w:r>
          </w:p>
        </w:tc>
        <w:tc>
          <w:tcPr>
            <w:tcW w:w="1298" w:type="pct"/>
            <w:tcBorders>
              <w:top w:val="single" w:sz="4" w:space="0" w:color="auto"/>
              <w:left w:val="nil"/>
              <w:bottom w:val="single" w:sz="4" w:space="0" w:color="auto"/>
              <w:right w:val="single" w:sz="4" w:space="0" w:color="auto"/>
            </w:tcBorders>
            <w:noWrap/>
            <w:vAlign w:val="bottom"/>
            <w:hideMark/>
          </w:tcPr>
          <w:p w14:paraId="3402F0E4" w14:textId="77777777" w:rsidR="004F1CE0" w:rsidRPr="00D32778" w:rsidRDefault="004F1CE0" w:rsidP="001D3CE9">
            <w:pPr>
              <w:spacing w:line="360" w:lineRule="auto"/>
              <w:rPr>
                <w:rFonts w:ascii="Arial" w:hAnsi="Arial" w:cs="Arial"/>
                <w:b/>
                <w:bCs/>
                <w:color w:val="000000"/>
                <w:sz w:val="20"/>
                <w:szCs w:val="20"/>
              </w:rPr>
            </w:pPr>
            <w:r w:rsidRPr="00D32778">
              <w:rPr>
                <w:rFonts w:ascii="Arial" w:hAnsi="Arial" w:cs="Arial"/>
                <w:b/>
                <w:bCs/>
                <w:color w:val="000000"/>
                <w:sz w:val="20"/>
                <w:szCs w:val="20"/>
              </w:rPr>
              <w:t>Grain yield (kg/ha)</w:t>
            </w:r>
          </w:p>
        </w:tc>
        <w:tc>
          <w:tcPr>
            <w:tcW w:w="1323" w:type="pct"/>
            <w:tcBorders>
              <w:top w:val="single" w:sz="4" w:space="0" w:color="auto"/>
              <w:left w:val="nil"/>
              <w:bottom w:val="single" w:sz="4" w:space="0" w:color="auto"/>
              <w:right w:val="single" w:sz="4" w:space="0" w:color="auto"/>
            </w:tcBorders>
            <w:noWrap/>
            <w:vAlign w:val="bottom"/>
            <w:hideMark/>
          </w:tcPr>
          <w:p w14:paraId="6FE02DB3" w14:textId="77777777" w:rsidR="004F1CE0" w:rsidRPr="00D32778" w:rsidRDefault="004F1CE0" w:rsidP="001D3CE9">
            <w:pPr>
              <w:spacing w:line="360" w:lineRule="auto"/>
              <w:rPr>
                <w:rFonts w:ascii="Arial" w:hAnsi="Arial" w:cs="Arial"/>
                <w:b/>
                <w:bCs/>
                <w:color w:val="000000"/>
                <w:sz w:val="20"/>
                <w:szCs w:val="20"/>
              </w:rPr>
            </w:pPr>
            <w:r w:rsidRPr="00D32778">
              <w:rPr>
                <w:rFonts w:ascii="Arial" w:hAnsi="Arial" w:cs="Arial"/>
                <w:b/>
                <w:bCs/>
                <w:color w:val="000000"/>
                <w:sz w:val="20"/>
                <w:szCs w:val="20"/>
              </w:rPr>
              <w:t>Straw yield (kg/ha)</w:t>
            </w:r>
          </w:p>
        </w:tc>
        <w:tc>
          <w:tcPr>
            <w:tcW w:w="1184" w:type="pct"/>
            <w:tcBorders>
              <w:top w:val="single" w:sz="4" w:space="0" w:color="auto"/>
              <w:left w:val="nil"/>
              <w:bottom w:val="single" w:sz="4" w:space="0" w:color="auto"/>
              <w:right w:val="single" w:sz="4" w:space="0" w:color="auto"/>
            </w:tcBorders>
            <w:noWrap/>
            <w:vAlign w:val="bottom"/>
            <w:hideMark/>
          </w:tcPr>
          <w:p w14:paraId="06460D53" w14:textId="77777777" w:rsidR="004F1CE0" w:rsidRPr="00D32778" w:rsidRDefault="004F1CE0" w:rsidP="001D3CE9">
            <w:pPr>
              <w:spacing w:line="360" w:lineRule="auto"/>
              <w:rPr>
                <w:rFonts w:ascii="Arial" w:hAnsi="Arial" w:cs="Arial"/>
                <w:b/>
                <w:bCs/>
                <w:color w:val="000000"/>
                <w:sz w:val="20"/>
                <w:szCs w:val="20"/>
              </w:rPr>
            </w:pPr>
            <w:r w:rsidRPr="00D32778">
              <w:rPr>
                <w:rFonts w:ascii="Arial" w:hAnsi="Arial" w:cs="Arial"/>
                <w:b/>
                <w:bCs/>
                <w:color w:val="000000"/>
                <w:sz w:val="20"/>
                <w:szCs w:val="20"/>
              </w:rPr>
              <w:t>Harvest index (%)</w:t>
            </w:r>
          </w:p>
        </w:tc>
      </w:tr>
    </w:tbl>
    <w:tbl>
      <w:tblPr>
        <w:tblStyle w:val="TableGrid"/>
        <w:tblW w:w="5000" w:type="pct"/>
        <w:tblLook w:val="04A0" w:firstRow="1" w:lastRow="0" w:firstColumn="1" w:lastColumn="0" w:noHBand="0" w:noVBand="1"/>
      </w:tblPr>
      <w:tblGrid>
        <w:gridCol w:w="2128"/>
        <w:gridCol w:w="2405"/>
        <w:gridCol w:w="2267"/>
        <w:gridCol w:w="2216"/>
      </w:tblGrid>
      <w:tr w:rsidR="004F1CE0" w:rsidRPr="00D32778" w14:paraId="15AD93F3" w14:textId="77777777" w:rsidTr="001D3CE9">
        <w:tc>
          <w:tcPr>
            <w:tcW w:w="5000" w:type="pct"/>
            <w:gridSpan w:val="4"/>
          </w:tcPr>
          <w:p w14:paraId="0828861C" w14:textId="77777777" w:rsidR="004F1CE0" w:rsidRPr="00D32778" w:rsidRDefault="004F1CE0" w:rsidP="001D3CE9">
            <w:pPr>
              <w:spacing w:line="360" w:lineRule="auto"/>
              <w:jc w:val="both"/>
              <w:rPr>
                <w:rFonts w:ascii="Arial" w:hAnsi="Arial" w:cs="Arial"/>
              </w:rPr>
            </w:pPr>
            <w:r w:rsidRPr="00D32778">
              <w:rPr>
                <w:rFonts w:ascii="Arial" w:hAnsi="Arial" w:cs="Arial"/>
                <w:b/>
                <w:bCs/>
              </w:rPr>
              <w:t>Date of transplanting</w:t>
            </w:r>
          </w:p>
        </w:tc>
      </w:tr>
      <w:tr w:rsidR="004F1CE0" w:rsidRPr="00D32778" w14:paraId="09E89950" w14:textId="77777777" w:rsidTr="001D3CE9">
        <w:tc>
          <w:tcPr>
            <w:tcW w:w="1180" w:type="pct"/>
            <w:vAlign w:val="center"/>
          </w:tcPr>
          <w:p w14:paraId="3F119876" w14:textId="77777777" w:rsidR="004F1CE0" w:rsidRPr="00D32778" w:rsidRDefault="004F1CE0" w:rsidP="001D3CE9">
            <w:pPr>
              <w:spacing w:line="360" w:lineRule="auto"/>
              <w:rPr>
                <w:rFonts w:ascii="Arial" w:hAnsi="Arial" w:cs="Arial"/>
              </w:rPr>
            </w:pPr>
            <w:r w:rsidRPr="00D32778">
              <w:rPr>
                <w:rFonts w:ascii="Arial" w:hAnsi="Arial" w:cs="Arial"/>
              </w:rPr>
              <w:t>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2112AFC6"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2432</w:t>
            </w:r>
          </w:p>
        </w:tc>
        <w:tc>
          <w:tcPr>
            <w:tcW w:w="1257" w:type="pct"/>
            <w:vAlign w:val="center"/>
          </w:tcPr>
          <w:p w14:paraId="64EE0EA7"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3461</w:t>
            </w:r>
          </w:p>
        </w:tc>
        <w:tc>
          <w:tcPr>
            <w:tcW w:w="1229" w:type="pct"/>
            <w:vAlign w:val="center"/>
          </w:tcPr>
          <w:p w14:paraId="1BB500B3"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40.9</w:t>
            </w:r>
          </w:p>
        </w:tc>
      </w:tr>
      <w:tr w:rsidR="004F1CE0" w:rsidRPr="00D32778" w14:paraId="7558CFF2" w14:textId="77777777" w:rsidTr="001D3CE9">
        <w:tc>
          <w:tcPr>
            <w:tcW w:w="1180" w:type="pct"/>
            <w:vAlign w:val="center"/>
          </w:tcPr>
          <w:p w14:paraId="3B4E5413" w14:textId="77777777" w:rsidR="004F1CE0" w:rsidRPr="00D32778" w:rsidRDefault="004F1CE0" w:rsidP="001D3CE9">
            <w:pPr>
              <w:spacing w:line="360" w:lineRule="auto"/>
              <w:rPr>
                <w:rFonts w:ascii="Arial" w:hAnsi="Arial" w:cs="Arial"/>
              </w:rPr>
            </w:pPr>
            <w:r w:rsidRPr="00D32778">
              <w:rPr>
                <w:rFonts w:ascii="Arial" w:hAnsi="Arial" w:cs="Arial"/>
              </w:rPr>
              <w:t>15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46FC37B7"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2091</w:t>
            </w:r>
          </w:p>
        </w:tc>
        <w:tc>
          <w:tcPr>
            <w:tcW w:w="1257" w:type="pct"/>
            <w:vAlign w:val="center"/>
          </w:tcPr>
          <w:p w14:paraId="54F24703"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3292</w:t>
            </w:r>
          </w:p>
        </w:tc>
        <w:tc>
          <w:tcPr>
            <w:tcW w:w="1229" w:type="pct"/>
            <w:vAlign w:val="center"/>
          </w:tcPr>
          <w:p w14:paraId="6D9B2EA1"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39.3</w:t>
            </w:r>
          </w:p>
        </w:tc>
      </w:tr>
      <w:tr w:rsidR="004F1CE0" w:rsidRPr="00D32778" w14:paraId="1FD59EA0" w14:textId="77777777" w:rsidTr="001D3CE9">
        <w:tc>
          <w:tcPr>
            <w:tcW w:w="1180" w:type="pct"/>
            <w:vAlign w:val="center"/>
          </w:tcPr>
          <w:p w14:paraId="6B2E61AF" w14:textId="77777777" w:rsidR="004F1CE0" w:rsidRPr="00D32778" w:rsidRDefault="004F1CE0" w:rsidP="001D3CE9">
            <w:pPr>
              <w:spacing w:line="360" w:lineRule="auto"/>
              <w:rPr>
                <w:rFonts w:ascii="Arial" w:hAnsi="Arial" w:cs="Arial"/>
              </w:rPr>
            </w:pPr>
            <w:r w:rsidRPr="00D32778">
              <w:rPr>
                <w:rFonts w:ascii="Arial" w:hAnsi="Arial" w:cs="Arial"/>
              </w:rPr>
              <w:t>25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6D6670A1"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1698</w:t>
            </w:r>
          </w:p>
        </w:tc>
        <w:tc>
          <w:tcPr>
            <w:tcW w:w="1257" w:type="pct"/>
            <w:vAlign w:val="center"/>
          </w:tcPr>
          <w:p w14:paraId="0DFBCCA6"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3110</w:t>
            </w:r>
          </w:p>
        </w:tc>
        <w:tc>
          <w:tcPr>
            <w:tcW w:w="1229" w:type="pct"/>
            <w:vAlign w:val="center"/>
          </w:tcPr>
          <w:p w14:paraId="0FE6AF09"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35.3</w:t>
            </w:r>
          </w:p>
        </w:tc>
      </w:tr>
      <w:tr w:rsidR="004F1CE0" w:rsidRPr="00D32778" w14:paraId="0C48111B" w14:textId="77777777" w:rsidTr="001D3CE9">
        <w:tc>
          <w:tcPr>
            <w:tcW w:w="1180" w:type="pct"/>
            <w:vAlign w:val="center"/>
          </w:tcPr>
          <w:p w14:paraId="613315FF" w14:textId="77777777" w:rsidR="004F1CE0" w:rsidRPr="00D32778" w:rsidRDefault="004F1CE0" w:rsidP="001D3CE9">
            <w:pPr>
              <w:spacing w:line="360" w:lineRule="auto"/>
              <w:rPr>
                <w:rFonts w:ascii="Arial" w:hAnsi="Arial" w:cs="Arial"/>
                <w:b/>
                <w:bCs/>
              </w:rPr>
            </w:pPr>
            <w:proofErr w:type="spellStart"/>
            <w:r w:rsidRPr="00D32778">
              <w:rPr>
                <w:rFonts w:ascii="Arial" w:hAnsi="Arial" w:cs="Arial"/>
                <w:b/>
                <w:bCs/>
              </w:rPr>
              <w:t>SEm</w:t>
            </w:r>
            <w:proofErr w:type="spellEnd"/>
            <w:r w:rsidRPr="00D32778">
              <w:rPr>
                <w:rFonts w:ascii="Arial" w:hAnsi="Arial" w:cs="Arial"/>
                <w:b/>
                <w:bCs/>
              </w:rPr>
              <w:t xml:space="preserve"> ±</w:t>
            </w:r>
          </w:p>
        </w:tc>
        <w:tc>
          <w:tcPr>
            <w:tcW w:w="1334" w:type="pct"/>
            <w:vAlign w:val="center"/>
          </w:tcPr>
          <w:p w14:paraId="7FDFC87A" w14:textId="77777777" w:rsidR="004F1CE0" w:rsidRPr="00D32778" w:rsidRDefault="004F1CE0" w:rsidP="001D3CE9">
            <w:pPr>
              <w:spacing w:line="360" w:lineRule="auto"/>
              <w:rPr>
                <w:rFonts w:ascii="Arial" w:hAnsi="Arial" w:cs="Arial"/>
              </w:rPr>
            </w:pPr>
            <w:r w:rsidRPr="00D32778">
              <w:rPr>
                <w:rFonts w:ascii="Arial" w:hAnsi="Arial" w:cs="Arial"/>
              </w:rPr>
              <w:t>40</w:t>
            </w:r>
          </w:p>
        </w:tc>
        <w:tc>
          <w:tcPr>
            <w:tcW w:w="1257" w:type="pct"/>
            <w:vAlign w:val="center"/>
          </w:tcPr>
          <w:p w14:paraId="471ADF4A"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55</w:t>
            </w:r>
          </w:p>
        </w:tc>
        <w:tc>
          <w:tcPr>
            <w:tcW w:w="1229" w:type="pct"/>
            <w:vAlign w:val="center"/>
          </w:tcPr>
          <w:p w14:paraId="6CF4F42B"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1.8</w:t>
            </w:r>
          </w:p>
        </w:tc>
      </w:tr>
      <w:tr w:rsidR="004F1CE0" w:rsidRPr="00D32778" w14:paraId="4361862F" w14:textId="77777777" w:rsidTr="001D3CE9">
        <w:tc>
          <w:tcPr>
            <w:tcW w:w="1180" w:type="pct"/>
            <w:vAlign w:val="center"/>
          </w:tcPr>
          <w:p w14:paraId="43C4F979" w14:textId="77777777" w:rsidR="004F1CE0" w:rsidRPr="00D32778" w:rsidRDefault="004F1CE0" w:rsidP="001D3CE9">
            <w:pPr>
              <w:spacing w:line="360" w:lineRule="auto"/>
              <w:rPr>
                <w:rFonts w:ascii="Arial" w:hAnsi="Arial" w:cs="Arial"/>
                <w:b/>
                <w:bCs/>
              </w:rPr>
            </w:pPr>
            <w:r w:rsidRPr="00D32778">
              <w:rPr>
                <w:rFonts w:ascii="Arial" w:hAnsi="Arial" w:cs="Arial"/>
                <w:b/>
                <w:bCs/>
              </w:rPr>
              <w:t>CD (</w:t>
            </w:r>
            <w:r w:rsidRPr="00D32778">
              <w:rPr>
                <w:rFonts w:ascii="Arial" w:hAnsi="Arial" w:cs="Arial"/>
                <w:b/>
                <w:bCs/>
                <w:i/>
                <w:iCs/>
              </w:rPr>
              <w:t>P=0.05</w:t>
            </w:r>
            <w:r w:rsidRPr="00D32778">
              <w:rPr>
                <w:rFonts w:ascii="Arial" w:hAnsi="Arial" w:cs="Arial"/>
                <w:b/>
                <w:bCs/>
              </w:rPr>
              <w:t>)</w:t>
            </w:r>
          </w:p>
        </w:tc>
        <w:tc>
          <w:tcPr>
            <w:tcW w:w="1334" w:type="pct"/>
            <w:vAlign w:val="center"/>
          </w:tcPr>
          <w:p w14:paraId="76A3676D" w14:textId="77777777" w:rsidR="004F1CE0" w:rsidRPr="00D32778" w:rsidRDefault="004F1CE0" w:rsidP="001D3CE9">
            <w:pPr>
              <w:spacing w:line="360" w:lineRule="auto"/>
              <w:rPr>
                <w:rFonts w:ascii="Arial" w:hAnsi="Arial" w:cs="Arial"/>
              </w:rPr>
            </w:pPr>
            <w:r w:rsidRPr="00D32778">
              <w:rPr>
                <w:rFonts w:ascii="Arial" w:hAnsi="Arial" w:cs="Arial"/>
              </w:rPr>
              <w:t>120</w:t>
            </w:r>
          </w:p>
        </w:tc>
        <w:tc>
          <w:tcPr>
            <w:tcW w:w="1257" w:type="pct"/>
            <w:vAlign w:val="center"/>
          </w:tcPr>
          <w:p w14:paraId="75C3C3F2"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165</w:t>
            </w:r>
          </w:p>
        </w:tc>
        <w:tc>
          <w:tcPr>
            <w:tcW w:w="1229" w:type="pct"/>
            <w:vAlign w:val="center"/>
          </w:tcPr>
          <w:p w14:paraId="724104C9"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NS</w:t>
            </w:r>
          </w:p>
        </w:tc>
      </w:tr>
      <w:tr w:rsidR="004F1CE0" w:rsidRPr="00D32778" w14:paraId="47D02086" w14:textId="77777777" w:rsidTr="001D3CE9">
        <w:tc>
          <w:tcPr>
            <w:tcW w:w="5000" w:type="pct"/>
            <w:gridSpan w:val="4"/>
          </w:tcPr>
          <w:p w14:paraId="0F6599F6" w14:textId="77777777" w:rsidR="004F1CE0" w:rsidRPr="00D32778" w:rsidRDefault="004F1CE0" w:rsidP="001D3CE9">
            <w:pPr>
              <w:spacing w:line="360" w:lineRule="auto"/>
              <w:jc w:val="both"/>
              <w:rPr>
                <w:rFonts w:ascii="Arial" w:hAnsi="Arial" w:cs="Arial"/>
              </w:rPr>
            </w:pPr>
            <w:r w:rsidRPr="00D32778">
              <w:rPr>
                <w:rFonts w:ascii="Arial" w:hAnsi="Arial" w:cs="Arial"/>
                <w:b/>
                <w:bCs/>
              </w:rPr>
              <w:t>Variety</w:t>
            </w:r>
          </w:p>
        </w:tc>
      </w:tr>
      <w:tr w:rsidR="004F1CE0" w:rsidRPr="00D32778" w14:paraId="314D0F9E" w14:textId="77777777" w:rsidTr="001D3CE9">
        <w:tc>
          <w:tcPr>
            <w:tcW w:w="1180" w:type="pct"/>
            <w:vAlign w:val="center"/>
          </w:tcPr>
          <w:p w14:paraId="167C8A53" w14:textId="77777777" w:rsidR="004F1CE0" w:rsidRPr="00D32778" w:rsidRDefault="004F1CE0" w:rsidP="001D3CE9">
            <w:pPr>
              <w:spacing w:line="360" w:lineRule="auto"/>
              <w:rPr>
                <w:rFonts w:ascii="Arial" w:hAnsi="Arial" w:cs="Arial"/>
              </w:rPr>
            </w:pPr>
            <w:r w:rsidRPr="00D32778">
              <w:rPr>
                <w:rFonts w:ascii="Arial" w:hAnsi="Arial" w:cs="Arial"/>
              </w:rPr>
              <w:t>Basmati-370</w:t>
            </w:r>
          </w:p>
        </w:tc>
        <w:tc>
          <w:tcPr>
            <w:tcW w:w="1334" w:type="pct"/>
            <w:vAlign w:val="center"/>
          </w:tcPr>
          <w:p w14:paraId="42D35D3B"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2559</w:t>
            </w:r>
          </w:p>
        </w:tc>
        <w:tc>
          <w:tcPr>
            <w:tcW w:w="1257" w:type="pct"/>
            <w:vAlign w:val="center"/>
          </w:tcPr>
          <w:p w14:paraId="41AC7A6C"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3567</w:t>
            </w:r>
          </w:p>
        </w:tc>
        <w:tc>
          <w:tcPr>
            <w:tcW w:w="1229" w:type="pct"/>
            <w:vAlign w:val="center"/>
          </w:tcPr>
          <w:p w14:paraId="10E160D9"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41.5</w:t>
            </w:r>
          </w:p>
        </w:tc>
      </w:tr>
      <w:tr w:rsidR="004F1CE0" w:rsidRPr="00D32778" w14:paraId="543792E2" w14:textId="77777777" w:rsidTr="001D3CE9">
        <w:tc>
          <w:tcPr>
            <w:tcW w:w="1180" w:type="pct"/>
            <w:vAlign w:val="center"/>
          </w:tcPr>
          <w:p w14:paraId="745CEF5F" w14:textId="77777777" w:rsidR="004F1CE0" w:rsidRPr="00D32778" w:rsidRDefault="004F1CE0" w:rsidP="001D3CE9">
            <w:pPr>
              <w:spacing w:line="360" w:lineRule="auto"/>
              <w:rPr>
                <w:rFonts w:ascii="Arial" w:hAnsi="Arial" w:cs="Arial"/>
              </w:rPr>
            </w:pPr>
            <w:r w:rsidRPr="00D32778">
              <w:rPr>
                <w:rFonts w:ascii="Arial" w:hAnsi="Arial" w:cs="Arial"/>
              </w:rPr>
              <w:t>Kasturi Basmati</w:t>
            </w:r>
          </w:p>
        </w:tc>
        <w:tc>
          <w:tcPr>
            <w:tcW w:w="1334" w:type="pct"/>
            <w:vAlign w:val="center"/>
          </w:tcPr>
          <w:p w14:paraId="2C57FA96"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2315</w:t>
            </w:r>
          </w:p>
        </w:tc>
        <w:tc>
          <w:tcPr>
            <w:tcW w:w="1257" w:type="pct"/>
            <w:vAlign w:val="center"/>
          </w:tcPr>
          <w:p w14:paraId="463515B2"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3388</w:t>
            </w:r>
          </w:p>
        </w:tc>
        <w:tc>
          <w:tcPr>
            <w:tcW w:w="1229" w:type="pct"/>
            <w:vAlign w:val="center"/>
          </w:tcPr>
          <w:p w14:paraId="7D8E3942"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40.6</w:t>
            </w:r>
          </w:p>
        </w:tc>
      </w:tr>
      <w:tr w:rsidR="004F1CE0" w:rsidRPr="00D32778" w14:paraId="16365A9B" w14:textId="77777777" w:rsidTr="001D3CE9">
        <w:tc>
          <w:tcPr>
            <w:tcW w:w="1180" w:type="pct"/>
            <w:vAlign w:val="center"/>
          </w:tcPr>
          <w:p w14:paraId="730AD651" w14:textId="77777777" w:rsidR="004F1CE0" w:rsidRPr="00D32778" w:rsidRDefault="004F1CE0" w:rsidP="001D3CE9">
            <w:pPr>
              <w:spacing w:line="360" w:lineRule="auto"/>
              <w:rPr>
                <w:rFonts w:ascii="Arial" w:hAnsi="Arial" w:cs="Arial"/>
              </w:rPr>
            </w:pPr>
            <w:r w:rsidRPr="00D32778">
              <w:rPr>
                <w:rFonts w:ascii="Arial" w:hAnsi="Arial" w:cs="Arial"/>
              </w:rPr>
              <w:t>Pusa Basmati 1121</w:t>
            </w:r>
          </w:p>
        </w:tc>
        <w:tc>
          <w:tcPr>
            <w:tcW w:w="1334" w:type="pct"/>
            <w:vAlign w:val="center"/>
          </w:tcPr>
          <w:p w14:paraId="01CCE90D"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1347</w:t>
            </w:r>
          </w:p>
        </w:tc>
        <w:tc>
          <w:tcPr>
            <w:tcW w:w="1257" w:type="pct"/>
            <w:vAlign w:val="center"/>
          </w:tcPr>
          <w:p w14:paraId="2D154282"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2916</w:t>
            </w:r>
          </w:p>
        </w:tc>
        <w:tc>
          <w:tcPr>
            <w:tcW w:w="1229" w:type="pct"/>
            <w:vAlign w:val="center"/>
          </w:tcPr>
          <w:p w14:paraId="23A54435"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33.5</w:t>
            </w:r>
          </w:p>
        </w:tc>
      </w:tr>
      <w:tr w:rsidR="004F1CE0" w:rsidRPr="00D32778" w14:paraId="32EBF6CA" w14:textId="77777777" w:rsidTr="001D3CE9">
        <w:tc>
          <w:tcPr>
            <w:tcW w:w="1180" w:type="pct"/>
            <w:vAlign w:val="center"/>
          </w:tcPr>
          <w:p w14:paraId="3E3EAC5F" w14:textId="77777777" w:rsidR="004F1CE0" w:rsidRPr="00D32778" w:rsidRDefault="004F1CE0" w:rsidP="001D3CE9">
            <w:pPr>
              <w:spacing w:line="360" w:lineRule="auto"/>
              <w:rPr>
                <w:rFonts w:ascii="Arial" w:hAnsi="Arial" w:cs="Arial"/>
                <w:b/>
                <w:bCs/>
              </w:rPr>
            </w:pPr>
            <w:proofErr w:type="spellStart"/>
            <w:r w:rsidRPr="00D32778">
              <w:rPr>
                <w:rFonts w:ascii="Arial" w:hAnsi="Arial" w:cs="Arial"/>
                <w:b/>
                <w:bCs/>
              </w:rPr>
              <w:t>SEm</w:t>
            </w:r>
            <w:proofErr w:type="spellEnd"/>
            <w:r w:rsidRPr="00D32778">
              <w:rPr>
                <w:rFonts w:ascii="Arial" w:hAnsi="Arial" w:cs="Arial"/>
                <w:b/>
                <w:bCs/>
              </w:rPr>
              <w:t xml:space="preserve"> ±</w:t>
            </w:r>
          </w:p>
        </w:tc>
        <w:tc>
          <w:tcPr>
            <w:tcW w:w="1334" w:type="pct"/>
            <w:vAlign w:val="center"/>
          </w:tcPr>
          <w:p w14:paraId="05679DF8"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40</w:t>
            </w:r>
          </w:p>
        </w:tc>
        <w:tc>
          <w:tcPr>
            <w:tcW w:w="1257" w:type="pct"/>
            <w:vAlign w:val="center"/>
          </w:tcPr>
          <w:p w14:paraId="7323E452"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55</w:t>
            </w:r>
          </w:p>
        </w:tc>
        <w:tc>
          <w:tcPr>
            <w:tcW w:w="1229" w:type="pct"/>
            <w:vAlign w:val="center"/>
          </w:tcPr>
          <w:p w14:paraId="42FB0497"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1.8</w:t>
            </w:r>
          </w:p>
        </w:tc>
      </w:tr>
      <w:tr w:rsidR="004F1CE0" w:rsidRPr="00D32778" w14:paraId="3F32E1B1" w14:textId="77777777" w:rsidTr="001D3CE9">
        <w:tc>
          <w:tcPr>
            <w:tcW w:w="1180" w:type="pct"/>
            <w:vAlign w:val="center"/>
          </w:tcPr>
          <w:p w14:paraId="2167665F" w14:textId="77777777" w:rsidR="004F1CE0" w:rsidRPr="00D32778" w:rsidRDefault="004F1CE0" w:rsidP="001D3CE9">
            <w:pPr>
              <w:spacing w:line="360" w:lineRule="auto"/>
              <w:rPr>
                <w:rFonts w:ascii="Arial" w:hAnsi="Arial" w:cs="Arial"/>
                <w:b/>
                <w:bCs/>
              </w:rPr>
            </w:pPr>
            <w:r w:rsidRPr="00D32778">
              <w:rPr>
                <w:rFonts w:ascii="Arial" w:hAnsi="Arial" w:cs="Arial"/>
                <w:b/>
                <w:bCs/>
              </w:rPr>
              <w:lastRenderedPageBreak/>
              <w:t>CD (</w:t>
            </w:r>
            <w:r w:rsidRPr="00D32778">
              <w:rPr>
                <w:rFonts w:ascii="Arial" w:hAnsi="Arial" w:cs="Arial"/>
                <w:b/>
                <w:bCs/>
                <w:i/>
                <w:iCs/>
              </w:rPr>
              <w:t>P=0.05</w:t>
            </w:r>
            <w:r w:rsidRPr="00D32778">
              <w:rPr>
                <w:rFonts w:ascii="Arial" w:hAnsi="Arial" w:cs="Arial"/>
                <w:b/>
                <w:bCs/>
              </w:rPr>
              <w:t>)</w:t>
            </w:r>
          </w:p>
        </w:tc>
        <w:tc>
          <w:tcPr>
            <w:tcW w:w="1334" w:type="pct"/>
            <w:vAlign w:val="center"/>
          </w:tcPr>
          <w:p w14:paraId="16CF0CD3"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120</w:t>
            </w:r>
          </w:p>
        </w:tc>
        <w:tc>
          <w:tcPr>
            <w:tcW w:w="1257" w:type="pct"/>
            <w:vAlign w:val="center"/>
          </w:tcPr>
          <w:p w14:paraId="202BCAFA"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165</w:t>
            </w:r>
          </w:p>
        </w:tc>
        <w:tc>
          <w:tcPr>
            <w:tcW w:w="1229" w:type="pct"/>
            <w:vAlign w:val="center"/>
          </w:tcPr>
          <w:p w14:paraId="4B16A7DF" w14:textId="77777777" w:rsidR="004F1CE0" w:rsidRPr="00D32778" w:rsidRDefault="004F1CE0" w:rsidP="001D3CE9">
            <w:pPr>
              <w:spacing w:line="360" w:lineRule="auto"/>
              <w:rPr>
                <w:rFonts w:ascii="Arial" w:hAnsi="Arial" w:cs="Arial"/>
              </w:rPr>
            </w:pPr>
            <w:r w:rsidRPr="00D32778">
              <w:rPr>
                <w:rFonts w:ascii="Arial" w:eastAsia="Aptos" w:hAnsi="Arial" w:cs="Arial"/>
                <w:color w:val="000000" w:themeColor="text1"/>
              </w:rPr>
              <w:t>NS</w:t>
            </w:r>
          </w:p>
        </w:tc>
      </w:tr>
    </w:tbl>
    <w:p w14:paraId="1E090850" w14:textId="77777777" w:rsidR="004F1CE0" w:rsidRPr="00D32778" w:rsidRDefault="004F1CE0" w:rsidP="004F1CE0">
      <w:pPr>
        <w:spacing w:line="360" w:lineRule="auto"/>
        <w:rPr>
          <w:rFonts w:ascii="Arial" w:hAnsi="Arial" w:cs="Arial"/>
          <w:b/>
          <w:bCs/>
          <w:sz w:val="20"/>
          <w:szCs w:val="20"/>
        </w:rPr>
      </w:pPr>
    </w:p>
    <w:p w14:paraId="5B90A3B4" w14:textId="77777777" w:rsidR="004F1CE0" w:rsidRPr="00D32778" w:rsidRDefault="004F1CE0" w:rsidP="004F1CE0">
      <w:pPr>
        <w:spacing w:line="360" w:lineRule="auto"/>
        <w:jc w:val="both"/>
        <w:rPr>
          <w:rFonts w:ascii="Arial" w:hAnsi="Arial" w:cs="Arial"/>
          <w:sz w:val="20"/>
          <w:szCs w:val="20"/>
        </w:rPr>
      </w:pPr>
      <w:r w:rsidRPr="00D32778">
        <w:rPr>
          <w:rFonts w:ascii="Arial" w:hAnsi="Arial" w:cs="Arial"/>
          <w:sz w:val="20"/>
          <w:szCs w:val="20"/>
        </w:rPr>
        <w:t>The interaction effect of transplanting dates and varieties on the grain yield was found to be significant and has been presented in Table 4. A date-wise comparison of varieties revealed that Basmati-370 produced significantly higher grain yield at all date of transplanting which was at par with Kasturi Basmati at 5</w:t>
      </w:r>
      <w:r w:rsidRPr="00D32778">
        <w:rPr>
          <w:rFonts w:ascii="Arial" w:hAnsi="Arial" w:cs="Arial"/>
          <w:sz w:val="20"/>
          <w:szCs w:val="20"/>
          <w:vertAlign w:val="superscript"/>
        </w:rPr>
        <w:t>th</w:t>
      </w:r>
      <w:r w:rsidRPr="00D32778">
        <w:rPr>
          <w:rFonts w:ascii="Arial" w:hAnsi="Arial" w:cs="Arial"/>
          <w:sz w:val="20"/>
          <w:szCs w:val="20"/>
        </w:rPr>
        <w:t xml:space="preserve"> date of transplanting. A comparison of varieties at different dates showed that Basmati-370, Kasturi Basmati and Pusa Basmati 1121 recorded significantly higher grain yield at the first date of transplanting (5</w:t>
      </w:r>
      <w:r w:rsidRPr="00D32778">
        <w:rPr>
          <w:rFonts w:ascii="Arial" w:hAnsi="Arial" w:cs="Arial"/>
          <w:sz w:val="20"/>
          <w:szCs w:val="20"/>
          <w:vertAlign w:val="superscript"/>
        </w:rPr>
        <w:t>th</w:t>
      </w:r>
      <w:r w:rsidRPr="00D32778">
        <w:rPr>
          <w:rFonts w:ascii="Arial" w:hAnsi="Arial" w:cs="Arial"/>
          <w:sz w:val="20"/>
          <w:szCs w:val="20"/>
        </w:rPr>
        <w:t xml:space="preserve"> June) followed by 15</w:t>
      </w:r>
      <w:r w:rsidRPr="00D32778">
        <w:rPr>
          <w:rFonts w:ascii="Arial" w:hAnsi="Arial" w:cs="Arial"/>
          <w:sz w:val="20"/>
          <w:szCs w:val="20"/>
          <w:vertAlign w:val="superscript"/>
        </w:rPr>
        <w:t>th</w:t>
      </w:r>
      <w:r w:rsidRPr="00D32778">
        <w:rPr>
          <w:rFonts w:ascii="Arial" w:hAnsi="Arial" w:cs="Arial"/>
          <w:sz w:val="20"/>
          <w:szCs w:val="20"/>
        </w:rPr>
        <w:t xml:space="preserve"> June and 25</w:t>
      </w:r>
      <w:r w:rsidRPr="00D32778">
        <w:rPr>
          <w:rFonts w:ascii="Arial" w:hAnsi="Arial" w:cs="Arial"/>
          <w:sz w:val="20"/>
          <w:szCs w:val="20"/>
          <w:vertAlign w:val="superscript"/>
        </w:rPr>
        <w:t>th</w:t>
      </w:r>
      <w:r w:rsidRPr="00D32778">
        <w:rPr>
          <w:rFonts w:ascii="Arial" w:hAnsi="Arial" w:cs="Arial"/>
          <w:sz w:val="20"/>
          <w:szCs w:val="20"/>
        </w:rPr>
        <w:t xml:space="preserve"> June. </w:t>
      </w:r>
    </w:p>
    <w:p w14:paraId="56E50489"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Table 4. Interaction effect of transplanting dates and varieties on grain yield</w:t>
      </w:r>
    </w:p>
    <w:tbl>
      <w:tblPr>
        <w:tblW w:w="5000" w:type="pct"/>
        <w:tblLook w:val="04A0" w:firstRow="1" w:lastRow="0" w:firstColumn="1" w:lastColumn="0" w:noHBand="0" w:noVBand="1"/>
      </w:tblPr>
      <w:tblGrid>
        <w:gridCol w:w="2751"/>
        <w:gridCol w:w="1962"/>
        <w:gridCol w:w="1944"/>
        <w:gridCol w:w="2359"/>
      </w:tblGrid>
      <w:tr w:rsidR="004F1CE0" w:rsidRPr="00D32778" w14:paraId="73A7E4BC" w14:textId="77777777" w:rsidTr="001D3CE9">
        <w:trPr>
          <w:trHeight w:val="315"/>
        </w:trPr>
        <w:tc>
          <w:tcPr>
            <w:tcW w:w="1526" w:type="pct"/>
            <w:tcBorders>
              <w:top w:val="single" w:sz="4" w:space="0" w:color="auto"/>
              <w:left w:val="single" w:sz="4" w:space="0" w:color="auto"/>
              <w:bottom w:val="single" w:sz="4" w:space="0" w:color="auto"/>
              <w:right w:val="single" w:sz="4" w:space="0" w:color="auto"/>
            </w:tcBorders>
            <w:noWrap/>
            <w:vAlign w:val="bottom"/>
            <w:hideMark/>
          </w:tcPr>
          <w:p w14:paraId="2AEBD4F0" w14:textId="77777777" w:rsidR="004F1CE0" w:rsidRPr="00D32778" w:rsidRDefault="004F1CE0" w:rsidP="001D3CE9">
            <w:pPr>
              <w:spacing w:line="360" w:lineRule="auto"/>
              <w:rPr>
                <w:rFonts w:ascii="Arial" w:eastAsia="Times New Roman" w:hAnsi="Arial" w:cs="Arial"/>
                <w:color w:val="000000"/>
                <w:sz w:val="20"/>
                <w:szCs w:val="20"/>
              </w:rPr>
            </w:pPr>
            <w:r w:rsidRPr="00D32778">
              <w:rPr>
                <w:rFonts w:ascii="Arial" w:hAnsi="Arial" w:cs="Arial"/>
                <w:color w:val="000000"/>
                <w:sz w:val="20"/>
                <w:szCs w:val="20"/>
              </w:rPr>
              <w:t> </w:t>
            </w:r>
          </w:p>
        </w:tc>
        <w:tc>
          <w:tcPr>
            <w:tcW w:w="1088" w:type="pct"/>
            <w:tcBorders>
              <w:top w:val="single" w:sz="4" w:space="0" w:color="auto"/>
              <w:left w:val="nil"/>
              <w:bottom w:val="single" w:sz="4" w:space="0" w:color="auto"/>
              <w:right w:val="single" w:sz="4" w:space="0" w:color="auto"/>
            </w:tcBorders>
            <w:noWrap/>
            <w:vAlign w:val="bottom"/>
            <w:hideMark/>
          </w:tcPr>
          <w:p w14:paraId="3454B482"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c>
          <w:tcPr>
            <w:tcW w:w="1078" w:type="pct"/>
            <w:tcBorders>
              <w:top w:val="single" w:sz="4" w:space="0" w:color="auto"/>
              <w:left w:val="nil"/>
              <w:bottom w:val="single" w:sz="4" w:space="0" w:color="auto"/>
              <w:right w:val="single" w:sz="4" w:space="0" w:color="auto"/>
            </w:tcBorders>
            <w:noWrap/>
            <w:vAlign w:val="bottom"/>
            <w:hideMark/>
          </w:tcPr>
          <w:p w14:paraId="309DB758"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15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c>
          <w:tcPr>
            <w:tcW w:w="1308" w:type="pct"/>
            <w:tcBorders>
              <w:top w:val="single" w:sz="4" w:space="0" w:color="auto"/>
              <w:left w:val="nil"/>
              <w:bottom w:val="single" w:sz="4" w:space="0" w:color="auto"/>
              <w:right w:val="single" w:sz="4" w:space="0" w:color="auto"/>
            </w:tcBorders>
            <w:noWrap/>
            <w:vAlign w:val="bottom"/>
            <w:hideMark/>
          </w:tcPr>
          <w:p w14:paraId="2D8F75D3"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r>
      <w:tr w:rsidR="004F1CE0" w:rsidRPr="00D32778" w14:paraId="096061C7" w14:textId="77777777" w:rsidTr="001D3CE9">
        <w:trPr>
          <w:trHeight w:val="315"/>
        </w:trPr>
        <w:tc>
          <w:tcPr>
            <w:tcW w:w="1526" w:type="pct"/>
            <w:tcBorders>
              <w:top w:val="nil"/>
              <w:left w:val="single" w:sz="4" w:space="0" w:color="auto"/>
              <w:bottom w:val="single" w:sz="4" w:space="0" w:color="auto"/>
              <w:right w:val="single" w:sz="4" w:space="0" w:color="auto"/>
            </w:tcBorders>
            <w:noWrap/>
            <w:vAlign w:val="bottom"/>
            <w:hideMark/>
          </w:tcPr>
          <w:p w14:paraId="0AFEEC46" w14:textId="77777777" w:rsidR="004F1CE0" w:rsidRPr="00D32778" w:rsidRDefault="004F1CE0" w:rsidP="001D3CE9">
            <w:pPr>
              <w:spacing w:line="360" w:lineRule="auto"/>
              <w:jc w:val="both"/>
              <w:rPr>
                <w:rFonts w:ascii="Arial" w:hAnsi="Arial" w:cs="Arial"/>
                <w:color w:val="000000"/>
                <w:sz w:val="20"/>
                <w:szCs w:val="20"/>
              </w:rPr>
            </w:pPr>
            <w:r w:rsidRPr="00D32778">
              <w:rPr>
                <w:rFonts w:ascii="Arial" w:hAnsi="Arial" w:cs="Arial"/>
                <w:color w:val="000000"/>
                <w:sz w:val="20"/>
                <w:szCs w:val="20"/>
              </w:rPr>
              <w:t>Basmati-370</w:t>
            </w:r>
          </w:p>
        </w:tc>
        <w:tc>
          <w:tcPr>
            <w:tcW w:w="1088" w:type="pct"/>
            <w:tcBorders>
              <w:top w:val="nil"/>
              <w:left w:val="nil"/>
              <w:bottom w:val="single" w:sz="4" w:space="0" w:color="auto"/>
              <w:right w:val="single" w:sz="4" w:space="0" w:color="auto"/>
            </w:tcBorders>
            <w:noWrap/>
            <w:vAlign w:val="bottom"/>
            <w:hideMark/>
          </w:tcPr>
          <w:p w14:paraId="70BAE329"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2698</w:t>
            </w:r>
          </w:p>
        </w:tc>
        <w:tc>
          <w:tcPr>
            <w:tcW w:w="1078" w:type="pct"/>
            <w:tcBorders>
              <w:top w:val="nil"/>
              <w:left w:val="nil"/>
              <w:bottom w:val="single" w:sz="4" w:space="0" w:color="auto"/>
              <w:right w:val="single" w:sz="4" w:space="0" w:color="auto"/>
            </w:tcBorders>
            <w:noWrap/>
            <w:vAlign w:val="bottom"/>
            <w:hideMark/>
          </w:tcPr>
          <w:p w14:paraId="4CA9A2C4"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2581</w:t>
            </w:r>
          </w:p>
        </w:tc>
        <w:tc>
          <w:tcPr>
            <w:tcW w:w="1308" w:type="pct"/>
            <w:tcBorders>
              <w:top w:val="nil"/>
              <w:left w:val="nil"/>
              <w:bottom w:val="single" w:sz="4" w:space="0" w:color="auto"/>
              <w:right w:val="single" w:sz="4" w:space="0" w:color="auto"/>
            </w:tcBorders>
            <w:noWrap/>
            <w:vAlign w:val="bottom"/>
            <w:hideMark/>
          </w:tcPr>
          <w:p w14:paraId="22D6113F"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2397</w:t>
            </w:r>
          </w:p>
        </w:tc>
      </w:tr>
      <w:tr w:rsidR="004F1CE0" w:rsidRPr="00D32778" w14:paraId="20F8D09E" w14:textId="77777777" w:rsidTr="001D3CE9">
        <w:trPr>
          <w:trHeight w:val="315"/>
        </w:trPr>
        <w:tc>
          <w:tcPr>
            <w:tcW w:w="1526" w:type="pct"/>
            <w:tcBorders>
              <w:top w:val="nil"/>
              <w:left w:val="single" w:sz="4" w:space="0" w:color="auto"/>
              <w:bottom w:val="single" w:sz="4" w:space="0" w:color="auto"/>
              <w:right w:val="single" w:sz="4" w:space="0" w:color="auto"/>
            </w:tcBorders>
            <w:noWrap/>
            <w:vAlign w:val="bottom"/>
            <w:hideMark/>
          </w:tcPr>
          <w:p w14:paraId="5193B222"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Kasturi Basmati</w:t>
            </w:r>
          </w:p>
        </w:tc>
        <w:tc>
          <w:tcPr>
            <w:tcW w:w="1088" w:type="pct"/>
            <w:tcBorders>
              <w:top w:val="nil"/>
              <w:left w:val="nil"/>
              <w:bottom w:val="single" w:sz="4" w:space="0" w:color="auto"/>
              <w:right w:val="single" w:sz="4" w:space="0" w:color="auto"/>
            </w:tcBorders>
            <w:noWrap/>
            <w:vAlign w:val="bottom"/>
            <w:hideMark/>
          </w:tcPr>
          <w:p w14:paraId="2A25ADF3"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2514</w:t>
            </w:r>
          </w:p>
        </w:tc>
        <w:tc>
          <w:tcPr>
            <w:tcW w:w="1078" w:type="pct"/>
            <w:tcBorders>
              <w:top w:val="nil"/>
              <w:left w:val="nil"/>
              <w:bottom w:val="single" w:sz="4" w:space="0" w:color="auto"/>
              <w:right w:val="single" w:sz="4" w:space="0" w:color="auto"/>
            </w:tcBorders>
            <w:noWrap/>
            <w:vAlign w:val="bottom"/>
            <w:hideMark/>
          </w:tcPr>
          <w:p w14:paraId="028F16D4"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2335</w:t>
            </w:r>
          </w:p>
        </w:tc>
        <w:tc>
          <w:tcPr>
            <w:tcW w:w="1308" w:type="pct"/>
            <w:tcBorders>
              <w:top w:val="nil"/>
              <w:left w:val="nil"/>
              <w:bottom w:val="single" w:sz="4" w:space="0" w:color="auto"/>
              <w:right w:val="single" w:sz="4" w:space="0" w:color="auto"/>
            </w:tcBorders>
            <w:noWrap/>
            <w:vAlign w:val="bottom"/>
            <w:hideMark/>
          </w:tcPr>
          <w:p w14:paraId="466B646F"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2096</w:t>
            </w:r>
          </w:p>
        </w:tc>
      </w:tr>
      <w:tr w:rsidR="004F1CE0" w:rsidRPr="00D32778" w14:paraId="68675B9B" w14:textId="77777777" w:rsidTr="001D3CE9">
        <w:trPr>
          <w:trHeight w:val="315"/>
        </w:trPr>
        <w:tc>
          <w:tcPr>
            <w:tcW w:w="1526" w:type="pct"/>
            <w:tcBorders>
              <w:top w:val="nil"/>
              <w:left w:val="single" w:sz="4" w:space="0" w:color="auto"/>
              <w:bottom w:val="single" w:sz="4" w:space="0" w:color="auto"/>
              <w:right w:val="single" w:sz="4" w:space="0" w:color="auto"/>
            </w:tcBorders>
            <w:noWrap/>
            <w:vAlign w:val="bottom"/>
            <w:hideMark/>
          </w:tcPr>
          <w:p w14:paraId="04680329"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Pusa Basmati 1121</w:t>
            </w:r>
          </w:p>
        </w:tc>
        <w:tc>
          <w:tcPr>
            <w:tcW w:w="1088" w:type="pct"/>
            <w:tcBorders>
              <w:top w:val="nil"/>
              <w:left w:val="nil"/>
              <w:bottom w:val="single" w:sz="4" w:space="0" w:color="auto"/>
              <w:right w:val="single" w:sz="4" w:space="0" w:color="auto"/>
            </w:tcBorders>
            <w:noWrap/>
            <w:vAlign w:val="bottom"/>
            <w:hideMark/>
          </w:tcPr>
          <w:p w14:paraId="254DF37E"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2085</w:t>
            </w:r>
          </w:p>
        </w:tc>
        <w:tc>
          <w:tcPr>
            <w:tcW w:w="1078" w:type="pct"/>
            <w:tcBorders>
              <w:top w:val="nil"/>
              <w:left w:val="nil"/>
              <w:bottom w:val="single" w:sz="4" w:space="0" w:color="auto"/>
              <w:right w:val="single" w:sz="4" w:space="0" w:color="auto"/>
            </w:tcBorders>
            <w:noWrap/>
            <w:vAlign w:val="bottom"/>
            <w:hideMark/>
          </w:tcPr>
          <w:p w14:paraId="3A82FA12"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1356</w:t>
            </w:r>
          </w:p>
        </w:tc>
        <w:tc>
          <w:tcPr>
            <w:tcW w:w="1308" w:type="pct"/>
            <w:tcBorders>
              <w:top w:val="nil"/>
              <w:left w:val="nil"/>
              <w:bottom w:val="single" w:sz="4" w:space="0" w:color="auto"/>
              <w:right w:val="single" w:sz="4" w:space="0" w:color="auto"/>
            </w:tcBorders>
            <w:noWrap/>
            <w:vAlign w:val="bottom"/>
            <w:hideMark/>
          </w:tcPr>
          <w:p w14:paraId="4DC06173"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600</w:t>
            </w:r>
          </w:p>
        </w:tc>
      </w:tr>
      <w:tr w:rsidR="004F1CE0" w:rsidRPr="00D32778" w14:paraId="1B02ED0E" w14:textId="77777777" w:rsidTr="001D3CE9">
        <w:trPr>
          <w:trHeight w:val="315"/>
        </w:trPr>
        <w:tc>
          <w:tcPr>
            <w:tcW w:w="1526" w:type="pct"/>
            <w:tcBorders>
              <w:top w:val="nil"/>
              <w:left w:val="single" w:sz="4" w:space="0" w:color="auto"/>
              <w:bottom w:val="single" w:sz="4" w:space="0" w:color="auto"/>
              <w:right w:val="single" w:sz="4" w:space="0" w:color="auto"/>
            </w:tcBorders>
            <w:noWrap/>
            <w:vAlign w:val="bottom"/>
            <w:hideMark/>
          </w:tcPr>
          <w:p w14:paraId="6032398D" w14:textId="77777777" w:rsidR="004F1CE0" w:rsidRPr="00D32778" w:rsidRDefault="004F1CE0" w:rsidP="001D3CE9">
            <w:pPr>
              <w:spacing w:line="360" w:lineRule="auto"/>
              <w:jc w:val="both"/>
              <w:rPr>
                <w:rFonts w:ascii="Arial" w:hAnsi="Arial" w:cs="Arial"/>
                <w:color w:val="000000"/>
                <w:sz w:val="20"/>
                <w:szCs w:val="20"/>
              </w:rPr>
            </w:pPr>
            <w:r w:rsidRPr="00D32778">
              <w:rPr>
                <w:rFonts w:ascii="Arial" w:hAnsi="Arial" w:cs="Arial"/>
                <w:color w:val="000000"/>
                <w:sz w:val="20"/>
                <w:szCs w:val="20"/>
              </w:rPr>
              <w:t>CD (</w:t>
            </w:r>
            <w:r w:rsidRPr="00D32778">
              <w:rPr>
                <w:rFonts w:ascii="Arial" w:hAnsi="Arial" w:cs="Arial"/>
                <w:i/>
                <w:iCs/>
                <w:color w:val="000000"/>
                <w:sz w:val="20"/>
                <w:szCs w:val="20"/>
              </w:rPr>
              <w:t>P=0.05</w:t>
            </w:r>
            <w:r w:rsidRPr="00D32778">
              <w:rPr>
                <w:rFonts w:ascii="Arial" w:hAnsi="Arial" w:cs="Arial"/>
                <w:color w:val="000000"/>
                <w:sz w:val="20"/>
                <w:szCs w:val="20"/>
              </w:rPr>
              <w:t>)</w:t>
            </w:r>
          </w:p>
        </w:tc>
        <w:tc>
          <w:tcPr>
            <w:tcW w:w="1088" w:type="pct"/>
            <w:tcBorders>
              <w:top w:val="nil"/>
              <w:left w:val="nil"/>
              <w:bottom w:val="single" w:sz="4" w:space="0" w:color="auto"/>
              <w:right w:val="single" w:sz="4" w:space="0" w:color="auto"/>
            </w:tcBorders>
            <w:noWrap/>
            <w:vAlign w:val="bottom"/>
            <w:hideMark/>
          </w:tcPr>
          <w:p w14:paraId="01D6B3D0"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 </w:t>
            </w:r>
          </w:p>
        </w:tc>
        <w:tc>
          <w:tcPr>
            <w:tcW w:w="1078" w:type="pct"/>
            <w:tcBorders>
              <w:top w:val="nil"/>
              <w:left w:val="nil"/>
              <w:bottom w:val="single" w:sz="4" w:space="0" w:color="auto"/>
              <w:right w:val="single" w:sz="4" w:space="0" w:color="auto"/>
            </w:tcBorders>
            <w:noWrap/>
            <w:vAlign w:val="bottom"/>
            <w:hideMark/>
          </w:tcPr>
          <w:p w14:paraId="24BCE105" w14:textId="77777777" w:rsidR="004F1CE0" w:rsidRPr="00D32778" w:rsidRDefault="004F1CE0" w:rsidP="001D3CE9">
            <w:pPr>
              <w:spacing w:line="360" w:lineRule="auto"/>
              <w:jc w:val="right"/>
              <w:rPr>
                <w:rFonts w:ascii="Arial" w:hAnsi="Arial" w:cs="Arial"/>
                <w:color w:val="000000"/>
                <w:sz w:val="20"/>
                <w:szCs w:val="20"/>
              </w:rPr>
            </w:pPr>
          </w:p>
        </w:tc>
        <w:tc>
          <w:tcPr>
            <w:tcW w:w="1308" w:type="pct"/>
            <w:tcBorders>
              <w:top w:val="nil"/>
              <w:left w:val="nil"/>
              <w:bottom w:val="single" w:sz="4" w:space="0" w:color="auto"/>
              <w:right w:val="single" w:sz="4" w:space="0" w:color="auto"/>
            </w:tcBorders>
            <w:noWrap/>
            <w:vAlign w:val="bottom"/>
            <w:hideMark/>
          </w:tcPr>
          <w:p w14:paraId="7D1147F8" w14:textId="77777777" w:rsidR="004F1CE0" w:rsidRPr="00D32778" w:rsidRDefault="004F1CE0" w:rsidP="001D3CE9">
            <w:pPr>
              <w:spacing w:line="360" w:lineRule="auto"/>
              <w:jc w:val="right"/>
              <w:rPr>
                <w:rFonts w:ascii="Arial" w:hAnsi="Arial" w:cs="Arial"/>
                <w:color w:val="000000"/>
                <w:sz w:val="20"/>
                <w:szCs w:val="20"/>
              </w:rPr>
            </w:pPr>
          </w:p>
        </w:tc>
      </w:tr>
      <w:tr w:rsidR="004F1CE0" w:rsidRPr="00D32778" w14:paraId="6DFF59AB" w14:textId="77777777" w:rsidTr="001D3CE9">
        <w:trPr>
          <w:trHeight w:val="656"/>
        </w:trPr>
        <w:tc>
          <w:tcPr>
            <w:tcW w:w="3692" w:type="pct"/>
            <w:gridSpan w:val="3"/>
            <w:tcBorders>
              <w:top w:val="nil"/>
              <w:left w:val="single" w:sz="4" w:space="0" w:color="auto"/>
              <w:bottom w:val="single" w:sz="4" w:space="0" w:color="auto"/>
              <w:right w:val="single" w:sz="4" w:space="0" w:color="auto"/>
            </w:tcBorders>
            <w:noWrap/>
            <w:vAlign w:val="bottom"/>
            <w:hideMark/>
          </w:tcPr>
          <w:p w14:paraId="5A4D0495"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For comparison of varieties at different date </w:t>
            </w:r>
          </w:p>
        </w:tc>
        <w:tc>
          <w:tcPr>
            <w:tcW w:w="1308" w:type="pct"/>
            <w:tcBorders>
              <w:top w:val="nil"/>
              <w:left w:val="single" w:sz="4" w:space="0" w:color="auto"/>
              <w:bottom w:val="single" w:sz="4" w:space="0" w:color="auto"/>
              <w:right w:val="single" w:sz="4" w:space="0" w:color="auto"/>
            </w:tcBorders>
          </w:tcPr>
          <w:p w14:paraId="57B5A171" w14:textId="77777777" w:rsidR="004F1CE0" w:rsidRPr="00D32778" w:rsidRDefault="004F1CE0" w:rsidP="001D3CE9">
            <w:pPr>
              <w:spacing w:line="360" w:lineRule="auto"/>
              <w:rPr>
                <w:rFonts w:ascii="Arial" w:hAnsi="Arial" w:cs="Arial"/>
                <w:color w:val="000000"/>
                <w:sz w:val="20"/>
                <w:szCs w:val="20"/>
              </w:rPr>
            </w:pPr>
            <w:r w:rsidRPr="00D32778">
              <w:rPr>
                <w:rFonts w:ascii="Arial" w:hAnsi="Arial" w:cs="Arial"/>
                <w:color w:val="000000"/>
                <w:sz w:val="20"/>
                <w:szCs w:val="20"/>
              </w:rPr>
              <w:t>208</w:t>
            </w:r>
          </w:p>
        </w:tc>
      </w:tr>
    </w:tbl>
    <w:p w14:paraId="781FEB5B" w14:textId="77777777" w:rsidR="004F1CE0" w:rsidRPr="00FB6188" w:rsidRDefault="00FB6188" w:rsidP="00FB6188">
      <w:pPr>
        <w:pStyle w:val="ListParagraph"/>
        <w:numPr>
          <w:ilvl w:val="0"/>
          <w:numId w:val="2"/>
        </w:numPr>
        <w:spacing w:line="360" w:lineRule="auto"/>
        <w:jc w:val="both"/>
        <w:rPr>
          <w:rFonts w:ascii="Arial" w:hAnsi="Arial" w:cs="Arial"/>
          <w:b/>
          <w:bCs/>
        </w:rPr>
      </w:pPr>
      <w:r w:rsidRPr="00FB6188">
        <w:rPr>
          <w:rFonts w:ascii="Arial" w:hAnsi="Arial" w:cs="Arial"/>
          <w:b/>
          <w:bCs/>
        </w:rPr>
        <w:t>DISCUSSION</w:t>
      </w:r>
    </w:p>
    <w:p w14:paraId="7B94F42C" w14:textId="77777777" w:rsidR="004F1CE0" w:rsidRPr="00D32778" w:rsidRDefault="004F1CE0" w:rsidP="004F1CE0">
      <w:pPr>
        <w:pStyle w:val="ListParagraph"/>
        <w:spacing w:line="360" w:lineRule="auto"/>
        <w:ind w:left="-90" w:firstLine="810"/>
        <w:jc w:val="both"/>
        <w:rPr>
          <w:rFonts w:ascii="Arial" w:hAnsi="Arial" w:cs="Arial"/>
          <w:b/>
          <w:bCs/>
          <w:sz w:val="20"/>
          <w:szCs w:val="20"/>
        </w:rPr>
      </w:pPr>
      <w:commentRangeStart w:id="54"/>
      <w:r w:rsidRPr="00D32778">
        <w:rPr>
          <w:rFonts w:ascii="Arial" w:hAnsi="Arial" w:cs="Arial"/>
          <w:sz w:val="20"/>
          <w:szCs w:val="20"/>
        </w:rPr>
        <w:t>Yield attributes such as the number of effective tillers/m², panicle length, panicle weight, grain weight per panicle and test weight were significantly influenced by transplanting dates and varietal differences, which ultimately translated into variations in yield. Early transplanting on 5</w:t>
      </w:r>
      <w:r w:rsidRPr="00D32778">
        <w:rPr>
          <w:rFonts w:ascii="Arial" w:hAnsi="Arial" w:cs="Arial"/>
          <w:sz w:val="20"/>
          <w:szCs w:val="20"/>
          <w:vertAlign w:val="superscript"/>
        </w:rPr>
        <w:t>th</w:t>
      </w:r>
      <w:r w:rsidRPr="00D32778">
        <w:rPr>
          <w:rFonts w:ascii="Arial" w:hAnsi="Arial" w:cs="Arial"/>
          <w:sz w:val="20"/>
          <w:szCs w:val="20"/>
        </w:rPr>
        <w:t xml:space="preserve"> June resulted in higher values of these attributes owing to a longer vegetative phase, favourable temperature during panicle initiation, and adequate duration for assimilate accumulation and grain filling. In contrast, late transplanting (25</w:t>
      </w:r>
      <w:r w:rsidRPr="00D32778">
        <w:rPr>
          <w:rFonts w:ascii="Arial" w:hAnsi="Arial" w:cs="Arial"/>
          <w:sz w:val="20"/>
          <w:szCs w:val="20"/>
          <w:vertAlign w:val="superscript"/>
        </w:rPr>
        <w:t>th</w:t>
      </w:r>
      <w:r w:rsidRPr="00D32778">
        <w:rPr>
          <w:rFonts w:ascii="Arial" w:hAnsi="Arial" w:cs="Arial"/>
          <w:sz w:val="20"/>
          <w:szCs w:val="20"/>
        </w:rPr>
        <w:t xml:space="preserve"> June) exposed the crop to relatively cooler and stress-prone conditions during the reproductive stage, thereby reducing tiller survival, panicle elongation and grain filling efficiency (Vishwakarma et al. 2016; Shabana et al. 2016; Singh et al. 2019; Mehta et al. 2019; </w:t>
      </w:r>
      <w:proofErr w:type="spellStart"/>
      <w:r w:rsidRPr="00D32778">
        <w:rPr>
          <w:rFonts w:ascii="Arial" w:hAnsi="Arial" w:cs="Arial"/>
          <w:sz w:val="20"/>
          <w:szCs w:val="20"/>
        </w:rPr>
        <w:t>Paschapur</w:t>
      </w:r>
      <w:proofErr w:type="spellEnd"/>
      <w:r w:rsidRPr="00D32778">
        <w:rPr>
          <w:rFonts w:ascii="Arial" w:hAnsi="Arial" w:cs="Arial"/>
          <w:sz w:val="20"/>
          <w:szCs w:val="20"/>
        </w:rPr>
        <w:t xml:space="preserve"> et al. 2021; Singh et al. 2021; Mann and Dhillon 2021). Among the varieties, Basmati-370 consistently outperformed Kasturi Basmati and Pusa Basmati 1121 for yield attributes due to its balanced growth duration, superior assimilate partitioning and better adaptation to the mid-hill conditions of Palampur. Since these attributes are closely linked with final productivity, the superiority of Basmati-370 and early transplanting was also reflected in grain yield, which was highest under 5</w:t>
      </w:r>
      <w:r w:rsidRPr="00D32778">
        <w:rPr>
          <w:rFonts w:ascii="Arial" w:hAnsi="Arial" w:cs="Arial"/>
          <w:sz w:val="20"/>
          <w:szCs w:val="20"/>
          <w:vertAlign w:val="superscript"/>
        </w:rPr>
        <w:t>th</w:t>
      </w:r>
      <w:r w:rsidRPr="00D32778">
        <w:rPr>
          <w:rFonts w:ascii="Arial" w:hAnsi="Arial" w:cs="Arial"/>
          <w:sz w:val="20"/>
          <w:szCs w:val="20"/>
        </w:rPr>
        <w:t xml:space="preserve"> June transplanting followed by 15</w:t>
      </w:r>
      <w:r w:rsidRPr="00D32778">
        <w:rPr>
          <w:rFonts w:ascii="Arial" w:hAnsi="Arial" w:cs="Arial"/>
          <w:sz w:val="20"/>
          <w:szCs w:val="20"/>
          <w:vertAlign w:val="superscript"/>
        </w:rPr>
        <w:t>th</w:t>
      </w:r>
      <w:r w:rsidRPr="00D32778">
        <w:rPr>
          <w:rFonts w:ascii="Arial" w:hAnsi="Arial" w:cs="Arial"/>
          <w:sz w:val="20"/>
          <w:szCs w:val="20"/>
        </w:rPr>
        <w:t xml:space="preserve"> June, while a sharp decline was noted under 25</w:t>
      </w:r>
      <w:r w:rsidRPr="00D32778">
        <w:rPr>
          <w:rFonts w:ascii="Arial" w:hAnsi="Arial" w:cs="Arial"/>
          <w:sz w:val="20"/>
          <w:szCs w:val="20"/>
          <w:vertAlign w:val="superscript"/>
        </w:rPr>
        <w:t>th</w:t>
      </w:r>
      <w:r w:rsidRPr="00D32778">
        <w:rPr>
          <w:rFonts w:ascii="Arial" w:hAnsi="Arial" w:cs="Arial"/>
          <w:sz w:val="20"/>
          <w:szCs w:val="20"/>
        </w:rPr>
        <w:t xml:space="preserve"> June transplanting. Similar results were also obtained by Wani </w:t>
      </w:r>
      <w:r w:rsidRPr="00D32778">
        <w:rPr>
          <w:rFonts w:ascii="Arial" w:hAnsi="Arial" w:cs="Arial"/>
          <w:i/>
          <w:iCs/>
          <w:sz w:val="20"/>
          <w:szCs w:val="20"/>
        </w:rPr>
        <w:t>et al</w:t>
      </w:r>
      <w:r w:rsidRPr="00D32778">
        <w:rPr>
          <w:rFonts w:ascii="Arial" w:hAnsi="Arial" w:cs="Arial"/>
          <w:sz w:val="20"/>
          <w:szCs w:val="20"/>
        </w:rPr>
        <w:t xml:space="preserve">. 2016; Priyadarshi </w:t>
      </w:r>
      <w:r w:rsidRPr="00D32778">
        <w:rPr>
          <w:rFonts w:ascii="Arial" w:hAnsi="Arial" w:cs="Arial"/>
          <w:i/>
          <w:iCs/>
          <w:sz w:val="20"/>
          <w:szCs w:val="20"/>
        </w:rPr>
        <w:t>et al</w:t>
      </w:r>
      <w:r w:rsidRPr="00D32778">
        <w:rPr>
          <w:rFonts w:ascii="Arial" w:hAnsi="Arial" w:cs="Arial"/>
          <w:sz w:val="20"/>
          <w:szCs w:val="20"/>
        </w:rPr>
        <w:t xml:space="preserve">. 2018; Tiwari </w:t>
      </w:r>
      <w:r w:rsidRPr="00D32778">
        <w:rPr>
          <w:rFonts w:ascii="Arial" w:hAnsi="Arial" w:cs="Arial"/>
          <w:i/>
          <w:iCs/>
          <w:sz w:val="20"/>
          <w:szCs w:val="20"/>
        </w:rPr>
        <w:t>et al</w:t>
      </w:r>
      <w:r w:rsidRPr="00D32778">
        <w:rPr>
          <w:rFonts w:ascii="Arial" w:hAnsi="Arial" w:cs="Arial"/>
          <w:sz w:val="20"/>
          <w:szCs w:val="20"/>
        </w:rPr>
        <w:t xml:space="preserve">. 2018; Saha </w:t>
      </w:r>
      <w:r w:rsidRPr="00D32778">
        <w:rPr>
          <w:rFonts w:ascii="Arial" w:hAnsi="Arial" w:cs="Arial"/>
          <w:i/>
          <w:iCs/>
          <w:sz w:val="20"/>
          <w:szCs w:val="20"/>
        </w:rPr>
        <w:t>et al</w:t>
      </w:r>
      <w:r w:rsidRPr="00D32778">
        <w:rPr>
          <w:rFonts w:ascii="Arial" w:hAnsi="Arial" w:cs="Arial"/>
          <w:sz w:val="20"/>
          <w:szCs w:val="20"/>
        </w:rPr>
        <w:t xml:space="preserve">. 2019; Mehta </w:t>
      </w:r>
      <w:r w:rsidRPr="00D32778">
        <w:rPr>
          <w:rFonts w:ascii="Arial" w:hAnsi="Arial" w:cs="Arial"/>
          <w:i/>
          <w:iCs/>
          <w:sz w:val="20"/>
          <w:szCs w:val="20"/>
        </w:rPr>
        <w:t>et al</w:t>
      </w:r>
      <w:r w:rsidRPr="00D32778">
        <w:rPr>
          <w:rFonts w:ascii="Arial" w:hAnsi="Arial" w:cs="Arial"/>
          <w:sz w:val="20"/>
          <w:szCs w:val="20"/>
        </w:rPr>
        <w:t xml:space="preserve">. 2019; Mann and Dhillon 2021; Sharma </w:t>
      </w:r>
      <w:r w:rsidRPr="00D32778">
        <w:rPr>
          <w:rFonts w:ascii="Arial" w:hAnsi="Arial" w:cs="Arial"/>
          <w:i/>
          <w:iCs/>
          <w:sz w:val="20"/>
          <w:szCs w:val="20"/>
        </w:rPr>
        <w:t>et al</w:t>
      </w:r>
      <w:r w:rsidRPr="00D32778">
        <w:rPr>
          <w:rFonts w:ascii="Arial" w:hAnsi="Arial" w:cs="Arial"/>
          <w:sz w:val="20"/>
          <w:szCs w:val="20"/>
        </w:rPr>
        <w:t>. 2022). Thus, both optimum transplanting time and varietal adaptability played a pivotal role in determining yield potential through their influence on physiologically important yield attributes.</w:t>
      </w:r>
      <w:commentRangeEnd w:id="54"/>
      <w:r w:rsidR="00531A82">
        <w:rPr>
          <w:rStyle w:val="CommentReference"/>
        </w:rPr>
        <w:commentReference w:id="54"/>
      </w:r>
    </w:p>
    <w:p w14:paraId="1C682E67" w14:textId="77777777" w:rsidR="004F1CE0" w:rsidRPr="00D32778" w:rsidRDefault="00D32778" w:rsidP="004F1CE0">
      <w:pPr>
        <w:pStyle w:val="ListParagraph"/>
        <w:numPr>
          <w:ilvl w:val="0"/>
          <w:numId w:val="2"/>
        </w:numPr>
        <w:spacing w:line="360" w:lineRule="auto"/>
        <w:jc w:val="both"/>
        <w:rPr>
          <w:rFonts w:ascii="Arial" w:hAnsi="Arial" w:cs="Arial"/>
          <w:b/>
          <w:bCs/>
        </w:rPr>
      </w:pPr>
      <w:r w:rsidRPr="00D32778">
        <w:rPr>
          <w:rFonts w:ascii="Arial" w:hAnsi="Arial" w:cs="Arial"/>
          <w:b/>
          <w:bCs/>
        </w:rPr>
        <w:t>CONCLUSION</w:t>
      </w:r>
    </w:p>
    <w:p w14:paraId="63C8E6FA" w14:textId="77777777" w:rsidR="004F1CE0" w:rsidRPr="00D32778" w:rsidRDefault="004F1CE0" w:rsidP="004F1CE0">
      <w:pPr>
        <w:spacing w:line="360" w:lineRule="auto"/>
        <w:ind w:firstLine="720"/>
        <w:jc w:val="both"/>
        <w:rPr>
          <w:rFonts w:ascii="Arial" w:hAnsi="Arial" w:cs="Arial"/>
          <w:sz w:val="20"/>
          <w:szCs w:val="20"/>
        </w:rPr>
      </w:pPr>
      <w:r w:rsidRPr="00D32778">
        <w:rPr>
          <w:rFonts w:ascii="Arial" w:hAnsi="Arial" w:cs="Arial"/>
          <w:sz w:val="20"/>
          <w:szCs w:val="20"/>
        </w:rPr>
        <w:lastRenderedPageBreak/>
        <w:t>The present investigation clearly demonstrated that transplanting time had a marked influence on the reproductive growth of basmati rice under mid-hill conditions. Early transplanting on 5</w:t>
      </w:r>
      <w:r w:rsidRPr="00D32778">
        <w:rPr>
          <w:rFonts w:ascii="Arial" w:hAnsi="Arial" w:cs="Arial"/>
          <w:sz w:val="20"/>
          <w:szCs w:val="20"/>
          <w:vertAlign w:val="superscript"/>
        </w:rPr>
        <w:t>th</w:t>
      </w:r>
      <w:r w:rsidRPr="00D32778">
        <w:rPr>
          <w:rFonts w:ascii="Arial" w:hAnsi="Arial" w:cs="Arial"/>
          <w:sz w:val="20"/>
          <w:szCs w:val="20"/>
        </w:rPr>
        <w:t xml:space="preserve"> June enabled the crop to utilize favourable temperature and longer photoperiod during the growth stages, which resulted in higher yield attributes and yield as compared to 15</w:t>
      </w:r>
      <w:r w:rsidRPr="00D32778">
        <w:rPr>
          <w:rFonts w:ascii="Arial" w:hAnsi="Arial" w:cs="Arial"/>
          <w:sz w:val="20"/>
          <w:szCs w:val="20"/>
          <w:vertAlign w:val="superscript"/>
        </w:rPr>
        <w:t>th</w:t>
      </w:r>
      <w:r w:rsidRPr="00D32778">
        <w:rPr>
          <w:rFonts w:ascii="Arial" w:hAnsi="Arial" w:cs="Arial"/>
          <w:sz w:val="20"/>
          <w:szCs w:val="20"/>
        </w:rPr>
        <w:t xml:space="preserve"> and 25</w:t>
      </w:r>
      <w:r w:rsidRPr="00D32778">
        <w:rPr>
          <w:rFonts w:ascii="Arial" w:hAnsi="Arial" w:cs="Arial"/>
          <w:sz w:val="20"/>
          <w:szCs w:val="20"/>
          <w:vertAlign w:val="superscript"/>
        </w:rPr>
        <w:t>th</w:t>
      </w:r>
      <w:r w:rsidRPr="00D32778">
        <w:rPr>
          <w:rFonts w:ascii="Arial" w:hAnsi="Arial" w:cs="Arial"/>
          <w:sz w:val="20"/>
          <w:szCs w:val="20"/>
        </w:rPr>
        <w:t xml:space="preserve"> June transplanting. Among the tested varieties, Basmati-370 consistently recorded superior performance, followed by Kasturi Basmati, whereas Pusa Basmati 1121 remained inferior. The findings suggest that transplanting basmati rice around the first week of June, particularly with Basmati-370, is the most suitable combination for achieving better reproductive vigour under the mid-hill ecology of Himachal Pradesh.</w:t>
      </w:r>
    </w:p>
    <w:p w14:paraId="42AE0FCC" w14:textId="77777777" w:rsidR="00B112B0" w:rsidRDefault="00B112B0" w:rsidP="00287B58">
      <w:pPr>
        <w:pStyle w:val="ReferHead"/>
        <w:spacing w:before="240"/>
        <w:ind w:left="720"/>
        <w:jc w:val="both"/>
        <w:rPr>
          <w:rFonts w:ascii="Arial" w:hAnsi="Arial" w:cs="Arial"/>
          <w:b w:val="0"/>
          <w:bCs/>
          <w:caps w:val="0"/>
        </w:rPr>
      </w:pPr>
    </w:p>
    <w:p w14:paraId="2734E871" w14:textId="77777777" w:rsidR="00B112B0" w:rsidRPr="00B112B0" w:rsidRDefault="00B112B0" w:rsidP="00B112B0">
      <w:pPr>
        <w:spacing w:after="200" w:line="276" w:lineRule="auto"/>
        <w:jc w:val="both"/>
        <w:outlineLvl w:val="0"/>
        <w:rPr>
          <w:rFonts w:ascii="Arial" w:eastAsia="Times New Roman" w:hAnsi="Arial" w:cs="Arial"/>
          <w:kern w:val="0"/>
          <w:lang w:val="en-GB" w:eastAsia="en-GB"/>
          <w14:ligatures w14:val="none"/>
        </w:rPr>
      </w:pPr>
      <w:r w:rsidRPr="00B112B0">
        <w:rPr>
          <w:rFonts w:ascii="Arial" w:eastAsia="Times New Roman" w:hAnsi="Arial" w:cs="Arial"/>
          <w:b/>
          <w:bCs/>
          <w:kern w:val="0"/>
          <w:lang w:val="en-GB" w:eastAsia="en-GB"/>
          <w14:ligatures w14:val="none"/>
        </w:rPr>
        <w:t>COMPETING INTERESTS DISCLAIMER:</w:t>
      </w:r>
    </w:p>
    <w:p w14:paraId="33C5F877" w14:textId="77777777" w:rsidR="00B112B0" w:rsidRPr="00B112B0" w:rsidRDefault="00B112B0" w:rsidP="00B112B0">
      <w:pPr>
        <w:spacing w:after="200" w:line="276" w:lineRule="auto"/>
        <w:rPr>
          <w:rFonts w:ascii="Calibri" w:eastAsia="Times New Roman" w:hAnsi="Calibri" w:cs="Times New Roman"/>
          <w:kern w:val="0"/>
          <w:lang w:val="en-GB" w:eastAsia="en-GB"/>
          <w14:ligatures w14:val="none"/>
        </w:rPr>
      </w:pPr>
      <w:r w:rsidRPr="00B112B0">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806286A" w14:textId="77777777" w:rsidR="00B112B0" w:rsidRDefault="00B112B0" w:rsidP="00287B58">
      <w:pPr>
        <w:pStyle w:val="ReferHead"/>
        <w:spacing w:before="240"/>
        <w:ind w:left="720"/>
        <w:jc w:val="both"/>
        <w:rPr>
          <w:rFonts w:ascii="Arial" w:hAnsi="Arial" w:cs="Arial"/>
          <w:b w:val="0"/>
          <w:bCs/>
          <w:caps w:val="0"/>
        </w:rPr>
      </w:pPr>
    </w:p>
    <w:p w14:paraId="5AE0C448" w14:textId="77777777" w:rsidR="00B112B0" w:rsidRDefault="00B112B0" w:rsidP="00287B58">
      <w:pPr>
        <w:pStyle w:val="ReferHead"/>
        <w:spacing w:before="240"/>
        <w:ind w:left="720"/>
        <w:jc w:val="both"/>
        <w:rPr>
          <w:rFonts w:ascii="Arial" w:hAnsi="Arial" w:cs="Arial"/>
          <w:b w:val="0"/>
          <w:bCs/>
          <w:caps w:val="0"/>
        </w:rPr>
      </w:pPr>
    </w:p>
    <w:p w14:paraId="2D35064F" w14:textId="77777777" w:rsidR="004F1CE0" w:rsidRPr="0075265E" w:rsidRDefault="004F1CE0" w:rsidP="00287B58">
      <w:pPr>
        <w:pStyle w:val="ReferHead"/>
        <w:numPr>
          <w:ilvl w:val="0"/>
          <w:numId w:val="2"/>
        </w:numPr>
        <w:spacing w:before="240"/>
        <w:jc w:val="both"/>
        <w:rPr>
          <w:rFonts w:ascii="Arial" w:hAnsi="Arial" w:cs="Arial"/>
          <w:b w:val="0"/>
          <w:bCs/>
          <w:sz w:val="24"/>
          <w:szCs w:val="24"/>
        </w:rPr>
      </w:pPr>
      <w:r w:rsidRPr="0075265E">
        <w:rPr>
          <w:rFonts w:ascii="Arial" w:hAnsi="Arial" w:cs="Arial"/>
          <w:bCs/>
          <w:sz w:val="24"/>
          <w:szCs w:val="24"/>
        </w:rPr>
        <w:t xml:space="preserve">References </w:t>
      </w:r>
    </w:p>
    <w:p w14:paraId="663FC7C2" w14:textId="77777777" w:rsidR="004F1CE0" w:rsidRPr="00B0199A" w:rsidRDefault="004F1CE0" w:rsidP="00B0199A">
      <w:pPr>
        <w:spacing w:before="120" w:after="120" w:line="360" w:lineRule="auto"/>
        <w:ind w:left="360"/>
        <w:jc w:val="both"/>
        <w:rPr>
          <w:rFonts w:ascii="Arial" w:hAnsi="Arial" w:cs="Arial"/>
          <w:sz w:val="24"/>
          <w:szCs w:val="24"/>
        </w:rPr>
      </w:pPr>
      <w:r w:rsidRPr="00B0199A">
        <w:rPr>
          <w:rFonts w:ascii="Arial" w:hAnsi="Arial" w:cs="Arial"/>
          <w:sz w:val="24"/>
          <w:szCs w:val="24"/>
        </w:rPr>
        <w:t xml:space="preserve">Anonymous (2023). Department of Agriculture Himachal Pradesh. </w:t>
      </w:r>
      <w:hyperlink r:id="rId10" w:history="1">
        <w:r w:rsidRPr="00B0199A">
          <w:rPr>
            <w:rStyle w:val="Hyperlink"/>
            <w:rFonts w:ascii="Arial" w:hAnsi="Arial" w:cs="Arial"/>
            <w:sz w:val="24"/>
            <w:szCs w:val="24"/>
          </w:rPr>
          <w:t>https://agriculture.hp.gov.in/en/production-2/</w:t>
        </w:r>
      </w:hyperlink>
      <w:r w:rsidRPr="00B0199A">
        <w:rPr>
          <w:rFonts w:ascii="Arial" w:hAnsi="Arial" w:cs="Arial"/>
          <w:sz w:val="24"/>
          <w:szCs w:val="24"/>
        </w:rPr>
        <w:t>.</w:t>
      </w:r>
    </w:p>
    <w:p w14:paraId="37DF4D1F" w14:textId="77777777" w:rsidR="004F1CE0" w:rsidRPr="00B0199A" w:rsidRDefault="004F1CE0" w:rsidP="00B0199A">
      <w:pPr>
        <w:spacing w:line="360" w:lineRule="auto"/>
        <w:ind w:left="360"/>
        <w:jc w:val="both"/>
        <w:rPr>
          <w:rFonts w:ascii="Arial" w:hAnsi="Arial" w:cs="Arial"/>
          <w:sz w:val="24"/>
          <w:szCs w:val="24"/>
        </w:rPr>
      </w:pPr>
      <w:r w:rsidRPr="00B0199A">
        <w:rPr>
          <w:rFonts w:ascii="Arial" w:hAnsi="Arial" w:cs="Arial"/>
          <w:sz w:val="24"/>
          <w:szCs w:val="24"/>
        </w:rPr>
        <w:t xml:space="preserve">Anonymous (2025). USDA Foreign Agricultural Service </w:t>
      </w:r>
      <w:hyperlink r:id="rId11" w:history="1">
        <w:r w:rsidRPr="00B0199A">
          <w:rPr>
            <w:rStyle w:val="Hyperlink"/>
            <w:rFonts w:ascii="Arial" w:hAnsi="Arial" w:cs="Arial"/>
            <w:sz w:val="24"/>
            <w:szCs w:val="24"/>
          </w:rPr>
          <w:t>https://ipad.fas.usda.gov/countrysummary/Default.aspx?id=IN&amp;crop=Rice</w:t>
        </w:r>
      </w:hyperlink>
      <w:r w:rsidRPr="00B0199A">
        <w:rPr>
          <w:rFonts w:ascii="Arial" w:hAnsi="Arial" w:cs="Arial"/>
          <w:sz w:val="24"/>
          <w:szCs w:val="24"/>
        </w:rPr>
        <w:t>.</w:t>
      </w:r>
    </w:p>
    <w:p w14:paraId="30D54AF9" w14:textId="77777777" w:rsidR="00B0199A" w:rsidRPr="00B0199A" w:rsidRDefault="00B0199A" w:rsidP="00B0199A">
      <w:pPr>
        <w:spacing w:before="240" w:after="120" w:line="360" w:lineRule="auto"/>
        <w:ind w:left="360"/>
        <w:jc w:val="both"/>
        <w:rPr>
          <w:rFonts w:ascii="Arial" w:hAnsi="Arial" w:cs="Arial"/>
          <w:sz w:val="24"/>
          <w:szCs w:val="24"/>
        </w:rPr>
      </w:pPr>
      <w:r w:rsidRPr="00B0199A">
        <w:rPr>
          <w:rFonts w:ascii="Arial" w:hAnsi="Arial" w:cs="Arial"/>
          <w:sz w:val="24"/>
          <w:szCs w:val="24"/>
        </w:rPr>
        <w:t>Association of Official Analytical Chemists. (1970). Official methods of analysis. Washington D.C.</w:t>
      </w:r>
    </w:p>
    <w:p w14:paraId="770C002A" w14:textId="77777777"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Jackson, M. L. (1967). Soil chemical analysis (2nd ed.). Prentice-Hall of India Private Limited.</w:t>
      </w:r>
    </w:p>
    <w:p w14:paraId="4068923A" w14:textId="193641FD"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Ji, B., Sun, Y., Yang, S., &amp; Wan, J. (2007). Artificial neural networks for rice yield prediction in mountainous regions. The Journal of Agricultural Science, 145(3), 249-261. </w:t>
      </w:r>
      <w:hyperlink r:id="rId12" w:history="1">
        <w:r w:rsidRPr="00B0199A">
          <w:rPr>
            <w:rStyle w:val="Hyperlink"/>
            <w:rFonts w:ascii="Arial" w:hAnsi="Arial" w:cs="Arial"/>
            <w:sz w:val="24"/>
            <w:szCs w:val="24"/>
            <w:shd w:val="clear" w:color="auto" w:fill="FFFFFF"/>
          </w:rPr>
          <w:t>https://doi.org/10.1017/S0021859606006691</w:t>
        </w:r>
      </w:hyperlink>
    </w:p>
    <w:p w14:paraId="45677C86" w14:textId="6AF7BACC"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Mann, P. K., &amp; Dhillon, B. S. (2023). Effect of date of transplanting on growth and productivity of rice (Oryza sativa L.) cultivars. Agricultural Reviews, 44(1), 114-118. </w:t>
      </w:r>
      <w:hyperlink r:id="rId13" w:history="1">
        <w:r w:rsidRPr="00B0199A">
          <w:rPr>
            <w:rStyle w:val="Hyperlink"/>
            <w:rFonts w:ascii="Arial" w:hAnsi="Arial" w:cs="Arial"/>
            <w:sz w:val="24"/>
            <w:szCs w:val="24"/>
            <w:shd w:val="clear" w:color="auto" w:fill="FFFFFF"/>
          </w:rPr>
          <w:t>https://doi.org/10.18805/ag.R-2158</w:t>
        </w:r>
      </w:hyperlink>
    </w:p>
    <w:p w14:paraId="4E384F05" w14:textId="24A0F177"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Mehta, D. S., Dhillon, B. S., &amp; Dhillon, S. S. (2019). Performance of Basmati Rice (Oryza sativa L.) under Different Transplanting Dates and Plant Spacings in South </w:t>
      </w:r>
      <w:r w:rsidRPr="00B0199A">
        <w:rPr>
          <w:rFonts w:ascii="Arial" w:hAnsi="Arial" w:cs="Arial"/>
          <w:color w:val="222222"/>
          <w:sz w:val="24"/>
          <w:szCs w:val="24"/>
          <w:shd w:val="clear" w:color="auto" w:fill="FFFFFF"/>
        </w:rPr>
        <w:lastRenderedPageBreak/>
        <w:t xml:space="preserve">West Punjab. International Journal of Current Microbiology and Applied Sciences, 8(7), 2016-2020. </w:t>
      </w:r>
      <w:hyperlink r:id="rId14" w:history="1">
        <w:r w:rsidRPr="00B0199A">
          <w:rPr>
            <w:rStyle w:val="Hyperlink"/>
            <w:rFonts w:ascii="Arial" w:hAnsi="Arial" w:cs="Arial"/>
            <w:sz w:val="24"/>
            <w:szCs w:val="24"/>
            <w:shd w:val="clear" w:color="auto" w:fill="FFFFFF"/>
          </w:rPr>
          <w:t>https://doi.org/10.20546/ijcmas.2019.807.241</w:t>
        </w:r>
      </w:hyperlink>
    </w:p>
    <w:p w14:paraId="2F426BD8" w14:textId="7EA9ABFF" w:rsidR="004F1CE0" w:rsidRPr="00B0199A" w:rsidRDefault="004F1CE0"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Olsen, S. R. (1954). </w:t>
      </w:r>
      <w:r w:rsidRPr="00B0199A">
        <w:rPr>
          <w:rFonts w:ascii="Arial" w:hAnsi="Arial" w:cs="Arial"/>
          <w:i/>
          <w:iCs/>
          <w:color w:val="222222"/>
          <w:sz w:val="24"/>
          <w:szCs w:val="24"/>
          <w:shd w:val="clear" w:color="auto" w:fill="FFFFFF"/>
        </w:rPr>
        <w:t>Estimation of available phosphorus in soils by extraction with sodium bicarbonate</w:t>
      </w:r>
      <w:r w:rsidRPr="00B0199A">
        <w:rPr>
          <w:rFonts w:ascii="Arial" w:hAnsi="Arial" w:cs="Arial"/>
          <w:color w:val="222222"/>
          <w:sz w:val="24"/>
          <w:szCs w:val="24"/>
          <w:shd w:val="clear" w:color="auto" w:fill="FFFFFF"/>
        </w:rPr>
        <w:t> (No. 939). US Department of Agriculture.</w:t>
      </w:r>
    </w:p>
    <w:p w14:paraId="22301A9B" w14:textId="77777777" w:rsidR="004F1CE0" w:rsidRPr="00B0199A" w:rsidRDefault="004F1CE0" w:rsidP="00B0199A">
      <w:pPr>
        <w:spacing w:before="120" w:after="120" w:line="360" w:lineRule="auto"/>
        <w:ind w:left="360"/>
        <w:jc w:val="both"/>
        <w:rPr>
          <w:rFonts w:ascii="Arial" w:hAnsi="Arial" w:cs="Arial"/>
          <w:sz w:val="24"/>
          <w:szCs w:val="24"/>
        </w:rPr>
      </w:pPr>
      <w:proofErr w:type="spellStart"/>
      <w:r w:rsidRPr="00B0199A">
        <w:rPr>
          <w:rFonts w:ascii="Arial" w:hAnsi="Arial" w:cs="Arial"/>
          <w:sz w:val="24"/>
          <w:szCs w:val="24"/>
        </w:rPr>
        <w:t>Paschapur</w:t>
      </w:r>
      <w:proofErr w:type="spellEnd"/>
      <w:r w:rsidRPr="00B0199A">
        <w:rPr>
          <w:rFonts w:ascii="Arial" w:hAnsi="Arial" w:cs="Arial"/>
          <w:sz w:val="24"/>
          <w:szCs w:val="24"/>
        </w:rPr>
        <w:t xml:space="preserve">, N. S., Medhi, K., &amp; Patil, R. H. (2021). Effect of different transplanting dates on phenology, yield and yield attributes of Sali rice in Upper Brahmaputra Valley Zone of Assam November 2021, Conference: The Indian society of Agronomy, Hyderabad India. </w:t>
      </w:r>
    </w:p>
    <w:p w14:paraId="4D5A95DD" w14:textId="40464704"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 xml:space="preserve">Piper, C. S. (1966). Soil and Plant Analysis. Hans Publishers. </w:t>
      </w:r>
      <w:hyperlink r:id="rId15" w:history="1">
        <w:r w:rsidRPr="00B0199A">
          <w:rPr>
            <w:rStyle w:val="Hyperlink"/>
            <w:rFonts w:ascii="Arial" w:hAnsi="Arial" w:cs="Arial"/>
            <w:sz w:val="24"/>
            <w:szCs w:val="24"/>
          </w:rPr>
          <w:t>https://books.google.com/books/about/Soil_and_Plant_Analysis.html?id=2_0tAAAAYAAJ</w:t>
        </w:r>
      </w:hyperlink>
    </w:p>
    <w:p w14:paraId="52136F33" w14:textId="4AB29E0E"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Priyadarshi, D. S., Mohapatra, A. K. B., </w:t>
      </w:r>
      <w:proofErr w:type="spellStart"/>
      <w:r w:rsidRPr="00B0199A">
        <w:rPr>
          <w:rFonts w:ascii="Arial" w:hAnsi="Arial" w:cs="Arial"/>
          <w:color w:val="222222"/>
          <w:sz w:val="24"/>
          <w:szCs w:val="24"/>
          <w:shd w:val="clear" w:color="auto" w:fill="FFFFFF"/>
        </w:rPr>
        <w:t>Pasupalak</w:t>
      </w:r>
      <w:proofErr w:type="spellEnd"/>
      <w:r w:rsidRPr="00B0199A">
        <w:rPr>
          <w:rFonts w:ascii="Arial" w:hAnsi="Arial" w:cs="Arial"/>
          <w:color w:val="222222"/>
          <w:sz w:val="24"/>
          <w:szCs w:val="24"/>
          <w:shd w:val="clear" w:color="auto" w:fill="FFFFFF"/>
        </w:rPr>
        <w:t xml:space="preserve">, S., </w:t>
      </w:r>
      <w:proofErr w:type="spellStart"/>
      <w:r w:rsidRPr="00B0199A">
        <w:rPr>
          <w:rFonts w:ascii="Arial" w:hAnsi="Arial" w:cs="Arial"/>
          <w:color w:val="222222"/>
          <w:sz w:val="24"/>
          <w:szCs w:val="24"/>
          <w:shd w:val="clear" w:color="auto" w:fill="FFFFFF"/>
        </w:rPr>
        <w:t>Baliarsingh</w:t>
      </w:r>
      <w:proofErr w:type="spellEnd"/>
      <w:r w:rsidRPr="00B0199A">
        <w:rPr>
          <w:rFonts w:ascii="Arial" w:hAnsi="Arial" w:cs="Arial"/>
          <w:color w:val="222222"/>
          <w:sz w:val="24"/>
          <w:szCs w:val="24"/>
          <w:shd w:val="clear" w:color="auto" w:fill="FFFFFF"/>
        </w:rPr>
        <w:t xml:space="preserve">, A., Rath, B. S., Nanda, A., Panigrahi, G. S., &amp; Pradhan, J. (2018). Agro-meteorological indices and phenology of rice (Oryza sativa L.) under different dates of planting and nitrogen levels. International Journal of Chemical Studies, 6(5), 3298-3302. </w:t>
      </w:r>
      <w:hyperlink r:id="rId16" w:history="1">
        <w:r w:rsidRPr="00B0199A">
          <w:rPr>
            <w:rStyle w:val="Hyperlink"/>
            <w:rFonts w:ascii="Arial" w:hAnsi="Arial" w:cs="Arial"/>
            <w:sz w:val="24"/>
            <w:szCs w:val="24"/>
            <w:shd w:val="clear" w:color="auto" w:fill="FFFFFF"/>
          </w:rPr>
          <w:t>https://www.chemijournal.com/archives/2018/vol6issue5/PartET/6-5-100-900.pdf</w:t>
        </w:r>
      </w:hyperlink>
    </w:p>
    <w:p w14:paraId="675F6B56" w14:textId="39C785D7"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Saha, S., Mukherjee, A., &amp; Banerjee, S. (2019). Effect of transplanting dates, cultivars and irrigation regimes on microclimate and yield of rice. International Journal of Bio-resource and Stress Management, 10(4), 389-396. </w:t>
      </w:r>
      <w:hyperlink r:id="rId17" w:history="1">
        <w:r w:rsidRPr="00B0199A">
          <w:rPr>
            <w:rStyle w:val="Hyperlink"/>
            <w:rFonts w:ascii="Arial" w:hAnsi="Arial" w:cs="Arial"/>
            <w:sz w:val="24"/>
            <w:szCs w:val="24"/>
            <w:shd w:val="clear" w:color="auto" w:fill="FFFFFF"/>
          </w:rPr>
          <w:t>https://www.pphouse.org/index.php/ijbsm/article/view/10.4.389-396</w:t>
        </w:r>
      </w:hyperlink>
    </w:p>
    <w:p w14:paraId="713EBF7C" w14:textId="4B5485C7" w:rsidR="00B0199A" w:rsidRPr="00B0199A" w:rsidRDefault="00B0199A" w:rsidP="00B0199A">
      <w:pPr>
        <w:spacing w:before="240" w:after="120" w:line="360" w:lineRule="auto"/>
        <w:ind w:left="360"/>
        <w:jc w:val="both"/>
        <w:rPr>
          <w:rFonts w:ascii="Arial" w:hAnsi="Arial" w:cs="Arial"/>
          <w:sz w:val="24"/>
          <w:szCs w:val="24"/>
        </w:rPr>
      </w:pPr>
      <w:proofErr w:type="spellStart"/>
      <w:r w:rsidRPr="00B0199A">
        <w:rPr>
          <w:rFonts w:ascii="Arial" w:hAnsi="Arial" w:cs="Arial"/>
          <w:color w:val="222222"/>
          <w:sz w:val="24"/>
          <w:szCs w:val="24"/>
          <w:shd w:val="clear" w:color="auto" w:fill="FFFFFF"/>
        </w:rPr>
        <w:t>Saseendran</w:t>
      </w:r>
      <w:proofErr w:type="spellEnd"/>
      <w:r w:rsidRPr="00B0199A">
        <w:rPr>
          <w:rFonts w:ascii="Arial" w:hAnsi="Arial" w:cs="Arial"/>
          <w:color w:val="222222"/>
          <w:sz w:val="24"/>
          <w:szCs w:val="24"/>
          <w:shd w:val="clear" w:color="auto" w:fill="FFFFFF"/>
        </w:rPr>
        <w:t xml:space="preserve">, S. A., Singh, K. K., Rathore, L. S., Singh, S. V., &amp; Sinha, S. K. (2000). Effects of climate change on rice production in the tropical humid climate of Kerala, India. Climatic Change, 44(4), 495-514. </w:t>
      </w:r>
      <w:hyperlink r:id="rId18" w:history="1">
        <w:r w:rsidRPr="00B0199A">
          <w:rPr>
            <w:rStyle w:val="Hyperlink"/>
            <w:rFonts w:ascii="Arial" w:hAnsi="Arial" w:cs="Arial"/>
            <w:sz w:val="24"/>
            <w:szCs w:val="24"/>
            <w:shd w:val="clear" w:color="auto" w:fill="FFFFFF"/>
          </w:rPr>
          <w:t>https://doi.org/10.1023/A:1005542414134</w:t>
        </w:r>
      </w:hyperlink>
    </w:p>
    <w:p w14:paraId="56C08167" w14:textId="375F7CAA"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 xml:space="preserve">Shabana, T., Singh, K. N., Dar, S. H., Hussain, S. T., &amp; Singh, P. (2016). Effect of different transplanting dates on yield and yield components of rice (Oryza sativa L.) varieties. *International Journal of Agriculture Sciences*, *8*(62), 3519-3521. </w:t>
      </w:r>
      <w:hyperlink r:id="rId19" w:history="1">
        <w:r w:rsidRPr="00B0199A">
          <w:rPr>
            <w:rStyle w:val="Hyperlink"/>
            <w:rFonts w:ascii="Arial" w:hAnsi="Arial" w:cs="Arial"/>
            <w:sz w:val="24"/>
            <w:szCs w:val="24"/>
          </w:rPr>
          <w:t>https://www.bioinfopublication.org/viewarticle.php?articleid=BIA0003387</w:t>
        </w:r>
      </w:hyperlink>
    </w:p>
    <w:p w14:paraId="1ED320A2" w14:textId="0154AB3E"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Sharma, A., </w:t>
      </w:r>
      <w:proofErr w:type="spellStart"/>
      <w:r w:rsidRPr="00B0199A">
        <w:rPr>
          <w:rFonts w:ascii="Arial" w:hAnsi="Arial" w:cs="Arial"/>
          <w:color w:val="222222"/>
          <w:sz w:val="24"/>
          <w:szCs w:val="24"/>
          <w:shd w:val="clear" w:color="auto" w:fill="FFFFFF"/>
        </w:rPr>
        <w:t>Puniya</w:t>
      </w:r>
      <w:proofErr w:type="spellEnd"/>
      <w:r w:rsidRPr="00B0199A">
        <w:rPr>
          <w:rFonts w:ascii="Arial" w:hAnsi="Arial" w:cs="Arial"/>
          <w:color w:val="222222"/>
          <w:sz w:val="24"/>
          <w:szCs w:val="24"/>
          <w:shd w:val="clear" w:color="auto" w:fill="FFFFFF"/>
        </w:rPr>
        <w:t xml:space="preserve">, R., &amp; Nguyen, A. T. (2022). Evaluation of the Performance of Basmati Rice (Oryza sativa) Transplanting at Different Dates with Nutrient Sources under the Method of SRI. Agricultural Science Digest, 42(6), 764-767. </w:t>
      </w:r>
      <w:hyperlink r:id="rId20" w:history="1">
        <w:r w:rsidRPr="00B0199A">
          <w:rPr>
            <w:rStyle w:val="Hyperlink"/>
            <w:rFonts w:ascii="Arial" w:hAnsi="Arial" w:cs="Arial"/>
            <w:sz w:val="24"/>
            <w:szCs w:val="24"/>
            <w:shd w:val="clear" w:color="auto" w:fill="FFFFFF"/>
          </w:rPr>
          <w:t>https://doi.org/10.18805/ag.D-5230</w:t>
        </w:r>
      </w:hyperlink>
    </w:p>
    <w:p w14:paraId="2D90C98B" w14:textId="6A53A489" w:rsidR="00B0199A" w:rsidRPr="00B0199A" w:rsidRDefault="00B0199A" w:rsidP="00B0199A">
      <w:pPr>
        <w:spacing w:before="120" w:after="120" w:line="360" w:lineRule="auto"/>
        <w:ind w:left="360"/>
        <w:jc w:val="both"/>
        <w:rPr>
          <w:rFonts w:ascii="Arial" w:hAnsi="Arial" w:cs="Arial"/>
          <w:sz w:val="24"/>
          <w:szCs w:val="24"/>
        </w:rPr>
      </w:pPr>
      <w:r w:rsidRPr="00B0199A">
        <w:rPr>
          <w:rFonts w:ascii="Arial" w:hAnsi="Arial" w:cs="Arial"/>
          <w:color w:val="222222"/>
          <w:sz w:val="24"/>
          <w:szCs w:val="24"/>
          <w:shd w:val="clear" w:color="auto" w:fill="FFFFFF"/>
        </w:rPr>
        <w:lastRenderedPageBreak/>
        <w:t xml:space="preserve">Singh, K., Dhillon, B. S., &amp; Sidhu, A. S. (2019). Effect of different transplanting dates on productivity and water expense efficiency in rice (Oryza sativa L.). International Journal of Current Microbiology and Applied Sciences, 8(5), 1480-1486. </w:t>
      </w:r>
      <w:hyperlink r:id="rId21" w:history="1">
        <w:r w:rsidRPr="00B0199A">
          <w:rPr>
            <w:rStyle w:val="Hyperlink"/>
            <w:rFonts w:ascii="Arial" w:hAnsi="Arial" w:cs="Arial"/>
            <w:sz w:val="24"/>
            <w:szCs w:val="24"/>
            <w:shd w:val="clear" w:color="auto" w:fill="FFFFFF"/>
          </w:rPr>
          <w:t>https://doi.org/10.20546/ijcmas.2019.805.170</w:t>
        </w:r>
      </w:hyperlink>
    </w:p>
    <w:p w14:paraId="7E1F7262" w14:textId="74CB427C"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Singh, S. S., Singh, A. K., &amp; Singh, P. (2021). Effect of different date of transplanting on growth and yield of rice (Oryza sativa L.) varieties under Indo-</w:t>
      </w:r>
      <w:proofErr w:type="spellStart"/>
      <w:r w:rsidRPr="00B0199A">
        <w:rPr>
          <w:rFonts w:ascii="Arial" w:hAnsi="Arial" w:cs="Arial"/>
          <w:sz w:val="24"/>
          <w:szCs w:val="24"/>
        </w:rPr>
        <w:t>gangetic</w:t>
      </w:r>
      <w:proofErr w:type="spellEnd"/>
      <w:r w:rsidRPr="00B0199A">
        <w:rPr>
          <w:rFonts w:ascii="Arial" w:hAnsi="Arial" w:cs="Arial"/>
          <w:sz w:val="24"/>
          <w:szCs w:val="24"/>
        </w:rPr>
        <w:t xml:space="preserve"> plains of </w:t>
      </w:r>
      <w:proofErr w:type="spellStart"/>
      <w:r w:rsidRPr="00B0199A">
        <w:rPr>
          <w:rFonts w:ascii="Arial" w:hAnsi="Arial" w:cs="Arial"/>
          <w:sz w:val="24"/>
          <w:szCs w:val="24"/>
        </w:rPr>
        <w:t>Awadh</w:t>
      </w:r>
      <w:proofErr w:type="spellEnd"/>
      <w:r w:rsidRPr="00B0199A">
        <w:rPr>
          <w:rFonts w:ascii="Arial" w:hAnsi="Arial" w:cs="Arial"/>
          <w:sz w:val="24"/>
          <w:szCs w:val="24"/>
        </w:rPr>
        <w:t xml:space="preserve"> area. The Pharma Innovation Journal, 10(10), 2664-2666. </w:t>
      </w:r>
      <w:hyperlink r:id="rId22" w:history="1">
        <w:r w:rsidRPr="00B0199A">
          <w:rPr>
            <w:rStyle w:val="Hyperlink"/>
            <w:rFonts w:ascii="Arial" w:hAnsi="Arial" w:cs="Arial"/>
            <w:sz w:val="24"/>
            <w:szCs w:val="24"/>
          </w:rPr>
          <w:t>https://www.thepharmajournal.com/archives/2021/vol10issue10/PartO/10-10-10-747.pdf</w:t>
        </w:r>
      </w:hyperlink>
    </w:p>
    <w:p w14:paraId="13899498" w14:textId="77777777"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Subbiah, B. V., &amp; Asija, G. L. (1956). A rapid procedure for the estimation of available nitrogen in soils. Current Science, 25, 259-260.</w:t>
      </w:r>
    </w:p>
    <w:p w14:paraId="000CEFC5" w14:textId="351BE564"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Tiwari, P., Tiwari, R. K., Tiwari, J., &amp; Yadav, V. (2018). Effect of sowing dates on physiological parameters, productivity and economical gain of different rice varieties under rainfed condition. International Journal of Current Microbiology and Applied Sciences, 7(2), 2451-2457. </w:t>
      </w:r>
      <w:hyperlink r:id="rId23" w:history="1">
        <w:r w:rsidRPr="00B0199A">
          <w:rPr>
            <w:rStyle w:val="Hyperlink"/>
            <w:rFonts w:ascii="Arial" w:hAnsi="Arial" w:cs="Arial"/>
            <w:sz w:val="24"/>
            <w:szCs w:val="24"/>
            <w:shd w:val="clear" w:color="auto" w:fill="FFFFFF"/>
          </w:rPr>
          <w:t>https://doi.org/10.20546/ijcmas.2018.702.298</w:t>
        </w:r>
      </w:hyperlink>
    </w:p>
    <w:p w14:paraId="3BD96D10" w14:textId="0F13177C"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Vishwakarma, A., Singh, J. K., Sen, A., Bohra, J. S., &amp; Singh, S. (2016). Effect of transplanting date and age of seedlings on growth, yield and quality of hybrids under system of rice (Oryza sativa) intensification and their effect on soil fertility. Indian Journal of Agricultural Sciences, 86(5), 679-685. </w:t>
      </w:r>
      <w:hyperlink r:id="rId24" w:history="1">
        <w:r w:rsidRPr="00B0199A">
          <w:rPr>
            <w:rStyle w:val="Hyperlink"/>
            <w:rFonts w:ascii="Arial" w:hAnsi="Arial" w:cs="Arial"/>
            <w:sz w:val="24"/>
            <w:szCs w:val="24"/>
            <w:shd w:val="clear" w:color="auto" w:fill="FFFFFF"/>
          </w:rPr>
          <w:t>https://doi.org/10.56093/ijas.v86i5.58355</w:t>
        </w:r>
      </w:hyperlink>
    </w:p>
    <w:p w14:paraId="2EC029AC" w14:textId="05A92A51" w:rsidR="00B0199A" w:rsidRPr="00B0199A" w:rsidRDefault="00B0199A" w:rsidP="00B0199A">
      <w:pPr>
        <w:spacing w:before="240" w:after="120" w:line="360" w:lineRule="auto"/>
        <w:ind w:left="360"/>
        <w:jc w:val="both"/>
        <w:rPr>
          <w:rFonts w:ascii="Arial" w:eastAsia="Times New Roman" w:hAnsi="Arial" w:cs="Arial"/>
          <w:sz w:val="24"/>
          <w:szCs w:val="24"/>
        </w:rPr>
      </w:pPr>
      <w:r w:rsidRPr="00B0199A">
        <w:rPr>
          <w:rFonts w:ascii="Arial" w:hAnsi="Arial" w:cs="Arial"/>
          <w:color w:val="222222"/>
          <w:sz w:val="24"/>
          <w:szCs w:val="24"/>
          <w:shd w:val="clear" w:color="auto" w:fill="FFFFFF"/>
        </w:rPr>
        <w:t xml:space="preserve">Walkley, A., &amp; Black, I. A. (1934). An examination of the </w:t>
      </w:r>
      <w:proofErr w:type="spellStart"/>
      <w:r w:rsidRPr="00B0199A">
        <w:rPr>
          <w:rFonts w:ascii="Arial" w:hAnsi="Arial" w:cs="Arial"/>
          <w:color w:val="222222"/>
          <w:sz w:val="24"/>
          <w:szCs w:val="24"/>
          <w:shd w:val="clear" w:color="auto" w:fill="FFFFFF"/>
        </w:rPr>
        <w:t>Degtjareff</w:t>
      </w:r>
      <w:proofErr w:type="spellEnd"/>
      <w:r w:rsidRPr="00B0199A">
        <w:rPr>
          <w:rFonts w:ascii="Arial" w:hAnsi="Arial" w:cs="Arial"/>
          <w:color w:val="222222"/>
          <w:sz w:val="24"/>
          <w:szCs w:val="24"/>
          <w:shd w:val="clear" w:color="auto" w:fill="FFFFFF"/>
        </w:rPr>
        <w:t xml:space="preserve"> method for determining soil organic matter, and a proposed modification of the chromic acid titration method. Soil Science. </w:t>
      </w:r>
      <w:hyperlink r:id="rId25" w:history="1">
        <w:r w:rsidRPr="00B0199A">
          <w:rPr>
            <w:rStyle w:val="Hyperlink"/>
            <w:rFonts w:ascii="Arial" w:hAnsi="Arial" w:cs="Arial"/>
            <w:sz w:val="24"/>
            <w:szCs w:val="24"/>
            <w:shd w:val="clear" w:color="auto" w:fill="FFFFFF"/>
          </w:rPr>
          <w:t>https://doi.org/10.1097/00010694-193401000-00003</w:t>
        </w:r>
      </w:hyperlink>
    </w:p>
    <w:p w14:paraId="4EBFD497" w14:textId="293DB95B" w:rsidR="004F1CE0" w:rsidRPr="00B0199A" w:rsidRDefault="00B0199A" w:rsidP="00B0199A">
      <w:pPr>
        <w:spacing w:before="240" w:after="120" w:line="360" w:lineRule="auto"/>
        <w:ind w:left="360"/>
        <w:jc w:val="both"/>
        <w:rPr>
          <w:rFonts w:ascii="Arial" w:eastAsia="Times New Roman" w:hAnsi="Arial" w:cs="Arial"/>
          <w:sz w:val="24"/>
          <w:szCs w:val="24"/>
        </w:rPr>
      </w:pPr>
      <w:bookmarkStart w:id="55" w:name="_GoBack"/>
      <w:r w:rsidRPr="00B0199A">
        <w:rPr>
          <w:rFonts w:ascii="Arial" w:hAnsi="Arial" w:cs="Arial"/>
          <w:color w:val="222222"/>
          <w:sz w:val="24"/>
          <w:szCs w:val="24"/>
          <w:shd w:val="clear" w:color="auto" w:fill="FFFFFF"/>
        </w:rPr>
        <w:t>Wani</w:t>
      </w:r>
      <w:bookmarkEnd w:id="55"/>
      <w:r w:rsidRPr="00B0199A">
        <w:rPr>
          <w:rFonts w:ascii="Arial" w:hAnsi="Arial" w:cs="Arial"/>
          <w:color w:val="222222"/>
          <w:sz w:val="24"/>
          <w:szCs w:val="24"/>
          <w:shd w:val="clear" w:color="auto" w:fill="FFFFFF"/>
        </w:rPr>
        <w:t>, S. A., Qayoom, S., Bhat, M. A., Lone, B. A., &amp; Nazir, A. (2016). Influence of sowing dates and nitrogen levels on growth, yield and quality of scented rice cv. Pusa Sugandh-3 in Kashmir valley. Journal of Applied and Natural Science, 8(3), 1704-1709. https://doi.org/10.31018/jans.v8i3.1026</w:t>
      </w:r>
    </w:p>
    <w:p w14:paraId="304B7DCC" w14:textId="77777777" w:rsidR="00F063F8" w:rsidRDefault="00F063F8"/>
    <w:sectPr w:rsidR="00F063F8" w:rsidSect="001D3CE9">
      <w:headerReference w:type="even" r:id="rId26"/>
      <w:headerReference w:type="default" r:id="rId27"/>
      <w:footerReference w:type="even" r:id="rId28"/>
      <w:footerReference w:type="default" r:id="rId29"/>
      <w:headerReference w:type="first" r:id="rId30"/>
      <w:footerReference w:type="first" r:id="rId31"/>
      <w:pgSz w:w="11906" w:h="16838"/>
      <w:pgMar w:top="90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23T16:44:00Z" w:initials="Ma">
    <w:p w14:paraId="45FCB92F" w14:textId="64E0D4FD" w:rsidR="001D3CE9" w:rsidRDefault="001D3CE9">
      <w:pPr>
        <w:pStyle w:val="CommentText"/>
      </w:pPr>
      <w:r>
        <w:rPr>
          <w:rStyle w:val="CommentReference"/>
        </w:rPr>
        <w:annotationRef/>
      </w:r>
      <w:r>
        <w:t xml:space="preserve">Rewrite according to journal </w:t>
      </w:r>
      <w:r>
        <w:rPr>
          <w:rFonts w:ascii="Arial" w:hAnsi="Arial" w:cs="Arial"/>
          <w:color w:val="222222"/>
          <w:shd w:val="clear" w:color="auto" w:fill="FFFFFF"/>
        </w:rPr>
        <w:t>International Journal of Plant &amp; Soil Science.</w:t>
      </w:r>
    </w:p>
  </w:comment>
  <w:comment w:id="1" w:author="Microsoft account" w:date="2025-12-23T16:49:00Z" w:initials="Ma">
    <w:p w14:paraId="27D40CA0" w14:textId="1C1D794A" w:rsidR="001D3CE9" w:rsidRDefault="001D3CE9">
      <w:pPr>
        <w:pStyle w:val="CommentText"/>
      </w:pPr>
      <w:r>
        <w:rPr>
          <w:rStyle w:val="CommentReference"/>
        </w:rPr>
        <w:annotationRef/>
      </w:r>
      <w:r w:rsidRPr="00601C52">
        <w:t>Add at least 5-7 references for justification of introduction part</w:t>
      </w:r>
    </w:p>
  </w:comment>
  <w:comment w:id="2" w:author="Microsoft account" w:date="2025-12-23T16:48:00Z" w:initials="Ma">
    <w:p w14:paraId="5EAA41F6" w14:textId="56237AF5" w:rsidR="001D3CE9" w:rsidRDefault="001D3CE9">
      <w:pPr>
        <w:pStyle w:val="CommentText"/>
      </w:pPr>
      <w:r>
        <w:rPr>
          <w:rStyle w:val="CommentReference"/>
        </w:rPr>
        <w:annotationRef/>
      </w:r>
      <w:r>
        <w:t xml:space="preserve">Recheck </w:t>
      </w:r>
    </w:p>
  </w:comment>
  <w:comment w:id="3" w:author="Microsoft account" w:date="2025-12-23T16:49:00Z" w:initials="Ma">
    <w:p w14:paraId="2A30F0EE" w14:textId="181C5F49" w:rsidR="001D3CE9" w:rsidRDefault="001D3CE9">
      <w:pPr>
        <w:pStyle w:val="CommentText"/>
      </w:pPr>
      <w:r>
        <w:rPr>
          <w:rStyle w:val="CommentReference"/>
        </w:rPr>
        <w:annotationRef/>
      </w:r>
      <w:r>
        <w:t xml:space="preserve">Rewrite according to journal </w:t>
      </w:r>
    </w:p>
  </w:comment>
  <w:comment w:id="4" w:author="Microsoft account" w:date="2025-12-23T16:49:00Z" w:initials="Ma">
    <w:p w14:paraId="3781B3D9" w14:textId="19CEA671" w:rsidR="001D3CE9" w:rsidRDefault="001D3CE9">
      <w:pPr>
        <w:pStyle w:val="CommentText"/>
      </w:pPr>
      <w:r>
        <w:rPr>
          <w:rStyle w:val="CommentReference"/>
        </w:rPr>
        <w:annotationRef/>
      </w:r>
      <w:r>
        <w:t>Rewrite according to journal</w:t>
      </w:r>
    </w:p>
  </w:comment>
  <w:comment w:id="54" w:author="Microsoft account" w:date="2025-12-24T13:06:00Z" w:initials="Ma">
    <w:p w14:paraId="111CF6A7" w14:textId="02CD55B2" w:rsidR="00531A82" w:rsidRDefault="00531A82">
      <w:pPr>
        <w:pStyle w:val="CommentText"/>
      </w:pPr>
      <w:r>
        <w:rPr>
          <w:rStyle w:val="CommentReference"/>
        </w:rPr>
        <w:annotationRef/>
      </w:r>
      <w:r>
        <w:t xml:space="preserve">Rewrite discussion part according to result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FCB92F" w15:done="0"/>
  <w15:commentEx w15:paraId="27D40CA0" w15:done="0"/>
  <w15:commentEx w15:paraId="5EAA41F6" w15:done="0"/>
  <w15:commentEx w15:paraId="2A30F0EE" w15:done="0"/>
  <w15:commentEx w15:paraId="3781B3D9" w15:done="0"/>
  <w15:commentEx w15:paraId="111CF6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BF37" w14:textId="77777777" w:rsidR="003C6EB7" w:rsidRDefault="003C6EB7" w:rsidP="004F1CE0">
      <w:pPr>
        <w:spacing w:after="0" w:line="240" w:lineRule="auto"/>
      </w:pPr>
      <w:r>
        <w:separator/>
      </w:r>
    </w:p>
  </w:endnote>
  <w:endnote w:type="continuationSeparator" w:id="0">
    <w:p w14:paraId="6AF08B68" w14:textId="77777777" w:rsidR="003C6EB7" w:rsidRDefault="003C6EB7" w:rsidP="004F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F295" w14:textId="77777777" w:rsidR="001D3CE9" w:rsidRDefault="001D3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48993" w14:textId="77777777" w:rsidR="001D3CE9" w:rsidRDefault="001D3C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EA7D" w14:textId="77777777" w:rsidR="001D3CE9" w:rsidRDefault="001D3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DD466" w14:textId="77777777" w:rsidR="003C6EB7" w:rsidRDefault="003C6EB7" w:rsidP="004F1CE0">
      <w:pPr>
        <w:spacing w:after="0" w:line="240" w:lineRule="auto"/>
      </w:pPr>
      <w:r>
        <w:separator/>
      </w:r>
    </w:p>
  </w:footnote>
  <w:footnote w:type="continuationSeparator" w:id="0">
    <w:p w14:paraId="405760D4" w14:textId="77777777" w:rsidR="003C6EB7" w:rsidRDefault="003C6EB7" w:rsidP="004F1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CBA9C" w14:textId="43D4FB93" w:rsidR="001D3CE9" w:rsidRDefault="001D3CE9">
    <w:pPr>
      <w:pStyle w:val="Header"/>
    </w:pPr>
    <w:r>
      <w:rPr>
        <w:noProof/>
      </w:rPr>
      <w:pict w14:anchorId="6148E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64CA" w14:textId="1B0327B8" w:rsidR="001D3CE9" w:rsidRDefault="001D3CE9">
    <w:pPr>
      <w:pStyle w:val="Header"/>
    </w:pPr>
    <w:r>
      <w:rPr>
        <w:noProof/>
      </w:rPr>
      <w:pict w14:anchorId="64C2A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A7F22" w14:textId="7774EA90" w:rsidR="001D3CE9" w:rsidRDefault="001D3CE9">
    <w:pPr>
      <w:pStyle w:val="Header"/>
    </w:pPr>
    <w:r>
      <w:rPr>
        <w:noProof/>
      </w:rPr>
      <w:pict w14:anchorId="67DF2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84A95"/>
    <w:multiLevelType w:val="hybridMultilevel"/>
    <w:tmpl w:val="EEF84C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1D73DF"/>
    <w:multiLevelType w:val="hybridMultilevel"/>
    <w:tmpl w:val="8DCC50C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E87534F"/>
    <w:multiLevelType w:val="multilevel"/>
    <w:tmpl w:val="47C6C7F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E0"/>
    <w:rsid w:val="00167ED7"/>
    <w:rsid w:val="001D3CE9"/>
    <w:rsid w:val="00287B58"/>
    <w:rsid w:val="0039518D"/>
    <w:rsid w:val="003C6EB7"/>
    <w:rsid w:val="003E1640"/>
    <w:rsid w:val="004B632C"/>
    <w:rsid w:val="004F1CE0"/>
    <w:rsid w:val="00531A82"/>
    <w:rsid w:val="00601C52"/>
    <w:rsid w:val="00680292"/>
    <w:rsid w:val="00787BEF"/>
    <w:rsid w:val="00840A53"/>
    <w:rsid w:val="00852313"/>
    <w:rsid w:val="008675C4"/>
    <w:rsid w:val="008B21D4"/>
    <w:rsid w:val="008D14F7"/>
    <w:rsid w:val="008F023C"/>
    <w:rsid w:val="00B0199A"/>
    <w:rsid w:val="00B112B0"/>
    <w:rsid w:val="00B73B06"/>
    <w:rsid w:val="00B741F8"/>
    <w:rsid w:val="00BD1A2E"/>
    <w:rsid w:val="00C76479"/>
    <w:rsid w:val="00C96D68"/>
    <w:rsid w:val="00CE296E"/>
    <w:rsid w:val="00D32778"/>
    <w:rsid w:val="00E20B50"/>
    <w:rsid w:val="00E55C85"/>
    <w:rsid w:val="00F05E24"/>
    <w:rsid w:val="00F063F8"/>
    <w:rsid w:val="00F91F0E"/>
    <w:rsid w:val="00FB6053"/>
    <w:rsid w:val="00FB61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594F7"/>
  <w15:chartTrackingRefBased/>
  <w15:docId w15:val="{6FD1A4D9-8C7E-4549-868F-F05D4A1D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CE0"/>
    <w:rPr>
      <w:kern w:val="2"/>
      <w:lang w:val="en-IN"/>
      <w14:ligatures w14:val="standardContextual"/>
    </w:rPr>
  </w:style>
  <w:style w:type="paragraph" w:styleId="Heading3">
    <w:name w:val="heading 3"/>
    <w:basedOn w:val="Normal"/>
    <w:link w:val="Heading3Char"/>
    <w:uiPriority w:val="9"/>
    <w:qFormat/>
    <w:rsid w:val="00FB6053"/>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E0"/>
    <w:pPr>
      <w:ind w:left="720"/>
      <w:contextualSpacing/>
    </w:pPr>
  </w:style>
  <w:style w:type="character" w:styleId="Hyperlink">
    <w:name w:val="Hyperlink"/>
    <w:basedOn w:val="DefaultParagraphFont"/>
    <w:uiPriority w:val="99"/>
    <w:unhideWhenUsed/>
    <w:rsid w:val="004F1CE0"/>
    <w:rPr>
      <w:color w:val="0000FF"/>
      <w:u w:val="single"/>
    </w:rPr>
  </w:style>
  <w:style w:type="paragraph" w:styleId="Header">
    <w:name w:val="header"/>
    <w:basedOn w:val="Normal"/>
    <w:link w:val="HeaderChar"/>
    <w:uiPriority w:val="99"/>
    <w:unhideWhenUsed/>
    <w:rsid w:val="004F1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CE0"/>
    <w:rPr>
      <w:kern w:val="2"/>
      <w:lang w:val="en-IN"/>
      <w14:ligatures w14:val="standardContextual"/>
    </w:rPr>
  </w:style>
  <w:style w:type="paragraph" w:styleId="Footer">
    <w:name w:val="footer"/>
    <w:basedOn w:val="Normal"/>
    <w:link w:val="FooterChar"/>
    <w:uiPriority w:val="99"/>
    <w:unhideWhenUsed/>
    <w:rsid w:val="004F1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CE0"/>
    <w:rPr>
      <w:kern w:val="2"/>
      <w:lang w:val="en-IN"/>
      <w14:ligatures w14:val="standardContextual"/>
    </w:rPr>
  </w:style>
  <w:style w:type="paragraph" w:styleId="NormalWeb">
    <w:name w:val="Normal (Web)"/>
    <w:basedOn w:val="Normal"/>
    <w:uiPriority w:val="99"/>
    <w:unhideWhenUsed/>
    <w:rsid w:val="004F1CE0"/>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character" w:styleId="Emphasis">
    <w:name w:val="Emphasis"/>
    <w:basedOn w:val="DefaultParagraphFont"/>
    <w:uiPriority w:val="20"/>
    <w:qFormat/>
    <w:rsid w:val="004F1CE0"/>
    <w:rPr>
      <w:i/>
      <w:iCs/>
    </w:rPr>
  </w:style>
  <w:style w:type="character" w:styleId="Strong">
    <w:name w:val="Strong"/>
    <w:basedOn w:val="DefaultParagraphFont"/>
    <w:uiPriority w:val="22"/>
    <w:qFormat/>
    <w:rsid w:val="004F1CE0"/>
    <w:rPr>
      <w:b/>
      <w:bCs/>
    </w:rPr>
  </w:style>
  <w:style w:type="table" w:styleId="TableGrid">
    <w:name w:val="Table Grid"/>
    <w:basedOn w:val="TableNormal"/>
    <w:uiPriority w:val="39"/>
    <w:rsid w:val="004F1CE0"/>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B6053"/>
    <w:rPr>
      <w:rFonts w:ascii="Times New Roman" w:eastAsia="Times New Roman" w:hAnsi="Times New Roman" w:cs="Times New Roman"/>
      <w:b/>
      <w:bCs/>
      <w:sz w:val="27"/>
      <w:szCs w:val="27"/>
      <w:lang w:bidi="hi-IN"/>
    </w:rPr>
  </w:style>
  <w:style w:type="paragraph" w:customStyle="1" w:styleId="ReferHead">
    <w:name w:val="Refer Head"/>
    <w:basedOn w:val="Normal"/>
    <w:rsid w:val="0039518D"/>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UnresolvedMention">
    <w:name w:val="Unresolved Mention"/>
    <w:basedOn w:val="DefaultParagraphFont"/>
    <w:uiPriority w:val="99"/>
    <w:semiHidden/>
    <w:unhideWhenUsed/>
    <w:rsid w:val="008B21D4"/>
    <w:rPr>
      <w:color w:val="605E5C"/>
      <w:shd w:val="clear" w:color="auto" w:fill="E1DFDD"/>
    </w:rPr>
  </w:style>
  <w:style w:type="character" w:styleId="CommentReference">
    <w:name w:val="annotation reference"/>
    <w:basedOn w:val="DefaultParagraphFont"/>
    <w:uiPriority w:val="99"/>
    <w:semiHidden/>
    <w:unhideWhenUsed/>
    <w:rsid w:val="00601C52"/>
    <w:rPr>
      <w:sz w:val="16"/>
      <w:szCs w:val="16"/>
    </w:rPr>
  </w:style>
  <w:style w:type="paragraph" w:styleId="CommentText">
    <w:name w:val="annotation text"/>
    <w:basedOn w:val="Normal"/>
    <w:link w:val="CommentTextChar"/>
    <w:uiPriority w:val="99"/>
    <w:semiHidden/>
    <w:unhideWhenUsed/>
    <w:rsid w:val="00601C52"/>
    <w:pPr>
      <w:spacing w:line="240" w:lineRule="auto"/>
    </w:pPr>
    <w:rPr>
      <w:sz w:val="20"/>
      <w:szCs w:val="20"/>
    </w:rPr>
  </w:style>
  <w:style w:type="character" w:customStyle="1" w:styleId="CommentTextChar">
    <w:name w:val="Comment Text Char"/>
    <w:basedOn w:val="DefaultParagraphFont"/>
    <w:link w:val="CommentText"/>
    <w:uiPriority w:val="99"/>
    <w:semiHidden/>
    <w:rsid w:val="00601C52"/>
    <w:rPr>
      <w:kern w:val="2"/>
      <w:sz w:val="20"/>
      <w:szCs w:val="20"/>
      <w:lang w:val="en-IN"/>
      <w14:ligatures w14:val="standardContextual"/>
    </w:rPr>
  </w:style>
  <w:style w:type="paragraph" w:styleId="CommentSubject">
    <w:name w:val="annotation subject"/>
    <w:basedOn w:val="CommentText"/>
    <w:next w:val="CommentText"/>
    <w:link w:val="CommentSubjectChar"/>
    <w:uiPriority w:val="99"/>
    <w:semiHidden/>
    <w:unhideWhenUsed/>
    <w:rsid w:val="00601C52"/>
    <w:rPr>
      <w:b/>
      <w:bCs/>
    </w:rPr>
  </w:style>
  <w:style w:type="character" w:customStyle="1" w:styleId="CommentSubjectChar">
    <w:name w:val="Comment Subject Char"/>
    <w:basedOn w:val="CommentTextChar"/>
    <w:link w:val="CommentSubject"/>
    <w:uiPriority w:val="99"/>
    <w:semiHidden/>
    <w:rsid w:val="00601C52"/>
    <w:rPr>
      <w:b/>
      <w:bCs/>
      <w:kern w:val="2"/>
      <w:sz w:val="20"/>
      <w:szCs w:val="20"/>
      <w:lang w:val="en-IN"/>
      <w14:ligatures w14:val="standardContextual"/>
    </w:rPr>
  </w:style>
  <w:style w:type="paragraph" w:styleId="BalloonText">
    <w:name w:val="Balloon Text"/>
    <w:basedOn w:val="Normal"/>
    <w:link w:val="BalloonTextChar"/>
    <w:uiPriority w:val="99"/>
    <w:semiHidden/>
    <w:unhideWhenUsed/>
    <w:rsid w:val="00601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C52"/>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37637">
      <w:bodyDiv w:val="1"/>
      <w:marLeft w:val="0"/>
      <w:marRight w:val="0"/>
      <w:marTop w:val="0"/>
      <w:marBottom w:val="0"/>
      <w:divBdr>
        <w:top w:val="none" w:sz="0" w:space="0" w:color="auto"/>
        <w:left w:val="none" w:sz="0" w:space="0" w:color="auto"/>
        <w:bottom w:val="none" w:sz="0" w:space="0" w:color="auto"/>
        <w:right w:val="none" w:sz="0" w:space="0" w:color="auto"/>
      </w:divBdr>
    </w:div>
    <w:div w:id="20687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8805/ag.R-2158" TargetMode="External"/><Relationship Id="rId18" Type="http://schemas.openxmlformats.org/officeDocument/2006/relationships/hyperlink" Target="https://doi.org/10.1023/A:100554241413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20546/ijcmas.2019.805.170"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7/S0021859606006691" TargetMode="External"/><Relationship Id="rId17" Type="http://schemas.openxmlformats.org/officeDocument/2006/relationships/hyperlink" Target="https://www.pphouse.org/index.php/ijbsm/article/view/10.4.389-396" TargetMode="External"/><Relationship Id="rId25" Type="http://schemas.openxmlformats.org/officeDocument/2006/relationships/hyperlink" Target="https://doi.org/10.1097/00010694-193401000-00003"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chemijournal.com/archives/2018/vol6issue5/PartET/6-5-100-900.pdf" TargetMode="External"/><Relationship Id="rId20" Type="http://schemas.openxmlformats.org/officeDocument/2006/relationships/hyperlink" Target="https://doi.org/10.18805/ag.D-523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ad.fas.usda.gov/countrysummary/Default.aspx?id=IN&amp;crop=Rice" TargetMode="External"/><Relationship Id="rId24" Type="http://schemas.openxmlformats.org/officeDocument/2006/relationships/hyperlink" Target="https://doi.org/10.56093/ijas.v86i5.5835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ooks.google.com/books/about/Soil_and_Plant_Analysis.html?id=2_0tAAAAYAAJ" TargetMode="External"/><Relationship Id="rId23" Type="http://schemas.openxmlformats.org/officeDocument/2006/relationships/hyperlink" Target="https://doi.org/10.20546/ijcmas.2018.702.298" TargetMode="External"/><Relationship Id="rId28" Type="http://schemas.openxmlformats.org/officeDocument/2006/relationships/footer" Target="footer1.xml"/><Relationship Id="rId10" Type="http://schemas.openxmlformats.org/officeDocument/2006/relationships/hyperlink" Target="https://agriculture.hp.gov.in/en/production-2/" TargetMode="External"/><Relationship Id="rId19" Type="http://schemas.openxmlformats.org/officeDocument/2006/relationships/hyperlink" Target="https://www.bioinfopublication.org/viewarticle.php?articleid=BIA000338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20546/ijcmas.2019.807.241" TargetMode="External"/><Relationship Id="rId22" Type="http://schemas.openxmlformats.org/officeDocument/2006/relationships/hyperlink" Target="https://www.thepharmajournal.com/archives/2021/vol10issue10/PartO/10-10-10-747.pdf"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Local\Microsoft\Windows\INetCache\IE\NION1E0S\Thesis_figure_(2)(1)%20nitin%20new%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5"/>
          <c:order val="2"/>
          <c:tx>
            <c:strRef>
              <c:f>'[Thesis_figure_(2)(1) nitin new(1).xlsx]Sheet1'!$E$2</c:f>
              <c:strCache>
                <c:ptCount val="1"/>
                <c:pt idx="0">
                  <c:v>Rainfall (mm)</c:v>
                </c:pt>
              </c:strCache>
            </c:strRef>
          </c:tx>
          <c:invertIfNegative val="0"/>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new(1).xlsx]Sheet1'!$E$3:$E$31</c:f>
              <c:numCache>
                <c:formatCode>0.0</c:formatCode>
                <c:ptCount val="29"/>
                <c:pt idx="0">
                  <c:v>28.6</c:v>
                </c:pt>
                <c:pt idx="1">
                  <c:v>0</c:v>
                </c:pt>
                <c:pt idx="2">
                  <c:v>25</c:v>
                </c:pt>
                <c:pt idx="3">
                  <c:v>44</c:v>
                </c:pt>
                <c:pt idx="4">
                  <c:v>488.79999999999995</c:v>
                </c:pt>
                <c:pt idx="5">
                  <c:v>33.4</c:v>
                </c:pt>
                <c:pt idx="6">
                  <c:v>75.8</c:v>
                </c:pt>
                <c:pt idx="7">
                  <c:v>309.39999999999998</c:v>
                </c:pt>
                <c:pt idx="8">
                  <c:v>319.2</c:v>
                </c:pt>
                <c:pt idx="9">
                  <c:v>267.8</c:v>
                </c:pt>
                <c:pt idx="10">
                  <c:v>428.4</c:v>
                </c:pt>
                <c:pt idx="11">
                  <c:v>142.19999999999999</c:v>
                </c:pt>
                <c:pt idx="12">
                  <c:v>35</c:v>
                </c:pt>
                <c:pt idx="13">
                  <c:v>47.6</c:v>
                </c:pt>
                <c:pt idx="14">
                  <c:v>119.4</c:v>
                </c:pt>
                <c:pt idx="15">
                  <c:v>0</c:v>
                </c:pt>
                <c:pt idx="16">
                  <c:v>135.80000000000001</c:v>
                </c:pt>
                <c:pt idx="17">
                  <c:v>2</c:v>
                </c:pt>
                <c:pt idx="18">
                  <c:v>0</c:v>
                </c:pt>
                <c:pt idx="19">
                  <c:v>0</c:v>
                </c:pt>
                <c:pt idx="20">
                  <c:v>0</c:v>
                </c:pt>
                <c:pt idx="21">
                  <c:v>0.2857142857142857</c:v>
                </c:pt>
                <c:pt idx="22">
                  <c:v>0</c:v>
                </c:pt>
                <c:pt idx="23">
                  <c:v>0</c:v>
                </c:pt>
                <c:pt idx="24">
                  <c:v>0</c:v>
                </c:pt>
                <c:pt idx="25">
                  <c:v>0</c:v>
                </c:pt>
                <c:pt idx="26">
                  <c:v>0</c:v>
                </c:pt>
                <c:pt idx="27">
                  <c:v>0</c:v>
                </c:pt>
                <c:pt idx="28">
                  <c:v>0</c:v>
                </c:pt>
              </c:numCache>
            </c:numRef>
          </c:val>
          <c:extLst xmlns:c16r2="http://schemas.microsoft.com/office/drawing/2015/06/chart">
            <c:ext xmlns:c16="http://schemas.microsoft.com/office/drawing/2014/chart" uri="{C3380CC4-5D6E-409C-BE32-E72D297353CC}">
              <c16:uniqueId val="{00000000-7998-453B-BB90-84E93C002693}"/>
            </c:ext>
          </c:extLst>
        </c:ser>
        <c:dLbls>
          <c:showLegendKey val="0"/>
          <c:showVal val="0"/>
          <c:showCatName val="0"/>
          <c:showSerName val="0"/>
          <c:showPercent val="0"/>
          <c:showBubbleSize val="0"/>
        </c:dLbls>
        <c:gapWidth val="150"/>
        <c:axId val="476425600"/>
        <c:axId val="476427168"/>
      </c:barChart>
      <c:lineChart>
        <c:grouping val="standard"/>
        <c:varyColors val="0"/>
        <c:ser>
          <c:idx val="1"/>
          <c:order val="0"/>
          <c:tx>
            <c:strRef>
              <c:f>'[Thesis_figure_(2)(1) nitin new(1).xlsx]Sheet1'!$C$2</c:f>
              <c:strCache>
                <c:ptCount val="1"/>
                <c:pt idx="0">
                  <c:v>T(max) (°C)</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new(1).xlsx]Sheet1'!$C$3:$C$31</c:f>
              <c:numCache>
                <c:formatCode>0.0</c:formatCode>
                <c:ptCount val="29"/>
                <c:pt idx="0">
                  <c:v>32.028571428571425</c:v>
                </c:pt>
                <c:pt idx="1">
                  <c:v>35.285714285714285</c:v>
                </c:pt>
                <c:pt idx="2">
                  <c:v>32.357142857142854</c:v>
                </c:pt>
                <c:pt idx="3">
                  <c:v>30.5</c:v>
                </c:pt>
                <c:pt idx="4">
                  <c:v>26.5</c:v>
                </c:pt>
                <c:pt idx="5">
                  <c:v>28.5</c:v>
                </c:pt>
                <c:pt idx="6">
                  <c:v>29.5</c:v>
                </c:pt>
                <c:pt idx="7">
                  <c:v>28.142857142857142</c:v>
                </c:pt>
                <c:pt idx="8">
                  <c:v>27.428571428571427</c:v>
                </c:pt>
                <c:pt idx="9">
                  <c:v>25.5</c:v>
                </c:pt>
                <c:pt idx="10">
                  <c:v>27.071428571428573</c:v>
                </c:pt>
                <c:pt idx="11">
                  <c:v>26.571428571428573</c:v>
                </c:pt>
                <c:pt idx="12">
                  <c:v>27.414285714285711</c:v>
                </c:pt>
                <c:pt idx="13">
                  <c:v>27.085714285714285</c:v>
                </c:pt>
                <c:pt idx="14">
                  <c:v>27.5</c:v>
                </c:pt>
                <c:pt idx="15">
                  <c:v>27.214285714285715</c:v>
                </c:pt>
                <c:pt idx="16">
                  <c:v>26.642857142857142</c:v>
                </c:pt>
                <c:pt idx="17">
                  <c:v>27.62857142857143</c:v>
                </c:pt>
                <c:pt idx="18">
                  <c:v>26</c:v>
                </c:pt>
                <c:pt idx="19">
                  <c:v>25.285714285714285</c:v>
                </c:pt>
                <c:pt idx="20">
                  <c:v>25.714285714285715</c:v>
                </c:pt>
                <c:pt idx="21">
                  <c:v>27.62857142857143</c:v>
                </c:pt>
                <c:pt idx="22">
                  <c:v>26</c:v>
                </c:pt>
                <c:pt idx="23">
                  <c:v>25.285714285714285</c:v>
                </c:pt>
                <c:pt idx="24">
                  <c:v>25.714285714285715</c:v>
                </c:pt>
                <c:pt idx="25">
                  <c:v>25.7</c:v>
                </c:pt>
                <c:pt idx="26">
                  <c:v>23.028571428571428</c:v>
                </c:pt>
                <c:pt idx="27">
                  <c:v>22.314285714285713</c:v>
                </c:pt>
                <c:pt idx="28">
                  <c:v>20.285714285714285</c:v>
                </c:pt>
              </c:numCache>
            </c:numRef>
          </c:val>
          <c:smooth val="0"/>
          <c:extLst xmlns:c16r2="http://schemas.microsoft.com/office/drawing/2015/06/chart">
            <c:ext xmlns:c16="http://schemas.microsoft.com/office/drawing/2014/chart" uri="{C3380CC4-5D6E-409C-BE32-E72D297353CC}">
              <c16:uniqueId val="{00000001-7998-453B-BB90-84E93C002693}"/>
            </c:ext>
          </c:extLst>
        </c:ser>
        <c:ser>
          <c:idx val="2"/>
          <c:order val="1"/>
          <c:tx>
            <c:strRef>
              <c:f>'[Thesis_figure_(2)(1) nitin new(1).xlsx]Sheet1'!$D$2</c:f>
              <c:strCache>
                <c:ptCount val="1"/>
                <c:pt idx="0">
                  <c:v>T(min) (°C)</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new(1).xlsx]Sheet1'!$D$3:$D$31</c:f>
              <c:numCache>
                <c:formatCode>0.0</c:formatCode>
                <c:ptCount val="29"/>
                <c:pt idx="0">
                  <c:v>17.428571428571427</c:v>
                </c:pt>
                <c:pt idx="1">
                  <c:v>21.428571428571427</c:v>
                </c:pt>
                <c:pt idx="2">
                  <c:v>18.557142857142857</c:v>
                </c:pt>
                <c:pt idx="3">
                  <c:v>20.071428571428573</c:v>
                </c:pt>
                <c:pt idx="4">
                  <c:v>19.24285714285714</c:v>
                </c:pt>
                <c:pt idx="5">
                  <c:v>19.028571428571428</c:v>
                </c:pt>
                <c:pt idx="6">
                  <c:v>19.714285714285715</c:v>
                </c:pt>
                <c:pt idx="7">
                  <c:v>19.671428571428571</c:v>
                </c:pt>
                <c:pt idx="8">
                  <c:v>19.357142857142858</c:v>
                </c:pt>
                <c:pt idx="9">
                  <c:v>18.928571428571427</c:v>
                </c:pt>
                <c:pt idx="10">
                  <c:v>18.357142857142858</c:v>
                </c:pt>
                <c:pt idx="11">
                  <c:v>18.071428571428573</c:v>
                </c:pt>
                <c:pt idx="12">
                  <c:v>18.385714285714283</c:v>
                </c:pt>
                <c:pt idx="13">
                  <c:v>17.5</c:v>
                </c:pt>
                <c:pt idx="14">
                  <c:v>16</c:v>
                </c:pt>
                <c:pt idx="15">
                  <c:v>16.714285714285715</c:v>
                </c:pt>
                <c:pt idx="16">
                  <c:v>16.885714285714286</c:v>
                </c:pt>
                <c:pt idx="17">
                  <c:v>14.642857142857142</c:v>
                </c:pt>
                <c:pt idx="18">
                  <c:v>12.385714285714286</c:v>
                </c:pt>
                <c:pt idx="19">
                  <c:v>12.142857142857142</c:v>
                </c:pt>
                <c:pt idx="20">
                  <c:v>11.5</c:v>
                </c:pt>
                <c:pt idx="21">
                  <c:v>14.642857142857142</c:v>
                </c:pt>
                <c:pt idx="22">
                  <c:v>12.385714285714286</c:v>
                </c:pt>
                <c:pt idx="23">
                  <c:v>12.142857142857142</c:v>
                </c:pt>
                <c:pt idx="24">
                  <c:v>11.5</c:v>
                </c:pt>
                <c:pt idx="25">
                  <c:v>11.442857142857141</c:v>
                </c:pt>
                <c:pt idx="26">
                  <c:v>10.285714285714286</c:v>
                </c:pt>
                <c:pt idx="27">
                  <c:v>7.8142857142857149</c:v>
                </c:pt>
                <c:pt idx="28">
                  <c:v>8.1714285714285726</c:v>
                </c:pt>
              </c:numCache>
            </c:numRef>
          </c:val>
          <c:smooth val="0"/>
          <c:extLst xmlns:c16r2="http://schemas.microsoft.com/office/drawing/2015/06/chart">
            <c:ext xmlns:c16="http://schemas.microsoft.com/office/drawing/2014/chart" uri="{C3380CC4-5D6E-409C-BE32-E72D297353CC}">
              <c16:uniqueId val="{00000002-7998-453B-BB90-84E93C002693}"/>
            </c:ext>
          </c:extLst>
        </c:ser>
        <c:ser>
          <c:idx val="0"/>
          <c:order val="3"/>
          <c:tx>
            <c:strRef>
              <c:f>'[Thesis_figure_(2)(1) nitin new(1).xlsx]Sheet1'!$F$2</c:f>
              <c:strCache>
                <c:ptCount val="1"/>
                <c:pt idx="0">
                  <c:v>Relative humidity (%)</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new(1).xlsx]Sheet1'!$F$3:$F$31</c:f>
              <c:numCache>
                <c:formatCode>0.0</c:formatCode>
                <c:ptCount val="29"/>
                <c:pt idx="0">
                  <c:v>44.571428571428569</c:v>
                </c:pt>
                <c:pt idx="1">
                  <c:v>36.142857142857146</c:v>
                </c:pt>
                <c:pt idx="2">
                  <c:v>57.571428571428569</c:v>
                </c:pt>
                <c:pt idx="3">
                  <c:v>76.928571428571431</c:v>
                </c:pt>
                <c:pt idx="4">
                  <c:v>89.214285714285708</c:v>
                </c:pt>
                <c:pt idx="5">
                  <c:v>78.428571428571431</c:v>
                </c:pt>
                <c:pt idx="6">
                  <c:v>82.785714285714292</c:v>
                </c:pt>
                <c:pt idx="7">
                  <c:v>90.928571428571431</c:v>
                </c:pt>
                <c:pt idx="8">
                  <c:v>85.5</c:v>
                </c:pt>
                <c:pt idx="9">
                  <c:v>91.785714285714292</c:v>
                </c:pt>
                <c:pt idx="10">
                  <c:v>90.5</c:v>
                </c:pt>
                <c:pt idx="11">
                  <c:v>89.357142857142861</c:v>
                </c:pt>
                <c:pt idx="12">
                  <c:v>84.928571428571431</c:v>
                </c:pt>
                <c:pt idx="13">
                  <c:v>85.928571428571431</c:v>
                </c:pt>
                <c:pt idx="14">
                  <c:v>83.571428571428569</c:v>
                </c:pt>
                <c:pt idx="15">
                  <c:v>75.285714285714292</c:v>
                </c:pt>
                <c:pt idx="16">
                  <c:v>84.857142857142861</c:v>
                </c:pt>
                <c:pt idx="17">
                  <c:v>69.857142857142861</c:v>
                </c:pt>
                <c:pt idx="18">
                  <c:v>60.428571428571431</c:v>
                </c:pt>
                <c:pt idx="19">
                  <c:v>67</c:v>
                </c:pt>
                <c:pt idx="20">
                  <c:v>58.785714285714285</c:v>
                </c:pt>
                <c:pt idx="21">
                  <c:v>69.857142857142861</c:v>
                </c:pt>
                <c:pt idx="22">
                  <c:v>60.428571428571431</c:v>
                </c:pt>
                <c:pt idx="23">
                  <c:v>67</c:v>
                </c:pt>
                <c:pt idx="24">
                  <c:v>58.785714285714285</c:v>
                </c:pt>
                <c:pt idx="25">
                  <c:v>59</c:v>
                </c:pt>
                <c:pt idx="26">
                  <c:v>69.857142857142861</c:v>
                </c:pt>
                <c:pt idx="27">
                  <c:v>55.785714285714285</c:v>
                </c:pt>
                <c:pt idx="28">
                  <c:v>61.928571428571431</c:v>
                </c:pt>
              </c:numCache>
            </c:numRef>
          </c:val>
          <c:smooth val="0"/>
          <c:extLst xmlns:c16r2="http://schemas.microsoft.com/office/drawing/2015/06/chart">
            <c:ext xmlns:c16="http://schemas.microsoft.com/office/drawing/2014/chart" uri="{C3380CC4-5D6E-409C-BE32-E72D297353CC}">
              <c16:uniqueId val="{00000003-7998-453B-BB90-84E93C002693}"/>
            </c:ext>
          </c:extLst>
        </c:ser>
        <c:ser>
          <c:idx val="3"/>
          <c:order val="4"/>
          <c:tx>
            <c:strRef>
              <c:f>'[Thesis_figure_(2)(1) nitin new(1).xlsx]Sheet1'!$G$2</c:f>
              <c:strCache>
                <c:ptCount val="1"/>
                <c:pt idx="0">
                  <c:v>Bright sunshine hours (hrs)</c:v>
                </c:pt>
              </c:strCache>
            </c:strRef>
          </c:tx>
          <c:dPt>
            <c:idx val="0"/>
            <c:marker>
              <c:spPr>
                <a:solidFill>
                  <a:schemeClr val="accent6">
                    <a:lumMod val="75000"/>
                  </a:schemeClr>
                </a:solidFill>
              </c:spPr>
            </c:marker>
            <c:bubble3D val="0"/>
            <c:extLst xmlns:c16r2="http://schemas.microsoft.com/office/drawing/2015/06/chart">
              <c:ext xmlns:c16="http://schemas.microsoft.com/office/drawing/2014/chart" uri="{C3380CC4-5D6E-409C-BE32-E72D297353CC}">
                <c16:uniqueId val="{00000004-7998-453B-BB90-84E93C002693}"/>
              </c:ext>
            </c:extLst>
          </c:dPt>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new(1).xlsx]Sheet1'!$G$3:$G$31</c:f>
              <c:numCache>
                <c:formatCode>0.0</c:formatCode>
                <c:ptCount val="29"/>
                <c:pt idx="0">
                  <c:v>6.3571428571428568</c:v>
                </c:pt>
                <c:pt idx="1">
                  <c:v>11.071428571428571</c:v>
                </c:pt>
                <c:pt idx="2">
                  <c:v>8.8571428571428577</c:v>
                </c:pt>
                <c:pt idx="3">
                  <c:v>8.9285714285714288</c:v>
                </c:pt>
                <c:pt idx="4">
                  <c:v>8.7857142857142865</c:v>
                </c:pt>
                <c:pt idx="5">
                  <c:v>11.142857142857142</c:v>
                </c:pt>
                <c:pt idx="6">
                  <c:v>6.7142857142857144</c:v>
                </c:pt>
                <c:pt idx="7">
                  <c:v>4.7857142857142856</c:v>
                </c:pt>
                <c:pt idx="8">
                  <c:v>2.5</c:v>
                </c:pt>
                <c:pt idx="9">
                  <c:v>6.2857142857142856</c:v>
                </c:pt>
                <c:pt idx="10">
                  <c:v>6.5714285714285712</c:v>
                </c:pt>
                <c:pt idx="11">
                  <c:v>3.2857142857142856</c:v>
                </c:pt>
                <c:pt idx="12">
                  <c:v>3</c:v>
                </c:pt>
                <c:pt idx="13">
                  <c:v>0.9285714285714286</c:v>
                </c:pt>
                <c:pt idx="14">
                  <c:v>3.5</c:v>
                </c:pt>
                <c:pt idx="15">
                  <c:v>5.2142857142857144</c:v>
                </c:pt>
                <c:pt idx="16">
                  <c:v>5.2142857142857144</c:v>
                </c:pt>
                <c:pt idx="17">
                  <c:v>5.1428571428571432</c:v>
                </c:pt>
                <c:pt idx="18">
                  <c:v>5.8571428571428568</c:v>
                </c:pt>
                <c:pt idx="19">
                  <c:v>7.3571428571428568</c:v>
                </c:pt>
                <c:pt idx="20">
                  <c:v>5.1428571428571432</c:v>
                </c:pt>
                <c:pt idx="21">
                  <c:v>8.5714285714285712</c:v>
                </c:pt>
                <c:pt idx="22">
                  <c:v>9.7857142857142865</c:v>
                </c:pt>
                <c:pt idx="23">
                  <c:v>8.1428571428571423</c:v>
                </c:pt>
                <c:pt idx="24">
                  <c:v>9.4428571428571413</c:v>
                </c:pt>
                <c:pt idx="25">
                  <c:v>9.4285714285714288</c:v>
                </c:pt>
                <c:pt idx="26">
                  <c:v>6.8571428571428568</c:v>
                </c:pt>
                <c:pt idx="27">
                  <c:v>8.2857142857142865</c:v>
                </c:pt>
                <c:pt idx="28">
                  <c:v>8.5714285714285712</c:v>
                </c:pt>
              </c:numCache>
            </c:numRef>
          </c:val>
          <c:smooth val="0"/>
          <c:extLst xmlns:c16r2="http://schemas.microsoft.com/office/drawing/2015/06/chart">
            <c:ext xmlns:c16="http://schemas.microsoft.com/office/drawing/2014/chart" uri="{C3380CC4-5D6E-409C-BE32-E72D297353CC}">
              <c16:uniqueId val="{00000005-7998-453B-BB90-84E93C002693}"/>
            </c:ext>
          </c:extLst>
        </c:ser>
        <c:dLbls>
          <c:showLegendKey val="0"/>
          <c:showVal val="0"/>
          <c:showCatName val="0"/>
          <c:showSerName val="0"/>
          <c:showPercent val="0"/>
          <c:showBubbleSize val="0"/>
        </c:dLbls>
        <c:marker val="1"/>
        <c:smooth val="0"/>
        <c:axId val="476431872"/>
        <c:axId val="476427952"/>
      </c:lineChart>
      <c:catAx>
        <c:axId val="476431872"/>
        <c:scaling>
          <c:orientation val="minMax"/>
        </c:scaling>
        <c:delete val="0"/>
        <c:axPos val="b"/>
        <c:title>
          <c:tx>
            <c:rich>
              <a:bodyPr/>
              <a:lstStyle/>
              <a:p>
                <a:pPr>
                  <a:defRPr/>
                </a:pPr>
                <a:r>
                  <a:rPr lang="en-US" sz="1000"/>
                  <a:t>Standard Meteorological Week</a:t>
                </a:r>
              </a:p>
            </c:rich>
          </c:tx>
          <c:layout>
            <c:manualLayout>
              <c:xMode val="edge"/>
              <c:yMode val="edge"/>
              <c:x val="0.34708793810775806"/>
              <c:y val="0.920767536159385"/>
            </c:manualLayout>
          </c:layout>
          <c:overlay val="0"/>
        </c:title>
        <c:numFmt formatCode="General" sourceLinked="1"/>
        <c:majorTickMark val="out"/>
        <c:minorTickMark val="none"/>
        <c:tickLblPos val="nextTo"/>
        <c:txPr>
          <a:bodyPr/>
          <a:lstStyle/>
          <a:p>
            <a:pPr>
              <a:defRPr sz="1200"/>
            </a:pPr>
            <a:endParaRPr lang="en-US"/>
          </a:p>
        </c:txPr>
        <c:crossAx val="476427952"/>
        <c:crosses val="autoZero"/>
        <c:auto val="1"/>
        <c:lblAlgn val="ctr"/>
        <c:lblOffset val="100"/>
        <c:noMultiLvlLbl val="0"/>
      </c:catAx>
      <c:valAx>
        <c:axId val="476427952"/>
        <c:scaling>
          <c:orientation val="minMax"/>
        </c:scaling>
        <c:delete val="0"/>
        <c:axPos val="l"/>
        <c:majorGridlines/>
        <c:title>
          <c:tx>
            <c:rich>
              <a:bodyPr rot="-5400000" vert="horz"/>
              <a:lstStyle/>
              <a:p>
                <a:pPr>
                  <a:defRPr/>
                </a:pPr>
                <a:r>
                  <a:rPr lang="en-US" sz="1000"/>
                  <a:t>Temperature (oC)</a:t>
                </a:r>
                <a:r>
                  <a:rPr lang="en-US" sz="1000" baseline="0"/>
                  <a:t>, Sunshine hours (hrs)</a:t>
                </a:r>
                <a:r>
                  <a:rPr lang="en-US" sz="1000"/>
                  <a:t> </a:t>
                </a:r>
                <a:r>
                  <a:rPr lang="en-US" sz="1000" b="1" i="0" u="none" strike="noStrike" kern="1200" baseline="0">
                    <a:solidFill>
                      <a:sysClr val="windowText" lastClr="000000"/>
                    </a:solidFill>
                    <a:latin typeface="Times New Roman" pitchFamily="18" charset="0"/>
                    <a:cs typeface="Times New Roman" pitchFamily="18" charset="0"/>
                  </a:rPr>
                  <a:t>and Relative humidity (%)</a:t>
                </a:r>
                <a:endParaRPr lang="en-US" sz="1000"/>
              </a:p>
            </c:rich>
          </c:tx>
          <c:layout>
            <c:manualLayout>
              <c:xMode val="edge"/>
              <c:yMode val="edge"/>
              <c:x val="2.401905786782042E-2"/>
              <c:y val="0.22361242718820196"/>
            </c:manualLayout>
          </c:layout>
          <c:overlay val="0"/>
        </c:title>
        <c:numFmt formatCode="0.0" sourceLinked="1"/>
        <c:majorTickMark val="out"/>
        <c:minorTickMark val="none"/>
        <c:tickLblPos val="nextTo"/>
        <c:txPr>
          <a:bodyPr/>
          <a:lstStyle/>
          <a:p>
            <a:pPr>
              <a:defRPr sz="1000"/>
            </a:pPr>
            <a:endParaRPr lang="en-US"/>
          </a:p>
        </c:txPr>
        <c:crossAx val="476431872"/>
        <c:crosses val="autoZero"/>
        <c:crossBetween val="between"/>
      </c:valAx>
      <c:valAx>
        <c:axId val="476427168"/>
        <c:scaling>
          <c:orientation val="minMax"/>
        </c:scaling>
        <c:delete val="0"/>
        <c:axPos val="r"/>
        <c:title>
          <c:tx>
            <c:rich>
              <a:bodyPr rot="-5400000" vert="horz"/>
              <a:lstStyle/>
              <a:p>
                <a:pPr algn="ctr" rtl="0">
                  <a:defRPr/>
                </a:pPr>
                <a:r>
                  <a:rPr lang="en-US" sz="1000"/>
                  <a:t>Rainfall (mm) </a:t>
                </a:r>
              </a:p>
            </c:rich>
          </c:tx>
          <c:overlay val="0"/>
        </c:title>
        <c:numFmt formatCode="0.0" sourceLinked="1"/>
        <c:majorTickMark val="out"/>
        <c:minorTickMark val="none"/>
        <c:tickLblPos val="nextTo"/>
        <c:txPr>
          <a:bodyPr/>
          <a:lstStyle/>
          <a:p>
            <a:pPr>
              <a:defRPr sz="1000"/>
            </a:pPr>
            <a:endParaRPr lang="en-US"/>
          </a:p>
        </c:txPr>
        <c:crossAx val="476425600"/>
        <c:crosses val="max"/>
        <c:crossBetween val="between"/>
      </c:valAx>
      <c:catAx>
        <c:axId val="476425600"/>
        <c:scaling>
          <c:orientation val="minMax"/>
        </c:scaling>
        <c:delete val="1"/>
        <c:axPos val="b"/>
        <c:numFmt formatCode="General" sourceLinked="1"/>
        <c:majorTickMark val="out"/>
        <c:minorTickMark val="none"/>
        <c:tickLblPos val="none"/>
        <c:crossAx val="476427168"/>
        <c:crosses val="autoZero"/>
        <c:auto val="1"/>
        <c:lblAlgn val="ctr"/>
        <c:lblOffset val="100"/>
        <c:noMultiLvlLbl val="0"/>
      </c:catAx>
    </c:plotArea>
    <c:legend>
      <c:legendPos val="t"/>
      <c:legendEntry>
        <c:idx val="0"/>
        <c:txPr>
          <a:bodyPr/>
          <a:lstStyle/>
          <a:p>
            <a:pPr>
              <a:defRPr sz="1000"/>
            </a:pPr>
            <a:endParaRPr lang="en-US"/>
          </a:p>
        </c:txPr>
      </c:legendEntry>
      <c:legendEntry>
        <c:idx val="1"/>
        <c:txPr>
          <a:bodyPr/>
          <a:lstStyle/>
          <a:p>
            <a:pPr>
              <a:defRPr sz="1000"/>
            </a:pPr>
            <a:endParaRPr lang="en-US"/>
          </a:p>
        </c:txPr>
      </c:legendEntry>
      <c:legendEntry>
        <c:idx val="2"/>
        <c:txPr>
          <a:bodyPr/>
          <a:lstStyle/>
          <a:p>
            <a:pPr>
              <a:defRPr sz="1000"/>
            </a:pPr>
            <a:endParaRPr lang="en-US"/>
          </a:p>
        </c:txPr>
      </c:legendEntry>
      <c:legendEntry>
        <c:idx val="3"/>
        <c:txPr>
          <a:bodyPr/>
          <a:lstStyle/>
          <a:p>
            <a:pPr>
              <a:defRPr sz="1000"/>
            </a:pPr>
            <a:endParaRPr lang="en-US"/>
          </a:p>
        </c:txPr>
      </c:legendEntry>
      <c:legendEntry>
        <c:idx val="4"/>
        <c:txPr>
          <a:bodyPr/>
          <a:lstStyle/>
          <a:p>
            <a:pPr>
              <a:defRPr sz="1000"/>
            </a:pPr>
            <a:endParaRPr lang="en-US"/>
          </a:p>
        </c:txPr>
      </c:legendEntry>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1284</TotalTime>
  <Pages>9</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29</cp:revision>
  <dcterms:created xsi:type="dcterms:W3CDTF">2025-12-19T06:08:00Z</dcterms:created>
  <dcterms:modified xsi:type="dcterms:W3CDTF">2025-12-24T07:37:00Z</dcterms:modified>
</cp:coreProperties>
</file>