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9FD7B">
      <w:pPr>
        <w:spacing w:after="0"/>
        <w:rPr>
          <w:rFonts w:ascii="Arial" w:hAnsi="Arial" w:cs="Arial"/>
          <w:b/>
          <w:bCs/>
          <w:sz w:val="22"/>
          <w:szCs w:val="22"/>
        </w:rPr>
      </w:pPr>
      <w:bookmarkStart w:id="0" w:name="_Hlk217930878"/>
      <w:r>
        <w:rPr>
          <w:rFonts w:ascii="Arial" w:hAnsi="Arial" w:cs="Arial"/>
          <w:b/>
          <w:bCs/>
          <w:sz w:val="22"/>
          <w:szCs w:val="22"/>
        </w:rPr>
        <w:t>SPATIO-TEMPORAL ANALYSIS OF RAINFALL VARIABILITY IN THE MUNICIPALITY OF LOUMBILA (CENTRAL PLATEAU OF BURKINA FASO)</w:t>
      </w:r>
    </w:p>
    <w:p w14:paraId="0247D091">
      <w:pPr>
        <w:spacing w:after="0"/>
        <w:rPr>
          <w:rFonts w:ascii="Arial" w:hAnsi="Arial" w:cs="Arial"/>
          <w:b/>
          <w:bCs/>
          <w:sz w:val="22"/>
          <w:szCs w:val="22"/>
        </w:rPr>
      </w:pPr>
    </w:p>
    <w:p w14:paraId="0FDE26BC">
      <w:pPr>
        <w:spacing w:after="0"/>
        <w:rPr>
          <w:rFonts w:ascii="Arial" w:hAnsi="Arial" w:cs="Arial"/>
          <w:b/>
          <w:bCs/>
          <w:sz w:val="22"/>
          <w:szCs w:val="22"/>
        </w:rPr>
      </w:pPr>
    </w:p>
    <w:p w14:paraId="4F116370">
      <w:pPr>
        <w:spacing w:after="0" w:line="360" w:lineRule="auto"/>
        <w:rPr>
          <w:rFonts w:ascii="Arial" w:hAnsi="Arial" w:cs="Arial"/>
          <w:b/>
          <w:bCs/>
          <w:sz w:val="22"/>
          <w:szCs w:val="22"/>
        </w:rPr>
      </w:pPr>
      <w:bookmarkStart w:id="1" w:name="_Hlk217930638"/>
      <w:r>
        <w:rPr>
          <w:rFonts w:ascii="Arial" w:hAnsi="Arial" w:cs="Arial"/>
          <w:b/>
          <w:bCs/>
          <w:sz w:val="22"/>
          <w:szCs w:val="22"/>
        </w:rPr>
        <w:t>ABSTRAT</w:t>
      </w:r>
    </w:p>
    <w:p w14:paraId="69208E23">
      <w:pPr>
        <w:spacing w:after="0" w:line="360" w:lineRule="auto"/>
        <w:rPr>
          <w:rFonts w:ascii="Arial" w:hAnsi="Arial" w:cs="Arial"/>
          <w:sz w:val="22"/>
          <w:szCs w:val="22"/>
        </w:rPr>
      </w:pPr>
      <w:commentRangeStart w:id="0"/>
      <w:r>
        <w:rPr>
          <w:rFonts w:ascii="Arial" w:hAnsi="Arial" w:cs="Arial"/>
          <w:sz w:val="22"/>
          <w:szCs w:val="22"/>
        </w:rPr>
        <w:t>This study is based on rainfall data collected in the municipality of loumbila, located in the central plateau of burkina faso, over a period of thirty years (1992-2022).</w:t>
      </w:r>
      <w:commentRangeEnd w:id="0"/>
      <w:r>
        <w:commentReference w:id="0"/>
      </w:r>
      <w:r>
        <w:rPr>
          <w:rFonts w:ascii="Arial" w:hAnsi="Arial" w:cs="Arial"/>
          <w:sz w:val="22"/>
          <w:szCs w:val="22"/>
        </w:rPr>
        <w:t xml:space="preserve"> The analysis highlights significant variability in precipitation, marked by alternating wet years and periods of drought. </w:t>
      </w:r>
      <w:commentRangeStart w:id="1"/>
      <w:r>
        <w:rPr>
          <w:rFonts w:ascii="Arial" w:hAnsi="Arial" w:cs="Arial"/>
          <w:sz w:val="22"/>
          <w:szCs w:val="22"/>
        </w:rPr>
        <w:t>This irregularity</w:t>
      </w:r>
      <w:commentRangeEnd w:id="1"/>
      <w:r>
        <w:commentReference w:id="1"/>
      </w:r>
      <w:r>
        <w:rPr>
          <w:rFonts w:ascii="Arial" w:hAnsi="Arial" w:cs="Arial"/>
          <w:sz w:val="22"/>
          <w:szCs w:val="22"/>
        </w:rPr>
        <w:t xml:space="preserve"> reflects the instability of the rainfall regime, typical of sahelian areas subject to a variable intertropical monsoon.</w:t>
      </w:r>
    </w:p>
    <w:p w14:paraId="20F9B560">
      <w:pPr>
        <w:spacing w:after="0" w:line="360" w:lineRule="auto"/>
        <w:rPr>
          <w:rFonts w:ascii="Arial" w:hAnsi="Arial" w:cs="Arial"/>
          <w:sz w:val="22"/>
          <w:szCs w:val="22"/>
        </w:rPr>
      </w:pPr>
      <w:r>
        <w:rPr>
          <w:rFonts w:ascii="Arial" w:hAnsi="Arial" w:cs="Arial"/>
          <w:sz w:val="22"/>
          <w:szCs w:val="22"/>
        </w:rPr>
        <w:t>The application of the standardized precipitation index (spi) reveals the increased frequency of dry spells, sometimes prolonged, which directly influence water availability and rain-fed vegetable production.</w:t>
      </w:r>
      <w:r>
        <w:commentReference w:id="2"/>
      </w:r>
      <w:r>
        <w:rPr>
          <w:rFonts w:ascii="Arial" w:hAnsi="Arial" w:cs="Arial"/>
          <w:sz w:val="22"/>
          <w:szCs w:val="22"/>
        </w:rPr>
        <w:t xml:space="preserve"> These rainfall fluctuations contribute to declining agricultural productivity and increase the food vulnerability of rural households.</w:t>
      </w:r>
    </w:p>
    <w:p w14:paraId="26AFE37E">
      <w:pPr>
        <w:spacing w:after="0" w:line="360" w:lineRule="auto"/>
        <w:rPr>
          <w:rFonts w:ascii="Arial" w:hAnsi="Arial" w:cs="Arial"/>
          <w:sz w:val="22"/>
          <w:szCs w:val="22"/>
        </w:rPr>
      </w:pPr>
      <w:r>
        <w:rPr>
          <w:rFonts w:ascii="Arial" w:hAnsi="Arial" w:cs="Arial"/>
          <w:sz w:val="22"/>
          <w:szCs w:val="22"/>
        </w:rPr>
        <w:t>In response to this situation, the implementation of adaptation strategies focused on rainwater management and agricultural activity planning is a priority for strengthening the climate resilience of the municipality of loumbila.</w:t>
      </w:r>
    </w:p>
    <w:p w14:paraId="68A042BE">
      <w:pPr>
        <w:spacing w:after="0" w:line="360" w:lineRule="auto"/>
        <w:jc w:val="both"/>
        <w:rPr>
          <w:rFonts w:ascii="Arial" w:hAnsi="Arial" w:cs="Arial"/>
          <w:b/>
          <w:bCs/>
          <w:i/>
          <w:iCs/>
          <w:sz w:val="20"/>
          <w:szCs w:val="20"/>
        </w:rPr>
      </w:pPr>
      <w:r>
        <w:rPr>
          <w:rFonts w:ascii="Arial" w:hAnsi="Arial" w:cs="Arial"/>
          <w:b/>
          <w:bCs/>
          <w:i/>
          <w:iCs/>
          <w:sz w:val="20"/>
          <w:szCs w:val="20"/>
          <w:lang w:val="en"/>
        </w:rPr>
        <w:t>Keywords:</w:t>
      </w:r>
      <w:r>
        <w:rPr>
          <w:rFonts w:ascii="Arial" w:hAnsi="Arial" w:cs="Arial"/>
          <w:i/>
          <w:iCs/>
          <w:sz w:val="20"/>
          <w:szCs w:val="20"/>
          <w:lang w:val="en"/>
        </w:rPr>
        <w:t xml:space="preserve"> rainfall variability, market gardening, Loumbila commune, Burkina Faso.</w:t>
      </w:r>
    </w:p>
    <w:bookmarkEnd w:id="1"/>
    <w:p w14:paraId="25A251B0">
      <w:pPr>
        <w:spacing w:after="0" w:line="360" w:lineRule="auto"/>
        <w:jc w:val="both"/>
        <w:rPr>
          <w:rFonts w:ascii="Arial" w:hAnsi="Arial" w:cs="Arial"/>
          <w:b/>
          <w:bCs/>
          <w:sz w:val="22"/>
          <w:szCs w:val="22"/>
        </w:rPr>
      </w:pPr>
      <w:r>
        <w:rPr>
          <w:rFonts w:ascii="Arial" w:hAnsi="Arial" w:cs="Arial"/>
          <w:b/>
          <w:bCs/>
          <w:sz w:val="22"/>
          <w:szCs w:val="22"/>
        </w:rPr>
        <w:t>INTRODUCTION</w:t>
      </w:r>
    </w:p>
    <w:p w14:paraId="336A0B44">
      <w:pPr>
        <w:spacing w:after="0" w:line="360" w:lineRule="auto"/>
        <w:jc w:val="both"/>
        <w:rPr>
          <w:rFonts w:ascii="Arial" w:hAnsi="Arial" w:cs="Arial"/>
          <w:sz w:val="20"/>
          <w:szCs w:val="20"/>
        </w:rPr>
      </w:pPr>
      <w:r>
        <w:rPr>
          <w:rFonts w:ascii="Arial" w:hAnsi="Arial" w:cs="Arial"/>
          <w:sz w:val="20"/>
          <w:szCs w:val="20"/>
        </w:rPr>
        <w:t xml:space="preserve">Sub-Saharan Africa is at the heart of global climate debates. It faces significant climate variability that directly influences the environmental and socioeconomic conditions of vulnerable populations (Kaboré, 2025, p. 3). The region's climate is largely dominated by the intertropical monsoon system, which regulates water distribution. However, the precariousness of agricultural systems, which are poorly mechanized and dependent on water withdrawals, exacerbates their vulnerability (Mairi, 2019, p. 7; Topeur, 2023, p. 45). This situation results in an intensification of extreme events such as droughts and floods. It amplifies environmental and social crises, particularly in Burkina Faso (Cangré et al., 2015, p. 89; Kohnert, 2024, p. 12). </w:t>
      </w:r>
      <w:r>
        <w:rPr>
          <w:rFonts w:ascii="Arial" w:hAnsi="Arial" w:cs="Arial"/>
          <w:color w:val="0000FF"/>
          <w:sz w:val="20"/>
          <w:szCs w:val="20"/>
        </w:rPr>
        <w:t>During the second half of the 20th century, this region experienced alternating periods of high humidity and severe drought, followed by a recovery in rainfall, reflecting the high degree of climate variability (Sankara, 2010, p. 5).</w:t>
      </w:r>
      <w:r>
        <w:commentReference w:id="3"/>
      </w:r>
      <w:r>
        <w:rPr>
          <w:rFonts w:ascii="Arial" w:hAnsi="Arial" w:cs="Arial"/>
          <w:sz w:val="20"/>
          <w:szCs w:val="20"/>
        </w:rPr>
        <w:t xml:space="preserve"> These fluctuations compromise food security and the livelihoods of rural communities that are largely dependent on natural resources (Zambo, 2021, p. 15).</w:t>
      </w:r>
    </w:p>
    <w:p w14:paraId="6612E239">
      <w:pPr>
        <w:spacing w:after="0" w:line="360" w:lineRule="auto"/>
        <w:jc w:val="both"/>
        <w:rPr>
          <w:rFonts w:ascii="Arial" w:hAnsi="Arial" w:cs="Arial"/>
          <w:sz w:val="20"/>
          <w:szCs w:val="20"/>
        </w:rPr>
      </w:pPr>
      <w:r>
        <w:rPr>
          <w:rFonts w:ascii="Arial" w:hAnsi="Arial" w:cs="Arial"/>
          <w:sz w:val="20"/>
          <w:szCs w:val="20"/>
        </w:rPr>
        <w:t xml:space="preserve">In Burkina Faso, the reality of </w:t>
      </w:r>
      <w:commentRangeStart w:id="4"/>
      <w:r>
        <w:rPr>
          <w:rFonts w:ascii="Arial" w:hAnsi="Arial" w:cs="Arial"/>
          <w:sz w:val="20"/>
          <w:szCs w:val="20"/>
        </w:rPr>
        <w:t>this variability</w:t>
      </w:r>
      <w:commentRangeEnd w:id="4"/>
      <w:r>
        <w:commentReference w:id="4"/>
      </w:r>
      <w:r>
        <w:rPr>
          <w:rFonts w:ascii="Arial" w:hAnsi="Arial" w:cs="Arial"/>
          <w:sz w:val="20"/>
          <w:szCs w:val="20"/>
        </w:rPr>
        <w:t xml:space="preserve"> is attested to by scientific studies corroborated by the perceptions of local populations (Cangré &amp; Evelyne, 2015, p. 83). </w:t>
      </w:r>
      <w:r>
        <w:rPr>
          <w:rFonts w:ascii="Arial" w:hAnsi="Arial" w:cs="Arial"/>
          <w:color w:val="0000FF"/>
          <w:sz w:val="20"/>
          <w:szCs w:val="20"/>
        </w:rPr>
        <w:t>The commune of Loumbila, located in the Central Plateau, is a perfect illustration of this vulnerability, as its economy relies mainly on rain-fed vegetable crops, which are sensitive to variations in climatic parameters, particularly rainfall (Kaboré, 2025, p. 6)</w:t>
      </w:r>
      <w:r>
        <w:rPr>
          <w:rFonts w:ascii="Arial" w:hAnsi="Arial" w:cs="Arial"/>
          <w:sz w:val="20"/>
          <w:szCs w:val="20"/>
        </w:rPr>
        <w:t xml:space="preserve">. Periods of water deficit often lead to significant declines in yields, exacerbating food insecurity and undermining rural household incomes. </w:t>
      </w:r>
      <w:commentRangeStart w:id="5"/>
      <w:r>
        <w:rPr>
          <w:rFonts w:ascii="Arial" w:hAnsi="Arial" w:cs="Arial"/>
          <w:sz w:val="20"/>
          <w:szCs w:val="20"/>
        </w:rPr>
        <w:t>Furthermore, the lack of effective irrigation infrastructure and appropriate weather warning systems limits producers' ability to anticipate or mitigate the impacts of adverse weather events</w:t>
      </w:r>
      <w:commentRangeEnd w:id="5"/>
      <w:r>
        <w:commentReference w:id="5"/>
      </w:r>
      <w:r>
        <w:rPr>
          <w:rFonts w:ascii="Arial" w:hAnsi="Arial" w:cs="Arial"/>
          <w:sz w:val="20"/>
          <w:szCs w:val="20"/>
        </w:rPr>
        <w:t>. A better understanding of local climate trends, combined with appropriate technical solutions, is therefore an essential lever for supporting community resilience.</w:t>
      </w:r>
      <w:r>
        <w:commentReference w:id="6"/>
      </w:r>
    </w:p>
    <w:p w14:paraId="28A31B61">
      <w:pPr>
        <w:spacing w:line="360" w:lineRule="auto"/>
        <w:jc w:val="both"/>
        <w:rPr>
          <w:rFonts w:ascii="Arial" w:hAnsi="Arial" w:cs="Arial"/>
          <w:sz w:val="20"/>
          <w:szCs w:val="20"/>
        </w:rPr>
      </w:pPr>
      <w:r>
        <w:rPr>
          <w:rFonts w:ascii="Arial" w:hAnsi="Arial" w:cs="Arial"/>
          <w:sz w:val="20"/>
          <w:szCs w:val="20"/>
        </w:rPr>
        <w:t>This study aims to characterize the spatio-temporal aspects of rainfall variability in the municipality. The objective is to provide up-to-date knowledge to better guide local adaptation strategies to climate risks, while ensuring the resilience of agricultural systems.</w:t>
      </w:r>
      <w:r>
        <w:commentReference w:id="7"/>
      </w:r>
    </w:p>
    <w:p w14:paraId="1AFCC8C3">
      <w:pPr>
        <w:pStyle w:val="35"/>
        <w:numPr>
          <w:ilvl w:val="0"/>
          <w:numId w:val="3"/>
        </w:numPr>
        <w:spacing w:after="0" w:line="360" w:lineRule="auto"/>
        <w:jc w:val="both"/>
        <w:rPr>
          <w:rFonts w:ascii="Arial" w:hAnsi="Arial" w:cs="Arial"/>
          <w:b/>
          <w:bCs/>
          <w:sz w:val="22"/>
          <w:szCs w:val="22"/>
        </w:rPr>
      </w:pPr>
      <w:r>
        <w:rPr>
          <w:rFonts w:ascii="Arial" w:hAnsi="Arial" w:cs="Arial"/>
          <w:b/>
          <w:bCs/>
          <w:sz w:val="22"/>
          <w:szCs w:val="22"/>
        </w:rPr>
        <w:t>PRESENTATION OF THE STUDY AREA</w:t>
      </w:r>
    </w:p>
    <w:p w14:paraId="56D1C896">
      <w:pPr>
        <w:spacing w:after="0" w:line="360" w:lineRule="auto"/>
        <w:jc w:val="both"/>
        <w:rPr>
          <w:rFonts w:ascii="Arial" w:hAnsi="Arial" w:cs="Arial"/>
          <w:b/>
          <w:bCs/>
          <w:sz w:val="20"/>
          <w:szCs w:val="20"/>
        </w:rPr>
      </w:pPr>
      <w:r>
        <w:rPr>
          <w:rFonts w:ascii="Arial" w:hAnsi="Arial" w:cs="Arial"/>
          <w:b/>
          <w:bCs/>
          <w:sz w:val="20"/>
          <w:szCs w:val="20"/>
        </w:rPr>
        <w:t xml:space="preserve">The municipality of Loumbila (map 1) is located in the province of Oubritenga, in the central plateau region. It is one of seven (7) municipalities in the province and is located twenty-five (25) kilometers from the capital Ouagadougou, on National Road No. 3 (Ouagadougou-Dori), and thirteen (13) kilometers from Ziniaré, the capital of its province. It covers an area of 177 km², or 6.16% of the total area of the province of Oubritenga, and has thirty-one (31) villages. In accordance with Law No. 030-99/AN establishing the administrative boundaries of municipalities in Burkina Faso, it is bordered: </w:t>
      </w:r>
    </w:p>
    <w:p w14:paraId="4908FBE2">
      <w:pPr>
        <w:spacing w:after="0" w:line="360" w:lineRule="auto"/>
        <w:jc w:val="both"/>
        <w:rPr>
          <w:rFonts w:ascii="Arial" w:hAnsi="Arial" w:cs="Arial"/>
          <w:b/>
          <w:bCs/>
          <w:sz w:val="20"/>
          <w:szCs w:val="20"/>
        </w:rPr>
      </w:pPr>
      <w:r>
        <w:rPr>
          <w:rFonts w:ascii="Arial" w:hAnsi="Arial" w:cs="Arial"/>
          <w:b/>
          <w:bCs/>
          <w:sz w:val="20"/>
          <w:szCs w:val="20"/>
        </w:rPr>
        <w:t xml:space="preserve">• To the west by the municipality of Pabré and the district of Nongr-masson (Ouagadougou, Kadiogo province); </w:t>
      </w:r>
    </w:p>
    <w:p w14:paraId="78B3DB53">
      <w:pPr>
        <w:spacing w:after="0" w:line="360" w:lineRule="auto"/>
        <w:jc w:val="both"/>
        <w:rPr>
          <w:rFonts w:ascii="Arial" w:hAnsi="Arial" w:cs="Arial"/>
          <w:b/>
          <w:bCs/>
          <w:sz w:val="20"/>
          <w:szCs w:val="20"/>
        </w:rPr>
      </w:pPr>
      <w:r>
        <w:rPr>
          <w:rFonts w:ascii="Arial" w:hAnsi="Arial" w:cs="Arial"/>
          <w:b/>
          <w:bCs/>
          <w:sz w:val="20"/>
          <w:szCs w:val="20"/>
        </w:rPr>
        <w:t>• To the north by the municipality of Dapelgo (Oubritenga province);</w:t>
      </w:r>
    </w:p>
    <w:p w14:paraId="26F1F145">
      <w:pPr>
        <w:spacing w:after="0" w:line="360" w:lineRule="auto"/>
        <w:jc w:val="both"/>
        <w:rPr>
          <w:rFonts w:ascii="Arial" w:hAnsi="Arial" w:cs="Arial"/>
          <w:b/>
          <w:bCs/>
          <w:sz w:val="20"/>
          <w:szCs w:val="20"/>
        </w:rPr>
      </w:pPr>
      <w:r>
        <w:rPr>
          <w:rFonts w:ascii="Arial" w:hAnsi="Arial" w:cs="Arial"/>
          <w:b/>
          <w:bCs/>
          <w:sz w:val="20"/>
          <w:szCs w:val="20"/>
        </w:rPr>
        <w:t xml:space="preserve"> • To the south by the municipality of Saaba (Kadiogo province).</w:t>
      </w:r>
    </w:p>
    <w:p w14:paraId="0334F6D6">
      <w:pPr>
        <w:spacing w:after="0" w:line="360" w:lineRule="auto"/>
        <w:jc w:val="both"/>
        <w:rPr>
          <w:rFonts w:ascii="Arial" w:hAnsi="Arial" w:cs="Arial"/>
          <w:b/>
          <w:bCs/>
          <w:sz w:val="20"/>
          <w:szCs w:val="20"/>
        </w:rPr>
      </w:pPr>
      <w:r>
        <w:rPr>
          <w:rFonts w:ascii="Arial" w:hAnsi="Arial" w:cs="Arial"/>
          <w:b/>
          <w:bCs/>
          <w:sz w:val="20"/>
          <w:szCs w:val="20"/>
        </w:rPr>
        <w:t>Map No. 1 shows the municipality of Loumbila.</w:t>
      </w:r>
    </w:p>
    <w:p w14:paraId="21EE180E">
      <w:pPr>
        <w:jc w:val="center"/>
        <w:rPr>
          <w:rFonts w:ascii="Arial" w:hAnsi="Arial" w:cs="Arial"/>
          <w:b/>
          <w:bCs/>
          <w:i/>
          <w:iCs/>
          <w:lang w:eastAsia="fr-FR"/>
        </w:rPr>
      </w:pPr>
      <w:bookmarkStart w:id="2" w:name="_Toc210156908"/>
      <w:bookmarkStart w:id="3" w:name="_Toc210159545"/>
      <w:r>
        <w:rPr>
          <w:rFonts w:ascii="Arial" w:hAnsi="Arial" w:eastAsia="Calibri" w:cs="Arial"/>
          <w:b/>
          <w:bCs/>
          <w:kern w:val="0"/>
          <w:sz w:val="20"/>
          <w:szCs w:val="20"/>
          <w:lang w:eastAsia="fr-FR"/>
          <w14:ligatures w14:val="none"/>
        </w:rPr>
        <w:drawing>
          <wp:anchor distT="0" distB="0" distL="114300" distR="114300" simplePos="0" relativeHeight="251661312" behindDoc="1" locked="0" layoutInCell="1" allowOverlap="1">
            <wp:simplePos x="0" y="0"/>
            <wp:positionH relativeFrom="margin">
              <wp:align>left</wp:align>
            </wp:positionH>
            <wp:positionV relativeFrom="paragraph">
              <wp:posOffset>108585</wp:posOffset>
            </wp:positionV>
            <wp:extent cx="5841365" cy="4140835"/>
            <wp:effectExtent l="0" t="0" r="6985" b="0"/>
            <wp:wrapTight wrapText="bothSides">
              <wp:wrapPolygon>
                <wp:start x="0" y="0"/>
                <wp:lineTo x="0" y="21464"/>
                <wp:lineTo x="21555" y="21464"/>
                <wp:lineTo x="21555" y="0"/>
                <wp:lineTo x="0" y="0"/>
              </wp:wrapPolygon>
            </wp:wrapTight>
            <wp:docPr id="22337523"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7523" name="Imag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841365" cy="4140835"/>
                    </a:xfrm>
                    <a:prstGeom prst="rect">
                      <a:avLst/>
                    </a:prstGeom>
                    <a:noFill/>
                  </pic:spPr>
                </pic:pic>
              </a:graphicData>
            </a:graphic>
          </wp:anchor>
        </w:drawing>
      </w:r>
      <w:r>
        <w:rPr>
          <w:rFonts w:ascii="Arial" w:hAnsi="Arial" w:eastAsia="Calibri" w:cs="Arial"/>
          <w:b/>
          <w:bCs/>
          <w:kern w:val="0"/>
          <w:sz w:val="20"/>
          <w:szCs w:val="20"/>
          <w:lang w:eastAsia="fr-FR"/>
          <w14:ligatures w14:val="none"/>
        </w:rPr>
        <w:t>Figure</w:t>
      </w:r>
      <w:r>
        <w:rPr>
          <w:rFonts w:ascii="Arial" w:hAnsi="Arial" w:cs="Arial"/>
          <w:b/>
          <w:bCs/>
        </w:rPr>
        <w:t xml:space="preserve"> 1 : </w:t>
      </w:r>
      <w:bookmarkEnd w:id="2"/>
      <w:bookmarkEnd w:id="3"/>
      <w:r>
        <w:rPr>
          <w:rFonts w:ascii="Arial" w:hAnsi="Arial" w:cs="Arial"/>
          <w:b/>
          <w:bCs/>
        </w:rPr>
        <w:t>Location of the municipality of Loumbila</w:t>
      </w:r>
      <w:r>
        <w:commentReference w:id="8"/>
      </w:r>
    </w:p>
    <w:p w14:paraId="60FC771B">
      <w:pPr>
        <w:pStyle w:val="35"/>
        <w:numPr>
          <w:ilvl w:val="1"/>
          <w:numId w:val="4"/>
        </w:numPr>
        <w:spacing w:after="0" w:line="360" w:lineRule="auto"/>
        <w:jc w:val="both"/>
        <w:rPr>
          <w:rFonts w:ascii="Arial" w:hAnsi="Arial" w:cs="Arial"/>
          <w:b/>
          <w:bCs/>
          <w:sz w:val="22"/>
          <w:szCs w:val="22"/>
        </w:rPr>
      </w:pPr>
      <w:r>
        <w:rPr>
          <w:rFonts w:ascii="Arial" w:hAnsi="Arial" w:cs="Arial"/>
          <w:b/>
          <w:bCs/>
          <w:sz w:val="22"/>
          <w:szCs w:val="22"/>
        </w:rPr>
        <w:t>Methodology</w:t>
      </w:r>
      <w:r>
        <w:commentReference w:id="9"/>
      </w:r>
      <w:r>
        <w:commentReference w:id="10"/>
      </w:r>
    </w:p>
    <w:p w14:paraId="4248B7FD">
      <w:pPr>
        <w:spacing w:after="0" w:line="360" w:lineRule="auto"/>
        <w:jc w:val="both"/>
        <w:rPr>
          <w:rFonts w:ascii="Arial" w:hAnsi="Arial" w:cs="Arial"/>
          <w:sz w:val="20"/>
          <w:szCs w:val="20"/>
        </w:rPr>
      </w:pPr>
      <w:r>
        <w:rPr>
          <w:rFonts w:ascii="Arial" w:hAnsi="Arial" w:cs="Arial"/>
          <w:sz w:val="20"/>
          <w:szCs w:val="20"/>
        </w:rPr>
        <w:t>The study of climate variability in the municipality of Loumbila was based on an analysis of rainfall, a key variable for understanding the water regime and local agro-environmental dynamics. This parameter was chosen because of its scientific relevance and its decisive role in assessing regional climate change. The rainfall data comes from the National Meteorological Agency (ANAM) of Burkina Faso and covers a 30-year time series, from 1992 to 2022, in accordance with the recommendations of the World Meteorological Organization (WMO). This time frame guarantees the quality, homogeneity, and statistical reliability of the observations. The reliability of the records was verified according to the methodology of Bambara D. et al. (2019, p.2), in particular by applying breakpoint and normality tests designed to detect any anomalies or discontinuities in the rainfall series. The temporal analysis was based on a graphical study of annual trends, obtained by linear regression, as well as an examination of interannual variations that characterize wet and dry cycles over time.</w:t>
      </w:r>
      <w:r>
        <w:commentReference w:id="11"/>
      </w:r>
    </w:p>
    <w:p w14:paraId="522B7FE7">
      <w:pPr>
        <w:spacing w:after="0" w:line="360" w:lineRule="auto"/>
        <w:jc w:val="both"/>
        <w:rPr>
          <w:rFonts w:ascii="Arial" w:hAnsi="Arial" w:cs="Arial"/>
          <w:sz w:val="20"/>
          <w:szCs w:val="20"/>
        </w:rPr>
      </w:pPr>
      <w:r>
        <w:rPr>
          <w:rFonts w:ascii="Arial" w:hAnsi="Arial" w:cs="Arial"/>
          <w:sz w:val="20"/>
          <w:szCs w:val="20"/>
        </w:rPr>
        <w:t>In order to quantify the direction and magnitude of the trends, non-parametric statistical tests, such as the Mann-Kendall test and Sen's slope, were used to determine the presence of significant monotonic trends</w:t>
      </w:r>
      <w:r>
        <w:commentReference w:id="12"/>
      </w:r>
      <w:r>
        <w:rPr>
          <w:rFonts w:ascii="Arial" w:hAnsi="Arial" w:cs="Arial"/>
          <w:sz w:val="20"/>
          <w:szCs w:val="20"/>
        </w:rPr>
        <w:t>. In addition, the Standardized Precipitation Index (SPI) was used to assess the intensity and frequency of dry and wet periods in the municipality over the study period. The validity of the results was confirmed by analyzing QQ and PP plots, ensuring that the distributions complied with the required statistical conditions.</w:t>
      </w:r>
    </w:p>
    <w:p w14:paraId="7F67F256">
      <w:pPr>
        <w:spacing w:after="0" w:line="360" w:lineRule="auto"/>
        <w:jc w:val="both"/>
        <w:rPr>
          <w:rFonts w:ascii="Arial" w:hAnsi="Arial" w:cs="Arial"/>
          <w:sz w:val="20"/>
          <w:szCs w:val="20"/>
        </w:rPr>
      </w:pPr>
      <w:r>
        <w:rPr>
          <w:rFonts w:ascii="Arial" w:hAnsi="Arial" w:cs="Arial"/>
          <w:sz w:val="20"/>
          <w:szCs w:val="20"/>
        </w:rPr>
        <w:t>1.2. Statistical study of rainfall variability</w:t>
      </w:r>
    </w:p>
    <w:p w14:paraId="406F3461">
      <w:pPr>
        <w:spacing w:after="0" w:line="360" w:lineRule="auto"/>
        <w:jc w:val="both"/>
        <w:rPr>
          <w:rFonts w:ascii="Arial" w:hAnsi="Arial" w:cs="Arial"/>
          <w:b/>
          <w:bCs/>
          <w:sz w:val="20"/>
          <w:szCs w:val="20"/>
        </w:rPr>
      </w:pPr>
      <w:r>
        <w:rPr>
          <w:rFonts w:ascii="Arial" w:hAnsi="Arial" w:cs="Arial"/>
          <w:b/>
          <w:bCs/>
          <w:sz w:val="20"/>
          <w:szCs w:val="20"/>
        </w:rPr>
        <w:t>1.2.1 Normality tests (Q-Q plot and P-P plot)</w:t>
      </w:r>
    </w:p>
    <w:p w14:paraId="48DFF7FA">
      <w:pPr>
        <w:spacing w:after="0" w:line="360" w:lineRule="auto"/>
        <w:jc w:val="both"/>
        <w:rPr>
          <w:rFonts w:ascii="Arial" w:hAnsi="Arial" w:cs="Arial"/>
          <w:sz w:val="20"/>
          <w:szCs w:val="20"/>
        </w:rPr>
      </w:pPr>
      <w:r>
        <w:rPr>
          <w:rFonts w:ascii="Arial" w:hAnsi="Arial" w:cs="Arial"/>
          <w:sz w:val="20"/>
          <w:szCs w:val="20"/>
        </w:rPr>
        <w:t>Q-Q plots can be used to check whether annual rainfall values follow a normal distribution. In Burkina Faso, deviations at the extremes of Q-Q curves are common, reflecting the presence of extreme rainfall values and asymmetry in the data. This behavior indicates high interannual variability in precipitation, often influenced by irregular rainy seasons.</w:t>
      </w:r>
      <w:r>
        <w:commentReference w:id="13"/>
      </w:r>
    </w:p>
    <w:p w14:paraId="533905D0">
      <w:pPr>
        <w:spacing w:after="0" w:line="360" w:lineRule="auto"/>
        <w:jc w:val="both"/>
        <w:rPr>
          <w:rFonts w:ascii="Arial" w:hAnsi="Arial" w:cs="Arial"/>
          <w:sz w:val="20"/>
          <w:szCs w:val="20"/>
        </w:rPr>
      </w:pPr>
      <w:r>
        <w:rPr>
          <w:rFonts w:ascii="Arial" w:hAnsi="Arial" w:cs="Arial"/>
          <w:sz w:val="20"/>
          <w:szCs w:val="20"/>
        </w:rPr>
        <w:t>P-P plots, for their part, compare the observed probabilities of the rainfall series with the theoretical probabilities expected under a normal distribution. When the curve deviates from the diagonal, this highlights a distribution that is not strictly normal, particularly in the center or at the extremes of the series. This observation reflects the frequency of extreme rainfall events and the characteristic irregularity of the rainfall regime in the Loumbila area.</w:t>
      </w:r>
      <w:r>
        <w:commentReference w:id="14"/>
      </w:r>
    </w:p>
    <w:p w14:paraId="3B04D555">
      <w:pPr>
        <w:spacing w:after="0" w:line="360" w:lineRule="auto"/>
        <w:jc w:val="both"/>
        <w:rPr>
          <w:rFonts w:ascii="Arial" w:hAnsi="Arial" w:cs="Arial"/>
          <w:b/>
          <w:bCs/>
          <w:highlight w:val="yellow"/>
        </w:rPr>
      </w:pPr>
      <w:r>
        <w:rPr>
          <w:rFonts w:ascii="Arial" w:hAnsi="Arial" w:cs="Arial"/>
          <w:sz w:val="20"/>
          <w:szCs w:val="20"/>
        </w:rPr>
        <w:t>These two graphs show the normality tests of the rainfall series using QQ and PP plots.</w:t>
      </w:r>
      <w:r>
        <w:commentReference w:id="15"/>
      </w:r>
      <w:r>
        <w:rPr>
          <w:rFonts w:ascii="Arial" w:hAnsi="Arial" w:eastAsia="Calibri" w:cs="Arial"/>
          <w:b/>
          <w:bCs/>
          <w:sz w:val="20"/>
          <w:szCs w:val="20"/>
          <w:lang w:eastAsia="fr-FR"/>
        </w:rPr>
        <w:drawing>
          <wp:anchor distT="0" distB="0" distL="114300" distR="114300" simplePos="0" relativeHeight="251665408" behindDoc="1" locked="0" layoutInCell="1" allowOverlap="1">
            <wp:simplePos x="0" y="0"/>
            <wp:positionH relativeFrom="margin">
              <wp:posOffset>3035935</wp:posOffset>
            </wp:positionH>
            <wp:positionV relativeFrom="paragraph">
              <wp:posOffset>507365</wp:posOffset>
            </wp:positionV>
            <wp:extent cx="2834640" cy="2077085"/>
            <wp:effectExtent l="0" t="0" r="3810" b="18415"/>
            <wp:wrapTight wrapText="bothSides">
              <wp:wrapPolygon>
                <wp:start x="0" y="0"/>
                <wp:lineTo x="0" y="21593"/>
                <wp:lineTo x="21484" y="21593"/>
                <wp:lineTo x="21484" y="0"/>
                <wp:lineTo x="0" y="0"/>
              </wp:wrapPolygon>
            </wp:wrapTight>
            <wp:docPr id="1954963070"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Arial" w:hAnsi="Arial" w:cs="Arial"/>
          <w:b/>
          <w:bCs/>
          <w:highlight w:val="yellow"/>
          <w:lang w:eastAsia="fr-FR"/>
        </w:rPr>
        <mc:AlternateContent>
          <mc:Choice Requires="wps">
            <w:drawing>
              <wp:anchor distT="0" distB="0" distL="114300" distR="114300" simplePos="0" relativeHeight="251663360" behindDoc="1" locked="0" layoutInCell="1" allowOverlap="1">
                <wp:simplePos x="0" y="0"/>
                <wp:positionH relativeFrom="column">
                  <wp:posOffset>-33655</wp:posOffset>
                </wp:positionH>
                <wp:positionV relativeFrom="paragraph">
                  <wp:posOffset>467360</wp:posOffset>
                </wp:positionV>
                <wp:extent cx="6090285" cy="2409190"/>
                <wp:effectExtent l="0" t="0" r="24765" b="10160"/>
                <wp:wrapTight wrapText="bothSides">
                  <wp:wrapPolygon>
                    <wp:start x="0" y="0"/>
                    <wp:lineTo x="0" y="21520"/>
                    <wp:lineTo x="21620" y="21520"/>
                    <wp:lineTo x="21620" y="0"/>
                    <wp:lineTo x="0" y="0"/>
                  </wp:wrapPolygon>
                </wp:wrapTight>
                <wp:docPr id="1" name="Zone de texte 1"/>
                <wp:cNvGraphicFramePr/>
                <a:graphic xmlns:a="http://schemas.openxmlformats.org/drawingml/2006/main">
                  <a:graphicData uri="http://schemas.microsoft.com/office/word/2010/wordprocessingShape">
                    <wps:wsp>
                      <wps:cNvSpPr txBox="1"/>
                      <wps:spPr>
                        <a:xfrm>
                          <a:off x="0" y="0"/>
                          <a:ext cx="6090285" cy="24091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3885FA">
                            <w:r>
                              <w:drawing>
                                <wp:inline distT="0" distB="0" distL="0" distR="0">
                                  <wp:extent cx="2933700" cy="2069465"/>
                                  <wp:effectExtent l="0" t="0" r="0" b="6985"/>
                                  <wp:docPr id="123153355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Zone de texte 1" o:spid="_x0000_s1026" o:spt="202" type="#_x0000_t202" style="position:absolute;left:0pt;margin-left:-2.65pt;margin-top:36.8pt;height:189.7pt;width:479.55pt;mso-wrap-distance-left:9pt;mso-wrap-distance-right:9pt;z-index:-251653120;mso-width-relative:page;mso-height-relative:page;" fillcolor="#FFFFFF [3201]" filled="t" stroked="t" coordsize="21600,21600" wrapcoords="0 0 0 21520 21620 21520 21620 0 0 0" o:gfxdata="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UavQLWAAAACQEA&#10;AA8AAAAAAAAAAQAgAAAAIgAAAGRycy9kb3ducmV2LnhtbFBLAQIUABQAAAAIAIdO4kDrHBzrVQIA&#10;AMoEAAAOAAAAAAAAAAEAIAAAACUBAABkcnMvZTJvRG9jLnhtbFBLBQYAAAAABgAGAFkBAADsBQAA&#10;AAA=&#10;">
                <v:fill on="t" focussize="0,0"/>
                <v:stroke weight="0.5pt" color="#000000 [3204]" joinstyle="round"/>
                <v:imagedata o:title=""/>
                <o:lock v:ext="edit" aspectratio="f"/>
                <v:textbox>
                  <w:txbxContent>
                    <w:p w14:paraId="753885FA">
                      <w:r>
                        <w:drawing>
                          <wp:inline distT="0" distB="0" distL="0" distR="0">
                            <wp:extent cx="2933700" cy="2069465"/>
                            <wp:effectExtent l="0" t="0" r="0" b="6985"/>
                            <wp:docPr id="123153355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w10:wrap type="tight"/>
              </v:shape>
            </w:pict>
          </mc:Fallback>
        </mc:AlternateContent>
      </w:r>
    </w:p>
    <w:p w14:paraId="34FDEE10">
      <w:pPr>
        <w:spacing w:after="0" w:line="360" w:lineRule="auto"/>
        <w:jc w:val="both"/>
        <w:rPr>
          <w:rFonts w:ascii="Arial" w:hAnsi="Arial" w:cs="Arial"/>
          <w:b/>
          <w:bCs/>
          <w:sz w:val="20"/>
          <w:szCs w:val="20"/>
        </w:rPr>
      </w:pPr>
      <w:r>
        <w:rPr>
          <w:rFonts w:ascii="Arial" w:hAnsi="Arial" w:cs="Arial"/>
          <w:b/>
          <w:bCs/>
          <w:sz w:val="20"/>
          <w:szCs w:val="20"/>
        </w:rPr>
        <w:t>Graph 1: Normality tests of the rainfall series using Q-Q and P-P plots</w:t>
      </w:r>
    </w:p>
    <w:p w14:paraId="5B8453EB">
      <w:pPr>
        <w:spacing w:after="0" w:line="360" w:lineRule="auto"/>
        <w:jc w:val="both"/>
        <w:rPr>
          <w:rFonts w:ascii="Arial" w:hAnsi="Arial" w:cs="Arial"/>
          <w:b/>
          <w:bCs/>
          <w:sz w:val="20"/>
          <w:szCs w:val="20"/>
        </w:rPr>
      </w:pPr>
      <w:r>
        <w:rPr>
          <w:rFonts w:ascii="Arial" w:hAnsi="Arial" w:cs="Arial"/>
          <w:b/>
          <w:bCs/>
          <w:sz w:val="20"/>
          <w:szCs w:val="20"/>
        </w:rPr>
        <w:t>Sources : ANAM data (1992 to 2022)</w:t>
      </w:r>
    </w:p>
    <w:p w14:paraId="1F6E71C1">
      <w:pPr>
        <w:spacing w:after="0" w:line="360" w:lineRule="auto"/>
        <w:jc w:val="both"/>
        <w:rPr>
          <w:rFonts w:ascii="Arial" w:hAnsi="Arial" w:cs="Arial"/>
          <w:sz w:val="20"/>
          <w:szCs w:val="20"/>
        </w:rPr>
      </w:pPr>
      <w:r>
        <w:rPr>
          <w:rFonts w:ascii="Arial" w:hAnsi="Arial" w:cs="Arial"/>
          <w:sz w:val="20"/>
          <w:szCs w:val="20"/>
        </w:rPr>
        <w:t>Analysis of QQ and PP graphs based on thirty years of rainfall data in Loumbila reveals remarkable stability in the withdrawal regime. According to Montane, C. (2024, p. 26), this stability reflects a solid statistical structure, with no major changes in rainfall. However, slight deviations at the ends of the curves indicate the presence of extreme rainfall events, considered to be the first signs of significant hydrological deviations (Descroix, L., et al., 2015, p. 33).</w:t>
      </w:r>
    </w:p>
    <w:p w14:paraId="43E0D999">
      <w:pPr>
        <w:spacing w:after="0" w:line="360" w:lineRule="auto"/>
        <w:jc w:val="both"/>
        <w:rPr>
          <w:rFonts w:ascii="Arial" w:hAnsi="Arial" w:cs="Arial"/>
        </w:rPr>
      </w:pPr>
      <w:r>
        <w:rPr>
          <w:rFonts w:ascii="Arial" w:hAnsi="Arial" w:cs="Arial"/>
          <w:sz w:val="20"/>
          <w:szCs w:val="20"/>
        </w:rPr>
        <w:t>Kaboré, P. N., et al. (2017, p. 85) emphasize the importance of monitoring the accumulation of these deviations, which may reflect the emergence of a new rainfall regime. In agriculture, these diagrams serve as an early warning tool for climate risk management and food security (Taïbi, S., 2021, p. 215; Ater, M., &amp; Hmimsa, Y., 2008, p. 107). The distinction between natural rainfall variability and climate change also guides agricultural policies in Sahelian areas (Fluet, M.-J., 2006, p. 57). Finally, Röhrig, F., et al. (2021, p. 10) recommend combining graphical analyses and mobilizing local knowledge to strengthen the adaptation of agricultural practices to rainfall variability.</w:t>
      </w:r>
    </w:p>
    <w:p w14:paraId="5244FB8D">
      <w:pPr>
        <w:spacing w:after="0" w:line="360" w:lineRule="auto"/>
        <w:jc w:val="both"/>
        <w:rPr>
          <w:rFonts w:ascii="Arial" w:hAnsi="Arial" w:cs="Arial"/>
          <w:b/>
          <w:bCs/>
          <w:i/>
          <w:iCs/>
          <w:sz w:val="20"/>
          <w:szCs w:val="20"/>
        </w:rPr>
      </w:pPr>
      <w:r>
        <w:rPr>
          <w:rFonts w:ascii="Arial" w:hAnsi="Arial" w:cs="Arial"/>
          <w:b/>
          <w:bCs/>
          <w:i/>
          <w:iCs/>
          <w:sz w:val="20"/>
          <w:szCs w:val="20"/>
        </w:rPr>
        <w:t>1.2.2 Mann-Kendall test for identifying trends</w:t>
      </w:r>
    </w:p>
    <w:p w14:paraId="7648AB4E">
      <w:pPr>
        <w:spacing w:after="0" w:line="360" w:lineRule="auto"/>
        <w:jc w:val="both"/>
        <w:rPr>
          <w:rFonts w:ascii="Arial" w:hAnsi="Arial" w:cs="Arial"/>
          <w:sz w:val="20"/>
          <w:szCs w:val="20"/>
        </w:rPr>
      </w:pPr>
      <w:r>
        <w:rPr>
          <w:rFonts w:ascii="Arial" w:hAnsi="Arial" w:cs="Arial"/>
          <w:sz w:val="20"/>
          <w:szCs w:val="20"/>
        </w:rPr>
        <w:t>The Mann-Kendall test is a nonparametric method used to detect monotonic trends in hydroclimatic time series. It is insensitive to extreme values and does not assume any particular data distribution.</w:t>
      </w:r>
    </w:p>
    <w:p w14:paraId="40E069F8">
      <w:pPr>
        <w:spacing w:after="0" w:line="360" w:lineRule="auto"/>
        <w:jc w:val="both"/>
        <w:rPr>
          <w:rFonts w:ascii="Arial" w:hAnsi="Arial" w:cs="Arial"/>
          <w:b/>
          <w:bCs/>
          <w:sz w:val="20"/>
          <w:szCs w:val="20"/>
        </w:rPr>
      </w:pPr>
      <w:r>
        <w:rPr>
          <w:rFonts w:ascii="Arial" w:hAnsi="Arial" w:cs="Arial"/>
          <w:b/>
          <w:bCs/>
          <w:sz w:val="20"/>
          <w:szCs w:val="20"/>
        </w:rPr>
        <w:t>Figure 2 illustrates the temporal evolution of the average rainfall in Loumbila, accompanied by the slope of sen.</w:t>
      </w:r>
      <w:r>
        <w:commentReference w:id="16"/>
      </w:r>
    </w:p>
    <w:p w14:paraId="7C4E1573">
      <w:pPr>
        <w:spacing w:after="0" w:line="360" w:lineRule="auto"/>
        <w:jc w:val="both"/>
        <w:rPr>
          <w:rFonts w:ascii="Arial" w:hAnsi="Arial" w:cs="Arial"/>
          <w:b/>
          <w:bCs/>
        </w:rPr>
      </w:pPr>
      <w:r>
        <w:rPr>
          <w:rFonts w:ascii="Arial" w:hAnsi="Arial" w:eastAsia="Calibri" w:cs="Arial"/>
          <w:b/>
          <w:bCs/>
          <w:lang w:eastAsia="fr-FR"/>
        </w:rPr>
        <w:drawing>
          <wp:anchor distT="0" distB="0" distL="114300" distR="114300" simplePos="0" relativeHeight="251666432" behindDoc="1" locked="0" layoutInCell="1" allowOverlap="1">
            <wp:simplePos x="0" y="0"/>
            <wp:positionH relativeFrom="column">
              <wp:posOffset>729615</wp:posOffset>
            </wp:positionH>
            <wp:positionV relativeFrom="paragraph">
              <wp:posOffset>66040</wp:posOffset>
            </wp:positionV>
            <wp:extent cx="3561715" cy="2146300"/>
            <wp:effectExtent l="0" t="0" r="635" b="6350"/>
            <wp:wrapTight wrapText="bothSides">
              <wp:wrapPolygon>
                <wp:start x="0" y="0"/>
                <wp:lineTo x="0" y="21472"/>
                <wp:lineTo x="21488" y="21472"/>
                <wp:lineTo x="21488" y="0"/>
                <wp:lineTo x="0" y="0"/>
              </wp:wrapPolygon>
            </wp:wrapTight>
            <wp:docPr id="99609166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5A99CC1F">
      <w:pPr>
        <w:spacing w:after="0" w:line="360" w:lineRule="auto"/>
        <w:jc w:val="both"/>
        <w:rPr>
          <w:rFonts w:ascii="Arial" w:hAnsi="Arial" w:cs="Arial"/>
          <w:b/>
          <w:bCs/>
        </w:rPr>
      </w:pPr>
    </w:p>
    <w:p w14:paraId="5938981A">
      <w:pPr>
        <w:spacing w:after="0" w:line="360" w:lineRule="auto"/>
        <w:jc w:val="both"/>
        <w:rPr>
          <w:rFonts w:ascii="Arial" w:hAnsi="Arial" w:cs="Arial"/>
          <w:b/>
          <w:bCs/>
        </w:rPr>
      </w:pPr>
    </w:p>
    <w:p w14:paraId="6B300B4A">
      <w:pPr>
        <w:spacing w:after="0" w:line="360" w:lineRule="auto"/>
        <w:jc w:val="both"/>
        <w:rPr>
          <w:rFonts w:ascii="Arial" w:hAnsi="Arial" w:cs="Arial"/>
          <w:b/>
          <w:bCs/>
        </w:rPr>
      </w:pPr>
    </w:p>
    <w:p w14:paraId="2D2DFAAA">
      <w:pPr>
        <w:spacing w:after="0" w:line="360" w:lineRule="auto"/>
        <w:jc w:val="both"/>
        <w:rPr>
          <w:rFonts w:ascii="Arial" w:hAnsi="Arial" w:cs="Arial"/>
          <w:b/>
          <w:bCs/>
        </w:rPr>
      </w:pPr>
    </w:p>
    <w:p w14:paraId="57F60B12">
      <w:pPr>
        <w:spacing w:after="0" w:line="360" w:lineRule="auto"/>
        <w:jc w:val="both"/>
        <w:rPr>
          <w:rFonts w:ascii="Arial" w:hAnsi="Arial" w:cs="Arial"/>
          <w:b/>
          <w:bCs/>
        </w:rPr>
      </w:pPr>
    </w:p>
    <w:p w14:paraId="15139E0A">
      <w:pPr>
        <w:spacing w:after="0" w:line="360" w:lineRule="auto"/>
        <w:jc w:val="both"/>
        <w:rPr>
          <w:rFonts w:ascii="Arial" w:hAnsi="Arial" w:cs="Arial"/>
          <w:b/>
          <w:bCs/>
        </w:rPr>
      </w:pPr>
    </w:p>
    <w:p w14:paraId="2CA299B6">
      <w:pPr>
        <w:spacing w:after="0" w:line="360" w:lineRule="auto"/>
        <w:jc w:val="both"/>
        <w:rPr>
          <w:rFonts w:ascii="Arial" w:hAnsi="Arial" w:cs="Arial"/>
          <w:b/>
          <w:bCs/>
        </w:rPr>
      </w:pPr>
    </w:p>
    <w:p w14:paraId="596E9AD8">
      <w:pPr>
        <w:spacing w:after="0" w:line="360" w:lineRule="auto"/>
        <w:jc w:val="both"/>
        <w:rPr>
          <w:rFonts w:ascii="Arial" w:hAnsi="Arial" w:cs="Arial"/>
          <w:b/>
          <w:bCs/>
        </w:rPr>
      </w:pPr>
    </w:p>
    <w:p w14:paraId="694E76DA">
      <w:pPr>
        <w:spacing w:after="0" w:line="360" w:lineRule="auto"/>
        <w:jc w:val="both"/>
        <w:rPr>
          <w:rFonts w:ascii="Arial" w:hAnsi="Arial" w:cs="Arial"/>
          <w:b/>
          <w:bCs/>
          <w:sz w:val="20"/>
          <w:szCs w:val="20"/>
        </w:rPr>
      </w:pPr>
      <w:r>
        <w:rPr>
          <w:rFonts w:ascii="Arial" w:hAnsi="Arial" w:cs="Arial"/>
          <w:b/>
          <w:bCs/>
          <w:sz w:val="20"/>
          <w:szCs w:val="20"/>
        </w:rPr>
        <w:t>Figure 2 : Identification of significant trends</w:t>
      </w:r>
    </w:p>
    <w:p w14:paraId="6A881922">
      <w:pPr>
        <w:spacing w:after="0" w:line="360" w:lineRule="auto"/>
        <w:jc w:val="both"/>
        <w:rPr>
          <w:rFonts w:ascii="Arial" w:hAnsi="Arial" w:cs="Arial"/>
          <w:b/>
          <w:bCs/>
          <w:sz w:val="20"/>
          <w:szCs w:val="20"/>
        </w:rPr>
      </w:pPr>
      <w:r>
        <w:rPr>
          <w:rFonts w:ascii="Arial" w:hAnsi="Arial" w:cs="Arial"/>
          <w:b/>
          <w:bCs/>
          <w:sz w:val="20"/>
          <w:szCs w:val="20"/>
        </w:rPr>
        <w:t>Source : ANAM data (1992–2022)</w:t>
      </w:r>
    </w:p>
    <w:p w14:paraId="19B56FF2">
      <w:pPr>
        <w:spacing w:after="0" w:line="360" w:lineRule="auto"/>
        <w:jc w:val="both"/>
        <w:rPr>
          <w:rFonts w:ascii="Arial" w:hAnsi="Arial" w:cs="Arial"/>
          <w:sz w:val="20"/>
          <w:szCs w:val="20"/>
        </w:rPr>
      </w:pPr>
      <w:r>
        <w:rPr>
          <w:rFonts w:ascii="Arial" w:hAnsi="Arial" w:cs="Arial"/>
          <w:sz w:val="20"/>
          <w:szCs w:val="20"/>
        </w:rPr>
        <w:t>The evolution of rainfall over thirty years in Loumbila highlights the complexity of Sahelian market gardening, where rainfall variability forces producers to develop a strong capacity for adaptation (Bationo, L. B., 2013, p. 12). The Mann-Kendall test, presented by Benjamin L. et al. (2013, p. 18), makes it possible to detect rainfall trends without being influenced by annual fluctuations.</w:t>
      </w:r>
    </w:p>
    <w:p w14:paraId="60946822">
      <w:pPr>
        <w:spacing w:after="0" w:line="360" w:lineRule="auto"/>
        <w:jc w:val="both"/>
        <w:rPr>
          <w:rFonts w:ascii="Arial" w:hAnsi="Arial" w:cs="Arial"/>
          <w:sz w:val="20"/>
          <w:szCs w:val="20"/>
        </w:rPr>
      </w:pPr>
      <w:r>
        <w:rPr>
          <w:rFonts w:ascii="Arial" w:hAnsi="Arial" w:cs="Arial"/>
          <w:sz w:val="20"/>
          <w:szCs w:val="20"/>
        </w:rPr>
        <w:t>The results indicate apparent stability in precipitation, but years of deficit or surplus reflect persistent irregularity in the rainfall regime. This variability makes agricultural planning difficult and increases dependence on seasonal rainfall. Graphical analyses show a fragile balance, often disrupted by periods of delayed or poorly distributed rainfall, perceived as “phantom” years with low yields (Drias, 2020, p. 14).</w:t>
      </w:r>
    </w:p>
    <w:p w14:paraId="386BDCA9">
      <w:pPr>
        <w:spacing w:after="0" w:line="360" w:lineRule="auto"/>
        <w:jc w:val="both"/>
        <w:rPr>
          <w:rFonts w:ascii="Arial" w:hAnsi="Arial" w:cs="Arial"/>
          <w:sz w:val="20"/>
          <w:szCs w:val="20"/>
        </w:rPr>
      </w:pPr>
      <w:r>
        <w:rPr>
          <w:rFonts w:ascii="Arial" w:hAnsi="Arial" w:cs="Arial"/>
          <w:sz w:val="20"/>
          <w:szCs w:val="20"/>
        </w:rPr>
        <w:t xml:space="preserve">Market gardeners are developing local adaptation strategies, such as </w:t>
      </w:r>
      <w:r>
        <w:commentReference w:id="17"/>
      </w:r>
    </w:p>
    <w:p w14:paraId="494143D4">
      <w:pPr>
        <w:spacing w:after="0" w:line="360" w:lineRule="auto"/>
        <w:jc w:val="both"/>
        <w:rPr>
          <w:rFonts w:ascii="Arial" w:hAnsi="Arial" w:cs="Arial"/>
          <w:sz w:val="20"/>
          <w:szCs w:val="20"/>
        </w:rPr>
      </w:pPr>
      <w:r>
        <w:rPr>
          <w:rFonts w:ascii="Arial" w:hAnsi="Arial" w:cs="Arial"/>
          <w:sz w:val="20"/>
          <w:szCs w:val="20"/>
        </w:rPr>
        <w:t>adjusting sowing schedules (Sebego, R. 2016, p. 41). However, the reduction in rainfall regularity limits their room for maneuver, increasing production costs and economic risks (FAO, 2022, p. 45; Climate Action Network, 2017, p. 22).</w:t>
      </w:r>
    </w:p>
    <w:p w14:paraId="05B253F1">
      <w:pPr>
        <w:spacing w:after="0" w:line="360" w:lineRule="auto"/>
        <w:jc w:val="both"/>
        <w:rPr>
          <w:rFonts w:ascii="Arial" w:hAnsi="Arial" w:cs="Arial"/>
          <w:sz w:val="20"/>
          <w:szCs w:val="20"/>
        </w:rPr>
      </w:pPr>
      <w:r>
        <w:rPr>
          <w:rFonts w:ascii="Arial" w:hAnsi="Arial" w:cs="Arial"/>
          <w:sz w:val="20"/>
          <w:szCs w:val="20"/>
        </w:rPr>
        <w:t>Anticipating changes in rainfall patterns is therefore becoming a major challenge for agricultural resilience (Fluet, M.-J., 2006, p. 89). Finally, Bognini, S. (2023, p. 28) points out that the sustainability of market gardening now depends on the collective ability to adapt to increasing rainfall variability.</w:t>
      </w:r>
    </w:p>
    <w:p w14:paraId="09A85360">
      <w:pPr>
        <w:spacing w:after="0" w:line="360" w:lineRule="auto"/>
        <w:jc w:val="both"/>
        <w:rPr>
          <w:rFonts w:ascii="Arial" w:hAnsi="Arial" w:cs="Arial"/>
          <w:b/>
          <w:bCs/>
          <w:sz w:val="20"/>
          <w:szCs w:val="20"/>
        </w:rPr>
      </w:pPr>
      <w:r>
        <w:rPr>
          <w:rFonts w:ascii="Arial" w:hAnsi="Arial" w:cs="Arial"/>
          <w:b/>
          <w:bCs/>
          <w:sz w:val="20"/>
          <w:szCs w:val="20"/>
        </w:rPr>
        <w:t>1.2.3    Time series break analysis</w:t>
      </w:r>
    </w:p>
    <w:p w14:paraId="2F9AC8DD">
      <w:pPr>
        <w:spacing w:after="0" w:line="360" w:lineRule="auto"/>
        <w:jc w:val="both"/>
        <w:rPr>
          <w:rFonts w:ascii="Arial" w:hAnsi="Arial" w:cs="Arial"/>
          <w:sz w:val="20"/>
          <w:szCs w:val="20"/>
        </w:rPr>
      </w:pPr>
      <w:r>
        <w:rPr>
          <w:rFonts w:ascii="Arial" w:hAnsi="Arial" w:cs="Arial"/>
          <w:sz w:val="20"/>
          <w:szCs w:val="20"/>
        </w:rPr>
        <w:t>This analysis is based on a time series of average precipitation subjected to several nonparametric tests. The Pettitt test, with a p-value &lt; 0.001, identifies a significant break in the precipitation average. This break is confirmed by the Von Neumann and Mann-Kendall tests, highlighting a marked change in temporal dynamics. These reliable results call for an in-depth study of the potential causes and consequences.</w:t>
      </w:r>
    </w:p>
    <w:p w14:paraId="548C880A">
      <w:pPr>
        <w:spacing w:after="0" w:line="360" w:lineRule="auto"/>
        <w:rPr>
          <w:rFonts w:ascii="Arial" w:hAnsi="Arial" w:cs="Arial"/>
          <w:b/>
          <w:bCs/>
        </w:rPr>
      </w:pPr>
      <w:r>
        <w:rPr>
          <w:rFonts w:ascii="Arial" w:hAnsi="Arial" w:cs="Arial"/>
          <w:b/>
          <w:bCs/>
          <w:lang w:eastAsia="fr-FR"/>
        </w:rPr>
        <w:drawing>
          <wp:anchor distT="0" distB="0" distL="114300" distR="114300" simplePos="0" relativeHeight="251664384" behindDoc="1" locked="0" layoutInCell="1" allowOverlap="1">
            <wp:simplePos x="0" y="0"/>
            <wp:positionH relativeFrom="margin">
              <wp:align>center</wp:align>
            </wp:positionH>
            <wp:positionV relativeFrom="paragraph">
              <wp:posOffset>288290</wp:posOffset>
            </wp:positionV>
            <wp:extent cx="5283835" cy="3101975"/>
            <wp:effectExtent l="0" t="0" r="12065" b="3175"/>
            <wp:wrapTight wrapText="bothSides">
              <wp:wrapPolygon>
                <wp:start x="0" y="0"/>
                <wp:lineTo x="0" y="21489"/>
                <wp:lineTo x="21571" y="21489"/>
                <wp:lineTo x="21571" y="0"/>
                <wp:lineTo x="0" y="0"/>
              </wp:wrapPolygon>
            </wp:wrapTight>
            <wp:docPr id="68931258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ascii="Arial" w:hAnsi="Arial" w:cs="Arial"/>
          <w:b/>
          <w:bCs/>
          <w:sz w:val="20"/>
          <w:szCs w:val="20"/>
        </w:rPr>
        <w:t>Figure 3 shows the breaks in the time series.</w:t>
      </w:r>
      <w:r>
        <w:commentReference w:id="18"/>
      </w:r>
    </w:p>
    <w:p w14:paraId="500AC8AA">
      <w:pPr>
        <w:spacing w:line="360" w:lineRule="auto"/>
        <w:jc w:val="both"/>
        <w:rPr>
          <w:rFonts w:ascii="Arial" w:hAnsi="Arial" w:cs="Arial"/>
          <w:b/>
          <w:bCs/>
          <w:sz w:val="20"/>
          <w:szCs w:val="20"/>
        </w:rPr>
      </w:pPr>
      <w:r>
        <w:rPr>
          <w:rFonts w:ascii="Arial" w:hAnsi="Arial" w:cs="Arial"/>
          <w:b/>
          <w:bCs/>
          <w:sz w:val="20"/>
          <w:szCs w:val="20"/>
        </w:rPr>
        <w:t>Figure 3: Break in the time series</w:t>
      </w:r>
    </w:p>
    <w:p w14:paraId="1E59DC0D">
      <w:pPr>
        <w:spacing w:line="360" w:lineRule="auto"/>
        <w:jc w:val="both"/>
        <w:rPr>
          <w:rFonts w:ascii="Arial" w:hAnsi="Arial" w:cs="Arial"/>
          <w:b/>
          <w:bCs/>
          <w:sz w:val="20"/>
          <w:szCs w:val="20"/>
        </w:rPr>
      </w:pPr>
      <w:r>
        <w:rPr>
          <w:rFonts w:ascii="Arial" w:hAnsi="Arial" w:cs="Arial"/>
          <w:b/>
          <w:bCs/>
          <w:sz w:val="20"/>
          <w:szCs w:val="20"/>
        </w:rPr>
        <w:t>Source : processing of ANAM data (1992–2022)</w:t>
      </w:r>
    </w:p>
    <w:p w14:paraId="2EF60657">
      <w:pPr>
        <w:spacing w:line="360" w:lineRule="auto"/>
        <w:jc w:val="both"/>
        <w:rPr>
          <w:rFonts w:ascii="Arial" w:hAnsi="Arial" w:cs="Arial"/>
          <w:sz w:val="20"/>
          <w:szCs w:val="20"/>
        </w:rPr>
      </w:pPr>
      <w:r>
        <w:rPr>
          <w:rFonts w:ascii="Arial" w:hAnsi="Arial" w:cs="Arial"/>
          <w:sz w:val="20"/>
          <w:szCs w:val="20"/>
        </w:rPr>
        <w:t>Statistical analysis in Loumbila reveals a major break in rainfall around 2016, with a significant increase in average volume (Kiki, G. R., 2019, p. 65). This change is part of a similar regional trend observed in Niger, marked by a shorter rainy season and increased variability (National Adaptation Plan, Niger, 2022, p. 99). This instability complicates agricultural planning, particularly access to water and crop rotation (Siégnounou, B., 2023, p. 28). To address these challenges, market gardeners are adapting their practices, diversifying crops, and optimizing irrigation (Kempay O. F. et al., 2024, p. 89). The Saclay plateau illustrates the increase in climate-related irrigation needs, highlighting the importance of agroecological techniques (Nguyen Vien, S., 2023, p. 36). The link between climate and market strongly influences crop choices and economic strategies (Lothoré, A., Delmas, P., 2009, p. 29). In Burkina Faso, water management remains a major challenge, with increasing use of innovations such as crop association to improve efficiency (IRD Éditions, 2008, p. 229; Perrin, B., Lefevre, A., 2019, pp. 59, 68). Mastering local knowledge of rainfall is essential for the sustainability of market gardening systems (UNDP, 2014, p. 19). These factors confirm the need for an integrated and collective approach to agriculture that is resilient to climate change.</w:t>
      </w:r>
    </w:p>
    <w:p w14:paraId="798A7FB3">
      <w:pPr>
        <w:spacing w:after="0" w:line="360" w:lineRule="auto"/>
        <w:jc w:val="both"/>
        <w:rPr>
          <w:rFonts w:ascii="Arial" w:hAnsi="Arial" w:cs="Arial"/>
          <w:b/>
          <w:bCs/>
        </w:rPr>
      </w:pPr>
      <w:r>
        <w:rPr>
          <w:rFonts w:ascii="Arial" w:hAnsi="Arial" w:cs="Arial"/>
          <w:b/>
          <w:bCs/>
        </w:rPr>
        <w:t>2. RESULTS AND DISCUSSION</w:t>
      </w:r>
    </w:p>
    <w:p w14:paraId="5151F70E">
      <w:pPr>
        <w:spacing w:after="0" w:line="360" w:lineRule="auto"/>
        <w:jc w:val="both"/>
        <w:rPr>
          <w:rFonts w:ascii="Arial" w:hAnsi="Arial" w:cs="Arial"/>
          <w:b/>
          <w:bCs/>
        </w:rPr>
      </w:pPr>
      <w:r>
        <w:rPr>
          <w:rFonts w:ascii="Arial" w:hAnsi="Arial" w:cs="Arial"/>
          <w:b/>
          <w:bCs/>
        </w:rPr>
        <w:t>2.1 Results</w:t>
      </w:r>
    </w:p>
    <w:p w14:paraId="2C9A68C4">
      <w:pPr>
        <w:spacing w:after="0" w:line="360" w:lineRule="auto"/>
        <w:jc w:val="both"/>
        <w:rPr>
          <w:rFonts w:ascii="Arial" w:hAnsi="Arial" w:cs="Arial"/>
          <w:b/>
          <w:bCs/>
        </w:rPr>
      </w:pPr>
      <w:r>
        <w:rPr>
          <w:rFonts w:ascii="Arial" w:hAnsi="Arial" w:cs="Arial"/>
          <w:b/>
          <w:bCs/>
        </w:rPr>
        <w:t>2.1.1 Rainfall variability</w:t>
      </w:r>
    </w:p>
    <w:p w14:paraId="77AFF47E">
      <w:pPr>
        <w:spacing w:after="0" w:line="360" w:lineRule="auto"/>
        <w:jc w:val="both"/>
        <w:rPr>
          <w:rFonts w:ascii="Arial" w:hAnsi="Arial" w:cs="Arial"/>
          <w:sz w:val="20"/>
          <w:szCs w:val="20"/>
        </w:rPr>
      </w:pPr>
      <w:commentRangeStart w:id="19"/>
      <w:r>
        <w:rPr>
          <w:rFonts w:ascii="Arial" w:hAnsi="Arial" w:cs="Arial"/>
          <w:sz w:val="20"/>
          <w:szCs w:val="20"/>
        </w:rPr>
        <w:t>October to April, the dry season sets in, with very little rain and often high temperatures, causing water stress for vegetation</w:t>
      </w:r>
      <w:commentRangeEnd w:id="19"/>
      <w:r>
        <w:commentReference w:id="19"/>
      </w:r>
      <w:r>
        <w:rPr>
          <w:rFonts w:ascii="Arial" w:hAnsi="Arial" w:cs="Arial"/>
          <w:sz w:val="20"/>
          <w:szCs w:val="20"/>
        </w:rPr>
        <w:t>. This seasonal alternation structures local rural and agricultural activity, imposing periods of abundance and water scarcity.</w:t>
      </w:r>
      <w:r>
        <w:commentReference w:id="20"/>
      </w:r>
      <w:r>
        <w:rPr>
          <w:rFonts w:ascii="Arial" w:hAnsi="Arial" w:cs="Arial"/>
          <w:sz w:val="20"/>
          <w:szCs w:val="20"/>
        </w:rPr>
        <w:t xml:space="preserve"> Between 1992 and 2022, annual withdrawal volumes fluctuated significantly, ranging from 587.8 mm in 1997, a year of severe</w:t>
      </w:r>
      <w:r>
        <w:rPr>
          <w:rFonts w:ascii="Arial" w:hAnsi="Arial" w:cs="Arial"/>
          <w:b/>
          <w:bCs/>
          <w:sz w:val="20"/>
          <w:szCs w:val="20"/>
        </w:rPr>
        <w:t xml:space="preserve"> </w:t>
      </w:r>
      <w:r>
        <w:rPr>
          <w:rFonts w:ascii="Arial" w:hAnsi="Arial" w:cs="Arial"/>
          <w:sz w:val="20"/>
          <w:szCs w:val="20"/>
        </w:rPr>
        <w:t>drought, to 1,010.3 mm in 2021, an exceptionally wet year. This variability is illustrated in Figure 4, which highlights the overall trend in withdrawals over the last three decades.</w:t>
      </w:r>
      <w:r>
        <w:commentReference w:id="21"/>
      </w:r>
    </w:p>
    <w:p w14:paraId="65C9AF91">
      <w:pPr>
        <w:spacing w:after="0" w:line="360" w:lineRule="auto"/>
        <w:jc w:val="both"/>
        <w:rPr>
          <w:rFonts w:ascii="Arial" w:hAnsi="Arial" w:cs="Arial"/>
          <w:b/>
          <w:bCs/>
          <w:sz w:val="20"/>
          <w:szCs w:val="20"/>
        </w:rPr>
      </w:pPr>
      <w:r>
        <w:rPr>
          <w:rFonts w:ascii="Arial" w:hAnsi="Arial" w:cs="Arial"/>
          <w:sz w:val="20"/>
          <w:szCs w:val="20"/>
        </w:rPr>
        <w:t>Figure 4 shows the annual evolution of withdrawals at Loumbila from 1992 to 2022, as well as the linear regression line highlighting the overall trend in cumulative rainfall over this period</w:t>
      </w:r>
      <w:r>
        <w:rPr>
          <w:rFonts w:ascii="Arial" w:hAnsi="Arial" w:cs="Arial"/>
          <w:b/>
          <w:bCs/>
          <w:sz w:val="20"/>
          <w:szCs w:val="20"/>
        </w:rPr>
        <w:t>.</w:t>
      </w:r>
      <w:r>
        <w:commentReference w:id="22"/>
      </w:r>
      <w:r>
        <w:rPr>
          <w:rFonts w:ascii="Arial" w:hAnsi="Arial" w:eastAsia="Calibri" w:cs="Arial"/>
          <w:b/>
          <w:bCs/>
          <w:sz w:val="20"/>
          <w:szCs w:val="20"/>
          <w:lang w:eastAsia="fr-FR"/>
        </w:rPr>
        <w:drawing>
          <wp:anchor distT="0" distB="0" distL="114300" distR="114300" simplePos="0" relativeHeight="251659264" behindDoc="1" locked="0" layoutInCell="1" allowOverlap="1">
            <wp:simplePos x="0" y="0"/>
            <wp:positionH relativeFrom="margin">
              <wp:posOffset>182245</wp:posOffset>
            </wp:positionH>
            <wp:positionV relativeFrom="paragraph">
              <wp:posOffset>720090</wp:posOffset>
            </wp:positionV>
            <wp:extent cx="5293995" cy="2514600"/>
            <wp:effectExtent l="0" t="0" r="1905" b="0"/>
            <wp:wrapTight wrapText="bothSides">
              <wp:wrapPolygon>
                <wp:start x="0" y="0"/>
                <wp:lineTo x="0" y="21436"/>
                <wp:lineTo x="21530" y="21436"/>
                <wp:lineTo x="21530" y="0"/>
                <wp:lineTo x="0" y="0"/>
              </wp:wrapPolygon>
            </wp:wrapTight>
            <wp:docPr id="148832891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591B5F60">
      <w:pPr>
        <w:spacing w:after="0" w:line="360" w:lineRule="auto"/>
        <w:jc w:val="both"/>
        <w:rPr>
          <w:rFonts w:ascii="Arial" w:hAnsi="Arial" w:cs="Arial"/>
          <w:b/>
          <w:bCs/>
          <w:sz w:val="20"/>
          <w:szCs w:val="20"/>
        </w:rPr>
      </w:pPr>
      <w:r>
        <w:rPr>
          <w:rFonts w:ascii="Arial" w:hAnsi="Arial" w:cs="Arial"/>
          <w:b/>
          <w:bCs/>
          <w:sz w:val="20"/>
          <w:szCs w:val="20"/>
        </w:rPr>
        <w:t xml:space="preserve">Figure 4: Precipitation trends </w:t>
      </w:r>
      <w:r>
        <w:commentReference w:id="23"/>
      </w:r>
    </w:p>
    <w:p w14:paraId="0A26CF3A">
      <w:pPr>
        <w:spacing w:after="0" w:line="360" w:lineRule="auto"/>
        <w:jc w:val="both"/>
        <w:rPr>
          <w:rFonts w:ascii="Arial" w:hAnsi="Arial" w:cs="Arial"/>
          <w:b/>
          <w:bCs/>
          <w:sz w:val="20"/>
          <w:szCs w:val="20"/>
        </w:rPr>
      </w:pPr>
      <w:r>
        <w:rPr>
          <w:rFonts w:ascii="Arial" w:hAnsi="Arial" w:cs="Arial"/>
          <w:b/>
          <w:bCs/>
          <w:sz w:val="20"/>
          <w:szCs w:val="20"/>
        </w:rPr>
        <w:t>Source: ANAM data processing (2022)</w:t>
      </w:r>
    </w:p>
    <w:p w14:paraId="0DE8A663">
      <w:pPr>
        <w:spacing w:after="0" w:line="360" w:lineRule="auto"/>
        <w:jc w:val="both"/>
        <w:rPr>
          <w:rFonts w:ascii="Arial" w:hAnsi="Arial" w:cs="Arial"/>
          <w:b/>
          <w:bCs/>
          <w:sz w:val="20"/>
          <w:szCs w:val="20"/>
        </w:rPr>
      </w:pPr>
      <w:r>
        <w:rPr>
          <w:rFonts w:ascii="Arial" w:hAnsi="Arial" w:cs="Arial"/>
          <w:b/>
          <w:bCs/>
          <w:sz w:val="20"/>
          <w:szCs w:val="20"/>
        </w:rPr>
        <w:t>2.1.2 Standardized Precipitation Index (SPI)</w:t>
      </w:r>
    </w:p>
    <w:p w14:paraId="3143CDED">
      <w:pPr>
        <w:spacing w:after="0" w:line="360" w:lineRule="auto"/>
        <w:jc w:val="both"/>
        <w:rPr>
          <w:rFonts w:ascii="Arial" w:hAnsi="Arial" w:cs="Arial"/>
          <w:b/>
          <w:bCs/>
          <w:sz w:val="20"/>
          <w:szCs w:val="20"/>
        </w:rPr>
      </w:pPr>
    </w:p>
    <w:p w14:paraId="578A6A10">
      <w:pPr>
        <w:spacing w:after="0" w:line="360" w:lineRule="auto"/>
        <w:jc w:val="both"/>
        <w:rPr>
          <w:rFonts w:ascii="Arial" w:hAnsi="Arial" w:cs="Arial"/>
          <w:sz w:val="20"/>
          <w:szCs w:val="20"/>
          <w:lang w:eastAsia="fr-FR"/>
        </w:rPr>
      </w:pPr>
      <w:r>
        <w:rPr>
          <w:rFonts w:ascii="Arial" w:hAnsi="Arial" w:eastAsia="Times New Roman" w:cs="Arial"/>
          <w:b/>
          <w:bCs/>
          <w:kern w:val="0"/>
          <w14:ligatures w14:val="none"/>
        </w:rPr>
        <w:t xml:space="preserve"> </w:t>
      </w:r>
      <w:r>
        <w:rPr>
          <w:rFonts w:ascii="Arial" w:hAnsi="Arial" w:cs="Arial"/>
          <w:sz w:val="20"/>
          <w:szCs w:val="20"/>
          <w:lang w:eastAsia="fr-FR"/>
        </w:rPr>
        <w:t xml:space="preserve">In Loumbila, the SPI trend over three decades reflects a marked alternation between wet and dry years. During this period, there were 15 years with wet conditions (including </w:t>
      </w:r>
      <w:commentRangeStart w:id="24"/>
      <w:r>
        <w:rPr>
          <w:rFonts w:ascii="Arial" w:hAnsi="Arial" w:cs="Arial"/>
          <w:sz w:val="20"/>
          <w:szCs w:val="20"/>
          <w:lang w:eastAsia="fr-FR"/>
        </w:rPr>
        <w:t>6 with high humidity and 9 with moderate humidity)</w:t>
      </w:r>
      <w:commentRangeEnd w:id="24"/>
      <w:r>
        <w:commentReference w:id="24"/>
      </w:r>
      <w:r>
        <w:rPr>
          <w:rFonts w:ascii="Arial" w:hAnsi="Arial" w:cs="Arial"/>
          <w:sz w:val="20"/>
          <w:szCs w:val="20"/>
          <w:lang w:eastAsia="fr-FR"/>
        </w:rPr>
        <w:t>, while the other 15 years were dominated by drought, divided into moderate, severe, or extreme episodes. This high level of water instability makes agriculture vulnerable to fluctuations in rainfall, as shown in Figure 5, which illustrates the oscillations of the SPI over the period 1992-2022.</w:t>
      </w:r>
    </w:p>
    <w:p w14:paraId="6EDBB387">
      <w:pPr>
        <w:spacing w:after="0" w:line="360" w:lineRule="auto"/>
        <w:jc w:val="both"/>
        <w:rPr>
          <w:rFonts w:ascii="Arial" w:hAnsi="Arial" w:cs="Arial"/>
          <w:b/>
          <w:bCs/>
          <w:sz w:val="20"/>
          <w:szCs w:val="20"/>
        </w:rPr>
      </w:pPr>
      <w:r>
        <w:rPr>
          <w:rFonts w:ascii="Arial" w:hAnsi="Arial" w:cs="Arial"/>
          <w:b/>
          <w:bCs/>
          <w:sz w:val="20"/>
          <w:szCs w:val="20"/>
          <w:lang w:eastAsia="fr-FR"/>
        </w:rPr>
        <w:drawing>
          <wp:inline distT="0" distB="0" distL="0" distR="0">
            <wp:extent cx="5673725" cy="2701290"/>
            <wp:effectExtent l="0" t="0" r="3175" b="3810"/>
            <wp:docPr id="102863086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6526149">
      <w:pPr>
        <w:pStyle w:val="13"/>
        <w:keepNext/>
        <w:rPr>
          <w:rFonts w:ascii="Arial" w:hAnsi="Arial" w:cs="Arial"/>
          <w:b/>
          <w:bCs/>
          <w:i w:val="0"/>
          <w:color w:val="auto"/>
          <w:kern w:val="2"/>
          <w:sz w:val="20"/>
          <w:szCs w:val="20"/>
          <w14:ligatures w14:val="standardContextual"/>
        </w:rPr>
      </w:pPr>
      <w:r>
        <w:rPr>
          <w:rFonts w:ascii="Arial" w:hAnsi="Arial" w:cs="Arial"/>
          <w:b/>
          <w:bCs/>
          <w:i w:val="0"/>
          <w:color w:val="auto"/>
          <w:kern w:val="2"/>
          <w:sz w:val="20"/>
          <w:szCs w:val="20"/>
          <w14:ligatures w14:val="standardContextual"/>
        </w:rPr>
        <w:t>Graph 2: Standardized Precipitation Index (SPI)</w:t>
      </w:r>
      <w:r>
        <w:commentReference w:id="25"/>
      </w:r>
    </w:p>
    <w:p w14:paraId="444CFBA1">
      <w:pPr>
        <w:pStyle w:val="13"/>
        <w:keepNext/>
        <w:rPr>
          <w:rFonts w:ascii="Arial" w:hAnsi="Arial" w:cs="Arial"/>
          <w:b/>
          <w:bCs/>
          <w:i w:val="0"/>
          <w:color w:val="auto"/>
          <w:kern w:val="2"/>
          <w:sz w:val="20"/>
          <w:szCs w:val="20"/>
          <w14:ligatures w14:val="standardContextual"/>
        </w:rPr>
      </w:pPr>
      <w:r>
        <w:rPr>
          <w:rFonts w:ascii="Arial" w:hAnsi="Arial" w:cs="Arial"/>
          <w:b/>
          <w:bCs/>
          <w:i w:val="0"/>
          <w:color w:val="auto"/>
          <w:kern w:val="2"/>
          <w:sz w:val="20"/>
          <w:szCs w:val="20"/>
          <w14:ligatures w14:val="standardContextual"/>
        </w:rPr>
        <w:t>Source: ANAM (2022)</w:t>
      </w:r>
    </w:p>
    <w:p w14:paraId="5246CC6E">
      <w:pPr>
        <w:pStyle w:val="13"/>
        <w:keepNext/>
        <w:rPr>
          <w:rFonts w:ascii="Arial" w:hAnsi="Arial" w:cs="Arial"/>
          <w:b/>
          <w:bCs/>
          <w:i w:val="0"/>
          <w:iCs w:val="0"/>
          <w:color w:val="auto"/>
          <w:sz w:val="20"/>
          <w:szCs w:val="20"/>
        </w:rPr>
      </w:pPr>
      <w:r>
        <w:rPr>
          <w:rFonts w:ascii="Arial" w:hAnsi="Arial" w:cs="Arial"/>
          <w:b/>
          <w:bCs/>
          <w:i w:val="0"/>
          <w:color w:val="auto"/>
          <w:kern w:val="2"/>
          <w:sz w:val="20"/>
          <w:szCs w:val="20"/>
          <w14:ligatures w14:val="standardContextual"/>
        </w:rPr>
        <w:t>Table 1: SPI categorization from 1992 to 2022</w:t>
      </w:r>
    </w:p>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218"/>
        <w:gridCol w:w="1219"/>
        <w:gridCol w:w="1220"/>
        <w:gridCol w:w="1329"/>
        <w:gridCol w:w="1329"/>
        <w:gridCol w:w="1817"/>
      </w:tblGrid>
      <w:tr w14:paraId="3D0F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14:paraId="011D7088">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SPI</w:t>
            </w:r>
          </w:p>
        </w:tc>
        <w:tc>
          <w:tcPr>
            <w:tcW w:w="1231" w:type="dxa"/>
          </w:tcPr>
          <w:p w14:paraId="6172B957">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&gt;2</w:t>
            </w:r>
          </w:p>
        </w:tc>
        <w:tc>
          <w:tcPr>
            <w:tcW w:w="1231" w:type="dxa"/>
          </w:tcPr>
          <w:p w14:paraId="093D37B2">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1&lt;SPI&lt;2</w:t>
            </w:r>
          </w:p>
        </w:tc>
        <w:tc>
          <w:tcPr>
            <w:tcW w:w="1232" w:type="dxa"/>
          </w:tcPr>
          <w:p w14:paraId="0C8E54A0">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0&lt;SPI&lt;1</w:t>
            </w:r>
          </w:p>
        </w:tc>
        <w:tc>
          <w:tcPr>
            <w:tcW w:w="1286" w:type="dxa"/>
          </w:tcPr>
          <w:p w14:paraId="4B513100">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-1&lt;SPI&lt;0</w:t>
            </w:r>
          </w:p>
        </w:tc>
        <w:tc>
          <w:tcPr>
            <w:tcW w:w="1286" w:type="dxa"/>
          </w:tcPr>
          <w:p w14:paraId="04D1B3A8">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-2&lt; SPI&lt;-1</w:t>
            </w:r>
          </w:p>
        </w:tc>
        <w:tc>
          <w:tcPr>
            <w:tcW w:w="1858" w:type="dxa"/>
          </w:tcPr>
          <w:p w14:paraId="7BE5E1A9">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SPI&lt;-2</w:t>
            </w:r>
          </w:p>
        </w:tc>
      </w:tr>
      <w:tr w14:paraId="47F9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14:paraId="03CC087A">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Nombre d’année</w:t>
            </w:r>
          </w:p>
        </w:tc>
        <w:tc>
          <w:tcPr>
            <w:tcW w:w="1231" w:type="dxa"/>
          </w:tcPr>
          <w:p w14:paraId="456DE153">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0</w:t>
            </w:r>
          </w:p>
        </w:tc>
        <w:tc>
          <w:tcPr>
            <w:tcW w:w="1231" w:type="dxa"/>
          </w:tcPr>
          <w:p w14:paraId="2369FF0D">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6</w:t>
            </w:r>
          </w:p>
        </w:tc>
        <w:tc>
          <w:tcPr>
            <w:tcW w:w="1232" w:type="dxa"/>
          </w:tcPr>
          <w:p w14:paraId="346A5DA8">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9</w:t>
            </w:r>
          </w:p>
        </w:tc>
        <w:tc>
          <w:tcPr>
            <w:tcW w:w="1286" w:type="dxa"/>
          </w:tcPr>
          <w:p w14:paraId="6F97B7E4">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6</w:t>
            </w:r>
          </w:p>
        </w:tc>
        <w:tc>
          <w:tcPr>
            <w:tcW w:w="1286" w:type="dxa"/>
          </w:tcPr>
          <w:p w14:paraId="2A769912">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5</w:t>
            </w:r>
          </w:p>
        </w:tc>
        <w:tc>
          <w:tcPr>
            <w:tcW w:w="1858" w:type="dxa"/>
          </w:tcPr>
          <w:p w14:paraId="22DB091A">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4</w:t>
            </w:r>
          </w:p>
        </w:tc>
      </w:tr>
      <w:tr w14:paraId="7DAB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14:paraId="36C75A76">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Signification</w:t>
            </w:r>
          </w:p>
        </w:tc>
        <w:tc>
          <w:tcPr>
            <w:tcW w:w="1231" w:type="dxa"/>
          </w:tcPr>
          <w:p w14:paraId="18E628CD">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Humidité extrême</w:t>
            </w:r>
          </w:p>
        </w:tc>
        <w:tc>
          <w:tcPr>
            <w:tcW w:w="1231" w:type="dxa"/>
          </w:tcPr>
          <w:p w14:paraId="50B80255">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Humidité forte</w:t>
            </w:r>
          </w:p>
        </w:tc>
        <w:tc>
          <w:tcPr>
            <w:tcW w:w="1232" w:type="dxa"/>
          </w:tcPr>
          <w:p w14:paraId="3E3E6A1E">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Humidité modérée</w:t>
            </w:r>
          </w:p>
        </w:tc>
        <w:tc>
          <w:tcPr>
            <w:tcW w:w="1286" w:type="dxa"/>
          </w:tcPr>
          <w:p w14:paraId="7B79E8AC">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Sécheresse modérée</w:t>
            </w:r>
          </w:p>
        </w:tc>
        <w:tc>
          <w:tcPr>
            <w:tcW w:w="1286" w:type="dxa"/>
          </w:tcPr>
          <w:p w14:paraId="0EDFFE48">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Sécheresse forte</w:t>
            </w:r>
          </w:p>
        </w:tc>
        <w:tc>
          <w:tcPr>
            <w:tcW w:w="1858" w:type="dxa"/>
          </w:tcPr>
          <w:p w14:paraId="422AC3EF">
            <w:pPr>
              <w:spacing w:after="0" w:line="240" w:lineRule="auto"/>
              <w:jc w:val="both"/>
              <w:rPr>
                <w:rFonts w:ascii="Arial" w:hAnsi="Arial" w:cs="Arial"/>
                <w:b/>
                <w:bCs/>
                <w:kern w:val="0"/>
                <w:sz w:val="20"/>
                <w:szCs w:val="20"/>
                <w14:ligatures w14:val="none"/>
              </w:rPr>
            </w:pPr>
            <w:r>
              <w:rPr>
                <w:rFonts w:ascii="Arial" w:hAnsi="Arial" w:cs="Arial"/>
                <w:b/>
                <w:bCs/>
                <w:kern w:val="0"/>
                <w:sz w:val="20"/>
                <w:szCs w:val="20"/>
                <w14:ligatures w14:val="none"/>
              </w:rPr>
              <w:t>Sécheresse extrême</w:t>
            </w:r>
          </w:p>
        </w:tc>
      </w:tr>
    </w:tbl>
    <w:p w14:paraId="34CE68A2">
      <w:pPr>
        <w:jc w:val="both"/>
        <w:rPr>
          <w:rFonts w:ascii="Arial" w:hAnsi="Arial" w:cs="Arial"/>
          <w:b/>
          <w:bCs/>
          <w:sz w:val="20"/>
          <w:szCs w:val="20"/>
        </w:rPr>
      </w:pPr>
      <w:r>
        <w:rPr>
          <w:rFonts w:ascii="Arial" w:hAnsi="Arial" w:cs="Arial"/>
          <w:b/>
          <w:bCs/>
          <w:sz w:val="20"/>
          <w:szCs w:val="20"/>
        </w:rPr>
        <w:t>Source : ANAM (2023)</w:t>
      </w:r>
    </w:p>
    <w:p w14:paraId="6D90DEA6">
      <w:pPr>
        <w:pStyle w:val="35"/>
        <w:numPr>
          <w:ilvl w:val="1"/>
          <w:numId w:val="5"/>
        </w:numPr>
        <w:tabs>
          <w:tab w:val="left" w:pos="3770"/>
        </w:tabs>
        <w:rPr>
          <w:rFonts w:ascii="Arial" w:hAnsi="Arial" w:cs="Arial"/>
          <w:b/>
          <w:bCs/>
          <w:sz w:val="22"/>
          <w:szCs w:val="22"/>
        </w:rPr>
      </w:pPr>
      <w:r>
        <w:rPr>
          <w:rFonts w:ascii="Arial" w:hAnsi="Arial" w:cs="Arial"/>
          <w:b/>
          <w:bCs/>
          <w:sz w:val="22"/>
          <w:szCs w:val="22"/>
        </w:rPr>
        <w:t xml:space="preserve">Discussion </w:t>
      </w:r>
      <w:r>
        <w:commentReference w:id="26"/>
      </w:r>
      <w:r>
        <w:commentReference w:id="27"/>
      </w:r>
      <w:r>
        <w:commentReference w:id="28"/>
      </w:r>
    </w:p>
    <w:p w14:paraId="27B4140F">
      <w:pPr>
        <w:tabs>
          <w:tab w:val="left" w:pos="3770"/>
        </w:tabs>
        <w:spacing w:after="0" w:line="360" w:lineRule="auto"/>
        <w:rPr>
          <w:rFonts w:ascii="Arial" w:hAnsi="Arial" w:cs="Arial"/>
          <w:sz w:val="20"/>
          <w:szCs w:val="20"/>
        </w:rPr>
      </w:pPr>
      <w:r>
        <w:rPr>
          <w:rFonts w:ascii="Arial" w:hAnsi="Arial" w:cs="Arial"/>
          <w:sz w:val="20"/>
          <w:szCs w:val="20"/>
        </w:rPr>
        <w:t xml:space="preserve">Rainfall variability in the municipality of Loumbila reveals </w:t>
      </w:r>
      <w:commentRangeStart w:id="29"/>
      <w:r>
        <w:rPr>
          <w:rFonts w:ascii="Arial" w:hAnsi="Arial" w:cs="Arial"/>
          <w:sz w:val="20"/>
          <w:szCs w:val="20"/>
        </w:rPr>
        <w:t>complex realities</w:t>
      </w:r>
      <w:commentRangeEnd w:id="29"/>
      <w:r>
        <w:commentReference w:id="29"/>
      </w:r>
      <w:r>
        <w:rPr>
          <w:rFonts w:ascii="Arial" w:hAnsi="Arial" w:cs="Arial"/>
          <w:sz w:val="20"/>
          <w:szCs w:val="20"/>
        </w:rPr>
        <w:t xml:space="preserve"> that directly influence agricultural practices and local food security. Locate</w:t>
      </w:r>
      <w:bookmarkStart w:id="4" w:name="_GoBack"/>
      <w:bookmarkEnd w:id="4"/>
      <w:r>
        <w:rPr>
          <w:rFonts w:ascii="Arial" w:hAnsi="Arial" w:cs="Arial"/>
          <w:sz w:val="20"/>
          <w:szCs w:val="20"/>
        </w:rPr>
        <w:t>d in the Central Plateau of Burkina Faso, this area is subject to an intertropical monsoon regime marked by pronounced rainfall irregularity (Kaboré, 2025, p. 3; Mairi, 2019, p. 7; Topeur, 2023, p. 45).</w:t>
      </w:r>
    </w:p>
    <w:p w14:paraId="7F42737F">
      <w:pPr>
        <w:tabs>
          <w:tab w:val="left" w:pos="3770"/>
        </w:tabs>
        <w:spacing w:after="0" w:line="360" w:lineRule="auto"/>
        <w:rPr>
          <w:rFonts w:ascii="Arial" w:hAnsi="Arial" w:cs="Arial"/>
          <w:sz w:val="20"/>
          <w:szCs w:val="20"/>
        </w:rPr>
      </w:pPr>
      <w:r>
        <w:rPr>
          <w:rFonts w:ascii="Arial" w:hAnsi="Arial" w:cs="Arial"/>
          <w:sz w:val="20"/>
          <w:szCs w:val="20"/>
        </w:rPr>
        <w:t>Interannual rainfall fluctuations are random in nature, as already observed in the Burkinabe Sahel (Le Barbé &amp; Tapsoba, 1994, p. 10). Three major climatic phases can be distinguished: a moderate drought between 1991 and 2006, alternating wet and dry periods between 2007 and 2015, and a recent wet phase from 2016 to 2020, confirming the high instability of the rainfall regime (Sultan &amp; Janicot, 2004, p. 321).</w:t>
      </w:r>
    </w:p>
    <w:p w14:paraId="2C27B560">
      <w:pPr>
        <w:tabs>
          <w:tab w:val="left" w:pos="3770"/>
        </w:tabs>
        <w:spacing w:after="0" w:line="360" w:lineRule="auto"/>
        <w:rPr>
          <w:rFonts w:ascii="Arial" w:hAnsi="Arial" w:cs="Arial"/>
          <w:sz w:val="20"/>
          <w:szCs w:val="20"/>
        </w:rPr>
      </w:pPr>
      <w:r>
        <w:rPr>
          <w:rFonts w:ascii="Arial" w:hAnsi="Arial" w:cs="Arial"/>
          <w:sz w:val="20"/>
          <w:szCs w:val="20"/>
        </w:rPr>
        <w:t>This variability in rainfall directly affects vegetable production, particularly during periods of water shortage, when yield declines compromise regional food security (Sultan et al., 2005, p. 331). In response to these fluctuations, water management and diversification of practices appear to be essential levers for strengthening agricultural resilience in Loumbila (Eugène, Albert, &amp; Issiaka, 2005, p. 31).</w:t>
      </w:r>
    </w:p>
    <w:p w14:paraId="6FB0C2C1">
      <w:pPr>
        <w:tabs>
          <w:tab w:val="left" w:pos="3770"/>
        </w:tabs>
        <w:spacing w:after="0" w:line="360" w:lineRule="auto"/>
        <w:rPr>
          <w:rFonts w:ascii="Arial" w:hAnsi="Arial" w:cs="Arial"/>
          <w:b/>
          <w:bCs/>
        </w:rPr>
      </w:pPr>
      <w:r>
        <w:rPr>
          <w:rFonts w:ascii="Arial" w:hAnsi="Arial" w:cs="Arial"/>
          <w:b/>
          <w:bCs/>
        </w:rPr>
        <w:t>CONCLUSION</w:t>
      </w:r>
    </w:p>
    <w:p w14:paraId="1DD89067">
      <w:pPr>
        <w:tabs>
          <w:tab w:val="left" w:pos="3770"/>
        </w:tabs>
        <w:spacing w:after="0" w:line="360" w:lineRule="auto"/>
        <w:rPr>
          <w:rFonts w:ascii="Arial" w:hAnsi="Arial" w:cs="Arial"/>
          <w:sz w:val="20"/>
          <w:szCs w:val="20"/>
        </w:rPr>
      </w:pPr>
      <w:r>
        <w:rPr>
          <w:rFonts w:ascii="Arial" w:hAnsi="Arial" w:cs="Arial"/>
          <w:sz w:val="20"/>
          <w:szCs w:val="20"/>
        </w:rPr>
        <w:t xml:space="preserve">The study revealed that the municipality of Loumbila, like other Sahelian areas, faces high rainfall variability. Analysis of rainfall data over a thirty-year period highlights large interannual fluctuations, reflecting alternating dry and wet periods. </w:t>
      </w:r>
      <w:commentRangeStart w:id="30"/>
      <w:r>
        <w:rPr>
          <w:rFonts w:ascii="Arial" w:hAnsi="Arial" w:cs="Arial"/>
          <w:sz w:val="20"/>
          <w:szCs w:val="20"/>
        </w:rPr>
        <w:t>This irregularity</w:t>
      </w:r>
      <w:commentRangeEnd w:id="30"/>
      <w:r>
        <w:commentReference w:id="30"/>
      </w:r>
      <w:r>
        <w:rPr>
          <w:rFonts w:ascii="Arial" w:hAnsi="Arial" w:cs="Arial"/>
          <w:sz w:val="20"/>
          <w:szCs w:val="20"/>
        </w:rPr>
        <w:t xml:space="preserve"> in rainfall patterns illustrates a persistent water imbalance and unstable climatic conditions, typical of areas with irregular rainfall.</w:t>
      </w:r>
    </w:p>
    <w:p w14:paraId="18288208">
      <w:pPr>
        <w:tabs>
          <w:tab w:val="left" w:pos="3770"/>
        </w:tabs>
        <w:spacing w:after="0" w:line="360" w:lineRule="auto"/>
        <w:rPr>
          <w:rFonts w:ascii="Arial" w:hAnsi="Arial" w:cs="Arial"/>
          <w:sz w:val="20"/>
          <w:szCs w:val="20"/>
        </w:rPr>
      </w:pPr>
      <w:r>
        <w:rPr>
          <w:rFonts w:ascii="Arial" w:hAnsi="Arial" w:cs="Arial"/>
          <w:sz w:val="20"/>
          <w:szCs w:val="20"/>
        </w:rPr>
        <w:t>The Standardized Precipitation Index (SPI) confirms this trend, highlighting an increased frequency of dry years and the occurrence of moderate to extreme drought events. These rainfall variations directly affect rain-fed vegetable crops, undermining agricultural yields and increasing the vulnerability of rural households.</w:t>
      </w:r>
    </w:p>
    <w:p w14:paraId="651132BD">
      <w:pPr>
        <w:tabs>
          <w:tab w:val="left" w:pos="3770"/>
        </w:tabs>
        <w:spacing w:after="0" w:line="360" w:lineRule="auto"/>
        <w:rPr>
          <w:rFonts w:ascii="Arial" w:hAnsi="Arial" w:cs="Arial"/>
          <w:sz w:val="20"/>
          <w:szCs w:val="20"/>
        </w:rPr>
      </w:pPr>
      <w:r>
        <w:rPr>
          <w:rFonts w:ascii="Arial" w:hAnsi="Arial" w:cs="Arial"/>
          <w:sz w:val="20"/>
          <w:szCs w:val="20"/>
        </w:rPr>
        <w:t>In response to this situation, strengthening local resilience requires adaptation strategies focused on rainwater management, diversification of farming techniques, and promotion of sustainable agricultural practices. These measures are essential to limit the effects of rainfall variability and ensure the sustainability of agricultural production in Loumbila.</w:t>
      </w:r>
    </w:p>
    <w:p w14:paraId="21DEFD7D">
      <w:pPr>
        <w:tabs>
          <w:tab w:val="left" w:pos="3770"/>
        </w:tabs>
        <w:spacing w:after="0" w:line="360" w:lineRule="auto"/>
        <w:rPr>
          <w:rFonts w:ascii="Arial" w:hAnsi="Arial" w:cs="Arial"/>
          <w:b/>
          <w:bCs/>
        </w:rPr>
      </w:pPr>
    </w:p>
    <w:p w14:paraId="30DC9319">
      <w:pPr>
        <w:tabs>
          <w:tab w:val="left" w:pos="3770"/>
        </w:tabs>
        <w:spacing w:after="0" w:line="360" w:lineRule="auto"/>
        <w:rPr>
          <w:rFonts w:ascii="Arial" w:hAnsi="Arial" w:cs="Arial"/>
          <w:b/>
          <w:bCs/>
        </w:rPr>
      </w:pPr>
    </w:p>
    <w:p w14:paraId="4636782B">
      <w:pPr>
        <w:tabs>
          <w:tab w:val="left" w:pos="3770"/>
        </w:tabs>
        <w:spacing w:after="0" w:line="360" w:lineRule="auto"/>
        <w:rPr>
          <w:rFonts w:ascii="Arial" w:hAnsi="Arial" w:cs="Arial"/>
          <w:b/>
          <w:bCs/>
        </w:rPr>
      </w:pPr>
    </w:p>
    <w:p w14:paraId="2FAA2001">
      <w:pPr>
        <w:tabs>
          <w:tab w:val="left" w:pos="3770"/>
        </w:tabs>
        <w:spacing w:after="0" w:line="360" w:lineRule="auto"/>
        <w:rPr>
          <w:rFonts w:ascii="Arial" w:hAnsi="Arial" w:cs="Arial"/>
          <w:b/>
          <w:bCs/>
        </w:rPr>
      </w:pPr>
    </w:p>
    <w:p w14:paraId="3FC4E1CF">
      <w:pPr>
        <w:tabs>
          <w:tab w:val="left" w:pos="3770"/>
        </w:tabs>
        <w:spacing w:after="0" w:line="360" w:lineRule="auto"/>
        <w:rPr>
          <w:rFonts w:ascii="Arial" w:hAnsi="Arial" w:cs="Arial"/>
          <w:b/>
          <w:bCs/>
        </w:rPr>
      </w:pPr>
    </w:p>
    <w:p w14:paraId="1E4DE5E4">
      <w:pPr>
        <w:spacing w:after="0" w:line="360" w:lineRule="auto"/>
        <w:rPr>
          <w:rFonts w:ascii="Arial" w:hAnsi="Arial" w:cs="Arial"/>
          <w:b/>
          <w:bCs/>
        </w:rPr>
      </w:pPr>
      <w:r>
        <w:rPr>
          <w:rFonts w:ascii="Arial" w:hAnsi="Arial" w:cs="Arial"/>
          <w:b/>
          <w:bCs/>
        </w:rPr>
        <w:t>REFERENCES</w:t>
      </w:r>
    </w:p>
    <w:p w14:paraId="13ECDFB7">
      <w:pPr>
        <w:spacing w:after="0" w:line="360" w:lineRule="auto"/>
        <w:rPr>
          <w:rFonts w:ascii="Arial" w:hAnsi="Arial" w:cs="Arial"/>
          <w:sz w:val="20"/>
          <w:szCs w:val="20"/>
        </w:rPr>
      </w:pPr>
      <w:r>
        <w:rPr>
          <w:rFonts w:ascii="Arial" w:hAnsi="Arial" w:cs="Arial"/>
          <w:sz w:val="20"/>
          <w:szCs w:val="20"/>
        </w:rPr>
        <w:t>Ater, M. and Hmimsa, Y. (2008). Traditional agriculture and agrodiversity in the Oued Laou watershed. From the watershed to .9p.</w:t>
      </w:r>
    </w:p>
    <w:p w14:paraId="4A10D231">
      <w:pPr>
        <w:spacing w:after="0" w:line="360" w:lineRule="auto"/>
        <w:rPr>
          <w:rFonts w:ascii="Arial" w:hAnsi="Arial" w:cs="Arial"/>
          <w:sz w:val="20"/>
          <w:szCs w:val="20"/>
        </w:rPr>
      </w:pPr>
      <w:r>
        <w:rPr>
          <w:rFonts w:ascii="Arial" w:hAnsi="Arial" w:cs="Arial"/>
          <w:sz w:val="20"/>
          <w:szCs w:val="20"/>
        </w:rPr>
        <w:t xml:space="preserve">Bambara, D., Sawadogo, J., Kaboré, O., &amp; Bilgo, A. (2019). Variabilité de certains paramètres climatiques et impacts sur la durée des périodes humides de développement végétal dans une station au centre et une autre au nord du Burkina Faso. VertigO - la revue électronique en sciences de l'environnement, 19(1). </w:t>
      </w:r>
      <w:r>
        <w:fldChar w:fldCharType="begin"/>
      </w:r>
      <w:r>
        <w:instrText xml:space="preserve"> HYPERLINK "https://doi.org/10.4000/vertigo.24384" </w:instrText>
      </w:r>
      <w:r>
        <w:fldChar w:fldCharType="separate"/>
      </w:r>
      <w:r>
        <w:rPr>
          <w:rStyle w:val="17"/>
          <w:rFonts w:ascii="Arial" w:hAnsi="Arial" w:cs="Arial"/>
          <w:sz w:val="20"/>
          <w:szCs w:val="20"/>
        </w:rPr>
        <w:t>https://doi.org/10.4000/vertigo.24384</w:t>
      </w:r>
      <w:r>
        <w:rPr>
          <w:rStyle w:val="17"/>
          <w:rFonts w:ascii="Arial" w:hAnsi="Arial" w:cs="Arial"/>
          <w:sz w:val="20"/>
          <w:szCs w:val="20"/>
        </w:rPr>
        <w:fldChar w:fldCharType="end"/>
      </w:r>
    </w:p>
    <w:p w14:paraId="177F6A5D">
      <w:pPr>
        <w:spacing w:after="0" w:line="360" w:lineRule="auto"/>
        <w:rPr>
          <w:rFonts w:ascii="Arial" w:hAnsi="Arial" w:cs="Arial"/>
          <w:sz w:val="20"/>
          <w:szCs w:val="20"/>
        </w:rPr>
      </w:pPr>
      <w:r>
        <w:rPr>
          <w:rFonts w:ascii="Arial" w:hAnsi="Arial" w:cs="Arial"/>
          <w:sz w:val="20"/>
          <w:szCs w:val="20"/>
        </w:rPr>
        <w:t xml:space="preserve">Bognini, S. (2011). Impacts des changements climatiques sur les cultures maraîchères au nord du Burkina Faso: Cas de Ouahigouya. Réseau National des Agrosylvopasteurs du Faso (RENAF). </w:t>
      </w:r>
      <w:r>
        <w:fldChar w:fldCharType="begin"/>
      </w:r>
      <w:r>
        <w:instrText xml:space="preserve"> HYPERLINK "https://weadapt.org/wp-content/uploads/2023/05/4f736de8d6aecbognini-draft-final-cc-projectplace-132140-.pdf" </w:instrText>
      </w:r>
      <w:r>
        <w:fldChar w:fldCharType="separate"/>
      </w:r>
      <w:r>
        <w:rPr>
          <w:rStyle w:val="17"/>
          <w:rFonts w:ascii="Arial" w:hAnsi="Arial" w:cs="Arial"/>
          <w:sz w:val="20"/>
          <w:szCs w:val="20"/>
        </w:rPr>
        <w:t>https://weadapt.org/wp-content/uploads/2023/05/4f736de8d6aecbognini-draft-final-cc-projectplace-132140-.pdf</w:t>
      </w:r>
      <w:r>
        <w:rPr>
          <w:rStyle w:val="17"/>
          <w:rFonts w:ascii="Arial" w:hAnsi="Arial" w:cs="Arial"/>
          <w:sz w:val="20"/>
          <w:szCs w:val="20"/>
        </w:rPr>
        <w:fldChar w:fldCharType="end"/>
      </w:r>
    </w:p>
    <w:p w14:paraId="1D01BDCA">
      <w:pPr>
        <w:spacing w:after="0"/>
        <w:rPr>
          <w:rFonts w:ascii="Arial" w:hAnsi="Arial" w:cs="Arial"/>
          <w:sz w:val="20"/>
          <w:szCs w:val="20"/>
        </w:rPr>
      </w:pPr>
      <w:r>
        <w:rPr>
          <w:rFonts w:ascii="Arial" w:hAnsi="Arial" w:cs="Arial"/>
          <w:sz w:val="20"/>
          <w:szCs w:val="20"/>
        </w:rPr>
        <w:t xml:space="preserve">Dao, M. C. E., &amp; Pare, E. (2021). Farmers' Perceptions of the Effect of Climate Change on Shea Tree and Adaptation Strategies in Burkina Faso. Sciences Naturelles Et Appliquées, 34(37), 81-92. </w:t>
      </w:r>
      <w:r>
        <w:fldChar w:fldCharType="begin"/>
      </w:r>
      <w:r>
        <w:instrText xml:space="preserve"> HYPERLINK "https://revuesciences-techniquesburkina.org/index.php/sciences_naturelles_et_appliquee/article/view/854" </w:instrText>
      </w:r>
      <w:r>
        <w:fldChar w:fldCharType="separate"/>
      </w:r>
      <w:r>
        <w:rPr>
          <w:rStyle w:val="17"/>
          <w:rFonts w:ascii="Arial" w:hAnsi="Arial" w:cs="Arial"/>
          <w:sz w:val="20"/>
          <w:szCs w:val="20"/>
        </w:rPr>
        <w:t>https://revuesciences-techniquesburkina.org/index.php/sciences_naturelles_et_appliquee/article/view/854</w:t>
      </w:r>
      <w:r>
        <w:rPr>
          <w:rStyle w:val="17"/>
          <w:rFonts w:ascii="Arial" w:hAnsi="Arial" w:cs="Arial"/>
          <w:sz w:val="20"/>
          <w:szCs w:val="20"/>
        </w:rPr>
        <w:fldChar w:fldCharType="end"/>
      </w:r>
    </w:p>
    <w:p w14:paraId="153D4E8F">
      <w:pPr>
        <w:spacing w:after="0"/>
        <w:rPr>
          <w:rFonts w:ascii="Arial" w:hAnsi="Arial" w:cs="Arial"/>
          <w:sz w:val="20"/>
          <w:szCs w:val="20"/>
        </w:rPr>
      </w:pPr>
      <w:r>
        <w:rPr>
          <w:rFonts w:ascii="Arial" w:hAnsi="Arial" w:cs="Arial"/>
          <w:sz w:val="20"/>
          <w:szCs w:val="20"/>
        </w:rPr>
        <w:t>Descroix, L., Niang, A. D., Panthou, G., Bodian, A., Sane, Y., Dacosta, H., ... &amp; Quantin, G. (2015). Recent changes in rainfall in West Africa across two regions: Senegambia and the Middle Niger Basin. Climatology, 12, 25-43.</w:t>
      </w:r>
    </w:p>
    <w:p w14:paraId="63A77C8F">
      <w:pPr>
        <w:spacing w:after="0"/>
        <w:rPr>
          <w:rFonts w:ascii="Arial" w:hAnsi="Arial" w:cs="Arial"/>
          <w:sz w:val="20"/>
          <w:szCs w:val="20"/>
        </w:rPr>
      </w:pPr>
      <w:r>
        <w:rPr>
          <w:rFonts w:ascii="Arial" w:hAnsi="Arial" w:eastAsia="Calibri" w:cs="Arial"/>
          <w:sz w:val="20"/>
          <w:szCs w:val="20"/>
        </w:rPr>
        <w:t xml:space="preserve">DRIAS., (2020). The new DRIAS 2020 reference climate projections for mainland France. Ministry for Ecological and Solidarity Transition. </w:t>
      </w:r>
      <w:r>
        <w:fldChar w:fldCharType="begin"/>
      </w:r>
      <w:r>
        <w:instrText xml:space="preserve"> HYPERLINK "https://www.drias-climat.fr/document/rapport-DRIAS-2020-red3-2.pdf" \t "_blank" </w:instrText>
      </w:r>
      <w:r>
        <w:fldChar w:fldCharType="separate"/>
      </w:r>
      <w:r>
        <w:rPr>
          <w:rFonts w:ascii="Arial" w:hAnsi="Arial" w:eastAsia="Calibri" w:cs="Arial"/>
          <w:sz w:val="20"/>
          <w:szCs w:val="20"/>
          <w:u w:val="single"/>
        </w:rPr>
        <w:t>https://www.drias-climat.fr/document/rapport-DRIAS-2020-red3-2.pdf</w:t>
      </w:r>
      <w:r>
        <w:rPr>
          <w:rFonts w:ascii="Arial" w:hAnsi="Arial" w:eastAsia="Calibri" w:cs="Arial"/>
          <w:sz w:val="20"/>
          <w:szCs w:val="20"/>
          <w:u w:val="single"/>
        </w:rPr>
        <w:fldChar w:fldCharType="end"/>
      </w:r>
    </w:p>
    <w:p w14:paraId="42879846">
      <w:pPr>
        <w:spacing w:after="0" w:line="360" w:lineRule="auto"/>
        <w:rPr>
          <w:rFonts w:ascii="Arial" w:hAnsi="Arial" w:cs="Arial"/>
          <w:sz w:val="20"/>
          <w:szCs w:val="20"/>
        </w:rPr>
      </w:pPr>
      <w:r>
        <w:rPr>
          <w:rFonts w:ascii="Arial" w:hAnsi="Arial" w:cs="Arial"/>
          <w:sz w:val="20"/>
          <w:szCs w:val="20"/>
        </w:rPr>
        <w:t>Eugène, K. K., Albert, G. B. T., &amp; Issiaka, S. (2005). Impacts of climate variability on surface water resources in humid tropical areas: The case of the Comoé transboundary watershed (Côte d’Ivoire-Burkina Faso). Editorial Advisory Board e, 16(1), 31-43. 173p.</w:t>
      </w:r>
    </w:p>
    <w:p w14:paraId="37949D00">
      <w:pPr>
        <w:spacing w:after="0" w:line="360" w:lineRule="auto"/>
        <w:rPr>
          <w:rFonts w:ascii="Arial" w:hAnsi="Arial" w:cs="Arial"/>
          <w:sz w:val="20"/>
          <w:szCs w:val="20"/>
        </w:rPr>
      </w:pPr>
      <w:r>
        <w:rPr>
          <w:rFonts w:ascii="Arial" w:hAnsi="Arial" w:cs="Arial"/>
          <w:sz w:val="20"/>
          <w:szCs w:val="20"/>
        </w:rPr>
        <w:t>FAO. (2022). FAO Climate Change Strategy 2022–2031. Food and Agriculture Organization of the United Nations.</w:t>
      </w:r>
    </w:p>
    <w:p w14:paraId="47F02A77">
      <w:pPr>
        <w:spacing w:after="0" w:line="360" w:lineRule="auto"/>
        <w:rPr>
          <w:rFonts w:ascii="Arial" w:hAnsi="Arial" w:cs="Arial"/>
          <w:sz w:val="20"/>
          <w:szCs w:val="20"/>
        </w:rPr>
      </w:pPr>
      <w:r>
        <w:rPr>
          <w:rFonts w:ascii="Arial" w:hAnsi="Arial" w:cs="Arial"/>
          <w:sz w:val="20"/>
          <w:szCs w:val="20"/>
        </w:rPr>
        <w:t>Fluet, Marie-Joëlle., (2006). Impacts of climate change on farmers in the province of Zondoma in Burkina Faso: adaptation, knowledge, and vulnerability (Master's thesis). University of Quebec in Montreal. </w:t>
      </w:r>
      <w:r>
        <w:fldChar w:fldCharType="begin"/>
      </w:r>
      <w:r>
        <w:instrText xml:space="preserve"> HYPERLINK "https://archipel.uqam.ca/3513/1/M9543.pdf" \t "_blank" </w:instrText>
      </w:r>
      <w:r>
        <w:fldChar w:fldCharType="separate"/>
      </w:r>
      <w:r>
        <w:rPr>
          <w:rStyle w:val="17"/>
          <w:rFonts w:ascii="Arial" w:hAnsi="Arial" w:cs="Arial"/>
          <w:color w:val="auto"/>
          <w:sz w:val="20"/>
          <w:szCs w:val="20"/>
        </w:rPr>
        <w:t>https://archipel.uqam.ca/3513/1/M9543.pdf</w:t>
      </w:r>
      <w:r>
        <w:rPr>
          <w:rStyle w:val="17"/>
          <w:rFonts w:ascii="Arial" w:hAnsi="Arial" w:cs="Arial"/>
          <w:color w:val="auto"/>
          <w:sz w:val="20"/>
          <w:szCs w:val="20"/>
        </w:rPr>
        <w:fldChar w:fldCharType="end"/>
      </w:r>
    </w:p>
    <w:p w14:paraId="639A03A6">
      <w:pPr>
        <w:spacing w:after="0" w:line="360" w:lineRule="auto"/>
        <w:rPr>
          <w:rFonts w:ascii="Arial" w:hAnsi="Arial" w:cs="Arial"/>
          <w:sz w:val="20"/>
          <w:szCs w:val="20"/>
        </w:rPr>
      </w:pPr>
      <w:r>
        <w:rPr>
          <w:rFonts w:ascii="Arial" w:hAnsi="Arial" w:cs="Arial"/>
          <w:sz w:val="20"/>
          <w:szCs w:val="20"/>
        </w:rPr>
        <w:t> </w:t>
      </w:r>
      <w:r>
        <w:fldChar w:fldCharType="begin"/>
      </w:r>
      <w:r>
        <w:instrText xml:space="preserve"> HYPERLINK "https://openknowledge.fao.org/server/api/core/bitstreams/bfbf662f-f500-436c-862d-36318194a981/content" \t "_blank" </w:instrText>
      </w:r>
      <w:r>
        <w:fldChar w:fldCharType="separate"/>
      </w:r>
      <w:r>
        <w:rPr>
          <w:rStyle w:val="17"/>
          <w:rFonts w:ascii="Arial" w:hAnsi="Arial" w:cs="Arial"/>
          <w:color w:val="auto"/>
          <w:sz w:val="20"/>
          <w:szCs w:val="20"/>
        </w:rPr>
        <w:t>https://openknowledge.fao.org/server/api/core/bitstreams/bfbf662f-f500-436c-862d-36318194a981/content</w:t>
      </w:r>
      <w:r>
        <w:rPr>
          <w:rStyle w:val="17"/>
          <w:rFonts w:ascii="Arial" w:hAnsi="Arial" w:cs="Arial"/>
          <w:color w:val="auto"/>
          <w:sz w:val="20"/>
          <w:szCs w:val="20"/>
        </w:rPr>
        <w:fldChar w:fldCharType="end"/>
      </w:r>
    </w:p>
    <w:p w14:paraId="268AF124">
      <w:pPr>
        <w:spacing w:after="0" w:line="360" w:lineRule="auto"/>
        <w:rPr>
          <w:rFonts w:ascii="Arial" w:hAnsi="Arial" w:cs="Arial"/>
          <w:sz w:val="20"/>
          <w:szCs w:val="20"/>
        </w:rPr>
      </w:pPr>
      <w:r>
        <w:rPr>
          <w:rFonts w:ascii="Arial" w:hAnsi="Arial" w:cs="Arial"/>
          <w:sz w:val="20"/>
          <w:szCs w:val="20"/>
        </w:rPr>
        <w:t xml:space="preserve">IRD Éditions (2008). Chapter 9: Irrigation and its ancillary functions. In: Irrigated agriculture in the West African Sahel: diversity of practices and performance. IRD Éditions: </w:t>
      </w:r>
      <w:r>
        <w:fldChar w:fldCharType="begin"/>
      </w:r>
      <w:r>
        <w:instrText xml:space="preserve"> HYPERLINK "https://books.openedition.org/irdeditions/2869?lang=fr" \t "_blank" </w:instrText>
      </w:r>
      <w:r>
        <w:fldChar w:fldCharType="separate"/>
      </w:r>
      <w:r>
        <w:rPr>
          <w:rStyle w:val="17"/>
          <w:rFonts w:ascii="Arial" w:hAnsi="Arial" w:cs="Arial"/>
          <w:color w:val="auto"/>
          <w:sz w:val="20"/>
          <w:szCs w:val="20"/>
        </w:rPr>
        <w:t>https://books.openedition.org/irdeditions/2869?lang=fr</w:t>
      </w:r>
      <w:r>
        <w:rPr>
          <w:rStyle w:val="17"/>
          <w:rFonts w:ascii="Arial" w:hAnsi="Arial" w:cs="Arial"/>
          <w:color w:val="auto"/>
          <w:sz w:val="20"/>
          <w:szCs w:val="20"/>
        </w:rPr>
        <w:fldChar w:fldCharType="end"/>
      </w:r>
    </w:p>
    <w:p w14:paraId="07D7ED96">
      <w:pPr>
        <w:spacing w:after="0" w:line="360" w:lineRule="auto"/>
        <w:rPr>
          <w:rFonts w:ascii="Arial" w:hAnsi="Arial" w:cs="Arial"/>
          <w:sz w:val="20"/>
          <w:szCs w:val="20"/>
        </w:rPr>
      </w:pPr>
      <w:r>
        <w:rPr>
          <w:rFonts w:ascii="Arial" w:hAnsi="Arial" w:cs="Arial"/>
          <w:sz w:val="20"/>
          <w:szCs w:val="20"/>
        </w:rPr>
        <w:t>KABORÉ, A. (2025). Climate Change in Sub-Saharan Africa: Challenges, Multiple Impacts, and Prospects for Sustainable Adaptation. Journal of Scientific Research (Revue-RS), 1(1), 01-08. 8p.</w:t>
      </w:r>
    </w:p>
    <w:p w14:paraId="379C0217">
      <w:pPr>
        <w:spacing w:after="0" w:line="360" w:lineRule="auto"/>
        <w:rPr>
          <w:rFonts w:ascii="Arial" w:hAnsi="Arial" w:cs="Arial"/>
          <w:sz w:val="20"/>
          <w:szCs w:val="20"/>
        </w:rPr>
      </w:pPr>
      <w:r>
        <w:rPr>
          <w:rFonts w:ascii="Arial" w:hAnsi="Arial" w:cs="Arial"/>
          <w:sz w:val="20"/>
          <w:szCs w:val="20"/>
        </w:rPr>
        <w:t>Kabore, P. N., Ouedraogo, A., Sanon, M., Yaka, P., &amp; Some, L. (2017). Characterization of climate variability in the Center-North region of Burkina Faso between 1961 and 2015. Climatology, 14, 82-95. 14 p.</w:t>
      </w:r>
    </w:p>
    <w:p w14:paraId="2810FFE8">
      <w:pPr>
        <w:spacing w:after="0" w:line="360" w:lineRule="auto"/>
        <w:rPr>
          <w:rFonts w:ascii="Arial" w:hAnsi="Arial" w:cs="Arial"/>
          <w:sz w:val="20"/>
          <w:szCs w:val="20"/>
        </w:rPr>
      </w:pPr>
      <w:r>
        <w:rPr>
          <w:rFonts w:ascii="Arial" w:hAnsi="Arial" w:cs="Arial"/>
          <w:sz w:val="20"/>
          <w:szCs w:val="20"/>
        </w:rPr>
        <w:t xml:space="preserve">Kempay O. F., Enambumbi B. G., Ngoy Ilunga N. J., Kamara Bahwere M., (2024). “Perceptions and adaptation strategies of market gardeners to climate disturbances in the city of Kisangani, DR Congo.” Moroccan Journal of Agronomic and Veterinary Sciences, 12(2), 85–90. </w:t>
      </w:r>
      <w:r>
        <w:fldChar w:fldCharType="begin"/>
      </w:r>
      <w:r>
        <w:instrText xml:space="preserve"> HYPERLINK "https://doi.org/10.5281/zenodo.11443775" \t "_blank" </w:instrText>
      </w:r>
      <w:r>
        <w:fldChar w:fldCharType="separate"/>
      </w:r>
      <w:r>
        <w:rPr>
          <w:rStyle w:val="17"/>
          <w:rFonts w:ascii="Arial" w:hAnsi="Arial" w:cs="Arial"/>
          <w:color w:val="auto"/>
          <w:sz w:val="20"/>
          <w:szCs w:val="20"/>
        </w:rPr>
        <w:t>https://doi.org/10.5281/zenodo.11443775</w:t>
      </w:r>
      <w:r>
        <w:rPr>
          <w:rStyle w:val="17"/>
          <w:rFonts w:ascii="Arial" w:hAnsi="Arial" w:cs="Arial"/>
          <w:color w:val="auto"/>
          <w:sz w:val="20"/>
          <w:szCs w:val="20"/>
        </w:rPr>
        <w:fldChar w:fldCharType="end"/>
      </w:r>
    </w:p>
    <w:p w14:paraId="480F3871">
      <w:pPr>
        <w:spacing w:after="0" w:line="360" w:lineRule="auto"/>
        <w:rPr>
          <w:rFonts w:ascii="Arial" w:hAnsi="Arial" w:cs="Arial"/>
          <w:sz w:val="20"/>
          <w:szCs w:val="20"/>
        </w:rPr>
      </w:pPr>
      <w:r>
        <w:rPr>
          <w:rFonts w:ascii="Arial" w:hAnsi="Arial" w:cs="Arial"/>
          <w:sz w:val="20"/>
          <w:szCs w:val="20"/>
        </w:rPr>
        <w:t>Kiki, Gino Roland., (2019). Statistical diagnosis of the spatio-temporal variability of climate extremes in Benin (Master's thesis). University of Abomey-Calavi, Faculty of Science and Technology, UNESCO CIPMA Chair.</w:t>
      </w:r>
    </w:p>
    <w:p w14:paraId="723E7569">
      <w:pPr>
        <w:spacing w:after="0" w:line="360" w:lineRule="auto"/>
        <w:rPr>
          <w:rFonts w:ascii="Arial" w:hAnsi="Arial" w:cs="Arial"/>
          <w:sz w:val="20"/>
          <w:szCs w:val="20"/>
        </w:rPr>
      </w:pPr>
      <w:r>
        <w:rPr>
          <w:rFonts w:ascii="Arial" w:hAnsi="Arial" w:cs="Arial"/>
          <w:sz w:val="20"/>
          <w:szCs w:val="20"/>
        </w:rPr>
        <w:t>Kohnert, D. (2024). The impact of CO2 emissions from industrialized countries on climate change in sub-Saharan Africa: Case studies from South Africa, Nigeria, and the Democratic Republic of Congo. 35 p.</w:t>
      </w:r>
    </w:p>
    <w:p w14:paraId="3DA792E6">
      <w:pPr>
        <w:rPr>
          <w:rFonts w:ascii="Arial" w:hAnsi="Arial" w:cs="Arial"/>
          <w:sz w:val="20"/>
          <w:szCs w:val="20"/>
        </w:rPr>
      </w:pPr>
      <w:r>
        <w:rPr>
          <w:rFonts w:ascii="Arial" w:hAnsi="Arial" w:cs="Arial"/>
          <w:sz w:val="20"/>
          <w:szCs w:val="20"/>
        </w:rPr>
        <w:t>Le Barbé, L., &amp; Tapsoba, D. (1994). A method for characterizing interannual rainfall fluctuations in the Sahel: the example of Burkina Faso. IN: Continental surface/atmosphere interactions: the HAPEX-Sahel-10 experiment. Hydrology Days, 13-14.17 p.</w:t>
      </w:r>
    </w:p>
    <w:p w14:paraId="0C832E9C">
      <w:pPr>
        <w:rPr>
          <w:rFonts w:ascii="Arial" w:hAnsi="Arial" w:cs="Arial"/>
        </w:rPr>
      </w:pPr>
      <w:r>
        <w:rPr>
          <w:rFonts w:ascii="Arial" w:hAnsi="Arial" w:eastAsia="Calibri" w:cs="Arial"/>
          <w:sz w:val="20"/>
          <w:szCs w:val="20"/>
        </w:rPr>
        <w:t>Lopez, B., N. Croiset., N. Surdyk., A, Brugeron., (2013). Development of tools to assist in the assessment of groundwater trends under the Water Framework Directive. Bureau de Recherches Géologiques et Minières.</w:t>
      </w:r>
      <w:r>
        <w:fldChar w:fldCharType="begin"/>
      </w:r>
      <w:r>
        <w:instrText xml:space="preserve"> HYPERLINK "http://infoterre.brgm.fr/rapports/RP-61855-FR.pdf" \t "_blank" </w:instrText>
      </w:r>
      <w:r>
        <w:fldChar w:fldCharType="separate"/>
      </w:r>
      <w:r>
        <w:rPr>
          <w:rFonts w:ascii="Arial" w:hAnsi="Arial" w:eastAsia="Calibri" w:cs="Arial"/>
          <w:sz w:val="20"/>
          <w:szCs w:val="20"/>
          <w:u w:val="single"/>
        </w:rPr>
        <w:t>http://infoterre.brgm.fr/rapports/RP-61855-FR.pdf</w:t>
      </w:r>
      <w:r>
        <w:rPr>
          <w:rFonts w:ascii="Arial" w:hAnsi="Arial" w:eastAsia="Calibri" w:cs="Arial"/>
          <w:sz w:val="20"/>
          <w:szCs w:val="20"/>
          <w:u w:val="single"/>
        </w:rPr>
        <w:fldChar w:fldCharType="end"/>
      </w:r>
    </w:p>
    <w:p w14:paraId="1F9FD05E">
      <w:pPr>
        <w:spacing w:after="0" w:line="360" w:lineRule="auto"/>
        <w:rPr>
          <w:rFonts w:ascii="Arial" w:hAnsi="Arial" w:cs="Arial"/>
          <w:sz w:val="20"/>
          <w:szCs w:val="20"/>
        </w:rPr>
      </w:pPr>
      <w:r>
        <w:rPr>
          <w:rFonts w:ascii="Arial" w:hAnsi="Arial" w:cs="Arial"/>
          <w:sz w:val="20"/>
          <w:szCs w:val="20"/>
        </w:rPr>
        <w:t>Lothoré, Anne, Delmas, Patrick., (2009). Market access and marketing of agricultural products. Inter-réseaux, CTA, AFD. 160 pages.</w:t>
      </w:r>
      <w:r>
        <w:fldChar w:fldCharType="begin"/>
      </w:r>
      <w:r>
        <w:instrText xml:space="preserve"> HYPERLINK "https://www.inter-reseaux.org/wp-content/uploads/pdf_version_complet.pdf" \t "_blank" </w:instrText>
      </w:r>
      <w:r>
        <w:fldChar w:fldCharType="separate"/>
      </w:r>
      <w:r>
        <w:rPr>
          <w:rStyle w:val="17"/>
          <w:rFonts w:ascii="Arial" w:hAnsi="Arial" w:cs="Arial"/>
          <w:color w:val="auto"/>
          <w:sz w:val="20"/>
          <w:szCs w:val="20"/>
        </w:rPr>
        <w:t>https://www.inter-reseaux.org/wp-content/uploads/pdf_version_complet.pdf</w:t>
      </w:r>
      <w:r>
        <w:rPr>
          <w:rStyle w:val="17"/>
          <w:rFonts w:ascii="Arial" w:hAnsi="Arial" w:cs="Arial"/>
          <w:color w:val="auto"/>
          <w:sz w:val="20"/>
          <w:szCs w:val="20"/>
        </w:rPr>
        <w:fldChar w:fldCharType="end"/>
      </w:r>
    </w:p>
    <w:p w14:paraId="3183D8C8">
      <w:pPr>
        <w:spacing w:after="0" w:line="360" w:lineRule="auto"/>
        <w:rPr>
          <w:rFonts w:ascii="Arial" w:hAnsi="Arial" w:cs="Arial"/>
          <w:sz w:val="20"/>
          <w:szCs w:val="20"/>
        </w:rPr>
      </w:pPr>
      <w:r>
        <w:rPr>
          <w:rFonts w:ascii="Arial" w:hAnsi="Arial" w:cs="Arial"/>
          <w:sz w:val="20"/>
          <w:szCs w:val="20"/>
        </w:rPr>
        <w:t xml:space="preserve">Dupar, M. (2019). The IPCC's Special Report on Climate Change and Land: What's in it for Africa? Climate and Development Knowledge Network. </w:t>
      </w:r>
      <w:r>
        <w:fldChar w:fldCharType="begin"/>
      </w:r>
      <w:r>
        <w:instrText xml:space="preserve"> HYPERLINK "https://cdkn.org/resource/ipccs-land-report-whats-it-africa" </w:instrText>
      </w:r>
      <w:r>
        <w:fldChar w:fldCharType="separate"/>
      </w:r>
      <w:r>
        <w:rPr>
          <w:rStyle w:val="17"/>
          <w:rFonts w:ascii="Arial" w:hAnsi="Arial" w:cs="Arial"/>
          <w:sz w:val="20"/>
          <w:szCs w:val="20"/>
        </w:rPr>
        <w:t>https://cdkn.org/resource/ipccs-land-report-whats-it-africa</w:t>
      </w:r>
      <w:r>
        <w:rPr>
          <w:rStyle w:val="17"/>
          <w:rFonts w:ascii="Arial" w:hAnsi="Arial" w:cs="Arial"/>
          <w:sz w:val="20"/>
          <w:szCs w:val="20"/>
        </w:rPr>
        <w:fldChar w:fldCharType="end"/>
      </w:r>
    </w:p>
    <w:p w14:paraId="7EC22D22">
      <w:pPr>
        <w:spacing w:after="0" w:line="360" w:lineRule="auto"/>
        <w:rPr>
          <w:rFonts w:ascii="Arial" w:hAnsi="Arial" w:cs="Arial"/>
          <w:sz w:val="20"/>
          <w:szCs w:val="20"/>
        </w:rPr>
      </w:pPr>
      <w:r>
        <w:rPr>
          <w:rFonts w:ascii="Arial" w:hAnsi="Arial" w:cs="Arial"/>
          <w:sz w:val="20"/>
          <w:szCs w:val="20"/>
        </w:rPr>
        <w:t xml:space="preserve">Montane, C. (2024). Optimisation de la fertilisation en maraîchage à La Réunion : Impact du climat, du rendement et de la fertilisation sur les compositions et les absorptions en azote, phosphore et potassium de cultures maraîchères (Doctoral dissertation, ISTOM). </w:t>
      </w:r>
      <w:r>
        <w:fldChar w:fldCharType="begin"/>
      </w:r>
      <w:r>
        <w:instrText xml:space="preserve"> HYPERLINK "https://agritrop.cirad.fr/607070/" </w:instrText>
      </w:r>
      <w:r>
        <w:fldChar w:fldCharType="separate"/>
      </w:r>
      <w:r>
        <w:rPr>
          <w:rStyle w:val="17"/>
          <w:rFonts w:ascii="Arial" w:hAnsi="Arial" w:cs="Arial"/>
          <w:sz w:val="20"/>
          <w:szCs w:val="20"/>
        </w:rPr>
        <w:t>https://agritrop.cirad.fr/607070/</w:t>
      </w:r>
      <w:r>
        <w:rPr>
          <w:rStyle w:val="17"/>
          <w:rFonts w:ascii="Arial" w:hAnsi="Arial" w:cs="Arial"/>
          <w:sz w:val="20"/>
          <w:szCs w:val="20"/>
        </w:rPr>
        <w:fldChar w:fldCharType="end"/>
      </w:r>
    </w:p>
    <w:p w14:paraId="65CB154C">
      <w:pPr>
        <w:spacing w:after="0" w:line="360" w:lineRule="auto"/>
        <w:rPr>
          <w:rFonts w:ascii="Arial" w:hAnsi="Arial" w:cs="Arial"/>
          <w:sz w:val="20"/>
          <w:szCs w:val="20"/>
        </w:rPr>
      </w:pPr>
      <w:r>
        <w:rPr>
          <w:rFonts w:ascii="Arial" w:hAnsi="Arial" w:cs="Arial"/>
          <w:sz w:val="20"/>
          <w:szCs w:val="20"/>
        </w:rPr>
        <w:t xml:space="preserve">Nguyen Vien, S. (2023). Maintien du maraichage dans un contexte de raréfaction de l'eau : Etude de l'impact du changement climatique sur les besoins en irrigation du Saclay plateau. (Master's thesis). Université de Liège. </w:t>
      </w:r>
      <w:r>
        <w:fldChar w:fldCharType="begin"/>
      </w:r>
      <w:r>
        <w:instrText xml:space="preserve"> HYPERLINK "https://matheo.uliege.be/handle/2268.2/17492" </w:instrText>
      </w:r>
      <w:r>
        <w:fldChar w:fldCharType="separate"/>
      </w:r>
      <w:r>
        <w:rPr>
          <w:rStyle w:val="17"/>
          <w:rFonts w:ascii="Arial" w:hAnsi="Arial" w:cs="Arial"/>
          <w:sz w:val="20"/>
          <w:szCs w:val="20"/>
        </w:rPr>
        <w:t>https://matheo.uliege.be/handle/2268.2/17492</w:t>
      </w:r>
      <w:r>
        <w:rPr>
          <w:rStyle w:val="17"/>
          <w:rFonts w:ascii="Arial" w:hAnsi="Arial" w:cs="Arial"/>
          <w:sz w:val="20"/>
          <w:szCs w:val="20"/>
        </w:rPr>
        <w:fldChar w:fldCharType="end"/>
      </w:r>
    </w:p>
    <w:p w14:paraId="1176B2B0">
      <w:pPr>
        <w:spacing w:after="0" w:line="360" w:lineRule="auto"/>
        <w:rPr>
          <w:rFonts w:ascii="Arial" w:hAnsi="Arial" w:cs="Arial"/>
          <w:sz w:val="20"/>
          <w:szCs w:val="20"/>
        </w:rPr>
      </w:pPr>
      <w:r>
        <w:rPr>
          <w:rFonts w:ascii="Arial" w:hAnsi="Arial" w:cs="Arial"/>
          <w:sz w:val="20"/>
          <w:szCs w:val="20"/>
        </w:rPr>
        <w:t xml:space="preserve">Perrin, B., &amp; Lefèvre, A. (2019). L'association culturale, un levier pour améliorer santé des plantes, fertilité du sol et production des systèmes de culture maraichers diversifiés ?. Innovations Agronomiques, 76, 51-70. </w:t>
      </w:r>
      <w:r>
        <w:fldChar w:fldCharType="begin"/>
      </w:r>
      <w:r>
        <w:instrText xml:space="preserve"> HYPERLINK "https://doi.org/10.15454/z7mn3u" </w:instrText>
      </w:r>
      <w:r>
        <w:fldChar w:fldCharType="separate"/>
      </w:r>
      <w:r>
        <w:rPr>
          <w:rStyle w:val="17"/>
          <w:rFonts w:ascii="Arial" w:hAnsi="Arial" w:cs="Arial"/>
          <w:sz w:val="20"/>
          <w:szCs w:val="20"/>
        </w:rPr>
        <w:t>https://doi.org/10.15454/z7mn3u</w:t>
      </w:r>
      <w:r>
        <w:rPr>
          <w:rStyle w:val="17"/>
          <w:rFonts w:ascii="Arial" w:hAnsi="Arial" w:cs="Arial"/>
          <w:sz w:val="20"/>
          <w:szCs w:val="20"/>
        </w:rPr>
        <w:fldChar w:fldCharType="end"/>
      </w:r>
    </w:p>
    <w:p w14:paraId="56660CD1">
      <w:pPr>
        <w:spacing w:after="0" w:line="360" w:lineRule="auto"/>
        <w:rPr>
          <w:rFonts w:ascii="Arial" w:hAnsi="Arial" w:cs="Arial"/>
          <w:sz w:val="20"/>
          <w:szCs w:val="20"/>
        </w:rPr>
      </w:pPr>
      <w:r>
        <w:rPr>
          <w:rFonts w:ascii="Arial" w:hAnsi="Arial" w:cs="Arial"/>
          <w:sz w:val="20"/>
          <w:szCs w:val="20"/>
        </w:rPr>
        <w:t xml:space="preserve">United Nations Development Programme. (2014). CHOIX DES TECHNOLOGIES AGRICOLES POUR L'ADAPTATION AUX CHANGEMENTS CLIMATIQUES DANS LES COMMUNES D'INTERVENTION DU PANA1. </w:t>
      </w:r>
      <w:r>
        <w:fldChar w:fldCharType="begin"/>
      </w:r>
      <w:r>
        <w:instrText xml:space="preserve"> HYPERLINK "https://www.adaptation-undp.org/sites/default/files/resources/choix_des_technologies_agricoles_pour_ladaptation_aux_._du_pana_1.pdf" </w:instrText>
      </w:r>
      <w:r>
        <w:fldChar w:fldCharType="separate"/>
      </w:r>
      <w:r>
        <w:rPr>
          <w:rStyle w:val="17"/>
          <w:rFonts w:ascii="Arial" w:hAnsi="Arial" w:cs="Arial"/>
          <w:sz w:val="20"/>
          <w:szCs w:val="20"/>
        </w:rPr>
        <w:t>https://www.adaptation-undp.org/sites/default/files/resources/choix_des_technologies_agricoles_pour_ladaptation_aux_._du_pana_1.pdf</w:t>
      </w:r>
      <w:r>
        <w:rPr>
          <w:rStyle w:val="17"/>
          <w:rFonts w:ascii="Arial" w:hAnsi="Arial" w:cs="Arial"/>
          <w:sz w:val="20"/>
          <w:szCs w:val="20"/>
        </w:rPr>
        <w:fldChar w:fldCharType="end"/>
      </w:r>
    </w:p>
    <w:p w14:paraId="102415C3">
      <w:pPr>
        <w:spacing w:after="0" w:line="360" w:lineRule="auto"/>
        <w:rPr>
          <w:rFonts w:ascii="Arial" w:hAnsi="Arial" w:cs="Arial"/>
          <w:sz w:val="20"/>
          <w:szCs w:val="20"/>
        </w:rPr>
      </w:pPr>
      <w:r>
        <w:rPr>
          <w:rFonts w:ascii="Arial" w:hAnsi="Arial" w:cs="Arial"/>
          <w:sz w:val="20"/>
          <w:szCs w:val="20"/>
        </w:rPr>
        <w:t xml:space="preserve">Réseau Action Climat-France. (2014). Adaptation de l'agriculture aux changements climatiques – Recueil d'expériences territoriales. </w:t>
      </w:r>
      <w:r>
        <w:fldChar w:fldCharType="begin"/>
      </w:r>
      <w:r>
        <w:instrText xml:space="preserve"> HYPERLINK "https://temis.documentation.developpement-durable.gouv.fr/docs/Temis/0082/Temis-0082326/21974.pdf" </w:instrText>
      </w:r>
      <w:r>
        <w:fldChar w:fldCharType="separate"/>
      </w:r>
      <w:r>
        <w:rPr>
          <w:rStyle w:val="17"/>
          <w:rFonts w:ascii="Arial" w:hAnsi="Arial" w:cs="Arial"/>
          <w:sz w:val="20"/>
          <w:szCs w:val="20"/>
        </w:rPr>
        <w:t>https://temis.documentation.developpement-durable.gouv.fr/docs/Temis/0082/Temis-0082326/21974.pdf</w:t>
      </w:r>
      <w:r>
        <w:rPr>
          <w:rStyle w:val="17"/>
          <w:rFonts w:ascii="Arial" w:hAnsi="Arial" w:cs="Arial"/>
          <w:sz w:val="20"/>
          <w:szCs w:val="20"/>
        </w:rPr>
        <w:fldChar w:fldCharType="end"/>
      </w:r>
    </w:p>
    <w:p w14:paraId="52F76D99">
      <w:pPr>
        <w:spacing w:after="0" w:line="360" w:lineRule="auto"/>
        <w:rPr>
          <w:rFonts w:ascii="Arial" w:hAnsi="Arial" w:eastAsia="Calibri" w:cs="Arial"/>
          <w:sz w:val="20"/>
          <w:szCs w:val="20"/>
        </w:rPr>
      </w:pPr>
      <w:r>
        <w:rPr>
          <w:rFonts w:ascii="Arial" w:hAnsi="Arial" w:cs="Arial"/>
          <w:sz w:val="20"/>
          <w:szCs w:val="20"/>
        </w:rPr>
        <w:t xml:space="preserve">Röhrig, F., Gloy, N., von Loeben, S. C., Gornott, C., Arumugam, P., Aschenbrenner, P., Baek, H.-R.-L., Cartsburg, M., Chemura, A., Fodi, B. I., Habtemariam, L. T., Kaufmann, J., Koch, H., Liersch, S., Lüttringhaus, A. S., Murken, L., Neya, O., Ostberg, S., Schauberger, B., ... Wortmann, M. (2022). *Climate risk analysis for identifying and weighing adaptation strategies for the agricultural sector in Niger*. Potsdam Institute for Climate Impact Research (PIK). </w:t>
      </w:r>
      <w:r>
        <w:fldChar w:fldCharType="begin"/>
      </w:r>
      <w:r>
        <w:instrText xml:space="preserve"> HYPERLINK "https://doi.org/10.48485/pik.2022.002" </w:instrText>
      </w:r>
      <w:r>
        <w:fldChar w:fldCharType="separate"/>
      </w:r>
      <w:r>
        <w:rPr>
          <w:rStyle w:val="17"/>
          <w:rFonts w:ascii="Arial" w:hAnsi="Arial" w:cs="Arial"/>
          <w:sz w:val="20"/>
          <w:szCs w:val="20"/>
        </w:rPr>
        <w:t>https://doi.org/10.48485/pik.2022.002</w:t>
      </w:r>
      <w:r>
        <w:rPr>
          <w:rStyle w:val="17"/>
          <w:rFonts w:ascii="Arial" w:hAnsi="Arial" w:cs="Arial"/>
          <w:sz w:val="20"/>
          <w:szCs w:val="20"/>
        </w:rPr>
        <w:fldChar w:fldCharType="end"/>
      </w:r>
    </w:p>
    <w:p w14:paraId="4B469438">
      <w:pPr>
        <w:spacing w:after="0" w:line="360" w:lineRule="auto"/>
        <w:rPr>
          <w:rFonts w:ascii="Arial" w:hAnsi="Arial" w:eastAsia="Calibri" w:cs="Arial"/>
          <w:sz w:val="20"/>
          <w:szCs w:val="20"/>
        </w:rPr>
      </w:pPr>
      <w:r>
        <w:rPr>
          <w:rFonts w:ascii="Arial" w:hAnsi="Arial" w:eastAsia="Calibri" w:cs="Arial"/>
          <w:sz w:val="20"/>
          <w:szCs w:val="20"/>
        </w:rPr>
        <w:t>Sebego, R, C., (2016). Study of market gardeners' adaptation strategies to climate change in Burkina Faso: the cases of Bobo-Dioulasso, Ouagadougou, and Ouahigouya. Engineering thesis, Institute of Rural Development, Polytechnic University of Bobo-Dioulasso, 121 p.</w:t>
      </w:r>
    </w:p>
    <w:p w14:paraId="4F2F91F3">
      <w:pPr>
        <w:spacing w:after="0" w:line="360" w:lineRule="auto"/>
        <w:rPr>
          <w:rFonts w:ascii="Arial" w:hAnsi="Arial" w:cs="Arial"/>
          <w:sz w:val="20"/>
          <w:szCs w:val="20"/>
        </w:rPr>
      </w:pPr>
      <w:r>
        <w:rPr>
          <w:rFonts w:ascii="Arial" w:hAnsi="Arial" w:cs="Arial"/>
          <w:sz w:val="20"/>
          <w:szCs w:val="20"/>
        </w:rPr>
        <w:t>Sultan, B., &amp; Janicot, S. (2004). Climate variability in West Africa at seasonal and interseasonal scales. I: Monsoon onset and interseasonal variability of convection. Science and Global Change/Drought, 15(4), 321-330.</w:t>
      </w:r>
    </w:p>
    <w:p w14:paraId="165B1528">
      <w:pPr>
        <w:spacing w:after="0" w:line="360" w:lineRule="auto"/>
        <w:rPr>
          <w:rFonts w:ascii="Arial" w:hAnsi="Arial" w:cs="Arial"/>
          <w:sz w:val="20"/>
          <w:szCs w:val="20"/>
        </w:rPr>
      </w:pPr>
      <w:r>
        <w:rPr>
          <w:rFonts w:ascii="Arial" w:hAnsi="Arial" w:cs="Arial"/>
          <w:sz w:val="20"/>
          <w:szCs w:val="20"/>
        </w:rPr>
        <w:t>Sultan, B., Baron, C., Dingkuhn, M., Sarr, B., &amp; Janicot, S. (2005). Climate variability in West Africa at seasonal and interseasonal scales II: applications to the sensitivity of agricultural yields in the Sahel.</w:t>
      </w:r>
    </w:p>
    <w:p w14:paraId="6033128E">
      <w:pPr>
        <w:spacing w:after="0" w:line="360" w:lineRule="auto"/>
        <w:rPr>
          <w:rFonts w:ascii="Arial" w:hAnsi="Arial" w:cs="Arial"/>
          <w:sz w:val="20"/>
          <w:szCs w:val="20"/>
        </w:rPr>
      </w:pPr>
      <w:r>
        <w:rPr>
          <w:rFonts w:ascii="Arial" w:hAnsi="Arial" w:cs="Arial"/>
          <w:sz w:val="20"/>
          <w:szCs w:val="20"/>
        </w:rPr>
        <w:t xml:space="preserve">Taïbi, S., Zeroual, A., &amp; Melhani, N. (2021). Evaluation de deux méthodes de correction de biais des sorties de modèles climatiques régionaux Cordex-Africa pour la prévision des pluies : cas du bassin côtier oranais. Proceedings of the International Association of Hydrological Sciences, 384, 213-218. </w:t>
      </w:r>
      <w:r>
        <w:fldChar w:fldCharType="begin"/>
      </w:r>
      <w:r>
        <w:instrText xml:space="preserve"> HYPERLINK "https://doi.org/10.5194/piahs-384-213-2021" </w:instrText>
      </w:r>
      <w:r>
        <w:fldChar w:fldCharType="separate"/>
      </w:r>
      <w:r>
        <w:rPr>
          <w:rStyle w:val="17"/>
          <w:rFonts w:ascii="Arial" w:hAnsi="Arial" w:cs="Arial"/>
          <w:sz w:val="20"/>
          <w:szCs w:val="20"/>
        </w:rPr>
        <w:t>https://doi.org/10.5194/piahs-384-213-2021</w:t>
      </w:r>
      <w:r>
        <w:rPr>
          <w:rStyle w:val="17"/>
          <w:rFonts w:ascii="Arial" w:hAnsi="Arial" w:cs="Arial"/>
          <w:sz w:val="20"/>
          <w:szCs w:val="20"/>
        </w:rPr>
        <w:fldChar w:fldCharType="end"/>
      </w:r>
    </w:p>
    <w:p w14:paraId="625B2AE4">
      <w:pPr>
        <w:spacing w:after="0" w:line="360" w:lineRule="auto"/>
        <w:rPr>
          <w:rFonts w:ascii="Arial" w:hAnsi="Arial" w:cs="Arial"/>
          <w:sz w:val="20"/>
          <w:szCs w:val="20"/>
        </w:rPr>
      </w:pPr>
      <w:r>
        <w:rPr>
          <w:rFonts w:ascii="Arial" w:hAnsi="Arial" w:cs="Arial"/>
          <w:sz w:val="20"/>
          <w:szCs w:val="20"/>
        </w:rPr>
        <w:t>Topeur, B. (2023). Three essays on the socioeconomic impact of climate change in sub-Saharan Africa (Doctoral dissertation, Clermont Auvergne University). 186 p.</w:t>
      </w:r>
    </w:p>
    <w:bookmarkEnd w:id="0"/>
    <w:p w14:paraId="56E288EC">
      <w:pPr>
        <w:spacing w:after="0" w:line="360" w:lineRule="auto"/>
        <w:rPr>
          <w:rFonts w:ascii="Arial" w:hAnsi="Arial" w:cs="Arial"/>
          <w:sz w:val="20"/>
          <w:szCs w:val="20"/>
        </w:rPr>
      </w:pPr>
      <w:r>
        <w:rPr>
          <w:rFonts w:ascii="Arial" w:hAnsi="Arial" w:cs="Arial"/>
          <w:sz w:val="20"/>
          <w:szCs w:val="20"/>
        </w:rPr>
        <w:t>Zambo, Y. H. (2021). Perceptions of climate justice in the most vulnerable regions with low capacity to adapt to climate change: the case of sub-Saharan Africa. NAAJ-African Journal on Climate Change and Renewable Energy, 2(1).</w:t>
      </w:r>
    </w:p>
    <w:p w14:paraId="7249980F">
      <w:pPr>
        <w:spacing w:after="0" w:line="360" w:lineRule="auto"/>
        <w:rPr>
          <w:rFonts w:ascii="Arial" w:hAnsi="Arial" w:cs="Arial"/>
          <w:b/>
          <w:bCs/>
          <w:sz w:val="20"/>
          <w:szCs w:val="20"/>
        </w:rPr>
      </w:pPr>
    </w:p>
    <w:p w14:paraId="4D7A9174">
      <w:pPr>
        <w:spacing w:after="0" w:line="360" w:lineRule="auto"/>
        <w:rPr>
          <w:rFonts w:ascii="Arial" w:hAnsi="Arial" w:cs="Arial"/>
          <w:b/>
          <w:bCs/>
          <w:sz w:val="20"/>
          <w:szCs w:val="20"/>
        </w:rPr>
      </w:pPr>
    </w:p>
    <w:p w14:paraId="75BF79C1">
      <w:pPr>
        <w:spacing w:after="0" w:line="360" w:lineRule="auto"/>
        <w:rPr>
          <w:rFonts w:ascii="Arial" w:hAnsi="Arial" w:cs="Arial"/>
          <w:b/>
          <w:bCs/>
          <w:sz w:val="20"/>
          <w:szCs w:val="20"/>
        </w:rPr>
      </w:pPr>
    </w:p>
    <w:p w14:paraId="47FE3E12">
      <w:pPr>
        <w:spacing w:after="0" w:line="360" w:lineRule="auto"/>
        <w:rPr>
          <w:rFonts w:ascii="Arial" w:hAnsi="Arial" w:cs="Arial"/>
          <w:b/>
          <w:bCs/>
          <w:sz w:val="20"/>
          <w:szCs w:val="20"/>
        </w:rPr>
      </w:pPr>
    </w:p>
    <w:sectPr>
      <w:headerReference r:id="rId9" w:type="first"/>
      <w:footerReference r:id="rId12" w:type="first"/>
      <w:headerReference r:id="rId7" w:type="default"/>
      <w:footerReference r:id="rId10" w:type="default"/>
      <w:headerReference r:id="rId8" w:type="even"/>
      <w:footerReference r:id="rId11" w:type="even"/>
      <w:pgSz w:w="11906" w:h="16838"/>
      <w:pgMar w:top="1417" w:right="1417" w:bottom="1417" w:left="1417"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angga Dara Destyano" w:date="2026-01-03T22:25:06Z" w:initials="">
    <w:p w14:paraId="1820B525">
      <w:pPr>
        <w:pStyle w:val="14"/>
        <w:rPr>
          <w:rFonts w:hint="default"/>
          <w:lang w:val="en-US"/>
        </w:rPr>
      </w:pPr>
      <w:r>
        <w:rPr>
          <w:rFonts w:hint="default"/>
          <w:lang w:val="en-US"/>
        </w:rPr>
        <w:t>Please use capital for name of location/community, etc.</w:t>
      </w:r>
    </w:p>
  </w:comment>
  <w:comment w:id="1" w:author="Gangga Dara Destyano" w:date="2026-01-03T22:24:04Z" w:initials="">
    <w:p w14:paraId="0A1AF59E">
      <w:pPr>
        <w:pStyle w:val="14"/>
        <w:rPr>
          <w:rFonts w:hint="default"/>
          <w:lang w:val="en-US"/>
        </w:rPr>
      </w:pPr>
      <w:r>
        <w:rPr>
          <w:rFonts w:hint="default"/>
          <w:lang w:val="en-US"/>
        </w:rPr>
        <w:t>Explain more about what is the irregularity refered from previous sentence.</w:t>
      </w:r>
    </w:p>
  </w:comment>
  <w:comment w:id="2" w:author="Gangga Dara Destyano" w:date="2026-01-03T22:28:46Z" w:initials="">
    <w:p w14:paraId="38832E09">
      <w:pPr>
        <w:pStyle w:val="14"/>
        <w:rPr>
          <w:rFonts w:hint="default"/>
          <w:lang w:val="en-US"/>
        </w:rPr>
      </w:pPr>
      <w:r>
        <w:rPr>
          <w:rFonts w:hint="default"/>
          <w:lang w:val="en-US"/>
        </w:rPr>
        <w:t>Explain more about the method used in this study</w:t>
      </w:r>
    </w:p>
  </w:comment>
  <w:comment w:id="3" w:author="Gangga Dara Destyano" w:date="2026-01-03T22:30:59Z" w:initials="">
    <w:p w14:paraId="377FAD38">
      <w:pPr>
        <w:pStyle w:val="14"/>
        <w:rPr>
          <w:rFonts w:hint="default"/>
          <w:lang w:val="en-US"/>
        </w:rPr>
      </w:pPr>
      <w:r>
        <w:rPr>
          <w:rFonts w:hint="default"/>
          <w:lang w:val="en-US"/>
        </w:rPr>
        <w:t>Add more information about recent conditon, in this area. Is there any disaster (drought or flood) recently?</w:t>
      </w:r>
    </w:p>
  </w:comment>
  <w:comment w:id="4" w:author="Gangga Dara Destyano" w:date="2026-01-03T22:35:19Z" w:initials="">
    <w:p w14:paraId="5422FAD2">
      <w:pPr>
        <w:pStyle w:val="14"/>
        <w:rPr>
          <w:rFonts w:hint="default"/>
          <w:lang w:val="en-US"/>
        </w:rPr>
      </w:pPr>
      <w:r>
        <w:rPr>
          <w:rFonts w:hint="default"/>
          <w:lang w:val="en-US"/>
        </w:rPr>
        <w:t>mentioning the specific variability help reader understant more clearly.</w:t>
      </w:r>
    </w:p>
  </w:comment>
  <w:comment w:id="5" w:author="Gangga Dara Destyano" w:date="2026-01-03T22:37:56Z" w:initials="">
    <w:p w14:paraId="7848C258">
      <w:pPr>
        <w:pStyle w:val="14"/>
        <w:rPr>
          <w:rFonts w:hint="default"/>
          <w:lang w:val="en-US"/>
        </w:rPr>
      </w:pPr>
      <w:r>
        <w:rPr>
          <w:rFonts w:hint="default"/>
          <w:lang w:val="en-US"/>
        </w:rPr>
        <w:t>Add previous study about the current condition of Burkina Fase could support this part.</w:t>
      </w:r>
    </w:p>
  </w:comment>
  <w:comment w:id="6" w:author="Gangga Dara Destyano" w:date="2026-01-03T22:40:04Z" w:initials="">
    <w:p w14:paraId="240686AB">
      <w:pPr>
        <w:pStyle w:val="14"/>
        <w:rPr>
          <w:rFonts w:hint="default"/>
          <w:lang w:val="en-US"/>
        </w:rPr>
      </w:pPr>
      <w:r>
        <w:rPr>
          <w:rFonts w:hint="default"/>
          <w:lang w:val="en-US"/>
        </w:rPr>
        <w:t>Is there any previous study that explain about solution, or have been studying rainfall in this area?</w:t>
      </w:r>
    </w:p>
  </w:comment>
  <w:comment w:id="7" w:author="Gangga Dara Destyano" w:date="2026-01-03T23:28:57Z" w:initials="">
    <w:p w14:paraId="10699713">
      <w:pPr>
        <w:pStyle w:val="14"/>
        <w:rPr>
          <w:rFonts w:hint="default"/>
          <w:lang w:val="en-US"/>
        </w:rPr>
      </w:pPr>
      <w:r>
        <w:rPr>
          <w:rFonts w:hint="default"/>
          <w:lang w:val="en-US"/>
        </w:rPr>
        <w:t>Please explain more about what’s new in this study, or what makes this study diffrence form previous study?</w:t>
      </w:r>
    </w:p>
  </w:comment>
  <w:comment w:id="8" w:author="Gangga Dara Destyano" w:date="2026-01-03T22:58:28Z" w:initials="">
    <w:p w14:paraId="5766C2B9">
      <w:pPr>
        <w:pStyle w:val="14"/>
        <w:rPr>
          <w:rFonts w:hint="default"/>
          <w:lang w:val="en-US"/>
        </w:rPr>
      </w:pPr>
      <w:r>
        <w:rPr>
          <w:rFonts w:hint="default"/>
          <w:lang w:val="en-US"/>
        </w:rPr>
        <w:t>Inconsistent font size, and blurry picture.</w:t>
      </w:r>
    </w:p>
  </w:comment>
  <w:comment w:id="9" w:author="Gangga Dara Destyano" w:date="2026-01-03T22:46:01Z" w:initials="">
    <w:p w14:paraId="0DD152AC">
      <w:pPr>
        <w:pStyle w:val="14"/>
        <w:numPr>
          <w:numId w:val="0"/>
        </w:numPr>
        <w:rPr>
          <w:rFonts w:hint="default"/>
          <w:lang w:val="en-US"/>
        </w:rPr>
      </w:pPr>
      <w:r>
        <w:rPr>
          <w:rFonts w:hint="default"/>
          <w:lang w:val="en-US"/>
        </w:rPr>
        <w:t>The numbering is inconsistent, for example:</w:t>
      </w:r>
    </w:p>
    <w:p w14:paraId="547768DC">
      <w:pPr>
        <w:pStyle w:val="14"/>
        <w:numPr>
          <w:ilvl w:val="0"/>
          <w:numId w:val="1"/>
        </w:numPr>
        <w:rPr>
          <w:rFonts w:hint="default"/>
          <w:lang w:val="en-US"/>
        </w:rPr>
      </w:pPr>
      <w:r>
        <w:rPr>
          <w:rFonts w:hint="default"/>
          <w:lang w:val="en-US"/>
        </w:rPr>
        <w:t>Sub-chapter</w:t>
      </w:r>
    </w:p>
    <w:p w14:paraId="469A5B4F">
      <w:pPr>
        <w:pStyle w:val="14"/>
        <w:numPr>
          <w:ilvl w:val="1"/>
          <w:numId w:val="2"/>
        </w:numPr>
        <w:ind w:left="420" w:leftChars="0"/>
        <w:rPr>
          <w:rFonts w:hint="default"/>
          <w:lang w:val="en-US"/>
        </w:rPr>
      </w:pPr>
      <w:r>
        <w:rPr>
          <w:rFonts w:hint="default"/>
          <w:lang w:val="en-US"/>
        </w:rPr>
        <w:t xml:space="preserve"> Sub-sub Chapter</w:t>
      </w:r>
    </w:p>
    <w:p w14:paraId="2E05B8B1">
      <w:pPr>
        <w:pStyle w:val="14"/>
        <w:numPr>
          <w:ilvl w:val="1"/>
          <w:numId w:val="2"/>
        </w:numPr>
        <w:ind w:left="420" w:leftChars="0"/>
        <w:rPr>
          <w:rFonts w:hint="default"/>
          <w:lang w:val="en-US"/>
        </w:rPr>
      </w:pPr>
      <w:r>
        <w:rPr>
          <w:rFonts w:hint="default"/>
          <w:lang w:val="en-US"/>
        </w:rPr>
        <w:t xml:space="preserve"> Sub-sub Chapter</w:t>
      </w:r>
    </w:p>
    <w:p w14:paraId="099D53AB">
      <w:pPr>
        <w:pStyle w:val="14"/>
        <w:numPr>
          <w:numId w:val="0"/>
        </w:numPr>
        <w:rPr>
          <w:rFonts w:hint="default"/>
          <w:lang w:val="en-US"/>
        </w:rPr>
      </w:pPr>
      <w:r>
        <w:rPr>
          <w:rFonts w:hint="default"/>
          <w:lang w:val="en-US"/>
        </w:rPr>
        <w:t>…</w:t>
      </w:r>
    </w:p>
    <w:p w14:paraId="2D236E85">
      <w:pPr>
        <w:pStyle w:val="14"/>
        <w:numPr>
          <w:ilvl w:val="0"/>
          <w:numId w:val="2"/>
        </w:numPr>
        <w:ind w:left="420" w:leftChars="0"/>
        <w:rPr>
          <w:rFonts w:hint="default"/>
          <w:lang w:val="en-US"/>
        </w:rPr>
      </w:pPr>
      <w:r>
        <w:rPr>
          <w:rFonts w:hint="default"/>
          <w:lang w:val="en-US"/>
        </w:rPr>
        <w:t xml:space="preserve"> Sub-chapter</w:t>
      </w:r>
    </w:p>
    <w:p w14:paraId="2B175A99">
      <w:pPr>
        <w:pStyle w:val="14"/>
        <w:numPr>
          <w:ilvl w:val="1"/>
          <w:numId w:val="2"/>
        </w:numPr>
        <w:ind w:left="420" w:leftChars="0"/>
        <w:rPr>
          <w:rFonts w:hint="default"/>
          <w:lang w:val="en-US"/>
        </w:rPr>
      </w:pPr>
      <w:r>
        <w:rPr>
          <w:rFonts w:hint="default"/>
          <w:lang w:val="en-US"/>
        </w:rPr>
        <w:t xml:space="preserve"> Sub-sub chapter</w:t>
      </w:r>
    </w:p>
    <w:p w14:paraId="1D3D8177">
      <w:pPr>
        <w:pStyle w:val="14"/>
        <w:numPr>
          <w:ilvl w:val="1"/>
          <w:numId w:val="2"/>
        </w:numPr>
        <w:ind w:left="420" w:leftChars="0"/>
        <w:rPr>
          <w:rFonts w:hint="default"/>
          <w:lang w:val="en-US"/>
        </w:rPr>
      </w:pPr>
      <w:r>
        <w:rPr>
          <w:rFonts w:hint="default"/>
          <w:lang w:val="en-US"/>
        </w:rPr>
        <w:t xml:space="preserve"> Sub-sub chapter</w:t>
      </w:r>
    </w:p>
    <w:p w14:paraId="3512CC58">
      <w:pPr>
        <w:pStyle w:val="14"/>
        <w:numPr>
          <w:numId w:val="0"/>
        </w:numPr>
        <w:rPr>
          <w:rFonts w:hint="default"/>
          <w:lang w:val="en-US"/>
        </w:rPr>
      </w:pPr>
      <w:r>
        <w:rPr>
          <w:rFonts w:hint="default"/>
          <w:lang w:val="en-US"/>
        </w:rPr>
        <w:t>…</w:t>
      </w:r>
    </w:p>
  </w:comment>
  <w:comment w:id="10" w:author="Gangga Dara Destyano" w:date="2026-01-03T23:20:00Z" w:initials="">
    <w:p w14:paraId="594443E8">
      <w:pPr>
        <w:pStyle w:val="14"/>
        <w:rPr>
          <w:rFonts w:hint="default"/>
          <w:lang w:val="en-US"/>
        </w:rPr>
      </w:pPr>
      <w:r>
        <w:rPr>
          <w:rFonts w:hint="default"/>
          <w:lang w:val="en-US"/>
        </w:rPr>
        <w:t>Explain more about the SPI</w:t>
      </w:r>
    </w:p>
  </w:comment>
  <w:comment w:id="11" w:author="Gangga Dara Destyano" w:date="2026-01-03T22:53:48Z" w:initials="">
    <w:p w14:paraId="142AA148">
      <w:pPr>
        <w:pStyle w:val="14"/>
        <w:rPr>
          <w:rFonts w:hint="default"/>
          <w:lang w:val="en-US"/>
        </w:rPr>
      </w:pPr>
      <w:r>
        <w:rPr>
          <w:rFonts w:hint="default"/>
          <w:lang w:val="en-US"/>
        </w:rPr>
        <w:t>How about spatial analysis method?</w:t>
      </w:r>
    </w:p>
  </w:comment>
  <w:comment w:id="12" w:author="Gangga Dara Destyano" w:date="2026-01-03T22:55:20Z" w:initials="">
    <w:p w14:paraId="3D66CE4E">
      <w:pPr>
        <w:pStyle w:val="14"/>
        <w:rPr>
          <w:rFonts w:hint="default"/>
          <w:lang w:val="en-US"/>
        </w:rPr>
      </w:pPr>
      <w:r>
        <w:rPr>
          <w:rFonts w:hint="default"/>
          <w:lang w:val="en-US"/>
        </w:rPr>
        <w:t>Please add reason why use Mann-Kenall Test and Sen’s Slope. Add more previous study that use similar method.</w:t>
      </w:r>
    </w:p>
  </w:comment>
  <w:comment w:id="13" w:author="Gangga Dara Destyano" w:date="2026-01-03T22:57:56Z" w:initials="">
    <w:p w14:paraId="2056C0C3">
      <w:pPr>
        <w:pStyle w:val="14"/>
        <w:rPr>
          <w:rFonts w:hint="default"/>
          <w:lang w:val="en-US"/>
        </w:rPr>
      </w:pPr>
      <w:r>
        <w:rPr>
          <w:rFonts w:hint="default"/>
          <w:lang w:val="en-US"/>
        </w:rPr>
        <w:t>Please add more reference about this. Is the QQ plot have been used in previous study?</w:t>
      </w:r>
    </w:p>
  </w:comment>
  <w:comment w:id="14" w:author="Gangga Dara Destyano" w:date="2026-01-03T22:59:39Z" w:initials="">
    <w:p w14:paraId="090813A9">
      <w:pPr>
        <w:pStyle w:val="14"/>
        <w:rPr>
          <w:rFonts w:hint="default"/>
          <w:lang w:val="en-US"/>
        </w:rPr>
      </w:pPr>
      <w:r>
        <w:rPr>
          <w:rFonts w:hint="default"/>
          <w:lang w:val="en-US"/>
        </w:rPr>
        <w:t>Please add more reference about this. Is the PP plot have been used in previous study?</w:t>
      </w:r>
    </w:p>
  </w:comment>
  <w:comment w:id="15" w:author="Gangga Dara Destyano" w:date="2026-01-03T23:02:42Z" w:initials="">
    <w:p w14:paraId="3870E7F8">
      <w:pPr>
        <w:pStyle w:val="14"/>
        <w:rPr>
          <w:rFonts w:hint="default"/>
          <w:lang w:val="en-US"/>
        </w:rPr>
      </w:pPr>
      <w:r>
        <w:rPr>
          <w:rFonts w:hint="default"/>
          <w:lang w:val="en-US"/>
        </w:rPr>
        <w:t>Add the caption that refered by this sentence. For example : …(Figure X). Also use consistent of caption, Figure or graph?</w:t>
      </w:r>
    </w:p>
  </w:comment>
  <w:comment w:id="16" w:author="Gangga Dara Destyano" w:date="2026-01-03T23:06:47Z" w:initials="">
    <w:p w14:paraId="198D0708">
      <w:pPr>
        <w:pStyle w:val="14"/>
        <w:rPr>
          <w:rFonts w:hint="default"/>
          <w:lang w:val="en-US"/>
        </w:rPr>
      </w:pPr>
      <w:r>
        <w:rPr>
          <w:rFonts w:hint="default"/>
          <w:lang w:val="en-US"/>
        </w:rPr>
        <w:t>Use consistent of caption and placement</w:t>
      </w:r>
    </w:p>
  </w:comment>
  <w:comment w:id="17" w:author="Gangga Dara Destyano" w:date="2026-01-03T23:09:00Z" w:initials="">
    <w:p w14:paraId="4F336EF8">
      <w:pPr>
        <w:pStyle w:val="14"/>
        <w:rPr>
          <w:rFonts w:hint="default"/>
          <w:lang w:val="en-US"/>
        </w:rPr>
      </w:pPr>
      <w:r>
        <w:rPr>
          <w:rFonts w:hint="default"/>
          <w:lang w:val="en-US"/>
        </w:rPr>
        <w:t>Is this should be a part of next paragraph?</w:t>
      </w:r>
    </w:p>
  </w:comment>
  <w:comment w:id="18" w:author="Gangga Dara Destyano" w:date="2026-01-03T23:12:32Z" w:initials="">
    <w:p w14:paraId="1C6A4AFA">
      <w:pPr>
        <w:pStyle w:val="14"/>
        <w:rPr>
          <w:rFonts w:hint="default"/>
          <w:lang w:val="en-US"/>
        </w:rPr>
      </w:pPr>
      <w:r>
        <w:rPr>
          <w:rFonts w:hint="default"/>
          <w:lang w:val="en-US"/>
        </w:rPr>
        <w:t>Inconsistent caption placement</w:t>
      </w:r>
    </w:p>
  </w:comment>
  <w:comment w:id="19" w:author="Gangga Dara Destyano" w:date="2026-01-03T23:13:35Z" w:initials="">
    <w:p w14:paraId="36D73884">
      <w:pPr>
        <w:pStyle w:val="14"/>
        <w:rPr>
          <w:rFonts w:hint="default"/>
          <w:lang w:val="en-US"/>
        </w:rPr>
      </w:pPr>
      <w:r>
        <w:rPr>
          <w:rFonts w:hint="default"/>
          <w:lang w:val="en-US"/>
        </w:rPr>
        <w:t>Suggesting to rephase this sentence.</w:t>
      </w:r>
    </w:p>
  </w:comment>
  <w:comment w:id="20" w:author="Gangga Dara Destyano" w:date="2026-01-03T23:15:37Z" w:initials="">
    <w:p w14:paraId="1B0ACD49">
      <w:pPr>
        <w:pStyle w:val="14"/>
        <w:rPr>
          <w:rFonts w:hint="default"/>
          <w:lang w:val="en-US"/>
        </w:rPr>
      </w:pPr>
      <w:r>
        <w:rPr>
          <w:rFonts w:hint="default"/>
          <w:lang w:val="en-US"/>
        </w:rPr>
        <w:t>How’s the condition in other months or season?</w:t>
      </w:r>
    </w:p>
  </w:comment>
  <w:comment w:id="21" w:author="Gangga Dara Destyano" w:date="2026-01-03T23:15:02Z" w:initials="">
    <w:p w14:paraId="492AABF5">
      <w:pPr>
        <w:pStyle w:val="14"/>
      </w:pPr>
      <w:r>
        <w:annotationRef/>
      </w:r>
    </w:p>
  </w:comment>
  <w:comment w:id="22" w:author="Gangga Dara Destyano" w:date="2026-01-03T23:17:06Z" w:initials="">
    <w:p w14:paraId="57295B3D">
      <w:pPr>
        <w:pStyle w:val="14"/>
        <w:rPr>
          <w:rFonts w:hint="default"/>
          <w:lang w:val="en-US"/>
        </w:rPr>
      </w:pPr>
      <w:r>
        <w:rPr>
          <w:rFonts w:hint="default"/>
          <w:lang w:val="en-US"/>
        </w:rPr>
        <w:t>Explain more about what the regreation meaning? or what is the meaning of the equation?</w:t>
      </w:r>
    </w:p>
  </w:comment>
  <w:comment w:id="23" w:author="Gangga Dara Destyano" w:date="2026-01-03T23:13:06Z" w:initials="">
    <w:p w14:paraId="6D80D4EF">
      <w:pPr>
        <w:pStyle w:val="14"/>
        <w:rPr>
          <w:rFonts w:hint="default"/>
          <w:lang w:val="en-US"/>
        </w:rPr>
      </w:pPr>
      <w:r>
        <w:rPr>
          <w:rFonts w:hint="default"/>
          <w:lang w:val="en-US"/>
        </w:rPr>
        <w:t>Inconsistent caption placement</w:t>
      </w:r>
    </w:p>
  </w:comment>
  <w:comment w:id="24" w:author="Gangga Dara Destyano" w:date="2026-01-03T23:21:04Z" w:initials="">
    <w:p w14:paraId="7A09ABEE">
      <w:pPr>
        <w:pStyle w:val="14"/>
        <w:rPr>
          <w:rFonts w:hint="default"/>
          <w:lang w:val="en-US"/>
        </w:rPr>
      </w:pPr>
      <w:r>
        <w:rPr>
          <w:rFonts w:hint="default"/>
          <w:lang w:val="en-US"/>
        </w:rPr>
        <w:t>What is the reference of high, moderate, or even low humidity? Is it categorized by it level or ???</w:t>
      </w:r>
    </w:p>
  </w:comment>
  <w:comment w:id="25" w:author="Gangga Dara Destyano" w:date="2026-01-03T23:23:04Z" w:initials="">
    <w:p w14:paraId="539E85B5">
      <w:pPr>
        <w:pStyle w:val="14"/>
        <w:rPr>
          <w:rFonts w:hint="default"/>
          <w:lang w:val="en-US"/>
        </w:rPr>
      </w:pPr>
      <w:r>
        <w:rPr>
          <w:rFonts w:hint="default"/>
          <w:lang w:val="en-US"/>
        </w:rPr>
        <w:t>Inconsistent Caption, and the X axis show incorrent axis title</w:t>
      </w:r>
    </w:p>
  </w:comment>
  <w:comment w:id="26" w:author="Gangga Dara Destyano" w:date="2026-01-03T23:26:14Z" w:initials="">
    <w:p w14:paraId="6A1DB436">
      <w:pPr>
        <w:pStyle w:val="14"/>
        <w:rPr>
          <w:rFonts w:hint="default"/>
          <w:lang w:val="en-US"/>
        </w:rPr>
      </w:pPr>
      <w:r>
        <w:rPr>
          <w:rFonts w:hint="default"/>
          <w:lang w:val="en-US"/>
        </w:rPr>
        <w:t>Explain more about the result and it relation to previous study?</w:t>
      </w:r>
    </w:p>
  </w:comment>
  <w:comment w:id="27" w:author="Gangga Dara Destyano" w:date="2026-01-03T23:27:50Z" w:initials="">
    <w:p w14:paraId="04BBCDB0">
      <w:pPr>
        <w:pStyle w:val="14"/>
        <w:rPr>
          <w:rFonts w:hint="default"/>
          <w:lang w:val="en-US"/>
        </w:rPr>
      </w:pPr>
      <w:r>
        <w:rPr>
          <w:rFonts w:hint="default"/>
          <w:lang w:val="en-US"/>
        </w:rPr>
        <w:t>Is the rainfall variability effected by climate phenomenon?</w:t>
      </w:r>
    </w:p>
  </w:comment>
  <w:comment w:id="28" w:author="Gangga Dara Destyano" w:date="2026-01-03T23:27:23Z" w:initials="">
    <w:p w14:paraId="17ED5BA3">
      <w:pPr>
        <w:pStyle w:val="14"/>
        <w:rPr>
          <w:rFonts w:hint="default"/>
          <w:lang w:val="en-US"/>
        </w:rPr>
      </w:pPr>
      <w:r>
        <w:rPr>
          <w:rFonts w:hint="default"/>
          <w:lang w:val="en-US"/>
        </w:rPr>
        <w:t>Add more information about the spatial analysis of the rainfall vairability?</w:t>
      </w:r>
    </w:p>
  </w:comment>
  <w:comment w:id="29" w:author="Gangga Dara Destyano" w:date="2026-01-03T23:34:28Z" w:initials="">
    <w:p w14:paraId="0DB6452B">
      <w:pPr>
        <w:pStyle w:val="14"/>
        <w:rPr>
          <w:rFonts w:hint="default"/>
          <w:lang w:val="en-US"/>
        </w:rPr>
      </w:pPr>
      <w:r>
        <w:rPr>
          <w:rFonts w:hint="default"/>
          <w:lang w:val="en-US"/>
        </w:rPr>
        <w:t>How complex is it? and how it can influence the socio economic?</w:t>
      </w:r>
    </w:p>
  </w:comment>
  <w:comment w:id="30" w:author="Gangga Dara Destyano" w:date="2026-01-03T23:31:50Z" w:initials="">
    <w:p w14:paraId="530B3367">
      <w:pPr>
        <w:pStyle w:val="14"/>
        <w:rPr>
          <w:rFonts w:hint="default"/>
          <w:lang w:val="en-US"/>
        </w:rPr>
      </w:pPr>
      <w:r>
        <w:rPr>
          <w:rFonts w:hint="default"/>
          <w:lang w:val="en-US"/>
        </w:rPr>
        <w:t>Explain more about the irregurality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820B525" w15:done="0"/>
  <w15:commentEx w15:paraId="0A1AF59E" w15:done="0"/>
  <w15:commentEx w15:paraId="38832E09" w15:done="0"/>
  <w15:commentEx w15:paraId="377FAD38" w15:done="0"/>
  <w15:commentEx w15:paraId="5422FAD2" w15:done="0"/>
  <w15:commentEx w15:paraId="7848C258" w15:done="0"/>
  <w15:commentEx w15:paraId="240686AB" w15:done="0"/>
  <w15:commentEx w15:paraId="10699713" w15:done="0"/>
  <w15:commentEx w15:paraId="5766C2B9" w15:done="0"/>
  <w15:commentEx w15:paraId="3512CC58" w15:done="0"/>
  <w15:commentEx w15:paraId="594443E8" w15:done="0"/>
  <w15:commentEx w15:paraId="142AA148" w15:done="0"/>
  <w15:commentEx w15:paraId="3D66CE4E" w15:done="0"/>
  <w15:commentEx w15:paraId="2056C0C3" w15:done="0"/>
  <w15:commentEx w15:paraId="090813A9" w15:done="0"/>
  <w15:commentEx w15:paraId="3870E7F8" w15:done="0"/>
  <w15:commentEx w15:paraId="198D0708" w15:done="0"/>
  <w15:commentEx w15:paraId="4F336EF8" w15:done="0"/>
  <w15:commentEx w15:paraId="1C6A4AFA" w15:done="0"/>
  <w15:commentEx w15:paraId="36D73884" w15:done="0"/>
  <w15:commentEx w15:paraId="1B0ACD49" w15:done="0"/>
  <w15:commentEx w15:paraId="492AABF5" w15:done="0"/>
  <w15:commentEx w15:paraId="57295B3D" w15:done="0"/>
  <w15:commentEx w15:paraId="6D80D4EF" w15:done="0"/>
  <w15:commentEx w15:paraId="7A09ABEE" w15:done="0"/>
  <w15:commentEx w15:paraId="539E85B5" w15:done="0"/>
  <w15:commentEx w15:paraId="6A1DB436" w15:done="0"/>
  <w15:commentEx w15:paraId="04BBCDB0" w15:done="0"/>
  <w15:commentEx w15:paraId="17ED5BA3" w15:done="0"/>
  <w15:commentEx w15:paraId="0DB6452B" w15:done="0"/>
  <w15:commentEx w15:paraId="530B33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01"/>
    <w:family w:val="auto"/>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4F7C">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B">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8B006">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4E72E">
    <w:pPr>
      <w:pStyle w:val="16"/>
    </w:pPr>
    <w:r>
      <w:pict>
        <v:shape id="PowerPlusWaterMarkObject1135205658" o:spid="_x0000_s2051" o:spt="136" type="#_x0000_t136" style="position:absolute;left:0pt;height:101.45pt;width:538.0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E9A1D">
    <w:pPr>
      <w:pStyle w:val="16"/>
    </w:pPr>
    <w:r>
      <w:pict>
        <v:shape id="PowerPlusWaterMarkObject1135205657" o:spid="_x0000_s2050" o:spt="136" type="#_x0000_t136" style="position:absolute;left:0pt;height:101.45pt;width:538.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8AFD9">
    <w:pPr>
      <w:pStyle w:val="16"/>
    </w:pPr>
    <w:r>
      <w:pict>
        <v:shape id="PowerPlusWaterMarkObject1135205656" o:spid="_x0000_s2049" o:spt="136" type="#_x0000_t136" style="position:absolute;left:0pt;height:101.45pt;width:538.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98F91"/>
    <w:multiLevelType w:val="multilevel"/>
    <w:tmpl w:val="A7698F91"/>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1FBF2D25"/>
    <w:multiLevelType w:val="multilevel"/>
    <w:tmpl w:val="1FBF2D25"/>
    <w:lvl w:ilvl="0" w:tentative="0">
      <w:start w:val="1"/>
      <w:numFmt w:val="decimal"/>
      <w:lvlText w:val="%1."/>
      <w:lvlJc w:val="left"/>
      <w:pPr>
        <w:tabs>
          <w:tab w:val="left" w:pos="312"/>
        </w:tabs>
      </w:p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
    <w:nsid w:val="20C44A1D"/>
    <w:multiLevelType w:val="multilevel"/>
    <w:tmpl w:val="20C44A1D"/>
    <w:lvl w:ilvl="0" w:tentative="0">
      <w:start w:val="2"/>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30B41ADD"/>
    <w:multiLevelType w:val="multilevel"/>
    <w:tmpl w:val="30B41ADD"/>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4">
    <w:nsid w:val="34167DED"/>
    <w:multiLevelType w:val="multilevel"/>
    <w:tmpl w:val="34167D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angga Dara Destyano">
    <w15:presenceInfo w15:providerId="WPS Office" w15:userId="2557551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FFC"/>
    <w:rsid w:val="00023D1D"/>
    <w:rsid w:val="00065C32"/>
    <w:rsid w:val="000A490B"/>
    <w:rsid w:val="000B0B45"/>
    <w:rsid w:val="000D23F9"/>
    <w:rsid w:val="000D389A"/>
    <w:rsid w:val="001466B7"/>
    <w:rsid w:val="001526E0"/>
    <w:rsid w:val="001632D5"/>
    <w:rsid w:val="00174761"/>
    <w:rsid w:val="001857A3"/>
    <w:rsid w:val="0026444D"/>
    <w:rsid w:val="00266A69"/>
    <w:rsid w:val="00273DB2"/>
    <w:rsid w:val="002A0D6B"/>
    <w:rsid w:val="002A5BAF"/>
    <w:rsid w:val="002D507D"/>
    <w:rsid w:val="002E1A46"/>
    <w:rsid w:val="002F358D"/>
    <w:rsid w:val="00356B7D"/>
    <w:rsid w:val="003A04EF"/>
    <w:rsid w:val="003B05CA"/>
    <w:rsid w:val="003F1292"/>
    <w:rsid w:val="00451663"/>
    <w:rsid w:val="004A3408"/>
    <w:rsid w:val="004B5FFC"/>
    <w:rsid w:val="004E7478"/>
    <w:rsid w:val="004E7519"/>
    <w:rsid w:val="005220DA"/>
    <w:rsid w:val="0053608E"/>
    <w:rsid w:val="005A0BF5"/>
    <w:rsid w:val="005D154B"/>
    <w:rsid w:val="005D76DA"/>
    <w:rsid w:val="005E2317"/>
    <w:rsid w:val="0061703F"/>
    <w:rsid w:val="00630C42"/>
    <w:rsid w:val="006D7D77"/>
    <w:rsid w:val="0071482C"/>
    <w:rsid w:val="00723C50"/>
    <w:rsid w:val="00737698"/>
    <w:rsid w:val="007453B2"/>
    <w:rsid w:val="00817399"/>
    <w:rsid w:val="008310DB"/>
    <w:rsid w:val="008E4F48"/>
    <w:rsid w:val="00905EDC"/>
    <w:rsid w:val="00910B1B"/>
    <w:rsid w:val="00944D24"/>
    <w:rsid w:val="00956C63"/>
    <w:rsid w:val="0098647A"/>
    <w:rsid w:val="009D5F79"/>
    <w:rsid w:val="00A05C2D"/>
    <w:rsid w:val="00A32FC5"/>
    <w:rsid w:val="00A4492C"/>
    <w:rsid w:val="00A96C2E"/>
    <w:rsid w:val="00AB4BDC"/>
    <w:rsid w:val="00AB7BDC"/>
    <w:rsid w:val="00AC29CD"/>
    <w:rsid w:val="00AC6CED"/>
    <w:rsid w:val="00B65AA3"/>
    <w:rsid w:val="00B949FE"/>
    <w:rsid w:val="00BA4171"/>
    <w:rsid w:val="00BC72C2"/>
    <w:rsid w:val="00BD067F"/>
    <w:rsid w:val="00C55DAE"/>
    <w:rsid w:val="00C639BC"/>
    <w:rsid w:val="00C6536F"/>
    <w:rsid w:val="00C65E98"/>
    <w:rsid w:val="00C667D8"/>
    <w:rsid w:val="00CE5F03"/>
    <w:rsid w:val="00CE64D2"/>
    <w:rsid w:val="00CF4652"/>
    <w:rsid w:val="00D72A49"/>
    <w:rsid w:val="00DB5594"/>
    <w:rsid w:val="00DC17A1"/>
    <w:rsid w:val="00DD32BB"/>
    <w:rsid w:val="00DE7FCE"/>
    <w:rsid w:val="00E0097E"/>
    <w:rsid w:val="00E05F80"/>
    <w:rsid w:val="00E16E79"/>
    <w:rsid w:val="00E22846"/>
    <w:rsid w:val="00E3535B"/>
    <w:rsid w:val="00E433A2"/>
    <w:rsid w:val="00E506DF"/>
    <w:rsid w:val="00E7099C"/>
    <w:rsid w:val="00E967C9"/>
    <w:rsid w:val="00ED6BF8"/>
    <w:rsid w:val="00F44C6B"/>
    <w:rsid w:val="00F454E8"/>
    <w:rsid w:val="00F74ABF"/>
    <w:rsid w:val="00F820F7"/>
    <w:rsid w:val="00FD2CFC"/>
    <w:rsid w:val="18251A52"/>
    <w:rsid w:val="7E0A65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fr-FR" w:eastAsia="en-US" w:bidi="ar-SA"/>
      <w14:ligatures w14:val="standardContextual"/>
    </w:rPr>
  </w:style>
  <w:style w:type="paragraph" w:styleId="2">
    <w:name w:val="heading 1"/>
    <w:basedOn w:val="1"/>
    <w:next w:val="1"/>
    <w:link w:val="22"/>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4"/>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7"/>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caption"/>
    <w:basedOn w:val="1"/>
    <w:next w:val="1"/>
    <w:unhideWhenUsed/>
    <w:qFormat/>
    <w:uiPriority w:val="35"/>
    <w:pPr>
      <w:spacing w:after="200" w:line="240" w:lineRule="auto"/>
      <w:jc w:val="both"/>
    </w:pPr>
    <w:rPr>
      <w:rFonts w:ascii="Times New Roman" w:hAnsi="Times New Roman"/>
      <w:i/>
      <w:iCs/>
      <w:color w:val="44546A" w:themeColor="text2"/>
      <w:kern w:val="0"/>
      <w:sz w:val="18"/>
      <w:szCs w:val="18"/>
      <w14:textFill>
        <w14:solidFill>
          <w14:schemeClr w14:val="tx2"/>
        </w14:solidFill>
      </w14:textFill>
      <w14:ligatures w14:val="none"/>
    </w:rPr>
  </w:style>
  <w:style w:type="paragraph" w:styleId="14">
    <w:name w:val="annotation text"/>
    <w:basedOn w:val="1"/>
    <w:semiHidden/>
    <w:unhideWhenUsed/>
    <w:uiPriority w:val="99"/>
    <w:pPr>
      <w:jc w:val="left"/>
    </w:pPr>
  </w:style>
  <w:style w:type="paragraph" w:styleId="15">
    <w:name w:val="footer"/>
    <w:basedOn w:val="1"/>
    <w:link w:val="42"/>
    <w:unhideWhenUsed/>
    <w:uiPriority w:val="99"/>
    <w:pPr>
      <w:tabs>
        <w:tab w:val="center" w:pos="4680"/>
        <w:tab w:val="right" w:pos="9360"/>
      </w:tabs>
      <w:spacing w:after="0" w:line="240" w:lineRule="auto"/>
    </w:pPr>
  </w:style>
  <w:style w:type="paragraph" w:styleId="16">
    <w:name w:val="header"/>
    <w:basedOn w:val="1"/>
    <w:link w:val="41"/>
    <w:unhideWhenUsed/>
    <w:qFormat/>
    <w:uiPriority w:val="99"/>
    <w:pPr>
      <w:tabs>
        <w:tab w:val="center" w:pos="4680"/>
        <w:tab w:val="right" w:pos="9360"/>
      </w:tabs>
      <w:spacing w:after="0" w:line="240" w:lineRule="auto"/>
    </w:pPr>
  </w:style>
  <w:style w:type="character" w:styleId="17">
    <w:name w:val="Hyperlink"/>
    <w:basedOn w:val="11"/>
    <w:unhideWhenUsed/>
    <w:uiPriority w:val="99"/>
    <w:rPr>
      <w:color w:val="0563C1" w:themeColor="hyperlink"/>
      <w:u w:val="single"/>
      <w14:textFill>
        <w14:solidFill>
          <w14:schemeClr w14:val="hlink"/>
        </w14:solidFill>
      </w14:textFill>
    </w:rPr>
  </w:style>
  <w:style w:type="paragraph" w:styleId="18">
    <w:name w:val="Normal (Web)"/>
    <w:basedOn w:val="1"/>
    <w:semiHidden/>
    <w:unhideWhenUsed/>
    <w:uiPriority w:val="99"/>
    <w:rPr>
      <w:rFonts w:ascii="Times New Roman" w:hAnsi="Times New Roman" w:cs="Times New Roman"/>
    </w:rPr>
  </w:style>
  <w:style w:type="paragraph" w:styleId="19">
    <w:name w:val="Subtitle"/>
    <w:basedOn w:val="1"/>
    <w:next w:val="1"/>
    <w:link w:val="3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0">
    <w:name w:val="Table Grid"/>
    <w:basedOn w:val="12"/>
    <w:uiPriority w:val="39"/>
    <w:pPr>
      <w:spacing w:after="0" w:line="240" w:lineRule="auto"/>
    </w:pPr>
    <w:rPr>
      <w:kern w:val="0"/>
      <w:sz w:val="22"/>
      <w:szCs w:val="22"/>
      <w:lang w:val="fr-F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2">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3">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4">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5">
    <w:name w:val="Heading 4 Char"/>
    <w:basedOn w:val="11"/>
    <w:link w:val="5"/>
    <w:semiHidden/>
    <w:uiPriority w:val="9"/>
    <w:rPr>
      <w:rFonts w:eastAsiaTheme="majorEastAsia" w:cstheme="majorBidi"/>
      <w:i/>
      <w:iCs/>
      <w:color w:val="2F5597" w:themeColor="accent1" w:themeShade="BF"/>
    </w:rPr>
  </w:style>
  <w:style w:type="character" w:customStyle="1" w:styleId="26">
    <w:name w:val="Heading 5 Char"/>
    <w:basedOn w:val="11"/>
    <w:link w:val="6"/>
    <w:semiHidden/>
    <w:qFormat/>
    <w:uiPriority w:val="9"/>
    <w:rPr>
      <w:rFonts w:eastAsiaTheme="majorEastAsia" w:cstheme="majorBidi"/>
      <w:color w:val="2F5597" w:themeColor="accent1" w:themeShade="BF"/>
    </w:rPr>
  </w:style>
  <w:style w:type="character" w:customStyle="1" w:styleId="27">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Title Char"/>
    <w:basedOn w:val="11"/>
    <w:link w:val="21"/>
    <w:qFormat/>
    <w:uiPriority w:val="10"/>
    <w:rPr>
      <w:rFonts w:asciiTheme="majorHAnsi" w:hAnsiTheme="majorHAnsi" w:eastAsiaTheme="majorEastAsia" w:cstheme="majorBidi"/>
      <w:spacing w:val="-10"/>
      <w:kern w:val="28"/>
      <w:sz w:val="56"/>
      <w:szCs w:val="56"/>
    </w:rPr>
  </w:style>
  <w:style w:type="character" w:customStyle="1" w:styleId="32">
    <w:name w:val="Subtitle Char"/>
    <w:basedOn w:val="11"/>
    <w:link w:val="19"/>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1"/>
    <w:link w:val="33"/>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1"/>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Intense Quote Char"/>
    <w:basedOn w:val="11"/>
    <w:link w:val="37"/>
    <w:qFormat/>
    <w:uiPriority w:val="30"/>
    <w:rPr>
      <w:i/>
      <w:iCs/>
      <w:color w:val="2F5597" w:themeColor="accent1" w:themeShade="BF"/>
    </w:rPr>
  </w:style>
  <w:style w:type="character" w:customStyle="1" w:styleId="39">
    <w:name w:val="Intense Reference"/>
    <w:basedOn w:val="11"/>
    <w:qFormat/>
    <w:uiPriority w:val="32"/>
    <w:rPr>
      <w:b/>
      <w:bCs/>
      <w:smallCaps/>
      <w:color w:val="2F5597" w:themeColor="accent1" w:themeShade="BF"/>
      <w:spacing w:val="5"/>
    </w:rPr>
  </w:style>
  <w:style w:type="character" w:customStyle="1" w:styleId="40">
    <w:name w:val="Unresolved Mention"/>
    <w:basedOn w:val="11"/>
    <w:semiHidden/>
    <w:unhideWhenUsed/>
    <w:uiPriority w:val="99"/>
    <w:rPr>
      <w:color w:val="605E5C"/>
      <w:shd w:val="clear" w:color="auto" w:fill="E1DFDD"/>
    </w:rPr>
  </w:style>
  <w:style w:type="character" w:customStyle="1" w:styleId="41">
    <w:name w:val="Header Char"/>
    <w:basedOn w:val="11"/>
    <w:link w:val="16"/>
    <w:uiPriority w:val="99"/>
    <w:rPr>
      <w:lang w:val="fr-FR"/>
    </w:rPr>
  </w:style>
  <w:style w:type="character" w:customStyle="1" w:styleId="42">
    <w:name w:val="Footer Char"/>
    <w:basedOn w:val="11"/>
    <w:link w:val="15"/>
    <w:uiPriority w:val="99"/>
    <w:rPr>
      <w:lang w:val="fr-FR"/>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Classeur3"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Classeur3" TargetMode="External"/></Relationships>
</file>

<file path=word/charts/_rels/chart3.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chartUserShapes" Target="../drawings/drawing1.xml"/><Relationship Id="rId2" Type="http://schemas.openxmlformats.org/officeDocument/2006/relationships/themeOverride" Target="../theme/themeOverride2.xml"/><Relationship Id="rId1" Type="http://schemas.openxmlformats.org/officeDocument/2006/relationships/oleObject" Target="file:///C:\Users\HP%20ProBook\Downloads\jb_clim\Pluie.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5" Type="http://schemas.microsoft.com/office/2011/relationships/chartColorStyle" Target="colors2.xml"/><Relationship Id="rId4" Type="http://schemas.microsoft.com/office/2011/relationships/chartStyle" Target="style2.xml"/><Relationship Id="rId3" Type="http://schemas.openxmlformats.org/officeDocument/2006/relationships/chartUserShapes" Target="../drawings/drawing2.xml"/><Relationship Id="rId2" Type="http://schemas.openxmlformats.org/officeDocument/2006/relationships/themeOverride" Target="../theme/themeOverride4.xml"/><Relationship Id="rId1" Type="http://schemas.openxmlformats.org/officeDocument/2006/relationships/oleObject" Target="file:///C:\Users\HP%20ProBook\Desktop\Donn&#233;es%20J.B\Copie%20de%20PLUIE(2013).xls"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5.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900" b="1" i="0" u="none" strike="noStrike" kern="1200" baseline="0">
                <a:solidFill>
                  <a:schemeClr val="tx1"/>
                </a:solidFill>
                <a:latin typeface="Arial" panose="020B0604020202020204"/>
                <a:ea typeface="Arial" panose="020B0604020202020204"/>
                <a:cs typeface="Arial" panose="020B0604020202020204"/>
              </a:defRPr>
            </a:pPr>
            <a:r>
              <a:rPr lang="en-US"/>
              <a:t>P-P plot (Moyenne-pluie)</a:t>
            </a:r>
            <a:endParaRPr lang="en-US"/>
          </a:p>
        </c:rich>
      </c:tx>
      <c:layout/>
      <c:overlay val="0"/>
    </c:title>
    <c:autoTitleDeleted val="0"/>
    <c:plotArea>
      <c:layout>
        <c:manualLayout>
          <c:layoutTarget val="inner"/>
          <c:xMode val="edge"/>
          <c:yMode val="edge"/>
          <c:x val="0.201766361866057"/>
          <c:y val="0.0249854952341484"/>
          <c:w val="0.763399585132504"/>
          <c:h val="0.708576691071511"/>
        </c:manualLayout>
      </c:layout>
      <c:scatterChart>
        <c:scatterStyle val="lineMarker"/>
        <c:varyColors val="0"/>
        <c:ser>
          <c:idx val="0"/>
          <c:order val="0"/>
          <c:spPr>
            <a:ln w="25400" cap="rnd" cmpd="sng" algn="ctr">
              <a:noFill/>
              <a:prstDash val="solid"/>
              <a:round/>
            </a:ln>
            <a:effectLst/>
          </c:spPr>
          <c:marker>
            <c:symbol val="circle"/>
            <c:size val="3"/>
            <c:spPr>
              <a:solidFill>
                <a:srgbClr val="003CE6"/>
              </a:solidFill>
              <a:ln w="6350" cap="flat" cmpd="sng" algn="ctr">
                <a:solidFill>
                  <a:srgbClr val="003CE6"/>
                </a:solidFill>
                <a:prstDash val="solid"/>
                <a:round/>
              </a:ln>
            </c:spPr>
          </c:marker>
          <c:dLbls>
            <c:delete val="1"/>
          </c:dLbls>
          <c:xVal>
            <c:numRef>
              <c:f>'Tests de normalité_HID'!$A$1:$A$29</c:f>
              <c:numCache>
                <c:formatCode>General</c:formatCode>
                <c:ptCount val="29"/>
                <c:pt idx="0">
                  <c:v>0.0333333333333333</c:v>
                </c:pt>
                <c:pt idx="1">
                  <c:v>0.0666666666666667</c:v>
                </c:pt>
                <c:pt idx="2">
                  <c:v>0.1</c:v>
                </c:pt>
                <c:pt idx="3">
                  <c:v>0.133333333333333</c:v>
                </c:pt>
                <c:pt idx="4">
                  <c:v>0.166666666666667</c:v>
                </c:pt>
                <c:pt idx="5">
                  <c:v>0.2</c:v>
                </c:pt>
                <c:pt idx="6">
                  <c:v>0.233333333333333</c:v>
                </c:pt>
                <c:pt idx="7">
                  <c:v>0.266666666666667</c:v>
                </c:pt>
                <c:pt idx="8">
                  <c:v>0.3</c:v>
                </c:pt>
                <c:pt idx="9">
                  <c:v>0.333333333333333</c:v>
                </c:pt>
                <c:pt idx="10">
                  <c:v>0.366666666666667</c:v>
                </c:pt>
                <c:pt idx="11">
                  <c:v>0.4</c:v>
                </c:pt>
                <c:pt idx="12">
                  <c:v>0.433333333333333</c:v>
                </c:pt>
                <c:pt idx="13">
                  <c:v>0.466666666666667</c:v>
                </c:pt>
                <c:pt idx="14">
                  <c:v>0.5</c:v>
                </c:pt>
                <c:pt idx="15">
                  <c:v>0.533333333333333</c:v>
                </c:pt>
                <c:pt idx="16">
                  <c:v>0.566666666666667</c:v>
                </c:pt>
                <c:pt idx="17">
                  <c:v>0.6</c:v>
                </c:pt>
                <c:pt idx="18">
                  <c:v>0.633333333333333</c:v>
                </c:pt>
                <c:pt idx="19">
                  <c:v>0.666666666666667</c:v>
                </c:pt>
                <c:pt idx="20">
                  <c:v>0.7</c:v>
                </c:pt>
                <c:pt idx="21">
                  <c:v>0.733333333333333</c:v>
                </c:pt>
                <c:pt idx="22">
                  <c:v>0.766666666666667</c:v>
                </c:pt>
                <c:pt idx="23">
                  <c:v>0.8</c:v>
                </c:pt>
                <c:pt idx="24">
                  <c:v>0.833333333333333</c:v>
                </c:pt>
                <c:pt idx="25">
                  <c:v>0.866666666666667</c:v>
                </c:pt>
                <c:pt idx="26">
                  <c:v>0.9</c:v>
                </c:pt>
                <c:pt idx="27">
                  <c:v>0.933333333333333</c:v>
                </c:pt>
                <c:pt idx="28">
                  <c:v>0.966666666666667</c:v>
                </c:pt>
              </c:numCache>
            </c:numRef>
          </c:xVal>
          <c:yVal>
            <c:numRef>
              <c:f>'Tests de normalité_HID'!$B$1:$B$29</c:f>
              <c:numCache>
                <c:formatCode>General</c:formatCode>
                <c:ptCount val="29"/>
                <c:pt idx="0">
                  <c:v>0.0458283952674832</c:v>
                </c:pt>
                <c:pt idx="1">
                  <c:v>0.0509955887002265</c:v>
                </c:pt>
                <c:pt idx="2">
                  <c:v>0.0533475107995187</c:v>
                </c:pt>
                <c:pt idx="3">
                  <c:v>0.0757302702453681</c:v>
                </c:pt>
                <c:pt idx="4">
                  <c:v>0.129625073687978</c:v>
                </c:pt>
                <c:pt idx="5">
                  <c:v>0.169777409372145</c:v>
                </c:pt>
                <c:pt idx="6">
                  <c:v>0.179659140664163</c:v>
                </c:pt>
                <c:pt idx="7">
                  <c:v>0.19570785304273</c:v>
                </c:pt>
                <c:pt idx="8">
                  <c:v>0.221473462094831</c:v>
                </c:pt>
                <c:pt idx="9">
                  <c:v>0.253760996638439</c:v>
                </c:pt>
                <c:pt idx="10">
                  <c:v>0.348888776773216</c:v>
                </c:pt>
                <c:pt idx="11">
                  <c:v>0.360436857457805</c:v>
                </c:pt>
                <c:pt idx="12">
                  <c:v>0.412895891362385</c:v>
                </c:pt>
                <c:pt idx="13">
                  <c:v>0.493311010506199</c:v>
                </c:pt>
                <c:pt idx="14">
                  <c:v>0.503083998557068</c:v>
                </c:pt>
                <c:pt idx="15">
                  <c:v>0.519039904697714</c:v>
                </c:pt>
                <c:pt idx="16">
                  <c:v>0.642289889589987</c:v>
                </c:pt>
                <c:pt idx="17">
                  <c:v>0.64502966136815</c:v>
                </c:pt>
                <c:pt idx="18">
                  <c:v>0.657114187900656</c:v>
                </c:pt>
                <c:pt idx="19">
                  <c:v>0.668447708333991</c:v>
                </c:pt>
                <c:pt idx="20">
                  <c:v>0.68312701996834</c:v>
                </c:pt>
                <c:pt idx="21">
                  <c:v>0.704610089895102</c:v>
                </c:pt>
                <c:pt idx="22">
                  <c:v>0.742545896000239</c:v>
                </c:pt>
                <c:pt idx="23">
                  <c:v>0.802693675904697</c:v>
                </c:pt>
                <c:pt idx="24">
                  <c:v>0.854386344225133</c:v>
                </c:pt>
                <c:pt idx="25">
                  <c:v>0.881398464570363</c:v>
                </c:pt>
                <c:pt idx="26">
                  <c:v>0.906174984263451</c:v>
                </c:pt>
                <c:pt idx="27">
                  <c:v>0.928923155971264</c:v>
                </c:pt>
                <c:pt idx="28">
                  <c:v>0.955792302442922</c:v>
                </c:pt>
              </c:numCache>
            </c:numRef>
          </c:yVal>
          <c:smooth val="0"/>
        </c:ser>
        <c:ser>
          <c:idx val="1"/>
          <c:order val="1"/>
          <c:spPr>
            <a:ln w="6350" cap="rnd" cmpd="sng" algn="ctr">
              <a:solidFill>
                <a:srgbClr val="000000"/>
              </a:solidFill>
              <a:prstDash val="lgDash"/>
              <a:round/>
            </a:ln>
          </c:spPr>
          <c:marker>
            <c:symbol val="none"/>
          </c:marker>
          <c:dLbls>
            <c:delete val="1"/>
          </c:dLbls>
          <c:xVal>
            <c:numRef>
              <c:f>{0,1}</c:f>
              <c:numCache>
                <c:formatCode>General</c:formatCode>
                <c:ptCount val="2"/>
                <c:pt idx="0">
                  <c:v>0</c:v>
                </c:pt>
                <c:pt idx="1">
                  <c:v>1</c:v>
                </c:pt>
              </c:numCache>
            </c:numRef>
          </c:xVal>
          <c:yVal>
            <c:numRef>
              <c:f>{0,1}</c:f>
              <c:numCache>
                <c:formatCode>General</c:formatCode>
                <c:ptCount val="2"/>
                <c:pt idx="0">
                  <c:v>0</c:v>
                </c:pt>
                <c:pt idx="1">
                  <c:v>1</c:v>
                </c:pt>
              </c:numCache>
            </c:numRef>
          </c:yVal>
          <c:smooth val="0"/>
        </c:ser>
        <c:dLbls>
          <c:showLegendKey val="0"/>
          <c:showVal val="0"/>
          <c:showCatName val="0"/>
          <c:showSerName val="0"/>
          <c:showPercent val="0"/>
          <c:showBubbleSize val="0"/>
        </c:dLbls>
        <c:axId val="-858335376"/>
        <c:axId val="-858324496"/>
      </c:scatterChart>
      <c:valAx>
        <c:axId val="-858335376"/>
        <c:scaling>
          <c:orientation val="minMax"/>
          <c:max val="1"/>
          <c:min val="0"/>
        </c:scaling>
        <c:delete val="0"/>
        <c:axPos val="b"/>
        <c:numFmt formatCode="General" sourceLinked="0"/>
        <c:majorTickMark val="cross"/>
        <c:minorTickMark val="none"/>
        <c:tickLblPos val="nextTo"/>
        <c:txPr>
          <a:bodyPr rot="0" spcFirstLastPara="0" vertOverflow="ellipsis" vert="horz" wrap="square" anchor="ctr" anchorCtr="1"/>
          <a:lstStyle/>
          <a:p>
            <a:pPr>
              <a:defRPr lang="en-US" sz="700" b="0" i="0" u="none" strike="noStrike" kern="1200" baseline="0">
                <a:solidFill>
                  <a:schemeClr val="tx1"/>
                </a:solidFill>
                <a:latin typeface="+mn-lt"/>
                <a:ea typeface="+mn-ea"/>
                <a:cs typeface="+mn-cs"/>
              </a:defRPr>
            </a:pPr>
          </a:p>
        </c:txPr>
        <c:crossAx val="-858324496"/>
        <c:crosses val="autoZero"/>
        <c:crossBetween val="midCat"/>
      </c:valAx>
      <c:valAx>
        <c:axId val="-858324496"/>
        <c:scaling>
          <c:orientation val="minMax"/>
          <c:max val="1"/>
          <c:min val="0"/>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Arial" panose="020B0604020202020204"/>
                    <a:ea typeface="Arial" panose="020B0604020202020204"/>
                    <a:cs typeface="Arial" panose="020B0604020202020204"/>
                  </a:defRPr>
                </a:pPr>
                <a:r>
                  <a:rPr lang="en-US"/>
                  <a:t>Fonction de répartition théorique</a:t>
                </a:r>
                <a:endParaRPr lang="en-US"/>
              </a:p>
            </c:rich>
          </c:tx>
          <c:layout/>
          <c:overlay val="0"/>
        </c:title>
        <c:numFmt formatCode="General" sourceLinked="0"/>
        <c:majorTickMark val="cross"/>
        <c:minorTickMark val="none"/>
        <c:tickLblPos val="nextTo"/>
        <c:txPr>
          <a:bodyPr rot="-60000000" spcFirstLastPara="0" vertOverflow="ellipsis" vert="horz" wrap="square" anchor="ctr" anchorCtr="1"/>
          <a:lstStyle/>
          <a:p>
            <a:pPr>
              <a:defRPr lang="en-US" sz="700" b="0" i="0" u="none" strike="noStrike" kern="1200" baseline="0">
                <a:solidFill>
                  <a:schemeClr val="tx1"/>
                </a:solidFill>
                <a:latin typeface="+mn-lt"/>
                <a:ea typeface="+mn-ea"/>
                <a:cs typeface="+mn-cs"/>
              </a:defRPr>
            </a:pPr>
          </a:p>
        </c:txPr>
        <c:crossAx val="-858335376"/>
        <c:crosses val="autoZero"/>
        <c:crossBetween val="midCat"/>
      </c:valAx>
      <c:spPr>
        <a:ln>
          <a:solidFill>
            <a:srgbClr val="C0C0C0"/>
          </a:solidFill>
          <a:prstDash val="solid"/>
        </a:ln>
      </c:spPr>
    </c:plotArea>
    <c:plotVisOnly val="1"/>
    <c:dispBlanksAs val="gap"/>
    <c:showDLblsOverMax val="0"/>
    <c:extLst>
      <c:ext uri="{0b15fc19-7d7d-44ad-8c2d-2c3a37ce22c3}">
        <chartProps xmlns="https://web.wps.cn/et/2018/main" chartId="{d856f05f-25c6-4111-8bb5-952f416d9751}"/>
      </c:ext>
    </c:extLst>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900" b="1" i="0" u="none" strike="noStrike" kern="1200" baseline="0">
                <a:solidFill>
                  <a:schemeClr val="tx1"/>
                </a:solidFill>
                <a:latin typeface="Arial" panose="020B0604020202020204"/>
                <a:ea typeface="Arial" panose="020B0604020202020204"/>
                <a:cs typeface="Arial" panose="020B0604020202020204"/>
              </a:defRPr>
            </a:pPr>
            <a:r>
              <a:rPr lang="en-US"/>
              <a:t>Q-Q plot (Moyenne-pluie)</a:t>
            </a:r>
            <a:endParaRPr lang="en-US"/>
          </a:p>
        </c:rich>
      </c:tx>
      <c:layout/>
      <c:overlay val="0"/>
    </c:title>
    <c:autoTitleDeleted val="0"/>
    <c:plotArea>
      <c:layout>
        <c:manualLayout>
          <c:layoutTarget val="inner"/>
          <c:xMode val="edge"/>
          <c:yMode val="edge"/>
          <c:x val="0.1656770544527"/>
          <c:y val="0.142860490652954"/>
          <c:w val="0.761318250711619"/>
          <c:h val="0.666520896426408"/>
        </c:manualLayout>
      </c:layout>
      <c:scatterChart>
        <c:scatterStyle val="lineMarker"/>
        <c:varyColors val="0"/>
        <c:ser>
          <c:idx val="0"/>
          <c:order val="0"/>
          <c:spPr>
            <a:ln w="25400" cap="rnd" cmpd="sng" algn="ctr">
              <a:noFill/>
              <a:prstDash val="solid"/>
              <a:round/>
            </a:ln>
            <a:effectLst/>
          </c:spPr>
          <c:marker>
            <c:symbol val="circle"/>
            <c:size val="3"/>
            <c:spPr>
              <a:solidFill>
                <a:srgbClr val="003CE6"/>
              </a:solidFill>
              <a:ln w="6350" cap="flat" cmpd="sng" algn="ctr">
                <a:solidFill>
                  <a:srgbClr val="003CE6"/>
                </a:solidFill>
                <a:prstDash val="solid"/>
                <a:round/>
              </a:ln>
            </c:spPr>
          </c:marker>
          <c:dLbls>
            <c:delete val="1"/>
          </c:dLbls>
          <c:xVal>
            <c:numRef>
              <c:f>'Tests de normalité_HID'!$C$1:$C$30</c:f>
              <c:numCache>
                <c:formatCode>General</c:formatCode>
                <c:ptCount val="30"/>
                <c:pt idx="0">
                  <c:v>48.9833333333333</c:v>
                </c:pt>
                <c:pt idx="1">
                  <c:v>49.5083333333333</c:v>
                </c:pt>
                <c:pt idx="2">
                  <c:v>49.7333333333333</c:v>
                </c:pt>
                <c:pt idx="3">
                  <c:v>51.5583333333333</c:v>
                </c:pt>
                <c:pt idx="4">
                  <c:v>54.6833333333333</c:v>
                </c:pt>
                <c:pt idx="5">
                  <c:v>56.45</c:v>
                </c:pt>
                <c:pt idx="6">
                  <c:v>56.8416666666667</c:v>
                </c:pt>
                <c:pt idx="7">
                  <c:v>57.45</c:v>
                </c:pt>
                <c:pt idx="8">
                  <c:v>58.3666666666667</c:v>
                </c:pt>
                <c:pt idx="9">
                  <c:v>59.4333333333333</c:v>
                </c:pt>
                <c:pt idx="10">
                  <c:v>62.2333333333333</c:v>
                </c:pt>
                <c:pt idx="11">
                  <c:v>62.55</c:v>
                </c:pt>
                <c:pt idx="12">
                  <c:v>63.95</c:v>
                </c:pt>
                <c:pt idx="13">
                  <c:v>66.025</c:v>
                </c:pt>
                <c:pt idx="14">
                  <c:v>66.275</c:v>
                </c:pt>
                <c:pt idx="15">
                  <c:v>66.6833333333333</c:v>
                </c:pt>
                <c:pt idx="16">
                  <c:v>69.9166666666667</c:v>
                </c:pt>
                <c:pt idx="17">
                  <c:v>69.9916666666667</c:v>
                </c:pt>
                <c:pt idx="18">
                  <c:v>70.325</c:v>
                </c:pt>
                <c:pt idx="19">
                  <c:v>70.6416666666667</c:v>
                </c:pt>
                <c:pt idx="20">
                  <c:v>71.0583333333333</c:v>
                </c:pt>
                <c:pt idx="21">
                  <c:v>71.6833333333333</c:v>
                </c:pt>
                <c:pt idx="22">
                  <c:v>72.8416666666667</c:v>
                </c:pt>
                <c:pt idx="23">
                  <c:v>74.8833333333333</c:v>
                </c:pt>
                <c:pt idx="24">
                  <c:v>76.9666666666667</c:v>
                </c:pt>
                <c:pt idx="25">
                  <c:v>78.2583333333333</c:v>
                </c:pt>
                <c:pt idx="26">
                  <c:v>79.6416666666667</c:v>
                </c:pt>
                <c:pt idx="27">
                  <c:v>81.175</c:v>
                </c:pt>
                <c:pt idx="28">
                  <c:v>83.5833333333333</c:v>
                </c:pt>
                <c:pt idx="29">
                  <c:v>84.1916666666667</c:v>
                </c:pt>
              </c:numCache>
            </c:numRef>
          </c:xVal>
          <c:yVal>
            <c:numRef>
              <c:f>'Tests de normalité_HID'!$D$1:$D$30</c:f>
              <c:numCache>
                <c:formatCode>General</c:formatCode>
                <c:ptCount val="30"/>
                <c:pt idx="0">
                  <c:v>45.8033378499388</c:v>
                </c:pt>
                <c:pt idx="1">
                  <c:v>49.9241876990938</c:v>
                </c:pt>
                <c:pt idx="2">
                  <c:v>52.408959395577</c:v>
                </c:pt>
                <c:pt idx="3">
                  <c:v>54.2703007160505</c:v>
                </c:pt>
                <c:pt idx="4">
                  <c:v>55.8018915992549</c:v>
                </c:pt>
                <c:pt idx="5">
                  <c:v>57.1292323851704</c:v>
                </c:pt>
                <c:pt idx="6">
                  <c:v>58.3184777114913</c:v>
                </c:pt>
                <c:pt idx="7">
                  <c:v>59.409230808599</c:v>
                </c:pt>
                <c:pt idx="8">
                  <c:v>60.4273857624212</c:v>
                </c:pt>
                <c:pt idx="9">
                  <c:v>61.3910482348593</c:v>
                </c:pt>
                <c:pt idx="10">
                  <c:v>62.313596289597</c:v>
                </c:pt>
                <c:pt idx="11">
                  <c:v>63.2054074645034</c:v>
                </c:pt>
                <c:pt idx="12">
                  <c:v>64.0749069373561</c:v>
                </c:pt>
                <c:pt idx="13">
                  <c:v>64.9292479831342</c:v>
                </c:pt>
                <c:pt idx="14">
                  <c:v>65.7747859119922</c:v>
                </c:pt>
                <c:pt idx="15">
                  <c:v>66.61743631023</c:v>
                </c:pt>
                <c:pt idx="16">
                  <c:v>67.4629742390881</c:v>
                </c:pt>
                <c:pt idx="17">
                  <c:v>68.3173152848661</c:v>
                </c:pt>
                <c:pt idx="18">
                  <c:v>69.1868147577189</c:v>
                </c:pt>
                <c:pt idx="19">
                  <c:v>70.0786259326252</c:v>
                </c:pt>
                <c:pt idx="20">
                  <c:v>71.0011739873629</c:v>
                </c:pt>
                <c:pt idx="21">
                  <c:v>71.9648364598011</c:v>
                </c:pt>
                <c:pt idx="22">
                  <c:v>72.9829914136233</c:v>
                </c:pt>
                <c:pt idx="23">
                  <c:v>74.0737445107309</c:v>
                </c:pt>
                <c:pt idx="24">
                  <c:v>75.2629898370518</c:v>
                </c:pt>
                <c:pt idx="25">
                  <c:v>76.5903306229674</c:v>
                </c:pt>
                <c:pt idx="26">
                  <c:v>78.1219215061718</c:v>
                </c:pt>
                <c:pt idx="27">
                  <c:v>79.9832628266453</c:v>
                </c:pt>
                <c:pt idx="28">
                  <c:v>82.4680345231285</c:v>
                </c:pt>
                <c:pt idx="29">
                  <c:v>86.5888843722834</c:v>
                </c:pt>
              </c:numCache>
            </c:numRef>
          </c:yVal>
          <c:smooth val="0"/>
        </c:ser>
        <c:ser>
          <c:idx val="1"/>
          <c:order val="1"/>
          <c:spPr>
            <a:ln w="6350" cap="rnd" cmpd="sng" algn="ctr">
              <a:solidFill>
                <a:srgbClr val="000000"/>
              </a:solidFill>
              <a:prstDash val="lgDash"/>
              <a:round/>
            </a:ln>
          </c:spPr>
          <c:marker>
            <c:symbol val="none"/>
          </c:marker>
          <c:dLbls>
            <c:delete val="1"/>
          </c:dLbls>
          <c:xVal>
            <c:numRef>
              <c:f>{40,90}</c:f>
              <c:numCache>
                <c:formatCode>General</c:formatCode>
                <c:ptCount val="2"/>
                <c:pt idx="0">
                  <c:v>40</c:v>
                </c:pt>
                <c:pt idx="1">
                  <c:v>90</c:v>
                </c:pt>
              </c:numCache>
            </c:numRef>
          </c:xVal>
          <c:yVal>
            <c:numRef>
              <c:f>{40,90}</c:f>
              <c:numCache>
                <c:formatCode>General</c:formatCode>
                <c:ptCount val="2"/>
                <c:pt idx="0">
                  <c:v>40</c:v>
                </c:pt>
                <c:pt idx="1">
                  <c:v>90</c:v>
                </c:pt>
              </c:numCache>
            </c:numRef>
          </c:yVal>
          <c:smooth val="0"/>
        </c:ser>
        <c:dLbls>
          <c:showLegendKey val="0"/>
          <c:showVal val="0"/>
          <c:showCatName val="0"/>
          <c:showSerName val="0"/>
          <c:showPercent val="0"/>
          <c:showBubbleSize val="0"/>
        </c:dLbls>
        <c:axId val="-858336464"/>
        <c:axId val="-858335920"/>
      </c:scatterChart>
      <c:valAx>
        <c:axId val="-858336464"/>
        <c:scaling>
          <c:orientation val="minMax"/>
          <c:max val="90"/>
          <c:min val="40"/>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Arial" panose="020B0604020202020204"/>
                    <a:ea typeface="Arial" panose="020B0604020202020204"/>
                    <a:cs typeface="Arial" panose="020B0604020202020204"/>
                  </a:defRPr>
                </a:pPr>
                <a:r>
                  <a:rPr lang="en-US"/>
                  <a:t>Moyenne</a:t>
                </a:r>
                <a:endParaRPr lang="en-US"/>
              </a:p>
            </c:rich>
          </c:tx>
          <c:layout/>
          <c:overlay val="0"/>
        </c:title>
        <c:numFmt formatCode="General" sourceLinked="0"/>
        <c:majorTickMark val="cross"/>
        <c:minorTickMark val="none"/>
        <c:tickLblPos val="nextTo"/>
        <c:txPr>
          <a:bodyPr rot="0" spcFirstLastPara="0" vertOverflow="ellipsis" vert="horz" wrap="square" anchor="ctr" anchorCtr="1"/>
          <a:lstStyle/>
          <a:p>
            <a:pPr>
              <a:defRPr lang="en-US" sz="700" b="0" i="0" u="none" strike="noStrike" kern="1200" baseline="0">
                <a:solidFill>
                  <a:schemeClr val="tx1"/>
                </a:solidFill>
                <a:latin typeface="+mn-lt"/>
                <a:ea typeface="+mn-ea"/>
                <a:cs typeface="+mn-cs"/>
              </a:defRPr>
            </a:pPr>
          </a:p>
        </c:txPr>
        <c:crossAx val="-858335920"/>
        <c:crosses val="autoZero"/>
        <c:crossBetween val="midCat"/>
      </c:valAx>
      <c:valAx>
        <c:axId val="-858335920"/>
        <c:scaling>
          <c:orientation val="minMax"/>
          <c:max val="90"/>
          <c:min val="40"/>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Arial" panose="020B0604020202020204"/>
                    <a:ea typeface="Arial" panose="020B0604020202020204"/>
                    <a:cs typeface="Arial" panose="020B0604020202020204"/>
                  </a:defRPr>
                </a:pPr>
                <a:r>
                  <a:rPr lang="en-US"/>
                  <a:t>Quantile - Normale (66,20; 10,20)</a:t>
                </a:r>
                <a:endParaRPr lang="en-US"/>
              </a:p>
            </c:rich>
          </c:tx>
          <c:layout/>
          <c:overlay val="0"/>
        </c:title>
        <c:numFmt formatCode="General" sourceLinked="0"/>
        <c:majorTickMark val="cross"/>
        <c:minorTickMark val="none"/>
        <c:tickLblPos val="nextTo"/>
        <c:txPr>
          <a:bodyPr rot="-60000000" spcFirstLastPara="0" vertOverflow="ellipsis" vert="horz" wrap="square" anchor="ctr" anchorCtr="1"/>
          <a:lstStyle/>
          <a:p>
            <a:pPr>
              <a:defRPr lang="en-US" sz="700" b="0" i="0" u="none" strike="noStrike" kern="1200" baseline="0">
                <a:solidFill>
                  <a:schemeClr val="tx1"/>
                </a:solidFill>
                <a:latin typeface="+mn-lt"/>
                <a:ea typeface="+mn-ea"/>
                <a:cs typeface="+mn-cs"/>
              </a:defRPr>
            </a:pPr>
          </a:p>
        </c:txPr>
        <c:crossAx val="-858336464"/>
        <c:crosses val="autoZero"/>
        <c:crossBetween val="midCat"/>
      </c:valAx>
      <c:spPr>
        <a:ln>
          <a:solidFill>
            <a:srgbClr val="C0C0C0"/>
          </a:solidFill>
          <a:prstDash val="solid"/>
        </a:ln>
      </c:spPr>
    </c:plotArea>
    <c:plotVisOnly val="1"/>
    <c:dispBlanksAs val="gap"/>
    <c:showDLblsOverMax val="0"/>
    <c:extLst>
      <c:ext uri="{0b15fc19-7d7d-44ad-8c2d-2c3a37ce22c3}">
        <chartProps xmlns="https://web.wps.cn/et/2018/main" chartId="{661a013f-734b-4843-bf47-4dd357aaf2e8}"/>
      </c:ext>
    </c:extLst>
  </c:chart>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200" b="1" i="0" u="none" strike="noStrike" kern="1200" baseline="0">
                <a:solidFill>
                  <a:sysClr val="windowText" lastClr="000000"/>
                </a:solidFill>
                <a:latin typeface="+mn-lt"/>
                <a:ea typeface="+mn-ea"/>
                <a:cs typeface="+mn-cs"/>
              </a:defRPr>
            </a:pPr>
            <a:r>
              <a:rPr lang="fr-FR" sz="1200">
                <a:solidFill>
                  <a:sysClr val="windowText" lastClr="000000"/>
                </a:solidFill>
              </a:rPr>
              <a:t>Pluie</a:t>
            </a:r>
            <a:endParaRPr lang="fr-FR" sz="1200">
              <a:solidFill>
                <a:sysClr val="windowText" lastClr="000000"/>
              </a:solidFill>
            </a:endParaRPr>
          </a:p>
        </c:rich>
      </c:tx>
      <c:layout>
        <c:manualLayout>
          <c:xMode val="edge"/>
          <c:yMode val="edge"/>
          <c:x val="0.245335242185636"/>
          <c:y val="0.0100959111559818"/>
        </c:manualLayout>
      </c:layout>
      <c:overlay val="0"/>
      <c:spPr>
        <a:noFill/>
        <a:ln>
          <a:noFill/>
        </a:ln>
        <a:effectLst/>
      </c:spPr>
    </c:title>
    <c:autoTitleDeleted val="0"/>
    <c:plotArea>
      <c:layout>
        <c:manualLayout>
          <c:layoutTarget val="inner"/>
          <c:xMode val="edge"/>
          <c:yMode val="edge"/>
          <c:x val="0.168568327323571"/>
          <c:y val="0.131397227934254"/>
          <c:w val="0.749383692692619"/>
          <c:h val="0.569305496563967"/>
        </c:manualLayout>
      </c:layout>
      <c:scatterChart>
        <c:scatterStyle val="lineMarker"/>
        <c:varyColors val="0"/>
        <c:ser>
          <c:idx val="0"/>
          <c:order val="0"/>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dLbls>
            <c:delete val="1"/>
          </c:dLbls>
          <c:xVal>
            <c:numRef>
              <c:f>'Tests de tendance de Mann-Kend1'!$A$1:$A$30</c:f>
              <c:numCache>
                <c:formatCode>0</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'Tests de tendance de Mann-Kend1'!$B$1:$B$30</c:f>
              <c:numCache>
                <c:formatCode>0</c:formatCode>
                <c:ptCount val="30"/>
                <c:pt idx="0">
                  <c:v>62.55</c:v>
                </c:pt>
                <c:pt idx="1">
                  <c:v>62.2333333333333</c:v>
                </c:pt>
                <c:pt idx="2">
                  <c:v>58.3666666666667</c:v>
                </c:pt>
                <c:pt idx="3">
                  <c:v>56.45</c:v>
                </c:pt>
                <c:pt idx="4">
                  <c:v>48.9833333333333</c:v>
                </c:pt>
                <c:pt idx="5">
                  <c:v>56.8416666666667</c:v>
                </c:pt>
                <c:pt idx="6">
                  <c:v>66.6833333333333</c:v>
                </c:pt>
                <c:pt idx="7">
                  <c:v>49.5083333333333</c:v>
                </c:pt>
                <c:pt idx="8">
                  <c:v>51.5583333333333</c:v>
                </c:pt>
                <c:pt idx="9">
                  <c:v>54.6833333333333</c:v>
                </c:pt>
                <c:pt idx="10">
                  <c:v>70.6416666666667</c:v>
                </c:pt>
                <c:pt idx="11">
                  <c:v>66.025</c:v>
                </c:pt>
                <c:pt idx="12">
                  <c:v>69.9916666666667</c:v>
                </c:pt>
                <c:pt idx="13">
                  <c:v>49.7333333333333</c:v>
                </c:pt>
                <c:pt idx="14">
                  <c:v>59.4333333333333</c:v>
                </c:pt>
                <c:pt idx="15">
                  <c:v>63.95</c:v>
                </c:pt>
                <c:pt idx="16">
                  <c:v>76.9666666666667</c:v>
                </c:pt>
                <c:pt idx="17">
                  <c:v>69.9166666666667</c:v>
                </c:pt>
                <c:pt idx="18">
                  <c:v>57.45</c:v>
                </c:pt>
                <c:pt idx="19">
                  <c:v>83.5833333333333</c:v>
                </c:pt>
                <c:pt idx="20">
                  <c:v>66.275</c:v>
                </c:pt>
                <c:pt idx="21">
                  <c:v>70.325</c:v>
                </c:pt>
                <c:pt idx="22">
                  <c:v>74.8833333333333</c:v>
                </c:pt>
                <c:pt idx="23">
                  <c:v>81.175</c:v>
                </c:pt>
                <c:pt idx="24">
                  <c:v>72.8416666666667</c:v>
                </c:pt>
                <c:pt idx="25">
                  <c:v>71.6833333333333</c:v>
                </c:pt>
                <c:pt idx="26">
                  <c:v>71.0583333333333</c:v>
                </c:pt>
                <c:pt idx="27">
                  <c:v>79.6416666666667</c:v>
                </c:pt>
                <c:pt idx="28">
                  <c:v>84.1916666666667</c:v>
                </c:pt>
                <c:pt idx="29">
                  <c:v>78.2583333333333</c:v>
                </c:pt>
              </c:numCache>
            </c:numRef>
          </c:yVal>
          <c:smooth val="0"/>
        </c:ser>
        <c:ser>
          <c:idx val="1"/>
          <c:order val="1"/>
          <c:tx>
            <c:strRef>
              <c:f>Pente de Sen</c:f>
              <c:strCache>
                <c:ptCount val="1"/>
                <c:pt idx="0">
                  <c:v>Pente de Sen</c:v>
                </c:pt>
              </c:strCache>
            </c:strRef>
          </c:tx>
          <c:spPr>
            <a:ln w="9525" cap="rnd">
              <a:solidFill>
                <a:schemeClr val="accent2"/>
              </a:solidFill>
              <a:round/>
            </a:ln>
            <a:effectLst/>
          </c:spPr>
          <c:marker>
            <c:symbol val="none"/>
          </c:marker>
          <c:dLbls>
            <c:delete val="1"/>
          </c:dLbls>
          <c:xVal>
            <c:numRef>
              <c:f>{1,30}</c:f>
              <c:numCache>
                <c:formatCode>General</c:formatCode>
                <c:ptCount val="2"/>
                <c:pt idx="0">
                  <c:v>1</c:v>
                </c:pt>
                <c:pt idx="1">
                  <c:v>30</c:v>
                </c:pt>
              </c:numCache>
            </c:numRef>
          </c:xVal>
          <c:yVal>
            <c:numRef>
              <c:f>{53.8804824561404,78.3015350877193}</c:f>
              <c:numCache>
                <c:formatCode>General</c:formatCode>
                <c:ptCount val="2"/>
                <c:pt idx="0">
                  <c:v>53.8804824561404</c:v>
                </c:pt>
                <c:pt idx="1">
                  <c:v>78.3015350877193</c:v>
                </c:pt>
              </c:numCache>
            </c:numRef>
          </c:yVal>
          <c:smooth val="0"/>
        </c:ser>
        <c:dLbls>
          <c:showLegendKey val="0"/>
          <c:showVal val="0"/>
          <c:showCatName val="0"/>
          <c:showSerName val="0"/>
          <c:showPercent val="0"/>
          <c:showBubbleSize val="0"/>
        </c:dLbls>
        <c:axId val="-1054559648"/>
        <c:axId val="-1054551488"/>
      </c:scatterChart>
      <c:valAx>
        <c:axId val="-1054559648"/>
        <c:scaling>
          <c:orientation val="minMax"/>
          <c:max val="30"/>
          <c:min val="1"/>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lang="en-US" sz="900" b="1" i="0" u="none" strike="noStrike" kern="1200" baseline="0">
                    <a:solidFill>
                      <a:schemeClr val="tx2"/>
                    </a:solidFill>
                    <a:latin typeface="+mn-lt"/>
                    <a:ea typeface="+mn-ea"/>
                    <a:cs typeface="+mn-cs"/>
                  </a:defRPr>
                </a:pPr>
                <a:r>
                  <a:rPr lang="en-US"/>
                  <a:t>Temps</a:t>
                </a:r>
                <a:endParaRPr lang="en-US"/>
              </a:p>
            </c:rich>
          </c:tx>
          <c:layout/>
          <c:overlay val="0"/>
          <c:spPr>
            <a:noFill/>
            <a:ln>
              <a:noFill/>
            </a:ln>
            <a:effectLst/>
          </c:spPr>
        </c:title>
        <c:numFmt formatCode="General" sourceLinked="0"/>
        <c:majorTickMark val="none"/>
        <c:minorTickMark val="none"/>
        <c:tickLblPos val="nextTo"/>
        <c:spPr>
          <a:noFill/>
          <a:ln>
            <a:solidFill>
              <a:schemeClr val="tx2">
                <a:lumMod val="40000"/>
                <a:lumOff val="60000"/>
              </a:schemeClr>
            </a:solidFill>
          </a:ln>
          <a:effectLst/>
        </c:spPr>
        <c:txPr>
          <a:bodyPr rot="0" spcFirstLastPara="1" vertOverflow="ellipsis" vert="horz" wrap="square" anchor="ctr" anchorCtr="1"/>
          <a:lstStyle/>
          <a:p>
            <a:pPr>
              <a:defRPr lang="en-US" sz="900" b="0" i="0" u="none" strike="noStrike" kern="1200" baseline="0">
                <a:solidFill>
                  <a:schemeClr val="tx2"/>
                </a:solidFill>
                <a:latin typeface="+mn-lt"/>
                <a:ea typeface="+mn-ea"/>
                <a:cs typeface="+mn-cs"/>
              </a:defRPr>
            </a:pPr>
          </a:p>
        </c:txPr>
        <c:crossAx val="-1054551488"/>
        <c:crosses val="autoZero"/>
        <c:crossBetween val="midCat"/>
        <c:majorUnit val="5"/>
      </c:valAx>
      <c:valAx>
        <c:axId val="-105455148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lang="en-US" sz="900" b="1" i="0" u="none" strike="noStrike" kern="1200" baseline="0">
                    <a:solidFill>
                      <a:schemeClr val="tx2"/>
                    </a:solidFill>
                    <a:latin typeface="+mn-lt"/>
                    <a:ea typeface="+mn-ea"/>
                    <a:cs typeface="+mn-cs"/>
                  </a:defRPr>
                </a:pPr>
                <a:r>
                  <a:rPr lang="en-US"/>
                  <a:t>Moyenne</a:t>
                </a:r>
                <a:endParaRPr lang="en-US"/>
              </a:p>
            </c:rich>
          </c:tx>
          <c:layout/>
          <c:overlay val="0"/>
          <c:spPr>
            <a:noFill/>
            <a:ln>
              <a:noFill/>
            </a:ln>
            <a:effectLst/>
          </c:spPr>
        </c:title>
        <c:numFmt formatCode="General" sourceLinked="0"/>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p>
        </c:txPr>
        <c:crossAx val="-1054559648"/>
        <c:crosses val="autoZero"/>
        <c:crossBetween val="midCat"/>
      </c:valAx>
      <c:spPr>
        <a:noFill/>
        <a:ln>
          <a:noFill/>
        </a:ln>
        <a:effectLst/>
      </c:spPr>
    </c:plotArea>
    <c:legend>
      <c:legendPos val="b"/>
      <c:legendEntry>
        <c:idx val="0"/>
        <c:delete val="1"/>
      </c:legendEntry>
      <c:layout>
        <c:manualLayout>
          <c:xMode val="edge"/>
          <c:yMode val="edge"/>
          <c:x val="0.493768314365897"/>
          <c:y val="0.0432303264882107"/>
          <c:w val="0.453061325634846"/>
          <c:h val="0.116259856081545"/>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dfb625af-2c6c-4c6c-818a-40a6d480febe}"/>
      </c:ext>
    </c:extLst>
  </c:chart>
  <c:spPr>
    <a:solidFill>
      <a:schemeClr val="bg1"/>
    </a:solidFill>
    <a:ln w="9525" cap="flat" cmpd="sng" algn="ctr">
      <a:solidFill>
        <a:schemeClr val="tx2">
          <a:lumMod val="15000"/>
          <a:lumOff val="85000"/>
        </a:schemeClr>
      </a:solidFill>
      <a:round/>
    </a:ln>
    <a:effectLst/>
  </c:spPr>
  <c:txPr>
    <a:bodyPr/>
    <a:lstStyle/>
    <a:p>
      <a:pPr>
        <a:defRPr lang="en-US"/>
      </a:pPr>
    </a:p>
  </c:txPr>
  <c:externalData r:id="rId1">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900" b="1" i="0" u="none" strike="noStrike" kern="1200" baseline="0">
                <a:solidFill>
                  <a:schemeClr val="tx1"/>
                </a:solidFill>
                <a:latin typeface="Arial" panose="020B0604020202020204"/>
                <a:ea typeface="Arial" panose="020B0604020202020204"/>
                <a:cs typeface="Arial" panose="020B0604020202020204"/>
              </a:defRPr>
            </a:pPr>
            <a:r>
              <a:rPr lang="en-US"/>
              <a:t>Moyenne</a:t>
            </a:r>
            <a:endParaRPr lang="en-US"/>
          </a:p>
        </c:rich>
      </c:tx>
      <c:layout/>
      <c:overlay val="0"/>
    </c:title>
    <c:autoTitleDeleted val="0"/>
    <c:plotArea>
      <c:layout/>
      <c:scatterChart>
        <c:scatterStyle val="lineMarker"/>
        <c:varyColors val="0"/>
        <c:ser>
          <c:idx val="0"/>
          <c:order val="0"/>
          <c:tx>
            <c:strRef>
              <c:f>Moyenne</c:f>
              <c:strCache>
                <c:ptCount val="1"/>
                <c:pt idx="0">
                  <c:v>Moyenne</c:v>
                </c:pt>
              </c:strCache>
            </c:strRef>
          </c:tx>
          <c:spPr>
            <a:ln w="6350" cap="rnd" cmpd="sng" algn="ctr">
              <a:solidFill>
                <a:srgbClr val="003CE6"/>
              </a:solidFill>
              <a:prstDash val="solid"/>
              <a:round/>
            </a:ln>
            <a:effectLst/>
          </c:spPr>
          <c:marker>
            <c:symbol val="circle"/>
            <c:size val="3"/>
            <c:spPr>
              <a:noFill/>
              <a:ln w="6350" cap="flat" cmpd="sng" algn="ctr">
                <a:solidFill>
                  <a:srgbClr val="003CE6"/>
                </a:solidFill>
                <a:prstDash val="solid"/>
                <a:round/>
              </a:ln>
            </c:spPr>
          </c:marker>
          <c:dLbls>
            <c:delete val="1"/>
          </c:dLbls>
          <c:xVal>
            <c:numRef>
              <c:f>'Tests d''homogénéité'!$B$36:$B$65</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'Tests d''homogénéité'!$C$36:$C$65</c:f>
              <c:numCache>
                <c:formatCode>0.000</c:formatCode>
                <c:ptCount val="30"/>
                <c:pt idx="0">
                  <c:v>62.55</c:v>
                </c:pt>
                <c:pt idx="1">
                  <c:v>62.2333333333333</c:v>
                </c:pt>
                <c:pt idx="2">
                  <c:v>58.3666666666667</c:v>
                </c:pt>
                <c:pt idx="3">
                  <c:v>56.45</c:v>
                </c:pt>
                <c:pt idx="4">
                  <c:v>48.9833333333333</c:v>
                </c:pt>
                <c:pt idx="5">
                  <c:v>56.8416666666667</c:v>
                </c:pt>
                <c:pt idx="6">
                  <c:v>66.6833333333333</c:v>
                </c:pt>
                <c:pt idx="7">
                  <c:v>49.5083333333333</c:v>
                </c:pt>
                <c:pt idx="8">
                  <c:v>51.5583333333333</c:v>
                </c:pt>
                <c:pt idx="9">
                  <c:v>54.6833333333333</c:v>
                </c:pt>
                <c:pt idx="10">
                  <c:v>70.6416666666667</c:v>
                </c:pt>
                <c:pt idx="11">
                  <c:v>66.025</c:v>
                </c:pt>
                <c:pt idx="12">
                  <c:v>69.9916666666667</c:v>
                </c:pt>
                <c:pt idx="13">
                  <c:v>49.7333333333333</c:v>
                </c:pt>
                <c:pt idx="14">
                  <c:v>59.4333333333333</c:v>
                </c:pt>
                <c:pt idx="15">
                  <c:v>63.95</c:v>
                </c:pt>
                <c:pt idx="16">
                  <c:v>76.9666666666667</c:v>
                </c:pt>
                <c:pt idx="17">
                  <c:v>69.9166666666667</c:v>
                </c:pt>
                <c:pt idx="18">
                  <c:v>57.45</c:v>
                </c:pt>
                <c:pt idx="19">
                  <c:v>83.5833333333333</c:v>
                </c:pt>
                <c:pt idx="20">
                  <c:v>66.275</c:v>
                </c:pt>
                <c:pt idx="21">
                  <c:v>70.325</c:v>
                </c:pt>
                <c:pt idx="22">
                  <c:v>74.8833333333333</c:v>
                </c:pt>
                <c:pt idx="23">
                  <c:v>81.175</c:v>
                </c:pt>
                <c:pt idx="24">
                  <c:v>72.8416666666667</c:v>
                </c:pt>
                <c:pt idx="25">
                  <c:v>71.6833333333333</c:v>
                </c:pt>
                <c:pt idx="26">
                  <c:v>71.0583333333333</c:v>
                </c:pt>
                <c:pt idx="27">
                  <c:v>79.6416666666667</c:v>
                </c:pt>
                <c:pt idx="28">
                  <c:v>84.1916666666667</c:v>
                </c:pt>
                <c:pt idx="29">
                  <c:v>78.2583333333333</c:v>
                </c:pt>
              </c:numCache>
            </c:numRef>
          </c:yVal>
          <c:smooth val="0"/>
        </c:ser>
        <c:ser>
          <c:idx val="1"/>
          <c:order val="1"/>
          <c:tx>
            <c:strRef>
              <c:f>mu1 = 59,227</c:f>
              <c:strCache>
                <c:ptCount val="1"/>
                <c:pt idx="0">
                  <c:v>mu1 = 59,227</c:v>
                </c:pt>
              </c:strCache>
            </c:strRef>
          </c:tx>
          <c:spPr>
            <a:ln w="19050" cap="rnd" cmpd="sng" algn="ctr">
              <a:solidFill>
                <a:srgbClr val="FF0000"/>
              </a:solidFill>
              <a:prstDash val="sysDash"/>
              <a:round/>
            </a:ln>
            <a:effectLst/>
          </c:spPr>
          <c:marker>
            <c:symbol val="none"/>
          </c:marker>
          <c:dLbls>
            <c:delete val="1"/>
          </c:dLbls>
          <c:xVal>
            <c:numRef>
              <c:f>{1,16}</c:f>
              <c:numCache>
                <c:formatCode>General</c:formatCode>
                <c:ptCount val="2"/>
                <c:pt idx="0">
                  <c:v>1</c:v>
                </c:pt>
                <c:pt idx="1">
                  <c:v>16</c:v>
                </c:pt>
              </c:numCache>
            </c:numRef>
          </c:xVal>
          <c:yVal>
            <c:numRef>
              <c:f>{59.2270833333333,59.2270833333333}</c:f>
              <c:numCache>
                <c:formatCode>General</c:formatCode>
                <c:ptCount val="2"/>
                <c:pt idx="0">
                  <c:v>59.2270833333333</c:v>
                </c:pt>
                <c:pt idx="1">
                  <c:v>59.2270833333333</c:v>
                </c:pt>
              </c:numCache>
            </c:numRef>
          </c:yVal>
          <c:smooth val="0"/>
        </c:ser>
        <c:ser>
          <c:idx val="2"/>
          <c:order val="2"/>
          <c:tx>
            <c:strRef>
              <c:f>mu2 = 74,161</c:f>
              <c:strCache>
                <c:ptCount val="1"/>
                <c:pt idx="0">
                  <c:v>mu2 = 74,161</c:v>
                </c:pt>
              </c:strCache>
            </c:strRef>
          </c:tx>
          <c:spPr>
            <a:ln w="19050" cap="rnd" cmpd="sng" algn="ctr">
              <a:solidFill>
                <a:srgbClr val="007800"/>
              </a:solidFill>
              <a:prstDash val="sysDash"/>
              <a:round/>
            </a:ln>
            <a:effectLst/>
          </c:spPr>
          <c:marker>
            <c:symbol val="none"/>
          </c:marker>
          <c:dLbls>
            <c:delete val="1"/>
          </c:dLbls>
          <c:xVal>
            <c:numRef>
              <c:f>{17,30}</c:f>
              <c:numCache>
                <c:formatCode>General</c:formatCode>
                <c:ptCount val="2"/>
                <c:pt idx="0">
                  <c:v>17</c:v>
                </c:pt>
                <c:pt idx="1">
                  <c:v>30</c:v>
                </c:pt>
              </c:numCache>
            </c:numRef>
          </c:xVal>
          <c:yVal>
            <c:numRef>
              <c:f>{74.1607142857143,74.1607142857143}</c:f>
              <c:numCache>
                <c:formatCode>General</c:formatCode>
                <c:ptCount val="2"/>
                <c:pt idx="0">
                  <c:v>74.1607142857143</c:v>
                </c:pt>
                <c:pt idx="1">
                  <c:v>74.1607142857143</c:v>
                </c:pt>
              </c:numCache>
            </c:numRef>
          </c:yVal>
          <c:smooth val="0"/>
        </c:ser>
        <c:dLbls>
          <c:showLegendKey val="0"/>
          <c:showVal val="0"/>
          <c:showCatName val="0"/>
          <c:showSerName val="0"/>
          <c:showPercent val="0"/>
          <c:showBubbleSize val="0"/>
        </c:dLbls>
        <c:axId val="-855642512"/>
        <c:axId val="-855645232"/>
      </c:scatterChart>
      <c:valAx>
        <c:axId val="-855642512"/>
        <c:scaling>
          <c:orientation val="minMax"/>
          <c:max val="30"/>
          <c:min val="1"/>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Arial" panose="020B0604020202020204"/>
                    <a:ea typeface="Arial" panose="020B0604020202020204"/>
                    <a:cs typeface="Arial" panose="020B0604020202020204"/>
                  </a:defRPr>
                </a:pPr>
                <a:r>
                  <a:rPr lang="en-US"/>
                  <a:t>Date</a:t>
                </a:r>
                <a:endParaRPr lang="en-US"/>
              </a:p>
            </c:rich>
          </c:tx>
          <c:layout/>
          <c:overlay val="0"/>
        </c:title>
        <c:numFmt formatCode="General" sourceLinked="0"/>
        <c:majorTickMark val="cross"/>
        <c:minorTickMark val="none"/>
        <c:tickLblPos val="nextTo"/>
        <c:txPr>
          <a:bodyPr rot="0" spcFirstLastPara="0" vertOverflow="ellipsis" vert="horz" wrap="square" anchor="ctr" anchorCtr="1"/>
          <a:lstStyle/>
          <a:p>
            <a:pPr>
              <a:defRPr lang="en-US" sz="700" b="0" i="0" u="none" strike="noStrike" kern="1200" baseline="0">
                <a:solidFill>
                  <a:schemeClr val="tx1"/>
                </a:solidFill>
                <a:latin typeface="+mn-lt"/>
                <a:ea typeface="+mn-ea"/>
                <a:cs typeface="+mn-cs"/>
              </a:defRPr>
            </a:pPr>
          </a:p>
        </c:txPr>
        <c:crossAx val="-855645232"/>
        <c:crosses val="autoZero"/>
        <c:crossBetween val="midCat"/>
        <c:majorUnit val="5"/>
      </c:valAx>
      <c:valAx>
        <c:axId val="-85564523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Arial" panose="020B0604020202020204"/>
                    <a:ea typeface="Arial" panose="020B0604020202020204"/>
                    <a:cs typeface="Arial" panose="020B0604020202020204"/>
                  </a:defRPr>
                </a:pPr>
                <a:r>
                  <a:rPr lang="en-US"/>
                  <a:t>Moyenne</a:t>
                </a:r>
                <a:endParaRPr lang="en-US"/>
              </a:p>
            </c:rich>
          </c:tx>
          <c:layout/>
          <c:overlay val="0"/>
        </c:title>
        <c:numFmt formatCode="General" sourceLinked="0"/>
        <c:majorTickMark val="cross"/>
        <c:minorTickMark val="none"/>
        <c:tickLblPos val="nextTo"/>
        <c:txPr>
          <a:bodyPr rot="-60000000" spcFirstLastPara="0" vertOverflow="ellipsis" vert="horz" wrap="square" anchor="ctr" anchorCtr="1"/>
          <a:lstStyle/>
          <a:p>
            <a:pPr>
              <a:defRPr lang="en-US" sz="700" b="0" i="0" u="none" strike="noStrike" kern="1200" baseline="0">
                <a:solidFill>
                  <a:schemeClr val="tx1"/>
                </a:solidFill>
                <a:latin typeface="+mn-lt"/>
                <a:ea typeface="+mn-ea"/>
                <a:cs typeface="+mn-cs"/>
              </a:defRPr>
            </a:pPr>
          </a:p>
        </c:txPr>
        <c:crossAx val="-855642512"/>
        <c:crosses val="autoZero"/>
        <c:crossBetween val="midCat"/>
      </c:valAx>
      <c:spPr>
        <a:ln>
          <a:solidFill>
            <a:srgbClr val="C0C0C0"/>
          </a:solidFill>
          <a:prstDash val="solid"/>
        </a:ln>
      </c:spPr>
    </c:plotArea>
    <c:legend>
      <c:legendPos val="b"/>
      <c:layout/>
      <c:overlay val="0"/>
      <c:spPr>
        <a:ln w="6350">
          <a:solidFill>
            <a:srgbClr val="000000"/>
          </a:solidFill>
          <a:prstDash val="solid"/>
        </a:ln>
      </c:spPr>
      <c:txPr>
        <a:bodyPr rot="0" spcFirstLastPara="0" vertOverflow="ellipsis" vert="horz" wrap="square" anchor="ctr" anchorCtr="1"/>
        <a:lstStyle/>
        <a:p>
          <a:pPr>
            <a:defRPr lang="en-US"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cda7e5a-2776-4c67-9bb4-5bb07e149418}"/>
      </c:ext>
    </c:extLst>
  </c:chart>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923057960296"/>
          <c:y val="0.111514210965956"/>
          <c:w val="0.848005230181912"/>
          <c:h val="0.621428960451394"/>
        </c:manualLayout>
      </c:layout>
      <c:barChart>
        <c:barDir val="col"/>
        <c:grouping val="clustered"/>
        <c:varyColors val="0"/>
        <c:ser>
          <c:idx val="0"/>
          <c:order val="0"/>
          <c:tx>
            <c:strRef>
              <c:f>'Cumul annuel'!$B$1</c:f>
              <c:strCache>
                <c:ptCount val="1"/>
                <c:pt idx="0">
                  <c:v>Cumul pluviométrique</c:v>
                </c:pt>
              </c:strCache>
            </c:strRef>
          </c:tx>
          <c:spPr>
            <a:solidFill>
              <a:schemeClr val="accent1"/>
            </a:solidFill>
            <a:ln>
              <a:noFill/>
            </a:ln>
            <a:effectLst/>
          </c:spPr>
          <c:invertIfNegative val="0"/>
          <c:dLbls>
            <c:delete val="1"/>
          </c:dLbls>
          <c:trendline>
            <c:spPr>
              <a:ln w="19050" cap="rnd">
                <a:solidFill>
                  <a:srgbClr val="FF0000"/>
                </a:solidFill>
                <a:prstDash val="dash"/>
              </a:ln>
              <a:effectLst/>
            </c:spPr>
            <c:trendlineType val="linear"/>
            <c:dispRSqr val="0"/>
            <c:dispEq val="1"/>
            <c:trendlineLbl>
              <c:layout>
                <c:manualLayout>
                  <c:x val="-0.0209781615695828"/>
                  <c:y val="-0.0968164722543769"/>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rgbClr val="FF0000"/>
                      </a:solidFill>
                      <a:latin typeface="Times New Roman" panose="02020603050405020304" charset="0"/>
                      <a:ea typeface="+mn-ea"/>
                      <a:cs typeface="Times New Roman" panose="02020603050405020304" charset="0"/>
                    </a:defRPr>
                  </a:pPr>
                </a:p>
              </c:txPr>
            </c:trendlineLbl>
          </c:trendline>
          <c:cat>
            <c:numRef>
              <c:f>'Cumul annuel'!$A$2:$A$31</c:f>
              <c:numCache>
                <c:formatCode>General</c:formatCode>
                <c:ptCount val="3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numCache>
            </c:numRef>
          </c:cat>
          <c:val>
            <c:numRef>
              <c:f>'Cumul annuel'!$B$2:$B$31</c:f>
              <c:numCache>
                <c:formatCode>General</c:formatCode>
                <c:ptCount val="30"/>
                <c:pt idx="0">
                  <c:v>698.7</c:v>
                </c:pt>
                <c:pt idx="1">
                  <c:v>750.6</c:v>
                </c:pt>
                <c:pt idx="2">
                  <c:v>727.8</c:v>
                </c:pt>
                <c:pt idx="3">
                  <c:v>700.2</c:v>
                </c:pt>
                <c:pt idx="4">
                  <c:v>677.4</c:v>
                </c:pt>
                <c:pt idx="5">
                  <c:v>587.8</c:v>
                </c:pt>
                <c:pt idx="6">
                  <c:v>668.3</c:v>
                </c:pt>
                <c:pt idx="7">
                  <c:v>800.2</c:v>
                </c:pt>
                <c:pt idx="8">
                  <c:v>594.1</c:v>
                </c:pt>
                <c:pt idx="9">
                  <c:v>618.7</c:v>
                </c:pt>
                <c:pt idx="10">
                  <c:v>656.2</c:v>
                </c:pt>
                <c:pt idx="11">
                  <c:v>847.7</c:v>
                </c:pt>
                <c:pt idx="12">
                  <c:v>772</c:v>
                </c:pt>
                <c:pt idx="13">
                  <c:v>839.9</c:v>
                </c:pt>
                <c:pt idx="14">
                  <c:v>596.8</c:v>
                </c:pt>
                <c:pt idx="15">
                  <c:v>713.2</c:v>
                </c:pt>
                <c:pt idx="16">
                  <c:v>767.4</c:v>
                </c:pt>
                <c:pt idx="17">
                  <c:v>923.6</c:v>
                </c:pt>
                <c:pt idx="18">
                  <c:v>839</c:v>
                </c:pt>
                <c:pt idx="19">
                  <c:v>689.4</c:v>
                </c:pt>
                <c:pt idx="20">
                  <c:v>1003</c:v>
                </c:pt>
                <c:pt idx="21">
                  <c:v>795.3</c:v>
                </c:pt>
                <c:pt idx="22">
                  <c:v>843.9</c:v>
                </c:pt>
                <c:pt idx="23">
                  <c:v>898.6</c:v>
                </c:pt>
                <c:pt idx="24">
                  <c:v>974.1</c:v>
                </c:pt>
                <c:pt idx="25">
                  <c:v>874.1</c:v>
                </c:pt>
                <c:pt idx="26">
                  <c:v>860.2</c:v>
                </c:pt>
                <c:pt idx="27">
                  <c:v>852.7</c:v>
                </c:pt>
                <c:pt idx="28">
                  <c:v>955.7</c:v>
                </c:pt>
                <c:pt idx="29">
                  <c:v>1010.3</c:v>
                </c:pt>
              </c:numCache>
            </c:numRef>
          </c:val>
        </c:ser>
        <c:dLbls>
          <c:showLegendKey val="0"/>
          <c:showVal val="0"/>
          <c:showCatName val="0"/>
          <c:showSerName val="0"/>
          <c:showPercent val="0"/>
          <c:showBubbleSize val="0"/>
        </c:dLbls>
        <c:gapWidth val="267"/>
        <c:overlap val="-43"/>
        <c:axId val="-1102565504"/>
        <c:axId val="-1102564960"/>
      </c:barChart>
      <c:catAx>
        <c:axId val="-1102565504"/>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Années</a:t>
                </a:r>
                <a:endParaRPr lang="en-US"/>
              </a:p>
            </c:rich>
          </c:tx>
          <c:layout>
            <c:manualLayout>
              <c:xMode val="edge"/>
              <c:yMode val="edge"/>
              <c:x val="0.897704680906599"/>
              <c:y val="0.880139417144747"/>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vert="horz" wrap="square" anchor="ctr" anchorCtr="1"/>
          <a:lstStyle/>
          <a:p>
            <a:pPr>
              <a:defRPr lang="en-US" sz="900" b="0" i="0" u="none" strike="noStrike" kern="1200" cap="none" spc="0" normalizeH="0" baseline="0">
                <a:solidFill>
                  <a:sysClr val="windowText" lastClr="000000"/>
                </a:solidFill>
                <a:latin typeface="Times New Roman" panose="02020603050405020304" charset="0"/>
                <a:ea typeface="+mn-ea"/>
                <a:cs typeface="Times New Roman" panose="02020603050405020304" charset="0"/>
              </a:defRPr>
            </a:pPr>
          </a:p>
        </c:txPr>
        <c:crossAx val="-1102564960"/>
        <c:crosses val="autoZero"/>
        <c:auto val="0"/>
        <c:lblAlgn val="ctr"/>
        <c:lblOffset val="100"/>
        <c:tickLblSkip val="2"/>
        <c:noMultiLvlLbl val="0"/>
      </c:catAx>
      <c:valAx>
        <c:axId val="-110256496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Précipitation (mm)</a:t>
                </a:r>
                <a:endParaRPr lang="en-US"/>
              </a:p>
            </c:rich>
          </c:tx>
          <c:layout>
            <c:manualLayout>
              <c:xMode val="edge"/>
              <c:yMode val="edge"/>
              <c:x val="0.00976330824669016"/>
              <c:y val="0.0749464950248359"/>
            </c:manualLayout>
          </c:layout>
          <c:overlay val="0"/>
          <c:spPr>
            <a:noFill/>
            <a:ln>
              <a:noFill/>
            </a:ln>
            <a:effectLst/>
          </c:spPr>
        </c:title>
        <c:numFmt formatCode="General" sourceLinked="1"/>
        <c:majorTickMark val="none"/>
        <c:minorTickMark val="none"/>
        <c:tickLblPos val="nextTo"/>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1025655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uri="{0b15fc19-7d7d-44ad-8c2d-2c3a37ce22c3}">
        <chartProps xmlns="https://web.wps.cn/et/2018/main" chartId="{82b43624-f106-498f-a4ec-090075b23e63}"/>
      </c:ext>
    </c:extLst>
  </c:chart>
  <c:spPr>
    <a:solidFill>
      <a:schemeClr val="lt1"/>
    </a:solidFill>
    <a:ln w="9525" cap="flat" cmpd="sng" algn="ctr">
      <a:solidFill>
        <a:schemeClr val="dk1">
          <a:lumMod val="15000"/>
          <a:lumOff val="85000"/>
        </a:schemeClr>
      </a:solidFill>
      <a:round/>
    </a:ln>
    <a:effectLst/>
  </c:spPr>
  <c:txPr>
    <a:bodyPr/>
    <a:lstStyle/>
    <a:p>
      <a:pPr>
        <a:defRPr lang="en-US">
          <a:solidFill>
            <a:sysClr val="windowText" lastClr="000000"/>
          </a:solidFill>
          <a:latin typeface="Times New Roman" panose="02020603050405020304" charset="0"/>
          <a:cs typeface="Times New Roman" panose="02020603050405020304" charset="0"/>
        </a:defRPr>
      </a:pPr>
    </a:p>
  </c:txPr>
  <c:externalData r:id="rId1">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88378886886481"/>
          <c:y val="0.0292101181287459"/>
          <c:w val="0.887324817470004"/>
          <c:h val="0.818903451400822"/>
        </c:manualLayout>
      </c:layout>
      <c:barChart>
        <c:barDir val="col"/>
        <c:grouping val="clustered"/>
        <c:varyColors val="0"/>
        <c:ser>
          <c:idx val="0"/>
          <c:order val="0"/>
          <c:tx>
            <c:strRef>
              <c:f>Feuil1!$L$1</c:f>
              <c:strCache>
                <c:ptCount val="1"/>
                <c:pt idx="0">
                  <c:v>spi</c:v>
                </c:pt>
              </c:strCache>
            </c:strRef>
          </c:tx>
          <c:spPr>
            <a:solidFill>
              <a:schemeClr val="accent1"/>
            </a:solidFill>
            <a:ln>
              <a:noFill/>
            </a:ln>
            <a:effectLst/>
          </c:spPr>
          <c:invertIfNegative val="0"/>
          <c:dLbls>
            <c:delete val="1"/>
          </c:dLbls>
          <c:cat>
            <c:numRef>
              <c:f>Feuil1!$K$2:$K$33</c:f>
              <c:numCache>
                <c:formatCode>General</c:formatCode>
                <c:ptCount val="32"/>
                <c:pt idx="0">
                  <c:v>1992</c:v>
                </c:pt>
                <c:pt idx="1">
                  <c:v>1993</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pt idx="31">
                  <c:v>2022</c:v>
                </c:pt>
              </c:numCache>
            </c:numRef>
          </c:cat>
          <c:val>
            <c:numRef>
              <c:f>Feuil1!$L$2:$L$33</c:f>
              <c:numCache>
                <c:formatCode>General</c:formatCode>
                <c:ptCount val="32"/>
                <c:pt idx="0">
                  <c:v>-0.561163157076898</c:v>
                </c:pt>
                <c:pt idx="1">
                  <c:v>-0.561163157076898</c:v>
                </c:pt>
                <c:pt idx="2">
                  <c:v>-0.561163157076898</c:v>
                </c:pt>
                <c:pt idx="3">
                  <c:v>-0.545022336464258</c:v>
                </c:pt>
                <c:pt idx="4">
                  <c:v>-1.19516361843997</c:v>
                </c:pt>
                <c:pt idx="5">
                  <c:v>-1.52531308763217</c:v>
                </c:pt>
                <c:pt idx="6">
                  <c:v>-4.51129475453796</c:v>
                </c:pt>
                <c:pt idx="7">
                  <c:v>-1.55063582403796</c:v>
                </c:pt>
                <c:pt idx="8">
                  <c:v>0.0648925884360357</c:v>
                </c:pt>
                <c:pt idx="9">
                  <c:v>-3.54371065815873</c:v>
                </c:pt>
                <c:pt idx="10">
                  <c:v>-2.39783537437041</c:v>
                </c:pt>
                <c:pt idx="11">
                  <c:v>-1.90482564076826</c:v>
                </c:pt>
                <c:pt idx="12">
                  <c:v>0.732311535025306</c:v>
                </c:pt>
                <c:pt idx="13">
                  <c:v>-0.0241652729292078</c:v>
                </c:pt>
                <c:pt idx="14">
                  <c:v>0.477106672672068</c:v>
                </c:pt>
                <c:pt idx="15">
                  <c:v>-2.86722238798766</c:v>
                </c:pt>
                <c:pt idx="16">
                  <c:v>-0.94006646327289</c:v>
                </c:pt>
                <c:pt idx="17">
                  <c:v>-0.321887221007317</c:v>
                </c:pt>
                <c:pt idx="18">
                  <c:v>1.25288560517485</c:v>
                </c:pt>
                <c:pt idx="19">
                  <c:v>0.529235795350462</c:v>
                </c:pt>
                <c:pt idx="20">
                  <c:v>-1.39801057064287</c:v>
                </c:pt>
                <c:pt idx="21">
                  <c:v>1.7305062155267</c:v>
                </c:pt>
                <c:pt idx="22">
                  <c:v>0.0110241028133317</c:v>
                </c:pt>
                <c:pt idx="23">
                  <c:v>0.592763062412867</c:v>
                </c:pt>
                <c:pt idx="24">
                  <c:v>0.989606605916186</c:v>
                </c:pt>
                <c:pt idx="25">
                  <c:v>1.4917634689691</c:v>
                </c:pt>
                <c:pt idx="26">
                  <c:v>0.813862301185739</c:v>
                </c:pt>
                <c:pt idx="27">
                  <c:v>0.726558661986962</c:v>
                </c:pt>
                <c:pt idx="28">
                  <c:v>0.607392377995743</c:v>
                </c:pt>
                <c:pt idx="29">
                  <c:v>1.44785361780395</c:v>
                </c:pt>
                <c:pt idx="30">
                  <c:v>1.94735490774441</c:v>
                </c:pt>
                <c:pt idx="31">
                  <c:v>1.43676591672017</c:v>
                </c:pt>
              </c:numCache>
            </c:numRef>
          </c:val>
        </c:ser>
        <c:dLbls>
          <c:showLegendKey val="0"/>
          <c:showVal val="0"/>
          <c:showCatName val="0"/>
          <c:showSerName val="0"/>
          <c:showPercent val="0"/>
          <c:showBubbleSize val="0"/>
        </c:dLbls>
        <c:gapWidth val="219"/>
        <c:overlap val="-27"/>
        <c:axId val="-1102562784"/>
        <c:axId val="-1102556800"/>
      </c:barChart>
      <c:catAx>
        <c:axId val="-1102562784"/>
        <c:scaling>
          <c:orientation val="minMax"/>
        </c:scaling>
        <c:delete val="0"/>
        <c:axPos val="b"/>
        <c:title>
          <c:tx>
            <c:rich>
              <a:bodyPr rot="0" spcFirstLastPara="1"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fr-FR" b="1">
                    <a:solidFill>
                      <a:sysClr val="windowText" lastClr="000000"/>
                    </a:solidFill>
                  </a:rPr>
                  <a:t>Date</a:t>
                </a:r>
                <a:endParaRPr lang="fr-FR" b="1">
                  <a:solidFill>
                    <a:sysClr val="windowText" lastClr="000000"/>
                  </a:solidFill>
                </a:endParaRPr>
              </a:p>
            </c:rich>
          </c:tx>
          <c:layout/>
          <c:overlay val="0"/>
          <c:spPr>
            <a:noFill/>
            <a:ln>
              <a:noFill/>
            </a:ln>
            <a:effectLst/>
          </c:sp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1"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102556800"/>
        <c:crosses val="autoZero"/>
        <c:auto val="1"/>
        <c:lblAlgn val="ctr"/>
        <c:lblOffset val="100"/>
        <c:noMultiLvlLbl val="0"/>
      </c:catAx>
      <c:valAx>
        <c:axId val="-1102556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fr-FR" b="1">
                    <a:solidFill>
                      <a:sysClr val="windowText" lastClr="000000"/>
                    </a:solidFill>
                  </a:rPr>
                  <a:t>SPI</a:t>
                </a:r>
                <a:endParaRPr lang="fr-FR" b="1">
                  <a:solidFill>
                    <a:sysClr val="windowText" lastClr="000000"/>
                  </a:solidFill>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p>
        </c:txPr>
        <c:crossAx val="-1102562784"/>
        <c:crosses val="autoZero"/>
        <c:crossBetween val="between"/>
      </c:valAx>
      <c:spPr>
        <a:noFill/>
        <a:ln>
          <a:noFill/>
        </a:ln>
        <a:effectLst/>
      </c:spPr>
    </c:plotArea>
    <c:plotVisOnly val="1"/>
    <c:dispBlanksAs val="gap"/>
    <c:showDLblsOverMax val="0"/>
    <c:extLst>
      <c:ext uri="{0b15fc19-7d7d-44ad-8c2d-2c3a37ce22c3}">
        <chartProps xmlns="https://web.wps.cn/et/2018/main" chartId="{83b5e562-908d-46d7-b081-8d3466e7c2aa}"/>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sp>
      <cdr:nvSpPr>
        <cdr:cNvPr id="2" name="Rectangles 1"/>
        <cdr:cNvSpPr/>
      </cdr:nvSpPr>
      <cdr:spPr xmlns:a="http://schemas.openxmlformats.org/drawingml/2006/main">
        <a:xfrm xmlns:a="http://schemas.openxmlformats.org/drawingml/2006/main">
          <a:off x="0" y="0"/>
          <a:ext cx="3561715" cy="2146300"/>
        </a:xfrm>
        <a:prstGeom xmlns:a="http://schemas.openxmlformats.org/drawingml/2006/main" prst="rect">
          <a:avLst/>
        </a:prstGeom>
        <a:noFill/>
        <a:ln>
          <a:solidFill>
            <a:schemeClr val="tx1"/>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lstStyle/>
        <a:p>
          <a:endParaRPr lang="en-US" kern="1200"/>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0.00632</cdr:y>
    </cdr:from>
    <cdr:to>
      <cdr:x>1</cdr:x>
      <cdr:y>1</cdr:y>
    </cdr:to>
    <cdr:sp>
      <cdr:nvSpPr>
        <cdr:cNvPr id="2" name="Rectangles 1"/>
        <cdr:cNvSpPr/>
      </cdr:nvSpPr>
      <cdr:spPr xmlns:a="http://schemas.openxmlformats.org/drawingml/2006/main">
        <a:xfrm xmlns:a="http://schemas.openxmlformats.org/drawingml/2006/main">
          <a:off x="0" y="15903"/>
          <a:ext cx="5293995" cy="2498697"/>
        </a:xfrm>
        <a:prstGeom xmlns:a="http://schemas.openxmlformats.org/drawingml/2006/main" prst="rect">
          <a:avLst/>
        </a:prstGeom>
        <a:noFill/>
        <a:ln>
          <a:solidFill>
            <a:schemeClr val="tx1"/>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lstStyle/>
        <a:p>
          <a:endParaRPr lang="en-US" kern="12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3842</Words>
  <Characters>21900</Characters>
  <Lines>182</Lines>
  <Paragraphs>51</Paragraphs>
  <TotalTime>38</TotalTime>
  <ScaleCrop>false</ScaleCrop>
  <LinksUpToDate>false</LinksUpToDate>
  <CharactersWithSpaces>25691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2025-12-22T23:26:00Z</dcterms:created>
  <dc:creator>hp</dc:creator>
  <cp:lastModifiedBy>Gangga Dara Destyano</cp:lastModifiedBy>
  <dcterms:modified xsi:type="dcterms:W3CDTF">2026-01-03T17:22:13Z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6727D6AFBE18489AAE5B3C18D624A1C0_13</vt:lpwstr>
  </property>
</Properties>
</file>