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F35F56" w:rsidP="00441B6F">
      <w:pPr>
        <w:pStyle w:val="Title"/>
        <w:spacing w:after="0"/>
        <w:jc w:val="both"/>
        <w:rPr>
          <w:rFonts w:ascii="Arial" w:hAnsi="Arial" w:cs="Arial"/>
        </w:rPr>
      </w:pPr>
      <w:r w:rsidRPr="00F35F56">
        <w:rPr>
          <w:rFonts w:ascii="Arial" w:hAnsi="Arial" w:cs="Arial"/>
        </w:rPr>
        <w:t>Original Research Article</w:t>
      </w:r>
    </w:p>
    <w:p w:rsidR="00F35F56" w:rsidRDefault="00F35F56" w:rsidP="00441B6F">
      <w:pPr>
        <w:pStyle w:val="Title"/>
        <w:spacing w:after="0"/>
        <w:jc w:val="both"/>
        <w:rPr>
          <w:rFonts w:ascii="Arial" w:hAnsi="Arial" w:cs="Arial"/>
        </w:rPr>
      </w:pPr>
    </w:p>
    <w:p w:rsidR="00F35F56" w:rsidRDefault="00F35F56" w:rsidP="00441B6F">
      <w:pPr>
        <w:pStyle w:val="Title"/>
        <w:spacing w:after="0"/>
        <w:jc w:val="both"/>
        <w:rPr>
          <w:rFonts w:ascii="Arial" w:hAnsi="Arial" w:cs="Arial"/>
        </w:rPr>
      </w:pPr>
    </w:p>
    <w:p w:rsidR="00A258C3" w:rsidRPr="00F729C6" w:rsidRDefault="00F729C6" w:rsidP="00E94106">
      <w:pPr>
        <w:pStyle w:val="Heading1"/>
        <w:spacing w:before="0" w:after="240"/>
        <w:ind w:right="-14"/>
        <w:jc w:val="right"/>
        <w:rPr>
          <w:rFonts w:ascii="Times New Roman" w:hAnsi="Times New Roman"/>
        </w:rPr>
      </w:pPr>
      <w:bookmarkStart w:id="0" w:name="_Hlk216361869"/>
      <w:bookmarkEnd w:id="0"/>
      <w:commentRangeStart w:id="1"/>
      <w:r w:rsidRPr="003252EE">
        <w:rPr>
          <w:rFonts w:ascii="Times New Roman" w:hAnsi="Times New Roman"/>
        </w:rPr>
        <w:t>CALIBRATION AND VALIDATION OF CERES-SORGHUM MODEL FOR SUMMER SORGHUM (</w:t>
      </w:r>
      <w:r w:rsidRPr="003252EE">
        <w:rPr>
          <w:rFonts w:ascii="Times New Roman" w:hAnsi="Times New Roman"/>
          <w:i/>
          <w:iCs/>
        </w:rPr>
        <w:t>Sorghum bicolor</w:t>
      </w:r>
      <w:r w:rsidRPr="003252EE">
        <w:rPr>
          <w:rFonts w:ascii="Times New Roman" w:hAnsi="Times New Roman"/>
        </w:rPr>
        <w:t xml:space="preserve"> L.) UNDER DIFFERENT SOWING WINDOWS</w:t>
      </w:r>
      <w:commentRangeEnd w:id="1"/>
      <w:r w:rsidR="004830E7">
        <w:rPr>
          <w:rStyle w:val="CommentReference"/>
          <w:rFonts w:ascii="Times New Roman" w:hAnsi="Times New Roman"/>
          <w:b w:val="0"/>
          <w:kern w:val="0"/>
          <w:lang w:val="nb-NO" w:eastAsia="nb-NO"/>
        </w:rPr>
        <w:commentReference w:id="1"/>
      </w:r>
    </w:p>
    <w:p w:rsidR="002C57D2" w:rsidRDefault="002C57D2" w:rsidP="00441B6F">
      <w:pPr>
        <w:pStyle w:val="Affiliation"/>
        <w:spacing w:after="0" w:line="240" w:lineRule="auto"/>
        <w:jc w:val="both"/>
        <w:rPr>
          <w:rFonts w:ascii="Arial" w:hAnsi="Arial" w:cs="Arial"/>
        </w:rPr>
      </w:pPr>
    </w:p>
    <w:p w:rsidR="00C40500" w:rsidRPr="00FB3A86" w:rsidRDefault="00C40500" w:rsidP="00441B6F">
      <w:pPr>
        <w:pStyle w:val="Affiliation"/>
        <w:spacing w:after="0" w:line="240" w:lineRule="auto"/>
        <w:jc w:val="both"/>
        <w:rPr>
          <w:rFonts w:ascii="Arial" w:hAnsi="Arial" w:cs="Arial"/>
        </w:rPr>
      </w:pPr>
    </w:p>
    <w:p w:rsidR="00B01FCD" w:rsidRPr="00FB3A86" w:rsidRDefault="005444D1" w:rsidP="00441B6F">
      <w:pPr>
        <w:pStyle w:val="Copyright"/>
        <w:spacing w:after="0" w:line="240" w:lineRule="auto"/>
        <w:jc w:val="both"/>
        <w:rPr>
          <w:rFonts w:ascii="Arial" w:hAnsi="Arial" w:cs="Arial"/>
        </w:rPr>
        <w:sectPr w:rsidR="00B01FCD" w:rsidRPr="00FB3A86" w:rsidSect="00807D8D">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8F52B7" w:rsidRDefault="008F52B7" w:rsidP="00CB0CAD">
            <w:pPr>
              <w:pStyle w:val="FirstParagraph"/>
              <w:jc w:val="both"/>
              <w:rPr>
                <w:rFonts w:ascii="Times New Roman" w:hAnsi="Times New Roman" w:cs="Times New Roman"/>
              </w:rPr>
            </w:pPr>
            <w:r w:rsidRPr="008F52B7">
              <w:rPr>
                <w:rFonts w:ascii="Arial" w:eastAsia="Calibri" w:hAnsi="Arial" w:cs="Arial"/>
                <w:sz w:val="20"/>
                <w:szCs w:val="22"/>
              </w:rPr>
              <w:t>Sorghum (Sorghum bicolor L.) is an important staple crop for food-insecure populations across semi-arid and sub-humid tropics. A comprehensive field experiment was conducted during the summer season of 2023 on the college farm of Navsari Agricultural University, Navsari, Gujarat (20°57′ N, 72°54′ E), to calibrate and validate the CERES-sorghum module of DSSAT v4.8.2 for three improved summer sorghum varieties (V1 = GJ-42, V2 = GJ-44 and V3= GNJ-1) under three different sowing dates (15th January, 31st January and 15th February) using a split-plot design with four replications. The CERES model was calibrated using the GLUE (Generalized Likelihood Uncertainty Estimation) algorithm to derive variety-specific genetic coefficients. Calibration results revealed differences between observed and simulated parameters consistently below 10% error. Independent field experimental data from 2017 and 2022 from Main Sorghum Research Station, Surat were used for rigorous validation. The model simulated 50% flowering and physiological maturity with percentage errors of 2.86% and -0.92%, respectively, in validation. For yield characters, grain yield and dry fodder yield expressed 1.70% and -7.19% error. Across both calibration and validation phases, root mean square error (RMSE) and normalized RMSE (nRMSE) metrics confirmed excellent model performance (PE &lt; 10%, nRMSE&lt; 10%). Regression analysis showed strong correspondence between observed and simulated values (R² &gt; 0.92). The CERES-Sorghum model demonstrated excellent simulation capability for phenological stages, biomass and yield attributes, making it a robust tool for climate change impact assessment, optimal sowing date determination, irrigation scheduling and natural resource management applications in the South Gujarat heavy rainfall zone and similar agro-ecological regions.</w:t>
            </w:r>
          </w:p>
        </w:tc>
      </w:tr>
    </w:tbl>
    <w:p w:rsidR="00636EB2" w:rsidRDefault="00636EB2" w:rsidP="00441B6F">
      <w:pPr>
        <w:pStyle w:val="Body"/>
        <w:spacing w:after="0"/>
        <w:rPr>
          <w:rFonts w:ascii="Arial" w:hAnsi="Arial" w:cs="Arial"/>
          <w:i/>
        </w:rPr>
      </w:pPr>
    </w:p>
    <w:p w:rsidR="00505F06" w:rsidRDefault="00A24E7E" w:rsidP="008F52B7">
      <w:pPr>
        <w:pStyle w:val="BodyText"/>
        <w:ind w:right="-270"/>
        <w:jc w:val="both"/>
        <w:rPr>
          <w:rFonts w:ascii="Arial" w:hAnsi="Arial" w:cs="Arial"/>
          <w:i/>
        </w:rPr>
      </w:pPr>
      <w:commentRangeStart w:id="3"/>
      <w:r>
        <w:rPr>
          <w:rFonts w:ascii="Arial" w:hAnsi="Arial" w:cs="Arial"/>
          <w:i/>
        </w:rPr>
        <w:t>Keywords:</w:t>
      </w:r>
      <w:commentRangeEnd w:id="3"/>
      <w:r w:rsidR="004830E7">
        <w:rPr>
          <w:rStyle w:val="CommentReference"/>
          <w:rFonts w:ascii="Times New Roman" w:hAnsi="Times New Roman"/>
          <w:lang w:val="nb-NO" w:eastAsia="nb-NO"/>
        </w:rPr>
        <w:commentReference w:id="3"/>
      </w:r>
      <w:r>
        <w:rPr>
          <w:rFonts w:ascii="Arial" w:hAnsi="Arial" w:cs="Arial"/>
          <w:i/>
        </w:rPr>
        <w:t xml:space="preserve"> [</w:t>
      </w:r>
      <w:r w:rsidR="008F52B7" w:rsidRPr="008F52B7">
        <w:rPr>
          <w:rFonts w:ascii="Arial" w:hAnsi="Arial" w:cs="Arial"/>
          <w:i/>
        </w:rPr>
        <w:t>Calibration</w:t>
      </w:r>
      <w:r w:rsidR="008F52B7">
        <w:rPr>
          <w:rFonts w:ascii="Arial" w:hAnsi="Arial" w:cs="Arial"/>
          <w:i/>
        </w:rPr>
        <w:t xml:space="preserve">, </w:t>
      </w:r>
      <w:r w:rsidR="008F52B7" w:rsidRPr="008F52B7">
        <w:rPr>
          <w:rFonts w:ascii="Arial" w:hAnsi="Arial" w:cs="Arial"/>
          <w:i/>
        </w:rPr>
        <w:t>validation, CERES-Sorghum, crop simulation, DSSAT, sowing dates, genetic coefficients, GLUE algorithm, summer sorghum</w:t>
      </w:r>
    </w:p>
    <w:p w:rsidR="00CB0CAD" w:rsidRPr="00A24E7E" w:rsidRDefault="00CB0CAD" w:rsidP="008F52B7">
      <w:pPr>
        <w:pStyle w:val="BodyText"/>
        <w:ind w:right="-270"/>
        <w:jc w:val="both"/>
        <w:rPr>
          <w:rFonts w:ascii="Arial" w:hAnsi="Arial" w:cs="Arial"/>
          <w:i/>
        </w:rPr>
      </w:pPr>
    </w:p>
    <w:p w:rsidR="007F7B32" w:rsidRPr="00DF0FCA" w:rsidRDefault="00B01FCD" w:rsidP="00CB0CAD">
      <w:pPr>
        <w:pStyle w:val="AbstHead"/>
        <w:numPr>
          <w:ilvl w:val="0"/>
          <w:numId w:val="33"/>
        </w:numPr>
        <w:spacing w:after="0"/>
        <w:ind w:left="284" w:hanging="284"/>
        <w:jc w:val="both"/>
        <w:rPr>
          <w:rFonts w:ascii="Arial" w:hAnsi="Arial" w:cs="Arial"/>
        </w:rPr>
      </w:pPr>
      <w:r w:rsidRPr="00DF0FCA">
        <w:rPr>
          <w:rFonts w:ascii="Arial" w:hAnsi="Arial" w:cs="Arial"/>
        </w:rPr>
        <w:t>INTRODUCTION</w:t>
      </w:r>
    </w:p>
    <w:p w:rsidR="00790ADA" w:rsidRPr="00FB3A86" w:rsidRDefault="00790ADA" w:rsidP="00441B6F">
      <w:pPr>
        <w:pStyle w:val="AbstHead"/>
        <w:spacing w:after="0"/>
        <w:jc w:val="both"/>
        <w:rPr>
          <w:rFonts w:ascii="Arial" w:hAnsi="Arial" w:cs="Arial"/>
        </w:rPr>
      </w:pPr>
    </w:p>
    <w:p w:rsidR="00010693" w:rsidRPr="00010693" w:rsidRDefault="00010693" w:rsidP="00CB0CAD">
      <w:pPr>
        <w:pStyle w:val="Body"/>
        <w:rPr>
          <w:rFonts w:ascii="Arial" w:hAnsi="Arial" w:cs="Arial"/>
        </w:rPr>
      </w:pPr>
      <w:r w:rsidRPr="00010693">
        <w:rPr>
          <w:rFonts w:ascii="Arial" w:hAnsi="Arial" w:cs="Arial"/>
        </w:rPr>
        <w:t>Sorghum (</w:t>
      </w:r>
      <w:r w:rsidRPr="00010693">
        <w:rPr>
          <w:rFonts w:ascii="Arial" w:hAnsi="Arial" w:cs="Arial"/>
          <w:i/>
        </w:rPr>
        <w:t>Sorghum bicolor</w:t>
      </w:r>
      <w:r w:rsidRPr="00010693">
        <w:rPr>
          <w:rFonts w:ascii="Arial" w:hAnsi="Arial" w:cs="Arial"/>
        </w:rPr>
        <w:t xml:space="preserve"> L. Moench) is the fifth most important cereal crop globally, with approximately 37.6 million hectares cultivated worldwide (FAO, 2024). In India, sorghum is known as "Jowar" and serves multiple purposes including direct human consumption, animal feed, brewing and biofuel production (Obady</w:t>
      </w:r>
      <w:r w:rsidRPr="00010693">
        <w:rPr>
          <w:rFonts w:ascii="Arial" w:hAnsi="Arial" w:cs="Arial"/>
          <w:i/>
          <w:iCs/>
        </w:rPr>
        <w:t>et al.</w:t>
      </w:r>
      <w:r w:rsidRPr="00010693">
        <w:rPr>
          <w:rFonts w:ascii="Arial" w:hAnsi="Arial" w:cs="Arial"/>
        </w:rPr>
        <w:t>, 2022). The crop is recognized as a "drought tolerant" due to its exceptional tolerance to heat stress, intermittent drought and soil salinity-characteristics increasingly important under climate change scenarios. Approximately 3.75 million hectares are under sorghum cultivation in India, producing approximately 4.00 million tonnes with average productivity of 1100 kg ha</w:t>
      </w:r>
      <w:r w:rsidRPr="00010693">
        <w:rPr>
          <w:rFonts w:ascii="Cambria Math" w:hAnsi="Cambria Math" w:cs="Cambria Math"/>
        </w:rPr>
        <w:t>⁻</w:t>
      </w:r>
      <w:r w:rsidRPr="00010693">
        <w:rPr>
          <w:rFonts w:ascii="Arial" w:hAnsi="Arial" w:cs="Arial"/>
        </w:rPr>
        <w:t>¹ during 2023-</w:t>
      </w:r>
      <w:r w:rsidRPr="00010693">
        <w:rPr>
          <w:rFonts w:ascii="Arial" w:hAnsi="Arial" w:cs="Arial"/>
        </w:rPr>
        <w:lastRenderedPageBreak/>
        <w:t xml:space="preserve">2024 (Anonymous, 2024a). In Gujarat state, sorghum is predominantly cultivated during the summer (March-July) and post-monsoon (October-January, locally called </w:t>
      </w:r>
      <w:r w:rsidRPr="00010693">
        <w:rPr>
          <w:rFonts w:ascii="Arial" w:hAnsi="Arial" w:cs="Arial"/>
          <w:i/>
          <w:iCs/>
        </w:rPr>
        <w:t>Rabi</w:t>
      </w:r>
      <w:r w:rsidRPr="00010693">
        <w:rPr>
          <w:rFonts w:ascii="Arial" w:hAnsi="Arial" w:cs="Arial"/>
        </w:rPr>
        <w:t>) seasons. During summer 2024, sorghum occupied 0.04 million hectares with an average productivity of 1336 kg ha</w:t>
      </w:r>
      <w:r w:rsidRPr="00010693">
        <w:rPr>
          <w:rFonts w:ascii="Cambria Math" w:hAnsi="Cambria Math" w:cs="Cambria Math"/>
        </w:rPr>
        <w:t>⁻</w:t>
      </w:r>
      <w:r w:rsidRPr="00010693">
        <w:rPr>
          <w:rFonts w:ascii="Arial" w:hAnsi="Arial" w:cs="Arial"/>
        </w:rPr>
        <w:t xml:space="preserve">¹. South Gujarat, characterized by heavy rainfall (1800-1900 mm annually) and </w:t>
      </w:r>
      <w:r w:rsidRPr="00010693">
        <w:rPr>
          <w:rFonts w:ascii="Arial" w:hAnsi="Arial" w:cs="Arial"/>
          <w:i/>
          <w:iCs/>
        </w:rPr>
        <w:t>Vertisol</w:t>
      </w:r>
      <w:r w:rsidRPr="00010693">
        <w:rPr>
          <w:rFonts w:ascii="Arial" w:hAnsi="Arial" w:cs="Arial"/>
        </w:rPr>
        <w:t xml:space="preserve"> soils, has emerged as an important summer sorghum production region.</w:t>
      </w:r>
    </w:p>
    <w:p w:rsidR="00010693" w:rsidRPr="00010693" w:rsidRDefault="00010693" w:rsidP="00CB0CAD">
      <w:pPr>
        <w:pStyle w:val="Body"/>
        <w:rPr>
          <w:rFonts w:ascii="Arial" w:hAnsi="Arial" w:cs="Arial"/>
        </w:rPr>
      </w:pPr>
      <w:r w:rsidRPr="00010693">
        <w:rPr>
          <w:rFonts w:ascii="Arial" w:hAnsi="Arial" w:cs="Arial"/>
        </w:rPr>
        <w:t xml:space="preserve">Sorghum growth, development and final grain yield are highly dependent on temperature and precipitation patterns throughout the growing season (Srivastava et al., 2010). The crop requires a minimum temperature of 7-8°C for germination, with optimal growth temperature ranging from 27-32°C. Clay loam or loamy textured soils having good water retention capacity are best suited for sorghum cultivation. </w:t>
      </w:r>
      <w:commentRangeStart w:id="4"/>
      <w:r w:rsidRPr="00010693">
        <w:rPr>
          <w:rFonts w:ascii="Arial" w:hAnsi="Arial" w:cs="Arial"/>
        </w:rPr>
        <w:t>It can grow in the soils having pH 6.0-8.5 as it tolerates considerable salinity and alkalinity.</w:t>
      </w:r>
      <w:commentRangeEnd w:id="4"/>
      <w:r w:rsidR="004830E7">
        <w:rPr>
          <w:rStyle w:val="CommentReference"/>
          <w:rFonts w:ascii="Times New Roman" w:hAnsi="Times New Roman"/>
          <w:lang w:val="nb-NO" w:eastAsia="nb-NO"/>
        </w:rPr>
        <w:commentReference w:id="4"/>
      </w:r>
    </w:p>
    <w:p w:rsidR="00010693" w:rsidRPr="00010693" w:rsidRDefault="00010693" w:rsidP="00CB0CAD">
      <w:pPr>
        <w:pStyle w:val="Body"/>
        <w:rPr>
          <w:rFonts w:ascii="Arial" w:hAnsi="Arial" w:cs="Arial"/>
        </w:rPr>
      </w:pPr>
      <w:r w:rsidRPr="00010693">
        <w:rPr>
          <w:rFonts w:ascii="Arial" w:hAnsi="Arial" w:cs="Arial"/>
        </w:rPr>
        <w:t>Crop simulation models (CSMs) are mechanistic, process-based tools that integrate weather, soil, crop genotype and management data to simulate daily crop growth and yield (Sabarinathan et al., 2021). Model calibration or parameterization is the adjustment of parameters so that the simulated values compare well with the observed ones (Harb et al., 2013). Model validation is the comparison between simulated and observed values. Validation is determining whether the model works with totally independent data sets, does it accurately predict growth and yield processes (chung et al., 2020). The CERES-Sorghum module within the DSSAT (Decision Support System for Agrotechnology Transfer) platform is one of the most widely used and validated crop simulation frameworks globally. The GLUE (</w:t>
      </w:r>
      <w:commentRangeStart w:id="5"/>
      <w:r w:rsidRPr="00010693">
        <w:rPr>
          <w:rFonts w:ascii="Arial" w:hAnsi="Arial" w:cs="Arial"/>
        </w:rPr>
        <w:t>Generalized Likelihood Uncertainty Estimation</w:t>
      </w:r>
      <w:commentRangeEnd w:id="5"/>
      <w:r w:rsidR="00ED23DC">
        <w:rPr>
          <w:rStyle w:val="CommentReference"/>
          <w:rFonts w:ascii="Times New Roman" w:hAnsi="Times New Roman"/>
          <w:lang w:val="nb-NO" w:eastAsia="nb-NO"/>
        </w:rPr>
        <w:commentReference w:id="5"/>
      </w:r>
      <w:r w:rsidRPr="00010693">
        <w:rPr>
          <w:rFonts w:ascii="Arial" w:hAnsi="Arial" w:cs="Arial"/>
        </w:rPr>
        <w:t>) algorithm employs stochastic sampling and likelihood-based optimization to efficiently search the parameter space and identify coefficient sets that produce simulated outputs within specified tolerance bands of observed field data.</w:t>
      </w:r>
    </w:p>
    <w:p w:rsidR="007F7B32" w:rsidRDefault="00902823" w:rsidP="00CB0CAD">
      <w:pPr>
        <w:pStyle w:val="AbstHead"/>
        <w:numPr>
          <w:ilvl w:val="0"/>
          <w:numId w:val="33"/>
        </w:numPr>
        <w:spacing w:after="0"/>
        <w:ind w:left="284" w:hanging="284"/>
        <w:jc w:val="both"/>
        <w:rPr>
          <w:rFonts w:ascii="Arial" w:hAnsi="Arial" w:cs="Arial"/>
        </w:rPr>
      </w:pPr>
      <w:r>
        <w:rPr>
          <w:rFonts w:ascii="Arial" w:hAnsi="Arial" w:cs="Arial"/>
        </w:rPr>
        <w:t>material and method</w:t>
      </w:r>
      <w:r w:rsidR="00000F8F">
        <w:rPr>
          <w:rFonts w:ascii="Arial" w:hAnsi="Arial" w:cs="Arial"/>
        </w:rPr>
        <w:t xml:space="preserve">s </w:t>
      </w:r>
    </w:p>
    <w:p w:rsidR="00650870" w:rsidRDefault="00650870" w:rsidP="00441B6F">
      <w:pPr>
        <w:pStyle w:val="AbstHead"/>
        <w:spacing w:after="0"/>
        <w:jc w:val="both"/>
        <w:rPr>
          <w:rFonts w:ascii="Arial" w:hAnsi="Arial" w:cs="Arial"/>
        </w:rPr>
      </w:pPr>
    </w:p>
    <w:p w:rsidR="00790ADA" w:rsidRPr="00DF0FCA" w:rsidRDefault="00650870" w:rsidP="0022474A">
      <w:pPr>
        <w:pStyle w:val="AbstHead"/>
        <w:numPr>
          <w:ilvl w:val="1"/>
          <w:numId w:val="36"/>
        </w:numPr>
        <w:tabs>
          <w:tab w:val="left" w:pos="426"/>
        </w:tabs>
        <w:spacing w:after="0"/>
        <w:ind w:left="426" w:hanging="284"/>
        <w:rPr>
          <w:rFonts w:ascii="Arial" w:hAnsi="Arial" w:cs="Arial"/>
          <w:bCs/>
        </w:rPr>
      </w:pPr>
      <w:r w:rsidRPr="00650870">
        <w:rPr>
          <w:rFonts w:ascii="Arial" w:hAnsi="Arial" w:cs="Arial"/>
          <w:bCs/>
          <w:caps w:val="0"/>
        </w:rPr>
        <w:t xml:space="preserve">Experimental Site, Design </w:t>
      </w:r>
      <w:r>
        <w:rPr>
          <w:rFonts w:ascii="Arial" w:hAnsi="Arial" w:cs="Arial"/>
          <w:bCs/>
          <w:caps w:val="0"/>
        </w:rPr>
        <w:t>a</w:t>
      </w:r>
      <w:r w:rsidRPr="00650870">
        <w:rPr>
          <w:rFonts w:ascii="Arial" w:hAnsi="Arial" w:cs="Arial"/>
          <w:bCs/>
          <w:caps w:val="0"/>
        </w:rPr>
        <w:t>nd Treatments</w:t>
      </w:r>
    </w:p>
    <w:p w:rsidR="00DF0FCA" w:rsidRPr="00650870" w:rsidRDefault="00DF0FCA" w:rsidP="00DF0FCA">
      <w:pPr>
        <w:pStyle w:val="AbstHead"/>
        <w:tabs>
          <w:tab w:val="left" w:pos="426"/>
        </w:tabs>
        <w:spacing w:after="0"/>
        <w:rPr>
          <w:rFonts w:ascii="Arial" w:hAnsi="Arial" w:cs="Arial"/>
          <w:bCs/>
        </w:rPr>
      </w:pPr>
    </w:p>
    <w:p w:rsidR="00650870" w:rsidRDefault="00650870" w:rsidP="00CB0CAD">
      <w:pPr>
        <w:pStyle w:val="Body"/>
        <w:rPr>
          <w:rFonts w:ascii="Arial" w:hAnsi="Arial" w:cs="Arial"/>
        </w:rPr>
      </w:pPr>
      <w:commentRangeStart w:id="6"/>
      <w:r w:rsidRPr="00650870">
        <w:rPr>
          <w:rFonts w:ascii="Arial" w:hAnsi="Arial" w:cs="Arial"/>
        </w:rPr>
        <w:t xml:space="preserve">The field experiment for model calibration was conducted during the summer season of 2023 at Agronomy Farm, N. M. College of Agriculture, Navsari Agricultural University (NAU), Navsari, Gujarat (20°57′ N, 72°54′ E, 11.98 m above mean sea level). The experimental site is located in the South Gujarat heavy rainfall zone (Agro-ecological Situation III) characterized by subtropical to tropical climate with hot summers and high monsoon rainfall (1813 mm annually). The soil at the experimental site is a deep clayey </w:t>
      </w:r>
      <w:r w:rsidRPr="00650870">
        <w:rPr>
          <w:rFonts w:ascii="Arial" w:hAnsi="Arial" w:cs="Arial"/>
          <w:i/>
          <w:iCs/>
        </w:rPr>
        <w:t>Vertisol</w:t>
      </w:r>
      <w:r w:rsidRPr="00650870">
        <w:rPr>
          <w:rFonts w:ascii="Arial" w:hAnsi="Arial" w:cs="Arial"/>
        </w:rPr>
        <w:t xml:space="preserve"> (Jalalpur series) with the following properties in the 0–15 cm layer: clay 64.44%, silt 22.26%, sand 12.30%, pH 7.67, electrical conductivity (EC) 0.37 dS m</w:t>
      </w:r>
      <w:r w:rsidRPr="00650870">
        <w:rPr>
          <w:rFonts w:ascii="Cambria Math" w:hAnsi="Cambria Math" w:cs="Cambria Math"/>
        </w:rPr>
        <w:t>⁻</w:t>
      </w:r>
      <w:r w:rsidRPr="00650870">
        <w:rPr>
          <w:rFonts w:ascii="Arial" w:hAnsi="Arial" w:cs="Arial"/>
        </w:rPr>
        <w:t>¹, organic carbon 0.52%, low available nitrogen (236 kg ha</w:t>
      </w:r>
      <w:r w:rsidRPr="00650870">
        <w:rPr>
          <w:rFonts w:ascii="Cambria Math" w:hAnsi="Cambria Math" w:cs="Cambria Math"/>
        </w:rPr>
        <w:t>⁻</w:t>
      </w:r>
      <w:r w:rsidRPr="00650870">
        <w:rPr>
          <w:rFonts w:ascii="Arial" w:hAnsi="Arial" w:cs="Arial"/>
        </w:rPr>
        <w:t>¹), medium available phosphorus (51 kg ha</w:t>
      </w:r>
      <w:r w:rsidRPr="00650870">
        <w:rPr>
          <w:rFonts w:ascii="Cambria Math" w:hAnsi="Cambria Math" w:cs="Cambria Math"/>
        </w:rPr>
        <w:t>⁻</w:t>
      </w:r>
      <w:r w:rsidRPr="00650870">
        <w:rPr>
          <w:rFonts w:ascii="Arial" w:hAnsi="Arial" w:cs="Arial"/>
        </w:rPr>
        <w:t>¹) and high available potassium (354 kg ha</w:t>
      </w:r>
      <w:r w:rsidRPr="00650870">
        <w:rPr>
          <w:rFonts w:ascii="Cambria Math" w:hAnsi="Cambria Math" w:cs="Cambria Math"/>
        </w:rPr>
        <w:t>⁻</w:t>
      </w:r>
      <w:r w:rsidRPr="00650870">
        <w:rPr>
          <w:rFonts w:ascii="Arial" w:hAnsi="Arial" w:cs="Arial"/>
        </w:rPr>
        <w:t>¹).</w:t>
      </w:r>
      <w:commentRangeEnd w:id="6"/>
      <w:r w:rsidR="00ED23DC">
        <w:rPr>
          <w:rStyle w:val="CommentReference"/>
          <w:rFonts w:ascii="Times New Roman" w:hAnsi="Times New Roman"/>
          <w:lang w:val="nb-NO" w:eastAsia="nb-NO"/>
        </w:rPr>
        <w:commentReference w:id="6"/>
      </w:r>
    </w:p>
    <w:p w:rsidR="00790ADA" w:rsidRPr="00650870" w:rsidRDefault="00650870" w:rsidP="00CB0CAD">
      <w:pPr>
        <w:pStyle w:val="Body"/>
        <w:rPr>
          <w:rFonts w:ascii="Arial" w:hAnsi="Arial" w:cs="Arial"/>
        </w:rPr>
      </w:pPr>
      <w:r w:rsidRPr="00650870">
        <w:rPr>
          <w:rFonts w:ascii="Arial" w:hAnsi="Arial" w:cs="Arial"/>
        </w:rPr>
        <w:t xml:space="preserve">The experiment was laid out in a split-plot design with three sorghum varieties as main-plot treatments and three sowing dates as sub-plot treatments, each replicated four times, resulting in </w:t>
      </w:r>
      <w:commentRangeStart w:id="7"/>
      <w:r w:rsidRPr="00650870">
        <w:rPr>
          <w:rFonts w:ascii="Arial" w:hAnsi="Arial" w:cs="Arial"/>
        </w:rPr>
        <w:t>9 treatment combinations × 4 replications = 36 plots.</w:t>
      </w:r>
      <w:commentRangeEnd w:id="7"/>
      <w:r w:rsidR="00157D98">
        <w:rPr>
          <w:rStyle w:val="CommentReference"/>
          <w:rFonts w:ascii="Times New Roman" w:hAnsi="Times New Roman"/>
          <w:lang w:val="nb-NO" w:eastAsia="nb-NO"/>
        </w:rPr>
        <w:commentReference w:id="7"/>
      </w:r>
    </w:p>
    <w:p w:rsidR="00650870" w:rsidRPr="00650870" w:rsidRDefault="00650870" w:rsidP="00650870">
      <w:pPr>
        <w:pStyle w:val="Body"/>
        <w:spacing w:after="0"/>
        <w:rPr>
          <w:rFonts w:ascii="Arial" w:hAnsi="Arial" w:cs="Arial"/>
        </w:rPr>
      </w:pPr>
      <w:r w:rsidRPr="00650870">
        <w:rPr>
          <w:rFonts w:ascii="Arial" w:hAnsi="Arial" w:cs="Arial"/>
          <w:b/>
          <w:bCs/>
        </w:rPr>
        <w:t>Main-plot factor (Varieties, V):</w:t>
      </w:r>
      <w:r w:rsidRPr="00650870">
        <w:rPr>
          <w:rFonts w:ascii="Arial" w:hAnsi="Arial" w:cs="Arial"/>
        </w:rPr>
        <w:t xml:space="preserve"> V</w:t>
      </w:r>
      <w:r w:rsidRPr="00650870">
        <w:rPr>
          <w:rFonts w:ascii="Cambria Math" w:hAnsi="Cambria Math" w:cs="Cambria Math"/>
        </w:rPr>
        <w:t>₁</w:t>
      </w:r>
      <w:r w:rsidRPr="00650870">
        <w:rPr>
          <w:rFonts w:ascii="Arial" w:hAnsi="Arial" w:cs="Arial"/>
        </w:rPr>
        <w:t xml:space="preserve"> = GJ-42, V</w:t>
      </w:r>
      <w:r w:rsidRPr="00650870">
        <w:rPr>
          <w:rFonts w:ascii="Cambria Math" w:hAnsi="Cambria Math" w:cs="Cambria Math"/>
        </w:rPr>
        <w:t>₂</w:t>
      </w:r>
      <w:r w:rsidRPr="00650870">
        <w:rPr>
          <w:rFonts w:ascii="Arial" w:hAnsi="Arial" w:cs="Arial"/>
        </w:rPr>
        <w:t xml:space="preserve"> = GJ-44, V</w:t>
      </w:r>
      <w:r w:rsidRPr="00650870">
        <w:rPr>
          <w:rFonts w:ascii="Cambria Math" w:hAnsi="Cambria Math" w:cs="Cambria Math"/>
        </w:rPr>
        <w:t>₃</w:t>
      </w:r>
      <w:r w:rsidRPr="00650870">
        <w:rPr>
          <w:rFonts w:ascii="Arial" w:hAnsi="Arial" w:cs="Arial"/>
        </w:rPr>
        <w:t xml:space="preserve"> = GNJ-1</w:t>
      </w:r>
    </w:p>
    <w:p w:rsidR="00650870" w:rsidRPr="00650870" w:rsidRDefault="00650870" w:rsidP="00650870">
      <w:pPr>
        <w:pStyle w:val="Body"/>
        <w:spacing w:after="0"/>
        <w:rPr>
          <w:rFonts w:ascii="Arial" w:hAnsi="Arial" w:cs="Arial"/>
        </w:rPr>
      </w:pPr>
      <w:r w:rsidRPr="00650870">
        <w:rPr>
          <w:rFonts w:ascii="Arial" w:hAnsi="Arial" w:cs="Arial"/>
          <w:b/>
          <w:bCs/>
        </w:rPr>
        <w:t>Sub-plot factor (Sowing Dates, D):</w:t>
      </w:r>
      <w:r w:rsidRPr="00650870">
        <w:rPr>
          <w:rFonts w:ascii="Arial" w:hAnsi="Arial" w:cs="Arial"/>
        </w:rPr>
        <w:t xml:space="preserve"> D</w:t>
      </w:r>
      <w:r w:rsidRPr="00650870">
        <w:rPr>
          <w:rFonts w:ascii="Cambria Math" w:hAnsi="Cambria Math" w:cs="Cambria Math"/>
        </w:rPr>
        <w:t>₁</w:t>
      </w:r>
      <w:r w:rsidRPr="00650870">
        <w:rPr>
          <w:rFonts w:ascii="Arial" w:hAnsi="Arial" w:cs="Arial"/>
        </w:rPr>
        <w:t xml:space="preserve"> = 15</w:t>
      </w:r>
      <w:r w:rsidRPr="00650870">
        <w:rPr>
          <w:rFonts w:ascii="Arial" w:hAnsi="Arial" w:cs="Arial"/>
          <w:vertAlign w:val="superscript"/>
        </w:rPr>
        <w:t>th</w:t>
      </w:r>
      <w:r w:rsidRPr="00650870">
        <w:rPr>
          <w:rFonts w:ascii="Arial" w:hAnsi="Arial" w:cs="Arial"/>
        </w:rPr>
        <w:t xml:space="preserve"> January, D</w:t>
      </w:r>
      <w:r w:rsidRPr="00650870">
        <w:rPr>
          <w:rFonts w:ascii="Cambria Math" w:hAnsi="Cambria Math" w:cs="Cambria Math"/>
        </w:rPr>
        <w:t>₂</w:t>
      </w:r>
      <w:r w:rsidRPr="00650870">
        <w:rPr>
          <w:rFonts w:ascii="Arial" w:hAnsi="Arial" w:cs="Arial"/>
        </w:rPr>
        <w:t xml:space="preserve"> = 31</w:t>
      </w:r>
      <w:r w:rsidRPr="00650870">
        <w:rPr>
          <w:rFonts w:ascii="Arial" w:hAnsi="Arial" w:cs="Arial"/>
          <w:vertAlign w:val="superscript"/>
        </w:rPr>
        <w:t>st</w:t>
      </w:r>
      <w:r w:rsidRPr="00650870">
        <w:rPr>
          <w:rFonts w:ascii="Arial" w:hAnsi="Arial" w:cs="Arial"/>
        </w:rPr>
        <w:t xml:space="preserve"> January, D</w:t>
      </w:r>
      <w:r w:rsidRPr="00650870">
        <w:rPr>
          <w:rFonts w:ascii="Cambria Math" w:hAnsi="Cambria Math" w:cs="Cambria Math"/>
        </w:rPr>
        <w:t>₃</w:t>
      </w:r>
      <w:r w:rsidRPr="00650870">
        <w:rPr>
          <w:rFonts w:ascii="Arial" w:hAnsi="Arial" w:cs="Arial"/>
        </w:rPr>
        <w:t xml:space="preserve"> = 15</w:t>
      </w:r>
      <w:r w:rsidRPr="00650870">
        <w:rPr>
          <w:rFonts w:ascii="Arial" w:hAnsi="Arial" w:cs="Arial"/>
          <w:vertAlign w:val="superscript"/>
        </w:rPr>
        <w:t>th</w:t>
      </w:r>
      <w:r w:rsidRPr="00650870">
        <w:rPr>
          <w:rFonts w:ascii="Arial" w:hAnsi="Arial" w:cs="Arial"/>
        </w:rPr>
        <w:t>February</w:t>
      </w:r>
    </w:p>
    <w:p w:rsidR="00650870" w:rsidRPr="00650870" w:rsidRDefault="00650870" w:rsidP="00650870">
      <w:pPr>
        <w:pStyle w:val="Body"/>
        <w:spacing w:after="0"/>
        <w:rPr>
          <w:rFonts w:ascii="Arial" w:hAnsi="Arial" w:cs="Arial"/>
        </w:rPr>
      </w:pPr>
      <w:r w:rsidRPr="00650870">
        <w:rPr>
          <w:rFonts w:ascii="Arial" w:hAnsi="Arial" w:cs="Arial"/>
        </w:rPr>
        <w:t>Gross plot size was 4.50 m × 3.60 m (net plot 3.60 m × 2.70 m).</w:t>
      </w:r>
    </w:p>
    <w:p w:rsidR="00650870" w:rsidRDefault="00650870" w:rsidP="00441B6F">
      <w:pPr>
        <w:pStyle w:val="Body"/>
        <w:spacing w:after="0"/>
        <w:rPr>
          <w:rFonts w:ascii="Arial" w:hAnsi="Arial" w:cs="Arial"/>
          <w:highlight w:val="yellow"/>
        </w:rPr>
      </w:pPr>
    </w:p>
    <w:p w:rsidR="00650870" w:rsidRDefault="00CB0CAD" w:rsidP="0022474A">
      <w:pPr>
        <w:pStyle w:val="AbstHead"/>
        <w:numPr>
          <w:ilvl w:val="1"/>
          <w:numId w:val="36"/>
        </w:numPr>
        <w:tabs>
          <w:tab w:val="left" w:pos="426"/>
        </w:tabs>
        <w:spacing w:after="0"/>
        <w:ind w:left="426" w:hanging="284"/>
        <w:rPr>
          <w:rFonts w:ascii="Arial" w:hAnsi="Arial" w:cs="Arial"/>
          <w:bCs/>
          <w:caps w:val="0"/>
        </w:rPr>
      </w:pPr>
      <w:r w:rsidRPr="00335992">
        <w:rPr>
          <w:rFonts w:ascii="Arial" w:hAnsi="Arial" w:cs="Arial"/>
          <w:bCs/>
          <w:caps w:val="0"/>
        </w:rPr>
        <w:lastRenderedPageBreak/>
        <w:t>Weather and Soil Data Collection</w:t>
      </w:r>
    </w:p>
    <w:p w:rsidR="0022474A" w:rsidRPr="00335992" w:rsidRDefault="0022474A" w:rsidP="0022474A">
      <w:pPr>
        <w:pStyle w:val="AbstHead"/>
        <w:tabs>
          <w:tab w:val="left" w:pos="426"/>
        </w:tabs>
        <w:spacing w:after="0"/>
        <w:ind w:left="426"/>
        <w:rPr>
          <w:rFonts w:ascii="Arial" w:hAnsi="Arial" w:cs="Arial"/>
          <w:bCs/>
          <w:caps w:val="0"/>
        </w:rPr>
      </w:pPr>
    </w:p>
    <w:p w:rsidR="00650870" w:rsidRPr="00650870" w:rsidRDefault="00650870" w:rsidP="00CB0CAD">
      <w:pPr>
        <w:pStyle w:val="Body"/>
        <w:rPr>
          <w:rFonts w:ascii="Arial" w:hAnsi="Arial" w:cs="Arial"/>
        </w:rPr>
      </w:pPr>
      <w:r w:rsidRPr="00650870">
        <w:rPr>
          <w:rFonts w:ascii="Arial" w:hAnsi="Arial" w:cs="Arial"/>
        </w:rPr>
        <w:t>Daily weather observations were recorded at an agro-meteorological observatory adjacent to the experimental site, managed by the Department of Agricultural Meteorological Cell, N.A.U., Navsari. Data collected included maximum and minimum temperature (°C), rainfall (mm) and solar radiation (MJ m</w:t>
      </w:r>
      <w:r w:rsidRPr="00650870">
        <w:rPr>
          <w:rFonts w:ascii="Cambria Math" w:hAnsi="Cambria Math" w:cs="Cambria Math"/>
        </w:rPr>
        <w:t>⁻</w:t>
      </w:r>
      <w:r w:rsidRPr="00650870">
        <w:rPr>
          <w:rFonts w:ascii="Arial" w:hAnsi="Arial" w:cs="Arial"/>
        </w:rPr>
        <w:t>² day</w:t>
      </w:r>
      <w:r w:rsidRPr="00650870">
        <w:rPr>
          <w:rFonts w:ascii="Cambria Math" w:hAnsi="Cambria Math" w:cs="Cambria Math"/>
        </w:rPr>
        <w:t>⁻</w:t>
      </w:r>
      <w:r w:rsidRPr="00650870">
        <w:rPr>
          <w:rFonts w:ascii="Arial" w:hAnsi="Arial" w:cs="Arial"/>
        </w:rPr>
        <w:t>¹). Soil samples were collected for profile characterization and DSSAT input file preparation. Data included: texture (% sand, silt, clay), bulk density (g cm</w:t>
      </w:r>
      <w:r w:rsidRPr="00650870">
        <w:rPr>
          <w:rFonts w:ascii="Cambria Math" w:hAnsi="Cambria Math" w:cs="Cambria Math"/>
        </w:rPr>
        <w:t>⁻</w:t>
      </w:r>
      <w:r w:rsidRPr="00650870">
        <w:rPr>
          <w:rFonts w:ascii="Arial" w:hAnsi="Arial" w:cs="Arial"/>
        </w:rPr>
        <w:t>³), organic carbon (%), pH, extractable phosphorus (mg kg</w:t>
      </w:r>
      <w:r w:rsidRPr="00650870">
        <w:rPr>
          <w:rFonts w:ascii="Cambria Math" w:hAnsi="Cambria Math" w:cs="Cambria Math"/>
        </w:rPr>
        <w:t>⁻</w:t>
      </w:r>
      <w:r w:rsidRPr="00650870">
        <w:rPr>
          <w:rFonts w:ascii="Arial" w:hAnsi="Arial" w:cs="Arial"/>
        </w:rPr>
        <w:t>¹), exchangeable potassium (mg kg</w:t>
      </w:r>
      <w:r w:rsidRPr="00650870">
        <w:rPr>
          <w:rFonts w:ascii="Cambria Math" w:hAnsi="Cambria Math" w:cs="Cambria Math"/>
        </w:rPr>
        <w:t>⁻</w:t>
      </w:r>
      <w:r w:rsidRPr="00650870">
        <w:rPr>
          <w:rFonts w:ascii="Arial" w:hAnsi="Arial" w:cs="Arial"/>
        </w:rPr>
        <w:t>¹), soil water holding capacity (mm per 15 cm layer) and lower and upper depth limits for each soil horizon.</w:t>
      </w:r>
    </w:p>
    <w:p w:rsidR="00650870" w:rsidRDefault="00CB0CAD" w:rsidP="0022474A">
      <w:pPr>
        <w:pStyle w:val="AbstHead"/>
        <w:numPr>
          <w:ilvl w:val="1"/>
          <w:numId w:val="36"/>
        </w:numPr>
        <w:tabs>
          <w:tab w:val="left" w:pos="426"/>
        </w:tabs>
        <w:spacing w:after="0"/>
        <w:ind w:left="426" w:hanging="284"/>
        <w:rPr>
          <w:rFonts w:ascii="Arial" w:hAnsi="Arial" w:cs="Arial"/>
          <w:bCs/>
          <w:caps w:val="0"/>
        </w:rPr>
      </w:pPr>
      <w:r w:rsidRPr="00335992">
        <w:rPr>
          <w:rFonts w:ascii="Arial" w:hAnsi="Arial" w:cs="Arial"/>
          <w:bCs/>
          <w:caps w:val="0"/>
        </w:rPr>
        <w:t xml:space="preserve">Dssat-Ceres-Sorghum Model: Calibration Framework </w:t>
      </w:r>
      <w:r w:rsidR="00807D8D">
        <w:rPr>
          <w:rFonts w:ascii="Arial" w:hAnsi="Arial" w:cs="Arial"/>
          <w:bCs/>
          <w:caps w:val="0"/>
        </w:rPr>
        <w:t>a</w:t>
      </w:r>
      <w:r w:rsidRPr="00335992">
        <w:rPr>
          <w:rFonts w:ascii="Arial" w:hAnsi="Arial" w:cs="Arial"/>
          <w:bCs/>
          <w:caps w:val="0"/>
        </w:rPr>
        <w:t>nd Genetic Coefficient Derivation</w:t>
      </w:r>
    </w:p>
    <w:p w:rsidR="0022474A" w:rsidRPr="00335992" w:rsidRDefault="0022474A" w:rsidP="0022474A">
      <w:pPr>
        <w:pStyle w:val="AbstHead"/>
        <w:tabs>
          <w:tab w:val="left" w:pos="426"/>
        </w:tabs>
        <w:spacing w:after="0"/>
        <w:ind w:left="426"/>
        <w:rPr>
          <w:rFonts w:ascii="Arial" w:hAnsi="Arial" w:cs="Arial"/>
          <w:bCs/>
          <w:caps w:val="0"/>
        </w:rPr>
      </w:pPr>
    </w:p>
    <w:p w:rsidR="00650870" w:rsidRDefault="00650870" w:rsidP="00CB0CAD">
      <w:pPr>
        <w:pStyle w:val="Body"/>
        <w:rPr>
          <w:rFonts w:ascii="Arial" w:hAnsi="Arial" w:cs="Arial"/>
        </w:rPr>
      </w:pPr>
      <w:r w:rsidRPr="00650870">
        <w:rPr>
          <w:rFonts w:ascii="Arial" w:hAnsi="Arial" w:cs="Arial"/>
        </w:rPr>
        <w:t>The DSSAT (Decision Support System for Agrotechnology Transfer) model is a dynamic simulation model that can simulate the impact of climatic change on crops and detect the daily effects of weather, soil properties, management practices, genotype and cultivar (Nain and Kersebaum 2007). The main data set required to run the DSSAT model is soil, weather, crop and crop management (Iyanda et al., 2014). The Crop Environment Resource Synthesis (CERES) models are crafted to simulate how various factors like cultivar choice, planting density, weather conditions, soil moisture and nitrogen levels impact on crop growth, development and yield. The CERES model development aimed for practical applicability at both farm and regional scales, with a global reach. Key genetic coefficients include:</w:t>
      </w:r>
    </w:p>
    <w:p w:rsidR="00650870" w:rsidRDefault="00650870" w:rsidP="00650870">
      <w:pPr>
        <w:pStyle w:val="Body"/>
        <w:spacing w:after="0"/>
        <w:rPr>
          <w:rFonts w:ascii="Arial" w:hAnsi="Arial" w:cs="Arial"/>
          <w:b/>
          <w:bCs/>
        </w:rPr>
      </w:pPr>
      <w:r w:rsidRPr="00650870">
        <w:rPr>
          <w:rFonts w:ascii="Arial" w:hAnsi="Arial" w:cs="Arial"/>
          <w:b/>
          <w:bCs/>
        </w:rPr>
        <w:t>Table 1. Calibrated genetic coefficients of three cultivars of sorghum crop</w:t>
      </w:r>
    </w:p>
    <w:p w:rsidR="0022474A" w:rsidRPr="00650870" w:rsidRDefault="0022474A" w:rsidP="00650870">
      <w:pPr>
        <w:pStyle w:val="Body"/>
        <w:spacing w:after="0"/>
        <w:rPr>
          <w:rFonts w:ascii="Arial" w:hAnsi="Arial"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5"/>
        <w:gridCol w:w="2089"/>
        <w:gridCol w:w="2090"/>
        <w:gridCol w:w="1998"/>
      </w:tblGrid>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b/>
                <w:bCs/>
                <w:sz w:val="20"/>
                <w:szCs w:val="20"/>
              </w:rPr>
            </w:pPr>
            <w:r w:rsidRPr="00CB0CAD">
              <w:rPr>
                <w:rFonts w:ascii="Arial" w:hAnsi="Arial" w:cs="Arial"/>
                <w:b/>
                <w:bCs/>
                <w:sz w:val="20"/>
                <w:szCs w:val="20"/>
              </w:rPr>
              <w:t>Genetic coefficient</w:t>
            </w:r>
          </w:p>
        </w:tc>
        <w:tc>
          <w:tcPr>
            <w:tcW w:w="2089" w:type="dxa"/>
            <w:vAlign w:val="center"/>
          </w:tcPr>
          <w:p w:rsidR="00650870" w:rsidRPr="00CB0CAD" w:rsidRDefault="00650870" w:rsidP="00CB0CAD">
            <w:pPr>
              <w:pStyle w:val="BodyText"/>
              <w:spacing w:after="0" w:line="276" w:lineRule="auto"/>
              <w:jc w:val="center"/>
              <w:rPr>
                <w:rFonts w:ascii="Arial" w:hAnsi="Arial" w:cs="Arial"/>
                <w:b/>
                <w:bCs/>
                <w:sz w:val="20"/>
                <w:szCs w:val="20"/>
              </w:rPr>
            </w:pPr>
            <w:r w:rsidRPr="00CB0CAD">
              <w:rPr>
                <w:rFonts w:ascii="Arial" w:hAnsi="Arial" w:cs="Arial"/>
                <w:b/>
                <w:bCs/>
                <w:sz w:val="20"/>
                <w:szCs w:val="20"/>
              </w:rPr>
              <w:t>GJ-42</w:t>
            </w:r>
          </w:p>
        </w:tc>
        <w:tc>
          <w:tcPr>
            <w:tcW w:w="2090" w:type="dxa"/>
            <w:vAlign w:val="center"/>
          </w:tcPr>
          <w:p w:rsidR="00650870" w:rsidRPr="00CB0CAD" w:rsidRDefault="00650870" w:rsidP="00CB0CAD">
            <w:pPr>
              <w:pStyle w:val="BodyText"/>
              <w:spacing w:after="0" w:line="276" w:lineRule="auto"/>
              <w:jc w:val="center"/>
              <w:rPr>
                <w:rFonts w:ascii="Arial" w:hAnsi="Arial" w:cs="Arial"/>
                <w:b/>
                <w:bCs/>
                <w:sz w:val="20"/>
                <w:szCs w:val="20"/>
              </w:rPr>
            </w:pPr>
            <w:r w:rsidRPr="00CB0CAD">
              <w:rPr>
                <w:rFonts w:ascii="Arial" w:hAnsi="Arial" w:cs="Arial"/>
                <w:b/>
                <w:bCs/>
                <w:sz w:val="20"/>
                <w:szCs w:val="20"/>
              </w:rPr>
              <w:t>GJ-44</w:t>
            </w:r>
          </w:p>
        </w:tc>
        <w:tc>
          <w:tcPr>
            <w:tcW w:w="1998" w:type="dxa"/>
            <w:vAlign w:val="center"/>
          </w:tcPr>
          <w:p w:rsidR="00650870" w:rsidRPr="00CB0CAD" w:rsidRDefault="00650870" w:rsidP="00CB0CAD">
            <w:pPr>
              <w:pStyle w:val="BodyText"/>
              <w:spacing w:after="0" w:line="276" w:lineRule="auto"/>
              <w:jc w:val="center"/>
              <w:rPr>
                <w:rFonts w:ascii="Arial" w:hAnsi="Arial" w:cs="Arial"/>
                <w:b/>
                <w:bCs/>
                <w:sz w:val="20"/>
                <w:szCs w:val="20"/>
              </w:rPr>
            </w:pPr>
            <w:r w:rsidRPr="00CB0CAD">
              <w:rPr>
                <w:rFonts w:ascii="Arial" w:hAnsi="Arial" w:cs="Arial"/>
                <w:b/>
                <w:bCs/>
                <w:sz w:val="20"/>
                <w:szCs w:val="20"/>
              </w:rPr>
              <w:t>GNJ-1</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P1</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410.0</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370.0</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400.0</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P2</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102.0</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102.0</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102.0</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P2O</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12.5</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12.5</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12.5</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P2R</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90.0</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84.0</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84.0</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PANTH</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612.5</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612.5</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612.5</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P3</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150.5</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150.5</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150.5</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P4</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55.0</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55.0</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55.0</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P5</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720.0</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750.0</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750.0</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PHINT</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49.0</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53.0</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53.0</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G1</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20.0</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22.0</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22.0</w:t>
            </w:r>
          </w:p>
        </w:tc>
      </w:tr>
      <w:tr w:rsidR="00650870" w:rsidRPr="00CB0CAD" w:rsidTr="00335992">
        <w:tc>
          <w:tcPr>
            <w:tcW w:w="2045"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G2</w:t>
            </w:r>
          </w:p>
        </w:tc>
        <w:tc>
          <w:tcPr>
            <w:tcW w:w="2089"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3.8</w:t>
            </w:r>
          </w:p>
        </w:tc>
        <w:tc>
          <w:tcPr>
            <w:tcW w:w="2090"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7.2</w:t>
            </w:r>
          </w:p>
        </w:tc>
        <w:tc>
          <w:tcPr>
            <w:tcW w:w="1998" w:type="dxa"/>
            <w:vAlign w:val="center"/>
          </w:tcPr>
          <w:p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7.1</w:t>
            </w:r>
          </w:p>
        </w:tc>
      </w:tr>
    </w:tbl>
    <w:p w:rsidR="00CB0CAD" w:rsidRDefault="00CB0CAD" w:rsidP="00CB0CAD">
      <w:pPr>
        <w:pStyle w:val="Body"/>
        <w:spacing w:after="0"/>
        <w:rPr>
          <w:rFonts w:ascii="Arial" w:hAnsi="Arial" w:cs="Arial"/>
          <w:b/>
          <w:bCs/>
        </w:rPr>
      </w:pPr>
    </w:p>
    <w:p w:rsidR="00335992" w:rsidRDefault="00335992" w:rsidP="00CB0CAD">
      <w:pPr>
        <w:pStyle w:val="Body"/>
        <w:spacing w:after="0"/>
        <w:rPr>
          <w:rFonts w:ascii="Arial" w:hAnsi="Arial" w:cs="Arial"/>
          <w:b/>
          <w:bCs/>
        </w:rPr>
      </w:pPr>
    </w:p>
    <w:p w:rsidR="00335992" w:rsidRDefault="00335992" w:rsidP="00CB0CAD">
      <w:pPr>
        <w:pStyle w:val="Body"/>
        <w:spacing w:after="0"/>
        <w:rPr>
          <w:rFonts w:ascii="Arial" w:hAnsi="Arial" w:cs="Arial"/>
          <w:b/>
          <w:bCs/>
        </w:rPr>
      </w:pPr>
    </w:p>
    <w:p w:rsidR="00335992" w:rsidRDefault="00335992" w:rsidP="00CB0CAD">
      <w:pPr>
        <w:pStyle w:val="Body"/>
        <w:spacing w:after="0"/>
        <w:rPr>
          <w:rFonts w:ascii="Arial" w:hAnsi="Arial" w:cs="Arial"/>
          <w:b/>
          <w:bCs/>
        </w:rPr>
      </w:pPr>
    </w:p>
    <w:tbl>
      <w:tblPr>
        <w:tblStyle w:val="TableGrid"/>
        <w:tblpPr w:leftFromText="180" w:rightFromText="180" w:vertAnchor="text" w:horzAnchor="margin" w:tblpY="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6156"/>
      </w:tblGrid>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b/>
                <w:bCs/>
                <w:sz w:val="20"/>
                <w:szCs w:val="20"/>
              </w:rPr>
            </w:pPr>
            <w:r w:rsidRPr="00CB0CAD">
              <w:rPr>
                <w:rFonts w:ascii="Arial" w:hAnsi="Arial" w:cs="Arial"/>
                <w:b/>
                <w:bCs/>
                <w:sz w:val="20"/>
                <w:szCs w:val="20"/>
              </w:rPr>
              <w:t>Genetic code</w:t>
            </w:r>
          </w:p>
        </w:tc>
        <w:tc>
          <w:tcPr>
            <w:tcW w:w="6156" w:type="dxa"/>
            <w:vAlign w:val="center"/>
          </w:tcPr>
          <w:p w:rsidR="00CB0CAD" w:rsidRPr="00CB0CAD" w:rsidRDefault="00CB0CAD" w:rsidP="00807D8D">
            <w:pPr>
              <w:pStyle w:val="BodyText"/>
              <w:spacing w:after="0"/>
              <w:jc w:val="center"/>
              <w:rPr>
                <w:rFonts w:ascii="Arial" w:hAnsi="Arial" w:cs="Arial"/>
                <w:b/>
                <w:bCs/>
                <w:sz w:val="20"/>
                <w:szCs w:val="20"/>
              </w:rPr>
            </w:pPr>
            <w:r w:rsidRPr="00CB0CAD">
              <w:rPr>
                <w:rFonts w:ascii="Arial" w:hAnsi="Arial" w:cs="Arial"/>
                <w:b/>
                <w:bCs/>
                <w:sz w:val="20"/>
                <w:szCs w:val="20"/>
              </w:rPr>
              <w:t>Description</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P1</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seedling emergence to the end of the juvenile phase (expressed in degree days above TBASE during which the plant is not responsive to changes in photoperiod)</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P2</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 xml:space="preserve">Thermal time from the end of the juvenile stage to tassel initiation </w:t>
            </w:r>
            <w:r w:rsidRPr="00CB0CAD">
              <w:rPr>
                <w:rFonts w:ascii="Arial" w:hAnsi="Arial" w:cs="Arial"/>
                <w:sz w:val="20"/>
                <w:szCs w:val="20"/>
              </w:rPr>
              <w:lastRenderedPageBreak/>
              <w:t>under short days (degree days above TBASE)</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lastRenderedPageBreak/>
              <w:t>P2O</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Critical photoperiod or the longest day length (in hours) at which development occurs at a maximum rate. At values higher than P</w:t>
            </w:r>
            <w:r w:rsidRPr="00CB0CAD">
              <w:rPr>
                <w:rFonts w:ascii="Arial" w:hAnsi="Arial" w:cs="Arial"/>
                <w:sz w:val="20"/>
                <w:szCs w:val="20"/>
                <w:vertAlign w:val="subscript"/>
              </w:rPr>
              <w:t>2</w:t>
            </w:r>
            <w:r w:rsidRPr="00CB0CAD">
              <w:rPr>
                <w:rFonts w:ascii="Arial" w:hAnsi="Arial" w:cs="Arial"/>
                <w:sz w:val="20"/>
                <w:szCs w:val="20"/>
              </w:rPr>
              <w:t>O, the rate of development is reduced</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P2R</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Extent to which phasic development leading to panicle initiation (expressed in degree days) is delayed for each hour increase in photoperiod above P</w:t>
            </w:r>
            <w:r w:rsidRPr="00CB0CAD">
              <w:rPr>
                <w:rFonts w:ascii="Arial" w:hAnsi="Arial" w:cs="Arial"/>
                <w:sz w:val="20"/>
                <w:szCs w:val="20"/>
                <w:vertAlign w:val="subscript"/>
              </w:rPr>
              <w:t>2</w:t>
            </w:r>
            <w:r w:rsidRPr="00CB0CAD">
              <w:rPr>
                <w:rFonts w:ascii="Arial" w:hAnsi="Arial" w:cs="Arial"/>
                <w:sz w:val="20"/>
                <w:szCs w:val="20"/>
              </w:rPr>
              <w:t>O</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PANTH</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the end of tassel initiation to anthesis (degree days above TBASE)</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P3</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to end of flag leaf expansion to anthesis (degree days above TBASE)</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P4</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anthesis to beginning grain filling (degree days above TBASE)</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P5</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beginning of grain filling to physiological maturity (degree days above TBASE)</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PHINT</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Phylochron interval; the interval in thermal time between successive leaf tip appearances (degree days)</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G1</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Scaler for relative leaf size</w:t>
            </w:r>
          </w:p>
        </w:tc>
      </w:tr>
      <w:tr w:rsidR="00CB0CAD" w:rsidRPr="00CB0CAD" w:rsidTr="00807D8D">
        <w:tc>
          <w:tcPr>
            <w:tcW w:w="2042" w:type="dxa"/>
            <w:vAlign w:val="center"/>
          </w:tcPr>
          <w:p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G2</w:t>
            </w:r>
          </w:p>
        </w:tc>
        <w:tc>
          <w:tcPr>
            <w:tcW w:w="6156" w:type="dxa"/>
            <w:vAlign w:val="center"/>
          </w:tcPr>
          <w:p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Scaler for partitioning of assimilates to the panicle (head)</w:t>
            </w:r>
          </w:p>
        </w:tc>
      </w:tr>
    </w:tbl>
    <w:p w:rsidR="007B6882" w:rsidRDefault="00CB0CAD" w:rsidP="00CB0CAD">
      <w:pPr>
        <w:pStyle w:val="Body"/>
        <w:spacing w:after="0"/>
        <w:rPr>
          <w:rFonts w:ascii="Arial" w:hAnsi="Arial" w:cs="Arial"/>
          <w:b/>
          <w:bCs/>
        </w:rPr>
      </w:pPr>
      <w:r w:rsidRPr="00CB0CAD">
        <w:rPr>
          <w:rFonts w:ascii="Arial" w:hAnsi="Arial" w:cs="Arial"/>
          <w:b/>
          <w:bCs/>
        </w:rPr>
        <w:t>Table 2. Description of genetic coefficients</w:t>
      </w:r>
    </w:p>
    <w:p w:rsidR="00CB0CAD" w:rsidRDefault="00CB0CAD" w:rsidP="00CB0CAD">
      <w:pPr>
        <w:pStyle w:val="Body"/>
        <w:spacing w:after="0"/>
        <w:rPr>
          <w:rFonts w:ascii="Arial" w:hAnsi="Arial" w:cs="Arial"/>
          <w:highlight w:val="yellow"/>
        </w:rPr>
      </w:pPr>
    </w:p>
    <w:p w:rsidR="00807D8D" w:rsidRPr="00CB0CAD" w:rsidRDefault="00807D8D" w:rsidP="00CB0CAD">
      <w:pPr>
        <w:pStyle w:val="Body"/>
        <w:spacing w:after="0"/>
        <w:rPr>
          <w:rFonts w:ascii="Arial" w:hAnsi="Arial" w:cs="Arial"/>
          <w:highlight w:val="yellow"/>
        </w:rPr>
      </w:pPr>
    </w:p>
    <w:p w:rsidR="00335992" w:rsidRDefault="00335992" w:rsidP="007B6882">
      <w:pPr>
        <w:pStyle w:val="AbstHead"/>
        <w:numPr>
          <w:ilvl w:val="1"/>
          <w:numId w:val="36"/>
        </w:numPr>
        <w:tabs>
          <w:tab w:val="left" w:pos="426"/>
        </w:tabs>
        <w:spacing w:after="0"/>
        <w:ind w:left="426" w:hanging="284"/>
        <w:rPr>
          <w:rFonts w:ascii="Arial" w:hAnsi="Arial" w:cs="Arial"/>
          <w:bCs/>
          <w:caps w:val="0"/>
        </w:rPr>
      </w:pPr>
      <w:r w:rsidRPr="00335992">
        <w:rPr>
          <w:rFonts w:ascii="Arial" w:hAnsi="Arial" w:cs="Arial"/>
          <w:bCs/>
          <w:caps w:val="0"/>
        </w:rPr>
        <w:t xml:space="preserve">Calibration and Validation of CERES Model: </w:t>
      </w:r>
    </w:p>
    <w:p w:rsidR="007B6882" w:rsidRPr="00335992" w:rsidRDefault="007B6882" w:rsidP="007B6882">
      <w:pPr>
        <w:pStyle w:val="AbstHead"/>
        <w:tabs>
          <w:tab w:val="left" w:pos="426"/>
        </w:tabs>
        <w:spacing w:after="0"/>
        <w:rPr>
          <w:rFonts w:ascii="Arial" w:hAnsi="Arial" w:cs="Arial"/>
          <w:bCs/>
          <w:caps w:val="0"/>
        </w:rPr>
      </w:pPr>
    </w:p>
    <w:p w:rsidR="00335992" w:rsidRPr="00335992" w:rsidRDefault="00335992" w:rsidP="00335992">
      <w:pPr>
        <w:pStyle w:val="Body"/>
        <w:rPr>
          <w:rFonts w:ascii="Arial" w:hAnsi="Arial" w:cs="Arial"/>
        </w:rPr>
      </w:pPr>
      <w:r w:rsidRPr="00335992">
        <w:rPr>
          <w:rFonts w:ascii="Arial" w:hAnsi="Arial" w:cs="Arial"/>
        </w:rPr>
        <w:t xml:space="preserve">The calibration of the DSSAT CERES-Sorghum model-achieved by optimizing genotype-specific parameters and subsequently validating the model with data collected from experimental fields-demonstrated that the model effectively simulates the phenology and yield of summer sorghum. The experimental data of Navsari station comprising three dates of sowing D1: 15th January, D2: 31st January, D3: 15th February and three varieties V1: GJ-42. V2: GJ-44 and V3: GNJ-1 were used for model calibration. Crop parameter such as seed emergence day, panicle initiation, 50 per cent flowering, physiological maturity day, grain yield, dry fodder yield, harvest index, leaf area index (maximum) was simulated and develop genetic coefficients of sorghum crop were determined using the GLUE programme. Validation is the process of assessing the performance of model for predicting 50 per cent flowering, physiological maturity, grain yield, dry fodder yield. The experimental field data of the year 2017 for V1: GJ-42 and 2022 for V2: GJ-44 and V3: GNJ-1 of Main Sorghum Research Station, Surat, N.A.U., Navsari, (Gujarat) were used for CERES model validation. </w:t>
      </w:r>
    </w:p>
    <w:p w:rsidR="00CB0CAD" w:rsidRDefault="00335992" w:rsidP="007B6882">
      <w:pPr>
        <w:pStyle w:val="AbstHead"/>
        <w:numPr>
          <w:ilvl w:val="1"/>
          <w:numId w:val="36"/>
        </w:numPr>
        <w:tabs>
          <w:tab w:val="left" w:pos="426"/>
        </w:tabs>
        <w:spacing w:after="0"/>
        <w:ind w:left="426" w:hanging="284"/>
        <w:rPr>
          <w:rFonts w:ascii="Arial" w:hAnsi="Arial" w:cs="Arial"/>
          <w:bCs/>
          <w:caps w:val="0"/>
        </w:rPr>
      </w:pPr>
      <w:r w:rsidRPr="00335992">
        <w:rPr>
          <w:rFonts w:ascii="Arial" w:hAnsi="Arial" w:cs="Arial"/>
          <w:bCs/>
          <w:caps w:val="0"/>
        </w:rPr>
        <w:t>Statistical Analysis and Model Performance Evaluation</w:t>
      </w:r>
    </w:p>
    <w:p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Model performance was assessed using multiple statistical metrics to comprehensively evaluate accuracy, bias and reliability:</w:t>
      </w:r>
    </w:p>
    <w:p w:rsidR="00335992" w:rsidRPr="00335992" w:rsidRDefault="00335992" w:rsidP="00335992">
      <w:pPr>
        <w:pStyle w:val="Heading4"/>
        <w:ind w:right="-270"/>
        <w:jc w:val="both"/>
        <w:rPr>
          <w:rFonts w:ascii="Arial" w:eastAsia="Times New Roman" w:hAnsi="Arial" w:cs="Arial"/>
          <w:color w:val="auto"/>
        </w:rPr>
      </w:pPr>
      <w:r w:rsidRPr="00335992">
        <w:rPr>
          <w:rFonts w:ascii="Arial" w:eastAsia="Times New Roman" w:hAnsi="Arial" w:cs="Arial"/>
          <w:color w:val="auto"/>
        </w:rPr>
        <w:t>Root Mean Square Error (RMSE)</w:t>
      </w:r>
    </w:p>
    <w:p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RMSE quantifies the absolute magnitude of prediction error, with lower values indicating better model fit:</w:t>
      </w:r>
    </w:p>
    <w:p w:rsidR="00790ADA" w:rsidRPr="00650870" w:rsidRDefault="00335992" w:rsidP="00441B6F">
      <w:pPr>
        <w:pStyle w:val="Body"/>
        <w:spacing w:after="0"/>
        <w:rPr>
          <w:rFonts w:ascii="Arial" w:hAnsi="Arial" w:cs="Arial"/>
          <w:highlight w:val="yellow"/>
        </w:rPr>
      </w:pPr>
      <m:oMathPara>
        <m:oMath>
          <m:r>
            <w:rPr>
              <w:rFonts w:ascii="Cambria Math" w:hAnsi="Cambria Math"/>
            </w:rPr>
            <m:t>RMSE</m:t>
          </m:r>
          <m:r>
            <m:rPr>
              <m:sty m:val="p"/>
            </m:rPr>
            <w:rPr>
              <w:rFonts w:ascii="Cambria Math" w:hAnsi="Cambria Math"/>
            </w:rPr>
            <m:t>=</m:t>
          </m:r>
          <m:rad>
            <m:radPr>
              <m:degHide m:val="on"/>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i</m:t>
                              </m:r>
                            </m:sub>
                          </m:sSub>
                        </m:e>
                      </m:d>
                    </m:e>
                    <m:sup>
                      <m:r>
                        <w:rPr>
                          <w:rFonts w:ascii="Cambria Math" w:hAnsi="Cambria Math"/>
                        </w:rPr>
                        <m:t>2</m:t>
                      </m:r>
                    </m:sup>
                  </m:sSup>
                </m:e>
              </m:nary>
            </m:e>
          </m:rad>
        </m:oMath>
      </m:oMathPara>
    </w:p>
    <w:p w:rsidR="00335992" w:rsidRPr="00335992" w:rsidRDefault="00335992" w:rsidP="00335992">
      <w:pPr>
        <w:pStyle w:val="FirstParagraph"/>
        <w:ind w:right="-270"/>
        <w:jc w:val="both"/>
        <w:rPr>
          <w:rFonts w:ascii="Arial" w:eastAsia="Times New Roman" w:hAnsi="Arial" w:cs="Arial"/>
          <w:sz w:val="20"/>
          <w:szCs w:val="20"/>
        </w:rPr>
      </w:pPr>
      <w:r w:rsidRPr="00335992">
        <w:rPr>
          <w:rFonts w:ascii="Arial" w:eastAsia="Times New Roman" w:hAnsi="Arial" w:cs="Arial"/>
          <w:sz w:val="20"/>
          <w:szCs w:val="20"/>
        </w:rPr>
        <w:t xml:space="preserve">where </w:t>
      </w:r>
      <m:oMath>
        <m:r>
          <w:rPr>
            <w:rFonts w:ascii="Cambria Math" w:eastAsia="Times New Roman" w:hAnsi="Cambria Math" w:cs="Arial"/>
            <w:sz w:val="20"/>
            <w:szCs w:val="20"/>
          </w:rPr>
          <m:t>n</m:t>
        </m:r>
      </m:oMath>
      <w:r w:rsidRPr="00335992">
        <w:rPr>
          <w:rFonts w:ascii="Arial" w:eastAsia="Times New Roman" w:hAnsi="Arial" w:cs="Arial"/>
          <w:sz w:val="20"/>
          <w:szCs w:val="20"/>
        </w:rPr>
        <w:t xml:space="preserve"> = number of observations,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P</m:t>
            </m:r>
          </m:e>
          <m:sub>
            <m:r>
              <w:rPr>
                <w:rFonts w:ascii="Cambria Math" w:eastAsia="Times New Roman" w:hAnsi="Cambria Math" w:cs="Arial"/>
                <w:sz w:val="20"/>
                <w:szCs w:val="20"/>
              </w:rPr>
              <m:t>i</m:t>
            </m:r>
          </m:sub>
        </m:sSub>
      </m:oMath>
      <w:r w:rsidRPr="00335992">
        <w:rPr>
          <w:rFonts w:ascii="Arial" w:eastAsia="Times New Roman" w:hAnsi="Arial" w:cs="Arial"/>
          <w:sz w:val="20"/>
          <w:szCs w:val="20"/>
        </w:rPr>
        <w:t xml:space="preserve"> = predicted (simulated) value,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O</m:t>
            </m:r>
          </m:e>
          <m:sub>
            <m:r>
              <w:rPr>
                <w:rFonts w:ascii="Cambria Math" w:eastAsia="Times New Roman" w:hAnsi="Cambria Math" w:cs="Arial"/>
                <w:sz w:val="20"/>
                <w:szCs w:val="20"/>
              </w:rPr>
              <m:t>i</m:t>
            </m:r>
          </m:sub>
        </m:sSub>
      </m:oMath>
      <w:r w:rsidRPr="00335992">
        <w:rPr>
          <w:rFonts w:ascii="Arial" w:eastAsia="Times New Roman" w:hAnsi="Arial" w:cs="Arial"/>
          <w:sz w:val="20"/>
          <w:szCs w:val="20"/>
        </w:rPr>
        <w:t xml:space="preserve"> = observed value</w:t>
      </w:r>
    </w:p>
    <w:p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lastRenderedPageBreak/>
        <w:t>RMSE is expressed in the same units as the predicted variable (days for phenology, kg ha</w:t>
      </w:r>
      <w:r w:rsidRPr="00335992">
        <w:rPr>
          <w:rFonts w:ascii="Cambria Math" w:eastAsia="Times New Roman" w:hAnsi="Cambria Math" w:cs="Cambria Math"/>
          <w:sz w:val="20"/>
          <w:szCs w:val="20"/>
        </w:rPr>
        <w:t>⁻</w:t>
      </w:r>
      <w:r w:rsidRPr="00335992">
        <w:rPr>
          <w:rFonts w:ascii="Arial" w:eastAsia="Times New Roman" w:hAnsi="Arial" w:cs="Arial"/>
          <w:sz w:val="20"/>
          <w:szCs w:val="20"/>
        </w:rPr>
        <w:t>¹ for yield).</w:t>
      </w:r>
    </w:p>
    <w:p w:rsidR="00335992" w:rsidRPr="00335992" w:rsidRDefault="00335992" w:rsidP="00335992">
      <w:pPr>
        <w:pStyle w:val="FirstParagraph"/>
        <w:ind w:right="-270"/>
        <w:jc w:val="both"/>
        <w:rPr>
          <w:rFonts w:ascii="Arial" w:eastAsia="Times New Roman" w:hAnsi="Arial" w:cs="Arial"/>
          <w:i/>
          <w:iCs/>
          <w:sz w:val="20"/>
          <w:szCs w:val="20"/>
        </w:rPr>
      </w:pPr>
      <w:r w:rsidRPr="00335992">
        <w:rPr>
          <w:rFonts w:ascii="Arial" w:eastAsia="Times New Roman" w:hAnsi="Arial" w:cs="Arial"/>
          <w:i/>
          <w:iCs/>
          <w:sz w:val="20"/>
          <w:szCs w:val="20"/>
        </w:rPr>
        <w:t>Normalized Root Mean Square Error (nRMSE)</w:t>
      </w:r>
    </w:p>
    <w:p w:rsidR="00335992" w:rsidRDefault="00335992" w:rsidP="00161BF3">
      <w:pPr>
        <w:pStyle w:val="FirstParagraph"/>
        <w:spacing w:before="0" w:after="0"/>
        <w:ind w:right="-14"/>
        <w:jc w:val="both"/>
        <w:rPr>
          <w:rFonts w:ascii="Arial" w:eastAsia="Times New Roman" w:hAnsi="Arial" w:cs="Arial"/>
          <w:sz w:val="20"/>
          <w:szCs w:val="20"/>
        </w:rPr>
      </w:pPr>
      <w:r w:rsidRPr="00335992">
        <w:rPr>
          <w:rFonts w:ascii="Arial" w:eastAsia="Times New Roman" w:hAnsi="Arial" w:cs="Arial"/>
          <w:sz w:val="20"/>
          <w:szCs w:val="20"/>
        </w:rPr>
        <w:t>nRMSE expresses RMSE as a percentage of the mean observed value, enabling comparison across variables with different scales:</w:t>
      </w:r>
    </w:p>
    <w:p w:rsidR="00335992" w:rsidRPr="00335992" w:rsidRDefault="00335992" w:rsidP="00335992">
      <w:pPr>
        <w:pStyle w:val="FirstParagraph"/>
        <w:spacing w:before="0" w:after="0"/>
        <w:ind w:right="-270"/>
        <w:jc w:val="both"/>
        <w:rPr>
          <w:rFonts w:ascii="Arial" w:eastAsia="Times New Roman" w:hAnsi="Arial" w:cs="Arial"/>
          <w:sz w:val="20"/>
          <w:szCs w:val="20"/>
        </w:rPr>
      </w:pPr>
      <w:r w:rsidRPr="00335992">
        <w:rPr>
          <w:rFonts w:ascii="Cambria Math" w:hAnsi="Cambria Math" w:cs="Times New Roman"/>
          <w:i/>
        </w:rPr>
        <w:br/>
      </w:r>
      <m:oMathPara>
        <m:oMath>
          <m:r>
            <w:rPr>
              <w:rFonts w:ascii="Cambria Math" w:hAnsi="Cambria Math" w:cs="Times New Roman"/>
            </w:rPr>
            <m:t>nRMSE</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RMSE</m:t>
              </m:r>
            </m:num>
            <m:den>
              <m:acc>
                <m:accPr>
                  <m:chr m:val="‾"/>
                  <m:ctrlPr>
                    <w:rPr>
                      <w:rFonts w:ascii="Cambria Math" w:hAnsi="Cambria Math" w:cs="Times New Roman"/>
                    </w:rPr>
                  </m:ctrlPr>
                </m:accPr>
                <m:e>
                  <m:r>
                    <w:rPr>
                      <w:rFonts w:ascii="Cambria Math" w:hAnsi="Cambria Math" w:cs="Times New Roman"/>
                    </w:rPr>
                    <m:t>O</m:t>
                  </m:r>
                </m:e>
              </m:acc>
            </m:den>
          </m:f>
          <m:r>
            <m:rPr>
              <m:sty m:val="p"/>
            </m:rPr>
            <w:rPr>
              <w:rFonts w:ascii="Cambria Math" w:hAnsi="Cambria Math" w:cs="Times New Roman"/>
            </w:rPr>
            <m:t>×</m:t>
          </m:r>
          <m:r>
            <w:rPr>
              <w:rFonts w:ascii="Cambria Math" w:hAnsi="Cambria Math" w:cs="Times New Roman"/>
            </w:rPr>
            <m:t>100</m:t>
          </m:r>
        </m:oMath>
      </m:oMathPara>
    </w:p>
    <w:p w:rsidR="00335992" w:rsidRPr="00335992" w:rsidRDefault="00335992" w:rsidP="00335992">
      <w:pPr>
        <w:pStyle w:val="FirstParagraph"/>
        <w:ind w:right="-270"/>
        <w:jc w:val="both"/>
        <w:rPr>
          <w:rFonts w:ascii="Arial" w:eastAsia="Times New Roman" w:hAnsi="Arial" w:cs="Arial"/>
          <w:sz w:val="20"/>
          <w:szCs w:val="20"/>
        </w:rPr>
      </w:pPr>
      <w:r w:rsidRPr="00335992">
        <w:rPr>
          <w:rFonts w:ascii="Arial" w:eastAsia="Times New Roman" w:hAnsi="Arial" w:cs="Arial"/>
          <w:sz w:val="20"/>
          <w:szCs w:val="20"/>
        </w:rPr>
        <w:t xml:space="preserve">where </w:t>
      </w:r>
      <m:oMath>
        <m:acc>
          <m:accPr>
            <m:chr m:val="‾"/>
            <m:ctrlPr>
              <w:rPr>
                <w:rFonts w:ascii="Cambria Math" w:eastAsia="Times New Roman" w:hAnsi="Cambria Math" w:cs="Arial"/>
                <w:sz w:val="20"/>
                <w:szCs w:val="20"/>
              </w:rPr>
            </m:ctrlPr>
          </m:accPr>
          <m:e>
            <m:r>
              <w:rPr>
                <w:rFonts w:ascii="Cambria Math" w:eastAsia="Times New Roman" w:hAnsi="Cambria Math" w:cs="Arial"/>
                <w:sz w:val="20"/>
                <w:szCs w:val="20"/>
              </w:rPr>
              <m:t>O</m:t>
            </m:r>
          </m:e>
        </m:acc>
      </m:oMath>
      <w:r w:rsidRPr="00335992">
        <w:rPr>
          <w:rFonts w:ascii="Arial" w:eastAsia="Times New Roman" w:hAnsi="Arial" w:cs="Arial"/>
          <w:sz w:val="20"/>
          <w:szCs w:val="20"/>
        </w:rPr>
        <w:t xml:space="preserve"> = mean of observed values</w:t>
      </w:r>
    </w:p>
    <w:p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Model performance is classified using nRMSE thresholds: - Excellent: nRMSE&lt; 10% - Good: 10% ≤ nRMSE&lt; 20% - Fair: 20% ≤ nRMSE&lt; 30% - Poor: nRMSE ≥ 30%</w:t>
      </w:r>
    </w:p>
    <w:p w:rsidR="00335992" w:rsidRPr="00335992" w:rsidRDefault="00335992" w:rsidP="00335992">
      <w:pPr>
        <w:pStyle w:val="FirstParagraph"/>
        <w:ind w:right="-270"/>
        <w:jc w:val="both"/>
        <w:rPr>
          <w:rFonts w:ascii="Arial" w:eastAsia="Times New Roman" w:hAnsi="Arial" w:cs="Arial"/>
          <w:i/>
          <w:iCs/>
          <w:sz w:val="20"/>
          <w:szCs w:val="20"/>
        </w:rPr>
      </w:pPr>
      <w:r w:rsidRPr="00335992">
        <w:rPr>
          <w:rFonts w:ascii="Arial" w:eastAsia="Times New Roman" w:hAnsi="Arial" w:cs="Arial"/>
          <w:i/>
          <w:iCs/>
          <w:sz w:val="20"/>
          <w:szCs w:val="20"/>
        </w:rPr>
        <w:t>Percentage Error (PE)</w:t>
      </w:r>
    </w:p>
    <w:p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PE is calculated as the ratio of simulated-observed difference to observed value, expressed as percentage:</w:t>
      </w:r>
      <w:r w:rsidRPr="00335992">
        <w:rPr>
          <w:rFonts w:ascii="Cambria Math" w:hAnsi="Cambria Math" w:cs="Times New Roman"/>
          <w:i/>
        </w:rPr>
        <w:br/>
      </w:r>
      <m:oMathPara>
        <m:oMath>
          <m:r>
            <w:rPr>
              <w:rFonts w:ascii="Cambria Math" w:hAnsi="Cambria Math" w:cs="Times New Roman"/>
            </w:rPr>
            <m:t>PE</m:t>
          </m:r>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e>
              </m:d>
            </m:num>
            <m:den>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den>
          </m:f>
          <m:r>
            <m:rPr>
              <m:sty m:val="p"/>
            </m:rPr>
            <w:rPr>
              <w:rFonts w:ascii="Cambria Math" w:hAnsi="Cambria Math" w:cs="Times New Roman"/>
            </w:rPr>
            <m:t>×</m:t>
          </m:r>
          <m:r>
            <w:rPr>
              <w:rFonts w:ascii="Cambria Math" w:hAnsi="Cambria Math" w:cs="Times New Roman"/>
            </w:rPr>
            <m:t>100</m:t>
          </m:r>
        </m:oMath>
      </m:oMathPara>
    </w:p>
    <w:p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Average PE across treatment replications indicates systematic model bias (negative = underestimation, positive = overestimation).</w:t>
      </w:r>
      <w:bookmarkStart w:id="8" w:name="mean-absolute-error-mae"/>
    </w:p>
    <w:p w:rsidR="00335992" w:rsidRPr="00335992" w:rsidRDefault="00335992" w:rsidP="00335992">
      <w:pPr>
        <w:pStyle w:val="FirstParagraph"/>
        <w:ind w:right="-270"/>
        <w:jc w:val="both"/>
        <w:rPr>
          <w:rFonts w:ascii="Arial" w:eastAsia="Times New Roman" w:hAnsi="Arial" w:cs="Arial"/>
          <w:i/>
          <w:iCs/>
          <w:sz w:val="20"/>
          <w:szCs w:val="20"/>
        </w:rPr>
      </w:pPr>
      <w:bookmarkStart w:id="9" w:name="coefficient-of-determination-r²"/>
      <w:bookmarkEnd w:id="8"/>
      <w:r w:rsidRPr="00335992">
        <w:rPr>
          <w:rFonts w:ascii="Arial" w:eastAsia="Times New Roman" w:hAnsi="Arial" w:cs="Arial"/>
          <w:i/>
          <w:iCs/>
          <w:sz w:val="20"/>
          <w:szCs w:val="20"/>
        </w:rPr>
        <w:t>Coefficient of Determination (R²)</w:t>
      </w:r>
    </w:p>
    <w:p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R² quantifies the proportion of variance in observed data explained by simulated values, ranging from 0 (no correlation) to 1 (perfect prediction):</w:t>
      </w:r>
    </w:p>
    <w:p w:rsidR="00335992" w:rsidRPr="00335992" w:rsidRDefault="005444D1" w:rsidP="00161BF3">
      <w:pPr>
        <w:pStyle w:val="FirstParagraph"/>
        <w:ind w:right="-14"/>
        <w:jc w:val="both"/>
        <w:rPr>
          <w:rFonts w:ascii="Arial" w:eastAsia="Times New Roman" w:hAnsi="Arial" w:cs="Arial"/>
        </w:rPr>
      </w:pPr>
      <m:oMathPara>
        <m:oMathParaPr>
          <m:jc m:val="center"/>
        </m:oMathParaPr>
        <m:oMath>
          <m:sSup>
            <m:sSupPr>
              <m:ctrlPr>
                <w:rPr>
                  <w:rFonts w:ascii="Cambria Math" w:eastAsia="Times New Roman" w:hAnsi="Cambria Math" w:cs="Arial"/>
                </w:rPr>
              </m:ctrlPr>
            </m:sSupPr>
            <m:e>
              <m:r>
                <w:rPr>
                  <w:rFonts w:ascii="Cambria Math" w:eastAsia="Times New Roman" w:hAnsi="Cambria Math" w:cs="Arial"/>
                </w:rPr>
                <m:t>R</m:t>
              </m:r>
            </m:e>
            <m:sup>
              <m:r>
                <m:rPr>
                  <m:sty m:val="p"/>
                </m:rPr>
                <w:rPr>
                  <w:rFonts w:ascii="Cambria Math" w:eastAsia="Times New Roman" w:hAnsi="Cambria Math" w:cs="Arial"/>
                </w:rPr>
                <m:t>2</m:t>
              </m:r>
            </m:sup>
          </m:sSup>
          <m:r>
            <m:rPr>
              <m:sty m:val="p"/>
            </m:rPr>
            <w:rPr>
              <w:rFonts w:ascii="Cambria Math" w:eastAsia="Times New Roman" w:hAnsi="Cambria Math" w:cs="Arial"/>
            </w:rPr>
            <m:t>=1-</m:t>
          </m:r>
          <m:f>
            <m:fPr>
              <m:ctrlPr>
                <w:rPr>
                  <w:rFonts w:ascii="Cambria Math" w:eastAsia="Times New Roman" w:hAnsi="Cambria Math" w:cs="Arial"/>
                </w:rPr>
              </m:ctrlPr>
            </m:fPr>
            <m:num>
              <m:nary>
                <m:naryPr>
                  <m:chr m:val="∑"/>
                  <m:limLoc m:val="undOvr"/>
                  <m:ctrlPr>
                    <w:rPr>
                      <w:rFonts w:ascii="Cambria Math" w:eastAsia="Times New Roman" w:hAnsi="Cambria Math" w:cs="Arial"/>
                    </w:rPr>
                  </m:ctrlPr>
                </m:naryPr>
                <m:sub>
                  <m:r>
                    <w:rPr>
                      <w:rFonts w:ascii="Cambria Math" w:eastAsia="Times New Roman" w:hAnsi="Cambria Math" w:cs="Arial"/>
                    </w:rPr>
                    <m:t>i</m:t>
                  </m:r>
                  <m:r>
                    <m:rPr>
                      <m:sty m:val="p"/>
                    </m:rPr>
                    <w:rPr>
                      <w:rFonts w:ascii="Cambria Math" w:eastAsia="Times New Roman" w:hAnsi="Cambria Math" w:cs="Arial"/>
                    </w:rPr>
                    <m:t>=1</m:t>
                  </m:r>
                </m:sub>
                <m:sup>
                  <m:r>
                    <w:rPr>
                      <w:rFonts w:ascii="Cambria Math" w:eastAsia="Times New Roman" w:hAnsi="Cambria Math" w:cs="Arial"/>
                    </w:rPr>
                    <m:t>n</m:t>
                  </m:r>
                </m:sup>
                <m:e>
                  <m:sSup>
                    <m:sSupPr>
                      <m:ctrlPr>
                        <w:rPr>
                          <w:rFonts w:ascii="Cambria Math" w:eastAsia="Times New Roman" w:hAnsi="Cambria Math" w:cs="Arial"/>
                        </w:rPr>
                      </m:ctrlPr>
                    </m:sSupPr>
                    <m:e>
                      <m:d>
                        <m:dPr>
                          <m:ctrlPr>
                            <w:rPr>
                              <w:rFonts w:ascii="Cambria Math" w:eastAsia="Times New Roman" w:hAnsi="Cambria Math" w:cs="Arial"/>
                            </w:rPr>
                          </m:ctrlPr>
                        </m:dPr>
                        <m:e>
                          <m:sSub>
                            <m:sSubPr>
                              <m:ctrlPr>
                                <w:rPr>
                                  <w:rFonts w:ascii="Cambria Math" w:eastAsia="Times New Roman" w:hAnsi="Cambria Math" w:cs="Arial"/>
                                </w:rPr>
                              </m:ctrlPr>
                            </m:sSubPr>
                            <m:e>
                              <m:r>
                                <w:rPr>
                                  <w:rFonts w:ascii="Cambria Math" w:eastAsia="Times New Roman" w:hAnsi="Cambria Math" w:cs="Arial"/>
                                </w:rPr>
                                <m:t>O</m:t>
                              </m:r>
                            </m:e>
                            <m:sub>
                              <m:r>
                                <w:rPr>
                                  <w:rFonts w:ascii="Cambria Math" w:eastAsia="Times New Roman" w:hAnsi="Cambria Math" w:cs="Arial"/>
                                </w:rPr>
                                <m:t>i</m:t>
                              </m:r>
                            </m:sub>
                          </m:sSub>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P</m:t>
                              </m:r>
                            </m:e>
                            <m:sub>
                              <m:r>
                                <w:rPr>
                                  <w:rFonts w:ascii="Cambria Math" w:eastAsia="Times New Roman" w:hAnsi="Cambria Math" w:cs="Arial"/>
                                </w:rPr>
                                <m:t>i</m:t>
                              </m:r>
                            </m:sub>
                          </m:sSub>
                        </m:e>
                      </m:d>
                    </m:e>
                    <m:sup>
                      <m:r>
                        <m:rPr>
                          <m:sty m:val="p"/>
                        </m:rPr>
                        <w:rPr>
                          <w:rFonts w:ascii="Cambria Math" w:eastAsia="Times New Roman" w:hAnsi="Cambria Math" w:cs="Arial"/>
                        </w:rPr>
                        <m:t>2</m:t>
                      </m:r>
                    </m:sup>
                  </m:sSup>
                </m:e>
              </m:nary>
            </m:num>
            <m:den>
              <m:nary>
                <m:naryPr>
                  <m:chr m:val="∑"/>
                  <m:limLoc m:val="undOvr"/>
                  <m:ctrlPr>
                    <w:rPr>
                      <w:rFonts w:ascii="Cambria Math" w:eastAsia="Times New Roman" w:hAnsi="Cambria Math" w:cs="Arial"/>
                    </w:rPr>
                  </m:ctrlPr>
                </m:naryPr>
                <m:sub>
                  <m:r>
                    <w:rPr>
                      <w:rFonts w:ascii="Cambria Math" w:eastAsia="Times New Roman" w:hAnsi="Cambria Math" w:cs="Arial"/>
                    </w:rPr>
                    <m:t>i</m:t>
                  </m:r>
                  <m:r>
                    <m:rPr>
                      <m:sty m:val="p"/>
                    </m:rPr>
                    <w:rPr>
                      <w:rFonts w:ascii="Cambria Math" w:eastAsia="Times New Roman" w:hAnsi="Cambria Math" w:cs="Arial"/>
                    </w:rPr>
                    <m:t>=1</m:t>
                  </m:r>
                </m:sub>
                <m:sup>
                  <m:r>
                    <w:rPr>
                      <w:rFonts w:ascii="Cambria Math" w:eastAsia="Times New Roman" w:hAnsi="Cambria Math" w:cs="Arial"/>
                    </w:rPr>
                    <m:t>n</m:t>
                  </m:r>
                </m:sup>
                <m:e>
                  <m:sSup>
                    <m:sSupPr>
                      <m:ctrlPr>
                        <w:rPr>
                          <w:rFonts w:ascii="Cambria Math" w:eastAsia="Times New Roman" w:hAnsi="Cambria Math" w:cs="Arial"/>
                        </w:rPr>
                      </m:ctrlPr>
                    </m:sSupPr>
                    <m:e>
                      <m:d>
                        <m:dPr>
                          <m:ctrlPr>
                            <w:rPr>
                              <w:rFonts w:ascii="Cambria Math" w:eastAsia="Times New Roman" w:hAnsi="Cambria Math" w:cs="Arial"/>
                            </w:rPr>
                          </m:ctrlPr>
                        </m:dPr>
                        <m:e>
                          <m:sSub>
                            <m:sSubPr>
                              <m:ctrlPr>
                                <w:rPr>
                                  <w:rFonts w:ascii="Cambria Math" w:eastAsia="Times New Roman" w:hAnsi="Cambria Math" w:cs="Arial"/>
                                </w:rPr>
                              </m:ctrlPr>
                            </m:sSubPr>
                            <m:e>
                              <m:r>
                                <w:rPr>
                                  <w:rFonts w:ascii="Cambria Math" w:eastAsia="Times New Roman" w:hAnsi="Cambria Math" w:cs="Arial"/>
                                </w:rPr>
                                <m:t>O</m:t>
                              </m:r>
                            </m:e>
                            <m:sub>
                              <m:r>
                                <w:rPr>
                                  <w:rFonts w:ascii="Cambria Math" w:eastAsia="Times New Roman" w:hAnsi="Cambria Math" w:cs="Arial"/>
                                </w:rPr>
                                <m:t>i</m:t>
                              </m:r>
                            </m:sub>
                          </m:sSub>
                          <m:r>
                            <m:rPr>
                              <m:sty m:val="p"/>
                            </m:rPr>
                            <w:rPr>
                              <w:rFonts w:ascii="Cambria Math" w:eastAsia="Times New Roman" w:hAnsi="Cambria Math" w:cs="Arial"/>
                            </w:rPr>
                            <m:t>-</m:t>
                          </m:r>
                          <m:acc>
                            <m:accPr>
                              <m:chr m:val="‾"/>
                              <m:ctrlPr>
                                <w:rPr>
                                  <w:rFonts w:ascii="Cambria Math" w:eastAsia="Times New Roman" w:hAnsi="Cambria Math" w:cs="Arial"/>
                                </w:rPr>
                              </m:ctrlPr>
                            </m:accPr>
                            <m:e>
                              <m:r>
                                <w:rPr>
                                  <w:rFonts w:ascii="Cambria Math" w:eastAsia="Times New Roman" w:hAnsi="Cambria Math" w:cs="Arial"/>
                                </w:rPr>
                                <m:t>O</m:t>
                              </m:r>
                            </m:e>
                          </m:acc>
                        </m:e>
                      </m:d>
                    </m:e>
                    <m:sup>
                      <m:r>
                        <m:rPr>
                          <m:sty m:val="p"/>
                        </m:rPr>
                        <w:rPr>
                          <w:rFonts w:ascii="Cambria Math" w:eastAsia="Times New Roman" w:hAnsi="Cambria Math" w:cs="Arial"/>
                        </w:rPr>
                        <m:t>2</m:t>
                      </m:r>
                    </m:sup>
                  </m:sSup>
                </m:e>
              </m:nary>
            </m:den>
          </m:f>
        </m:oMath>
      </m:oMathPara>
    </w:p>
    <w:p w:rsidR="00335992" w:rsidRPr="00335992" w:rsidRDefault="00335992" w:rsidP="00335992">
      <w:pPr>
        <w:pStyle w:val="FirstParagraph"/>
        <w:ind w:right="-270"/>
        <w:jc w:val="both"/>
        <w:rPr>
          <w:rFonts w:ascii="Arial" w:hAnsi="Arial" w:cs="Arial"/>
          <w:highlight w:val="yellow"/>
        </w:rPr>
      </w:pPr>
      <w:r w:rsidRPr="00335992">
        <w:rPr>
          <w:rFonts w:ascii="Arial" w:eastAsia="Times New Roman" w:hAnsi="Arial" w:cs="Arial"/>
          <w:sz w:val="20"/>
          <w:szCs w:val="20"/>
        </w:rPr>
        <w:t>R² &gt; 0.80 indicates strong model skill; R² &gt; 0.90 indicates excellent predictive ability</w:t>
      </w:r>
      <w:r w:rsidR="007B6882" w:rsidRPr="007B6882">
        <w:rPr>
          <w:rFonts w:ascii="Arial" w:hAnsi="Arial" w:cs="Arial"/>
        </w:rPr>
        <w:t>.</w:t>
      </w:r>
    </w:p>
    <w:bookmarkEnd w:id="9"/>
    <w:p w:rsidR="00902823" w:rsidRPr="005978A5" w:rsidRDefault="00000F8F" w:rsidP="00441B6F">
      <w:pPr>
        <w:pStyle w:val="Head1"/>
        <w:spacing w:after="0"/>
        <w:jc w:val="both"/>
        <w:rPr>
          <w:rFonts w:ascii="Arial" w:hAnsi="Arial" w:cs="Arial"/>
        </w:rPr>
      </w:pPr>
      <w:r w:rsidRPr="005978A5">
        <w:rPr>
          <w:rFonts w:ascii="Arial" w:hAnsi="Arial" w:cs="Arial"/>
        </w:rPr>
        <w:t>3</w:t>
      </w:r>
      <w:r w:rsidR="00902823" w:rsidRPr="005978A5">
        <w:rPr>
          <w:rFonts w:ascii="Arial" w:hAnsi="Arial" w:cs="Arial"/>
        </w:rPr>
        <w:t xml:space="preserve">. </w:t>
      </w:r>
      <w:r w:rsidRPr="005978A5">
        <w:rPr>
          <w:rFonts w:ascii="Arial" w:hAnsi="Arial" w:cs="Arial"/>
        </w:rPr>
        <w:t>results and discussion</w:t>
      </w:r>
    </w:p>
    <w:p w:rsidR="005978A5" w:rsidRPr="005978A5" w:rsidRDefault="005978A5" w:rsidP="00441B6F">
      <w:pPr>
        <w:pStyle w:val="Head1"/>
        <w:spacing w:after="0"/>
        <w:jc w:val="both"/>
        <w:rPr>
          <w:rFonts w:ascii="Arial" w:hAnsi="Arial" w:cs="Arial"/>
        </w:rPr>
      </w:pPr>
    </w:p>
    <w:p w:rsidR="005978A5" w:rsidRPr="005978A5" w:rsidRDefault="005978A5" w:rsidP="005978A5">
      <w:pPr>
        <w:pStyle w:val="Head1"/>
        <w:numPr>
          <w:ilvl w:val="0"/>
          <w:numId w:val="39"/>
        </w:numPr>
        <w:tabs>
          <w:tab w:val="left" w:pos="8208"/>
        </w:tabs>
        <w:spacing w:after="0"/>
        <w:ind w:left="426" w:hanging="284"/>
        <w:jc w:val="both"/>
        <w:rPr>
          <w:rFonts w:ascii="Arial" w:hAnsi="Arial" w:cs="Arial"/>
        </w:rPr>
      </w:pPr>
      <w:r w:rsidRPr="005978A5">
        <w:rPr>
          <w:rFonts w:ascii="Arial" w:hAnsi="Arial" w:cs="Arial"/>
          <w:caps w:val="0"/>
        </w:rPr>
        <w:t>Calibration Phase Results</w:t>
      </w:r>
    </w:p>
    <w:p w:rsidR="005978A5" w:rsidRPr="005978A5" w:rsidRDefault="005978A5" w:rsidP="005978A5">
      <w:pPr>
        <w:pStyle w:val="Head1"/>
        <w:tabs>
          <w:tab w:val="left" w:pos="8208"/>
        </w:tabs>
        <w:spacing w:after="0"/>
        <w:jc w:val="both"/>
        <w:rPr>
          <w:rFonts w:ascii="Arial" w:hAnsi="Arial" w:cs="Arial"/>
          <w:sz w:val="20"/>
        </w:rPr>
      </w:pPr>
    </w:p>
    <w:p w:rsidR="005978A5" w:rsidRPr="005978A5" w:rsidRDefault="005978A5" w:rsidP="00FC0B7D">
      <w:pPr>
        <w:pStyle w:val="Head1"/>
        <w:numPr>
          <w:ilvl w:val="2"/>
          <w:numId w:val="45"/>
        </w:numPr>
        <w:spacing w:after="0"/>
        <w:ind w:left="426" w:hanging="426"/>
        <w:jc w:val="both"/>
        <w:rPr>
          <w:rFonts w:ascii="Arial" w:hAnsi="Arial" w:cs="Arial"/>
          <w:sz w:val="20"/>
        </w:rPr>
      </w:pPr>
      <w:r w:rsidRPr="005978A5">
        <w:rPr>
          <w:rFonts w:ascii="Arial" w:hAnsi="Arial" w:cs="Arial"/>
          <w:caps w:val="0"/>
          <w:sz w:val="20"/>
        </w:rPr>
        <w:t>Days to Emergence (Days):</w:t>
      </w:r>
    </w:p>
    <w:p w:rsidR="005978A5" w:rsidRPr="005978A5" w:rsidRDefault="005978A5" w:rsidP="005978A5">
      <w:pPr>
        <w:pStyle w:val="Head1"/>
        <w:spacing w:after="0"/>
        <w:jc w:val="both"/>
        <w:rPr>
          <w:rFonts w:ascii="Arial" w:hAnsi="Arial" w:cs="Arial"/>
          <w:sz w:val="20"/>
        </w:rPr>
      </w:pPr>
    </w:p>
    <w:p w:rsidR="005978A5" w:rsidRDefault="005978A5" w:rsidP="005978A5">
      <w:pPr>
        <w:pStyle w:val="Body"/>
        <w:spacing w:after="0"/>
        <w:rPr>
          <w:rFonts w:ascii="Arial" w:hAnsi="Arial" w:cs="Arial"/>
        </w:rPr>
      </w:pPr>
      <w:r w:rsidRPr="005978A5">
        <w:rPr>
          <w:rFonts w:ascii="Arial" w:hAnsi="Arial" w:cs="Arial"/>
        </w:rPr>
        <w:t xml:space="preserve">Timely and uniform emergence is critical for establishing proper stand density and uniformity of phenological development. Model simulation of emergence revealed slight variability across varieties and sowing dates. For GJ-42, emergence deviated by -14.3% average error with MAE of ~1 day and RMSE of 1.29 days; for GJ-44, emergence was overestimated by +12.2% with MAE ≈ 0 days and RMSE 0.82 days (exceptional accuracy due to small absolute day numbers); for GNJ-1, the model underestimated emergence by -14.3% with RMSE 1.29 days. These small absolute deviations (&lt; 2 days) are biologically acceptable and commonly reported for warm-season crop emergence under high soil temperature conditions. The relatively large PE for emergence is an artifact of small baseline values (5-7 days); small absolute errors become magnified as percentage errors. Across varieties and </w:t>
      </w:r>
      <w:r w:rsidRPr="005978A5">
        <w:rPr>
          <w:rFonts w:ascii="Arial" w:hAnsi="Arial" w:cs="Arial"/>
        </w:rPr>
        <w:lastRenderedPageBreak/>
        <w:t>sowing dates, emergence PE remained &lt; 15%, indicating reliable model behavior for germination and early establishment phases.</w:t>
      </w:r>
    </w:p>
    <w:p w:rsidR="00B60C51" w:rsidRDefault="00B60C51" w:rsidP="005978A5">
      <w:pPr>
        <w:pStyle w:val="Body"/>
        <w:spacing w:after="0"/>
        <w:rPr>
          <w:rFonts w:ascii="Arial" w:hAnsi="Arial" w:cs="Arial"/>
        </w:rPr>
      </w:pPr>
    </w:p>
    <w:p w:rsidR="00B60C51" w:rsidRPr="00B60C51" w:rsidRDefault="00B60C51" w:rsidP="00FC0B7D">
      <w:pPr>
        <w:pStyle w:val="Head1"/>
        <w:numPr>
          <w:ilvl w:val="2"/>
          <w:numId w:val="45"/>
        </w:numPr>
        <w:spacing w:after="0"/>
        <w:ind w:left="426" w:hanging="426"/>
        <w:jc w:val="both"/>
        <w:rPr>
          <w:rFonts w:ascii="Arial" w:hAnsi="Arial" w:cs="Arial"/>
          <w:caps w:val="0"/>
          <w:sz w:val="20"/>
        </w:rPr>
      </w:pPr>
      <w:commentRangeStart w:id="10"/>
      <w:r w:rsidRPr="00B60C51">
        <w:rPr>
          <w:rFonts w:ascii="Arial" w:hAnsi="Arial" w:cs="Arial"/>
          <w:caps w:val="0"/>
          <w:sz w:val="20"/>
        </w:rPr>
        <w:t xml:space="preserve">Days to 50% Flowering (Days): </w:t>
      </w:r>
      <w:commentRangeEnd w:id="10"/>
      <w:r w:rsidR="00DA50CA">
        <w:rPr>
          <w:rStyle w:val="CommentReference"/>
          <w:rFonts w:ascii="Times New Roman" w:hAnsi="Times New Roman"/>
          <w:b w:val="0"/>
          <w:caps w:val="0"/>
          <w:lang w:val="nb-NO" w:eastAsia="nb-NO"/>
        </w:rPr>
        <w:commentReference w:id="10"/>
      </w:r>
    </w:p>
    <w:p w:rsidR="00B60C51" w:rsidRDefault="00B60C51" w:rsidP="005978A5">
      <w:pPr>
        <w:pStyle w:val="Body"/>
        <w:spacing w:after="0"/>
        <w:rPr>
          <w:rFonts w:ascii="Arial" w:hAnsi="Arial" w:cs="Arial"/>
        </w:rPr>
      </w:pPr>
    </w:p>
    <w:p w:rsidR="00B60C51" w:rsidRDefault="00B60C51" w:rsidP="005978A5">
      <w:pPr>
        <w:pStyle w:val="Body"/>
        <w:spacing w:after="0"/>
        <w:rPr>
          <w:rFonts w:ascii="Arial" w:hAnsi="Arial" w:cs="Arial"/>
        </w:rPr>
      </w:pPr>
      <w:r w:rsidRPr="00B60C51">
        <w:rPr>
          <w:rFonts w:ascii="Arial" w:hAnsi="Arial" w:cs="Arial"/>
        </w:rPr>
        <w:t>Flowering represents the reproductive phase initiation and is highly sensitive to cumulative thermal time and day length. Accurate flowering prediction is critical because any deviation in flowering date cascades into errors in grain-filling duration and final yield. Table 3 and Figure 1 show that the model reproduced 50% flowering with excellent accuracy. Flowering was simulated within ±6 days of observed values across all varieties and sowing dates. PE values ranged from 2.9–4.5% (mean PE = 3.4%), with RMSE between 2.16–3.32 days, and nRMSE = 3.1–4.9%, all well within the “excellent” range (&lt; 10%). Variety-wise performance showed: GJ-42 (PE 3.4%, RMSE 2.65 days), GJ-44 (PE 4.5%, RMSE 3.32 days), GNJ-1 (PE 2.9%, RMSE 2.16 days). GNJ-1 showed the lowest error, possibly due to less photoperiod sensitivity or closer matching of its genetic coefficients to default DSSAT parameters. The model showed a slight tendency to overestimate flowering dates by 1–3 days, consistent with findings in similar CERES-Sorghum studies in India and Brazil (Sannagoudar et al., 2019a). This systematic slight overestimation may reflect the model’s conservative parameterization of photoperiod sensitivity or minor variations in cultivar vernalization sensitivity not fully captured by the genetic coefficients. Nevertheless, errors of 2–3 days are agronomically negligible and do not compromise model utility for sowing date and climate impact assessment.</w:t>
      </w:r>
    </w:p>
    <w:p w:rsidR="00B60C51" w:rsidRDefault="00B60C51" w:rsidP="005978A5">
      <w:pPr>
        <w:pStyle w:val="Body"/>
        <w:spacing w:after="0"/>
        <w:rPr>
          <w:rFonts w:ascii="Arial" w:hAnsi="Arial" w:cs="Arial"/>
        </w:rPr>
      </w:pPr>
    </w:p>
    <w:p w:rsidR="00B60C51" w:rsidRPr="00B60C51" w:rsidRDefault="00B60C51" w:rsidP="00FC0B7D">
      <w:pPr>
        <w:pStyle w:val="Head1"/>
        <w:numPr>
          <w:ilvl w:val="2"/>
          <w:numId w:val="45"/>
        </w:numPr>
        <w:spacing w:after="0"/>
        <w:ind w:left="426" w:hanging="426"/>
        <w:jc w:val="both"/>
        <w:rPr>
          <w:rFonts w:ascii="Arial" w:hAnsi="Arial" w:cs="Arial"/>
          <w:caps w:val="0"/>
          <w:sz w:val="20"/>
        </w:rPr>
      </w:pPr>
      <w:r w:rsidRPr="00B60C51">
        <w:rPr>
          <w:rFonts w:ascii="Arial" w:hAnsi="Arial" w:cs="Arial"/>
          <w:caps w:val="0"/>
          <w:sz w:val="20"/>
        </w:rPr>
        <w:t>Days to Physiological Maturity (Days):</w:t>
      </w:r>
    </w:p>
    <w:p w:rsidR="00B60C51" w:rsidRDefault="00B60C51" w:rsidP="005978A5">
      <w:pPr>
        <w:pStyle w:val="Body"/>
        <w:spacing w:after="0"/>
        <w:rPr>
          <w:rFonts w:ascii="Arial" w:hAnsi="Arial" w:cs="Arial"/>
        </w:rPr>
      </w:pPr>
    </w:p>
    <w:p w:rsidR="00B60C51" w:rsidRDefault="00B60C51" w:rsidP="005978A5">
      <w:pPr>
        <w:pStyle w:val="Body"/>
        <w:spacing w:after="0"/>
        <w:rPr>
          <w:rFonts w:ascii="Arial" w:hAnsi="Arial" w:cs="Arial"/>
        </w:rPr>
      </w:pPr>
      <w:r w:rsidRPr="00B60C51">
        <w:rPr>
          <w:rFonts w:ascii="Arial" w:hAnsi="Arial" w:cs="Arial"/>
        </w:rPr>
        <w:t>Model calibration of maturity was exceptionally precise (Table 3, Figure 1). Simulated maturity deviated from observed values by only 2.0–2.65 days (PE = 1.8–2.1%), with nRMSE = 1.8–2.4%, far exceeding the “excellent” threshold. GJ-44 achieved the best performance (PE 1.9%, RMSE 2.00 days), followed by GNJ-1 (PE 1.8%, RMSE 2.58 days) and GJ-42 (PE 2.1%, RMSE 2.65 days). This exceptional maturity prediction indicates that the calibrated genetic coefficients accurately captured variety-specific grain-filling thermal time requirements and photoperiod responses. The consistency of maturity PE across sowing dates (D1–D3) demonstrates the model’s robustness in capturing the effect of changing photoperiod on grain-filling duration as sowing is delayed from January to February. Physiological maturity is typically predicted more accurately than flowering because it is driven primarily by thermal time post-flowering with less photoperiod influence, resulting in more stable and predictable simulations.</w:t>
      </w:r>
    </w:p>
    <w:p w:rsidR="007B6882" w:rsidRDefault="007B6882" w:rsidP="005978A5">
      <w:pPr>
        <w:pStyle w:val="Body"/>
        <w:spacing w:after="0"/>
        <w:rPr>
          <w:rFonts w:ascii="Arial" w:hAnsi="Arial" w:cs="Arial"/>
        </w:rPr>
      </w:pPr>
    </w:p>
    <w:p w:rsidR="00B60C51" w:rsidRPr="00B60C51" w:rsidRDefault="00B60C51" w:rsidP="00FC0B7D">
      <w:pPr>
        <w:pStyle w:val="Head1"/>
        <w:numPr>
          <w:ilvl w:val="2"/>
          <w:numId w:val="45"/>
        </w:numPr>
        <w:spacing w:after="0"/>
        <w:ind w:left="426" w:hanging="426"/>
        <w:jc w:val="both"/>
        <w:rPr>
          <w:rFonts w:ascii="Arial" w:hAnsi="Arial" w:cs="Arial"/>
          <w:caps w:val="0"/>
          <w:sz w:val="20"/>
        </w:rPr>
      </w:pPr>
      <w:r w:rsidRPr="00B60C51">
        <w:rPr>
          <w:rFonts w:ascii="Arial" w:hAnsi="Arial" w:cs="Arial"/>
          <w:caps w:val="0"/>
          <w:sz w:val="20"/>
        </w:rPr>
        <w:t>Grain Yield (kg ha-1):</w:t>
      </w:r>
    </w:p>
    <w:p w:rsidR="00B60C51" w:rsidRDefault="00B60C51" w:rsidP="005978A5">
      <w:pPr>
        <w:pStyle w:val="Body"/>
        <w:spacing w:after="0"/>
        <w:rPr>
          <w:rFonts w:ascii="Arial" w:hAnsi="Arial" w:cs="Arial"/>
        </w:rPr>
      </w:pPr>
    </w:p>
    <w:p w:rsidR="00B60C51" w:rsidRDefault="00B60C51" w:rsidP="005978A5">
      <w:pPr>
        <w:pStyle w:val="Body"/>
        <w:spacing w:after="0"/>
        <w:rPr>
          <w:rFonts w:ascii="Arial" w:hAnsi="Arial" w:cs="Arial"/>
        </w:rPr>
      </w:pPr>
      <w:r w:rsidRPr="00B60C51">
        <w:rPr>
          <w:rFonts w:ascii="Arial" w:hAnsi="Arial" w:cs="Arial"/>
        </w:rPr>
        <w:t>Grain yield integrates cumulative effects of all preceding phenological, biomass and partitioning processes, making it the most comprehensive test of model calibration quality. Table 3 shows that calibration grain yields were predicted with excellent accuracy. Mean PE ranged from 1.1–4.2% across varieties, with RMSE values between 40–205 kg ha</w:t>
      </w:r>
      <w:r w:rsidRPr="00B60C51">
        <w:rPr>
          <w:rFonts w:ascii="Cambria Math" w:hAnsi="Cambria Math" w:cs="Cambria Math"/>
        </w:rPr>
        <w:t>⁻</w:t>
      </w:r>
      <w:r w:rsidRPr="00B60C51">
        <w:rPr>
          <w:rFonts w:ascii="Arial" w:hAnsi="Arial" w:cs="Arial"/>
        </w:rPr>
        <w:t>¹. Variety-specific performance: GJ-42 (PE 1.4%, RMSE 40.37 kg ha</w:t>
      </w:r>
      <w:r w:rsidRPr="00B60C51">
        <w:rPr>
          <w:rFonts w:ascii="Cambria Math" w:hAnsi="Cambria Math" w:cs="Cambria Math"/>
        </w:rPr>
        <w:t>⁻</w:t>
      </w:r>
      <w:r w:rsidRPr="00B60C51">
        <w:rPr>
          <w:rFonts w:ascii="Arial" w:hAnsi="Arial" w:cs="Arial"/>
        </w:rPr>
        <w:t>¹), GJ-44 (PE 1.1%, RMSE 53.88 kg ha</w:t>
      </w:r>
      <w:r w:rsidRPr="00B60C51">
        <w:rPr>
          <w:rFonts w:ascii="Cambria Math" w:hAnsi="Cambria Math" w:cs="Cambria Math"/>
        </w:rPr>
        <w:t>⁻</w:t>
      </w:r>
      <w:r w:rsidRPr="00B60C51">
        <w:rPr>
          <w:rFonts w:ascii="Arial" w:hAnsi="Arial" w:cs="Arial"/>
        </w:rPr>
        <w:t>¹) and GNJ-1 (PE 4.2%, RMSE 204.90 kg ha</w:t>
      </w:r>
      <w:r w:rsidRPr="00B60C51">
        <w:rPr>
          <w:rFonts w:ascii="Cambria Math" w:hAnsi="Cambria Math" w:cs="Cambria Math"/>
        </w:rPr>
        <w:t>⁻</w:t>
      </w:r>
      <w:r w:rsidRPr="00B60C51">
        <w:rPr>
          <w:rFonts w:ascii="Arial" w:hAnsi="Arial" w:cs="Arial"/>
        </w:rPr>
        <w:t>¹). The higher error for GNJ-1 was primarily driven by one treatment combination (D1) where simulated yield (3804 kg ha</w:t>
      </w:r>
      <w:r w:rsidRPr="00B60C51">
        <w:rPr>
          <w:rFonts w:ascii="Cambria Math" w:hAnsi="Cambria Math" w:cs="Cambria Math"/>
        </w:rPr>
        <w:t>⁻</w:t>
      </w:r>
      <w:r w:rsidRPr="00B60C51">
        <w:rPr>
          <w:rFonts w:ascii="Arial" w:hAnsi="Arial" w:cs="Arial"/>
        </w:rPr>
        <w:t>¹) exceeded observed (3454 kg ha</w:t>
      </w:r>
      <w:r w:rsidRPr="00B60C51">
        <w:rPr>
          <w:rFonts w:ascii="Cambria Math" w:hAnsi="Cambria Math" w:cs="Cambria Math"/>
        </w:rPr>
        <w:t>⁻</w:t>
      </w:r>
      <w:r w:rsidRPr="00B60C51">
        <w:rPr>
          <w:rFonts w:ascii="Arial" w:hAnsi="Arial" w:cs="Arial"/>
        </w:rPr>
        <w:t>¹) by ~350 kg ha</w:t>
      </w:r>
      <w:r w:rsidRPr="00B60C51">
        <w:rPr>
          <w:rFonts w:ascii="Cambria Math" w:hAnsi="Cambria Math" w:cs="Cambria Math"/>
        </w:rPr>
        <w:t>⁻</w:t>
      </w:r>
      <w:r w:rsidRPr="00B60C51">
        <w:rPr>
          <w:rFonts w:ascii="Arial" w:hAnsi="Arial" w:cs="Arial"/>
        </w:rPr>
        <w:t>¹; other D2 and D3 combinations for GNJ-1 showed PE &lt; 1.5%. Investigation of this outlier suggested possible field measurement variation or minor differences in plant architecture not fully captured in genetic coefficients, but the overall PE remained acceptable. Across all 9 variety × sowing date combinations, PE averaged 2.2% with RMSE 99.4 kg ha</w:t>
      </w:r>
      <w:r w:rsidRPr="00B60C51">
        <w:rPr>
          <w:rFonts w:ascii="Cambria Math" w:hAnsi="Cambria Math" w:cs="Cambria Math"/>
        </w:rPr>
        <w:t>⁻</w:t>
      </w:r>
      <w:r w:rsidRPr="00B60C51">
        <w:rPr>
          <w:rFonts w:ascii="Arial" w:hAnsi="Arial" w:cs="Arial"/>
        </w:rPr>
        <w:t xml:space="preserve">¹, indicating strong calibration. The close correspondence between observed and simulated yields (Figure 1, panel c) with data points </w:t>
      </w:r>
      <w:r w:rsidRPr="00B60C51">
        <w:rPr>
          <w:rFonts w:ascii="Arial" w:hAnsi="Arial" w:cs="Arial"/>
        </w:rPr>
        <w:lastRenderedPageBreak/>
        <w:t>clustered tightly around the 1:1 perfect prediction line demonstrates that the locally calibrated model captures regional sorghum productivity potential and sowing date effects accurately. PE &lt; 5% for yield is considered exceptional and comparable to best-published CERES calibrations for diverse crops (Vieira et al., 2019b).</w:t>
      </w:r>
    </w:p>
    <w:p w:rsidR="00B60C51" w:rsidRDefault="00B60C51" w:rsidP="005978A5">
      <w:pPr>
        <w:pStyle w:val="Body"/>
        <w:spacing w:after="0"/>
        <w:rPr>
          <w:rFonts w:ascii="Arial" w:hAnsi="Arial" w:cs="Arial"/>
        </w:rPr>
      </w:pPr>
    </w:p>
    <w:p w:rsidR="00B60C51" w:rsidRPr="00B60C51" w:rsidRDefault="00B60C51" w:rsidP="00FC0B7D">
      <w:pPr>
        <w:pStyle w:val="Head1"/>
        <w:numPr>
          <w:ilvl w:val="2"/>
          <w:numId w:val="45"/>
        </w:numPr>
        <w:spacing w:after="0"/>
        <w:ind w:left="426" w:hanging="426"/>
        <w:jc w:val="both"/>
        <w:rPr>
          <w:rFonts w:ascii="Arial" w:hAnsi="Arial" w:cs="Arial"/>
          <w:caps w:val="0"/>
          <w:sz w:val="20"/>
        </w:rPr>
      </w:pPr>
      <w:r w:rsidRPr="00B60C51">
        <w:rPr>
          <w:rFonts w:ascii="Arial" w:hAnsi="Arial" w:cs="Arial"/>
          <w:caps w:val="0"/>
          <w:sz w:val="20"/>
        </w:rPr>
        <w:t>Dry Fodder Yield (kg ha-1) and Harvest Index (%):</w:t>
      </w:r>
    </w:p>
    <w:p w:rsidR="00B60C51" w:rsidRDefault="00B60C51" w:rsidP="005978A5">
      <w:pPr>
        <w:pStyle w:val="Body"/>
        <w:spacing w:after="0"/>
        <w:rPr>
          <w:rFonts w:ascii="Arial" w:hAnsi="Arial" w:cs="Arial"/>
        </w:rPr>
      </w:pPr>
    </w:p>
    <w:p w:rsidR="00B60C51" w:rsidRPr="00B60C51" w:rsidRDefault="00B60C51" w:rsidP="00B60C51">
      <w:pPr>
        <w:pStyle w:val="Body"/>
        <w:spacing w:after="0"/>
        <w:rPr>
          <w:rFonts w:ascii="Arial" w:hAnsi="Arial" w:cs="Arial"/>
        </w:rPr>
      </w:pPr>
      <w:r w:rsidRPr="00B60C51">
        <w:rPr>
          <w:rFonts w:ascii="Arial" w:hAnsi="Arial" w:cs="Arial"/>
        </w:rPr>
        <w:t>Dry fodder (stover) yield is an important output in rainfed and semi-arid regions where crop residues provide critical feed for livestock and organic matter for soil conservation. Model calibration for dry fodder showed slight overestimation: GJ-42 (PE 7.7%), GJ-44 (PE 1.3%), GNJ-1 (PE 3.3%), with RMSE ranging 155–867 kg ha</w:t>
      </w:r>
      <w:r w:rsidRPr="00B60C51">
        <w:rPr>
          <w:rFonts w:ascii="Cambria Math" w:hAnsi="Cambria Math" w:cs="Cambria Math"/>
        </w:rPr>
        <w:t>⁻</w:t>
      </w:r>
      <w:r w:rsidRPr="00B60C51">
        <w:rPr>
          <w:rFonts w:ascii="Arial" w:hAnsi="Arial" w:cs="Arial"/>
        </w:rPr>
        <w:t>¹. The highest error for GJ-42 (RMSE 867 kg ha</w:t>
      </w:r>
      <w:r w:rsidRPr="00B60C51">
        <w:rPr>
          <w:rFonts w:ascii="Cambria Math" w:hAnsi="Cambria Math" w:cs="Cambria Math"/>
        </w:rPr>
        <w:t>⁻</w:t>
      </w:r>
      <w:r w:rsidRPr="00B60C51">
        <w:rPr>
          <w:rFonts w:ascii="Arial" w:hAnsi="Arial" w:cs="Arial"/>
        </w:rPr>
        <w:t>¹) reflects biomass accumulation dynamics specific to this variety, suggesting slightly elevated partitioning to vegetative organs or reduced grain-filling allocation. Such minor overestimations of stover (5–10%) are consistent with literature on CERES-based simulations and likely reflect conservative grain-filling parameters compensating for slight overestimates of total biomass (Akinseye et al., 2017).</w:t>
      </w:r>
    </w:p>
    <w:p w:rsidR="00B60C51" w:rsidRDefault="00B60C51" w:rsidP="00B60C51">
      <w:pPr>
        <w:pStyle w:val="Body"/>
        <w:spacing w:after="0"/>
        <w:rPr>
          <w:rFonts w:ascii="Arial" w:hAnsi="Arial" w:cs="Arial"/>
        </w:rPr>
      </w:pPr>
      <w:r w:rsidRPr="00B60C51">
        <w:rPr>
          <w:rFonts w:ascii="Arial" w:hAnsi="Arial" w:cs="Arial"/>
        </w:rPr>
        <w:t>Harvest index (HI), defined as grain yield / total biomass, showed balanced performance: GJ-42 (PE 5.20%), GJ-44 (PE 1.6%), GNJ-1 (PE 4.20%). HI values ranged 0.17–0.27, within realistic bounds for rainfed and well-managed sorghum. These results confirm that the model reasonably captures assimilate partitioning dynamics and partitioning shifts across varieties.</w:t>
      </w:r>
    </w:p>
    <w:p w:rsidR="00B60C51" w:rsidRPr="005978A5" w:rsidRDefault="00B60C51" w:rsidP="005978A5">
      <w:pPr>
        <w:pStyle w:val="Body"/>
        <w:spacing w:after="0"/>
        <w:rPr>
          <w:rFonts w:ascii="Arial" w:hAnsi="Arial" w:cs="Arial"/>
        </w:rPr>
      </w:pPr>
    </w:p>
    <w:p w:rsidR="005978A5" w:rsidRDefault="005978A5" w:rsidP="00E75CC7">
      <w:pPr>
        <w:tabs>
          <w:tab w:val="left" w:pos="1080"/>
        </w:tabs>
        <w:ind w:left="896" w:hanging="896"/>
        <w:jc w:val="both"/>
        <w:rPr>
          <w:rFonts w:ascii="Arial" w:hAnsi="Arial"/>
          <w:b/>
        </w:rPr>
      </w:pPr>
      <w:r w:rsidRPr="005978A5">
        <w:rPr>
          <w:rFonts w:ascii="Arial" w:hAnsi="Arial"/>
          <w:b/>
        </w:rPr>
        <w:t>Table 3. Detailed Calibration Results: Phenological Events, Grain Yield, Dry fodder Yield and Harvest index</w:t>
      </w:r>
    </w:p>
    <w:p w:rsidR="007B6882" w:rsidRPr="005978A5" w:rsidRDefault="007B6882" w:rsidP="00E75CC7">
      <w:pPr>
        <w:tabs>
          <w:tab w:val="left" w:pos="1080"/>
        </w:tabs>
        <w:ind w:left="896" w:hanging="896"/>
        <w:jc w:val="both"/>
        <w:rPr>
          <w:rFonts w:ascii="Arial" w:hAnsi="Arial"/>
          <w:b/>
        </w:rPr>
      </w:pPr>
    </w:p>
    <w:tbl>
      <w:tblPr>
        <w:tblStyle w:val="ListTable6Colorful"/>
        <w:tblW w:w="8330" w:type="dxa"/>
        <w:tblLayout w:type="fixed"/>
        <w:tblLook w:val="0020"/>
      </w:tblPr>
      <w:tblGrid>
        <w:gridCol w:w="1255"/>
        <w:gridCol w:w="838"/>
        <w:gridCol w:w="1276"/>
        <w:gridCol w:w="1275"/>
        <w:gridCol w:w="1276"/>
        <w:gridCol w:w="709"/>
        <w:gridCol w:w="850"/>
        <w:gridCol w:w="851"/>
      </w:tblGrid>
      <w:tr w:rsidR="00B60C51" w:rsidRPr="00B60C51" w:rsidTr="001A3773">
        <w:trPr>
          <w:cnfStyle w:val="100000000000"/>
        </w:trPr>
        <w:tc>
          <w:tcPr>
            <w:cnfStyle w:val="000010000000"/>
            <w:tcW w:w="1255" w:type="dxa"/>
            <w:shd w:val="clear" w:color="auto" w:fill="auto"/>
            <w:vAlign w:val="center"/>
          </w:tcPr>
          <w:p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Parameter</w:t>
            </w:r>
          </w:p>
        </w:tc>
        <w:tc>
          <w:tcPr>
            <w:tcW w:w="838" w:type="dxa"/>
            <w:vAlign w:val="center"/>
          </w:tcPr>
          <w:p w:rsidR="00B60C51" w:rsidRPr="00E75CC7" w:rsidRDefault="00B60C51" w:rsidP="001A3773">
            <w:pPr>
              <w:jc w:val="center"/>
              <w:cnfStyle w:val="100000000000"/>
              <w:rPr>
                <w:rFonts w:ascii="Arial" w:hAnsi="Arial" w:cs="Arial"/>
                <w:bCs w:val="0"/>
                <w:sz w:val="18"/>
                <w:szCs w:val="18"/>
              </w:rPr>
            </w:pPr>
            <w:r w:rsidRPr="00E75CC7">
              <w:rPr>
                <w:rFonts w:ascii="Arial" w:hAnsi="Arial" w:cs="Arial"/>
                <w:bCs w:val="0"/>
                <w:sz w:val="18"/>
                <w:szCs w:val="18"/>
              </w:rPr>
              <w:t>Variety</w:t>
            </w:r>
          </w:p>
        </w:tc>
        <w:tc>
          <w:tcPr>
            <w:cnfStyle w:val="000010000000"/>
            <w:tcW w:w="1276" w:type="dxa"/>
            <w:shd w:val="clear" w:color="auto" w:fill="auto"/>
            <w:vAlign w:val="center"/>
          </w:tcPr>
          <w:p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D1</w:t>
            </w:r>
          </w:p>
          <w:p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(15th Jan)</w:t>
            </w:r>
          </w:p>
        </w:tc>
        <w:tc>
          <w:tcPr>
            <w:tcW w:w="1275" w:type="dxa"/>
            <w:vAlign w:val="center"/>
          </w:tcPr>
          <w:p w:rsidR="00B60C51" w:rsidRPr="00E75CC7" w:rsidRDefault="00B60C51" w:rsidP="001A3773">
            <w:pPr>
              <w:jc w:val="center"/>
              <w:cnfStyle w:val="100000000000"/>
              <w:rPr>
                <w:rFonts w:ascii="Arial" w:hAnsi="Arial" w:cs="Arial"/>
                <w:bCs w:val="0"/>
                <w:sz w:val="18"/>
                <w:szCs w:val="18"/>
              </w:rPr>
            </w:pPr>
            <w:r w:rsidRPr="00E75CC7">
              <w:rPr>
                <w:rFonts w:ascii="Arial" w:hAnsi="Arial" w:cs="Arial"/>
                <w:bCs w:val="0"/>
                <w:sz w:val="18"/>
                <w:szCs w:val="18"/>
              </w:rPr>
              <w:t>D2</w:t>
            </w:r>
          </w:p>
          <w:p w:rsidR="00B60C51" w:rsidRPr="00E75CC7" w:rsidRDefault="00B60C51" w:rsidP="001A3773">
            <w:pPr>
              <w:jc w:val="center"/>
              <w:cnfStyle w:val="100000000000"/>
              <w:rPr>
                <w:rFonts w:ascii="Arial" w:hAnsi="Arial" w:cs="Arial"/>
                <w:bCs w:val="0"/>
                <w:sz w:val="18"/>
                <w:szCs w:val="18"/>
              </w:rPr>
            </w:pPr>
            <w:r w:rsidRPr="00E75CC7">
              <w:rPr>
                <w:rFonts w:ascii="Arial" w:hAnsi="Arial" w:cs="Arial"/>
                <w:bCs w:val="0"/>
                <w:sz w:val="18"/>
                <w:szCs w:val="18"/>
              </w:rPr>
              <w:t>(31st Jan)</w:t>
            </w:r>
          </w:p>
        </w:tc>
        <w:tc>
          <w:tcPr>
            <w:cnfStyle w:val="000010000000"/>
            <w:tcW w:w="1276" w:type="dxa"/>
            <w:shd w:val="clear" w:color="auto" w:fill="auto"/>
            <w:vAlign w:val="center"/>
          </w:tcPr>
          <w:p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D3</w:t>
            </w:r>
          </w:p>
          <w:p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(15th Feb)</w:t>
            </w:r>
          </w:p>
        </w:tc>
        <w:tc>
          <w:tcPr>
            <w:tcW w:w="709" w:type="dxa"/>
            <w:vAlign w:val="center"/>
          </w:tcPr>
          <w:p w:rsidR="00B60C51" w:rsidRPr="00E75CC7" w:rsidRDefault="00B60C51" w:rsidP="001A3773">
            <w:pPr>
              <w:jc w:val="center"/>
              <w:cnfStyle w:val="100000000000"/>
              <w:rPr>
                <w:rFonts w:ascii="Arial" w:hAnsi="Arial" w:cs="Arial"/>
                <w:bCs w:val="0"/>
                <w:sz w:val="18"/>
                <w:szCs w:val="18"/>
              </w:rPr>
            </w:pPr>
            <w:r w:rsidRPr="00E75CC7">
              <w:rPr>
                <w:rFonts w:ascii="Arial" w:hAnsi="Arial" w:cs="Arial"/>
                <w:bCs w:val="0"/>
                <w:sz w:val="18"/>
                <w:szCs w:val="18"/>
              </w:rPr>
              <w:t>Mean PE (%)</w:t>
            </w:r>
          </w:p>
        </w:tc>
        <w:tc>
          <w:tcPr>
            <w:cnfStyle w:val="000010000000"/>
            <w:tcW w:w="850" w:type="dxa"/>
            <w:shd w:val="clear" w:color="auto" w:fill="auto"/>
            <w:vAlign w:val="center"/>
          </w:tcPr>
          <w:p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RMSE</w:t>
            </w:r>
          </w:p>
        </w:tc>
        <w:tc>
          <w:tcPr>
            <w:tcW w:w="851" w:type="dxa"/>
            <w:vAlign w:val="center"/>
          </w:tcPr>
          <w:p w:rsidR="00B60C51" w:rsidRPr="00E75CC7" w:rsidRDefault="00B60C51" w:rsidP="001A3773">
            <w:pPr>
              <w:jc w:val="center"/>
              <w:cnfStyle w:val="100000000000"/>
              <w:rPr>
                <w:rFonts w:ascii="Arial" w:hAnsi="Arial" w:cs="Arial"/>
                <w:bCs w:val="0"/>
                <w:sz w:val="18"/>
                <w:szCs w:val="18"/>
              </w:rPr>
            </w:pPr>
            <w:r w:rsidRPr="00E75CC7">
              <w:rPr>
                <w:rFonts w:ascii="Arial" w:hAnsi="Arial" w:cs="Arial"/>
                <w:bCs w:val="0"/>
                <w:sz w:val="18"/>
                <w:szCs w:val="18"/>
              </w:rPr>
              <w:t>nRMSE (%)</w:t>
            </w:r>
          </w:p>
        </w:tc>
      </w:tr>
      <w:tr w:rsidR="00B60C51" w:rsidRPr="00B60C51" w:rsidTr="001A3773">
        <w:trPr>
          <w:cnfStyle w:val="000000100000"/>
        </w:trPr>
        <w:tc>
          <w:tcPr>
            <w:cnfStyle w:val="000010000000"/>
            <w:tcW w:w="1255" w:type="dxa"/>
            <w:vMerge w:val="restart"/>
            <w:shd w:val="clear" w:color="auto" w:fill="auto"/>
            <w:vAlign w:val="center"/>
          </w:tcPr>
          <w:p w:rsidR="00B60C51" w:rsidRPr="00B60C51" w:rsidRDefault="00B60C51" w:rsidP="001A3773">
            <w:pPr>
              <w:jc w:val="center"/>
              <w:rPr>
                <w:rFonts w:ascii="Arial" w:hAnsi="Arial" w:cs="Arial"/>
                <w:b/>
                <w:sz w:val="18"/>
                <w:szCs w:val="18"/>
              </w:rPr>
            </w:pPr>
            <w:r w:rsidRPr="00B60C51">
              <w:rPr>
                <w:rFonts w:ascii="Arial" w:hAnsi="Arial" w:cs="Arial"/>
                <w:b/>
                <w:sz w:val="18"/>
                <w:szCs w:val="18"/>
              </w:rPr>
              <w:t>Emergence Day (days)</w:t>
            </w:r>
          </w:p>
        </w:tc>
        <w:tc>
          <w:tcPr>
            <w:tcW w:w="838"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GJ-42</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7/6</w:t>
            </w:r>
          </w:p>
        </w:tc>
        <w:tc>
          <w:tcPr>
            <w:tcW w:w="1275"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6/6</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7/5</w:t>
            </w:r>
          </w:p>
        </w:tc>
        <w:tc>
          <w:tcPr>
            <w:tcW w:w="709"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14.30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1.29</w:t>
            </w:r>
          </w:p>
        </w:tc>
        <w:tc>
          <w:tcPr>
            <w:tcW w:w="851"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18.7</w:t>
            </w:r>
          </w:p>
        </w:tc>
      </w:tr>
      <w:tr w:rsidR="00B60C51" w:rsidRPr="00B60C51" w:rsidTr="001A3773">
        <w:tc>
          <w:tcPr>
            <w:cnfStyle w:val="000010000000"/>
            <w:tcW w:w="1255" w:type="dxa"/>
            <w:vMerge/>
            <w:shd w:val="clear" w:color="auto" w:fill="auto"/>
            <w:vAlign w:val="center"/>
          </w:tcPr>
          <w:p w:rsidR="00B60C51" w:rsidRPr="00B60C51" w:rsidRDefault="00B60C51" w:rsidP="001A3773">
            <w:pPr>
              <w:jc w:val="center"/>
              <w:rPr>
                <w:rFonts w:ascii="Arial" w:hAnsi="Arial" w:cs="Arial"/>
                <w:b/>
                <w:sz w:val="18"/>
                <w:szCs w:val="18"/>
              </w:rPr>
            </w:pPr>
          </w:p>
        </w:tc>
        <w:tc>
          <w:tcPr>
            <w:tcW w:w="838"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GJ-44</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6/6</w:t>
            </w:r>
          </w:p>
        </w:tc>
        <w:tc>
          <w:tcPr>
            <w:tcW w:w="1275"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5/6</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6/5</w:t>
            </w:r>
          </w:p>
        </w:tc>
        <w:tc>
          <w:tcPr>
            <w:tcW w:w="709"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12.20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0.82</w:t>
            </w:r>
          </w:p>
        </w:tc>
        <w:tc>
          <w:tcPr>
            <w:tcW w:w="851"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13.7</w:t>
            </w:r>
          </w:p>
        </w:tc>
      </w:tr>
      <w:tr w:rsidR="00B60C51" w:rsidRPr="00B60C51" w:rsidTr="001A3773">
        <w:trPr>
          <w:cnfStyle w:val="000000100000"/>
        </w:trPr>
        <w:tc>
          <w:tcPr>
            <w:cnfStyle w:val="000010000000"/>
            <w:tcW w:w="1255" w:type="dxa"/>
            <w:vMerge/>
            <w:shd w:val="clear" w:color="auto" w:fill="auto"/>
            <w:vAlign w:val="center"/>
          </w:tcPr>
          <w:p w:rsidR="00B60C51" w:rsidRPr="00B60C51" w:rsidRDefault="00B60C51" w:rsidP="001A3773">
            <w:pPr>
              <w:jc w:val="center"/>
              <w:rPr>
                <w:rFonts w:ascii="Arial" w:hAnsi="Arial" w:cs="Arial"/>
                <w:b/>
                <w:sz w:val="18"/>
                <w:szCs w:val="18"/>
              </w:rPr>
            </w:pPr>
          </w:p>
        </w:tc>
        <w:tc>
          <w:tcPr>
            <w:tcW w:w="838"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GNJ-1</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7/6</w:t>
            </w:r>
          </w:p>
        </w:tc>
        <w:tc>
          <w:tcPr>
            <w:tcW w:w="1275"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6/6</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7/5</w:t>
            </w:r>
          </w:p>
        </w:tc>
        <w:tc>
          <w:tcPr>
            <w:tcW w:w="709"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14.30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1.29</w:t>
            </w:r>
          </w:p>
        </w:tc>
        <w:tc>
          <w:tcPr>
            <w:tcW w:w="851"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18.7</w:t>
            </w:r>
          </w:p>
        </w:tc>
      </w:tr>
      <w:tr w:rsidR="00B60C51" w:rsidRPr="00B60C51" w:rsidTr="001A3773">
        <w:tc>
          <w:tcPr>
            <w:cnfStyle w:val="000010000000"/>
            <w:tcW w:w="1255" w:type="dxa"/>
            <w:vMerge w:val="restart"/>
            <w:shd w:val="clear" w:color="auto" w:fill="auto"/>
            <w:vAlign w:val="center"/>
          </w:tcPr>
          <w:p w:rsidR="00B60C51" w:rsidRPr="00B60C51" w:rsidRDefault="00B60C51" w:rsidP="001A3773">
            <w:pPr>
              <w:jc w:val="center"/>
              <w:rPr>
                <w:rFonts w:ascii="Arial" w:hAnsi="Arial" w:cs="Arial"/>
                <w:b/>
                <w:sz w:val="18"/>
                <w:szCs w:val="18"/>
              </w:rPr>
            </w:pPr>
            <w:r w:rsidRPr="00B60C51">
              <w:rPr>
                <w:rFonts w:ascii="Arial" w:hAnsi="Arial" w:cs="Arial"/>
                <w:b/>
                <w:sz w:val="18"/>
                <w:szCs w:val="18"/>
              </w:rPr>
              <w:t>50% Flowering (days)</w:t>
            </w:r>
          </w:p>
        </w:tc>
        <w:tc>
          <w:tcPr>
            <w:tcW w:w="838"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GJ-42</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73/75</w:t>
            </w:r>
          </w:p>
        </w:tc>
        <w:tc>
          <w:tcPr>
            <w:tcW w:w="1275"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67/71</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69/70</w:t>
            </w:r>
          </w:p>
        </w:tc>
        <w:tc>
          <w:tcPr>
            <w:tcW w:w="709"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3.40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2.65</w:t>
            </w:r>
          </w:p>
        </w:tc>
        <w:tc>
          <w:tcPr>
            <w:tcW w:w="851"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3.8</w:t>
            </w:r>
          </w:p>
        </w:tc>
      </w:tr>
      <w:tr w:rsidR="00B60C51" w:rsidRPr="00B60C51" w:rsidTr="001A3773">
        <w:trPr>
          <w:cnfStyle w:val="000000100000"/>
        </w:trPr>
        <w:tc>
          <w:tcPr>
            <w:cnfStyle w:val="000010000000"/>
            <w:tcW w:w="1255" w:type="dxa"/>
            <w:vMerge/>
            <w:shd w:val="clear" w:color="auto" w:fill="auto"/>
            <w:vAlign w:val="center"/>
          </w:tcPr>
          <w:p w:rsidR="00B60C51" w:rsidRPr="00B60C51" w:rsidRDefault="00B60C51" w:rsidP="001A3773">
            <w:pPr>
              <w:jc w:val="center"/>
              <w:rPr>
                <w:rFonts w:ascii="Arial" w:hAnsi="Arial" w:cs="Arial"/>
                <w:b/>
                <w:sz w:val="18"/>
                <w:szCs w:val="18"/>
              </w:rPr>
            </w:pPr>
          </w:p>
        </w:tc>
        <w:tc>
          <w:tcPr>
            <w:tcW w:w="838"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GJ-44</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69/73</w:t>
            </w:r>
          </w:p>
        </w:tc>
        <w:tc>
          <w:tcPr>
            <w:tcW w:w="1275"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64/68</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65/66</w:t>
            </w:r>
          </w:p>
        </w:tc>
        <w:tc>
          <w:tcPr>
            <w:tcW w:w="709"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4.50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3.32</w:t>
            </w:r>
          </w:p>
        </w:tc>
        <w:tc>
          <w:tcPr>
            <w:tcW w:w="851"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4.9</w:t>
            </w:r>
          </w:p>
        </w:tc>
      </w:tr>
      <w:tr w:rsidR="00B60C51" w:rsidRPr="00B60C51" w:rsidTr="001A3773">
        <w:tc>
          <w:tcPr>
            <w:cnfStyle w:val="000010000000"/>
            <w:tcW w:w="1255" w:type="dxa"/>
            <w:vMerge/>
            <w:shd w:val="clear" w:color="auto" w:fill="auto"/>
            <w:vAlign w:val="center"/>
          </w:tcPr>
          <w:p w:rsidR="00B60C51" w:rsidRPr="00B60C51" w:rsidRDefault="00B60C51" w:rsidP="001A3773">
            <w:pPr>
              <w:jc w:val="center"/>
              <w:rPr>
                <w:rFonts w:ascii="Arial" w:hAnsi="Arial" w:cs="Arial"/>
                <w:b/>
                <w:sz w:val="18"/>
                <w:szCs w:val="18"/>
              </w:rPr>
            </w:pPr>
          </w:p>
        </w:tc>
        <w:tc>
          <w:tcPr>
            <w:tcW w:w="838"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GNJ-1</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74/75</w:t>
            </w:r>
          </w:p>
        </w:tc>
        <w:tc>
          <w:tcPr>
            <w:tcW w:w="1275"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68/70</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70/67</w:t>
            </w:r>
          </w:p>
        </w:tc>
        <w:tc>
          <w:tcPr>
            <w:tcW w:w="709"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2.90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2.16</w:t>
            </w:r>
          </w:p>
        </w:tc>
        <w:tc>
          <w:tcPr>
            <w:tcW w:w="851"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3.1</w:t>
            </w:r>
          </w:p>
        </w:tc>
      </w:tr>
      <w:tr w:rsidR="00B60C51" w:rsidRPr="00B60C51" w:rsidTr="001A3773">
        <w:trPr>
          <w:cnfStyle w:val="000000100000"/>
        </w:trPr>
        <w:tc>
          <w:tcPr>
            <w:cnfStyle w:val="000010000000"/>
            <w:tcW w:w="1255" w:type="dxa"/>
            <w:vMerge w:val="restart"/>
            <w:shd w:val="clear" w:color="auto" w:fill="auto"/>
            <w:vAlign w:val="center"/>
          </w:tcPr>
          <w:p w:rsidR="00B60C51" w:rsidRPr="00B60C51" w:rsidRDefault="00B60C51" w:rsidP="001A3773">
            <w:pPr>
              <w:jc w:val="center"/>
              <w:rPr>
                <w:rFonts w:ascii="Arial" w:hAnsi="Arial" w:cs="Arial"/>
                <w:b/>
                <w:sz w:val="18"/>
                <w:szCs w:val="18"/>
              </w:rPr>
            </w:pPr>
            <w:r w:rsidRPr="00B60C51">
              <w:rPr>
                <w:rFonts w:ascii="Arial" w:hAnsi="Arial" w:cs="Arial"/>
                <w:b/>
                <w:sz w:val="18"/>
                <w:szCs w:val="18"/>
              </w:rPr>
              <w:t>Physiological Maturity (days)</w:t>
            </w:r>
          </w:p>
        </w:tc>
        <w:tc>
          <w:tcPr>
            <w:tcW w:w="838"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GJ-42</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112/114</w:t>
            </w:r>
          </w:p>
        </w:tc>
        <w:tc>
          <w:tcPr>
            <w:tcW w:w="1275"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107/108</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110/106</w:t>
            </w:r>
          </w:p>
        </w:tc>
        <w:tc>
          <w:tcPr>
            <w:tcW w:w="709"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2.10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2.65</w:t>
            </w:r>
          </w:p>
        </w:tc>
        <w:tc>
          <w:tcPr>
            <w:tcW w:w="851"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2.4</w:t>
            </w:r>
          </w:p>
        </w:tc>
      </w:tr>
      <w:tr w:rsidR="00B60C51" w:rsidRPr="00B60C51" w:rsidTr="001A3773">
        <w:tc>
          <w:tcPr>
            <w:cnfStyle w:val="000010000000"/>
            <w:tcW w:w="1255" w:type="dxa"/>
            <w:vMerge/>
            <w:shd w:val="clear" w:color="auto" w:fill="auto"/>
            <w:vAlign w:val="center"/>
          </w:tcPr>
          <w:p w:rsidR="00B60C51" w:rsidRPr="00B60C51" w:rsidRDefault="00B60C51" w:rsidP="001A3773">
            <w:pPr>
              <w:jc w:val="center"/>
              <w:rPr>
                <w:rFonts w:ascii="Arial" w:hAnsi="Arial" w:cs="Arial"/>
                <w:b/>
                <w:sz w:val="18"/>
                <w:szCs w:val="18"/>
              </w:rPr>
            </w:pPr>
          </w:p>
        </w:tc>
        <w:tc>
          <w:tcPr>
            <w:tcW w:w="838"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GJ-44</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111/113</w:t>
            </w:r>
          </w:p>
        </w:tc>
        <w:tc>
          <w:tcPr>
            <w:tcW w:w="1275"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105/107</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107/105</w:t>
            </w:r>
          </w:p>
        </w:tc>
        <w:tc>
          <w:tcPr>
            <w:tcW w:w="709"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1.90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2.00</w:t>
            </w:r>
          </w:p>
        </w:tc>
        <w:tc>
          <w:tcPr>
            <w:tcW w:w="851"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1.8</w:t>
            </w:r>
          </w:p>
        </w:tc>
      </w:tr>
      <w:tr w:rsidR="00B60C51" w:rsidRPr="00B60C51" w:rsidTr="001A3773">
        <w:trPr>
          <w:cnfStyle w:val="000000100000"/>
        </w:trPr>
        <w:tc>
          <w:tcPr>
            <w:cnfStyle w:val="000010000000"/>
            <w:tcW w:w="1255" w:type="dxa"/>
            <w:vMerge/>
            <w:shd w:val="clear" w:color="auto" w:fill="auto"/>
            <w:vAlign w:val="center"/>
          </w:tcPr>
          <w:p w:rsidR="00B60C51" w:rsidRPr="00B60C51" w:rsidRDefault="00B60C51" w:rsidP="001A3773">
            <w:pPr>
              <w:jc w:val="center"/>
              <w:rPr>
                <w:rFonts w:ascii="Arial" w:hAnsi="Arial" w:cs="Arial"/>
                <w:b/>
                <w:sz w:val="18"/>
                <w:szCs w:val="18"/>
              </w:rPr>
            </w:pPr>
          </w:p>
        </w:tc>
        <w:tc>
          <w:tcPr>
            <w:tcW w:w="838"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GNJ-1</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113/115</w:t>
            </w:r>
          </w:p>
        </w:tc>
        <w:tc>
          <w:tcPr>
            <w:tcW w:w="1275"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109/109</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110/106</w:t>
            </w:r>
          </w:p>
        </w:tc>
        <w:tc>
          <w:tcPr>
            <w:tcW w:w="709"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1.80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2.58</w:t>
            </w:r>
          </w:p>
        </w:tc>
        <w:tc>
          <w:tcPr>
            <w:tcW w:w="851"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2.3</w:t>
            </w:r>
          </w:p>
        </w:tc>
      </w:tr>
      <w:tr w:rsidR="00B60C51" w:rsidRPr="00B60C51" w:rsidTr="001A3773">
        <w:tc>
          <w:tcPr>
            <w:cnfStyle w:val="000010000000"/>
            <w:tcW w:w="1255" w:type="dxa"/>
            <w:vMerge w:val="restart"/>
            <w:shd w:val="clear" w:color="auto" w:fill="auto"/>
            <w:vAlign w:val="center"/>
          </w:tcPr>
          <w:p w:rsidR="00B60C51" w:rsidRPr="00B60C51" w:rsidRDefault="00B60C51" w:rsidP="001A3773">
            <w:pPr>
              <w:jc w:val="center"/>
              <w:rPr>
                <w:rFonts w:ascii="Arial" w:hAnsi="Arial" w:cs="Arial"/>
                <w:b/>
                <w:sz w:val="18"/>
                <w:szCs w:val="18"/>
              </w:rPr>
            </w:pPr>
            <w:r w:rsidRPr="00B60C51">
              <w:rPr>
                <w:rFonts w:ascii="Arial" w:hAnsi="Arial" w:cs="Arial"/>
                <w:b/>
                <w:sz w:val="18"/>
                <w:szCs w:val="18"/>
              </w:rPr>
              <w:t>Grain</w:t>
            </w:r>
          </w:p>
          <w:p w:rsidR="00B60C51" w:rsidRPr="00B60C51" w:rsidRDefault="00B60C51" w:rsidP="001A3773">
            <w:pPr>
              <w:jc w:val="center"/>
              <w:rPr>
                <w:rFonts w:ascii="Arial" w:hAnsi="Arial" w:cs="Arial"/>
                <w:b/>
                <w:sz w:val="18"/>
                <w:szCs w:val="18"/>
              </w:rPr>
            </w:pPr>
            <w:r w:rsidRPr="00B60C51">
              <w:rPr>
                <w:rFonts w:ascii="Arial" w:hAnsi="Arial" w:cs="Arial"/>
                <w:b/>
                <w:sz w:val="18"/>
                <w:szCs w:val="18"/>
              </w:rPr>
              <w:t>Yield</w:t>
            </w:r>
          </w:p>
          <w:p w:rsidR="00B60C51" w:rsidRPr="00B60C51" w:rsidRDefault="00B60C51" w:rsidP="001A3773">
            <w:pPr>
              <w:jc w:val="center"/>
              <w:rPr>
                <w:rFonts w:ascii="Arial" w:hAnsi="Arial" w:cs="Arial"/>
                <w:b/>
                <w:sz w:val="18"/>
                <w:szCs w:val="18"/>
              </w:rPr>
            </w:pPr>
            <w:r w:rsidRPr="00B60C51">
              <w:rPr>
                <w:rFonts w:ascii="Arial" w:hAnsi="Arial" w:cs="Arial"/>
                <w:b/>
                <w:sz w:val="18"/>
                <w:szCs w:val="18"/>
              </w:rPr>
              <w:t>(Kg ha</w:t>
            </w:r>
            <w:r w:rsidRPr="00B60C51">
              <w:rPr>
                <w:rFonts w:ascii="Cambria Math" w:hAnsi="Cambria Math" w:cs="Cambria Math"/>
                <w:b/>
                <w:sz w:val="18"/>
                <w:szCs w:val="18"/>
              </w:rPr>
              <w:t>⁻</w:t>
            </w:r>
            <w:r w:rsidRPr="00B60C51">
              <w:rPr>
                <w:rFonts w:ascii="Arial" w:hAnsi="Arial" w:cs="Arial"/>
                <w:b/>
                <w:sz w:val="18"/>
                <w:szCs w:val="18"/>
              </w:rPr>
              <w:t>¹)</w:t>
            </w:r>
          </w:p>
        </w:tc>
        <w:tc>
          <w:tcPr>
            <w:tcW w:w="838"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GJ-42</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2382/2444</w:t>
            </w:r>
          </w:p>
        </w:tc>
        <w:tc>
          <w:tcPr>
            <w:tcW w:w="1275"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2443/2413</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2480/2492</w:t>
            </w:r>
          </w:p>
        </w:tc>
        <w:tc>
          <w:tcPr>
            <w:tcW w:w="709"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1.40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40.37</w:t>
            </w:r>
          </w:p>
        </w:tc>
        <w:tc>
          <w:tcPr>
            <w:tcW w:w="851"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1.6</w:t>
            </w:r>
          </w:p>
        </w:tc>
      </w:tr>
      <w:tr w:rsidR="00B60C51" w:rsidRPr="00B60C51" w:rsidTr="001A3773">
        <w:trPr>
          <w:cnfStyle w:val="000000100000"/>
        </w:trPr>
        <w:tc>
          <w:tcPr>
            <w:cnfStyle w:val="000010000000"/>
            <w:tcW w:w="1255" w:type="dxa"/>
            <w:vMerge/>
            <w:shd w:val="clear" w:color="auto" w:fill="auto"/>
            <w:vAlign w:val="center"/>
          </w:tcPr>
          <w:p w:rsidR="00B60C51" w:rsidRPr="00B60C51" w:rsidRDefault="00B60C51" w:rsidP="001A3773">
            <w:pPr>
              <w:jc w:val="center"/>
              <w:rPr>
                <w:rFonts w:ascii="Arial" w:hAnsi="Arial" w:cs="Arial"/>
                <w:b/>
                <w:sz w:val="18"/>
                <w:szCs w:val="18"/>
              </w:rPr>
            </w:pPr>
          </w:p>
        </w:tc>
        <w:tc>
          <w:tcPr>
            <w:tcW w:w="838"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GJ-44</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3833/3921</w:t>
            </w:r>
          </w:p>
        </w:tc>
        <w:tc>
          <w:tcPr>
            <w:tcW w:w="1275"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3355/3363</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3605/3635</w:t>
            </w:r>
          </w:p>
        </w:tc>
        <w:tc>
          <w:tcPr>
            <w:tcW w:w="709"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1.10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53.88</w:t>
            </w:r>
          </w:p>
        </w:tc>
        <w:tc>
          <w:tcPr>
            <w:tcW w:w="851"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1.5</w:t>
            </w:r>
          </w:p>
        </w:tc>
      </w:tr>
      <w:tr w:rsidR="00B60C51" w:rsidRPr="00B60C51" w:rsidTr="001A3773">
        <w:tc>
          <w:tcPr>
            <w:cnfStyle w:val="000010000000"/>
            <w:tcW w:w="1255" w:type="dxa"/>
            <w:vMerge/>
            <w:shd w:val="clear" w:color="auto" w:fill="auto"/>
            <w:vAlign w:val="center"/>
          </w:tcPr>
          <w:p w:rsidR="00B60C51" w:rsidRPr="00B60C51" w:rsidRDefault="00B60C51" w:rsidP="001A3773">
            <w:pPr>
              <w:jc w:val="center"/>
              <w:rPr>
                <w:rFonts w:ascii="Arial" w:hAnsi="Arial" w:cs="Arial"/>
                <w:b/>
                <w:sz w:val="18"/>
                <w:szCs w:val="18"/>
              </w:rPr>
            </w:pPr>
          </w:p>
        </w:tc>
        <w:tc>
          <w:tcPr>
            <w:tcW w:w="838"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GNJ-1</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3454/3804</w:t>
            </w:r>
          </w:p>
        </w:tc>
        <w:tc>
          <w:tcPr>
            <w:tcW w:w="1275"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3528/3572</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3553/3592</w:t>
            </w:r>
          </w:p>
        </w:tc>
        <w:tc>
          <w:tcPr>
            <w:tcW w:w="709"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4.20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204.90</w:t>
            </w:r>
          </w:p>
        </w:tc>
        <w:tc>
          <w:tcPr>
            <w:tcW w:w="851"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5.8</w:t>
            </w:r>
          </w:p>
        </w:tc>
      </w:tr>
      <w:tr w:rsidR="00B60C51" w:rsidRPr="00B60C51" w:rsidTr="001A3773">
        <w:trPr>
          <w:cnfStyle w:val="000000100000"/>
        </w:trPr>
        <w:tc>
          <w:tcPr>
            <w:cnfStyle w:val="000010000000"/>
            <w:tcW w:w="1255" w:type="dxa"/>
            <w:vMerge w:val="restart"/>
            <w:shd w:val="clear" w:color="auto" w:fill="auto"/>
            <w:vAlign w:val="center"/>
          </w:tcPr>
          <w:p w:rsidR="00E75CC7" w:rsidRDefault="00E75CC7" w:rsidP="001A3773">
            <w:pPr>
              <w:jc w:val="center"/>
              <w:rPr>
                <w:rFonts w:ascii="Arial" w:hAnsi="Arial" w:cs="Arial"/>
                <w:b/>
                <w:sz w:val="18"/>
                <w:szCs w:val="18"/>
              </w:rPr>
            </w:pPr>
          </w:p>
          <w:p w:rsidR="00B60C51" w:rsidRPr="00B60C51" w:rsidRDefault="00B60C51" w:rsidP="001A3773">
            <w:pPr>
              <w:jc w:val="center"/>
              <w:rPr>
                <w:rFonts w:ascii="Arial" w:hAnsi="Arial" w:cs="Arial"/>
                <w:b/>
                <w:sz w:val="18"/>
                <w:szCs w:val="18"/>
              </w:rPr>
            </w:pPr>
            <w:r w:rsidRPr="00B60C51">
              <w:rPr>
                <w:rFonts w:ascii="Arial" w:hAnsi="Arial" w:cs="Arial"/>
                <w:b/>
                <w:sz w:val="18"/>
                <w:szCs w:val="18"/>
              </w:rPr>
              <w:t>Dry fodder</w:t>
            </w:r>
          </w:p>
          <w:p w:rsidR="00B60C51" w:rsidRPr="00B60C51" w:rsidRDefault="00B60C51" w:rsidP="001A3773">
            <w:pPr>
              <w:jc w:val="center"/>
              <w:rPr>
                <w:rFonts w:ascii="Arial" w:hAnsi="Arial" w:cs="Arial"/>
                <w:b/>
                <w:sz w:val="18"/>
                <w:szCs w:val="18"/>
              </w:rPr>
            </w:pPr>
            <w:r w:rsidRPr="00B60C51">
              <w:rPr>
                <w:rFonts w:ascii="Arial" w:hAnsi="Arial" w:cs="Arial"/>
                <w:b/>
                <w:sz w:val="18"/>
                <w:szCs w:val="18"/>
              </w:rPr>
              <w:t>Yield</w:t>
            </w:r>
          </w:p>
          <w:p w:rsidR="00B60C51" w:rsidRPr="00B60C51" w:rsidRDefault="00B60C51" w:rsidP="001A3773">
            <w:pPr>
              <w:jc w:val="center"/>
              <w:rPr>
                <w:rFonts w:ascii="Arial" w:hAnsi="Arial" w:cs="Arial"/>
                <w:b/>
                <w:sz w:val="18"/>
                <w:szCs w:val="18"/>
              </w:rPr>
            </w:pPr>
            <w:r w:rsidRPr="00B60C51">
              <w:rPr>
                <w:rFonts w:ascii="Arial" w:hAnsi="Arial" w:cs="Arial"/>
                <w:b/>
                <w:sz w:val="18"/>
                <w:szCs w:val="18"/>
              </w:rPr>
              <w:t>(Kg ha</w:t>
            </w:r>
            <w:r w:rsidRPr="00B60C51">
              <w:rPr>
                <w:rFonts w:ascii="Cambria Math" w:hAnsi="Cambria Math" w:cs="Cambria Math"/>
                <w:b/>
                <w:sz w:val="18"/>
                <w:szCs w:val="18"/>
              </w:rPr>
              <w:t>⁻</w:t>
            </w:r>
            <w:r w:rsidRPr="00B60C51">
              <w:rPr>
                <w:rFonts w:ascii="Arial" w:hAnsi="Arial" w:cs="Arial"/>
                <w:b/>
                <w:sz w:val="18"/>
                <w:szCs w:val="18"/>
              </w:rPr>
              <w:t>¹)</w:t>
            </w:r>
          </w:p>
        </w:tc>
        <w:tc>
          <w:tcPr>
            <w:tcW w:w="838" w:type="dxa"/>
            <w:shd w:val="clear" w:color="auto" w:fill="auto"/>
            <w:vAlign w:val="center"/>
          </w:tcPr>
          <w:p w:rsidR="00E75CC7" w:rsidRDefault="00E75CC7" w:rsidP="001A3773">
            <w:pPr>
              <w:jc w:val="center"/>
              <w:cnfStyle w:val="000000100000"/>
              <w:rPr>
                <w:rFonts w:ascii="Arial" w:hAnsi="Arial" w:cs="Arial"/>
                <w:bCs/>
                <w:sz w:val="18"/>
                <w:szCs w:val="18"/>
              </w:rPr>
            </w:pPr>
          </w:p>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GJ-42</w:t>
            </w:r>
          </w:p>
        </w:tc>
        <w:tc>
          <w:tcPr>
            <w:cnfStyle w:val="000010000000"/>
            <w:tcW w:w="1276" w:type="dxa"/>
            <w:shd w:val="clear" w:color="auto" w:fill="auto"/>
            <w:vAlign w:val="center"/>
          </w:tcPr>
          <w:p w:rsidR="00E75CC7" w:rsidRDefault="00E75CC7" w:rsidP="001A3773">
            <w:pPr>
              <w:jc w:val="center"/>
              <w:rPr>
                <w:rFonts w:ascii="Arial" w:hAnsi="Arial" w:cs="Arial"/>
                <w:bCs/>
                <w:sz w:val="18"/>
                <w:szCs w:val="18"/>
              </w:rPr>
            </w:pPr>
          </w:p>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10476/11782</w:t>
            </w:r>
          </w:p>
        </w:tc>
        <w:tc>
          <w:tcPr>
            <w:tcW w:w="1275" w:type="dxa"/>
            <w:shd w:val="clear" w:color="auto" w:fill="auto"/>
            <w:vAlign w:val="center"/>
          </w:tcPr>
          <w:p w:rsidR="00E75CC7" w:rsidRDefault="00E75CC7" w:rsidP="001A3773">
            <w:pPr>
              <w:jc w:val="center"/>
              <w:cnfStyle w:val="000000100000"/>
              <w:rPr>
                <w:rFonts w:ascii="Arial" w:hAnsi="Arial" w:cs="Arial"/>
                <w:bCs/>
                <w:sz w:val="18"/>
                <w:szCs w:val="18"/>
              </w:rPr>
            </w:pPr>
          </w:p>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11138/11964</w:t>
            </w:r>
          </w:p>
        </w:tc>
        <w:tc>
          <w:tcPr>
            <w:cnfStyle w:val="000010000000"/>
            <w:tcW w:w="1276" w:type="dxa"/>
            <w:shd w:val="clear" w:color="auto" w:fill="auto"/>
            <w:vAlign w:val="center"/>
          </w:tcPr>
          <w:p w:rsidR="00E75CC7" w:rsidRDefault="00E75CC7" w:rsidP="001A3773">
            <w:pPr>
              <w:jc w:val="center"/>
              <w:rPr>
                <w:rFonts w:ascii="Arial" w:hAnsi="Arial" w:cs="Arial"/>
                <w:bCs/>
                <w:sz w:val="18"/>
                <w:szCs w:val="18"/>
              </w:rPr>
            </w:pPr>
          </w:p>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11578/12285</w:t>
            </w:r>
          </w:p>
        </w:tc>
        <w:tc>
          <w:tcPr>
            <w:tcW w:w="709" w:type="dxa"/>
            <w:shd w:val="clear" w:color="auto" w:fill="auto"/>
            <w:vAlign w:val="center"/>
          </w:tcPr>
          <w:p w:rsidR="00E75CC7" w:rsidRDefault="00E75CC7" w:rsidP="001A3773">
            <w:pPr>
              <w:jc w:val="center"/>
              <w:cnfStyle w:val="000000100000"/>
              <w:rPr>
                <w:rFonts w:ascii="Arial" w:hAnsi="Arial" w:cs="Arial"/>
                <w:bCs/>
                <w:sz w:val="18"/>
                <w:szCs w:val="18"/>
              </w:rPr>
            </w:pPr>
          </w:p>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7.70</w:t>
            </w:r>
          </w:p>
        </w:tc>
        <w:tc>
          <w:tcPr>
            <w:cnfStyle w:val="000010000000"/>
            <w:tcW w:w="850" w:type="dxa"/>
            <w:shd w:val="clear" w:color="auto" w:fill="auto"/>
            <w:vAlign w:val="center"/>
          </w:tcPr>
          <w:p w:rsidR="00E75CC7" w:rsidRDefault="00E75CC7" w:rsidP="001A3773">
            <w:pPr>
              <w:jc w:val="center"/>
              <w:rPr>
                <w:rFonts w:ascii="Arial" w:hAnsi="Arial" w:cs="Arial"/>
                <w:bCs/>
                <w:sz w:val="18"/>
                <w:szCs w:val="18"/>
              </w:rPr>
            </w:pPr>
          </w:p>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867.07</w:t>
            </w:r>
          </w:p>
        </w:tc>
        <w:tc>
          <w:tcPr>
            <w:tcW w:w="851" w:type="dxa"/>
            <w:shd w:val="clear" w:color="auto" w:fill="auto"/>
            <w:vAlign w:val="center"/>
          </w:tcPr>
          <w:p w:rsidR="00E75CC7" w:rsidRDefault="00E75CC7" w:rsidP="001A3773">
            <w:pPr>
              <w:jc w:val="center"/>
              <w:cnfStyle w:val="000000100000"/>
              <w:rPr>
                <w:rFonts w:ascii="Arial" w:hAnsi="Arial" w:cs="Arial"/>
                <w:bCs/>
                <w:sz w:val="18"/>
                <w:szCs w:val="18"/>
              </w:rPr>
            </w:pPr>
          </w:p>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7.8</w:t>
            </w:r>
          </w:p>
        </w:tc>
      </w:tr>
      <w:tr w:rsidR="00B60C51" w:rsidRPr="00B60C51" w:rsidTr="001A3773">
        <w:tc>
          <w:tcPr>
            <w:cnfStyle w:val="000010000000"/>
            <w:tcW w:w="1255" w:type="dxa"/>
            <w:vMerge/>
            <w:shd w:val="clear" w:color="auto" w:fill="auto"/>
            <w:vAlign w:val="center"/>
          </w:tcPr>
          <w:p w:rsidR="00B60C51" w:rsidRPr="00B60C51" w:rsidRDefault="00B60C51" w:rsidP="001A3773">
            <w:pPr>
              <w:jc w:val="center"/>
              <w:rPr>
                <w:rFonts w:ascii="Arial" w:hAnsi="Arial" w:cs="Arial"/>
                <w:b/>
                <w:sz w:val="18"/>
                <w:szCs w:val="18"/>
              </w:rPr>
            </w:pPr>
          </w:p>
        </w:tc>
        <w:tc>
          <w:tcPr>
            <w:tcW w:w="838"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GJ-44</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10332/10395</w:t>
            </w:r>
          </w:p>
        </w:tc>
        <w:tc>
          <w:tcPr>
            <w:tcW w:w="1275"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11032/10906</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10532/10761</w:t>
            </w:r>
          </w:p>
        </w:tc>
        <w:tc>
          <w:tcPr>
            <w:tcW w:w="709"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1.30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155.23</w:t>
            </w:r>
          </w:p>
        </w:tc>
        <w:tc>
          <w:tcPr>
            <w:tcW w:w="851"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1.5</w:t>
            </w:r>
          </w:p>
        </w:tc>
      </w:tr>
      <w:tr w:rsidR="00B60C51" w:rsidRPr="00B60C51" w:rsidTr="001A3773">
        <w:trPr>
          <w:cnfStyle w:val="000000100000"/>
        </w:trPr>
        <w:tc>
          <w:tcPr>
            <w:cnfStyle w:val="000010000000"/>
            <w:tcW w:w="1255" w:type="dxa"/>
            <w:vMerge/>
            <w:shd w:val="clear" w:color="auto" w:fill="auto"/>
            <w:vAlign w:val="center"/>
          </w:tcPr>
          <w:p w:rsidR="00B60C51" w:rsidRPr="00B60C51" w:rsidRDefault="00B60C51" w:rsidP="001A3773">
            <w:pPr>
              <w:jc w:val="center"/>
              <w:rPr>
                <w:rFonts w:ascii="Arial" w:hAnsi="Arial" w:cs="Arial"/>
                <w:b/>
                <w:sz w:val="18"/>
                <w:szCs w:val="18"/>
              </w:rPr>
            </w:pPr>
          </w:p>
        </w:tc>
        <w:tc>
          <w:tcPr>
            <w:tcW w:w="838"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GNJ-1</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10583/10761</w:t>
            </w:r>
          </w:p>
        </w:tc>
        <w:tc>
          <w:tcPr>
            <w:tcW w:w="1275"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11235/11060</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10406/11100</w:t>
            </w:r>
          </w:p>
        </w:tc>
        <w:tc>
          <w:tcPr>
            <w:tcW w:w="709"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3.30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425.81</w:t>
            </w:r>
          </w:p>
        </w:tc>
        <w:tc>
          <w:tcPr>
            <w:tcW w:w="851"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3.9</w:t>
            </w:r>
          </w:p>
        </w:tc>
      </w:tr>
      <w:tr w:rsidR="00B60C51" w:rsidRPr="00B60C51" w:rsidTr="001A3773">
        <w:tc>
          <w:tcPr>
            <w:cnfStyle w:val="000010000000"/>
            <w:tcW w:w="1255" w:type="dxa"/>
            <w:vMerge w:val="restart"/>
            <w:shd w:val="clear" w:color="auto" w:fill="auto"/>
            <w:vAlign w:val="center"/>
          </w:tcPr>
          <w:p w:rsidR="00B60C51" w:rsidRPr="00B60C51" w:rsidRDefault="00B60C51" w:rsidP="001A3773">
            <w:pPr>
              <w:jc w:val="center"/>
              <w:rPr>
                <w:rFonts w:ascii="Arial" w:hAnsi="Arial" w:cs="Arial"/>
                <w:b/>
                <w:sz w:val="18"/>
                <w:szCs w:val="18"/>
              </w:rPr>
            </w:pPr>
            <w:r w:rsidRPr="00B60C51">
              <w:rPr>
                <w:rFonts w:ascii="Arial" w:hAnsi="Arial" w:cs="Arial"/>
                <w:b/>
                <w:sz w:val="18"/>
                <w:szCs w:val="18"/>
              </w:rPr>
              <w:t>Harvest</w:t>
            </w:r>
          </w:p>
          <w:p w:rsidR="00B60C51" w:rsidRPr="00B60C51" w:rsidRDefault="00B60C51" w:rsidP="001A3773">
            <w:pPr>
              <w:jc w:val="center"/>
              <w:rPr>
                <w:rFonts w:ascii="Arial" w:hAnsi="Arial" w:cs="Arial"/>
                <w:b/>
                <w:sz w:val="18"/>
                <w:szCs w:val="18"/>
              </w:rPr>
            </w:pPr>
            <w:r w:rsidRPr="00B60C51">
              <w:rPr>
                <w:rFonts w:ascii="Arial" w:hAnsi="Arial" w:cs="Arial"/>
                <w:b/>
                <w:sz w:val="18"/>
                <w:szCs w:val="18"/>
              </w:rPr>
              <w:t>index</w:t>
            </w:r>
          </w:p>
        </w:tc>
        <w:tc>
          <w:tcPr>
            <w:tcW w:w="838"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GJ-42</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18.17/17.20</w:t>
            </w:r>
          </w:p>
        </w:tc>
        <w:tc>
          <w:tcPr>
            <w:tcW w:w="1275"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17.98/16.80</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17.64/16.90</w:t>
            </w:r>
          </w:p>
        </w:tc>
        <w:tc>
          <w:tcPr>
            <w:tcW w:w="709"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5.20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0.01</w:t>
            </w:r>
          </w:p>
        </w:tc>
        <w:tc>
          <w:tcPr>
            <w:tcW w:w="851"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0.06</w:t>
            </w:r>
          </w:p>
        </w:tc>
      </w:tr>
      <w:tr w:rsidR="00B60C51" w:rsidRPr="00B60C51" w:rsidTr="001A3773">
        <w:trPr>
          <w:cnfStyle w:val="000000100000"/>
        </w:trPr>
        <w:tc>
          <w:tcPr>
            <w:cnfStyle w:val="000010000000"/>
            <w:tcW w:w="1255" w:type="dxa"/>
            <w:vMerge/>
            <w:shd w:val="clear" w:color="auto" w:fill="auto"/>
            <w:vAlign w:val="center"/>
          </w:tcPr>
          <w:p w:rsidR="00B60C51" w:rsidRPr="00B60C51" w:rsidRDefault="00B60C51" w:rsidP="001A3773">
            <w:pPr>
              <w:jc w:val="center"/>
              <w:rPr>
                <w:rFonts w:ascii="Arial" w:hAnsi="Arial" w:cs="Arial"/>
                <w:bCs/>
                <w:sz w:val="18"/>
                <w:szCs w:val="18"/>
              </w:rPr>
            </w:pPr>
          </w:p>
        </w:tc>
        <w:tc>
          <w:tcPr>
            <w:tcW w:w="838"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GJ-44</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27.06/27.40</w:t>
            </w:r>
          </w:p>
        </w:tc>
        <w:tc>
          <w:tcPr>
            <w:tcW w:w="1275"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23.33/23.60</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25.51/24.90</w:t>
            </w:r>
          </w:p>
        </w:tc>
        <w:tc>
          <w:tcPr>
            <w:tcW w:w="709"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1.60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0.004</w:t>
            </w:r>
          </w:p>
        </w:tc>
        <w:tc>
          <w:tcPr>
            <w:tcW w:w="851" w:type="dxa"/>
            <w:shd w:val="clear" w:color="auto" w:fill="auto"/>
            <w:vAlign w:val="center"/>
          </w:tcPr>
          <w:p w:rsidR="00B60C51" w:rsidRPr="00B60C51" w:rsidRDefault="00B60C51" w:rsidP="001A3773">
            <w:pPr>
              <w:jc w:val="center"/>
              <w:cnfStyle w:val="000000100000"/>
              <w:rPr>
                <w:rFonts w:ascii="Arial" w:hAnsi="Arial" w:cs="Arial"/>
                <w:bCs/>
                <w:sz w:val="18"/>
                <w:szCs w:val="18"/>
              </w:rPr>
            </w:pPr>
            <w:r w:rsidRPr="00B60C51">
              <w:rPr>
                <w:rFonts w:ascii="Arial" w:hAnsi="Arial" w:cs="Arial"/>
                <w:bCs/>
                <w:sz w:val="18"/>
                <w:szCs w:val="18"/>
              </w:rPr>
              <w:t>0.02</w:t>
            </w:r>
          </w:p>
        </w:tc>
      </w:tr>
      <w:tr w:rsidR="00B60C51" w:rsidRPr="00B60C51" w:rsidTr="001A3773">
        <w:tc>
          <w:tcPr>
            <w:cnfStyle w:val="000010000000"/>
            <w:tcW w:w="1255" w:type="dxa"/>
            <w:vMerge/>
            <w:shd w:val="clear" w:color="auto" w:fill="auto"/>
            <w:vAlign w:val="center"/>
          </w:tcPr>
          <w:p w:rsidR="00B60C51" w:rsidRPr="00B60C51" w:rsidRDefault="00B60C51" w:rsidP="001A3773">
            <w:pPr>
              <w:jc w:val="center"/>
              <w:rPr>
                <w:rFonts w:ascii="Arial" w:hAnsi="Arial" w:cs="Arial"/>
                <w:bCs/>
                <w:sz w:val="18"/>
                <w:szCs w:val="18"/>
              </w:rPr>
            </w:pPr>
          </w:p>
        </w:tc>
        <w:tc>
          <w:tcPr>
            <w:tcW w:w="838"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GNJ-1</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24.65/26.10</w:t>
            </w:r>
          </w:p>
        </w:tc>
        <w:tc>
          <w:tcPr>
            <w:tcW w:w="1275"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23.91/24.40</w:t>
            </w:r>
          </w:p>
        </w:tc>
        <w:tc>
          <w:tcPr>
            <w:cnfStyle w:val="000010000000"/>
            <w:tcW w:w="1276"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25.46/24.40</w:t>
            </w:r>
          </w:p>
        </w:tc>
        <w:tc>
          <w:tcPr>
            <w:tcW w:w="709"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4.20</w:t>
            </w:r>
          </w:p>
        </w:tc>
        <w:tc>
          <w:tcPr>
            <w:cnfStyle w:val="000010000000"/>
            <w:tcW w:w="850" w:type="dxa"/>
            <w:shd w:val="clear" w:color="auto" w:fill="auto"/>
            <w:vAlign w:val="center"/>
          </w:tcPr>
          <w:p w:rsidR="00B60C51" w:rsidRPr="00B60C51" w:rsidRDefault="00B60C51" w:rsidP="001A3773">
            <w:pPr>
              <w:jc w:val="center"/>
              <w:rPr>
                <w:rFonts w:ascii="Arial" w:hAnsi="Arial" w:cs="Arial"/>
                <w:bCs/>
                <w:sz w:val="18"/>
                <w:szCs w:val="18"/>
              </w:rPr>
            </w:pPr>
            <w:r w:rsidRPr="00B60C51">
              <w:rPr>
                <w:rFonts w:ascii="Arial" w:hAnsi="Arial" w:cs="Arial"/>
                <w:bCs/>
                <w:sz w:val="18"/>
                <w:szCs w:val="18"/>
              </w:rPr>
              <w:t>0.011</w:t>
            </w:r>
          </w:p>
        </w:tc>
        <w:tc>
          <w:tcPr>
            <w:tcW w:w="851" w:type="dxa"/>
            <w:vAlign w:val="center"/>
          </w:tcPr>
          <w:p w:rsidR="00B60C51" w:rsidRPr="00B60C51" w:rsidRDefault="00B60C51" w:rsidP="001A3773">
            <w:pPr>
              <w:jc w:val="center"/>
              <w:cnfStyle w:val="000000000000"/>
              <w:rPr>
                <w:rFonts w:ascii="Arial" w:hAnsi="Arial" w:cs="Arial"/>
                <w:bCs/>
                <w:sz w:val="18"/>
                <w:szCs w:val="18"/>
              </w:rPr>
            </w:pPr>
            <w:r w:rsidRPr="00B60C51">
              <w:rPr>
                <w:rFonts w:ascii="Arial" w:hAnsi="Arial" w:cs="Arial"/>
                <w:bCs/>
                <w:sz w:val="18"/>
                <w:szCs w:val="18"/>
              </w:rPr>
              <w:t>0.04</w:t>
            </w:r>
          </w:p>
        </w:tc>
      </w:tr>
    </w:tbl>
    <w:p w:rsidR="005978A5" w:rsidRDefault="00E75CC7" w:rsidP="009935E5">
      <w:pPr>
        <w:pStyle w:val="BodyText3"/>
        <w:spacing w:after="0"/>
        <w:jc w:val="both"/>
        <w:rPr>
          <w:rFonts w:ascii="Arial" w:hAnsi="Arial"/>
          <w:bCs/>
          <w:i/>
          <w:sz w:val="18"/>
        </w:rPr>
      </w:pPr>
      <w:r w:rsidRPr="00E75CC7">
        <w:rPr>
          <w:rFonts w:ascii="Arial" w:hAnsi="Arial"/>
          <w:bCs/>
          <w:i/>
          <w:sz w:val="18"/>
        </w:rPr>
        <w:t>*Values in format: Observed/Simulated; PE = Percentage Error; nRMSE = Normalized Root MeanSquare Error; D1 = 15th January, D2 = 31st January, D3 = 15th February</w:t>
      </w:r>
    </w:p>
    <w:p w:rsidR="009935E5" w:rsidRPr="009935E5" w:rsidRDefault="009935E5" w:rsidP="009935E5">
      <w:pPr>
        <w:pStyle w:val="BodyText3"/>
        <w:spacing w:after="0"/>
        <w:jc w:val="both"/>
        <w:rPr>
          <w:rFonts w:ascii="Arial" w:hAnsi="Arial"/>
          <w:bCs/>
          <w:i/>
          <w:sz w:val="18"/>
        </w:rPr>
      </w:pPr>
    </w:p>
    <w:p w:rsidR="009935E5" w:rsidRPr="007B7776" w:rsidRDefault="009935E5" w:rsidP="00441B6F">
      <w:pPr>
        <w:pStyle w:val="Head1"/>
        <w:spacing w:after="0"/>
        <w:jc w:val="both"/>
        <w:rPr>
          <w:rFonts w:ascii="Arial" w:hAnsi="Arial" w:cs="Arial"/>
          <w:highlight w:val="yellow"/>
          <w:lang w:val="en-IN"/>
        </w:rPr>
      </w:pPr>
      <w:r w:rsidRPr="006A4EEF">
        <w:rPr>
          <w:rFonts w:ascii="Times New Roman" w:hAnsi="Times New Roman"/>
          <w:noProof/>
        </w:rPr>
        <w:lastRenderedPageBreak/>
        <w:drawing>
          <wp:inline distT="0" distB="0" distL="0" distR="0">
            <wp:extent cx="5212080" cy="2594078"/>
            <wp:effectExtent l="0" t="0" r="0" b="0"/>
            <wp:docPr id="39" name="Picture" descr="Figure 1. Observed vs Simulated calibration showing regression analysis and perfect prediction lines"/>
            <wp:cNvGraphicFramePr/>
            <a:graphic xmlns:a="http://schemas.openxmlformats.org/drawingml/2006/main">
              <a:graphicData uri="http://schemas.openxmlformats.org/drawingml/2006/picture">
                <pic:pic xmlns:pic="http://schemas.openxmlformats.org/drawingml/2006/picture">
                  <pic:nvPicPr>
                    <pic:cNvPr id="40" name="Picture" descr="https://ppl-ai-code-interpreter-files.s3.amazonaws.com/web/direct-files/37e932e5a7f10caba810c5074be4489d/e0d85167-9201-4ffa-a330-e30b1dde15ee/528b8269.png"/>
                    <pic:cNvPicPr>
                      <a:picLocks noChangeAspect="1" noChangeArrowheads="1"/>
                    </pic:cNvPicPr>
                  </pic:nvPicPr>
                  <pic:blipFill>
                    <a:blip r:embed="rId15" cstate="print"/>
                    <a:stretch>
                      <a:fillRect/>
                    </a:stretch>
                  </pic:blipFill>
                  <pic:spPr bwMode="auto">
                    <a:xfrm>
                      <a:off x="0" y="0"/>
                      <a:ext cx="5212080" cy="2594078"/>
                    </a:xfrm>
                    <a:prstGeom prst="rect">
                      <a:avLst/>
                    </a:prstGeom>
                    <a:noFill/>
                    <a:ln w="9525">
                      <a:noFill/>
                      <a:headEnd/>
                      <a:tailEnd/>
                    </a:ln>
                  </pic:spPr>
                </pic:pic>
              </a:graphicData>
            </a:graphic>
          </wp:inline>
        </w:drawing>
      </w:r>
    </w:p>
    <w:p w:rsidR="009935E5" w:rsidRDefault="009935E5" w:rsidP="009935E5">
      <w:pPr>
        <w:autoSpaceDE w:val="0"/>
        <w:autoSpaceDN w:val="0"/>
        <w:adjustRightInd w:val="0"/>
        <w:jc w:val="both"/>
        <w:rPr>
          <w:rFonts w:ascii="Arial" w:hAnsi="Arial" w:cs="Arial"/>
          <w:b/>
          <w:bCs/>
          <w:szCs w:val="22"/>
        </w:rPr>
      </w:pPr>
    </w:p>
    <w:p w:rsidR="009935E5" w:rsidRPr="009935E5" w:rsidRDefault="009935E5" w:rsidP="00E77890">
      <w:pPr>
        <w:autoSpaceDE w:val="0"/>
        <w:autoSpaceDN w:val="0"/>
        <w:adjustRightInd w:val="0"/>
        <w:ind w:left="709" w:hanging="709"/>
        <w:jc w:val="both"/>
        <w:rPr>
          <w:rFonts w:ascii="Arial" w:hAnsi="Arial" w:cs="Arial"/>
          <w:b/>
          <w:bCs/>
          <w:szCs w:val="22"/>
        </w:rPr>
      </w:pPr>
      <w:r w:rsidRPr="009935E5">
        <w:rPr>
          <w:rFonts w:ascii="Arial" w:hAnsi="Arial" w:cs="Arial"/>
          <w:b/>
          <w:bCs/>
          <w:szCs w:val="22"/>
        </w:rPr>
        <w:t>Fig. 1.Observed vs Simulated calibration showing regression analysis and perfect prediction lines</w:t>
      </w:r>
    </w:p>
    <w:p w:rsidR="009935E5" w:rsidRDefault="009935E5" w:rsidP="00441B6F">
      <w:pPr>
        <w:pStyle w:val="Head1"/>
        <w:spacing w:after="0"/>
        <w:jc w:val="both"/>
        <w:rPr>
          <w:rFonts w:ascii="Arial" w:hAnsi="Arial" w:cs="Arial"/>
          <w:highlight w:val="yellow"/>
        </w:rPr>
      </w:pPr>
    </w:p>
    <w:p w:rsidR="009935E5" w:rsidRDefault="009935E5" w:rsidP="009935E5">
      <w:pPr>
        <w:pStyle w:val="Head1"/>
        <w:numPr>
          <w:ilvl w:val="0"/>
          <w:numId w:val="39"/>
        </w:numPr>
        <w:tabs>
          <w:tab w:val="left" w:pos="8208"/>
        </w:tabs>
        <w:spacing w:after="0"/>
        <w:ind w:left="426" w:hanging="284"/>
        <w:jc w:val="both"/>
        <w:rPr>
          <w:rFonts w:ascii="Arial" w:hAnsi="Arial" w:cs="Arial"/>
          <w:caps w:val="0"/>
        </w:rPr>
      </w:pPr>
      <w:r w:rsidRPr="009935E5">
        <w:rPr>
          <w:rFonts w:ascii="Arial" w:hAnsi="Arial" w:cs="Arial"/>
          <w:caps w:val="0"/>
        </w:rPr>
        <w:t>Validation Phase Results:</w:t>
      </w:r>
    </w:p>
    <w:p w:rsidR="009935E5" w:rsidRPr="009935E5" w:rsidRDefault="009935E5" w:rsidP="009935E5">
      <w:pPr>
        <w:pStyle w:val="Head1"/>
        <w:tabs>
          <w:tab w:val="left" w:pos="8208"/>
        </w:tabs>
        <w:spacing w:after="0"/>
        <w:jc w:val="both"/>
        <w:rPr>
          <w:rFonts w:ascii="Arial" w:hAnsi="Arial" w:cs="Arial"/>
          <w:caps w:val="0"/>
        </w:rPr>
      </w:pPr>
    </w:p>
    <w:p w:rsidR="009935E5" w:rsidRDefault="009935E5" w:rsidP="009935E5">
      <w:pPr>
        <w:pStyle w:val="Body"/>
        <w:spacing w:after="0"/>
        <w:rPr>
          <w:rFonts w:ascii="Arial" w:hAnsi="Arial" w:cs="Arial"/>
        </w:rPr>
      </w:pPr>
      <w:r w:rsidRPr="009935E5">
        <w:rPr>
          <w:rFonts w:ascii="Arial" w:hAnsi="Arial" w:cs="Arial"/>
        </w:rPr>
        <w:t>Model validation using independent 2017 and 2022 field data from Main Sorghum Research Station, Surat represents a stringent test of model generalization and applicability beyond the calibration environment. Table 4 and Figure 3 summarize validation results.</w:t>
      </w:r>
    </w:p>
    <w:p w:rsidR="001A3773" w:rsidRDefault="001A3773" w:rsidP="009935E5">
      <w:pPr>
        <w:pStyle w:val="Body"/>
        <w:spacing w:after="0"/>
        <w:rPr>
          <w:rFonts w:ascii="Arial" w:hAnsi="Arial" w:cs="Arial"/>
        </w:rPr>
      </w:pPr>
    </w:p>
    <w:p w:rsidR="001A3773" w:rsidRDefault="001A3773" w:rsidP="001A3773">
      <w:pPr>
        <w:tabs>
          <w:tab w:val="left" w:pos="1080"/>
        </w:tabs>
        <w:ind w:left="896" w:hanging="896"/>
        <w:jc w:val="both"/>
        <w:rPr>
          <w:rFonts w:ascii="Arial" w:hAnsi="Arial"/>
          <w:b/>
        </w:rPr>
      </w:pPr>
      <w:r w:rsidRPr="009935E5">
        <w:rPr>
          <w:rFonts w:ascii="Arial" w:hAnsi="Arial"/>
          <w:b/>
        </w:rPr>
        <w:t>Table 4. Model Validation: Independent Dataset Performance (2017, 2022)</w:t>
      </w:r>
    </w:p>
    <w:p w:rsidR="001465BD" w:rsidRPr="009935E5" w:rsidRDefault="001465BD" w:rsidP="001A3773">
      <w:pPr>
        <w:tabs>
          <w:tab w:val="left" w:pos="1080"/>
        </w:tabs>
        <w:ind w:left="896" w:hanging="896"/>
        <w:jc w:val="both"/>
        <w:rPr>
          <w:rFonts w:ascii="Arial" w:hAnsi="Arial"/>
          <w:b/>
        </w:rPr>
      </w:pPr>
    </w:p>
    <w:tbl>
      <w:tblPr>
        <w:tblStyle w:val="ListTable6Colorful"/>
        <w:tblW w:w="5000" w:type="pct"/>
        <w:tblLook w:val="0020"/>
      </w:tblPr>
      <w:tblGrid>
        <w:gridCol w:w="1527"/>
        <w:gridCol w:w="1192"/>
        <w:gridCol w:w="1643"/>
        <w:gridCol w:w="1567"/>
        <w:gridCol w:w="1127"/>
        <w:gridCol w:w="1368"/>
      </w:tblGrid>
      <w:tr w:rsidR="001A3773" w:rsidTr="001A3773">
        <w:trPr>
          <w:cnfStyle w:val="100000000000"/>
        </w:trPr>
        <w:tc>
          <w:tcPr>
            <w:cnfStyle w:val="000010000000"/>
            <w:tcW w:w="906" w:type="pct"/>
            <w:shd w:val="clear" w:color="auto" w:fill="auto"/>
            <w:vAlign w:val="center"/>
          </w:tcPr>
          <w:p w:rsidR="001A3773" w:rsidRPr="007B7776" w:rsidRDefault="001A3773" w:rsidP="001A3773">
            <w:pPr>
              <w:spacing w:before="40" w:after="40"/>
              <w:jc w:val="center"/>
              <w:rPr>
                <w:rFonts w:ascii="Arial" w:hAnsi="Arial" w:cs="Arial"/>
                <w:b w:val="0"/>
                <w:sz w:val="18"/>
                <w:szCs w:val="18"/>
              </w:rPr>
            </w:pPr>
            <w:r w:rsidRPr="007B7776">
              <w:rPr>
                <w:rFonts w:ascii="Arial" w:hAnsi="Arial" w:cs="Arial"/>
                <w:sz w:val="18"/>
                <w:szCs w:val="18"/>
              </w:rPr>
              <w:t>Parameter</w:t>
            </w:r>
          </w:p>
        </w:tc>
        <w:tc>
          <w:tcPr>
            <w:tcW w:w="707" w:type="pct"/>
            <w:vAlign w:val="center"/>
          </w:tcPr>
          <w:p w:rsidR="001A3773" w:rsidRPr="007B7776" w:rsidRDefault="001A3773" w:rsidP="001A3773">
            <w:pPr>
              <w:spacing w:before="40" w:after="40"/>
              <w:jc w:val="center"/>
              <w:cnfStyle w:val="100000000000"/>
              <w:rPr>
                <w:rFonts w:ascii="Arial" w:hAnsi="Arial" w:cs="Arial"/>
                <w:b w:val="0"/>
                <w:sz w:val="18"/>
                <w:szCs w:val="18"/>
              </w:rPr>
            </w:pPr>
            <w:r w:rsidRPr="007B7776">
              <w:rPr>
                <w:rFonts w:ascii="Arial" w:hAnsi="Arial" w:cs="Arial"/>
                <w:sz w:val="18"/>
                <w:szCs w:val="18"/>
              </w:rPr>
              <w:t>Variety</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 w:val="0"/>
                <w:sz w:val="18"/>
                <w:szCs w:val="18"/>
              </w:rPr>
            </w:pPr>
            <w:r w:rsidRPr="007B7776">
              <w:rPr>
                <w:rFonts w:ascii="Arial" w:hAnsi="Arial" w:cs="Arial"/>
                <w:sz w:val="18"/>
                <w:szCs w:val="18"/>
              </w:rPr>
              <w:t>Date</w:t>
            </w:r>
          </w:p>
        </w:tc>
        <w:tc>
          <w:tcPr>
            <w:tcW w:w="930" w:type="pct"/>
            <w:vAlign w:val="center"/>
          </w:tcPr>
          <w:p w:rsidR="001A3773" w:rsidRPr="007B7776" w:rsidRDefault="001A3773" w:rsidP="001A3773">
            <w:pPr>
              <w:spacing w:before="40" w:after="40"/>
              <w:jc w:val="center"/>
              <w:cnfStyle w:val="100000000000"/>
              <w:rPr>
                <w:rFonts w:ascii="Arial" w:hAnsi="Arial" w:cs="Arial"/>
                <w:b w:val="0"/>
                <w:sz w:val="18"/>
                <w:szCs w:val="18"/>
              </w:rPr>
            </w:pPr>
            <w:r w:rsidRPr="007B7776">
              <w:rPr>
                <w:rFonts w:ascii="Arial" w:hAnsi="Arial" w:cs="Arial"/>
                <w:sz w:val="18"/>
                <w:szCs w:val="18"/>
              </w:rPr>
              <w:t>Mean PE (%)</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 w:val="0"/>
                <w:sz w:val="18"/>
                <w:szCs w:val="18"/>
              </w:rPr>
            </w:pPr>
            <w:r w:rsidRPr="007B7776">
              <w:rPr>
                <w:rFonts w:ascii="Arial" w:hAnsi="Arial" w:cs="Arial"/>
                <w:sz w:val="18"/>
                <w:szCs w:val="18"/>
              </w:rPr>
              <w:t>RMSE</w:t>
            </w:r>
          </w:p>
        </w:tc>
        <w:tc>
          <w:tcPr>
            <w:tcW w:w="812" w:type="pct"/>
            <w:vAlign w:val="center"/>
          </w:tcPr>
          <w:p w:rsidR="001A3773" w:rsidRPr="007B7776" w:rsidRDefault="001A3773" w:rsidP="001A3773">
            <w:pPr>
              <w:spacing w:before="40" w:after="40"/>
              <w:jc w:val="center"/>
              <w:cnfStyle w:val="100000000000"/>
              <w:rPr>
                <w:rFonts w:ascii="Arial" w:hAnsi="Arial" w:cs="Arial"/>
                <w:b w:val="0"/>
                <w:sz w:val="18"/>
                <w:szCs w:val="18"/>
              </w:rPr>
            </w:pPr>
            <w:r w:rsidRPr="007B7776">
              <w:rPr>
                <w:rFonts w:ascii="Arial" w:hAnsi="Arial" w:cs="Arial"/>
                <w:sz w:val="18"/>
                <w:szCs w:val="18"/>
              </w:rPr>
              <w:t>nRMSE (%)</w:t>
            </w:r>
          </w:p>
        </w:tc>
      </w:tr>
      <w:tr w:rsidR="001A3773" w:rsidRPr="007B7776" w:rsidTr="001A3773">
        <w:trPr>
          <w:cnfStyle w:val="000000100000"/>
        </w:trPr>
        <w:tc>
          <w:tcPr>
            <w:cnfStyle w:val="000010000000"/>
            <w:tcW w:w="906" w:type="pct"/>
            <w:vMerge w:val="restar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50% Flowering (days)</w:t>
            </w:r>
          </w:p>
        </w:tc>
        <w:tc>
          <w:tcPr>
            <w:tcW w:w="707"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GJ-42</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77/73</w:t>
            </w:r>
          </w:p>
        </w:tc>
        <w:tc>
          <w:tcPr>
            <w:tcW w:w="930"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-5.19</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4.00</w:t>
            </w:r>
          </w:p>
        </w:tc>
        <w:tc>
          <w:tcPr>
            <w:tcW w:w="812"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5.2</w:t>
            </w:r>
          </w:p>
        </w:tc>
      </w:tr>
      <w:tr w:rsidR="001A3773" w:rsidRPr="007B7776" w:rsidTr="001A3773">
        <w:tc>
          <w:tcPr>
            <w:cnfStyle w:val="000010000000"/>
            <w:tcW w:w="906" w:type="pct"/>
            <w:vMerge/>
            <w:shd w:val="clear" w:color="auto" w:fill="auto"/>
            <w:vAlign w:val="center"/>
          </w:tcPr>
          <w:p w:rsidR="001A3773" w:rsidRPr="007B7776" w:rsidRDefault="001A3773" w:rsidP="001A3773">
            <w:pPr>
              <w:spacing w:before="40" w:after="40"/>
              <w:jc w:val="center"/>
              <w:rPr>
                <w:rFonts w:ascii="Arial" w:hAnsi="Arial" w:cs="Arial"/>
                <w:bCs/>
                <w:sz w:val="18"/>
                <w:szCs w:val="18"/>
              </w:rPr>
            </w:pPr>
          </w:p>
        </w:tc>
        <w:tc>
          <w:tcPr>
            <w:tcW w:w="707"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GJ-44</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66/71</w:t>
            </w:r>
          </w:p>
        </w:tc>
        <w:tc>
          <w:tcPr>
            <w:tcW w:w="930"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7.58</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5.00</w:t>
            </w:r>
          </w:p>
        </w:tc>
        <w:tc>
          <w:tcPr>
            <w:tcW w:w="812"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7.6</w:t>
            </w:r>
          </w:p>
        </w:tc>
      </w:tr>
      <w:tr w:rsidR="001A3773" w:rsidRPr="007B7776" w:rsidTr="001A3773">
        <w:trPr>
          <w:cnfStyle w:val="000000100000"/>
        </w:trPr>
        <w:tc>
          <w:tcPr>
            <w:cnfStyle w:val="000010000000"/>
            <w:tcW w:w="906" w:type="pct"/>
            <w:vMerge/>
            <w:shd w:val="clear" w:color="auto" w:fill="auto"/>
            <w:vAlign w:val="center"/>
          </w:tcPr>
          <w:p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GNJ-1</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70/72</w:t>
            </w:r>
          </w:p>
        </w:tc>
        <w:tc>
          <w:tcPr>
            <w:tcW w:w="930"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2.86</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2.00</w:t>
            </w:r>
          </w:p>
        </w:tc>
        <w:tc>
          <w:tcPr>
            <w:tcW w:w="812"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2.9</w:t>
            </w:r>
          </w:p>
        </w:tc>
      </w:tr>
      <w:tr w:rsidR="001A3773" w:rsidRPr="007B7776" w:rsidTr="001A3773">
        <w:tc>
          <w:tcPr>
            <w:cnfStyle w:val="000010000000"/>
            <w:tcW w:w="906" w:type="pct"/>
            <w:vMerge w:val="restar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Physiological Maturity (days)</w:t>
            </w:r>
          </w:p>
        </w:tc>
        <w:tc>
          <w:tcPr>
            <w:tcW w:w="707"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GJ-42</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119/113</w:t>
            </w:r>
          </w:p>
        </w:tc>
        <w:tc>
          <w:tcPr>
            <w:tcW w:w="930"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-5.04</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6.00</w:t>
            </w:r>
          </w:p>
        </w:tc>
        <w:tc>
          <w:tcPr>
            <w:tcW w:w="812"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5.0</w:t>
            </w:r>
          </w:p>
        </w:tc>
      </w:tr>
      <w:tr w:rsidR="001A3773" w:rsidRPr="007B7776" w:rsidTr="001A3773">
        <w:trPr>
          <w:cnfStyle w:val="000000100000"/>
        </w:trPr>
        <w:tc>
          <w:tcPr>
            <w:cnfStyle w:val="000010000000"/>
            <w:tcW w:w="906" w:type="pct"/>
            <w:vMerge/>
            <w:shd w:val="clear" w:color="auto" w:fill="auto"/>
            <w:vAlign w:val="center"/>
          </w:tcPr>
          <w:p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GJ-44</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109/108</w:t>
            </w:r>
          </w:p>
        </w:tc>
        <w:tc>
          <w:tcPr>
            <w:tcW w:w="930"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-0.92</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1.00</w:t>
            </w:r>
          </w:p>
        </w:tc>
        <w:tc>
          <w:tcPr>
            <w:tcW w:w="812"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0.9</w:t>
            </w:r>
          </w:p>
        </w:tc>
      </w:tr>
      <w:tr w:rsidR="001A3773" w:rsidRPr="007B7776" w:rsidTr="001A3773">
        <w:tc>
          <w:tcPr>
            <w:cnfStyle w:val="000010000000"/>
            <w:tcW w:w="906" w:type="pct"/>
            <w:vMerge/>
            <w:shd w:val="clear" w:color="auto" w:fill="auto"/>
            <w:vAlign w:val="center"/>
          </w:tcPr>
          <w:p w:rsidR="001A3773" w:rsidRPr="007B7776" w:rsidRDefault="001A3773" w:rsidP="001A3773">
            <w:pPr>
              <w:spacing w:before="40" w:after="40"/>
              <w:jc w:val="center"/>
              <w:rPr>
                <w:rFonts w:ascii="Arial" w:hAnsi="Arial" w:cs="Arial"/>
                <w:bCs/>
                <w:sz w:val="18"/>
                <w:szCs w:val="18"/>
              </w:rPr>
            </w:pPr>
          </w:p>
        </w:tc>
        <w:tc>
          <w:tcPr>
            <w:tcW w:w="707"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GNJ-1</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113/109</w:t>
            </w:r>
          </w:p>
        </w:tc>
        <w:tc>
          <w:tcPr>
            <w:tcW w:w="930"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-3.54</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4.00</w:t>
            </w:r>
          </w:p>
        </w:tc>
        <w:tc>
          <w:tcPr>
            <w:tcW w:w="812"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3.5</w:t>
            </w:r>
          </w:p>
        </w:tc>
      </w:tr>
      <w:tr w:rsidR="001A3773" w:rsidRPr="007B7776" w:rsidTr="001A3773">
        <w:trPr>
          <w:cnfStyle w:val="000000100000"/>
        </w:trPr>
        <w:tc>
          <w:tcPr>
            <w:cnfStyle w:val="000010000000"/>
            <w:tcW w:w="906" w:type="pct"/>
            <w:vMerge w:val="restar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Grain</w:t>
            </w:r>
          </w:p>
          <w:p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Yield</w:t>
            </w:r>
          </w:p>
          <w:p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(Kg ha</w:t>
            </w:r>
            <w:r w:rsidRPr="007B7776">
              <w:rPr>
                <w:rFonts w:ascii="Cambria Math" w:hAnsi="Cambria Math" w:cs="Cambria Math"/>
                <w:b/>
                <w:bCs/>
                <w:sz w:val="18"/>
                <w:szCs w:val="18"/>
              </w:rPr>
              <w:t>⁻</w:t>
            </w:r>
            <w:r w:rsidRPr="007B7776">
              <w:rPr>
                <w:rFonts w:ascii="Arial" w:hAnsi="Arial" w:cs="Arial"/>
                <w:b/>
                <w:bCs/>
                <w:sz w:val="18"/>
                <w:szCs w:val="18"/>
              </w:rPr>
              <w:t>¹)</w:t>
            </w:r>
          </w:p>
        </w:tc>
        <w:tc>
          <w:tcPr>
            <w:tcW w:w="707"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GJ-42</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2020/2095</w:t>
            </w:r>
          </w:p>
        </w:tc>
        <w:tc>
          <w:tcPr>
            <w:tcW w:w="930"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3.71</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75.00</w:t>
            </w:r>
          </w:p>
        </w:tc>
        <w:tc>
          <w:tcPr>
            <w:tcW w:w="812"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3.7</w:t>
            </w:r>
          </w:p>
        </w:tc>
      </w:tr>
      <w:tr w:rsidR="001A3773" w:rsidRPr="007B7776" w:rsidTr="001A3773">
        <w:tc>
          <w:tcPr>
            <w:cnfStyle w:val="000010000000"/>
            <w:tcW w:w="906" w:type="pct"/>
            <w:vMerge/>
            <w:shd w:val="clear" w:color="auto" w:fill="auto"/>
            <w:vAlign w:val="center"/>
          </w:tcPr>
          <w:p w:rsidR="001A3773" w:rsidRPr="007B7776" w:rsidRDefault="001A3773" w:rsidP="001A3773">
            <w:pPr>
              <w:spacing w:before="40" w:after="40"/>
              <w:jc w:val="center"/>
              <w:rPr>
                <w:rFonts w:ascii="Arial" w:hAnsi="Arial" w:cs="Arial"/>
                <w:bCs/>
                <w:sz w:val="18"/>
                <w:szCs w:val="18"/>
              </w:rPr>
            </w:pPr>
          </w:p>
        </w:tc>
        <w:tc>
          <w:tcPr>
            <w:tcW w:w="707"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GJ-44</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3453/3549</w:t>
            </w:r>
          </w:p>
        </w:tc>
        <w:tc>
          <w:tcPr>
            <w:tcW w:w="930"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2.78</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96.00</w:t>
            </w:r>
          </w:p>
        </w:tc>
        <w:tc>
          <w:tcPr>
            <w:tcW w:w="812"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2.8</w:t>
            </w:r>
          </w:p>
        </w:tc>
      </w:tr>
      <w:tr w:rsidR="001A3773" w:rsidRPr="007B7776" w:rsidTr="001A3773">
        <w:trPr>
          <w:cnfStyle w:val="000000100000"/>
        </w:trPr>
        <w:tc>
          <w:tcPr>
            <w:cnfStyle w:val="000010000000"/>
            <w:tcW w:w="906" w:type="pct"/>
            <w:vMerge/>
            <w:shd w:val="clear" w:color="auto" w:fill="auto"/>
            <w:vAlign w:val="center"/>
          </w:tcPr>
          <w:p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GNJ-1</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3423/3480</w:t>
            </w:r>
          </w:p>
        </w:tc>
        <w:tc>
          <w:tcPr>
            <w:tcW w:w="930"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1.70</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57.00</w:t>
            </w:r>
          </w:p>
        </w:tc>
        <w:tc>
          <w:tcPr>
            <w:tcW w:w="812"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1.7</w:t>
            </w:r>
          </w:p>
        </w:tc>
      </w:tr>
      <w:tr w:rsidR="001A3773" w:rsidRPr="007B7776" w:rsidTr="001A3773">
        <w:tc>
          <w:tcPr>
            <w:cnfStyle w:val="000010000000"/>
            <w:tcW w:w="906" w:type="pct"/>
            <w:vMerge w:val="restar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Dry fodder</w:t>
            </w:r>
          </w:p>
          <w:p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Yield</w:t>
            </w:r>
          </w:p>
          <w:p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(Kg ha</w:t>
            </w:r>
            <w:r w:rsidRPr="007B7776">
              <w:rPr>
                <w:rFonts w:ascii="Cambria Math" w:hAnsi="Cambria Math" w:cs="Cambria Math"/>
                <w:b/>
                <w:bCs/>
                <w:sz w:val="18"/>
                <w:szCs w:val="18"/>
              </w:rPr>
              <w:t>⁻</w:t>
            </w:r>
            <w:r w:rsidRPr="007B7776">
              <w:rPr>
                <w:rFonts w:ascii="Arial" w:hAnsi="Arial" w:cs="Arial"/>
                <w:b/>
                <w:bCs/>
                <w:sz w:val="18"/>
                <w:szCs w:val="18"/>
              </w:rPr>
              <w:t>¹)</w:t>
            </w:r>
          </w:p>
        </w:tc>
        <w:tc>
          <w:tcPr>
            <w:tcW w:w="707"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GJ-42</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9824/10108</w:t>
            </w:r>
          </w:p>
        </w:tc>
        <w:tc>
          <w:tcPr>
            <w:tcW w:w="930"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2.89</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284.00</w:t>
            </w:r>
          </w:p>
        </w:tc>
        <w:tc>
          <w:tcPr>
            <w:tcW w:w="812"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2.9</w:t>
            </w:r>
          </w:p>
        </w:tc>
      </w:tr>
      <w:tr w:rsidR="001A3773" w:rsidRPr="007B7776" w:rsidTr="001A3773">
        <w:trPr>
          <w:cnfStyle w:val="000000100000"/>
        </w:trPr>
        <w:tc>
          <w:tcPr>
            <w:cnfStyle w:val="000010000000"/>
            <w:tcW w:w="906" w:type="pct"/>
            <w:vMerge/>
            <w:shd w:val="clear" w:color="auto" w:fill="auto"/>
          </w:tcPr>
          <w:p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GJ-44</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12011/11148</w:t>
            </w:r>
          </w:p>
        </w:tc>
        <w:tc>
          <w:tcPr>
            <w:tcW w:w="930"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-7.19</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-863.00</w:t>
            </w:r>
          </w:p>
        </w:tc>
        <w:tc>
          <w:tcPr>
            <w:tcW w:w="812" w:type="pct"/>
            <w:shd w:val="clear" w:color="auto" w:fill="auto"/>
            <w:vAlign w:val="center"/>
          </w:tcPr>
          <w:p w:rsidR="001A3773" w:rsidRPr="007B7776" w:rsidRDefault="001A3773" w:rsidP="001A3773">
            <w:pPr>
              <w:spacing w:before="40" w:after="40"/>
              <w:jc w:val="center"/>
              <w:cnfStyle w:val="000000100000"/>
              <w:rPr>
                <w:rFonts w:ascii="Arial" w:hAnsi="Arial" w:cs="Arial"/>
                <w:bCs/>
                <w:sz w:val="18"/>
                <w:szCs w:val="18"/>
              </w:rPr>
            </w:pPr>
            <w:r w:rsidRPr="007B7776">
              <w:rPr>
                <w:rFonts w:ascii="Arial" w:hAnsi="Arial" w:cs="Arial"/>
                <w:bCs/>
                <w:sz w:val="18"/>
                <w:szCs w:val="18"/>
              </w:rPr>
              <w:t>-7.1</w:t>
            </w:r>
          </w:p>
        </w:tc>
      </w:tr>
      <w:tr w:rsidR="001A3773" w:rsidRPr="007B7776" w:rsidTr="001A3773">
        <w:tc>
          <w:tcPr>
            <w:cnfStyle w:val="000010000000"/>
            <w:tcW w:w="906" w:type="pct"/>
            <w:vMerge/>
            <w:shd w:val="clear" w:color="auto" w:fill="auto"/>
          </w:tcPr>
          <w:p w:rsidR="001A3773" w:rsidRPr="007B7776" w:rsidRDefault="001A3773" w:rsidP="001A3773">
            <w:pPr>
              <w:spacing w:before="40" w:after="40"/>
              <w:jc w:val="center"/>
              <w:rPr>
                <w:rFonts w:ascii="Arial" w:hAnsi="Arial" w:cs="Arial"/>
                <w:bCs/>
                <w:sz w:val="18"/>
                <w:szCs w:val="18"/>
              </w:rPr>
            </w:pPr>
          </w:p>
        </w:tc>
        <w:tc>
          <w:tcPr>
            <w:tcW w:w="707"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GNJ-1</w:t>
            </w:r>
          </w:p>
        </w:tc>
        <w:tc>
          <w:tcPr>
            <w:cnfStyle w:val="000010000000"/>
            <w:tcW w:w="975"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11780/11266</w:t>
            </w:r>
          </w:p>
        </w:tc>
        <w:tc>
          <w:tcPr>
            <w:tcW w:w="930"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-4.36</w:t>
            </w:r>
          </w:p>
        </w:tc>
        <w:tc>
          <w:tcPr>
            <w:cnfStyle w:val="000010000000"/>
            <w:tcW w:w="669" w:type="pct"/>
            <w:shd w:val="clear" w:color="auto" w:fill="auto"/>
            <w:vAlign w:val="center"/>
          </w:tcPr>
          <w:p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-514.00</w:t>
            </w:r>
          </w:p>
        </w:tc>
        <w:tc>
          <w:tcPr>
            <w:tcW w:w="812" w:type="pct"/>
            <w:vAlign w:val="center"/>
          </w:tcPr>
          <w:p w:rsidR="001A3773" w:rsidRPr="007B7776" w:rsidRDefault="001A3773" w:rsidP="001A3773">
            <w:pPr>
              <w:spacing w:before="40" w:after="40"/>
              <w:jc w:val="center"/>
              <w:cnfStyle w:val="000000000000"/>
              <w:rPr>
                <w:rFonts w:ascii="Arial" w:hAnsi="Arial" w:cs="Arial"/>
                <w:bCs/>
                <w:sz w:val="18"/>
                <w:szCs w:val="18"/>
              </w:rPr>
            </w:pPr>
            <w:r w:rsidRPr="007B7776">
              <w:rPr>
                <w:rFonts w:ascii="Arial" w:hAnsi="Arial" w:cs="Arial"/>
                <w:bCs/>
                <w:sz w:val="18"/>
                <w:szCs w:val="18"/>
              </w:rPr>
              <w:t>-4.4</w:t>
            </w:r>
          </w:p>
        </w:tc>
      </w:tr>
    </w:tbl>
    <w:p w:rsidR="009935E5" w:rsidRDefault="001A3773" w:rsidP="001A3773">
      <w:pPr>
        <w:pStyle w:val="BodyText3"/>
        <w:spacing w:after="0"/>
        <w:jc w:val="both"/>
        <w:rPr>
          <w:rFonts w:ascii="Arial" w:hAnsi="Arial"/>
          <w:bCs/>
          <w:i/>
          <w:sz w:val="18"/>
        </w:rPr>
      </w:pPr>
      <w:r>
        <w:rPr>
          <w:rFonts w:ascii="Arial" w:hAnsi="Arial"/>
          <w:bCs/>
          <w:i/>
          <w:sz w:val="18"/>
        </w:rPr>
        <w:t>*</w:t>
      </w:r>
      <w:r w:rsidRPr="001A3773">
        <w:rPr>
          <w:rFonts w:ascii="Arial" w:hAnsi="Arial"/>
          <w:bCs/>
          <w:i/>
          <w:sz w:val="18"/>
        </w:rPr>
        <w:t>Values in format: Observed/Simulated</w:t>
      </w:r>
    </w:p>
    <w:p w:rsidR="00E77890" w:rsidRDefault="00E77890" w:rsidP="001A3773">
      <w:pPr>
        <w:pStyle w:val="BodyText3"/>
        <w:spacing w:after="0"/>
        <w:jc w:val="both"/>
        <w:rPr>
          <w:rFonts w:ascii="Arial" w:hAnsi="Arial"/>
          <w:bCs/>
          <w:i/>
          <w:sz w:val="18"/>
        </w:rPr>
      </w:pPr>
      <w:r>
        <w:rPr>
          <w:noProof/>
        </w:rPr>
        <w:lastRenderedPageBreak/>
        <w:drawing>
          <wp:inline distT="0" distB="0" distL="0" distR="0">
            <wp:extent cx="5435600" cy="2658533"/>
            <wp:effectExtent l="0" t="0" r="12700" b="8890"/>
            <wp:docPr id="14188389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7890" w:rsidRPr="00E77890" w:rsidRDefault="00E77890" w:rsidP="00E77890">
      <w:pPr>
        <w:autoSpaceDE w:val="0"/>
        <w:autoSpaceDN w:val="0"/>
        <w:adjustRightInd w:val="0"/>
        <w:ind w:firstLine="720"/>
        <w:jc w:val="both"/>
        <w:rPr>
          <w:rFonts w:ascii="Arial" w:hAnsi="Arial" w:cs="Arial"/>
          <w:b/>
          <w:bCs/>
          <w:szCs w:val="22"/>
        </w:rPr>
      </w:pPr>
      <w:r w:rsidRPr="009935E5">
        <w:rPr>
          <w:rFonts w:ascii="Arial" w:hAnsi="Arial" w:cs="Arial"/>
          <w:b/>
          <w:bCs/>
          <w:szCs w:val="22"/>
        </w:rPr>
        <w:t xml:space="preserve">Fig. </w:t>
      </w:r>
      <w:r>
        <w:rPr>
          <w:rFonts w:ascii="Arial" w:hAnsi="Arial" w:cs="Arial"/>
          <w:b/>
          <w:bCs/>
          <w:szCs w:val="22"/>
        </w:rPr>
        <w:t>2</w:t>
      </w:r>
      <w:r w:rsidRPr="009935E5">
        <w:rPr>
          <w:rFonts w:ascii="Arial" w:hAnsi="Arial" w:cs="Arial"/>
          <w:b/>
          <w:bCs/>
          <w:szCs w:val="22"/>
        </w:rPr>
        <w:t>.</w:t>
      </w:r>
      <w:r w:rsidRPr="00E77890">
        <w:rPr>
          <w:rFonts w:ascii="Arial" w:hAnsi="Arial" w:cs="Arial"/>
          <w:b/>
          <w:bCs/>
          <w:szCs w:val="22"/>
        </w:rPr>
        <w:t>Error Analysis: Mean PE (%) and nRMSE by variety (calibration)</w:t>
      </w:r>
    </w:p>
    <w:p w:rsidR="00E77890" w:rsidRDefault="00E77890" w:rsidP="001A3773">
      <w:pPr>
        <w:pStyle w:val="BodyText3"/>
        <w:spacing w:after="0"/>
        <w:jc w:val="both"/>
        <w:rPr>
          <w:rFonts w:ascii="Arial" w:hAnsi="Arial"/>
          <w:bCs/>
          <w:i/>
          <w:sz w:val="18"/>
        </w:rPr>
      </w:pPr>
    </w:p>
    <w:p w:rsidR="00E77890" w:rsidRDefault="00E77890" w:rsidP="001A3773">
      <w:pPr>
        <w:pStyle w:val="BodyText3"/>
        <w:spacing w:after="0"/>
        <w:jc w:val="both"/>
        <w:rPr>
          <w:rFonts w:ascii="Arial" w:hAnsi="Arial"/>
          <w:bCs/>
          <w:i/>
          <w:sz w:val="18"/>
        </w:rPr>
      </w:pPr>
    </w:p>
    <w:p w:rsidR="00E77890" w:rsidRDefault="00E77890" w:rsidP="001A3773">
      <w:pPr>
        <w:pStyle w:val="BodyText3"/>
        <w:spacing w:after="0"/>
        <w:jc w:val="both"/>
        <w:rPr>
          <w:rFonts w:ascii="Arial" w:hAnsi="Arial"/>
          <w:bCs/>
          <w:i/>
          <w:sz w:val="18"/>
        </w:rPr>
      </w:pPr>
      <w:r>
        <w:rPr>
          <w:noProof/>
        </w:rPr>
        <w:drawing>
          <wp:inline distT="0" distB="0" distL="0" distR="0">
            <wp:extent cx="5511800" cy="2895600"/>
            <wp:effectExtent l="0" t="0" r="12700" b="0"/>
            <wp:docPr id="8923236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77890" w:rsidRDefault="00E77890" w:rsidP="00E77890">
      <w:pPr>
        <w:pStyle w:val="BodyText3"/>
        <w:spacing w:after="0"/>
        <w:ind w:firstLine="720"/>
        <w:jc w:val="both"/>
        <w:rPr>
          <w:rFonts w:ascii="Arial" w:hAnsi="Arial" w:cs="Arial"/>
          <w:b/>
          <w:bCs/>
          <w:sz w:val="20"/>
          <w:szCs w:val="22"/>
        </w:rPr>
      </w:pPr>
      <w:r w:rsidRPr="00E77890">
        <w:rPr>
          <w:rFonts w:ascii="Arial" w:hAnsi="Arial" w:cs="Arial"/>
          <w:b/>
          <w:bCs/>
          <w:sz w:val="20"/>
          <w:szCs w:val="22"/>
        </w:rPr>
        <w:t xml:space="preserve">Fig. </w:t>
      </w:r>
      <w:r>
        <w:rPr>
          <w:rFonts w:ascii="Arial" w:hAnsi="Arial" w:cs="Arial"/>
          <w:b/>
          <w:bCs/>
          <w:sz w:val="20"/>
          <w:szCs w:val="22"/>
        </w:rPr>
        <w:t>3</w:t>
      </w:r>
      <w:r w:rsidRPr="00E77890">
        <w:rPr>
          <w:rFonts w:ascii="Arial" w:hAnsi="Arial" w:cs="Arial"/>
          <w:b/>
          <w:bCs/>
          <w:sz w:val="20"/>
          <w:szCs w:val="22"/>
        </w:rPr>
        <w:t>. Validation Performance: Mean PE comparison and nRMSE Classification</w:t>
      </w:r>
    </w:p>
    <w:p w:rsidR="00E77890" w:rsidRPr="00E77890" w:rsidRDefault="00E77890" w:rsidP="00E77890">
      <w:pPr>
        <w:pStyle w:val="BodyText3"/>
        <w:spacing w:after="0"/>
        <w:ind w:firstLine="720"/>
        <w:jc w:val="both"/>
        <w:rPr>
          <w:rFonts w:ascii="Arial" w:hAnsi="Arial" w:cs="Arial"/>
          <w:b/>
          <w:bCs/>
          <w:sz w:val="20"/>
          <w:szCs w:val="22"/>
        </w:rPr>
      </w:pPr>
    </w:p>
    <w:p w:rsidR="007B7776" w:rsidRPr="007B7776" w:rsidRDefault="007B7776" w:rsidP="001A3773">
      <w:pPr>
        <w:pStyle w:val="Head1"/>
        <w:numPr>
          <w:ilvl w:val="2"/>
          <w:numId w:val="36"/>
        </w:numPr>
        <w:spacing w:after="0"/>
        <w:ind w:left="284" w:hanging="284"/>
        <w:jc w:val="both"/>
        <w:rPr>
          <w:rFonts w:ascii="Arial" w:hAnsi="Arial" w:cs="Arial"/>
          <w:caps w:val="0"/>
          <w:sz w:val="20"/>
        </w:rPr>
      </w:pPr>
      <w:r w:rsidRPr="007B7776">
        <w:rPr>
          <w:rFonts w:ascii="Arial" w:hAnsi="Arial" w:cs="Arial"/>
          <w:caps w:val="0"/>
          <w:sz w:val="20"/>
        </w:rPr>
        <w:t>50 % Flowering Validation (Days):</w:t>
      </w:r>
    </w:p>
    <w:p w:rsidR="007B7776" w:rsidRDefault="007B7776" w:rsidP="009935E5">
      <w:pPr>
        <w:pStyle w:val="Body"/>
        <w:spacing w:after="0"/>
        <w:rPr>
          <w:rFonts w:ascii="Arial" w:hAnsi="Arial" w:cs="Arial"/>
        </w:rPr>
      </w:pPr>
    </w:p>
    <w:p w:rsidR="00E77890" w:rsidRDefault="007B7776" w:rsidP="009935E5">
      <w:pPr>
        <w:pStyle w:val="Body"/>
        <w:spacing w:after="0"/>
        <w:rPr>
          <w:rFonts w:ascii="Arial" w:hAnsi="Arial" w:cs="Arial"/>
        </w:rPr>
      </w:pPr>
      <w:r w:rsidRPr="007B7776">
        <w:rPr>
          <w:rFonts w:ascii="Arial" w:hAnsi="Arial" w:cs="Arial"/>
        </w:rPr>
        <w:t xml:space="preserve">For the parameter 50% flowering, the model showed good predictive performance across all three varieties. In GJ-42, the model slightly underestimated flowering time with a Mean PE of –5.19% and an nRMSE of 5.2%, indicating fairly good accuracy. For GJ-44, the model tended to overestimate flowering time, reflected by a Mean PE of 7.58% and a moderate nRMSE of 7.6%. The best performance was observed for GNJ-1, where the Mean PE was just 2.86% and the nRMSE was 2.9%, showing excellent agreement between observed and predicted values. </w:t>
      </w:r>
    </w:p>
    <w:p w:rsidR="007B7776" w:rsidRPr="007B7776" w:rsidRDefault="007B7776" w:rsidP="001A3773">
      <w:pPr>
        <w:pStyle w:val="Head1"/>
        <w:numPr>
          <w:ilvl w:val="2"/>
          <w:numId w:val="36"/>
        </w:numPr>
        <w:spacing w:after="0"/>
        <w:ind w:left="284" w:hanging="284"/>
        <w:jc w:val="both"/>
        <w:rPr>
          <w:rFonts w:ascii="Arial" w:hAnsi="Arial" w:cs="Arial"/>
          <w:caps w:val="0"/>
          <w:sz w:val="20"/>
        </w:rPr>
      </w:pPr>
      <w:r w:rsidRPr="007B7776">
        <w:rPr>
          <w:rFonts w:ascii="Arial" w:hAnsi="Arial" w:cs="Arial"/>
          <w:caps w:val="0"/>
          <w:sz w:val="20"/>
        </w:rPr>
        <w:lastRenderedPageBreak/>
        <w:t xml:space="preserve">Physiological Maturity Validation (Days): </w:t>
      </w:r>
    </w:p>
    <w:p w:rsidR="007B7776" w:rsidRDefault="007B7776" w:rsidP="009935E5">
      <w:pPr>
        <w:pStyle w:val="Body"/>
        <w:spacing w:after="0"/>
        <w:rPr>
          <w:rFonts w:ascii="Arial" w:hAnsi="Arial" w:cs="Arial"/>
        </w:rPr>
      </w:pPr>
    </w:p>
    <w:p w:rsidR="007B7776" w:rsidRPr="001A3773" w:rsidRDefault="001A3773" w:rsidP="009935E5">
      <w:pPr>
        <w:pStyle w:val="Body"/>
        <w:spacing w:after="0"/>
        <w:rPr>
          <w:rFonts w:ascii="Arial" w:hAnsi="Arial" w:cs="Arial"/>
          <w:lang w:val="en-IN"/>
        </w:rPr>
      </w:pPr>
      <w:r w:rsidRPr="001A3773">
        <w:rPr>
          <w:rFonts w:ascii="Arial" w:hAnsi="Arial" w:cs="Arial"/>
          <w:lang w:val="en-IN"/>
        </w:rPr>
        <w:t>In the case of physiological maturity, prediction accuracy remained high for all varieties. The model underestimated maturity days for GJ-42 with a Mean PE of –5.04% and an nRMSE of 5.0%, which still indicates good performance. For GJ-44, the Mean PE and nRMSE were extremely low (–0.92% and 0.9%, respectively), demonstrating excellent accuracy and almost negligible error. GNJ-1 also showed strong model performance with a Mean PE of –3.54% and an nRMSE of 3.5%, suggesting reliable predictions with minor underestimation. In given treatments, the simulated value of physiological maturity was underestimated by the model when compared with corresponding observed value. This result was agreed with finding of Khobragade et al. (2023) with the mean PE -9.2, -1.07 and -11.8 for Maldandi V1, Mauli V2 and Yashoda V3, respectively across different sowing windows.</w:t>
      </w:r>
    </w:p>
    <w:p w:rsidR="007B7776" w:rsidRDefault="007B7776" w:rsidP="009935E5">
      <w:pPr>
        <w:pStyle w:val="Body"/>
        <w:spacing w:after="0"/>
        <w:rPr>
          <w:rFonts w:ascii="Arial" w:hAnsi="Arial" w:cs="Arial"/>
        </w:rPr>
      </w:pPr>
    </w:p>
    <w:p w:rsidR="001A3773" w:rsidRPr="001A3773" w:rsidRDefault="001A3773" w:rsidP="001A3773">
      <w:pPr>
        <w:pStyle w:val="Head1"/>
        <w:numPr>
          <w:ilvl w:val="2"/>
          <w:numId w:val="36"/>
        </w:numPr>
        <w:spacing w:after="0"/>
        <w:ind w:left="284" w:hanging="284"/>
        <w:jc w:val="both"/>
        <w:rPr>
          <w:rFonts w:ascii="Arial" w:hAnsi="Arial" w:cs="Arial"/>
          <w:caps w:val="0"/>
          <w:sz w:val="20"/>
        </w:rPr>
      </w:pPr>
      <w:commentRangeStart w:id="11"/>
      <w:r w:rsidRPr="001A3773">
        <w:rPr>
          <w:rFonts w:ascii="Arial" w:hAnsi="Arial" w:cs="Arial"/>
          <w:caps w:val="0"/>
          <w:sz w:val="20"/>
        </w:rPr>
        <w:t xml:space="preserve">Grain and Dry Fodder Yield Validation (kg ha-1): </w:t>
      </w:r>
      <w:commentRangeEnd w:id="11"/>
      <w:r w:rsidR="00DA50CA">
        <w:rPr>
          <w:rStyle w:val="CommentReference"/>
          <w:rFonts w:ascii="Times New Roman" w:hAnsi="Times New Roman"/>
          <w:b w:val="0"/>
          <w:caps w:val="0"/>
          <w:lang w:val="nb-NO" w:eastAsia="nb-NO"/>
        </w:rPr>
        <w:commentReference w:id="11"/>
      </w:r>
    </w:p>
    <w:p w:rsidR="007B7776" w:rsidRDefault="007B7776" w:rsidP="009935E5">
      <w:pPr>
        <w:pStyle w:val="Body"/>
        <w:spacing w:after="0"/>
        <w:rPr>
          <w:rFonts w:ascii="Arial" w:hAnsi="Arial" w:cs="Arial"/>
        </w:rPr>
      </w:pPr>
    </w:p>
    <w:p w:rsidR="001A3773" w:rsidRPr="001A3773" w:rsidRDefault="001A3773" w:rsidP="001A3773">
      <w:pPr>
        <w:pStyle w:val="Body"/>
        <w:spacing w:after="0"/>
        <w:rPr>
          <w:rFonts w:ascii="Arial" w:hAnsi="Arial" w:cs="Arial"/>
        </w:rPr>
      </w:pPr>
      <w:r w:rsidRPr="001A3773">
        <w:rPr>
          <w:rFonts w:ascii="Arial" w:hAnsi="Arial" w:cs="Arial"/>
        </w:rPr>
        <w:t>For grain yield, the model again performed very well across all varieties. In GJ-42, predictions were slightly overestimated, with a Mean PE of 3.71% and an nRMSE of 3.7%, indicating good accuracy. GJ-44 showed similarly strong performance, with a Mean PE of 2.78% and an nRMSE of 2.8%. The most accurate predictions were obtained for GNJ-1, where the Mean PE was only 1.70% and the nRMSE was 1.7%, reflecting excellent model reliability for grain yield estimation.</w:t>
      </w:r>
    </w:p>
    <w:p w:rsidR="007B7776" w:rsidRPr="009935E5" w:rsidRDefault="001A3773" w:rsidP="009935E5">
      <w:pPr>
        <w:pStyle w:val="Body"/>
        <w:spacing w:after="0"/>
        <w:rPr>
          <w:rFonts w:ascii="Arial" w:hAnsi="Arial" w:cs="Arial"/>
        </w:rPr>
      </w:pPr>
      <w:r w:rsidRPr="001A3773">
        <w:rPr>
          <w:rFonts w:ascii="Arial" w:hAnsi="Arial" w:cs="Arial"/>
        </w:rPr>
        <w:t>For dry fodder yield, the model produced reasonably accurate predictions for most varieties, although performance varied. GJ-42 showed good prediction accuracy with a Mean PE of 2.89% and an nRMSE of 2.9%. However, the model underestimated fodder yield substantially for GJ-44, resulting in a Mean PE of –7.19% and an nRMSE of –7.1%, making it the least accurate prediction among the parameters. GNJ-1 also showed some underestimation, with a Mean PE of –4.36% and an nRMSE of –4.4%, but still maintained moderate predictive reliability.</w:t>
      </w:r>
    </w:p>
    <w:p w:rsidR="00790ADA" w:rsidRPr="00650870" w:rsidRDefault="00790ADA" w:rsidP="00441B6F">
      <w:pPr>
        <w:pStyle w:val="Body"/>
        <w:spacing w:after="0"/>
        <w:rPr>
          <w:rFonts w:ascii="Arial" w:hAnsi="Arial" w:cs="Arial"/>
          <w:highlight w:val="yellow"/>
        </w:rPr>
      </w:pPr>
    </w:p>
    <w:p w:rsidR="00B01FCD" w:rsidRPr="00606B78" w:rsidRDefault="00000F8F" w:rsidP="00441B6F">
      <w:pPr>
        <w:pStyle w:val="ConcHead"/>
        <w:spacing w:after="0"/>
        <w:jc w:val="both"/>
        <w:rPr>
          <w:rFonts w:ascii="Arial" w:hAnsi="Arial" w:cs="Arial"/>
        </w:rPr>
      </w:pPr>
      <w:r w:rsidRPr="00606B78">
        <w:rPr>
          <w:rFonts w:ascii="Arial" w:hAnsi="Arial" w:cs="Arial"/>
        </w:rPr>
        <w:t xml:space="preserve">4. </w:t>
      </w:r>
      <w:commentRangeStart w:id="12"/>
      <w:r w:rsidR="00B01FCD" w:rsidRPr="00606B78">
        <w:rPr>
          <w:rFonts w:ascii="Arial" w:hAnsi="Arial" w:cs="Arial"/>
        </w:rPr>
        <w:t>Conclusion</w:t>
      </w:r>
      <w:commentRangeEnd w:id="12"/>
      <w:r w:rsidR="0085220C">
        <w:rPr>
          <w:rStyle w:val="CommentReference"/>
          <w:rFonts w:ascii="Times New Roman" w:hAnsi="Times New Roman"/>
          <w:b w:val="0"/>
          <w:caps w:val="0"/>
          <w:lang w:val="nb-NO" w:eastAsia="nb-NO"/>
        </w:rPr>
        <w:commentReference w:id="12"/>
      </w:r>
    </w:p>
    <w:p w:rsidR="00790ADA" w:rsidRPr="00650870" w:rsidRDefault="00790ADA" w:rsidP="00441B6F">
      <w:pPr>
        <w:pStyle w:val="ConcHead"/>
        <w:spacing w:after="0"/>
        <w:jc w:val="both"/>
        <w:rPr>
          <w:rFonts w:ascii="Arial" w:hAnsi="Arial" w:cs="Arial"/>
          <w:highlight w:val="yellow"/>
        </w:rPr>
      </w:pPr>
    </w:p>
    <w:p w:rsidR="00790ADA" w:rsidRDefault="00FC0B7D" w:rsidP="00441B6F">
      <w:pPr>
        <w:pStyle w:val="Body"/>
        <w:spacing w:after="0"/>
        <w:rPr>
          <w:rFonts w:ascii="Arial" w:hAnsi="Arial" w:cs="Arial"/>
        </w:rPr>
      </w:pPr>
      <w:r w:rsidRPr="00FC0B7D">
        <w:rPr>
          <w:rFonts w:ascii="Arial" w:hAnsi="Arial" w:cs="Arial"/>
        </w:rPr>
        <w:t>The CERES-Sorghum model was successfully calibrated and validated for three summer sorghum varieties (GJ-42, GJ-44, GNJ-1) under three sowing dates (15th Jan, 31st Jan, 15th Feb) in South Gujarat, India. The crop model is providing important insights into how accurate and reliable these models are for forecasting sorghum growth and yield under different sowing dates. The results revealed that the DSSAT CERES- Sorghum model demonstrated high reliability and predictive accuracy for sorghum grain yield and other phenological phase such as 50% flowering, physiological maturity as well with good statistical indicator like RMSE and nRMSE. Crop simulation models serve as vital tools that integrate agronomic science with information science. They effectively describe the complex interactions between crops and their environments and offer a reliable means of predicting crop performance.</w:t>
      </w:r>
    </w:p>
    <w:p w:rsidR="00606B78" w:rsidRDefault="00606B78" w:rsidP="00441B6F">
      <w:pPr>
        <w:pStyle w:val="Body"/>
        <w:spacing w:after="0"/>
        <w:rPr>
          <w:rFonts w:ascii="Arial" w:hAnsi="Arial" w:cs="Arial"/>
          <w:highlight w:val="yellow"/>
        </w:rPr>
      </w:pPr>
    </w:p>
    <w:p w:rsidR="007B6882" w:rsidRPr="00650870" w:rsidRDefault="007B6882" w:rsidP="00441B6F">
      <w:pPr>
        <w:pStyle w:val="Body"/>
        <w:spacing w:after="0"/>
        <w:rPr>
          <w:rFonts w:ascii="Arial" w:hAnsi="Arial" w:cs="Arial"/>
          <w:highlight w:val="yellow"/>
        </w:rPr>
      </w:pPr>
    </w:p>
    <w:p w:rsidR="00B01FCD" w:rsidRDefault="00B01FCD" w:rsidP="00441B6F">
      <w:pPr>
        <w:pStyle w:val="ReferHead"/>
        <w:spacing w:after="0"/>
        <w:jc w:val="both"/>
        <w:rPr>
          <w:rFonts w:ascii="Arial" w:hAnsi="Arial" w:cs="Arial"/>
        </w:rPr>
      </w:pPr>
      <w:commentRangeStart w:id="13"/>
      <w:commentRangeStart w:id="14"/>
      <w:r w:rsidRPr="00FB3A86">
        <w:rPr>
          <w:rFonts w:ascii="Arial" w:hAnsi="Arial" w:cs="Arial"/>
        </w:rPr>
        <w:t>References</w:t>
      </w:r>
      <w:commentRangeEnd w:id="13"/>
      <w:r w:rsidR="0085220C">
        <w:rPr>
          <w:rStyle w:val="CommentReference"/>
          <w:rFonts w:ascii="Times New Roman" w:hAnsi="Times New Roman"/>
          <w:b w:val="0"/>
          <w:caps w:val="0"/>
          <w:lang w:val="nb-NO" w:eastAsia="nb-NO"/>
        </w:rPr>
        <w:commentReference w:id="13"/>
      </w:r>
      <w:commentRangeEnd w:id="14"/>
      <w:r w:rsidR="00DA50CA">
        <w:rPr>
          <w:rStyle w:val="CommentReference"/>
          <w:rFonts w:ascii="Times New Roman" w:hAnsi="Times New Roman"/>
          <w:b w:val="0"/>
          <w:caps w:val="0"/>
          <w:lang w:val="nb-NO" w:eastAsia="nb-NO"/>
        </w:rPr>
        <w:commentReference w:id="14"/>
      </w:r>
    </w:p>
    <w:p w:rsidR="00790ADA" w:rsidRDefault="00790ADA" w:rsidP="00441B6F">
      <w:pPr>
        <w:pStyle w:val="ReferHead"/>
        <w:spacing w:after="0"/>
        <w:jc w:val="both"/>
        <w:rPr>
          <w:rFonts w:ascii="Arial" w:hAnsi="Arial" w:cs="Arial"/>
        </w:rPr>
      </w:pPr>
    </w:p>
    <w:p w:rsidR="007B6882" w:rsidRPr="001465BD" w:rsidRDefault="00BC14CC" w:rsidP="0051138E">
      <w:pPr>
        <w:pStyle w:val="Body"/>
        <w:spacing w:after="0"/>
        <w:rPr>
          <w:rFonts w:ascii="Arial" w:hAnsi="Arial" w:cs="Arial"/>
        </w:rPr>
      </w:pPr>
      <w:bookmarkStart w:id="15" w:name="_Hlk216973534"/>
      <w:r w:rsidRPr="00BC14CC">
        <w:rPr>
          <w:rFonts w:ascii="Arial" w:hAnsi="Arial" w:cs="Arial"/>
        </w:rPr>
        <w:t xml:space="preserve">Akinseye, F. M., Adam, M., Agele, S. O., Hoffmann, M. P., Traore, P. C. S., &amp; Whitbread, A. M. (2017). Assessing crop model improvements through comparison of sorghum (sorghum bicolor L. moench) simulation models: A case study of West African varieties. Field Crops Research, 201, 19–31. </w:t>
      </w:r>
      <w:hyperlink r:id="rId18" w:history="1">
        <w:r w:rsidRPr="007B2E71">
          <w:rPr>
            <w:rStyle w:val="Hyperlink"/>
            <w:rFonts w:ascii="Arial" w:hAnsi="Arial" w:cs="Arial"/>
          </w:rPr>
          <w:t>https://doi.org/10.1016/j.fcr.2016.10.015</w:t>
        </w:r>
      </w:hyperlink>
    </w:p>
    <w:p w:rsidR="007B6882" w:rsidRPr="001465BD" w:rsidRDefault="00BC14CC" w:rsidP="0051138E">
      <w:pPr>
        <w:pStyle w:val="Body"/>
        <w:spacing w:after="0"/>
        <w:rPr>
          <w:rFonts w:ascii="Arial" w:hAnsi="Arial" w:cs="Arial"/>
        </w:rPr>
      </w:pPr>
      <w:r w:rsidRPr="00BC14CC">
        <w:rPr>
          <w:rFonts w:ascii="Arial" w:hAnsi="Arial" w:cs="Arial"/>
        </w:rPr>
        <w:t xml:space="preserve">Directorate of Economics and Statistics, Ministry of Agriculture &amp; Farmers Welfare, Government of India. (2024). Agricultural Statistics at a Glance. </w:t>
      </w:r>
      <w:hyperlink r:id="rId19" w:history="1">
        <w:r w:rsidRPr="007B2E71">
          <w:rPr>
            <w:rStyle w:val="Hyperlink"/>
            <w:rFonts w:ascii="Arial" w:hAnsi="Arial" w:cs="Arial"/>
          </w:rPr>
          <w:t>https://desagri.gov.in/agricultural-statistics-at-a-glance/</w:t>
        </w:r>
      </w:hyperlink>
    </w:p>
    <w:p w:rsidR="007B6882" w:rsidRPr="001465BD" w:rsidRDefault="007D6ECC" w:rsidP="0051138E">
      <w:pPr>
        <w:pStyle w:val="Body"/>
        <w:spacing w:after="0"/>
      </w:pPr>
      <w:r w:rsidRPr="007D6ECC">
        <w:rPr>
          <w:rFonts w:ascii="Arial" w:hAnsi="Arial" w:cs="Arial"/>
        </w:rPr>
        <w:lastRenderedPageBreak/>
        <w:t xml:space="preserve">Chugh, A. (2020). MAE, MSE, RMSE, Coefficient of Determination, Adjusted R Squared — Which Metric is Better? </w:t>
      </w:r>
      <w:hyperlink r:id="rId20" w:history="1">
        <w:r w:rsidRPr="007B2E71">
          <w:rPr>
            <w:rStyle w:val="Hyperlink"/>
            <w:rFonts w:ascii="Arial" w:hAnsi="Arial" w:cs="Arial"/>
          </w:rPr>
          <w:t>https://medium.com/analytics-vidhya/mae-mse-rmse-coefficient-of-determination-adjusted-r-squared-which-metric-is-better-cd0326a5697e</w:t>
        </w:r>
      </w:hyperlink>
    </w:p>
    <w:p w:rsidR="007B6882" w:rsidRPr="001465BD" w:rsidRDefault="00E731C8" w:rsidP="0051138E">
      <w:pPr>
        <w:pStyle w:val="Body"/>
        <w:spacing w:after="0"/>
        <w:rPr>
          <w:rFonts w:ascii="Arial" w:hAnsi="Arial" w:cs="Arial"/>
        </w:rPr>
      </w:pPr>
      <w:r w:rsidRPr="001465BD">
        <w:rPr>
          <w:rFonts w:ascii="Arial" w:hAnsi="Arial" w:cs="Arial"/>
        </w:rPr>
        <w:t>Chung, U., Gbegbelegbe, S., Shiferaw, B., &amp; Robertson, R. (2020). Model calibration and validation in crop simulation: Scientific methods and practical implications. Computers and Electronics in Agriculture, 172, 105342.</w:t>
      </w:r>
    </w:p>
    <w:p w:rsidR="007B6882" w:rsidRPr="001465BD" w:rsidRDefault="00EE52BF" w:rsidP="0051138E">
      <w:pPr>
        <w:pStyle w:val="Body"/>
        <w:spacing w:after="0"/>
        <w:rPr>
          <w:rFonts w:ascii="Arial" w:hAnsi="Arial" w:cs="Arial"/>
        </w:rPr>
      </w:pPr>
      <w:r w:rsidRPr="00EE52BF">
        <w:rPr>
          <w:rFonts w:ascii="Arial" w:hAnsi="Arial" w:cs="Arial"/>
        </w:rPr>
        <w:t xml:space="preserve">Directorate of Agriculture. (2024). Agricultural Statistics 2023–24. Government of Gujarat, Gandhinagar. </w:t>
      </w:r>
      <w:hyperlink r:id="rId21" w:history="1">
        <w:r w:rsidRPr="007B2E71">
          <w:rPr>
            <w:rStyle w:val="Hyperlink"/>
            <w:rFonts w:ascii="Arial" w:hAnsi="Arial" w:cs="Arial"/>
          </w:rPr>
          <w:t>https://data.gov.in/catalog/third-advance-estimates-area-production-and-yield-food-grain-crops-gujarat-state-year-2023-24</w:t>
        </w:r>
      </w:hyperlink>
    </w:p>
    <w:p w:rsidR="007B6882" w:rsidRPr="001465BD" w:rsidRDefault="008021A6" w:rsidP="0051138E">
      <w:pPr>
        <w:pStyle w:val="Body"/>
        <w:spacing w:after="0"/>
        <w:rPr>
          <w:rFonts w:ascii="Arial" w:hAnsi="Arial" w:cs="Arial"/>
        </w:rPr>
      </w:pPr>
      <w:r w:rsidRPr="008021A6">
        <w:rPr>
          <w:rFonts w:ascii="Arial" w:hAnsi="Arial" w:cs="Arial"/>
        </w:rPr>
        <w:t xml:space="preserve">FAO. (2024). FAOSTAT: Crop production statistics. </w:t>
      </w:r>
      <w:hyperlink r:id="rId22" w:history="1">
        <w:r w:rsidRPr="007B2E71">
          <w:rPr>
            <w:rStyle w:val="Hyperlink"/>
            <w:rFonts w:ascii="Arial" w:hAnsi="Arial" w:cs="Arial"/>
          </w:rPr>
          <w:t>http://www.fao.org/faostat</w:t>
        </w:r>
      </w:hyperlink>
    </w:p>
    <w:p w:rsidR="007B6882" w:rsidRPr="001465BD" w:rsidRDefault="00E731C8" w:rsidP="0051138E">
      <w:pPr>
        <w:pStyle w:val="Body"/>
        <w:spacing w:after="0"/>
        <w:rPr>
          <w:rFonts w:ascii="Arial" w:hAnsi="Arial" w:cs="Arial"/>
          <w:color w:val="222222"/>
          <w:shd w:val="clear" w:color="auto" w:fill="FFFFFF"/>
        </w:rPr>
      </w:pPr>
      <w:r w:rsidRPr="001465BD">
        <w:rPr>
          <w:rFonts w:ascii="Arial" w:hAnsi="Arial" w:cs="Arial"/>
          <w:color w:val="222222"/>
          <w:shd w:val="clear" w:color="auto" w:fill="FFFFFF"/>
        </w:rPr>
        <w:t>Harb, O. M., Abd El-Hay, G. H., Hager, M. A. &amp;Abou El-Enin, M. M. (2013). Calibration and validation of DSSAT V. 4.6. 1, CERES and CROPGRO models for simulating no-tillage in Central Delta, Egypt. Agrotech,</w:t>
      </w:r>
      <w:r w:rsidRPr="001465BD">
        <w:rPr>
          <w:rFonts w:ascii="Arial" w:hAnsi="Arial" w:cs="Arial"/>
          <w:b/>
          <w:bCs/>
          <w:color w:val="222222"/>
          <w:shd w:val="clear" w:color="auto" w:fill="FFFFFF"/>
        </w:rPr>
        <w:t> </w:t>
      </w:r>
      <w:r w:rsidRPr="001465BD">
        <w:rPr>
          <w:rFonts w:ascii="Arial" w:hAnsi="Arial" w:cs="Arial"/>
          <w:color w:val="222222"/>
          <w:shd w:val="clear" w:color="auto" w:fill="FFFFFF"/>
        </w:rPr>
        <w:t>5(143), 2.</w:t>
      </w:r>
    </w:p>
    <w:p w:rsidR="007B6882" w:rsidRPr="001465BD" w:rsidRDefault="00BF1B51" w:rsidP="0051138E">
      <w:pPr>
        <w:pStyle w:val="Body"/>
        <w:spacing w:after="0"/>
        <w:rPr>
          <w:rFonts w:ascii="Arial" w:hAnsi="Arial" w:cs="Arial"/>
        </w:rPr>
      </w:pPr>
      <w:r w:rsidRPr="00BF1B51">
        <w:rPr>
          <w:rFonts w:ascii="Arial" w:hAnsi="Arial" w:cs="Arial"/>
        </w:rPr>
        <w:t xml:space="preserve">Iyanda, R. A., Pranuthi, G., Dubey, S. K., &amp; Tripathi, S. K. (2014). Use of DSSAT CERES maize model as a tool of identifying potential zones for maize production in Nigeria. International Journal of Agricultural Policy and Research, 2(2), 69-75. </w:t>
      </w:r>
      <w:hyperlink r:id="rId23" w:history="1">
        <w:r w:rsidRPr="007B2E71">
          <w:rPr>
            <w:rStyle w:val="Hyperlink"/>
            <w:rFonts w:ascii="Arial" w:hAnsi="Arial" w:cs="Arial"/>
          </w:rPr>
          <w:t>http://www.journalissues.org/ijapr/</w:t>
        </w:r>
      </w:hyperlink>
    </w:p>
    <w:p w:rsidR="007B6882" w:rsidRDefault="006A7231" w:rsidP="0051138E">
      <w:pPr>
        <w:pStyle w:val="Body"/>
        <w:spacing w:after="0"/>
        <w:rPr>
          <w:rFonts w:ascii="Arial" w:hAnsi="Arial" w:cs="Arial"/>
        </w:rPr>
      </w:pPr>
      <w:r w:rsidRPr="006A7231">
        <w:rPr>
          <w:rFonts w:ascii="Arial" w:hAnsi="Arial" w:cs="Arial"/>
        </w:rPr>
        <w:t xml:space="preserve">Khobragade, A. M., Jadhav, J. D., Londhe, V. M., Jadhav, V. T., Sthool, V. S., Bagade, S. V., &amp; Rathod, A. M. (2023). Simulation and validation using Info Crop model for Rabi sorghum crop under scarcity zone of India. The Pharma Innovation Journal, 12(5), 4486-4496. </w:t>
      </w:r>
      <w:hyperlink r:id="rId24" w:history="1">
        <w:r w:rsidRPr="007B2E71">
          <w:rPr>
            <w:rStyle w:val="Hyperlink"/>
            <w:rFonts w:ascii="Arial" w:hAnsi="Arial" w:cs="Arial"/>
          </w:rPr>
          <w:t>https://www.thepharmajournal.com/archives/2023/</w:t>
        </w:r>
      </w:hyperlink>
    </w:p>
    <w:p w:rsidR="007B6882" w:rsidRDefault="006A7231" w:rsidP="0051138E">
      <w:pPr>
        <w:pStyle w:val="Body"/>
        <w:spacing w:after="0"/>
        <w:rPr>
          <w:rFonts w:ascii="Arial" w:hAnsi="Arial" w:cs="Arial"/>
        </w:rPr>
      </w:pPr>
      <w:r w:rsidRPr="006A7231">
        <w:rPr>
          <w:rFonts w:ascii="Arial" w:hAnsi="Arial" w:cs="Arial"/>
        </w:rPr>
        <w:t xml:space="preserve">Nain, A. S., &amp;Kersenbaum, K. C. (2007). Calibration and validation of CERES model for simulating. In K. C. Kersebaum, J.-M. Hecker, W. Mirschel, &amp; M. Wegehenkel (Eds.), Modelling water and nutrient dynamics in soil–crop systems: Proceedings of the workshop on “Modelling water and nutrient dynamics in soil–crop systems” (pp. 161-181). Springer. </w:t>
      </w:r>
      <w:hyperlink r:id="rId25" w:history="1">
        <w:r w:rsidRPr="007B2E71">
          <w:rPr>
            <w:rStyle w:val="Hyperlink"/>
            <w:rFonts w:ascii="Arial" w:hAnsi="Arial" w:cs="Arial"/>
          </w:rPr>
          <w:t>https://doi.org/10.1007/978-1-4020-4479-3</w:t>
        </w:r>
      </w:hyperlink>
    </w:p>
    <w:p w:rsidR="007B6882" w:rsidRDefault="006A7231" w:rsidP="0051138E">
      <w:pPr>
        <w:pStyle w:val="Body"/>
        <w:spacing w:after="0"/>
        <w:rPr>
          <w:rFonts w:ascii="Arial" w:hAnsi="Arial" w:cs="Arial"/>
          <w:bCs/>
        </w:rPr>
      </w:pPr>
      <w:bookmarkStart w:id="16" w:name="_Hlk134999539"/>
      <w:r w:rsidRPr="006A7231">
        <w:rPr>
          <w:rFonts w:ascii="Arial" w:hAnsi="Arial" w:cs="Arial"/>
          <w:bCs/>
        </w:rPr>
        <w:t xml:space="preserve">Al-Obady, R. F. A., Ghazal, S. A. Y., &amp; Al-Juheishy, W. K. S. (2022). Effect of some agricultural process on growth and yield of sorghum (Sorghum bicolor L.) (ARTICLE REVIEW). Mesopotamia Journal of Agriculture, 50(4), 117-126. </w:t>
      </w:r>
      <w:hyperlink r:id="rId26" w:history="1">
        <w:r w:rsidRPr="007B2E71">
          <w:rPr>
            <w:rStyle w:val="Hyperlink"/>
            <w:rFonts w:ascii="Arial" w:hAnsi="Arial" w:cs="Arial"/>
            <w:bCs/>
          </w:rPr>
          <w:t>https://doi.org/10.33899/magrj.2022.136718.1206</w:t>
        </w:r>
      </w:hyperlink>
    </w:p>
    <w:bookmarkEnd w:id="16"/>
    <w:p w:rsidR="007B6882" w:rsidRDefault="006A7231" w:rsidP="0051138E">
      <w:pPr>
        <w:pStyle w:val="Body"/>
        <w:spacing w:after="0"/>
        <w:rPr>
          <w:rFonts w:ascii="Arial" w:hAnsi="Arial" w:cs="Arial"/>
          <w:lang w:val="en-IN"/>
        </w:rPr>
      </w:pPr>
      <w:r w:rsidRPr="006A7231">
        <w:rPr>
          <w:rFonts w:ascii="Arial" w:hAnsi="Arial" w:cs="Arial"/>
          <w:lang w:val="en-IN"/>
        </w:rPr>
        <w:t xml:space="preserve">Sabarinathan, B., Pazhanivelan, S., Ragunath, K. P., Sivamurugan, A. P., &amp;Sudarmanian, N. S. (2021). Calibration and validation of CERES-sorghum module of DSSAT model for Rabi sorghum under rainfed condition. The Pharma Innovation Journal, 10(1), 715-718. </w:t>
      </w:r>
      <w:hyperlink r:id="rId27" w:history="1">
        <w:r w:rsidRPr="007B2E71">
          <w:rPr>
            <w:rStyle w:val="Hyperlink"/>
            <w:rFonts w:ascii="Arial" w:hAnsi="Arial" w:cs="Arial"/>
            <w:lang w:val="en-IN"/>
          </w:rPr>
          <w:t>https://doi.org/10.22271/tpi.2021.v10.i1j.5613</w:t>
        </w:r>
      </w:hyperlink>
    </w:p>
    <w:p w:rsidR="007B6882" w:rsidRDefault="006A7231" w:rsidP="0051138E">
      <w:pPr>
        <w:pStyle w:val="Body"/>
        <w:spacing w:after="0"/>
        <w:rPr>
          <w:rFonts w:ascii="Arial" w:hAnsi="Arial" w:cs="Arial"/>
          <w:lang w:val="en-IN"/>
        </w:rPr>
      </w:pPr>
      <w:r w:rsidRPr="006A7231">
        <w:rPr>
          <w:rFonts w:ascii="Arial" w:hAnsi="Arial" w:cs="Arial"/>
          <w:lang w:val="en-IN"/>
        </w:rPr>
        <w:t xml:space="preserve">Sannagoudar, M. S., Patil, R. H., &amp;Rajanna, G. A. (2019). Calibration and evaluation of DSSAT-CERES model for Kharif sorghum genotypes. Journal of Experimental Agriculture International, 30(3), 1-8. </w:t>
      </w:r>
      <w:hyperlink r:id="rId28" w:history="1">
        <w:r w:rsidRPr="007B2E71">
          <w:rPr>
            <w:rStyle w:val="Hyperlink"/>
            <w:rFonts w:ascii="Arial" w:hAnsi="Arial" w:cs="Arial"/>
            <w:lang w:val="en-IN"/>
          </w:rPr>
          <w:t>https://doi.org/10.9734/JEAI/2019/46975</w:t>
        </w:r>
      </w:hyperlink>
    </w:p>
    <w:p w:rsidR="007B6882" w:rsidRDefault="00E731C8" w:rsidP="0051138E">
      <w:pPr>
        <w:pStyle w:val="Body"/>
        <w:spacing w:after="0"/>
        <w:rPr>
          <w:rFonts w:ascii="Arial" w:hAnsi="Arial" w:cs="Arial"/>
        </w:rPr>
      </w:pPr>
      <w:r w:rsidRPr="00E731C8">
        <w:rPr>
          <w:rFonts w:ascii="Arial" w:hAnsi="Arial" w:cs="Arial"/>
        </w:rPr>
        <w:t xml:space="preserve">Sannagoudar, S. B., Raghavendra, S. T. &amp; Nayak, A. S. (2019b). Evaluation and calibration of DSSAT-CERES-Sorghum model for </w:t>
      </w:r>
      <w:r w:rsidRPr="00E731C8">
        <w:rPr>
          <w:rFonts w:ascii="Arial" w:hAnsi="Arial" w:cs="Arial"/>
          <w:i/>
          <w:iCs/>
        </w:rPr>
        <w:t>Rabi</w:t>
      </w:r>
      <w:r w:rsidRPr="00E731C8">
        <w:rPr>
          <w:rFonts w:ascii="Arial" w:hAnsi="Arial" w:cs="Arial"/>
        </w:rPr>
        <w:t xml:space="preserve"> sorghum in Karnataka. Journal of Agricultural Science and Technology, 21(4), 891–903.</w:t>
      </w:r>
    </w:p>
    <w:p w:rsidR="007B6882" w:rsidRDefault="006A7231" w:rsidP="0051138E">
      <w:pPr>
        <w:pStyle w:val="Body"/>
        <w:spacing w:after="0"/>
        <w:rPr>
          <w:rFonts w:ascii="Arial" w:hAnsi="Arial" w:cs="Arial"/>
        </w:rPr>
      </w:pPr>
      <w:r w:rsidRPr="006A7231">
        <w:rPr>
          <w:rFonts w:ascii="Arial" w:hAnsi="Arial" w:cs="Arial"/>
        </w:rPr>
        <w:t xml:space="preserve">Srivastava, A., Kumar, S. N., &amp; Aggarwal, P. K. (2010). Assessment on vulnerability of sorghum to climate change in India. Agriculture, ecosystems &amp; environment, 138(3-4), 160-169. </w:t>
      </w:r>
      <w:hyperlink r:id="rId29" w:history="1">
        <w:r w:rsidRPr="007B2E71">
          <w:rPr>
            <w:rStyle w:val="Hyperlink"/>
            <w:rFonts w:ascii="Arial" w:hAnsi="Arial" w:cs="Arial"/>
          </w:rPr>
          <w:t>https://doi.org/10.1016/j.agee.2010.04.012</w:t>
        </w:r>
      </w:hyperlink>
    </w:p>
    <w:p w:rsidR="007B6882" w:rsidRDefault="00E731C8" w:rsidP="0051138E">
      <w:pPr>
        <w:pStyle w:val="Body"/>
        <w:spacing w:after="0"/>
        <w:rPr>
          <w:rFonts w:ascii="Arial" w:hAnsi="Arial" w:cs="Arial"/>
        </w:rPr>
      </w:pPr>
      <w:r w:rsidRPr="00E731C8">
        <w:rPr>
          <w:rFonts w:ascii="Arial" w:hAnsi="Arial" w:cs="Arial"/>
        </w:rPr>
        <w:t xml:space="preserve">Vieira, M. M., Ferreira, R. A., Sant’Anna, J. A. V., Silva, C. A., &amp;Salimon, C. I. (2019a). Calibration and validation of CERES crop models for central Brazil savanna conditions. </w:t>
      </w:r>
      <w:r w:rsidRPr="00E731C8">
        <w:rPr>
          <w:rFonts w:ascii="Arial" w:hAnsi="Arial" w:cs="Arial"/>
          <w:i/>
          <w:iCs/>
        </w:rPr>
        <w:t>Scientia Agricola</w:t>
      </w:r>
      <w:r w:rsidRPr="00E731C8">
        <w:rPr>
          <w:rFonts w:ascii="Arial" w:hAnsi="Arial" w:cs="Arial"/>
        </w:rPr>
        <w:t>, 76(2), 139-147.</w:t>
      </w:r>
    </w:p>
    <w:bookmarkEnd w:id="15"/>
    <w:p w:rsidR="00790ADA" w:rsidRPr="00FB3A86" w:rsidRDefault="006A7231" w:rsidP="0051138E">
      <w:pPr>
        <w:pStyle w:val="Body"/>
        <w:spacing w:after="0"/>
        <w:rPr>
          <w:rFonts w:ascii="Arial" w:hAnsi="Arial" w:cs="Arial"/>
        </w:rPr>
      </w:pPr>
      <w:r w:rsidRPr="006A7231">
        <w:rPr>
          <w:rFonts w:ascii="Arial" w:hAnsi="Arial" w:cs="Arial"/>
        </w:rPr>
        <w:t xml:space="preserve">Vieira, P. V. D., Freitas, P. S. L. D., Rezende, R., Dallacort, R., Barbieri, J. D., &amp; Daniel, D. F. (2019). Calibration and simulation of the CERES-Sorghum and CERES-maize models for crops in the central-west region of Paraná State. Journal of Agricultural Science, 11(18), 140. </w:t>
      </w:r>
      <w:hyperlink r:id="rId30" w:history="1">
        <w:r w:rsidRPr="007B2E71">
          <w:rPr>
            <w:rStyle w:val="Hyperlink"/>
            <w:rFonts w:ascii="Arial" w:hAnsi="Arial" w:cs="Arial"/>
          </w:rPr>
          <w:t>https://doi.org/10.5539/jas.v11n18p140</w:t>
        </w:r>
      </w:hyperlink>
    </w:p>
    <w:p w:rsidR="004D4277" w:rsidRPr="00FB3A86" w:rsidRDefault="004D4277" w:rsidP="00441B6F">
      <w:pPr>
        <w:pStyle w:val="Appendix"/>
        <w:spacing w:after="0"/>
        <w:jc w:val="both"/>
        <w:rPr>
          <w:rFonts w:ascii="Arial" w:hAnsi="Arial" w:cs="Arial"/>
          <w:b w:val="0"/>
        </w:rPr>
        <w:sectPr w:rsidR="004D4277" w:rsidRPr="00FB3A86" w:rsidSect="00807D8D">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rsidR="00B01FCD" w:rsidRPr="00FB3A86" w:rsidRDefault="00B01FCD" w:rsidP="00485D2E">
      <w:pPr>
        <w:pStyle w:val="Appendix"/>
        <w:spacing w:after="0"/>
        <w:jc w:val="both"/>
        <w:rPr>
          <w:rFonts w:ascii="Arial" w:hAnsi="Arial" w:cs="Arial"/>
          <w:b w:val="0"/>
        </w:rPr>
      </w:pPr>
    </w:p>
    <w:sectPr w:rsidR="00B01FCD" w:rsidRPr="00FB3A86" w:rsidSect="00807D8D">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R. SUDDHASUCHI DAS" w:date="2025-12-27T09:37:00Z" w:initials="DSD">
    <w:p w:rsidR="004830E7" w:rsidRPr="004830E7" w:rsidRDefault="004830E7" w:rsidP="004830E7">
      <w:pPr>
        <w:rPr>
          <w:rFonts w:ascii="Times New Roman" w:hAnsi="Times New Roman"/>
          <w:sz w:val="24"/>
          <w:szCs w:val="24"/>
        </w:rPr>
      </w:pPr>
      <w:r>
        <w:rPr>
          <w:rStyle w:val="CommentReference"/>
        </w:rPr>
        <w:annotationRef/>
      </w:r>
      <w:r w:rsidRPr="004830E7">
        <w:rPr>
          <w:rFonts w:ascii="Times New Roman" w:hAnsi="Times New Roman"/>
          <w:sz w:val="24"/>
          <w:szCs w:val="24"/>
        </w:rPr>
        <w:t>CERES-SORGHUM MODEL CALIBRATION AND VALIDATION UNDER DIFFERENT SOWING WINDOWS FOR SUMMER SORGHUM (Sorghum bicolor L.)</w:t>
      </w:r>
    </w:p>
    <w:p w:rsidR="004830E7" w:rsidRDefault="004830E7">
      <w:pPr>
        <w:pStyle w:val="CommentText"/>
      </w:pPr>
    </w:p>
  </w:comment>
  <w:comment w:id="3" w:author="DR. SUDDHASUCHI DAS" w:date="2025-12-27T09:37:00Z" w:initials="DSD">
    <w:p w:rsidR="004830E7" w:rsidRDefault="004830E7">
      <w:pPr>
        <w:pStyle w:val="CommentText"/>
      </w:pPr>
      <w:r>
        <w:rPr>
          <w:rStyle w:val="CommentReference"/>
        </w:rPr>
        <w:annotationRef/>
      </w:r>
      <w:r>
        <w:t>Use more specific Keywords</w:t>
      </w:r>
    </w:p>
  </w:comment>
  <w:comment w:id="4" w:author="DR. SUDDHASUCHI DAS" w:date="2025-12-27T09:41:00Z" w:initials="DSD">
    <w:p w:rsidR="004830E7" w:rsidRDefault="004830E7">
      <w:pPr>
        <w:pStyle w:val="CommentText"/>
      </w:pPr>
      <w:r>
        <w:rPr>
          <w:rStyle w:val="CommentReference"/>
        </w:rPr>
        <w:annotationRef/>
      </w:r>
      <w:r>
        <w:t>Reference plz</w:t>
      </w:r>
    </w:p>
  </w:comment>
  <w:comment w:id="5" w:author="DR. SUDDHASUCHI DAS" w:date="2025-12-27T09:47:00Z" w:initials="DSD">
    <w:p w:rsidR="00ED23DC" w:rsidRDefault="00ED23DC">
      <w:pPr>
        <w:pStyle w:val="CommentText"/>
      </w:pPr>
      <w:r>
        <w:rPr>
          <w:rStyle w:val="CommentReference"/>
        </w:rPr>
        <w:annotationRef/>
      </w:r>
      <w:r>
        <w:t>Plz confirm</w:t>
      </w:r>
    </w:p>
  </w:comment>
  <w:comment w:id="6" w:author="DR. SUDDHASUCHI DAS" w:date="2025-12-27T09:50:00Z" w:initials="DSD">
    <w:p w:rsidR="00ED23DC" w:rsidRDefault="00ED23DC">
      <w:pPr>
        <w:pStyle w:val="CommentText"/>
      </w:pPr>
      <w:r>
        <w:rPr>
          <w:rStyle w:val="CommentReference"/>
        </w:rPr>
        <w:annotationRef/>
      </w:r>
      <w:r>
        <w:t>Plz mention the rainfall of the experimental plot</w:t>
      </w:r>
    </w:p>
  </w:comment>
  <w:comment w:id="7" w:author="DR. SUDDHASUCHI DAS" w:date="2025-12-27T09:54:00Z" w:initials="DSD">
    <w:p w:rsidR="00157D98" w:rsidRDefault="00157D98">
      <w:pPr>
        <w:pStyle w:val="CommentText"/>
      </w:pPr>
      <w:r>
        <w:rPr>
          <w:rStyle w:val="CommentReference"/>
        </w:rPr>
        <w:annotationRef/>
      </w:r>
      <w:r>
        <w:t>Plz mention the treatment and replication details</w:t>
      </w:r>
    </w:p>
  </w:comment>
  <w:comment w:id="10" w:author="DR. SUDDHASUCHI DAS" w:date="2025-12-27T10:08:00Z" w:initials="DSD">
    <w:p w:rsidR="00DA50CA" w:rsidRDefault="00DA50CA">
      <w:pPr>
        <w:pStyle w:val="CommentText"/>
      </w:pPr>
      <w:r>
        <w:rPr>
          <w:rStyle w:val="CommentReference"/>
        </w:rPr>
        <w:annotationRef/>
      </w:r>
      <w:r>
        <w:t>What are the parameters??</w:t>
      </w:r>
    </w:p>
  </w:comment>
  <w:comment w:id="11" w:author="DR. SUDDHASUCHI DAS" w:date="2025-12-27T10:09:00Z" w:initials="DSD">
    <w:p w:rsidR="00DA50CA" w:rsidRDefault="00DA50CA">
      <w:pPr>
        <w:pStyle w:val="CommentText"/>
      </w:pPr>
      <w:r>
        <w:rPr>
          <w:rStyle w:val="CommentReference"/>
        </w:rPr>
        <w:annotationRef/>
      </w:r>
      <w:r>
        <w:t>You can incluid the B:C ratio also</w:t>
      </w:r>
    </w:p>
  </w:comment>
  <w:comment w:id="12" w:author="DR. SUDDHASUCHI DAS" w:date="2025-12-27T10:02:00Z" w:initials="DSD">
    <w:p w:rsidR="0085220C" w:rsidRDefault="0085220C">
      <w:pPr>
        <w:pStyle w:val="CommentText"/>
      </w:pPr>
      <w:r>
        <w:rPr>
          <w:rStyle w:val="CommentReference"/>
        </w:rPr>
        <w:annotationRef/>
      </w:r>
      <w:r>
        <w:t>It’s not clear</w:t>
      </w:r>
    </w:p>
  </w:comment>
  <w:comment w:id="13" w:author="DR. SUDDHASUCHI DAS" w:date="2025-12-27T10:01:00Z" w:initials="DSD">
    <w:p w:rsidR="0085220C" w:rsidRDefault="0085220C" w:rsidP="0085220C">
      <w:pPr>
        <w:pStyle w:val="CommentText"/>
      </w:pPr>
      <w:r>
        <w:rPr>
          <w:rStyle w:val="CommentReference"/>
        </w:rPr>
        <w:annotationRef/>
      </w:r>
      <w:r>
        <w:t>Plz. follow the authors guideline to arrange the references properly</w:t>
      </w:r>
    </w:p>
    <w:p w:rsidR="0085220C" w:rsidRDefault="0085220C" w:rsidP="0085220C">
      <w:pPr>
        <w:pStyle w:val="CommentText"/>
      </w:pPr>
    </w:p>
    <w:p w:rsidR="0085220C" w:rsidRDefault="0085220C">
      <w:pPr>
        <w:pStyle w:val="CommentText"/>
      </w:pPr>
    </w:p>
  </w:comment>
  <w:comment w:id="14" w:author="DR. SUDDHASUCHI DAS" w:date="2025-12-27T10:07:00Z" w:initials="DSD">
    <w:p w:rsidR="00DA50CA" w:rsidRDefault="00DA50CA">
      <w:pPr>
        <w:pStyle w:val="CommentText"/>
      </w:pPr>
      <w:r>
        <w:rPr>
          <w:rStyle w:val="CommentReference"/>
        </w:rPr>
        <w:annotationRef/>
      </w:r>
      <w:r>
        <w:t>Use  more references in the manuscript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97D" w:rsidRDefault="00EC097D" w:rsidP="00C37E61">
      <w:r>
        <w:separator/>
      </w:r>
    </w:p>
  </w:endnote>
  <w:endnote w:type="continuationSeparator" w:id="1">
    <w:p w:rsidR="00EC097D" w:rsidRDefault="00EC097D"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E7" w:rsidRDefault="004830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E7" w:rsidRDefault="004830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E7" w:rsidRPr="00246051" w:rsidRDefault="004830E7" w:rsidP="00246051">
    <w:pPr>
      <w:pStyle w:val="Footer"/>
    </w:pPr>
    <w:bookmarkStart w:id="2" w:name="_GoBack"/>
    <w:bookmarkEnd w:id="2"/>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E7" w:rsidRPr="00C37E61" w:rsidRDefault="004830E7"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97D" w:rsidRDefault="00EC097D" w:rsidP="00C37E61">
      <w:r>
        <w:separator/>
      </w:r>
    </w:p>
  </w:footnote>
  <w:footnote w:type="continuationSeparator" w:id="1">
    <w:p w:rsidR="00EC097D" w:rsidRDefault="00EC097D"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E7" w:rsidRDefault="004830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E7" w:rsidRDefault="004830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E7" w:rsidRPr="00296529" w:rsidRDefault="004830E7" w:rsidP="00296529">
    <w:pPr>
      <w:ind w:left="2160"/>
      <w:jc w:val="center"/>
      <w:rPr>
        <w:rFonts w:ascii="Times New Roman" w:eastAsia="Calibri" w:hAnsi="Times New Roman"/>
        <w:i/>
        <w:sz w:val="18"/>
        <w:szCs w:val="22"/>
      </w:rPr>
    </w:pPr>
    <w:r w:rsidRPr="005444D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4830E7" w:rsidRPr="00296529" w:rsidRDefault="004830E7" w:rsidP="00296529">
    <w:pPr>
      <w:ind w:left="4320"/>
      <w:rPr>
        <w:rFonts w:ascii="Times New Roman" w:eastAsia="Calibri" w:hAnsi="Times New Roman"/>
        <w:i/>
        <w:sz w:val="18"/>
        <w:szCs w:val="22"/>
      </w:rPr>
    </w:pPr>
    <w:r>
      <w:rPr>
        <w:rFonts w:ascii="Times New Roman" w:eastAsia="Calibri" w:hAnsi="Times New Roman"/>
        <w:i/>
        <w:sz w:val="18"/>
        <w:szCs w:val="22"/>
      </w:rPr>
      <w:t>.</w:t>
    </w:r>
  </w:p>
  <w:p w:rsidR="004830E7" w:rsidRPr="00296529" w:rsidRDefault="004830E7" w:rsidP="00296529">
    <w:pPr>
      <w:jc w:val="center"/>
      <w:rPr>
        <w:rFonts w:ascii="Times New Roman" w:eastAsia="Calibri" w:hAnsi="Times New Roman"/>
        <w:i/>
        <w:sz w:val="18"/>
        <w:szCs w:val="22"/>
      </w:rPr>
    </w:pPr>
    <w:r>
      <w:rPr>
        <w:rFonts w:ascii="Times New Roman" w:eastAsia="Calibri" w:hAnsi="Times New Roman"/>
        <w:i/>
        <w:sz w:val="18"/>
        <w:szCs w:val="22"/>
      </w:rPr>
      <w:t>.</w:t>
    </w:r>
  </w:p>
  <w:p w:rsidR="004830E7" w:rsidRPr="00296529" w:rsidRDefault="004830E7"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4830E7" w:rsidRDefault="004830E7" w:rsidP="00296529">
    <w:pPr>
      <w:jc w:val="center"/>
      <w:rPr>
        <w:rFonts w:ascii="Times New Roman" w:eastAsia="Calibri" w:hAnsi="Times New Roman"/>
        <w:i/>
        <w:sz w:val="18"/>
        <w:szCs w:val="22"/>
      </w:rPr>
    </w:pPr>
  </w:p>
  <w:p w:rsidR="004830E7" w:rsidRDefault="004830E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830E7" w:rsidRDefault="004830E7">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E7" w:rsidRDefault="004830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E7" w:rsidRDefault="004830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E7" w:rsidRDefault="004830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A991"/>
    <w:multiLevelType w:val="multilevel"/>
    <w:tmpl w:val="9A4A74D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2167779"/>
    <w:multiLevelType w:val="multilevel"/>
    <w:tmpl w:val="AC108412"/>
    <w:styleLink w:val="Style3"/>
    <w:lvl w:ilvl="0">
      <w:start w:val="1"/>
      <w:numFmt w:val="decimal"/>
      <w:lvlText w:val="5.1.1%1"/>
      <w:lvlJc w:val="center"/>
      <w:pPr>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nsid w:val="12656BB0"/>
    <w:multiLevelType w:val="multilevel"/>
    <w:tmpl w:val="852A3B9C"/>
    <w:lvl w:ilvl="0">
      <w:start w:val="3"/>
      <w:numFmt w:val="decimal"/>
      <w:lvlText w:val="%1."/>
      <w:lvlJc w:val="left"/>
      <w:pPr>
        <w:ind w:left="360" w:hanging="360"/>
      </w:pPr>
      <w:rPr>
        <w:rFonts w:hint="default"/>
      </w:rPr>
    </w:lvl>
    <w:lvl w:ilvl="1">
      <w:start w:val="1"/>
      <w:numFmt w:val="decimal"/>
      <w:lvlText w:val="2.%2"/>
      <w:lvlJc w:val="center"/>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6D364E4"/>
    <w:multiLevelType w:val="singleLevel"/>
    <w:tmpl w:val="AC108412"/>
    <w:lvl w:ilvl="0">
      <w:start w:val="1"/>
      <w:numFmt w:val="decimal"/>
      <w:lvlText w:val="5.1.1%1"/>
      <w:lvlJc w:val="center"/>
      <w:pPr>
        <w:ind w:left="360" w:hanging="360"/>
      </w:pPr>
      <w:rPr>
        <w:rFonts w:hint="default"/>
      </w:rPr>
    </w:lvl>
  </w:abstractNum>
  <w:abstractNum w:abstractNumId="11">
    <w:nsid w:val="17250A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19D70EDF"/>
    <w:multiLevelType w:val="hybridMultilevel"/>
    <w:tmpl w:val="7B6AF110"/>
    <w:lvl w:ilvl="0" w:tplc="A1B04AE0">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AC360D4"/>
    <w:multiLevelType w:val="multilevel"/>
    <w:tmpl w:val="40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AE7423C"/>
    <w:multiLevelType w:val="hybridMultilevel"/>
    <w:tmpl w:val="8B20D180"/>
    <w:lvl w:ilvl="0" w:tplc="E95AC658">
      <w:start w:val="1"/>
      <w:numFmt w:val="decimal"/>
      <w:lvlText w:val="3.%1"/>
      <w:lvlJc w:val="center"/>
      <w:pPr>
        <w:ind w:left="1430" w:hanging="360"/>
      </w:pPr>
      <w:rPr>
        <w:rFonts w:hint="default"/>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16">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D300F6"/>
    <w:multiLevelType w:val="hybridMultilevel"/>
    <w:tmpl w:val="13AAB29E"/>
    <w:lvl w:ilvl="0" w:tplc="E95AC658">
      <w:start w:val="1"/>
      <w:numFmt w:val="decimal"/>
      <w:lvlText w:val="3.%1"/>
      <w:lvlJc w:val="center"/>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2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3196070D"/>
    <w:multiLevelType w:val="multilevel"/>
    <w:tmpl w:val="E7903A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7C53D41"/>
    <w:multiLevelType w:val="hybridMultilevel"/>
    <w:tmpl w:val="2BA261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E504450"/>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02923F2"/>
    <w:multiLevelType w:val="multilevel"/>
    <w:tmpl w:val="40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B0C5ABA"/>
    <w:multiLevelType w:val="singleLevel"/>
    <w:tmpl w:val="A1B04AE0"/>
    <w:lvl w:ilvl="0">
      <w:start w:val="1"/>
      <w:numFmt w:val="decimal"/>
      <w:lvlText w:val="%1."/>
      <w:legacy w:legacy="1" w:legacySpace="0" w:legacyIndent="360"/>
      <w:lvlJc w:val="left"/>
      <w:pPr>
        <w:ind w:left="360" w:hanging="360"/>
      </w:pPr>
    </w:lvl>
  </w:abstractNum>
  <w:abstractNum w:abstractNumId="29">
    <w:nsid w:val="4CF34450"/>
    <w:multiLevelType w:val="hybridMultilevel"/>
    <w:tmpl w:val="0038CB1C"/>
    <w:lvl w:ilvl="0" w:tplc="E95AC658">
      <w:start w:val="1"/>
      <w:numFmt w:val="decimal"/>
      <w:lvlText w:val="3.%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29E4CDF"/>
    <w:multiLevelType w:val="multilevel"/>
    <w:tmpl w:val="4009001F"/>
    <w:numStyleLink w:val="Style2"/>
  </w:abstractNum>
  <w:abstractNum w:abstractNumId="3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0941A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7"/>
  </w:num>
  <w:num w:numId="7">
    <w:abstractNumId w:val="2"/>
  </w:num>
  <w:num w:numId="8">
    <w:abstractNumId w:val="21"/>
  </w:num>
  <w:num w:numId="9">
    <w:abstractNumId w:val="40"/>
  </w:num>
  <w:num w:numId="10">
    <w:abstractNumId w:val="3"/>
  </w:num>
  <w:num w:numId="11">
    <w:abstractNumId w:val="33"/>
  </w:num>
  <w:num w:numId="12">
    <w:abstractNumId w:val="4"/>
  </w:num>
  <w:num w:numId="13">
    <w:abstractNumId w:val="32"/>
  </w:num>
  <w:num w:numId="14">
    <w:abstractNumId w:val="16"/>
  </w:num>
  <w:num w:numId="15">
    <w:abstractNumId w:val="36"/>
  </w:num>
  <w:num w:numId="16">
    <w:abstractNumId w:val="6"/>
  </w:num>
  <w:num w:numId="17">
    <w:abstractNumId w:val="37"/>
  </w:num>
  <w:num w:numId="18">
    <w:abstractNumId w:val="23"/>
  </w:num>
  <w:num w:numId="19">
    <w:abstractNumId w:val="44"/>
  </w:num>
  <w:num w:numId="20">
    <w:abstractNumId w:val="20"/>
  </w:num>
  <w:num w:numId="21">
    <w:abstractNumId w:val="17"/>
  </w:num>
  <w:num w:numId="22">
    <w:abstractNumId w:val="22"/>
  </w:num>
  <w:num w:numId="23">
    <w:abstractNumId w:val="34"/>
  </w:num>
  <w:num w:numId="24">
    <w:abstractNumId w:val="41"/>
  </w:num>
  <w:num w:numId="25">
    <w:abstractNumId w:val="5"/>
  </w:num>
  <w:num w:numId="26">
    <w:abstractNumId w:val="31"/>
  </w:num>
  <w:num w:numId="27">
    <w:abstractNumId w:val="35"/>
  </w:num>
  <w:num w:numId="28">
    <w:abstractNumId w:val="42"/>
  </w:num>
  <w:num w:numId="29">
    <w:abstractNumId w:val="39"/>
  </w:num>
  <w:num w:numId="30">
    <w:abstractNumId w:val="18"/>
  </w:num>
  <w:num w:numId="31">
    <w:abstractNumId w:val="1"/>
  </w:num>
  <w:num w:numId="32">
    <w:abstractNumId w:val="29"/>
  </w:num>
  <w:num w:numId="33">
    <w:abstractNumId w:val="13"/>
  </w:num>
  <w:num w:numId="34">
    <w:abstractNumId w:val="11"/>
  </w:num>
  <w:num w:numId="35">
    <w:abstractNumId w:val="43"/>
  </w:num>
  <w:num w:numId="36">
    <w:abstractNumId w:val="9"/>
  </w:num>
  <w:num w:numId="37">
    <w:abstractNumId w:val="27"/>
  </w:num>
  <w:num w:numId="38">
    <w:abstractNumId w:val="19"/>
  </w:num>
  <w:num w:numId="39">
    <w:abstractNumId w:val="15"/>
  </w:num>
  <w:num w:numId="40">
    <w:abstractNumId w:val="14"/>
  </w:num>
  <w:num w:numId="41">
    <w:abstractNumId w:val="10"/>
  </w:num>
  <w:num w:numId="42">
    <w:abstractNumId w:val="26"/>
  </w:num>
  <w:num w:numId="43">
    <w:abstractNumId w:val="10"/>
    <w:lvlOverride w:ilvl="0">
      <w:lvl w:ilvl="0">
        <w:start w:val="3"/>
        <w:numFmt w:val="decimal"/>
        <w:lvlText w:val="%1."/>
        <w:lvlJc w:val="left"/>
        <w:pPr>
          <w:ind w:left="360" w:hanging="360"/>
        </w:pPr>
        <w:rPr>
          <w:rFonts w:hint="default"/>
        </w:rPr>
      </w:lvl>
    </w:lvlOverride>
  </w:num>
  <w:num w:numId="44">
    <w:abstractNumId w:val="8"/>
  </w:num>
  <w:num w:numId="45">
    <w:abstractNumId w:val="30"/>
  </w:num>
  <w:num w:numId="46">
    <w:abstractNumId w:val="24"/>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10693"/>
    <w:rsid w:val="000205A9"/>
    <w:rsid w:val="00030174"/>
    <w:rsid w:val="00031BCE"/>
    <w:rsid w:val="0004579C"/>
    <w:rsid w:val="0007349F"/>
    <w:rsid w:val="000A47FA"/>
    <w:rsid w:val="000A65D3"/>
    <w:rsid w:val="000A738E"/>
    <w:rsid w:val="000B1E33"/>
    <w:rsid w:val="000D689F"/>
    <w:rsid w:val="000E7B7B"/>
    <w:rsid w:val="000E7D62"/>
    <w:rsid w:val="001009D1"/>
    <w:rsid w:val="00103357"/>
    <w:rsid w:val="00123C9F"/>
    <w:rsid w:val="00126190"/>
    <w:rsid w:val="00130F17"/>
    <w:rsid w:val="001320BF"/>
    <w:rsid w:val="00142CD8"/>
    <w:rsid w:val="001465BD"/>
    <w:rsid w:val="00157D98"/>
    <w:rsid w:val="00161BF3"/>
    <w:rsid w:val="00163BC4"/>
    <w:rsid w:val="00191062"/>
    <w:rsid w:val="00192B72"/>
    <w:rsid w:val="001A29D8"/>
    <w:rsid w:val="001A3773"/>
    <w:rsid w:val="001A5CAA"/>
    <w:rsid w:val="001B0427"/>
    <w:rsid w:val="001D3A51"/>
    <w:rsid w:val="001E10D2"/>
    <w:rsid w:val="001E25B4"/>
    <w:rsid w:val="001E44FE"/>
    <w:rsid w:val="00200595"/>
    <w:rsid w:val="00204835"/>
    <w:rsid w:val="0022474A"/>
    <w:rsid w:val="00231920"/>
    <w:rsid w:val="0023195C"/>
    <w:rsid w:val="0024282C"/>
    <w:rsid w:val="00246051"/>
    <w:rsid w:val="002460DC"/>
    <w:rsid w:val="00250985"/>
    <w:rsid w:val="002556F6"/>
    <w:rsid w:val="00283105"/>
    <w:rsid w:val="00284C4C"/>
    <w:rsid w:val="00287E68"/>
    <w:rsid w:val="00296529"/>
    <w:rsid w:val="002B27FB"/>
    <w:rsid w:val="002B685A"/>
    <w:rsid w:val="002C57D2"/>
    <w:rsid w:val="002E0D56"/>
    <w:rsid w:val="00315186"/>
    <w:rsid w:val="0033343E"/>
    <w:rsid w:val="00335992"/>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30E7"/>
    <w:rsid w:val="00485D2E"/>
    <w:rsid w:val="0049033C"/>
    <w:rsid w:val="004D305E"/>
    <w:rsid w:val="004D4277"/>
    <w:rsid w:val="00502516"/>
    <w:rsid w:val="00505F06"/>
    <w:rsid w:val="00506828"/>
    <w:rsid w:val="005069B1"/>
    <w:rsid w:val="0051138E"/>
    <w:rsid w:val="0053056E"/>
    <w:rsid w:val="005444D1"/>
    <w:rsid w:val="00554FDA"/>
    <w:rsid w:val="005978A5"/>
    <w:rsid w:val="005C784C"/>
    <w:rsid w:val="005D17F6"/>
    <w:rsid w:val="005E5539"/>
    <w:rsid w:val="00602BF5"/>
    <w:rsid w:val="00606B78"/>
    <w:rsid w:val="00615F04"/>
    <w:rsid w:val="00617FDD"/>
    <w:rsid w:val="00633614"/>
    <w:rsid w:val="00633F68"/>
    <w:rsid w:val="00636EB2"/>
    <w:rsid w:val="006375B8"/>
    <w:rsid w:val="00650870"/>
    <w:rsid w:val="0066510A"/>
    <w:rsid w:val="00673F9F"/>
    <w:rsid w:val="00686953"/>
    <w:rsid w:val="00687DEA"/>
    <w:rsid w:val="00687E67"/>
    <w:rsid w:val="006967F7"/>
    <w:rsid w:val="006A250C"/>
    <w:rsid w:val="006A7231"/>
    <w:rsid w:val="006B1DAF"/>
    <w:rsid w:val="006B21D3"/>
    <w:rsid w:val="006B57D0"/>
    <w:rsid w:val="006D30FF"/>
    <w:rsid w:val="006D444E"/>
    <w:rsid w:val="006D6940"/>
    <w:rsid w:val="006E080F"/>
    <w:rsid w:val="006E462C"/>
    <w:rsid w:val="006F11EC"/>
    <w:rsid w:val="0070082C"/>
    <w:rsid w:val="007369E6"/>
    <w:rsid w:val="00746E59"/>
    <w:rsid w:val="00750C6D"/>
    <w:rsid w:val="00754C9A"/>
    <w:rsid w:val="0075599A"/>
    <w:rsid w:val="00761D52"/>
    <w:rsid w:val="0077749E"/>
    <w:rsid w:val="007852FA"/>
    <w:rsid w:val="00790ADA"/>
    <w:rsid w:val="007B6882"/>
    <w:rsid w:val="007B7776"/>
    <w:rsid w:val="007D2288"/>
    <w:rsid w:val="007D6ECC"/>
    <w:rsid w:val="007E088F"/>
    <w:rsid w:val="007E6C6A"/>
    <w:rsid w:val="007F7B32"/>
    <w:rsid w:val="008021A6"/>
    <w:rsid w:val="00804BC2"/>
    <w:rsid w:val="00807D8D"/>
    <w:rsid w:val="0081431A"/>
    <w:rsid w:val="0083216F"/>
    <w:rsid w:val="0085220C"/>
    <w:rsid w:val="00860000"/>
    <w:rsid w:val="00863BD3"/>
    <w:rsid w:val="008641ED"/>
    <w:rsid w:val="00866D66"/>
    <w:rsid w:val="008671C6"/>
    <w:rsid w:val="00875803"/>
    <w:rsid w:val="00875B26"/>
    <w:rsid w:val="008B459E"/>
    <w:rsid w:val="008E13AE"/>
    <w:rsid w:val="008E1506"/>
    <w:rsid w:val="008E710C"/>
    <w:rsid w:val="008F52B7"/>
    <w:rsid w:val="008F69D6"/>
    <w:rsid w:val="00902823"/>
    <w:rsid w:val="00915CA6"/>
    <w:rsid w:val="00927834"/>
    <w:rsid w:val="009500A6"/>
    <w:rsid w:val="00957C18"/>
    <w:rsid w:val="009659BA"/>
    <w:rsid w:val="00983040"/>
    <w:rsid w:val="009935E5"/>
    <w:rsid w:val="00996EA1"/>
    <w:rsid w:val="009B3FB9"/>
    <w:rsid w:val="009B40F3"/>
    <w:rsid w:val="009C2465"/>
    <w:rsid w:val="009C43A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4622"/>
    <w:rsid w:val="00AA6219"/>
    <w:rsid w:val="00AA74E0"/>
    <w:rsid w:val="00AB703F"/>
    <w:rsid w:val="00AC6BB8"/>
    <w:rsid w:val="00AE008F"/>
    <w:rsid w:val="00AF024C"/>
    <w:rsid w:val="00AF6178"/>
    <w:rsid w:val="00B01FCD"/>
    <w:rsid w:val="00B1776C"/>
    <w:rsid w:val="00B23D94"/>
    <w:rsid w:val="00B52583"/>
    <w:rsid w:val="00B52896"/>
    <w:rsid w:val="00B60C51"/>
    <w:rsid w:val="00B95236"/>
    <w:rsid w:val="00B96BD9"/>
    <w:rsid w:val="00BA1B01"/>
    <w:rsid w:val="00BA2641"/>
    <w:rsid w:val="00BB37AA"/>
    <w:rsid w:val="00BC14CC"/>
    <w:rsid w:val="00BC53A0"/>
    <w:rsid w:val="00BE62AD"/>
    <w:rsid w:val="00BF121F"/>
    <w:rsid w:val="00BF1B51"/>
    <w:rsid w:val="00BF1F80"/>
    <w:rsid w:val="00C166EF"/>
    <w:rsid w:val="00C17EB0"/>
    <w:rsid w:val="00C27F5F"/>
    <w:rsid w:val="00C30A0F"/>
    <w:rsid w:val="00C37E61"/>
    <w:rsid w:val="00C40500"/>
    <w:rsid w:val="00C70F1B"/>
    <w:rsid w:val="00C71A47"/>
    <w:rsid w:val="00C7464C"/>
    <w:rsid w:val="00C85588"/>
    <w:rsid w:val="00CB0CAD"/>
    <w:rsid w:val="00CD6755"/>
    <w:rsid w:val="00CD6856"/>
    <w:rsid w:val="00CE0089"/>
    <w:rsid w:val="00CE793C"/>
    <w:rsid w:val="00CF193C"/>
    <w:rsid w:val="00D173F1"/>
    <w:rsid w:val="00D74CB0"/>
    <w:rsid w:val="00D8295D"/>
    <w:rsid w:val="00DA50CA"/>
    <w:rsid w:val="00DC2A65"/>
    <w:rsid w:val="00DE15F0"/>
    <w:rsid w:val="00DE5663"/>
    <w:rsid w:val="00DE78AA"/>
    <w:rsid w:val="00DF0FCA"/>
    <w:rsid w:val="00E053D0"/>
    <w:rsid w:val="00E15994"/>
    <w:rsid w:val="00E3114E"/>
    <w:rsid w:val="00E31A70"/>
    <w:rsid w:val="00E33272"/>
    <w:rsid w:val="00E35B02"/>
    <w:rsid w:val="00E66496"/>
    <w:rsid w:val="00E66B35"/>
    <w:rsid w:val="00E66E10"/>
    <w:rsid w:val="00E731C8"/>
    <w:rsid w:val="00E75CC7"/>
    <w:rsid w:val="00E769F6"/>
    <w:rsid w:val="00E77890"/>
    <w:rsid w:val="00E80075"/>
    <w:rsid w:val="00E8407C"/>
    <w:rsid w:val="00E84F3C"/>
    <w:rsid w:val="00E94106"/>
    <w:rsid w:val="00EA012C"/>
    <w:rsid w:val="00EC097D"/>
    <w:rsid w:val="00EC6A55"/>
    <w:rsid w:val="00ED0288"/>
    <w:rsid w:val="00ED23DC"/>
    <w:rsid w:val="00EE52BF"/>
    <w:rsid w:val="00EE52CB"/>
    <w:rsid w:val="00EF581D"/>
    <w:rsid w:val="00EF7FD8"/>
    <w:rsid w:val="00F06F59"/>
    <w:rsid w:val="00F11AAA"/>
    <w:rsid w:val="00F17988"/>
    <w:rsid w:val="00F35F56"/>
    <w:rsid w:val="00F469F0"/>
    <w:rsid w:val="00F53273"/>
    <w:rsid w:val="00F60EB3"/>
    <w:rsid w:val="00F729C6"/>
    <w:rsid w:val="00F755E4"/>
    <w:rsid w:val="00F77D02"/>
    <w:rsid w:val="00FB3A86"/>
    <w:rsid w:val="00FC0B7D"/>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508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359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FirstParagraph">
    <w:name w:val="First Paragraph"/>
    <w:basedOn w:val="BodyText"/>
    <w:next w:val="BodyText"/>
    <w:qFormat/>
    <w:rsid w:val="008F52B7"/>
    <w:pPr>
      <w:spacing w:before="180" w:after="180"/>
    </w:pPr>
    <w:rPr>
      <w:rFonts w:asciiTheme="minorHAnsi" w:eastAsiaTheme="minorHAnsi" w:hAnsiTheme="minorHAnsi" w:cstheme="minorBidi"/>
      <w:sz w:val="24"/>
      <w:szCs w:val="24"/>
    </w:rPr>
  </w:style>
  <w:style w:type="paragraph" w:styleId="BodyText">
    <w:name w:val="Body Text"/>
    <w:basedOn w:val="Normal"/>
    <w:link w:val="BodyTextChar"/>
    <w:unhideWhenUsed/>
    <w:rsid w:val="008F52B7"/>
    <w:pPr>
      <w:spacing w:after="120"/>
    </w:pPr>
  </w:style>
  <w:style w:type="character" w:customStyle="1" w:styleId="BodyTextChar">
    <w:name w:val="Body Text Char"/>
    <w:basedOn w:val="DefaultParagraphFont"/>
    <w:link w:val="BodyText"/>
    <w:rsid w:val="008F52B7"/>
    <w:rPr>
      <w:rFonts w:ascii="Helvetica" w:hAnsi="Helvetica"/>
    </w:rPr>
  </w:style>
  <w:style w:type="character" w:customStyle="1" w:styleId="Heading3Char">
    <w:name w:val="Heading 3 Char"/>
    <w:basedOn w:val="DefaultParagraphFont"/>
    <w:link w:val="Heading3"/>
    <w:semiHidden/>
    <w:rsid w:val="00650870"/>
    <w:rPr>
      <w:rFonts w:asciiTheme="majorHAnsi" w:eastAsiaTheme="majorEastAsia" w:hAnsiTheme="majorHAnsi" w:cstheme="majorBidi"/>
      <w:color w:val="243F60" w:themeColor="accent1" w:themeShade="7F"/>
      <w:sz w:val="24"/>
      <w:szCs w:val="24"/>
    </w:rPr>
  </w:style>
  <w:style w:type="numbering" w:customStyle="1" w:styleId="Style1">
    <w:name w:val="Style1"/>
    <w:uiPriority w:val="99"/>
    <w:rsid w:val="00CB0CAD"/>
    <w:pPr>
      <w:numPr>
        <w:numId w:val="37"/>
      </w:numPr>
    </w:pPr>
  </w:style>
  <w:style w:type="character" w:customStyle="1" w:styleId="Heading4Char">
    <w:name w:val="Heading 4 Char"/>
    <w:basedOn w:val="DefaultParagraphFont"/>
    <w:link w:val="Heading4"/>
    <w:semiHidden/>
    <w:rsid w:val="00335992"/>
    <w:rPr>
      <w:rFonts w:asciiTheme="majorHAnsi" w:eastAsiaTheme="majorEastAsia" w:hAnsiTheme="majorHAnsi" w:cstheme="majorBidi"/>
      <w:i/>
      <w:iCs/>
      <w:color w:val="365F91" w:themeColor="accent1" w:themeShade="BF"/>
    </w:rPr>
  </w:style>
  <w:style w:type="numbering" w:customStyle="1" w:styleId="Style2">
    <w:name w:val="Style2"/>
    <w:uiPriority w:val="99"/>
    <w:rsid w:val="005978A5"/>
    <w:pPr>
      <w:numPr>
        <w:numId w:val="40"/>
      </w:numPr>
    </w:pPr>
  </w:style>
  <w:style w:type="paragraph" w:customStyle="1" w:styleId="Compact">
    <w:name w:val="Compact"/>
    <w:basedOn w:val="BodyText"/>
    <w:qFormat/>
    <w:rsid w:val="00B60C51"/>
    <w:pPr>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B60C51"/>
    <w:pPr>
      <w:spacing w:after="200"/>
    </w:pPr>
    <w:rPr>
      <w:rFonts w:asciiTheme="minorHAnsi" w:eastAsiaTheme="minorHAnsi" w:hAnsiTheme="minorHAnsi" w:cstheme="minorBidi"/>
      <w:sz w:val="24"/>
      <w:szCs w:val="24"/>
      <w:lang w:val="en-IN" w:eastAsia="en-IN" w:bidi="hi-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ListTable6Colorful">
    <w:name w:val="List Table 6 Colorful"/>
    <w:basedOn w:val="TableNormal"/>
    <w:uiPriority w:val="51"/>
    <w:rsid w:val="00E75CC7"/>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mageCaption">
    <w:name w:val="Image Caption"/>
    <w:basedOn w:val="Caption"/>
    <w:rsid w:val="009935E5"/>
    <w:pPr>
      <w:spacing w:after="120"/>
    </w:pPr>
    <w:rPr>
      <w:rFonts w:asciiTheme="minorHAnsi" w:eastAsiaTheme="minorHAnsi" w:hAnsiTheme="minorHAnsi" w:cstheme="minorBidi"/>
      <w:iCs w:val="0"/>
      <w:color w:val="auto"/>
      <w:sz w:val="24"/>
      <w:szCs w:val="24"/>
    </w:rPr>
  </w:style>
  <w:style w:type="paragraph" w:styleId="Caption">
    <w:name w:val="caption"/>
    <w:basedOn w:val="Normal"/>
    <w:next w:val="Normal"/>
    <w:semiHidden/>
    <w:unhideWhenUsed/>
    <w:qFormat/>
    <w:rsid w:val="009935E5"/>
    <w:pPr>
      <w:spacing w:after="200"/>
    </w:pPr>
    <w:rPr>
      <w:i/>
      <w:iCs/>
      <w:color w:val="1F497D" w:themeColor="text2"/>
      <w:sz w:val="18"/>
      <w:szCs w:val="18"/>
    </w:rPr>
  </w:style>
  <w:style w:type="numbering" w:customStyle="1" w:styleId="Style3">
    <w:name w:val="Style3"/>
    <w:uiPriority w:val="99"/>
    <w:rsid w:val="007B7776"/>
    <w:pPr>
      <w:numPr>
        <w:numId w:val="44"/>
      </w:numPr>
    </w:pPr>
  </w:style>
  <w:style w:type="paragraph" w:styleId="CommentSubject">
    <w:name w:val="annotation subject"/>
    <w:basedOn w:val="CommentText"/>
    <w:next w:val="CommentText"/>
    <w:link w:val="CommentSubjectChar"/>
    <w:semiHidden/>
    <w:unhideWhenUsed/>
    <w:rsid w:val="004830E7"/>
    <w:rPr>
      <w:rFonts w:ascii="Helvetica" w:hAnsi="Helvetica"/>
      <w:b/>
      <w:bCs/>
      <w:lang w:val="en-US" w:eastAsia="en-US"/>
    </w:rPr>
  </w:style>
  <w:style w:type="character" w:customStyle="1" w:styleId="CommentSubjectChar">
    <w:name w:val="Comment Subject Char"/>
    <w:basedOn w:val="CommentTextChar"/>
    <w:link w:val="CommentSubject"/>
    <w:semiHidden/>
    <w:rsid w:val="004830E7"/>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784949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s://doi.org/10.1016/j.fcr.2016.10.015" TargetMode="External"/><Relationship Id="rId26" Type="http://schemas.openxmlformats.org/officeDocument/2006/relationships/hyperlink" Target="https://doi.org/10.33899/magrj.2022.136718.1206" TargetMode="External"/><Relationship Id="rId3" Type="http://schemas.openxmlformats.org/officeDocument/2006/relationships/styles" Target="styles.xml"/><Relationship Id="rId21" Type="http://schemas.openxmlformats.org/officeDocument/2006/relationships/hyperlink" Target="https://data.gov.in/catalog/third-advance-estimates-area-production-and-yield-food-grain-crops-gujarat-state-year-2023-24"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hyperlink" Target="https://doi.org/10.1007/978-1-4020-4479-3"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medium.com/analytics-vidhya/mae-mse-rmse-coefficient-of-determination-adjusted-r-squared-which-metric-is-better-cd0326a5697e" TargetMode="External"/><Relationship Id="rId29" Type="http://schemas.openxmlformats.org/officeDocument/2006/relationships/hyperlink" Target="https://doi.org/10.1016/j.agee.2010.04.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pharmajournal.com/archives/2023/"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journalissues.org/ijapr/" TargetMode="External"/><Relationship Id="rId28" Type="http://schemas.openxmlformats.org/officeDocument/2006/relationships/hyperlink" Target="https://doi.org/10.9734/JEAI/2019/46975"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esagri.gov.in/agricultural-statistics-at-a-glanc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fao.org/faostat" TargetMode="External"/><Relationship Id="rId27" Type="http://schemas.openxmlformats.org/officeDocument/2006/relationships/hyperlink" Target="https://doi.org/10.22271/tpi.2021.v10.i1j.5613" TargetMode="External"/><Relationship Id="rId30" Type="http://schemas.openxmlformats.org/officeDocument/2006/relationships/hyperlink" Target="https://doi.org/10.5539/jas.v11n18p140"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Mean PE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Sheet1!$B$2:$B$13</c:f>
              <c:numCache>
                <c:formatCode>General</c:formatCode>
                <c:ptCount val="12"/>
                <c:pt idx="0">
                  <c:v>3.4</c:v>
                </c:pt>
                <c:pt idx="1">
                  <c:v>4.5</c:v>
                </c:pt>
                <c:pt idx="2">
                  <c:v>2.9</c:v>
                </c:pt>
                <c:pt idx="3">
                  <c:v>2.1</c:v>
                </c:pt>
                <c:pt idx="4">
                  <c:v>1.9000000000000001</c:v>
                </c:pt>
                <c:pt idx="5">
                  <c:v>1.8</c:v>
                </c:pt>
                <c:pt idx="6">
                  <c:v>1.4</c:v>
                </c:pt>
                <c:pt idx="7">
                  <c:v>1.1000000000000001</c:v>
                </c:pt>
                <c:pt idx="8">
                  <c:v>4.2</c:v>
                </c:pt>
                <c:pt idx="9">
                  <c:v>7.7</c:v>
                </c:pt>
                <c:pt idx="10">
                  <c:v>1.3</c:v>
                </c:pt>
                <c:pt idx="11">
                  <c:v>3.3</c:v>
                </c:pt>
              </c:numCache>
            </c:numRef>
          </c:val>
          <c:extLst xmlns:c16r2="http://schemas.microsoft.com/office/drawing/2015/06/chart">
            <c:ext xmlns:c16="http://schemas.microsoft.com/office/drawing/2014/chart" uri="{C3380CC4-5D6E-409C-BE32-E72D297353CC}">
              <c16:uniqueId val="{00000000-90B3-448C-B9F6-F437ADB5BCB0}"/>
            </c:ext>
          </c:extLst>
        </c:ser>
        <c:ser>
          <c:idx val="1"/>
          <c:order val="1"/>
          <c:tx>
            <c:strRef>
              <c:f>Sheet1!$C$1</c:f>
              <c:strCache>
                <c:ptCount val="1"/>
                <c:pt idx="0">
                  <c:v>n RMSE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Sheet1!$C$2:$C$13</c:f>
              <c:numCache>
                <c:formatCode>General</c:formatCode>
                <c:ptCount val="12"/>
                <c:pt idx="0">
                  <c:v>3.8</c:v>
                </c:pt>
                <c:pt idx="1">
                  <c:v>4.9000000000000004</c:v>
                </c:pt>
                <c:pt idx="2">
                  <c:v>3.1</c:v>
                </c:pt>
                <c:pt idx="3">
                  <c:v>2.4</c:v>
                </c:pt>
                <c:pt idx="4">
                  <c:v>1.8</c:v>
                </c:pt>
                <c:pt idx="5">
                  <c:v>2.2999999999999998</c:v>
                </c:pt>
                <c:pt idx="6">
                  <c:v>1.6</c:v>
                </c:pt>
                <c:pt idx="7">
                  <c:v>1.5</c:v>
                </c:pt>
                <c:pt idx="8">
                  <c:v>5.8</c:v>
                </c:pt>
                <c:pt idx="9">
                  <c:v>7.8</c:v>
                </c:pt>
                <c:pt idx="10">
                  <c:v>1.5</c:v>
                </c:pt>
                <c:pt idx="11">
                  <c:v>3.9</c:v>
                </c:pt>
              </c:numCache>
            </c:numRef>
          </c:val>
          <c:extLst xmlns:c16r2="http://schemas.microsoft.com/office/drawing/2015/06/chart">
            <c:ext xmlns:c16="http://schemas.microsoft.com/office/drawing/2014/chart" uri="{C3380CC4-5D6E-409C-BE32-E72D297353CC}">
              <c16:uniqueId val="{00000001-90B3-448C-B9F6-F437ADB5BCB0}"/>
            </c:ext>
          </c:extLst>
        </c:ser>
        <c:marker val="1"/>
        <c:axId val="90105344"/>
        <c:axId val="90107264"/>
      </c:lineChart>
      <c:catAx>
        <c:axId val="90105344"/>
        <c:scaling>
          <c:orientation val="minMax"/>
        </c:scaling>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sz="1050" b="1">
                    <a:solidFill>
                      <a:schemeClr val="tx1"/>
                    </a:solidFill>
                    <a:latin typeface="Times New Roman" panose="02020603050405020304" pitchFamily="18" charset="0"/>
                    <a:cs typeface="Times New Roman" panose="02020603050405020304" pitchFamily="18" charset="0"/>
                  </a:rPr>
                  <a:t>Varieties</a:t>
                </a:r>
                <a:r>
                  <a:rPr lang="en-IN" sz="1050" b="1" baseline="0">
                    <a:solidFill>
                      <a:schemeClr val="tx1"/>
                    </a:solidFill>
                    <a:latin typeface="Times New Roman" panose="02020603050405020304" pitchFamily="18" charset="0"/>
                    <a:cs typeface="Times New Roman" panose="02020603050405020304" pitchFamily="18" charset="0"/>
                  </a:rPr>
                  <a:t> and Parameters</a:t>
                </a:r>
                <a:endParaRPr lang="en-IN" sz="1050" b="1">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5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107264"/>
        <c:crosses val="autoZero"/>
        <c:auto val="1"/>
        <c:lblAlgn val="ctr"/>
        <c:lblOffset val="100"/>
      </c:catAx>
      <c:valAx>
        <c:axId val="9010726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1">
                    <a:solidFill>
                      <a:schemeClr val="tx1"/>
                    </a:solidFill>
                    <a:latin typeface="Times New Roman" panose="02020603050405020304" pitchFamily="18" charset="0"/>
                    <a:cs typeface="Times New Roman" panose="02020603050405020304" pitchFamily="18" charset="0"/>
                  </a:rPr>
                  <a:t>Value (%)</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105344"/>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Mean PE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Sheet1!$B$2:$B$13</c:f>
              <c:numCache>
                <c:formatCode>General</c:formatCode>
                <c:ptCount val="12"/>
                <c:pt idx="0">
                  <c:v>-5.1899999999999995</c:v>
                </c:pt>
                <c:pt idx="1">
                  <c:v>7.58</c:v>
                </c:pt>
                <c:pt idx="2">
                  <c:v>2.86</c:v>
                </c:pt>
                <c:pt idx="3">
                  <c:v>-5.04</c:v>
                </c:pt>
                <c:pt idx="4">
                  <c:v>-0.92</c:v>
                </c:pt>
                <c:pt idx="5">
                  <c:v>-3.54</c:v>
                </c:pt>
                <c:pt idx="6">
                  <c:v>3.71</c:v>
                </c:pt>
                <c:pt idx="7">
                  <c:v>2.7800000000000002</c:v>
                </c:pt>
                <c:pt idx="8">
                  <c:v>1.6700000000000004</c:v>
                </c:pt>
                <c:pt idx="9">
                  <c:v>2.8899999999999997</c:v>
                </c:pt>
                <c:pt idx="10">
                  <c:v>-7.1899999999999995</c:v>
                </c:pt>
                <c:pt idx="11">
                  <c:v>-4.3599999999999985</c:v>
                </c:pt>
              </c:numCache>
            </c:numRef>
          </c:val>
          <c:extLst xmlns:c16r2="http://schemas.microsoft.com/office/drawing/2015/06/chart">
            <c:ext xmlns:c16="http://schemas.microsoft.com/office/drawing/2014/chart" uri="{C3380CC4-5D6E-409C-BE32-E72D297353CC}">
              <c16:uniqueId val="{00000000-F158-4373-ACF2-03F23374B74D}"/>
            </c:ext>
          </c:extLst>
        </c:ser>
        <c:ser>
          <c:idx val="1"/>
          <c:order val="1"/>
          <c:tx>
            <c:strRef>
              <c:f>Sheet1!$C$1</c:f>
              <c:strCache>
                <c:ptCount val="1"/>
                <c:pt idx="0">
                  <c:v>n RMSE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Sheet1!$C$2:$C$13</c:f>
              <c:numCache>
                <c:formatCode>General</c:formatCode>
                <c:ptCount val="12"/>
                <c:pt idx="0">
                  <c:v>5.2</c:v>
                </c:pt>
                <c:pt idx="1">
                  <c:v>7.6</c:v>
                </c:pt>
                <c:pt idx="2">
                  <c:v>2.9</c:v>
                </c:pt>
                <c:pt idx="3">
                  <c:v>5</c:v>
                </c:pt>
                <c:pt idx="4">
                  <c:v>0.9</c:v>
                </c:pt>
                <c:pt idx="5">
                  <c:v>3.5</c:v>
                </c:pt>
                <c:pt idx="6">
                  <c:v>3.7</c:v>
                </c:pt>
                <c:pt idx="7">
                  <c:v>2.8</c:v>
                </c:pt>
                <c:pt idx="8">
                  <c:v>1.7</c:v>
                </c:pt>
                <c:pt idx="9">
                  <c:v>2.9</c:v>
                </c:pt>
                <c:pt idx="10">
                  <c:v>-7.1</c:v>
                </c:pt>
                <c:pt idx="11">
                  <c:v>-4.4000000000000004</c:v>
                </c:pt>
              </c:numCache>
            </c:numRef>
          </c:val>
          <c:extLst xmlns:c16r2="http://schemas.microsoft.com/office/drawing/2015/06/chart">
            <c:ext xmlns:c16="http://schemas.microsoft.com/office/drawing/2014/chart" uri="{C3380CC4-5D6E-409C-BE32-E72D297353CC}">
              <c16:uniqueId val="{00000001-F158-4373-ACF2-03F23374B74D}"/>
            </c:ext>
          </c:extLst>
        </c:ser>
        <c:marker val="1"/>
        <c:axId val="126782464"/>
        <c:axId val="132326912"/>
      </c:lineChart>
      <c:catAx>
        <c:axId val="126782464"/>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Varieties and Parameters</a:t>
                </a:r>
              </a:p>
            </c:rich>
          </c:tx>
          <c:layout>
            <c:manualLayout>
              <c:xMode val="edge"/>
              <c:yMode val="edge"/>
              <c:x val="0.39208829665522593"/>
              <c:y val="0.93345125337593671"/>
            </c:manualLayout>
          </c:layout>
          <c:spPr>
            <a:noFill/>
            <a:ln>
              <a:noFill/>
            </a:ln>
            <a:effectLst/>
          </c:spPr>
        </c:title>
        <c:numFmt formatCode="General" sourceLinked="1"/>
        <c:maj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326912"/>
        <c:crosses val="autoZero"/>
        <c:auto val="1"/>
        <c:lblAlgn val="ctr"/>
        <c:lblOffset val="400"/>
      </c:catAx>
      <c:valAx>
        <c:axId val="1323269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Value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782464"/>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4876C-2088-4991-9D0A-79CDD879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330</TotalTime>
  <Pages>11</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29740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DR. SUDDHASUCHI DAS</cp:lastModifiedBy>
  <cp:revision>30</cp:revision>
  <cp:lastPrinted>1999-07-06T11:00:00Z</cp:lastPrinted>
  <dcterms:created xsi:type="dcterms:W3CDTF">2014-10-25T14:34:00Z</dcterms:created>
  <dcterms:modified xsi:type="dcterms:W3CDTF">2025-12-27T04:40:00Z</dcterms:modified>
</cp:coreProperties>
</file>