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727C" w14:textId="72D3C3BC" w:rsidR="00754C9A" w:rsidRDefault="00DC7CD1" w:rsidP="00441B6F">
      <w:pPr>
        <w:pStyle w:val="Title"/>
        <w:spacing w:after="0"/>
        <w:jc w:val="both"/>
        <w:rPr>
          <w:rFonts w:ascii="Calibri" w:hAnsi="Calibri" w:cs="Calibri"/>
          <w:sz w:val="22"/>
          <w:szCs w:val="22"/>
        </w:rPr>
      </w:pPr>
      <w:r>
        <w:rPr>
          <w:rFonts w:ascii="Calibri" w:hAnsi="Calibri" w:cs="Calibri"/>
          <w:sz w:val="22"/>
          <w:szCs w:val="22"/>
        </w:rPr>
        <w:t>Original Research Article</w:t>
      </w:r>
    </w:p>
    <w:p w14:paraId="539B78D8" w14:textId="77777777" w:rsidR="00DC7CD1" w:rsidRDefault="00DC7CD1" w:rsidP="00441B6F">
      <w:pPr>
        <w:pStyle w:val="Title"/>
        <w:spacing w:after="0"/>
        <w:jc w:val="both"/>
        <w:rPr>
          <w:rFonts w:ascii="Arial" w:hAnsi="Arial" w:cs="Arial"/>
        </w:rPr>
      </w:pPr>
    </w:p>
    <w:p w14:paraId="60B29BF2" w14:textId="77777777" w:rsidR="0060476F" w:rsidRPr="002A29CE" w:rsidRDefault="0060476F" w:rsidP="008947D9">
      <w:pPr>
        <w:jc w:val="right"/>
        <w:rPr>
          <w:rFonts w:ascii="Times New Roman" w:hAnsi="Times New Roman"/>
          <w:b/>
          <w:bCs/>
          <w:sz w:val="24"/>
          <w:szCs w:val="24"/>
        </w:rPr>
      </w:pPr>
      <w:r w:rsidRPr="002A29CE">
        <w:rPr>
          <w:rFonts w:ascii="Times New Roman" w:hAnsi="Times New Roman"/>
          <w:b/>
          <w:bCs/>
          <w:sz w:val="24"/>
          <w:szCs w:val="24"/>
        </w:rPr>
        <w:t xml:space="preserve">DIAGNOSIS OF THE NUTRITIONAL STATUS OF STUDENTS AT A HIGH SCHOOL IN THE MUNICIPALITY OF MARCORY (REPUBLIC OF CÔTE D'IVOIRE) </w:t>
      </w:r>
    </w:p>
    <w:p w14:paraId="4FEC5993" w14:textId="77777777" w:rsidR="00A258C3" w:rsidRPr="00790ADA" w:rsidRDefault="00A258C3" w:rsidP="00441B6F">
      <w:pPr>
        <w:pStyle w:val="Author"/>
        <w:spacing w:line="240" w:lineRule="auto"/>
        <w:jc w:val="both"/>
        <w:rPr>
          <w:rFonts w:ascii="Arial" w:hAnsi="Arial" w:cs="Arial"/>
          <w:sz w:val="36"/>
        </w:rPr>
      </w:pPr>
    </w:p>
    <w:p w14:paraId="67764AAE" w14:textId="6C1F5D08" w:rsidR="00110171" w:rsidRDefault="00110171" w:rsidP="00110171">
      <w:pPr>
        <w:autoSpaceDE w:val="0"/>
        <w:autoSpaceDN w:val="0"/>
        <w:adjustRightInd w:val="0"/>
        <w:jc w:val="right"/>
        <w:rPr>
          <w:rFonts w:ascii="Times New Roman" w:hAnsi="Times New Roman"/>
          <w:bCs/>
          <w:color w:val="000000"/>
          <w:sz w:val="24"/>
          <w:szCs w:val="24"/>
        </w:rPr>
      </w:pPr>
    </w:p>
    <w:p w14:paraId="69C4D6EE" w14:textId="77777777" w:rsidR="002C57D2" w:rsidRPr="00FB3A86" w:rsidRDefault="002C57D2" w:rsidP="00441B6F">
      <w:pPr>
        <w:pStyle w:val="Affiliation"/>
        <w:spacing w:after="0" w:line="240" w:lineRule="auto"/>
        <w:jc w:val="both"/>
        <w:rPr>
          <w:rFonts w:ascii="Arial" w:hAnsi="Arial" w:cs="Arial"/>
        </w:rPr>
      </w:pPr>
    </w:p>
    <w:p w14:paraId="3F76534F" w14:textId="7A15A3E2" w:rsidR="00B01FCD" w:rsidRPr="00FB3A86" w:rsidRDefault="002462AA" w:rsidP="00441B6F">
      <w:pPr>
        <w:pStyle w:val="Copyright"/>
        <w:spacing w:after="0" w:line="240" w:lineRule="auto"/>
        <w:jc w:val="both"/>
        <w:rPr>
          <w:rFonts w:ascii="Arial" w:hAnsi="Arial" w:cs="Arial"/>
        </w:rPr>
        <w:sectPr w:rsidR="00B01FCD" w:rsidRPr="00FB3A86" w:rsidSect="0097405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9825ED" wp14:editId="2F2002BC">
                <wp:extent cx="5303520" cy="635"/>
                <wp:effectExtent l="13335" t="9525" r="17145" b="9525"/>
                <wp:docPr id="11259558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8AACD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966D84A" w14:textId="36A153E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8459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7FC29FD" w14:textId="77777777" w:rsidTr="001E44FE">
        <w:tc>
          <w:tcPr>
            <w:tcW w:w="9576" w:type="dxa"/>
            <w:shd w:val="clear" w:color="auto" w:fill="F2F2F2"/>
          </w:tcPr>
          <w:p w14:paraId="3E50C517" w14:textId="77777777" w:rsidR="00C6582C" w:rsidRDefault="0038503D" w:rsidP="00B33412">
            <w:pPr>
              <w:jc w:val="both"/>
              <w:rPr>
                <w:rFonts w:ascii="Arial" w:hAnsi="Arial" w:cs="Arial"/>
              </w:rPr>
            </w:pPr>
            <w:r w:rsidRPr="00BA1B01">
              <w:rPr>
                <w:rFonts w:ascii="Arial" w:eastAsia="Calibri" w:hAnsi="Arial" w:cs="Arial"/>
                <w:b/>
                <w:szCs w:val="22"/>
              </w:rPr>
              <w:t>Aims:</w:t>
            </w:r>
            <w:r>
              <w:rPr>
                <w:rFonts w:ascii="Arial" w:eastAsia="Calibri" w:hAnsi="Arial" w:cs="Arial"/>
                <w:b/>
                <w:szCs w:val="22"/>
              </w:rPr>
              <w:t xml:space="preserve"> </w:t>
            </w:r>
            <w:r w:rsidR="00B33412" w:rsidRPr="00103D28">
              <w:rPr>
                <w:rFonts w:ascii="Arial" w:hAnsi="Arial" w:cs="Arial"/>
              </w:rPr>
              <w:t xml:space="preserve">Adolescence is a period of growth and physiological transformation that requires nutritional intake tailored to specific needs. However, with the expansion of the food industry, adolescents are exposed to high consumption of processed foods, which could cause health problems. </w:t>
            </w:r>
          </w:p>
          <w:p w14:paraId="5A308C54" w14:textId="4F4EA1D9" w:rsidR="00C6582C" w:rsidRDefault="00C6582C" w:rsidP="00B33412">
            <w:pPr>
              <w:jc w:val="both"/>
              <w:rPr>
                <w:rFonts w:ascii="Arial" w:hAnsi="Arial" w:cs="Arial"/>
              </w:rPr>
            </w:pPr>
            <w:r w:rsidRPr="00BA1B01">
              <w:rPr>
                <w:rFonts w:ascii="Arial" w:eastAsia="Calibri" w:hAnsi="Arial" w:cs="Arial"/>
                <w:b/>
                <w:szCs w:val="22"/>
              </w:rPr>
              <w:t xml:space="preserve">Study </w:t>
            </w:r>
            <w:r w:rsidR="00891CEE" w:rsidRPr="00BA1B01">
              <w:rPr>
                <w:rFonts w:ascii="Arial" w:eastAsia="Calibri" w:hAnsi="Arial" w:cs="Arial"/>
                <w:b/>
                <w:szCs w:val="22"/>
              </w:rPr>
              <w:t>design:</w:t>
            </w:r>
            <w:r w:rsidR="00891CEE" w:rsidRPr="00103D28">
              <w:rPr>
                <w:rFonts w:ascii="Arial" w:hAnsi="Arial" w:cs="Arial"/>
              </w:rPr>
              <w:t xml:space="preserve"> This</w:t>
            </w:r>
            <w:r w:rsidR="00B33412" w:rsidRPr="00103D28">
              <w:rPr>
                <w:rFonts w:ascii="Arial" w:hAnsi="Arial" w:cs="Arial"/>
              </w:rPr>
              <w:t xml:space="preserve"> study aimed to determine the nutritional status and eating habits of students in</w:t>
            </w:r>
            <w:r w:rsidR="000A4513">
              <w:rPr>
                <w:rFonts w:ascii="Arial" w:hAnsi="Arial" w:cs="Arial"/>
              </w:rPr>
              <w:t xml:space="preserve"> a high school</w:t>
            </w:r>
            <w:r w:rsidR="00B33412" w:rsidRPr="00103D28">
              <w:rPr>
                <w:rFonts w:ascii="Arial" w:hAnsi="Arial" w:cs="Arial"/>
              </w:rPr>
              <w:t>.</w:t>
            </w:r>
          </w:p>
          <w:p w14:paraId="0C0BAF1A" w14:textId="672E2F40" w:rsidR="00C6582C" w:rsidRPr="000A4513" w:rsidRDefault="00C6582C" w:rsidP="00B33412">
            <w:pPr>
              <w:jc w:val="both"/>
              <w:rPr>
                <w:rFonts w:ascii="Arial" w:hAnsi="Arial" w:cs="Arial"/>
                <w:bCs/>
              </w:rPr>
            </w:pPr>
            <w:r w:rsidRPr="00BA1B01">
              <w:rPr>
                <w:rFonts w:ascii="Arial" w:eastAsia="Calibri" w:hAnsi="Arial" w:cs="Arial"/>
                <w:b/>
                <w:szCs w:val="22"/>
              </w:rPr>
              <w:t>Place and Duration of Study:</w:t>
            </w:r>
            <w:r>
              <w:rPr>
                <w:rFonts w:ascii="Arial" w:eastAsia="Calibri" w:hAnsi="Arial" w:cs="Arial"/>
                <w:b/>
                <w:szCs w:val="22"/>
              </w:rPr>
              <w:t xml:space="preserve"> </w:t>
            </w:r>
            <w:r w:rsidR="000A4513" w:rsidRPr="000A4513">
              <w:rPr>
                <w:rFonts w:ascii="Arial" w:eastAsia="Calibri" w:hAnsi="Arial" w:cs="Arial"/>
                <w:bCs/>
                <w:szCs w:val="22"/>
              </w:rPr>
              <w:t xml:space="preserve">this study was </w:t>
            </w:r>
            <w:r w:rsidR="000A4513">
              <w:rPr>
                <w:rFonts w:ascii="Arial" w:eastAsia="Calibri" w:hAnsi="Arial" w:cs="Arial"/>
                <w:bCs/>
                <w:szCs w:val="22"/>
              </w:rPr>
              <w:t xml:space="preserve">conducted at Victor </w:t>
            </w:r>
            <w:proofErr w:type="spellStart"/>
            <w:r w:rsidR="000A4513">
              <w:rPr>
                <w:rFonts w:ascii="Arial" w:eastAsia="Calibri" w:hAnsi="Arial" w:cs="Arial"/>
                <w:bCs/>
                <w:szCs w:val="22"/>
              </w:rPr>
              <w:t>Amangou</w:t>
            </w:r>
            <w:proofErr w:type="spellEnd"/>
            <w:r w:rsidR="000A4513">
              <w:rPr>
                <w:rFonts w:ascii="Arial" w:eastAsia="Calibri" w:hAnsi="Arial" w:cs="Arial"/>
                <w:bCs/>
                <w:szCs w:val="22"/>
              </w:rPr>
              <w:t xml:space="preserve"> high school in </w:t>
            </w:r>
            <w:proofErr w:type="spellStart"/>
            <w:r w:rsidR="000A4513">
              <w:rPr>
                <w:rFonts w:ascii="Arial" w:eastAsia="Calibri" w:hAnsi="Arial" w:cs="Arial"/>
                <w:bCs/>
                <w:szCs w:val="22"/>
              </w:rPr>
              <w:t>Marcory</w:t>
            </w:r>
            <w:proofErr w:type="spellEnd"/>
            <w:r w:rsidR="000A4513">
              <w:rPr>
                <w:rFonts w:ascii="Arial" w:eastAsia="Calibri" w:hAnsi="Arial" w:cs="Arial"/>
                <w:bCs/>
                <w:szCs w:val="22"/>
              </w:rPr>
              <w:t>, Abidjan district, during the school year</w:t>
            </w:r>
            <w:r w:rsidR="009168D3">
              <w:rPr>
                <w:rFonts w:ascii="Arial" w:eastAsia="Calibri" w:hAnsi="Arial" w:cs="Arial"/>
                <w:bCs/>
                <w:szCs w:val="22"/>
              </w:rPr>
              <w:t xml:space="preserve"> between November 2022 and </w:t>
            </w:r>
            <w:proofErr w:type="spellStart"/>
            <w:r w:rsidR="009168D3">
              <w:rPr>
                <w:rFonts w:ascii="Arial" w:eastAsia="Calibri" w:hAnsi="Arial" w:cs="Arial"/>
                <w:bCs/>
                <w:szCs w:val="22"/>
              </w:rPr>
              <w:t>april</w:t>
            </w:r>
            <w:proofErr w:type="spellEnd"/>
            <w:r w:rsidR="000A4513">
              <w:rPr>
                <w:rFonts w:ascii="Arial" w:eastAsia="Calibri" w:hAnsi="Arial" w:cs="Arial"/>
                <w:bCs/>
                <w:szCs w:val="22"/>
              </w:rPr>
              <w:t xml:space="preserve"> 2023. </w:t>
            </w:r>
          </w:p>
          <w:p w14:paraId="3336BC15" w14:textId="418EEB9E" w:rsidR="00065C1E" w:rsidRDefault="00891CEE" w:rsidP="00B33412">
            <w:pPr>
              <w:jc w:val="both"/>
              <w:rPr>
                <w:rFonts w:ascii="Arial" w:hAnsi="Arial" w:cs="Arial"/>
              </w:rPr>
            </w:pPr>
            <w:r w:rsidRPr="00BA1B01">
              <w:rPr>
                <w:rFonts w:ascii="Arial" w:eastAsia="Calibri" w:hAnsi="Arial" w:cs="Arial"/>
                <w:b/>
                <w:bCs/>
                <w:szCs w:val="22"/>
              </w:rPr>
              <w:t>Methodology:</w:t>
            </w:r>
            <w:r w:rsidRPr="00103D28">
              <w:rPr>
                <w:rFonts w:ascii="Arial" w:hAnsi="Arial" w:cs="Arial"/>
              </w:rPr>
              <w:t xml:space="preserve"> The</w:t>
            </w:r>
            <w:r w:rsidR="00B33412" w:rsidRPr="00103D28">
              <w:rPr>
                <w:rFonts w:ascii="Arial" w:hAnsi="Arial" w:cs="Arial"/>
              </w:rPr>
              <w:t xml:space="preserve"> study was conducted with 418 students aged 12 to 18 from the </w:t>
            </w:r>
            <w:proofErr w:type="spellStart"/>
            <w:r w:rsidR="00B33412" w:rsidRPr="00103D28">
              <w:rPr>
                <w:rFonts w:ascii="Arial" w:hAnsi="Arial" w:cs="Arial"/>
              </w:rPr>
              <w:t>Amagou</w:t>
            </w:r>
            <w:proofErr w:type="spellEnd"/>
            <w:r w:rsidR="00B33412" w:rsidRPr="00103D28">
              <w:rPr>
                <w:rFonts w:ascii="Arial" w:hAnsi="Arial" w:cs="Arial"/>
              </w:rPr>
              <w:t xml:space="preserve"> Victor Modern High School in </w:t>
            </w:r>
            <w:proofErr w:type="spellStart"/>
            <w:r w:rsidR="00B33412" w:rsidRPr="00103D28">
              <w:rPr>
                <w:rFonts w:ascii="Arial" w:hAnsi="Arial" w:cs="Arial"/>
              </w:rPr>
              <w:t>Marcory</w:t>
            </w:r>
            <w:proofErr w:type="spellEnd"/>
            <w:r w:rsidR="00B33412" w:rsidRPr="00103D28">
              <w:rPr>
                <w:rFonts w:ascii="Arial" w:hAnsi="Arial" w:cs="Arial"/>
              </w:rPr>
              <w:t xml:space="preserve">. The students' eating habits and nutritional status were determined using a questionnaire and the calculation of body mass index (BMI), respectively. </w:t>
            </w:r>
          </w:p>
          <w:p w14:paraId="6515BD2B" w14:textId="44BB43E8" w:rsidR="00065C1E" w:rsidRDefault="00891CEE" w:rsidP="00B33412">
            <w:pPr>
              <w:jc w:val="both"/>
              <w:rPr>
                <w:rFonts w:ascii="Arial" w:hAnsi="Arial" w:cs="Arial"/>
              </w:rPr>
            </w:pPr>
            <w:r w:rsidRPr="00BA1B01">
              <w:rPr>
                <w:rFonts w:ascii="Arial" w:eastAsia="Calibri" w:hAnsi="Arial" w:cs="Arial"/>
                <w:b/>
                <w:bCs/>
                <w:szCs w:val="22"/>
              </w:rPr>
              <w:t>Results:</w:t>
            </w:r>
            <w:r w:rsidRPr="00103D28">
              <w:rPr>
                <w:rFonts w:ascii="Arial" w:hAnsi="Arial" w:cs="Arial"/>
              </w:rPr>
              <w:t xml:space="preserve"> The</w:t>
            </w:r>
            <w:r w:rsidR="00B33412" w:rsidRPr="00103D28">
              <w:rPr>
                <w:rFonts w:ascii="Arial" w:hAnsi="Arial" w:cs="Arial"/>
              </w:rPr>
              <w:t xml:space="preserve"> average BMI was 20.27 ± 4.29 kg/m². Students of normal weight represented 77% of the respondents. Conversely, underweight, overweight, and obese students represented 11%, 7.2%, and 4.8% of the students surveyed, respectively. Students' eating habits were low because 98.6% of them had a low dietary diversity score, 62.0% had low frequency of meals, and 100% had poor eating habits. </w:t>
            </w:r>
          </w:p>
          <w:p w14:paraId="1ADED6EA" w14:textId="43118E3D" w:rsidR="00B33412" w:rsidRPr="00103D28" w:rsidRDefault="00891CEE" w:rsidP="00B33412">
            <w:pPr>
              <w:jc w:val="both"/>
              <w:rPr>
                <w:rFonts w:ascii="Arial" w:hAnsi="Arial" w:cs="Arial"/>
              </w:rPr>
            </w:pPr>
            <w:r w:rsidRPr="00BA1B01">
              <w:rPr>
                <w:rFonts w:ascii="Arial" w:eastAsia="Calibri" w:hAnsi="Arial" w:cs="Arial"/>
                <w:b/>
                <w:bCs/>
                <w:szCs w:val="22"/>
              </w:rPr>
              <w:t>Conclusion:</w:t>
            </w:r>
            <w:r w:rsidRPr="00103D28">
              <w:rPr>
                <w:rFonts w:ascii="Arial" w:hAnsi="Arial" w:cs="Arial"/>
              </w:rPr>
              <w:t xml:space="preserve"> Therefore</w:t>
            </w:r>
            <w:r w:rsidR="00B33412" w:rsidRPr="00103D28">
              <w:rPr>
                <w:rFonts w:ascii="Arial" w:hAnsi="Arial" w:cs="Arial"/>
              </w:rPr>
              <w:t>, it is necessary to conduct awareness campaigns on healthy eating, eating habits, and physical activity among students.</w:t>
            </w:r>
          </w:p>
          <w:p w14:paraId="72C3435D" w14:textId="3B0BB7B6" w:rsidR="00505F06" w:rsidRPr="00BA1B01" w:rsidRDefault="00505F06" w:rsidP="002462E9">
            <w:pPr>
              <w:jc w:val="both"/>
              <w:rPr>
                <w:rFonts w:ascii="Arial" w:eastAsia="Calibri" w:hAnsi="Arial" w:cs="Arial"/>
                <w:szCs w:val="22"/>
              </w:rPr>
            </w:pPr>
          </w:p>
        </w:tc>
      </w:tr>
    </w:tbl>
    <w:p w14:paraId="2FE3BBA2" w14:textId="77777777" w:rsidR="00636EB2" w:rsidRDefault="00636EB2" w:rsidP="00441B6F">
      <w:pPr>
        <w:pStyle w:val="Body"/>
        <w:spacing w:after="0"/>
        <w:rPr>
          <w:rFonts w:ascii="Arial" w:hAnsi="Arial" w:cs="Arial"/>
          <w:i/>
        </w:rPr>
      </w:pPr>
    </w:p>
    <w:p w14:paraId="5BBAD621" w14:textId="77777777" w:rsidR="002462E9" w:rsidRPr="002462E9" w:rsidRDefault="002462E9" w:rsidP="002462E9">
      <w:pPr>
        <w:jc w:val="both"/>
        <w:rPr>
          <w:rFonts w:ascii="Arial" w:hAnsi="Arial" w:cs="Arial"/>
          <w:i/>
          <w:iCs/>
        </w:rPr>
      </w:pPr>
      <w:r w:rsidRPr="002462E9">
        <w:rPr>
          <w:rFonts w:ascii="Arial" w:hAnsi="Arial" w:cs="Arial"/>
          <w:b/>
          <w:bCs/>
          <w:i/>
          <w:iCs/>
        </w:rPr>
        <w:t>Keywords:</w:t>
      </w:r>
      <w:r w:rsidRPr="002462E9">
        <w:rPr>
          <w:rFonts w:ascii="Arial" w:hAnsi="Arial" w:cs="Arial"/>
          <w:i/>
          <w:iCs/>
        </w:rPr>
        <w:t xml:space="preserve"> Nutritional status, eating habits, body mass index, students, Côte d’Ivoire</w:t>
      </w:r>
    </w:p>
    <w:p w14:paraId="7A64E7AA" w14:textId="77777777" w:rsidR="00505F06" w:rsidRPr="002E07D2" w:rsidRDefault="00505F06" w:rsidP="00441B6F">
      <w:pPr>
        <w:pStyle w:val="Body"/>
        <w:spacing w:after="0"/>
        <w:rPr>
          <w:rFonts w:ascii="Arial" w:hAnsi="Arial" w:cs="Arial"/>
          <w:iCs/>
        </w:rPr>
      </w:pPr>
    </w:p>
    <w:p w14:paraId="0C186A6F" w14:textId="14E21F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B7D99A" w14:textId="77777777" w:rsidR="00790ADA" w:rsidRPr="00FB3A86" w:rsidRDefault="00790ADA" w:rsidP="00441B6F">
      <w:pPr>
        <w:pStyle w:val="AbstHead"/>
        <w:spacing w:after="0"/>
        <w:jc w:val="both"/>
        <w:rPr>
          <w:rFonts w:ascii="Arial" w:hAnsi="Arial" w:cs="Arial"/>
        </w:rPr>
      </w:pPr>
    </w:p>
    <w:p w14:paraId="13069579" w14:textId="24EEEB06" w:rsidR="006D2AC8" w:rsidRPr="00F05CB1" w:rsidRDefault="006D2AC8" w:rsidP="006D2AC8">
      <w:pPr>
        <w:spacing w:before="240" w:line="360" w:lineRule="auto"/>
        <w:jc w:val="both"/>
        <w:rPr>
          <w:rFonts w:ascii="Arial" w:hAnsi="Arial" w:cs="Arial"/>
        </w:rPr>
      </w:pPr>
      <w:r w:rsidRPr="00F05CB1">
        <w:rPr>
          <w:rFonts w:ascii="Arial" w:hAnsi="Arial" w:cs="Arial"/>
        </w:rPr>
        <w:t xml:space="preserve">Nutrition is the ingestion of food to provide the body with its nutritional needs. It is also defined as the act of eating, that is, a process by which living beings consume different types of food to obtain the nutrients necessary for the development and health of their bodies. Nutrition has been the subject of numerous studies </w:t>
      </w:r>
      <w:r w:rsidRPr="00F05CB1">
        <w:rPr>
          <w:rFonts w:ascii="Arial" w:hAnsi="Arial" w:cs="Arial"/>
          <w:b/>
          <w:bCs/>
        </w:rPr>
        <w:t xml:space="preserve">(Mennel </w:t>
      </w:r>
      <w:r w:rsidRPr="00F05CB1">
        <w:rPr>
          <w:rFonts w:ascii="Arial" w:hAnsi="Arial" w:cs="Arial"/>
          <w:b/>
          <w:bCs/>
          <w:i/>
          <w:iCs/>
        </w:rPr>
        <w:t>et al.,</w:t>
      </w:r>
      <w:r w:rsidRPr="00F05CB1">
        <w:rPr>
          <w:rFonts w:ascii="Arial" w:hAnsi="Arial" w:cs="Arial"/>
          <w:b/>
          <w:bCs/>
        </w:rPr>
        <w:t xml:space="preserve"> </w:t>
      </w:r>
      <w:r w:rsidR="00D72695" w:rsidRPr="00F05CB1">
        <w:rPr>
          <w:rFonts w:ascii="Arial" w:hAnsi="Arial" w:cs="Arial"/>
          <w:b/>
          <w:bCs/>
        </w:rPr>
        <w:t>1992;</w:t>
      </w:r>
      <w:r w:rsidRPr="00F05CB1">
        <w:rPr>
          <w:rFonts w:ascii="Arial" w:hAnsi="Arial" w:cs="Arial"/>
          <w:b/>
          <w:bCs/>
        </w:rPr>
        <w:t xml:space="preserve"> Poulain, 2002)</w:t>
      </w:r>
      <w:r w:rsidRPr="00F05CB1">
        <w:rPr>
          <w:rFonts w:ascii="Arial" w:hAnsi="Arial" w:cs="Arial"/>
        </w:rPr>
        <w:t>. During the 1980s, some food sociologists introduced concepts such as the Americanization and deconstruction of French eating habits (</w:t>
      </w:r>
      <w:r w:rsidRPr="00F05CB1">
        <w:rPr>
          <w:rFonts w:ascii="Arial" w:hAnsi="Arial" w:cs="Arial"/>
          <w:b/>
          <w:bCs/>
        </w:rPr>
        <w:t>Herpin, 1988 et March et al., 1994)</w:t>
      </w:r>
      <w:r w:rsidRPr="00F05CB1">
        <w:rPr>
          <w:rFonts w:ascii="Arial" w:hAnsi="Arial" w:cs="Arial"/>
        </w:rPr>
        <w:t xml:space="preserve">. This period saw the emergence of food modernity </w:t>
      </w:r>
      <w:r w:rsidRPr="00F05CB1">
        <w:rPr>
          <w:rFonts w:ascii="Arial" w:hAnsi="Arial" w:cs="Arial"/>
          <w:b/>
          <w:bCs/>
        </w:rPr>
        <w:t>(Poulain, 2002)</w:t>
      </w:r>
      <w:r w:rsidRPr="00F05CB1">
        <w:rPr>
          <w:rFonts w:ascii="Arial" w:hAnsi="Arial" w:cs="Arial"/>
        </w:rPr>
        <w:t>. This research has had a considerable impact on the study of meals, which has flourished since the 1980.</w:t>
      </w:r>
    </w:p>
    <w:p w14:paraId="7EA0F575" w14:textId="77777777" w:rsidR="006D2AC8" w:rsidRPr="00F05CB1" w:rsidRDefault="006D2AC8" w:rsidP="006D2AC8">
      <w:pPr>
        <w:spacing w:line="360" w:lineRule="auto"/>
        <w:jc w:val="both"/>
        <w:rPr>
          <w:rFonts w:ascii="Arial" w:hAnsi="Arial" w:cs="Arial"/>
        </w:rPr>
      </w:pPr>
      <w:r w:rsidRPr="00F05CB1">
        <w:rPr>
          <w:rFonts w:ascii="Arial" w:hAnsi="Arial" w:cs="Arial"/>
        </w:rPr>
        <w:lastRenderedPageBreak/>
        <w:t xml:space="preserve">Eating behavior, on the other hand, refers to all of an individual's actions in relation to the food they consume. The main physiological function of this behavior is to ensure the supply of energy substrates and biochemical compounds necessary for all the cells of the body </w:t>
      </w:r>
      <w:r w:rsidRPr="00F05CB1">
        <w:rPr>
          <w:rFonts w:ascii="Arial" w:hAnsi="Arial" w:cs="Arial"/>
          <w:b/>
        </w:rPr>
        <w:t>(</w:t>
      </w:r>
      <w:proofErr w:type="spellStart"/>
      <w:r w:rsidRPr="00F05CB1">
        <w:rPr>
          <w:rFonts w:ascii="Arial" w:hAnsi="Arial" w:cs="Arial"/>
          <w:b/>
        </w:rPr>
        <w:t>Daddoun</w:t>
      </w:r>
      <w:proofErr w:type="spellEnd"/>
      <w:r w:rsidRPr="00F05CB1">
        <w:rPr>
          <w:rFonts w:ascii="Arial" w:hAnsi="Arial" w:cs="Arial"/>
          <w:b/>
        </w:rPr>
        <w:t xml:space="preserve"> et Romon, 2004)</w:t>
      </w:r>
      <w:r w:rsidRPr="00F05CB1">
        <w:rPr>
          <w:rFonts w:ascii="Arial" w:hAnsi="Arial" w:cs="Arial"/>
        </w:rPr>
        <w:t xml:space="preserve">. This eating behavior thus contributes to the internal and external homeostasis of the individual, that is, to the maintenance of a state of physical, psychological, and social well-being that defines health </w:t>
      </w:r>
      <w:r w:rsidRPr="00F05CB1">
        <w:rPr>
          <w:rFonts w:ascii="Arial" w:hAnsi="Arial" w:cs="Arial"/>
          <w:b/>
        </w:rPr>
        <w:t xml:space="preserve">(Bresson </w:t>
      </w:r>
      <w:r w:rsidRPr="00F05CB1">
        <w:rPr>
          <w:rFonts w:ascii="Arial" w:hAnsi="Arial" w:cs="Arial"/>
          <w:b/>
          <w:i/>
          <w:iCs/>
        </w:rPr>
        <w:t>et al.,</w:t>
      </w:r>
      <w:r w:rsidRPr="00F05CB1">
        <w:rPr>
          <w:rFonts w:ascii="Arial" w:hAnsi="Arial" w:cs="Arial"/>
          <w:b/>
        </w:rPr>
        <w:t xml:space="preserve"> 2001)</w:t>
      </w:r>
      <w:r w:rsidRPr="00F05CB1">
        <w:rPr>
          <w:rFonts w:ascii="Arial" w:hAnsi="Arial" w:cs="Arial"/>
        </w:rPr>
        <w:t>.</w:t>
      </w:r>
    </w:p>
    <w:p w14:paraId="7FF573AC" w14:textId="77777777" w:rsidR="006D2AC8" w:rsidRPr="00F05CB1" w:rsidRDefault="006D2AC8" w:rsidP="006D2AC8">
      <w:pPr>
        <w:spacing w:line="360" w:lineRule="auto"/>
        <w:jc w:val="both"/>
        <w:rPr>
          <w:rFonts w:ascii="Arial" w:hAnsi="Arial" w:cs="Arial"/>
        </w:rPr>
      </w:pPr>
      <w:r w:rsidRPr="00F05CB1">
        <w:rPr>
          <w:rFonts w:ascii="Arial" w:hAnsi="Arial" w:cs="Arial"/>
        </w:rPr>
        <w:t xml:space="preserve">Hunger and gender, while physiological factors, are undoubtedly individual factors. Hunger, a physiological need, sometimes leads people to consume whatever is readily available or foods that will satisfy them for a certain period of time </w:t>
      </w:r>
      <w:r w:rsidRPr="00F05CB1">
        <w:rPr>
          <w:rFonts w:ascii="Arial" w:hAnsi="Arial" w:cs="Arial"/>
          <w:b/>
        </w:rPr>
        <w:t xml:space="preserve">(Neumark </w:t>
      </w:r>
      <w:r w:rsidRPr="00F05CB1">
        <w:rPr>
          <w:rFonts w:ascii="Arial" w:hAnsi="Arial" w:cs="Arial"/>
          <w:b/>
          <w:i/>
          <w:iCs/>
        </w:rPr>
        <w:t>et al.,</w:t>
      </w:r>
      <w:r w:rsidRPr="00F05CB1">
        <w:rPr>
          <w:rFonts w:ascii="Arial" w:hAnsi="Arial" w:cs="Arial"/>
          <w:b/>
        </w:rPr>
        <w:t xml:space="preserve"> 1999)</w:t>
      </w:r>
      <w:r w:rsidRPr="00F05CB1">
        <w:rPr>
          <w:rFonts w:ascii="Arial" w:hAnsi="Arial" w:cs="Arial"/>
        </w:rPr>
        <w:t xml:space="preserve">. Two other important determinants influencing young people's habits are age and sex. Indeed, surveys have revealed a deterioration in diet quality and a decline in breakfast frequency with age </w:t>
      </w:r>
      <w:r w:rsidRPr="00F05CB1">
        <w:rPr>
          <w:rFonts w:ascii="Arial" w:hAnsi="Arial" w:cs="Arial"/>
          <w:b/>
        </w:rPr>
        <w:t xml:space="preserve">(Hoyland </w:t>
      </w:r>
      <w:r w:rsidRPr="00F05CB1">
        <w:rPr>
          <w:rFonts w:ascii="Arial" w:hAnsi="Arial" w:cs="Arial"/>
          <w:b/>
          <w:i/>
          <w:iCs/>
        </w:rPr>
        <w:t xml:space="preserve">et al., </w:t>
      </w:r>
      <w:r w:rsidRPr="00F05CB1">
        <w:rPr>
          <w:rFonts w:ascii="Arial" w:hAnsi="Arial" w:cs="Arial"/>
          <w:b/>
        </w:rPr>
        <w:t>2012)</w:t>
      </w:r>
      <w:r w:rsidRPr="00F05CB1">
        <w:rPr>
          <w:rFonts w:ascii="Arial" w:hAnsi="Arial" w:cs="Arial"/>
        </w:rPr>
        <w:t>, as well as an increase in snacking.</w:t>
      </w:r>
    </w:p>
    <w:p w14:paraId="06639C87" w14:textId="77777777" w:rsidR="006D2AC8" w:rsidRPr="00F05CB1" w:rsidRDefault="006D2AC8" w:rsidP="006D2AC8">
      <w:pPr>
        <w:spacing w:line="360" w:lineRule="auto"/>
        <w:jc w:val="both"/>
        <w:rPr>
          <w:rFonts w:ascii="Arial" w:hAnsi="Arial" w:cs="Arial"/>
        </w:rPr>
      </w:pPr>
      <w:r w:rsidRPr="00F05CB1">
        <w:rPr>
          <w:rFonts w:ascii="Arial" w:hAnsi="Arial" w:cs="Arial"/>
        </w:rPr>
        <w:t xml:space="preserve">Young people thus use their food to construct a desirable social image that conforms to peer and societal norms. This socialization allows them to integrate into a chosen group of friends based on individual or shared interests, as the case may be. Several studies have examined this topic. One such study aimed to explore the meanings and values ​​that young people aged 13 to 16 attribute to the food and drinks they consume in their lunchboxes </w:t>
      </w:r>
      <w:r w:rsidRPr="00F05CB1">
        <w:rPr>
          <w:rFonts w:ascii="Arial" w:hAnsi="Arial" w:cs="Arial"/>
          <w:b/>
        </w:rPr>
        <w:t xml:space="preserve">(Stead et </w:t>
      </w:r>
      <w:r w:rsidRPr="00F05CB1">
        <w:rPr>
          <w:rFonts w:ascii="Arial" w:hAnsi="Arial" w:cs="Arial"/>
          <w:b/>
          <w:i/>
          <w:iCs/>
        </w:rPr>
        <w:t>al</w:t>
      </w:r>
      <w:r w:rsidRPr="00F05CB1">
        <w:rPr>
          <w:rFonts w:ascii="Arial" w:hAnsi="Arial" w:cs="Arial"/>
          <w:b/>
        </w:rPr>
        <w:t>., 2011)</w:t>
      </w:r>
      <w:r w:rsidRPr="00F05CB1">
        <w:rPr>
          <w:rFonts w:ascii="Arial" w:hAnsi="Arial" w:cs="Arial"/>
        </w:rPr>
        <w:t>.</w:t>
      </w:r>
    </w:p>
    <w:p w14:paraId="36789114" w14:textId="77777777" w:rsidR="006D2AC8" w:rsidRPr="00F05CB1" w:rsidRDefault="006D2AC8" w:rsidP="006D2AC8">
      <w:pPr>
        <w:spacing w:line="360" w:lineRule="auto"/>
        <w:jc w:val="both"/>
        <w:rPr>
          <w:rFonts w:ascii="Arial" w:hAnsi="Arial" w:cs="Arial"/>
        </w:rPr>
      </w:pPr>
      <w:r w:rsidRPr="00F05CB1">
        <w:rPr>
          <w:rFonts w:ascii="Arial" w:hAnsi="Arial" w:cs="Arial"/>
        </w:rPr>
        <w:t xml:space="preserve">However, at this stage of life, adolescence, young people undergo significant physical changes, with very high energy and nutritional needs that promote their full development </w:t>
      </w:r>
      <w:r w:rsidRPr="00F05CB1">
        <w:rPr>
          <w:rFonts w:ascii="Arial" w:hAnsi="Arial" w:cs="Arial"/>
          <w:b/>
          <w:bCs/>
        </w:rPr>
        <w:t xml:space="preserve">(Croll </w:t>
      </w:r>
      <w:r w:rsidRPr="00F05CB1">
        <w:rPr>
          <w:rFonts w:ascii="Arial" w:hAnsi="Arial" w:cs="Arial"/>
          <w:b/>
          <w:bCs/>
          <w:i/>
          <w:iCs/>
        </w:rPr>
        <w:t>et al,</w:t>
      </w:r>
      <w:r w:rsidRPr="00F05CB1">
        <w:rPr>
          <w:rFonts w:ascii="Arial" w:hAnsi="Arial" w:cs="Arial"/>
          <w:b/>
          <w:bCs/>
        </w:rPr>
        <w:t xml:space="preserve"> 2001).</w:t>
      </w:r>
      <w:r w:rsidRPr="00F05CB1">
        <w:rPr>
          <w:rFonts w:ascii="Arial" w:hAnsi="Arial" w:cs="Arial"/>
        </w:rPr>
        <w:t xml:space="preserve"> Needs can be defined as the amount of nutrient required to ensure the maintenance, metabolic and physiological functioning of a healthy individual, including the needs related to physical activity and thermoregulation, as well as the additional needs required during certain periods of life such as growth, gestation and lactation </w:t>
      </w:r>
      <w:r w:rsidRPr="00F05CB1">
        <w:rPr>
          <w:rFonts w:ascii="Arial" w:hAnsi="Arial" w:cs="Arial"/>
          <w:b/>
          <w:bCs/>
        </w:rPr>
        <w:t>(Szekely, 2009)</w:t>
      </w:r>
      <w:r w:rsidRPr="00F05CB1">
        <w:rPr>
          <w:rFonts w:ascii="Arial" w:hAnsi="Arial" w:cs="Arial"/>
        </w:rPr>
        <w:t>.</w:t>
      </w:r>
    </w:p>
    <w:p w14:paraId="4A628248" w14:textId="77777777" w:rsidR="006D2AC8" w:rsidRPr="00F05CB1" w:rsidRDefault="006D2AC8" w:rsidP="006D2AC8">
      <w:pPr>
        <w:spacing w:line="360" w:lineRule="auto"/>
        <w:jc w:val="both"/>
        <w:rPr>
          <w:rFonts w:ascii="Arial" w:hAnsi="Arial" w:cs="Arial"/>
        </w:rPr>
      </w:pPr>
      <w:r w:rsidRPr="00F05CB1">
        <w:rPr>
          <w:rFonts w:ascii="Arial" w:hAnsi="Arial" w:cs="Arial"/>
        </w:rPr>
        <w:t>Each individual's daily diet must provide a sufficient quantity of various macronutrients (proteins, lipids, carbohydrates) and micronutrients (vitamins, minerals, and trace elements) to meet all their physiological needs according to sex, age, and physiological state. This diet faces challenges such as food hygiene and the quality of food selection, which can impact the nutritional value of the food these students consume and lead to food poisoning.</w:t>
      </w:r>
    </w:p>
    <w:p w14:paraId="402CF214" w14:textId="369277F2" w:rsidR="006D2AC8" w:rsidRDefault="006D2AC8" w:rsidP="006D2AC8">
      <w:pPr>
        <w:spacing w:line="360" w:lineRule="auto"/>
        <w:jc w:val="both"/>
        <w:rPr>
          <w:rFonts w:ascii="Arial" w:hAnsi="Arial" w:cs="Arial"/>
        </w:rPr>
      </w:pPr>
      <w:r w:rsidRPr="00F05CB1">
        <w:rPr>
          <w:rFonts w:ascii="Arial" w:hAnsi="Arial" w:cs="Arial"/>
        </w:rPr>
        <w:t xml:space="preserve">If a young person develops an illness related to food hygiene or the quality of food selection, it will reduce their time spent in class, potentially leading to poor academic performance. Therefore, it is necessary to critically examine the diets of young people in Africa, and more specifically in Côte d'Ivoire. The objective of this study is to investigate the eating habits and nutritional status of students at the </w:t>
      </w:r>
      <w:proofErr w:type="spellStart"/>
      <w:r w:rsidRPr="00F05CB1">
        <w:rPr>
          <w:rFonts w:ascii="Arial" w:hAnsi="Arial" w:cs="Arial"/>
        </w:rPr>
        <w:t>Amagou</w:t>
      </w:r>
      <w:proofErr w:type="spellEnd"/>
      <w:r w:rsidRPr="00F05CB1">
        <w:rPr>
          <w:rFonts w:ascii="Arial" w:hAnsi="Arial" w:cs="Arial"/>
        </w:rPr>
        <w:t xml:space="preserve"> Victor Modern High School in </w:t>
      </w:r>
      <w:proofErr w:type="spellStart"/>
      <w:r w:rsidRPr="00F05CB1">
        <w:rPr>
          <w:rFonts w:ascii="Arial" w:hAnsi="Arial" w:cs="Arial"/>
        </w:rPr>
        <w:t>Marcory</w:t>
      </w:r>
      <w:proofErr w:type="spellEnd"/>
      <w:r w:rsidRPr="00F05CB1">
        <w:rPr>
          <w:rFonts w:ascii="Arial" w:hAnsi="Arial" w:cs="Arial"/>
        </w:rPr>
        <w:t>.</w:t>
      </w:r>
    </w:p>
    <w:p w14:paraId="2C103D1B" w14:textId="77777777" w:rsidR="00072B12" w:rsidRPr="00F05CB1" w:rsidRDefault="00072B12" w:rsidP="006D2AC8">
      <w:pPr>
        <w:spacing w:line="360" w:lineRule="auto"/>
        <w:jc w:val="both"/>
        <w:rPr>
          <w:rFonts w:ascii="Arial" w:hAnsi="Arial" w:cs="Arial"/>
        </w:rPr>
      </w:pPr>
    </w:p>
    <w:p w14:paraId="2ADCFF2D" w14:textId="43738ABC" w:rsidR="00790ADA" w:rsidRPr="00FB3A86" w:rsidRDefault="00902823" w:rsidP="00441B6F">
      <w:pPr>
        <w:pStyle w:val="AbstHead"/>
        <w:spacing w:after="0"/>
        <w:jc w:val="both"/>
        <w:rPr>
          <w:rFonts w:ascii="Arial" w:hAnsi="Arial" w:cs="Arial"/>
        </w:rPr>
      </w:pPr>
      <w:r>
        <w:rPr>
          <w:rFonts w:ascii="Arial" w:hAnsi="Arial" w:cs="Arial"/>
        </w:rPr>
        <w:lastRenderedPageBreak/>
        <w:t>2.</w:t>
      </w:r>
      <w:r w:rsidR="006B57D0">
        <w:rPr>
          <w:rFonts w:ascii="Arial" w:hAnsi="Arial" w:cs="Arial"/>
        </w:rPr>
        <w:t xml:space="preserve"> methodology</w:t>
      </w:r>
      <w:r w:rsidR="007F7B32">
        <w:rPr>
          <w:rFonts w:ascii="Arial" w:hAnsi="Arial" w:cs="Arial"/>
        </w:rPr>
        <w:t xml:space="preserve"> </w:t>
      </w:r>
    </w:p>
    <w:p w14:paraId="06551202" w14:textId="77777777" w:rsidR="005811F0" w:rsidRPr="00FA6775" w:rsidRDefault="005811F0" w:rsidP="005811F0">
      <w:pPr>
        <w:spacing w:line="360" w:lineRule="auto"/>
        <w:jc w:val="both"/>
        <w:rPr>
          <w:rFonts w:ascii="Arial" w:hAnsi="Arial" w:cs="Arial"/>
          <w:bCs/>
        </w:rPr>
      </w:pPr>
      <w:r w:rsidRPr="00FA6775">
        <w:rPr>
          <w:rFonts w:ascii="Arial" w:hAnsi="Arial" w:cs="Arial"/>
          <w:bCs/>
        </w:rPr>
        <w:t xml:space="preserve">This study focused on adolescents (ages 12 to 18) at the </w:t>
      </w:r>
      <w:proofErr w:type="spellStart"/>
      <w:r w:rsidRPr="00FA6775">
        <w:rPr>
          <w:rFonts w:ascii="Arial" w:hAnsi="Arial" w:cs="Arial"/>
          <w:bCs/>
        </w:rPr>
        <w:t>Amagou</w:t>
      </w:r>
      <w:proofErr w:type="spellEnd"/>
      <w:r w:rsidRPr="00FA6775">
        <w:rPr>
          <w:rFonts w:ascii="Arial" w:hAnsi="Arial" w:cs="Arial"/>
          <w:bCs/>
        </w:rPr>
        <w:t xml:space="preserve"> Victor Modern High School in </w:t>
      </w:r>
      <w:proofErr w:type="spellStart"/>
      <w:r w:rsidRPr="00FA6775">
        <w:rPr>
          <w:rFonts w:ascii="Arial" w:hAnsi="Arial" w:cs="Arial"/>
          <w:bCs/>
        </w:rPr>
        <w:t>Marcory</w:t>
      </w:r>
      <w:proofErr w:type="spellEnd"/>
      <w:r w:rsidRPr="00FA6775">
        <w:rPr>
          <w:rFonts w:ascii="Arial" w:hAnsi="Arial" w:cs="Arial"/>
          <w:bCs/>
        </w:rPr>
        <w:t xml:space="preserve">. Sampling was conducted using a non-random and exhaustive method, ensuring that all students aged 12 to 18 who were not exempt from physical education and who agreed to participate were included. A total of 418 students participated in the survey after providing their written informed consent. The </w:t>
      </w:r>
      <w:proofErr w:type="spellStart"/>
      <w:r w:rsidRPr="00FA6775">
        <w:rPr>
          <w:rFonts w:ascii="Arial" w:hAnsi="Arial" w:cs="Arial"/>
          <w:bCs/>
        </w:rPr>
        <w:t>questionnairy</w:t>
      </w:r>
      <w:proofErr w:type="spellEnd"/>
      <w:r w:rsidRPr="00FA6775">
        <w:rPr>
          <w:rFonts w:ascii="Arial" w:hAnsi="Arial" w:cs="Arial"/>
          <w:bCs/>
        </w:rPr>
        <w:t xml:space="preserve"> was developed by researchers specializing in nutrition, physical activity, and sociology. A preliminary survey was conducted with 30 students aged 12 to 18 at the </w:t>
      </w:r>
      <w:proofErr w:type="spellStart"/>
      <w:r w:rsidRPr="00FA6775">
        <w:rPr>
          <w:rFonts w:ascii="Arial" w:hAnsi="Arial" w:cs="Arial"/>
          <w:bCs/>
        </w:rPr>
        <w:t>Cocody</w:t>
      </w:r>
      <w:proofErr w:type="spellEnd"/>
      <w:r w:rsidRPr="00FA6775">
        <w:rPr>
          <w:rFonts w:ascii="Arial" w:hAnsi="Arial" w:cs="Arial"/>
          <w:bCs/>
        </w:rPr>
        <w:t xml:space="preserve"> Modern High School, a school with a similar student population to the </w:t>
      </w:r>
      <w:proofErr w:type="spellStart"/>
      <w:r w:rsidRPr="00FA6775">
        <w:rPr>
          <w:rFonts w:ascii="Arial" w:hAnsi="Arial" w:cs="Arial"/>
          <w:bCs/>
        </w:rPr>
        <w:t>Amagou</w:t>
      </w:r>
      <w:proofErr w:type="spellEnd"/>
      <w:r w:rsidRPr="00FA6775">
        <w:rPr>
          <w:rFonts w:ascii="Arial" w:hAnsi="Arial" w:cs="Arial"/>
          <w:bCs/>
        </w:rPr>
        <w:t xml:space="preserve"> Victor Modern High School in </w:t>
      </w:r>
      <w:proofErr w:type="spellStart"/>
      <w:r w:rsidRPr="00FA6775">
        <w:rPr>
          <w:rFonts w:ascii="Arial" w:hAnsi="Arial" w:cs="Arial"/>
          <w:bCs/>
        </w:rPr>
        <w:t>Marcory</w:t>
      </w:r>
      <w:proofErr w:type="spellEnd"/>
      <w:r w:rsidRPr="00FA6775">
        <w:rPr>
          <w:rFonts w:ascii="Arial" w:hAnsi="Arial" w:cs="Arial"/>
          <w:bCs/>
        </w:rPr>
        <w:t xml:space="preserve">. This preliminary survey helped validate the </w:t>
      </w:r>
      <w:proofErr w:type="spellStart"/>
      <w:r w:rsidRPr="00FA6775">
        <w:rPr>
          <w:rFonts w:ascii="Arial" w:hAnsi="Arial" w:cs="Arial"/>
          <w:bCs/>
        </w:rPr>
        <w:t>questionnairy</w:t>
      </w:r>
      <w:proofErr w:type="spellEnd"/>
      <w:r w:rsidRPr="00FA6775">
        <w:rPr>
          <w:rFonts w:ascii="Arial" w:hAnsi="Arial" w:cs="Arial"/>
          <w:bCs/>
        </w:rPr>
        <w:t>.</w:t>
      </w:r>
    </w:p>
    <w:p w14:paraId="08A09A77" w14:textId="77777777" w:rsidR="005811F0" w:rsidRPr="00FA6775" w:rsidRDefault="005811F0" w:rsidP="005811F0">
      <w:pPr>
        <w:spacing w:after="120" w:line="360" w:lineRule="auto"/>
        <w:jc w:val="both"/>
        <w:rPr>
          <w:rFonts w:ascii="Arial" w:hAnsi="Arial" w:cs="Arial"/>
        </w:rPr>
      </w:pPr>
      <w:r w:rsidRPr="00FA6775">
        <w:rPr>
          <w:rFonts w:ascii="Arial" w:hAnsi="Arial" w:cs="Arial"/>
        </w:rPr>
        <w:t xml:space="preserve">The </w:t>
      </w:r>
      <w:proofErr w:type="spellStart"/>
      <w:r w:rsidRPr="00FA6775">
        <w:rPr>
          <w:rFonts w:ascii="Arial" w:hAnsi="Arial" w:cs="Arial"/>
        </w:rPr>
        <w:t>questionnairy</w:t>
      </w:r>
      <w:proofErr w:type="spellEnd"/>
      <w:r w:rsidRPr="00FA6775">
        <w:rPr>
          <w:rFonts w:ascii="Arial" w:hAnsi="Arial" w:cs="Arial"/>
        </w:rPr>
        <w:t xml:space="preserve"> comprised two parts: anthropometric parameters (4 questions) and eating behavior (35 questions). The section on eating behavior focused primarily on eating habits (11 questions), frequency of food consumption (19 questions), and meal times (5 questions).</w:t>
      </w:r>
    </w:p>
    <w:p w14:paraId="14528280" w14:textId="7D86E90B" w:rsidR="005811F0" w:rsidRPr="00FA6775" w:rsidRDefault="005811F0" w:rsidP="005811F0">
      <w:pPr>
        <w:spacing w:after="120" w:line="360" w:lineRule="auto"/>
        <w:jc w:val="both"/>
        <w:rPr>
          <w:rFonts w:ascii="Arial" w:hAnsi="Arial" w:cs="Arial"/>
          <w:bCs/>
        </w:rPr>
      </w:pPr>
      <w:r w:rsidRPr="00FA6775">
        <w:rPr>
          <w:rFonts w:ascii="Arial" w:hAnsi="Arial" w:cs="Arial"/>
          <w:bCs/>
        </w:rPr>
        <w:t xml:space="preserve">To operationalize the variables, a </w:t>
      </w:r>
      <w:r w:rsidR="008533AA" w:rsidRPr="00FA6775">
        <w:rPr>
          <w:rFonts w:ascii="Arial" w:hAnsi="Arial" w:cs="Arial"/>
          <w:bCs/>
        </w:rPr>
        <w:t>questionary</w:t>
      </w:r>
      <w:r w:rsidRPr="00FA6775">
        <w:rPr>
          <w:rFonts w:ascii="Arial" w:hAnsi="Arial" w:cs="Arial"/>
          <w:bCs/>
        </w:rPr>
        <w:t xml:space="preserve"> scoring system was developed to assess students' nutritional status and eating habits. Two rating levels were established for each question: 1 for true and 2 for false. Good eating habits were defined for the questions when the respondent consumed daily meals at times specified by the study: 6:00 to 8:00 a.m. for breakfast, 11:00 a.m. to 1:00 p.m. for lunch, and 5:00 to 7:00 p.m. for dinner.</w:t>
      </w:r>
    </w:p>
    <w:p w14:paraId="3C6535FA" w14:textId="77777777" w:rsidR="005811F0" w:rsidRPr="00FA6775" w:rsidRDefault="005811F0" w:rsidP="005811F0">
      <w:pPr>
        <w:spacing w:line="360" w:lineRule="auto"/>
        <w:jc w:val="both"/>
        <w:rPr>
          <w:rFonts w:ascii="Arial" w:hAnsi="Arial" w:cs="Arial"/>
          <w:bCs/>
        </w:rPr>
      </w:pPr>
      <w:r w:rsidRPr="00FA6775">
        <w:rPr>
          <w:rFonts w:ascii="Arial" w:hAnsi="Arial" w:cs="Arial"/>
          <w:bCs/>
        </w:rPr>
        <w:t>Regarding the frequency of food consumption, a good frequency of food consumption was established for the questions when the respondent ate at least three meals a day (breakfast, lunch, and dinner). Nutritional status was assessed using four categories: underweight or underweight (BMI &lt; 18.5 kg/m²), normal weight (18.5 kg/m² &lt; BMI &lt; 25 kg/m²), overweight (25 kg/m² ≤ BMI &lt; 30 kg/m²), and obese (BMI ≥ 30 kg/m²).</w:t>
      </w:r>
    </w:p>
    <w:p w14:paraId="11D48A9F" w14:textId="77777777" w:rsidR="005811F0" w:rsidRPr="00FA6775" w:rsidRDefault="005811F0" w:rsidP="001B342C">
      <w:pPr>
        <w:spacing w:line="360" w:lineRule="auto"/>
        <w:jc w:val="both"/>
        <w:rPr>
          <w:rFonts w:ascii="Arial" w:hAnsi="Arial" w:cs="Arial"/>
          <w:bCs/>
        </w:rPr>
      </w:pPr>
      <w:r w:rsidRPr="00FA6775">
        <w:rPr>
          <w:rFonts w:ascii="Arial" w:hAnsi="Arial" w:cs="Arial"/>
          <w:bCs/>
        </w:rPr>
        <w:t>A SECA (761) type mechanical scale and a height rod were used to determine anthropometric measurements. These measurements allowed for the calculation of the body mass index (BMI), which corresponds to the ratio weight/height² (expressed in kg/m²), for assessing the nutritional status of the participants. These indices were interpreted according to the growth charts for ages 0 to 18 years by sex. Statistical analysis was performed using SPSS version 21 software, which allowed for the calculation of the various composite variables and the sample sizes followed by the percentages of said variables.</w:t>
      </w:r>
    </w:p>
    <w:p w14:paraId="211AC0BE" w14:textId="77777777" w:rsidR="00790ADA" w:rsidRPr="00FB3A86" w:rsidRDefault="00790ADA" w:rsidP="00441B6F">
      <w:pPr>
        <w:pStyle w:val="Body"/>
        <w:spacing w:after="0"/>
        <w:rPr>
          <w:rFonts w:ascii="Arial" w:hAnsi="Arial" w:cs="Arial"/>
        </w:rPr>
      </w:pPr>
    </w:p>
    <w:p w14:paraId="1A610E9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79A155" w14:textId="3DFF1325" w:rsidR="00790ADA" w:rsidRPr="00451FB5" w:rsidRDefault="006C53D6" w:rsidP="00441B6F">
      <w:pPr>
        <w:pStyle w:val="Head1"/>
        <w:spacing w:after="0"/>
        <w:jc w:val="both"/>
        <w:rPr>
          <w:rFonts w:ascii="Arial" w:hAnsi="Arial" w:cs="Arial"/>
          <w:szCs w:val="22"/>
        </w:rPr>
      </w:pPr>
      <w:r w:rsidRPr="00451FB5">
        <w:rPr>
          <w:rFonts w:ascii="Arial" w:hAnsi="Arial" w:cs="Arial"/>
          <w:szCs w:val="22"/>
        </w:rPr>
        <w:t>3.1 results</w:t>
      </w:r>
    </w:p>
    <w:p w14:paraId="36FE657A" w14:textId="1E175B1B" w:rsidR="00257F39" w:rsidRPr="00451FB5" w:rsidRDefault="00257F39" w:rsidP="00257F39">
      <w:pPr>
        <w:spacing w:line="360" w:lineRule="auto"/>
        <w:jc w:val="both"/>
        <w:rPr>
          <w:rFonts w:ascii="Arial" w:hAnsi="Arial" w:cs="Arial"/>
          <w:b/>
          <w:bCs/>
        </w:rPr>
      </w:pPr>
      <w:r w:rsidRPr="00451FB5">
        <w:rPr>
          <w:rFonts w:ascii="Arial" w:hAnsi="Arial" w:cs="Arial"/>
          <w:b/>
          <w:bCs/>
        </w:rPr>
        <w:t xml:space="preserve">3.1.1 Daily Meal Intake </w:t>
      </w:r>
    </w:p>
    <w:p w14:paraId="5887CB24" w14:textId="60CADDC7" w:rsidR="00257F39" w:rsidRDefault="00257F39" w:rsidP="00257F39">
      <w:pPr>
        <w:spacing w:line="360" w:lineRule="auto"/>
        <w:jc w:val="both"/>
        <w:rPr>
          <w:rFonts w:ascii="Arial" w:hAnsi="Arial" w:cs="Arial"/>
        </w:rPr>
      </w:pPr>
      <w:r w:rsidRPr="000921C4">
        <w:rPr>
          <w:rFonts w:ascii="Arial" w:hAnsi="Arial" w:cs="Arial"/>
        </w:rPr>
        <w:t>Table</w:t>
      </w:r>
      <w:r>
        <w:rPr>
          <w:rFonts w:ascii="Arial" w:hAnsi="Arial" w:cs="Arial"/>
        </w:rPr>
        <w:t xml:space="preserve">1 </w:t>
      </w:r>
      <w:r w:rsidRPr="000921C4">
        <w:rPr>
          <w:rFonts w:ascii="Arial" w:hAnsi="Arial" w:cs="Arial"/>
        </w:rPr>
        <w:t xml:space="preserve">presents the analysis of the daily meal intake results for the students surveyed during this study. Regarding meal intake, the results showed that the majority of students ate </w:t>
      </w:r>
      <w:r w:rsidRPr="000921C4">
        <w:rPr>
          <w:rFonts w:ascii="Arial" w:hAnsi="Arial" w:cs="Arial"/>
        </w:rPr>
        <w:lastRenderedPageBreak/>
        <w:t>breakfast (365; 87.3%), lunch (416; 99.5%), an afternoon snack (294; 70.3%), and dinner (415; 99.3%). The respondents also had a high frequency of meal consumption: 227 (54.3%) for breakfast, 326 (77.99%) for lunch, and 351 (83.97%) for dinner. However, 138 (33.0%) of the students had a low frequency of afternoon snack consumption.</w:t>
      </w:r>
    </w:p>
    <w:p w14:paraId="35AC78BB" w14:textId="77777777" w:rsidR="00257F39" w:rsidRPr="000921C4" w:rsidRDefault="00257F39" w:rsidP="00257F39">
      <w:pPr>
        <w:spacing w:line="360" w:lineRule="auto"/>
        <w:jc w:val="both"/>
        <w:rPr>
          <w:rFonts w:ascii="Arial" w:hAnsi="Arial" w:cs="Arial"/>
        </w:rPr>
      </w:pPr>
    </w:p>
    <w:p w14:paraId="6C890B67" w14:textId="06681D1E" w:rsidR="00257F39" w:rsidRPr="000921C4" w:rsidRDefault="00257F39" w:rsidP="00257F39">
      <w:pPr>
        <w:spacing w:line="360" w:lineRule="auto"/>
        <w:jc w:val="both"/>
        <w:rPr>
          <w:rFonts w:ascii="Arial" w:hAnsi="Arial" w:cs="Arial"/>
        </w:rPr>
      </w:pPr>
      <w:r w:rsidRPr="000921C4">
        <w:rPr>
          <w:rFonts w:ascii="Arial" w:hAnsi="Arial" w:cs="Arial"/>
          <w:b/>
          <w:bCs/>
        </w:rPr>
        <w:t>Table</w:t>
      </w:r>
      <w:r w:rsidRPr="000921C4">
        <w:rPr>
          <w:rFonts w:ascii="Arial" w:hAnsi="Arial" w:cs="Arial"/>
        </w:rPr>
        <w:t xml:space="preserve"> </w:t>
      </w:r>
      <w:proofErr w:type="gramStart"/>
      <w:r>
        <w:rPr>
          <w:rFonts w:ascii="Arial" w:hAnsi="Arial" w:cs="Arial"/>
        </w:rPr>
        <w:t>1</w:t>
      </w:r>
      <w:r w:rsidRPr="000921C4">
        <w:rPr>
          <w:rFonts w:ascii="Arial" w:hAnsi="Arial" w:cs="Arial"/>
        </w:rPr>
        <w:t> :</w:t>
      </w:r>
      <w:proofErr w:type="gramEnd"/>
      <w:r w:rsidRPr="000921C4">
        <w:rPr>
          <w:rFonts w:ascii="Arial" w:hAnsi="Arial" w:cs="Arial"/>
        </w:rPr>
        <w:t xml:space="preserve"> Daily frequency of meal consumption </w:t>
      </w:r>
    </w:p>
    <w:tbl>
      <w:tblPr>
        <w:tblW w:w="0" w:type="auto"/>
        <w:tblBorders>
          <w:top w:val="thinThickSmallGap" w:sz="12" w:space="0" w:color="auto"/>
          <w:bottom w:val="thickThinSmallGap" w:sz="12" w:space="0" w:color="auto"/>
        </w:tblBorders>
        <w:tblLook w:val="04A0" w:firstRow="1" w:lastRow="0" w:firstColumn="1" w:lastColumn="0" w:noHBand="0" w:noVBand="1"/>
      </w:tblPr>
      <w:tblGrid>
        <w:gridCol w:w="1718"/>
        <w:gridCol w:w="1642"/>
        <w:gridCol w:w="1594"/>
        <w:gridCol w:w="1577"/>
        <w:gridCol w:w="1677"/>
      </w:tblGrid>
      <w:tr w:rsidR="00257F39" w:rsidRPr="000921C4" w14:paraId="1998ED6F" w14:textId="77777777" w:rsidTr="000C6045">
        <w:tc>
          <w:tcPr>
            <w:tcW w:w="1812" w:type="dxa"/>
            <w:tcBorders>
              <w:top w:val="nil"/>
              <w:bottom w:val="thickThinSmallGap" w:sz="12" w:space="0" w:color="auto"/>
            </w:tcBorders>
          </w:tcPr>
          <w:p w14:paraId="60875AC3" w14:textId="77777777" w:rsidR="00257F39" w:rsidRPr="000921C4" w:rsidRDefault="00257F39" w:rsidP="000C6045">
            <w:pPr>
              <w:rPr>
                <w:rFonts w:ascii="Arial" w:hAnsi="Arial" w:cs="Arial"/>
                <w:b/>
                <w:bCs/>
              </w:rPr>
            </w:pPr>
          </w:p>
        </w:tc>
        <w:tc>
          <w:tcPr>
            <w:tcW w:w="7250" w:type="dxa"/>
            <w:gridSpan w:val="4"/>
            <w:tcBorders>
              <w:top w:val="thinThickSmallGap" w:sz="12" w:space="0" w:color="auto"/>
              <w:bottom w:val="thickThinSmallGap" w:sz="12" w:space="0" w:color="auto"/>
            </w:tcBorders>
          </w:tcPr>
          <w:p w14:paraId="43B1DDDB" w14:textId="77777777" w:rsidR="00257F39" w:rsidRPr="000921C4" w:rsidRDefault="00257F39" w:rsidP="000C6045">
            <w:pPr>
              <w:jc w:val="center"/>
              <w:rPr>
                <w:rFonts w:ascii="Arial" w:hAnsi="Arial" w:cs="Arial"/>
                <w:b/>
                <w:bCs/>
              </w:rPr>
            </w:pPr>
            <w:r w:rsidRPr="000921C4">
              <w:rPr>
                <w:rFonts w:ascii="Arial" w:hAnsi="Arial" w:cs="Arial"/>
                <w:b/>
                <w:bCs/>
              </w:rPr>
              <w:t>EFFECTIVES (%)</w:t>
            </w:r>
          </w:p>
        </w:tc>
      </w:tr>
      <w:tr w:rsidR="00257F39" w:rsidRPr="000921C4" w14:paraId="7CC9F7EA" w14:textId="77777777" w:rsidTr="000C6045">
        <w:tc>
          <w:tcPr>
            <w:tcW w:w="1812" w:type="dxa"/>
            <w:tcBorders>
              <w:top w:val="thickThinSmallGap" w:sz="12" w:space="0" w:color="auto"/>
              <w:bottom w:val="thickThinSmallGap" w:sz="12" w:space="0" w:color="auto"/>
            </w:tcBorders>
          </w:tcPr>
          <w:p w14:paraId="1AD96AC2" w14:textId="77777777" w:rsidR="00257F39" w:rsidRPr="000921C4" w:rsidRDefault="00257F39" w:rsidP="000C6045">
            <w:pPr>
              <w:rPr>
                <w:rFonts w:ascii="Arial" w:hAnsi="Arial" w:cs="Arial"/>
                <w:b/>
                <w:bCs/>
              </w:rPr>
            </w:pPr>
            <w:r w:rsidRPr="000921C4">
              <w:rPr>
                <w:rFonts w:ascii="Arial" w:hAnsi="Arial" w:cs="Arial"/>
                <w:b/>
                <w:bCs/>
              </w:rPr>
              <w:t>Assessment method</w:t>
            </w:r>
          </w:p>
        </w:tc>
        <w:tc>
          <w:tcPr>
            <w:tcW w:w="1812" w:type="dxa"/>
            <w:tcBorders>
              <w:top w:val="thickThinSmallGap" w:sz="12" w:space="0" w:color="auto"/>
              <w:bottom w:val="thickThinSmallGap" w:sz="12" w:space="0" w:color="auto"/>
            </w:tcBorders>
          </w:tcPr>
          <w:p w14:paraId="21E14721" w14:textId="77777777" w:rsidR="00257F39" w:rsidRPr="000921C4" w:rsidRDefault="00257F39" w:rsidP="000C6045">
            <w:pPr>
              <w:rPr>
                <w:rFonts w:ascii="Arial" w:hAnsi="Arial" w:cs="Arial"/>
              </w:rPr>
            </w:pPr>
            <w:r w:rsidRPr="000921C4">
              <w:rPr>
                <w:rFonts w:ascii="Arial" w:hAnsi="Arial" w:cs="Arial"/>
              </w:rPr>
              <w:t>Breakfast</w:t>
            </w:r>
          </w:p>
        </w:tc>
        <w:tc>
          <w:tcPr>
            <w:tcW w:w="1812" w:type="dxa"/>
            <w:tcBorders>
              <w:top w:val="thickThinSmallGap" w:sz="12" w:space="0" w:color="auto"/>
              <w:bottom w:val="thickThinSmallGap" w:sz="12" w:space="0" w:color="auto"/>
            </w:tcBorders>
          </w:tcPr>
          <w:p w14:paraId="5A728EBC" w14:textId="77777777" w:rsidR="00257F39" w:rsidRPr="000921C4" w:rsidRDefault="00257F39" w:rsidP="000C6045">
            <w:pPr>
              <w:rPr>
                <w:rFonts w:ascii="Arial" w:hAnsi="Arial" w:cs="Arial"/>
              </w:rPr>
            </w:pPr>
            <w:r w:rsidRPr="000921C4">
              <w:rPr>
                <w:rFonts w:ascii="Arial" w:hAnsi="Arial" w:cs="Arial"/>
              </w:rPr>
              <w:t xml:space="preserve">Lunch </w:t>
            </w:r>
          </w:p>
        </w:tc>
        <w:tc>
          <w:tcPr>
            <w:tcW w:w="1813" w:type="dxa"/>
            <w:tcBorders>
              <w:top w:val="thickThinSmallGap" w:sz="12" w:space="0" w:color="auto"/>
              <w:bottom w:val="thickThinSmallGap" w:sz="12" w:space="0" w:color="auto"/>
            </w:tcBorders>
          </w:tcPr>
          <w:p w14:paraId="77DAA2A7" w14:textId="77777777" w:rsidR="00257F39" w:rsidRPr="000921C4" w:rsidRDefault="00257F39" w:rsidP="000C6045">
            <w:pPr>
              <w:rPr>
                <w:rFonts w:ascii="Arial" w:hAnsi="Arial" w:cs="Arial"/>
              </w:rPr>
            </w:pPr>
            <w:r w:rsidRPr="000921C4">
              <w:rPr>
                <w:rFonts w:ascii="Arial" w:hAnsi="Arial" w:cs="Arial"/>
              </w:rPr>
              <w:t xml:space="preserve">Snack </w:t>
            </w:r>
          </w:p>
        </w:tc>
        <w:tc>
          <w:tcPr>
            <w:tcW w:w="1813" w:type="dxa"/>
            <w:tcBorders>
              <w:top w:val="thickThinSmallGap" w:sz="12" w:space="0" w:color="auto"/>
              <w:bottom w:val="thickThinSmallGap" w:sz="12" w:space="0" w:color="auto"/>
            </w:tcBorders>
          </w:tcPr>
          <w:p w14:paraId="199ED123" w14:textId="77777777" w:rsidR="00257F39" w:rsidRPr="000921C4" w:rsidRDefault="00257F39" w:rsidP="000C6045">
            <w:pPr>
              <w:rPr>
                <w:rFonts w:ascii="Arial" w:hAnsi="Arial" w:cs="Arial"/>
              </w:rPr>
            </w:pPr>
            <w:r w:rsidRPr="000921C4">
              <w:rPr>
                <w:rFonts w:ascii="Arial" w:hAnsi="Arial" w:cs="Arial"/>
              </w:rPr>
              <w:t>Dinner</w:t>
            </w:r>
          </w:p>
        </w:tc>
      </w:tr>
      <w:tr w:rsidR="00257F39" w:rsidRPr="000921C4" w14:paraId="7E3F428B" w14:textId="77777777" w:rsidTr="000C6045">
        <w:tc>
          <w:tcPr>
            <w:tcW w:w="1812" w:type="dxa"/>
            <w:tcBorders>
              <w:top w:val="thickThinSmallGap" w:sz="12" w:space="0" w:color="auto"/>
              <w:bottom w:val="thickThinSmallGap" w:sz="12" w:space="0" w:color="auto"/>
            </w:tcBorders>
            <w:shd w:val="clear" w:color="auto" w:fill="D9D9D9"/>
          </w:tcPr>
          <w:p w14:paraId="6B38C1CB" w14:textId="77777777" w:rsidR="00257F39" w:rsidRPr="000921C4" w:rsidRDefault="00257F39" w:rsidP="000C6045">
            <w:pPr>
              <w:rPr>
                <w:rFonts w:ascii="Arial" w:hAnsi="Arial" w:cs="Arial"/>
                <w:b/>
                <w:bCs/>
              </w:rPr>
            </w:pPr>
          </w:p>
        </w:tc>
        <w:tc>
          <w:tcPr>
            <w:tcW w:w="7250" w:type="dxa"/>
            <w:gridSpan w:val="4"/>
            <w:tcBorders>
              <w:top w:val="thickThinSmallGap" w:sz="12" w:space="0" w:color="auto"/>
              <w:bottom w:val="thickThinSmallGap" w:sz="12" w:space="0" w:color="auto"/>
            </w:tcBorders>
            <w:shd w:val="clear" w:color="auto" w:fill="D9D9D9"/>
          </w:tcPr>
          <w:p w14:paraId="7B6F7743" w14:textId="77777777" w:rsidR="00257F39" w:rsidRPr="000921C4" w:rsidRDefault="00257F39" w:rsidP="000C6045">
            <w:pPr>
              <w:rPr>
                <w:rFonts w:ascii="Arial" w:hAnsi="Arial" w:cs="Arial"/>
                <w:b/>
                <w:bCs/>
              </w:rPr>
            </w:pPr>
            <w:r w:rsidRPr="000921C4">
              <w:rPr>
                <w:rFonts w:ascii="Arial" w:hAnsi="Arial" w:cs="Arial"/>
                <w:b/>
                <w:bCs/>
              </w:rPr>
              <w:t>Meals consumed</w:t>
            </w:r>
          </w:p>
        </w:tc>
      </w:tr>
      <w:tr w:rsidR="00257F39" w:rsidRPr="000921C4" w14:paraId="6184B6C9" w14:textId="77777777" w:rsidTr="000C6045">
        <w:tc>
          <w:tcPr>
            <w:tcW w:w="1812" w:type="dxa"/>
            <w:tcBorders>
              <w:top w:val="thickThinSmallGap" w:sz="12" w:space="0" w:color="auto"/>
              <w:bottom w:val="nil"/>
            </w:tcBorders>
          </w:tcPr>
          <w:p w14:paraId="5BE8BC6A" w14:textId="77777777" w:rsidR="00257F39" w:rsidRPr="000921C4" w:rsidRDefault="00257F39" w:rsidP="000C6045">
            <w:pPr>
              <w:rPr>
                <w:rFonts w:ascii="Arial" w:hAnsi="Arial" w:cs="Arial"/>
              </w:rPr>
            </w:pPr>
            <w:r w:rsidRPr="000921C4">
              <w:rPr>
                <w:rFonts w:ascii="Arial" w:hAnsi="Arial" w:cs="Arial"/>
              </w:rPr>
              <w:t>Yes</w:t>
            </w:r>
          </w:p>
        </w:tc>
        <w:tc>
          <w:tcPr>
            <w:tcW w:w="1812" w:type="dxa"/>
            <w:tcBorders>
              <w:top w:val="thickThinSmallGap" w:sz="12" w:space="0" w:color="auto"/>
              <w:bottom w:val="nil"/>
            </w:tcBorders>
          </w:tcPr>
          <w:p w14:paraId="0A911A55" w14:textId="77777777" w:rsidR="00257F39" w:rsidRPr="000921C4" w:rsidRDefault="00257F39" w:rsidP="000C6045">
            <w:pPr>
              <w:rPr>
                <w:rFonts w:ascii="Arial" w:hAnsi="Arial" w:cs="Arial"/>
              </w:rPr>
            </w:pPr>
            <w:r w:rsidRPr="000921C4">
              <w:rPr>
                <w:rFonts w:ascii="Arial" w:hAnsi="Arial" w:cs="Arial"/>
              </w:rPr>
              <w:t>365 (87.3)</w:t>
            </w:r>
          </w:p>
        </w:tc>
        <w:tc>
          <w:tcPr>
            <w:tcW w:w="1812" w:type="dxa"/>
            <w:tcBorders>
              <w:top w:val="thickThinSmallGap" w:sz="12" w:space="0" w:color="auto"/>
              <w:bottom w:val="nil"/>
            </w:tcBorders>
          </w:tcPr>
          <w:p w14:paraId="7BABF0F6" w14:textId="77777777" w:rsidR="00257F39" w:rsidRPr="000921C4" w:rsidRDefault="00257F39" w:rsidP="000C6045">
            <w:pPr>
              <w:rPr>
                <w:rFonts w:ascii="Arial" w:hAnsi="Arial" w:cs="Arial"/>
              </w:rPr>
            </w:pPr>
            <w:r w:rsidRPr="000921C4">
              <w:rPr>
                <w:rFonts w:ascii="Arial" w:hAnsi="Arial" w:cs="Arial"/>
              </w:rPr>
              <w:t>416 (99.5)</w:t>
            </w:r>
          </w:p>
        </w:tc>
        <w:tc>
          <w:tcPr>
            <w:tcW w:w="1813" w:type="dxa"/>
            <w:tcBorders>
              <w:top w:val="thickThinSmallGap" w:sz="12" w:space="0" w:color="auto"/>
              <w:bottom w:val="nil"/>
            </w:tcBorders>
          </w:tcPr>
          <w:p w14:paraId="0E481584" w14:textId="77777777" w:rsidR="00257F39" w:rsidRPr="000921C4" w:rsidRDefault="00257F39" w:rsidP="000C6045">
            <w:pPr>
              <w:rPr>
                <w:rFonts w:ascii="Arial" w:hAnsi="Arial" w:cs="Arial"/>
              </w:rPr>
            </w:pPr>
            <w:r w:rsidRPr="000921C4">
              <w:rPr>
                <w:rFonts w:ascii="Arial" w:hAnsi="Arial" w:cs="Arial"/>
              </w:rPr>
              <w:t>294 (70.3)</w:t>
            </w:r>
          </w:p>
        </w:tc>
        <w:tc>
          <w:tcPr>
            <w:tcW w:w="1813" w:type="dxa"/>
            <w:tcBorders>
              <w:top w:val="thickThinSmallGap" w:sz="12" w:space="0" w:color="auto"/>
              <w:bottom w:val="nil"/>
            </w:tcBorders>
          </w:tcPr>
          <w:p w14:paraId="7E6E1E13" w14:textId="77777777" w:rsidR="00257F39" w:rsidRPr="000921C4" w:rsidRDefault="00257F39" w:rsidP="000C6045">
            <w:pPr>
              <w:rPr>
                <w:rFonts w:ascii="Arial" w:hAnsi="Arial" w:cs="Arial"/>
              </w:rPr>
            </w:pPr>
            <w:r w:rsidRPr="000921C4">
              <w:rPr>
                <w:rFonts w:ascii="Arial" w:hAnsi="Arial" w:cs="Arial"/>
              </w:rPr>
              <w:t>415 (99.3)</w:t>
            </w:r>
          </w:p>
        </w:tc>
      </w:tr>
      <w:tr w:rsidR="00257F39" w:rsidRPr="000921C4" w14:paraId="7C1750BC" w14:textId="77777777" w:rsidTr="000C6045">
        <w:tc>
          <w:tcPr>
            <w:tcW w:w="1812" w:type="dxa"/>
            <w:tcBorders>
              <w:top w:val="nil"/>
              <w:bottom w:val="thinThickSmallGap" w:sz="12" w:space="0" w:color="auto"/>
            </w:tcBorders>
          </w:tcPr>
          <w:p w14:paraId="3B652ED6" w14:textId="77777777" w:rsidR="00257F39" w:rsidRPr="000921C4" w:rsidRDefault="00257F39" w:rsidP="000C6045">
            <w:pPr>
              <w:spacing w:before="40" w:after="40"/>
              <w:rPr>
                <w:rFonts w:ascii="Arial" w:hAnsi="Arial" w:cs="Arial"/>
              </w:rPr>
            </w:pPr>
            <w:r w:rsidRPr="000921C4">
              <w:rPr>
                <w:rFonts w:ascii="Arial" w:hAnsi="Arial" w:cs="Arial"/>
              </w:rPr>
              <w:t>No</w:t>
            </w:r>
          </w:p>
        </w:tc>
        <w:tc>
          <w:tcPr>
            <w:tcW w:w="1812" w:type="dxa"/>
            <w:tcBorders>
              <w:top w:val="nil"/>
              <w:bottom w:val="thinThickSmallGap" w:sz="12" w:space="0" w:color="auto"/>
            </w:tcBorders>
          </w:tcPr>
          <w:p w14:paraId="33C29E36" w14:textId="77777777" w:rsidR="00257F39" w:rsidRPr="000921C4" w:rsidRDefault="00257F39" w:rsidP="000C6045">
            <w:pPr>
              <w:spacing w:before="40" w:after="40"/>
              <w:rPr>
                <w:rFonts w:ascii="Arial" w:hAnsi="Arial" w:cs="Arial"/>
              </w:rPr>
            </w:pPr>
            <w:r w:rsidRPr="000921C4">
              <w:rPr>
                <w:rFonts w:ascii="Arial" w:hAnsi="Arial" w:cs="Arial"/>
              </w:rPr>
              <w:t>53 (12.7)</w:t>
            </w:r>
          </w:p>
        </w:tc>
        <w:tc>
          <w:tcPr>
            <w:tcW w:w="1812" w:type="dxa"/>
            <w:tcBorders>
              <w:top w:val="nil"/>
              <w:bottom w:val="thinThickSmallGap" w:sz="12" w:space="0" w:color="auto"/>
            </w:tcBorders>
          </w:tcPr>
          <w:p w14:paraId="4C3C489F" w14:textId="77777777" w:rsidR="00257F39" w:rsidRPr="000921C4" w:rsidRDefault="00257F39" w:rsidP="000C6045">
            <w:pPr>
              <w:spacing w:before="40" w:after="40"/>
              <w:rPr>
                <w:rFonts w:ascii="Arial" w:hAnsi="Arial" w:cs="Arial"/>
              </w:rPr>
            </w:pPr>
            <w:r w:rsidRPr="000921C4">
              <w:rPr>
                <w:rFonts w:ascii="Arial" w:hAnsi="Arial" w:cs="Arial"/>
              </w:rPr>
              <w:t>2 (0.5)</w:t>
            </w:r>
          </w:p>
        </w:tc>
        <w:tc>
          <w:tcPr>
            <w:tcW w:w="1813" w:type="dxa"/>
            <w:tcBorders>
              <w:top w:val="nil"/>
              <w:bottom w:val="thinThickSmallGap" w:sz="12" w:space="0" w:color="auto"/>
            </w:tcBorders>
          </w:tcPr>
          <w:p w14:paraId="3FBACEC8" w14:textId="77777777" w:rsidR="00257F39" w:rsidRPr="000921C4" w:rsidRDefault="00257F39" w:rsidP="000C6045">
            <w:pPr>
              <w:spacing w:before="40" w:after="40"/>
              <w:rPr>
                <w:rFonts w:ascii="Arial" w:hAnsi="Arial" w:cs="Arial"/>
              </w:rPr>
            </w:pPr>
            <w:r w:rsidRPr="000921C4">
              <w:rPr>
                <w:rFonts w:ascii="Arial" w:hAnsi="Arial" w:cs="Arial"/>
              </w:rPr>
              <w:t>124 (29.7)</w:t>
            </w:r>
          </w:p>
        </w:tc>
        <w:tc>
          <w:tcPr>
            <w:tcW w:w="1813" w:type="dxa"/>
            <w:tcBorders>
              <w:top w:val="nil"/>
              <w:bottom w:val="thinThickSmallGap" w:sz="12" w:space="0" w:color="auto"/>
            </w:tcBorders>
          </w:tcPr>
          <w:p w14:paraId="7C9BB262" w14:textId="77777777" w:rsidR="00257F39" w:rsidRPr="000921C4" w:rsidRDefault="00257F39" w:rsidP="000C6045">
            <w:pPr>
              <w:spacing w:before="40" w:after="40"/>
              <w:rPr>
                <w:rFonts w:ascii="Arial" w:hAnsi="Arial" w:cs="Arial"/>
              </w:rPr>
            </w:pPr>
            <w:r w:rsidRPr="000921C4">
              <w:rPr>
                <w:rFonts w:ascii="Arial" w:hAnsi="Arial" w:cs="Arial"/>
              </w:rPr>
              <w:t>3 (0.7)</w:t>
            </w:r>
          </w:p>
        </w:tc>
      </w:tr>
      <w:tr w:rsidR="00257F39" w:rsidRPr="000921C4" w14:paraId="7B12B7BD" w14:textId="77777777" w:rsidTr="000C6045">
        <w:tc>
          <w:tcPr>
            <w:tcW w:w="1812" w:type="dxa"/>
            <w:tcBorders>
              <w:top w:val="thinThickSmallGap" w:sz="12" w:space="0" w:color="auto"/>
              <w:bottom w:val="thickThinSmallGap" w:sz="12" w:space="0" w:color="auto"/>
            </w:tcBorders>
            <w:shd w:val="clear" w:color="auto" w:fill="D9D9D9"/>
          </w:tcPr>
          <w:p w14:paraId="2581354F" w14:textId="77777777" w:rsidR="00257F39" w:rsidRPr="000921C4" w:rsidRDefault="00257F39" w:rsidP="000C6045">
            <w:pPr>
              <w:rPr>
                <w:rFonts w:ascii="Arial" w:hAnsi="Arial" w:cs="Arial"/>
                <w:b/>
                <w:bCs/>
              </w:rPr>
            </w:pPr>
          </w:p>
        </w:tc>
        <w:tc>
          <w:tcPr>
            <w:tcW w:w="7250" w:type="dxa"/>
            <w:gridSpan w:val="4"/>
            <w:tcBorders>
              <w:top w:val="thinThickSmallGap" w:sz="12" w:space="0" w:color="auto"/>
              <w:bottom w:val="thickThinSmallGap" w:sz="12" w:space="0" w:color="auto"/>
            </w:tcBorders>
            <w:shd w:val="clear" w:color="auto" w:fill="D9D9D9"/>
          </w:tcPr>
          <w:p w14:paraId="68E6D8A9" w14:textId="77777777" w:rsidR="00257F39" w:rsidRPr="000921C4" w:rsidRDefault="00257F39" w:rsidP="000C6045">
            <w:pPr>
              <w:rPr>
                <w:rFonts w:ascii="Arial" w:hAnsi="Arial" w:cs="Arial"/>
                <w:b/>
                <w:bCs/>
              </w:rPr>
            </w:pPr>
            <w:r w:rsidRPr="000921C4">
              <w:rPr>
                <w:rFonts w:ascii="Arial" w:hAnsi="Arial" w:cs="Arial"/>
                <w:b/>
                <w:bCs/>
              </w:rPr>
              <w:t>Meal consumption frequency</w:t>
            </w:r>
          </w:p>
        </w:tc>
      </w:tr>
      <w:tr w:rsidR="00257F39" w:rsidRPr="000921C4" w14:paraId="46BB087F" w14:textId="77777777" w:rsidTr="000C6045">
        <w:tc>
          <w:tcPr>
            <w:tcW w:w="1812" w:type="dxa"/>
            <w:tcBorders>
              <w:top w:val="thickThinSmallGap" w:sz="12" w:space="0" w:color="auto"/>
            </w:tcBorders>
            <w:shd w:val="clear" w:color="auto" w:fill="FFFFFF"/>
          </w:tcPr>
          <w:p w14:paraId="181FC087" w14:textId="77777777" w:rsidR="00257F39" w:rsidRPr="000921C4" w:rsidRDefault="00257F39" w:rsidP="000C6045">
            <w:pPr>
              <w:spacing w:before="40" w:after="40"/>
              <w:rPr>
                <w:rFonts w:ascii="Arial" w:hAnsi="Arial" w:cs="Arial"/>
              </w:rPr>
            </w:pPr>
            <w:r w:rsidRPr="000921C4">
              <w:rPr>
                <w:rFonts w:ascii="Arial" w:hAnsi="Arial" w:cs="Arial"/>
              </w:rPr>
              <w:t xml:space="preserve">Everyday </w:t>
            </w:r>
          </w:p>
        </w:tc>
        <w:tc>
          <w:tcPr>
            <w:tcW w:w="1812" w:type="dxa"/>
            <w:tcBorders>
              <w:top w:val="thickThinSmallGap" w:sz="12" w:space="0" w:color="auto"/>
            </w:tcBorders>
            <w:shd w:val="clear" w:color="auto" w:fill="FFFFFF"/>
          </w:tcPr>
          <w:p w14:paraId="1529C00E" w14:textId="77777777" w:rsidR="00257F39" w:rsidRPr="000921C4" w:rsidRDefault="00257F39" w:rsidP="000C6045">
            <w:pPr>
              <w:spacing w:before="40" w:after="40"/>
              <w:rPr>
                <w:rFonts w:ascii="Arial" w:hAnsi="Arial" w:cs="Arial"/>
              </w:rPr>
            </w:pPr>
            <w:r w:rsidRPr="000921C4">
              <w:rPr>
                <w:rFonts w:ascii="Arial" w:hAnsi="Arial" w:cs="Arial"/>
              </w:rPr>
              <w:t>227 (54.3)</w:t>
            </w:r>
          </w:p>
        </w:tc>
        <w:tc>
          <w:tcPr>
            <w:tcW w:w="1812" w:type="dxa"/>
            <w:tcBorders>
              <w:top w:val="thickThinSmallGap" w:sz="12" w:space="0" w:color="auto"/>
            </w:tcBorders>
            <w:shd w:val="clear" w:color="auto" w:fill="FFFFFF"/>
          </w:tcPr>
          <w:p w14:paraId="7DB997B9" w14:textId="77777777" w:rsidR="00257F39" w:rsidRPr="000921C4" w:rsidRDefault="00257F39" w:rsidP="000C6045">
            <w:pPr>
              <w:spacing w:before="40" w:after="40"/>
              <w:rPr>
                <w:rFonts w:ascii="Arial" w:hAnsi="Arial" w:cs="Arial"/>
              </w:rPr>
            </w:pPr>
            <w:r w:rsidRPr="000921C4">
              <w:rPr>
                <w:rFonts w:ascii="Arial" w:hAnsi="Arial" w:cs="Arial"/>
              </w:rPr>
              <w:t>326 (77.99)</w:t>
            </w:r>
          </w:p>
        </w:tc>
        <w:tc>
          <w:tcPr>
            <w:tcW w:w="1813" w:type="dxa"/>
            <w:tcBorders>
              <w:top w:val="thickThinSmallGap" w:sz="12" w:space="0" w:color="auto"/>
            </w:tcBorders>
            <w:shd w:val="clear" w:color="auto" w:fill="FFFFFF"/>
          </w:tcPr>
          <w:p w14:paraId="53FE8EB7" w14:textId="77777777" w:rsidR="00257F39" w:rsidRPr="000921C4" w:rsidRDefault="00257F39" w:rsidP="000C6045">
            <w:pPr>
              <w:spacing w:before="40" w:after="40"/>
              <w:rPr>
                <w:rFonts w:ascii="Arial" w:hAnsi="Arial" w:cs="Arial"/>
              </w:rPr>
            </w:pPr>
            <w:r w:rsidRPr="000921C4">
              <w:rPr>
                <w:rFonts w:ascii="Arial" w:hAnsi="Arial" w:cs="Arial"/>
              </w:rPr>
              <w:t>138 (33.0)</w:t>
            </w:r>
          </w:p>
        </w:tc>
        <w:tc>
          <w:tcPr>
            <w:tcW w:w="1813" w:type="dxa"/>
            <w:tcBorders>
              <w:top w:val="thickThinSmallGap" w:sz="12" w:space="0" w:color="auto"/>
            </w:tcBorders>
            <w:shd w:val="clear" w:color="auto" w:fill="FFFFFF"/>
          </w:tcPr>
          <w:p w14:paraId="67B5DBB8" w14:textId="77777777" w:rsidR="00257F39" w:rsidRPr="000921C4" w:rsidRDefault="00257F39" w:rsidP="000C6045">
            <w:pPr>
              <w:spacing w:before="40" w:after="40"/>
              <w:jc w:val="center"/>
              <w:rPr>
                <w:rFonts w:ascii="Arial" w:hAnsi="Arial" w:cs="Arial"/>
              </w:rPr>
            </w:pPr>
            <w:r w:rsidRPr="000921C4">
              <w:rPr>
                <w:rFonts w:ascii="Arial" w:hAnsi="Arial" w:cs="Arial"/>
              </w:rPr>
              <w:t>351 (83.97)</w:t>
            </w:r>
          </w:p>
        </w:tc>
      </w:tr>
      <w:tr w:rsidR="00257F39" w:rsidRPr="000921C4" w14:paraId="6D5B26BF" w14:textId="77777777" w:rsidTr="000C6045">
        <w:tc>
          <w:tcPr>
            <w:tcW w:w="1812" w:type="dxa"/>
            <w:shd w:val="clear" w:color="auto" w:fill="D9D9D9"/>
          </w:tcPr>
          <w:p w14:paraId="1041C422" w14:textId="77777777" w:rsidR="00257F39" w:rsidRPr="000921C4" w:rsidRDefault="00257F39" w:rsidP="000C6045">
            <w:pPr>
              <w:spacing w:before="40"/>
              <w:rPr>
                <w:rFonts w:ascii="Arial" w:hAnsi="Arial" w:cs="Arial"/>
              </w:rPr>
            </w:pPr>
            <w:r w:rsidRPr="000921C4">
              <w:rPr>
                <w:rFonts w:ascii="Arial" w:hAnsi="Arial" w:cs="Arial"/>
              </w:rPr>
              <w:t xml:space="preserve">4 to 5 times /week </w:t>
            </w:r>
          </w:p>
        </w:tc>
        <w:tc>
          <w:tcPr>
            <w:tcW w:w="1812" w:type="dxa"/>
            <w:shd w:val="clear" w:color="auto" w:fill="D9D9D9"/>
          </w:tcPr>
          <w:p w14:paraId="460E1794" w14:textId="77777777" w:rsidR="00257F39" w:rsidRPr="000921C4" w:rsidRDefault="00257F39" w:rsidP="000C6045">
            <w:pPr>
              <w:spacing w:before="40"/>
              <w:rPr>
                <w:rFonts w:ascii="Arial" w:hAnsi="Arial" w:cs="Arial"/>
              </w:rPr>
            </w:pPr>
            <w:r w:rsidRPr="000921C4">
              <w:rPr>
                <w:rFonts w:ascii="Arial" w:hAnsi="Arial" w:cs="Arial"/>
              </w:rPr>
              <w:t>17 (4.1)</w:t>
            </w:r>
          </w:p>
        </w:tc>
        <w:tc>
          <w:tcPr>
            <w:tcW w:w="1812" w:type="dxa"/>
            <w:shd w:val="clear" w:color="auto" w:fill="D9D9D9"/>
          </w:tcPr>
          <w:p w14:paraId="25AB70B1" w14:textId="77777777" w:rsidR="00257F39" w:rsidRPr="000921C4" w:rsidRDefault="00257F39" w:rsidP="000C6045">
            <w:pPr>
              <w:spacing w:before="40"/>
              <w:rPr>
                <w:rFonts w:ascii="Arial" w:hAnsi="Arial" w:cs="Arial"/>
              </w:rPr>
            </w:pPr>
            <w:r w:rsidRPr="000921C4">
              <w:rPr>
                <w:rFonts w:ascii="Arial" w:hAnsi="Arial" w:cs="Arial"/>
              </w:rPr>
              <w:t>11 (2.63)</w:t>
            </w:r>
          </w:p>
        </w:tc>
        <w:tc>
          <w:tcPr>
            <w:tcW w:w="1813" w:type="dxa"/>
            <w:shd w:val="clear" w:color="auto" w:fill="D9D9D9"/>
          </w:tcPr>
          <w:p w14:paraId="3D0F0DAB" w14:textId="77777777" w:rsidR="00257F39" w:rsidRPr="000921C4" w:rsidRDefault="00257F39" w:rsidP="000C6045">
            <w:pPr>
              <w:spacing w:before="40"/>
              <w:rPr>
                <w:rFonts w:ascii="Arial" w:hAnsi="Arial" w:cs="Arial"/>
              </w:rPr>
            </w:pPr>
            <w:r w:rsidRPr="000921C4">
              <w:rPr>
                <w:rFonts w:ascii="Arial" w:hAnsi="Arial" w:cs="Arial"/>
              </w:rPr>
              <w:t>27 (6.5)</w:t>
            </w:r>
          </w:p>
        </w:tc>
        <w:tc>
          <w:tcPr>
            <w:tcW w:w="1813" w:type="dxa"/>
            <w:shd w:val="clear" w:color="auto" w:fill="D9D9D9"/>
          </w:tcPr>
          <w:p w14:paraId="058C2B06" w14:textId="77777777" w:rsidR="00257F39" w:rsidRPr="000921C4" w:rsidRDefault="00257F39" w:rsidP="000C6045">
            <w:pPr>
              <w:spacing w:before="40"/>
              <w:jc w:val="center"/>
              <w:rPr>
                <w:rFonts w:ascii="Arial" w:hAnsi="Arial" w:cs="Arial"/>
              </w:rPr>
            </w:pPr>
            <w:r w:rsidRPr="000921C4">
              <w:rPr>
                <w:rFonts w:ascii="Arial" w:hAnsi="Arial" w:cs="Arial"/>
              </w:rPr>
              <w:t>14 (3.36)</w:t>
            </w:r>
          </w:p>
        </w:tc>
      </w:tr>
      <w:tr w:rsidR="00257F39" w:rsidRPr="000921C4" w14:paraId="654D831B" w14:textId="77777777" w:rsidTr="000C6045">
        <w:tc>
          <w:tcPr>
            <w:tcW w:w="1812" w:type="dxa"/>
            <w:shd w:val="clear" w:color="auto" w:fill="FFFFFF"/>
          </w:tcPr>
          <w:p w14:paraId="5CEA559C" w14:textId="77777777" w:rsidR="00257F39" w:rsidRPr="000921C4" w:rsidRDefault="00257F39" w:rsidP="000C6045">
            <w:pPr>
              <w:spacing w:before="40"/>
              <w:rPr>
                <w:rFonts w:ascii="Arial" w:hAnsi="Arial" w:cs="Arial"/>
              </w:rPr>
            </w:pPr>
            <w:r w:rsidRPr="000921C4">
              <w:rPr>
                <w:rFonts w:ascii="Arial" w:hAnsi="Arial" w:cs="Arial"/>
              </w:rPr>
              <w:t>2 to 3 times / week</w:t>
            </w:r>
          </w:p>
        </w:tc>
        <w:tc>
          <w:tcPr>
            <w:tcW w:w="1812" w:type="dxa"/>
            <w:shd w:val="clear" w:color="auto" w:fill="FFFFFF"/>
          </w:tcPr>
          <w:p w14:paraId="24E334FD" w14:textId="77777777" w:rsidR="00257F39" w:rsidRPr="000921C4" w:rsidRDefault="00257F39" w:rsidP="000C6045">
            <w:pPr>
              <w:spacing w:before="40"/>
              <w:rPr>
                <w:rFonts w:ascii="Arial" w:hAnsi="Arial" w:cs="Arial"/>
              </w:rPr>
            </w:pPr>
            <w:r w:rsidRPr="000921C4">
              <w:rPr>
                <w:rFonts w:ascii="Arial" w:hAnsi="Arial" w:cs="Arial"/>
              </w:rPr>
              <w:t>32 (7.7)</w:t>
            </w:r>
          </w:p>
        </w:tc>
        <w:tc>
          <w:tcPr>
            <w:tcW w:w="1812" w:type="dxa"/>
            <w:shd w:val="clear" w:color="auto" w:fill="FFFFFF"/>
          </w:tcPr>
          <w:p w14:paraId="3B74964B" w14:textId="77777777" w:rsidR="00257F39" w:rsidRPr="000921C4" w:rsidRDefault="00257F39" w:rsidP="000C6045">
            <w:pPr>
              <w:spacing w:before="40"/>
              <w:rPr>
                <w:rFonts w:ascii="Arial" w:hAnsi="Arial" w:cs="Arial"/>
              </w:rPr>
            </w:pPr>
            <w:r w:rsidRPr="000921C4">
              <w:rPr>
                <w:rFonts w:ascii="Arial" w:hAnsi="Arial" w:cs="Arial"/>
              </w:rPr>
              <w:t>29 (6.93)</w:t>
            </w:r>
          </w:p>
        </w:tc>
        <w:tc>
          <w:tcPr>
            <w:tcW w:w="1813" w:type="dxa"/>
            <w:shd w:val="clear" w:color="auto" w:fill="FFFFFF"/>
          </w:tcPr>
          <w:p w14:paraId="02B6808F" w14:textId="77777777" w:rsidR="00257F39" w:rsidRPr="000921C4" w:rsidRDefault="00257F39" w:rsidP="000C6045">
            <w:pPr>
              <w:spacing w:before="40"/>
              <w:rPr>
                <w:rFonts w:ascii="Arial" w:hAnsi="Arial" w:cs="Arial"/>
              </w:rPr>
            </w:pPr>
            <w:r w:rsidRPr="000921C4">
              <w:rPr>
                <w:rFonts w:ascii="Arial" w:hAnsi="Arial" w:cs="Arial"/>
              </w:rPr>
              <w:t>30 (7.2)</w:t>
            </w:r>
          </w:p>
        </w:tc>
        <w:tc>
          <w:tcPr>
            <w:tcW w:w="1813" w:type="dxa"/>
            <w:shd w:val="clear" w:color="auto" w:fill="FFFFFF"/>
          </w:tcPr>
          <w:p w14:paraId="2E6EA21A" w14:textId="77777777" w:rsidR="00257F39" w:rsidRPr="000921C4" w:rsidRDefault="00257F39" w:rsidP="000C6045">
            <w:pPr>
              <w:spacing w:before="40"/>
              <w:jc w:val="center"/>
              <w:rPr>
                <w:rFonts w:ascii="Arial" w:hAnsi="Arial" w:cs="Arial"/>
              </w:rPr>
            </w:pPr>
            <w:r w:rsidRPr="000921C4">
              <w:rPr>
                <w:rFonts w:ascii="Arial" w:hAnsi="Arial" w:cs="Arial"/>
              </w:rPr>
              <w:t>11 (2.63)</w:t>
            </w:r>
          </w:p>
        </w:tc>
      </w:tr>
      <w:tr w:rsidR="00257F39" w:rsidRPr="000921C4" w14:paraId="5CC9C8F9" w14:textId="77777777" w:rsidTr="000C6045">
        <w:tc>
          <w:tcPr>
            <w:tcW w:w="1812" w:type="dxa"/>
            <w:shd w:val="clear" w:color="auto" w:fill="D9D9D9"/>
          </w:tcPr>
          <w:p w14:paraId="69AB9479" w14:textId="77777777" w:rsidR="00257F39" w:rsidRPr="000921C4" w:rsidRDefault="00257F39" w:rsidP="000C6045">
            <w:pPr>
              <w:spacing w:before="40" w:after="40"/>
              <w:rPr>
                <w:rFonts w:ascii="Arial" w:hAnsi="Arial" w:cs="Arial"/>
              </w:rPr>
            </w:pPr>
            <w:r w:rsidRPr="000921C4">
              <w:rPr>
                <w:rFonts w:ascii="Arial" w:hAnsi="Arial" w:cs="Arial"/>
              </w:rPr>
              <w:t>Sometimes</w:t>
            </w:r>
          </w:p>
        </w:tc>
        <w:tc>
          <w:tcPr>
            <w:tcW w:w="1812" w:type="dxa"/>
            <w:shd w:val="clear" w:color="auto" w:fill="D9D9D9"/>
          </w:tcPr>
          <w:p w14:paraId="766BD4D9" w14:textId="77777777" w:rsidR="00257F39" w:rsidRPr="000921C4" w:rsidRDefault="00257F39" w:rsidP="000C6045">
            <w:pPr>
              <w:spacing w:before="40" w:after="40"/>
              <w:rPr>
                <w:rFonts w:ascii="Arial" w:hAnsi="Arial" w:cs="Arial"/>
              </w:rPr>
            </w:pPr>
            <w:r w:rsidRPr="000921C4">
              <w:rPr>
                <w:rFonts w:ascii="Arial" w:hAnsi="Arial" w:cs="Arial"/>
              </w:rPr>
              <w:t>89 (21.2)</w:t>
            </w:r>
          </w:p>
        </w:tc>
        <w:tc>
          <w:tcPr>
            <w:tcW w:w="1812" w:type="dxa"/>
            <w:shd w:val="clear" w:color="auto" w:fill="D9D9D9"/>
          </w:tcPr>
          <w:p w14:paraId="21D18271" w14:textId="77777777" w:rsidR="00257F39" w:rsidRPr="000921C4" w:rsidRDefault="00257F39" w:rsidP="000C6045">
            <w:pPr>
              <w:spacing w:before="40" w:after="40"/>
              <w:rPr>
                <w:rFonts w:ascii="Arial" w:hAnsi="Arial" w:cs="Arial"/>
              </w:rPr>
            </w:pPr>
            <w:r w:rsidRPr="000921C4">
              <w:rPr>
                <w:rFonts w:ascii="Arial" w:hAnsi="Arial" w:cs="Arial"/>
              </w:rPr>
              <w:t>50 (11.96)</w:t>
            </w:r>
          </w:p>
        </w:tc>
        <w:tc>
          <w:tcPr>
            <w:tcW w:w="1813" w:type="dxa"/>
            <w:shd w:val="clear" w:color="auto" w:fill="D9D9D9"/>
          </w:tcPr>
          <w:p w14:paraId="7D85FB65" w14:textId="77777777" w:rsidR="00257F39" w:rsidRPr="000921C4" w:rsidRDefault="00257F39" w:rsidP="000C6045">
            <w:pPr>
              <w:spacing w:before="40" w:after="40"/>
              <w:rPr>
                <w:rFonts w:ascii="Arial" w:hAnsi="Arial" w:cs="Arial"/>
              </w:rPr>
            </w:pPr>
            <w:r w:rsidRPr="000921C4">
              <w:rPr>
                <w:rFonts w:ascii="Arial" w:hAnsi="Arial" w:cs="Arial"/>
              </w:rPr>
              <w:t>101 (24.1)</w:t>
            </w:r>
          </w:p>
        </w:tc>
        <w:tc>
          <w:tcPr>
            <w:tcW w:w="1813" w:type="dxa"/>
            <w:shd w:val="clear" w:color="auto" w:fill="D9D9D9"/>
          </w:tcPr>
          <w:p w14:paraId="180A436F" w14:textId="77777777" w:rsidR="00257F39" w:rsidRPr="000921C4" w:rsidRDefault="00257F39" w:rsidP="000C6045">
            <w:pPr>
              <w:spacing w:before="40" w:after="40"/>
              <w:jc w:val="center"/>
              <w:rPr>
                <w:rFonts w:ascii="Arial" w:hAnsi="Arial" w:cs="Arial"/>
              </w:rPr>
            </w:pPr>
            <w:r w:rsidRPr="000921C4">
              <w:rPr>
                <w:rFonts w:ascii="Arial" w:hAnsi="Arial" w:cs="Arial"/>
              </w:rPr>
              <w:t>39 (9.33)</w:t>
            </w:r>
          </w:p>
        </w:tc>
      </w:tr>
      <w:tr w:rsidR="00257F39" w:rsidRPr="000921C4" w14:paraId="00E6B27F" w14:textId="77777777" w:rsidTr="000C6045">
        <w:tc>
          <w:tcPr>
            <w:tcW w:w="1812" w:type="dxa"/>
            <w:tcBorders>
              <w:bottom w:val="thickThinSmallGap" w:sz="12" w:space="0" w:color="auto"/>
            </w:tcBorders>
            <w:shd w:val="clear" w:color="auto" w:fill="FFFFFF"/>
          </w:tcPr>
          <w:p w14:paraId="442FD585"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 xml:space="preserve">No </w:t>
            </w:r>
          </w:p>
        </w:tc>
        <w:tc>
          <w:tcPr>
            <w:tcW w:w="1812" w:type="dxa"/>
            <w:tcBorders>
              <w:bottom w:val="thickThinSmallGap" w:sz="12" w:space="0" w:color="auto"/>
            </w:tcBorders>
            <w:shd w:val="clear" w:color="auto" w:fill="FFFFFF"/>
          </w:tcPr>
          <w:p w14:paraId="7A1F19B8"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53 (12.7)</w:t>
            </w:r>
          </w:p>
        </w:tc>
        <w:tc>
          <w:tcPr>
            <w:tcW w:w="1812" w:type="dxa"/>
            <w:tcBorders>
              <w:bottom w:val="thickThinSmallGap" w:sz="12" w:space="0" w:color="auto"/>
            </w:tcBorders>
            <w:shd w:val="clear" w:color="auto" w:fill="FFFFFF"/>
          </w:tcPr>
          <w:p w14:paraId="162A8FD9"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2 (0.49)</w:t>
            </w:r>
          </w:p>
        </w:tc>
        <w:tc>
          <w:tcPr>
            <w:tcW w:w="1813" w:type="dxa"/>
            <w:tcBorders>
              <w:bottom w:val="thickThinSmallGap" w:sz="12" w:space="0" w:color="auto"/>
            </w:tcBorders>
            <w:shd w:val="clear" w:color="auto" w:fill="FFFFFF"/>
          </w:tcPr>
          <w:p w14:paraId="79DD2FCD"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122 (29.2)</w:t>
            </w:r>
          </w:p>
        </w:tc>
        <w:tc>
          <w:tcPr>
            <w:tcW w:w="1813" w:type="dxa"/>
            <w:tcBorders>
              <w:bottom w:val="thickThinSmallGap" w:sz="12" w:space="0" w:color="auto"/>
            </w:tcBorders>
            <w:shd w:val="clear" w:color="auto" w:fill="FFFFFF"/>
          </w:tcPr>
          <w:p w14:paraId="357FBF9D" w14:textId="77777777" w:rsidR="00257F39" w:rsidRPr="000921C4" w:rsidRDefault="00257F39" w:rsidP="000C6045">
            <w:pPr>
              <w:shd w:val="clear" w:color="auto" w:fill="FFFFFF"/>
              <w:spacing w:before="40" w:after="40"/>
              <w:ind w:left="360"/>
              <w:rPr>
                <w:rFonts w:ascii="Arial" w:hAnsi="Arial" w:cs="Arial"/>
              </w:rPr>
            </w:pPr>
            <w:r w:rsidRPr="000921C4">
              <w:rPr>
                <w:rFonts w:ascii="Arial" w:hAnsi="Arial" w:cs="Arial"/>
              </w:rPr>
              <w:t>3(0.71)</w:t>
            </w:r>
          </w:p>
        </w:tc>
      </w:tr>
    </w:tbl>
    <w:p w14:paraId="2D5A580D" w14:textId="77777777" w:rsidR="00257F39" w:rsidRPr="000921C4" w:rsidRDefault="00257F39" w:rsidP="00257F39">
      <w:pPr>
        <w:spacing w:line="259" w:lineRule="auto"/>
        <w:rPr>
          <w:rFonts w:ascii="Arial" w:hAnsi="Arial" w:cs="Arial"/>
        </w:rPr>
      </w:pPr>
    </w:p>
    <w:p w14:paraId="7DF0C11D" w14:textId="618DBE0A" w:rsidR="00257F39" w:rsidRPr="00451FB5" w:rsidRDefault="00257F39" w:rsidP="00257F39">
      <w:pPr>
        <w:spacing w:before="240" w:line="259" w:lineRule="auto"/>
        <w:jc w:val="both"/>
        <w:rPr>
          <w:rFonts w:ascii="Arial" w:hAnsi="Arial" w:cs="Arial"/>
          <w:b/>
          <w:bCs/>
        </w:rPr>
      </w:pPr>
      <w:r w:rsidRPr="00451FB5">
        <w:rPr>
          <w:rFonts w:ascii="Arial" w:hAnsi="Arial" w:cs="Arial"/>
          <w:b/>
          <w:bCs/>
        </w:rPr>
        <w:t>3.1.2 Meal Times</w:t>
      </w:r>
    </w:p>
    <w:p w14:paraId="182D6B70" w14:textId="77777777" w:rsidR="00257F39" w:rsidRPr="000921C4" w:rsidRDefault="00257F39" w:rsidP="001B342C">
      <w:pPr>
        <w:spacing w:before="240" w:line="360" w:lineRule="auto"/>
        <w:jc w:val="both"/>
        <w:rPr>
          <w:rFonts w:ascii="Arial" w:hAnsi="Arial" w:cs="Arial"/>
        </w:rPr>
      </w:pPr>
      <w:r w:rsidRPr="000921C4">
        <w:rPr>
          <w:rFonts w:ascii="Arial" w:hAnsi="Arial" w:cs="Arial"/>
        </w:rPr>
        <w:t>The survey results showed that the proportions of students who eat breakfast, lunch, and dinner at appropriate times are respectively: 171 (40.9%), 350 (83.73%), and 120 (28.7%). Dinner, however, is eaten by the majority of students (295; 70.81%) starting at 8:00 PM.</w:t>
      </w:r>
    </w:p>
    <w:p w14:paraId="217F6727" w14:textId="4CA20F5B" w:rsidR="00257F39" w:rsidRPr="000921C4" w:rsidRDefault="00257F39" w:rsidP="00257F39">
      <w:pPr>
        <w:spacing w:before="240" w:line="259" w:lineRule="auto"/>
        <w:jc w:val="both"/>
        <w:rPr>
          <w:rFonts w:ascii="Arial" w:hAnsi="Arial" w:cs="Arial"/>
        </w:rPr>
      </w:pPr>
      <w:r w:rsidRPr="000921C4">
        <w:rPr>
          <w:rFonts w:ascii="Arial" w:hAnsi="Arial" w:cs="Arial"/>
        </w:rPr>
        <w:t xml:space="preserve">Table </w:t>
      </w:r>
      <w:r w:rsidR="00EE5C9D">
        <w:rPr>
          <w:rFonts w:ascii="Arial" w:hAnsi="Arial" w:cs="Arial"/>
        </w:rPr>
        <w:t>2:</w:t>
      </w:r>
      <w:r w:rsidRPr="000921C4">
        <w:rPr>
          <w:rFonts w:ascii="Arial" w:hAnsi="Arial" w:cs="Arial"/>
        </w:rPr>
        <w:t xml:space="preserve"> Times of the different daily meals</w:t>
      </w:r>
    </w:p>
    <w:tbl>
      <w:tblPr>
        <w:tblW w:w="0" w:type="auto"/>
        <w:tblBorders>
          <w:top w:val="thinThickSmallGap" w:sz="12" w:space="0" w:color="auto"/>
          <w:bottom w:val="thickThinSmallGap" w:sz="12" w:space="0" w:color="auto"/>
        </w:tblBorders>
        <w:tblLook w:val="04A0" w:firstRow="1" w:lastRow="0" w:firstColumn="1" w:lastColumn="0" w:noHBand="0" w:noVBand="1"/>
      </w:tblPr>
      <w:tblGrid>
        <w:gridCol w:w="4315"/>
        <w:gridCol w:w="3893"/>
      </w:tblGrid>
      <w:tr w:rsidR="00257F39" w:rsidRPr="000921C4" w14:paraId="2832F3DD" w14:textId="77777777" w:rsidTr="00F27251">
        <w:trPr>
          <w:trHeight w:val="303"/>
        </w:trPr>
        <w:tc>
          <w:tcPr>
            <w:tcW w:w="4361" w:type="dxa"/>
            <w:tcBorders>
              <w:top w:val="thinThickSmallGap" w:sz="12" w:space="0" w:color="auto"/>
              <w:bottom w:val="thinThickSmallGap" w:sz="12" w:space="0" w:color="auto"/>
            </w:tcBorders>
          </w:tcPr>
          <w:p w14:paraId="2FA5173D" w14:textId="77777777" w:rsidR="00257F39" w:rsidRPr="000921C4" w:rsidRDefault="00257F39" w:rsidP="000C6045">
            <w:pPr>
              <w:rPr>
                <w:rFonts w:ascii="Arial" w:hAnsi="Arial" w:cs="Arial"/>
              </w:rPr>
            </w:pPr>
            <w:r w:rsidRPr="000921C4">
              <w:rPr>
                <w:rFonts w:ascii="Arial" w:hAnsi="Arial" w:cs="Arial"/>
              </w:rPr>
              <w:t xml:space="preserve">Assessment method </w:t>
            </w:r>
          </w:p>
        </w:tc>
        <w:tc>
          <w:tcPr>
            <w:tcW w:w="3935" w:type="dxa"/>
            <w:tcBorders>
              <w:top w:val="thinThickSmallGap" w:sz="12" w:space="0" w:color="auto"/>
              <w:bottom w:val="thinThickSmallGap" w:sz="12" w:space="0" w:color="auto"/>
            </w:tcBorders>
          </w:tcPr>
          <w:p w14:paraId="6B79515B" w14:textId="77777777" w:rsidR="00257F39" w:rsidRPr="000921C4" w:rsidRDefault="00257F39" w:rsidP="000C6045">
            <w:pPr>
              <w:jc w:val="center"/>
              <w:rPr>
                <w:rFonts w:ascii="Arial" w:hAnsi="Arial" w:cs="Arial"/>
              </w:rPr>
            </w:pPr>
            <w:r w:rsidRPr="000921C4">
              <w:rPr>
                <w:rFonts w:ascii="Arial" w:hAnsi="Arial" w:cs="Arial"/>
              </w:rPr>
              <w:t>Effectives (%)</w:t>
            </w:r>
          </w:p>
        </w:tc>
      </w:tr>
      <w:tr w:rsidR="00257F39" w:rsidRPr="000921C4" w14:paraId="47AC03EB" w14:textId="77777777" w:rsidTr="000C6045">
        <w:trPr>
          <w:trHeight w:val="303"/>
        </w:trPr>
        <w:tc>
          <w:tcPr>
            <w:tcW w:w="8296" w:type="dxa"/>
            <w:gridSpan w:val="2"/>
            <w:tcBorders>
              <w:top w:val="thinThickSmallGap" w:sz="12" w:space="0" w:color="auto"/>
            </w:tcBorders>
            <w:shd w:val="clear" w:color="auto" w:fill="D9D9D9"/>
          </w:tcPr>
          <w:p w14:paraId="45C23D07" w14:textId="77777777" w:rsidR="00257F39" w:rsidRPr="000921C4" w:rsidRDefault="00257F39" w:rsidP="000C6045">
            <w:pPr>
              <w:jc w:val="center"/>
              <w:rPr>
                <w:rFonts w:ascii="Arial" w:hAnsi="Arial" w:cs="Arial"/>
              </w:rPr>
            </w:pPr>
            <w:r w:rsidRPr="000921C4">
              <w:rPr>
                <w:rFonts w:ascii="Arial" w:hAnsi="Arial" w:cs="Arial"/>
              </w:rPr>
              <w:t>Breakfast time</w:t>
            </w:r>
          </w:p>
        </w:tc>
      </w:tr>
      <w:tr w:rsidR="00257F39" w:rsidRPr="000921C4" w14:paraId="75B8297D" w14:textId="77777777" w:rsidTr="00F27251">
        <w:trPr>
          <w:trHeight w:val="303"/>
        </w:trPr>
        <w:tc>
          <w:tcPr>
            <w:tcW w:w="4361" w:type="dxa"/>
          </w:tcPr>
          <w:p w14:paraId="2D1F2810" w14:textId="77777777" w:rsidR="00257F39" w:rsidRPr="000921C4" w:rsidRDefault="00257F39" w:rsidP="000C6045">
            <w:pPr>
              <w:rPr>
                <w:rFonts w:ascii="Arial" w:hAnsi="Arial" w:cs="Arial"/>
              </w:rPr>
            </w:pPr>
            <w:r w:rsidRPr="000921C4">
              <w:rPr>
                <w:rFonts w:ascii="Arial" w:hAnsi="Arial" w:cs="Arial"/>
              </w:rPr>
              <w:t>06 to 08 PM</w:t>
            </w:r>
          </w:p>
        </w:tc>
        <w:tc>
          <w:tcPr>
            <w:tcW w:w="3935" w:type="dxa"/>
          </w:tcPr>
          <w:p w14:paraId="1F50B18D" w14:textId="77777777" w:rsidR="00257F39" w:rsidRPr="000921C4" w:rsidRDefault="00257F39" w:rsidP="000C6045">
            <w:pPr>
              <w:jc w:val="center"/>
              <w:rPr>
                <w:rFonts w:ascii="Arial" w:hAnsi="Arial" w:cs="Arial"/>
              </w:rPr>
            </w:pPr>
            <w:r w:rsidRPr="000921C4">
              <w:rPr>
                <w:rFonts w:ascii="Arial" w:hAnsi="Arial" w:cs="Arial"/>
              </w:rPr>
              <w:t>171 (40.9)</w:t>
            </w:r>
          </w:p>
        </w:tc>
      </w:tr>
      <w:tr w:rsidR="00257F39" w:rsidRPr="000921C4" w14:paraId="7EA910EC" w14:textId="77777777" w:rsidTr="00F27251">
        <w:trPr>
          <w:trHeight w:val="303"/>
        </w:trPr>
        <w:tc>
          <w:tcPr>
            <w:tcW w:w="4361" w:type="dxa"/>
          </w:tcPr>
          <w:p w14:paraId="351C9440" w14:textId="77777777" w:rsidR="00257F39" w:rsidRPr="000921C4" w:rsidRDefault="00257F39" w:rsidP="000C6045">
            <w:pPr>
              <w:rPr>
                <w:rFonts w:ascii="Arial" w:hAnsi="Arial" w:cs="Arial"/>
              </w:rPr>
            </w:pPr>
            <w:r w:rsidRPr="000921C4">
              <w:rPr>
                <w:rFonts w:ascii="Arial" w:hAnsi="Arial" w:cs="Arial"/>
              </w:rPr>
              <w:t>09 to 11 PM</w:t>
            </w:r>
          </w:p>
        </w:tc>
        <w:tc>
          <w:tcPr>
            <w:tcW w:w="3935" w:type="dxa"/>
          </w:tcPr>
          <w:p w14:paraId="24702E33" w14:textId="77777777" w:rsidR="00257F39" w:rsidRPr="000921C4" w:rsidRDefault="00257F39" w:rsidP="000C6045">
            <w:pPr>
              <w:jc w:val="center"/>
              <w:rPr>
                <w:rFonts w:ascii="Arial" w:hAnsi="Arial" w:cs="Arial"/>
              </w:rPr>
            </w:pPr>
            <w:r w:rsidRPr="000921C4">
              <w:rPr>
                <w:rFonts w:ascii="Arial" w:hAnsi="Arial" w:cs="Arial"/>
              </w:rPr>
              <w:t>194 (46.4)</w:t>
            </w:r>
          </w:p>
        </w:tc>
      </w:tr>
      <w:tr w:rsidR="00257F39" w:rsidRPr="000921C4" w14:paraId="79E16165" w14:textId="77777777" w:rsidTr="00F27251">
        <w:trPr>
          <w:trHeight w:val="303"/>
        </w:trPr>
        <w:tc>
          <w:tcPr>
            <w:tcW w:w="4361" w:type="dxa"/>
          </w:tcPr>
          <w:p w14:paraId="36FB28FE" w14:textId="77777777" w:rsidR="00257F39" w:rsidRPr="000921C4" w:rsidRDefault="00257F39" w:rsidP="000C6045">
            <w:pPr>
              <w:rPr>
                <w:rFonts w:ascii="Arial" w:hAnsi="Arial" w:cs="Arial"/>
              </w:rPr>
            </w:pPr>
            <w:r w:rsidRPr="000921C4">
              <w:rPr>
                <w:rFonts w:ascii="Arial" w:hAnsi="Arial" w:cs="Arial"/>
              </w:rPr>
              <w:t>I didn't take</w:t>
            </w:r>
          </w:p>
        </w:tc>
        <w:tc>
          <w:tcPr>
            <w:tcW w:w="3935" w:type="dxa"/>
          </w:tcPr>
          <w:p w14:paraId="5C606A78" w14:textId="77777777" w:rsidR="00257F39" w:rsidRPr="000921C4" w:rsidRDefault="00257F39" w:rsidP="000C6045">
            <w:pPr>
              <w:jc w:val="center"/>
              <w:rPr>
                <w:rFonts w:ascii="Arial" w:hAnsi="Arial" w:cs="Arial"/>
              </w:rPr>
            </w:pPr>
            <w:r w:rsidRPr="000921C4">
              <w:rPr>
                <w:rFonts w:ascii="Arial" w:hAnsi="Arial" w:cs="Arial"/>
              </w:rPr>
              <w:t>53 (12.7)</w:t>
            </w:r>
          </w:p>
        </w:tc>
      </w:tr>
      <w:tr w:rsidR="00257F39" w:rsidRPr="000921C4" w14:paraId="16B52990" w14:textId="77777777" w:rsidTr="000C6045">
        <w:trPr>
          <w:trHeight w:val="303"/>
        </w:trPr>
        <w:tc>
          <w:tcPr>
            <w:tcW w:w="8296" w:type="dxa"/>
            <w:gridSpan w:val="2"/>
            <w:shd w:val="clear" w:color="auto" w:fill="D9D9D9"/>
          </w:tcPr>
          <w:p w14:paraId="56625DCB" w14:textId="77777777" w:rsidR="00257F39" w:rsidRPr="000921C4" w:rsidRDefault="00257F39" w:rsidP="000C6045">
            <w:pPr>
              <w:jc w:val="center"/>
              <w:rPr>
                <w:rFonts w:ascii="Arial" w:hAnsi="Arial" w:cs="Arial"/>
              </w:rPr>
            </w:pPr>
            <w:r w:rsidRPr="000921C4">
              <w:rPr>
                <w:rFonts w:ascii="Arial" w:hAnsi="Arial" w:cs="Arial"/>
              </w:rPr>
              <w:t>Lunch time</w:t>
            </w:r>
          </w:p>
        </w:tc>
      </w:tr>
      <w:tr w:rsidR="00257F39" w:rsidRPr="000921C4" w14:paraId="6C0E7D86" w14:textId="77777777" w:rsidTr="00F27251">
        <w:trPr>
          <w:trHeight w:val="303"/>
        </w:trPr>
        <w:tc>
          <w:tcPr>
            <w:tcW w:w="4361" w:type="dxa"/>
          </w:tcPr>
          <w:p w14:paraId="3F08339B" w14:textId="77777777" w:rsidR="00257F39" w:rsidRPr="000921C4" w:rsidRDefault="00257F39" w:rsidP="000C6045">
            <w:pPr>
              <w:rPr>
                <w:rFonts w:ascii="Arial" w:hAnsi="Arial" w:cs="Arial"/>
              </w:rPr>
            </w:pPr>
            <w:r w:rsidRPr="000921C4">
              <w:rPr>
                <w:rFonts w:ascii="Arial" w:hAnsi="Arial" w:cs="Arial"/>
              </w:rPr>
              <w:t>11H to13 PM</w:t>
            </w:r>
          </w:p>
        </w:tc>
        <w:tc>
          <w:tcPr>
            <w:tcW w:w="3935" w:type="dxa"/>
          </w:tcPr>
          <w:p w14:paraId="38B0A749" w14:textId="77777777" w:rsidR="00257F39" w:rsidRPr="000921C4" w:rsidRDefault="00257F39" w:rsidP="000C6045">
            <w:pPr>
              <w:jc w:val="center"/>
              <w:rPr>
                <w:rFonts w:ascii="Arial" w:hAnsi="Arial" w:cs="Arial"/>
              </w:rPr>
            </w:pPr>
            <w:r w:rsidRPr="000921C4">
              <w:rPr>
                <w:rFonts w:ascii="Arial" w:hAnsi="Arial" w:cs="Arial"/>
              </w:rPr>
              <w:t>350 (84)</w:t>
            </w:r>
          </w:p>
        </w:tc>
      </w:tr>
      <w:tr w:rsidR="00257F39" w:rsidRPr="000921C4" w14:paraId="307A6C5F" w14:textId="77777777" w:rsidTr="00F27251">
        <w:trPr>
          <w:trHeight w:val="303"/>
        </w:trPr>
        <w:tc>
          <w:tcPr>
            <w:tcW w:w="4361" w:type="dxa"/>
          </w:tcPr>
          <w:p w14:paraId="02F26E00" w14:textId="77777777" w:rsidR="00257F39" w:rsidRPr="000921C4" w:rsidRDefault="00257F39" w:rsidP="000C6045">
            <w:pPr>
              <w:rPr>
                <w:rFonts w:ascii="Arial" w:hAnsi="Arial" w:cs="Arial"/>
              </w:rPr>
            </w:pPr>
            <w:r w:rsidRPr="000921C4">
              <w:rPr>
                <w:rFonts w:ascii="Arial" w:hAnsi="Arial" w:cs="Arial"/>
              </w:rPr>
              <w:t>14H to16 PM</w:t>
            </w:r>
          </w:p>
        </w:tc>
        <w:tc>
          <w:tcPr>
            <w:tcW w:w="3935" w:type="dxa"/>
          </w:tcPr>
          <w:p w14:paraId="2972B444" w14:textId="77777777" w:rsidR="00257F39" w:rsidRPr="000921C4" w:rsidRDefault="00257F39" w:rsidP="000C6045">
            <w:pPr>
              <w:jc w:val="center"/>
              <w:rPr>
                <w:rFonts w:ascii="Arial" w:hAnsi="Arial" w:cs="Arial"/>
              </w:rPr>
            </w:pPr>
            <w:r w:rsidRPr="000921C4">
              <w:rPr>
                <w:rFonts w:ascii="Arial" w:hAnsi="Arial" w:cs="Arial"/>
              </w:rPr>
              <w:t>66 (15.5)</w:t>
            </w:r>
          </w:p>
        </w:tc>
      </w:tr>
      <w:tr w:rsidR="00257F39" w:rsidRPr="000921C4" w14:paraId="6E4AE2DE" w14:textId="77777777" w:rsidTr="00F27251">
        <w:trPr>
          <w:trHeight w:val="291"/>
        </w:trPr>
        <w:tc>
          <w:tcPr>
            <w:tcW w:w="4361" w:type="dxa"/>
          </w:tcPr>
          <w:p w14:paraId="639C56EB" w14:textId="77777777" w:rsidR="00257F39" w:rsidRPr="000921C4" w:rsidRDefault="00257F39" w:rsidP="000C6045">
            <w:pPr>
              <w:rPr>
                <w:rFonts w:ascii="Arial" w:hAnsi="Arial" w:cs="Arial"/>
              </w:rPr>
            </w:pPr>
            <w:r w:rsidRPr="000921C4">
              <w:rPr>
                <w:rFonts w:ascii="Arial" w:hAnsi="Arial" w:cs="Arial"/>
              </w:rPr>
              <w:t>I didn't take</w:t>
            </w:r>
          </w:p>
        </w:tc>
        <w:tc>
          <w:tcPr>
            <w:tcW w:w="3935" w:type="dxa"/>
          </w:tcPr>
          <w:p w14:paraId="7FBF707A" w14:textId="77777777" w:rsidR="00257F39" w:rsidRPr="000921C4" w:rsidRDefault="00257F39" w:rsidP="000C6045">
            <w:pPr>
              <w:jc w:val="center"/>
              <w:rPr>
                <w:rFonts w:ascii="Arial" w:hAnsi="Arial" w:cs="Arial"/>
              </w:rPr>
            </w:pPr>
            <w:r w:rsidRPr="000921C4">
              <w:rPr>
                <w:rFonts w:ascii="Arial" w:hAnsi="Arial" w:cs="Arial"/>
              </w:rPr>
              <w:t>2 (0.5)</w:t>
            </w:r>
          </w:p>
        </w:tc>
      </w:tr>
      <w:tr w:rsidR="00257F39" w:rsidRPr="000921C4" w14:paraId="54AED180" w14:textId="77777777" w:rsidTr="000C6045">
        <w:trPr>
          <w:trHeight w:val="303"/>
        </w:trPr>
        <w:tc>
          <w:tcPr>
            <w:tcW w:w="8296" w:type="dxa"/>
            <w:gridSpan w:val="2"/>
            <w:shd w:val="clear" w:color="auto" w:fill="D9D9D9"/>
          </w:tcPr>
          <w:p w14:paraId="49EE43E0" w14:textId="77777777" w:rsidR="00257F39" w:rsidRPr="000921C4" w:rsidRDefault="00257F39" w:rsidP="000C6045">
            <w:pPr>
              <w:jc w:val="center"/>
              <w:rPr>
                <w:rFonts w:ascii="Arial" w:hAnsi="Arial" w:cs="Arial"/>
              </w:rPr>
            </w:pPr>
            <w:r w:rsidRPr="000921C4">
              <w:rPr>
                <w:rFonts w:ascii="Arial" w:hAnsi="Arial" w:cs="Arial"/>
              </w:rPr>
              <w:t>Dinner time</w:t>
            </w:r>
          </w:p>
        </w:tc>
      </w:tr>
      <w:tr w:rsidR="00257F39" w:rsidRPr="000921C4" w14:paraId="4D76E80A" w14:textId="77777777" w:rsidTr="00F27251">
        <w:trPr>
          <w:trHeight w:val="303"/>
        </w:trPr>
        <w:tc>
          <w:tcPr>
            <w:tcW w:w="4361" w:type="dxa"/>
          </w:tcPr>
          <w:p w14:paraId="51A7EF45" w14:textId="77777777" w:rsidR="00257F39" w:rsidRPr="000921C4" w:rsidRDefault="00257F39" w:rsidP="000C6045">
            <w:pPr>
              <w:rPr>
                <w:rFonts w:ascii="Arial" w:hAnsi="Arial" w:cs="Arial"/>
              </w:rPr>
            </w:pPr>
            <w:r w:rsidRPr="000921C4">
              <w:rPr>
                <w:rFonts w:ascii="Arial" w:hAnsi="Arial" w:cs="Arial"/>
              </w:rPr>
              <w:t>17 to 19PM</w:t>
            </w:r>
          </w:p>
        </w:tc>
        <w:tc>
          <w:tcPr>
            <w:tcW w:w="3935" w:type="dxa"/>
          </w:tcPr>
          <w:p w14:paraId="329306C1" w14:textId="77777777" w:rsidR="00257F39" w:rsidRPr="000921C4" w:rsidRDefault="00257F39" w:rsidP="000C6045">
            <w:pPr>
              <w:jc w:val="center"/>
              <w:rPr>
                <w:rFonts w:ascii="Arial" w:hAnsi="Arial" w:cs="Arial"/>
              </w:rPr>
            </w:pPr>
            <w:r w:rsidRPr="000921C4">
              <w:rPr>
                <w:rFonts w:ascii="Arial" w:hAnsi="Arial" w:cs="Arial"/>
              </w:rPr>
              <w:t>120 (28.7)</w:t>
            </w:r>
          </w:p>
        </w:tc>
      </w:tr>
      <w:tr w:rsidR="00257F39" w:rsidRPr="000921C4" w14:paraId="3DCCCF20" w14:textId="77777777" w:rsidTr="00F27251">
        <w:trPr>
          <w:trHeight w:val="303"/>
        </w:trPr>
        <w:tc>
          <w:tcPr>
            <w:tcW w:w="4361" w:type="dxa"/>
          </w:tcPr>
          <w:p w14:paraId="65B09DE0" w14:textId="77777777" w:rsidR="00257F39" w:rsidRPr="000921C4" w:rsidRDefault="00257F39" w:rsidP="000C6045">
            <w:pPr>
              <w:rPr>
                <w:rFonts w:ascii="Arial" w:hAnsi="Arial" w:cs="Arial"/>
              </w:rPr>
            </w:pPr>
            <w:r w:rsidRPr="000921C4">
              <w:rPr>
                <w:rFonts w:ascii="Arial" w:hAnsi="Arial" w:cs="Arial"/>
              </w:rPr>
              <w:lastRenderedPageBreak/>
              <w:t xml:space="preserve">20 PM and after </w:t>
            </w:r>
          </w:p>
        </w:tc>
        <w:tc>
          <w:tcPr>
            <w:tcW w:w="3935" w:type="dxa"/>
          </w:tcPr>
          <w:p w14:paraId="43A576D6" w14:textId="77777777" w:rsidR="00257F39" w:rsidRPr="000921C4" w:rsidRDefault="00257F39" w:rsidP="000C6045">
            <w:pPr>
              <w:jc w:val="center"/>
              <w:rPr>
                <w:rFonts w:ascii="Arial" w:hAnsi="Arial" w:cs="Arial"/>
              </w:rPr>
            </w:pPr>
            <w:r w:rsidRPr="000921C4">
              <w:rPr>
                <w:rFonts w:ascii="Arial" w:hAnsi="Arial" w:cs="Arial"/>
              </w:rPr>
              <w:t>295 (70.81)</w:t>
            </w:r>
          </w:p>
        </w:tc>
      </w:tr>
      <w:tr w:rsidR="00257F39" w:rsidRPr="000921C4" w14:paraId="1E87C298" w14:textId="77777777" w:rsidTr="00F27251">
        <w:trPr>
          <w:trHeight w:val="303"/>
        </w:trPr>
        <w:tc>
          <w:tcPr>
            <w:tcW w:w="4361" w:type="dxa"/>
          </w:tcPr>
          <w:p w14:paraId="7532E13A" w14:textId="77777777" w:rsidR="00257F39" w:rsidRPr="000921C4" w:rsidRDefault="00257F39" w:rsidP="000C6045">
            <w:pPr>
              <w:rPr>
                <w:rFonts w:ascii="Arial" w:hAnsi="Arial" w:cs="Arial"/>
              </w:rPr>
            </w:pPr>
            <w:r w:rsidRPr="000921C4">
              <w:rPr>
                <w:rFonts w:ascii="Arial" w:hAnsi="Arial" w:cs="Arial"/>
              </w:rPr>
              <w:t>I didn't take</w:t>
            </w:r>
          </w:p>
        </w:tc>
        <w:tc>
          <w:tcPr>
            <w:tcW w:w="3935" w:type="dxa"/>
          </w:tcPr>
          <w:p w14:paraId="3BF76FC6" w14:textId="77777777" w:rsidR="00257F39" w:rsidRPr="000921C4" w:rsidRDefault="00257F39" w:rsidP="000C6045">
            <w:pPr>
              <w:jc w:val="center"/>
              <w:rPr>
                <w:rFonts w:ascii="Arial" w:hAnsi="Arial" w:cs="Arial"/>
              </w:rPr>
            </w:pPr>
            <w:r w:rsidRPr="000921C4">
              <w:rPr>
                <w:rFonts w:ascii="Arial" w:hAnsi="Arial" w:cs="Arial"/>
              </w:rPr>
              <w:t>2(0.49)</w:t>
            </w:r>
          </w:p>
        </w:tc>
      </w:tr>
    </w:tbl>
    <w:p w14:paraId="22A8D7B2" w14:textId="77777777" w:rsidR="00F27251" w:rsidRPr="007108A3" w:rsidRDefault="00F27251" w:rsidP="00F27251">
      <w:pPr>
        <w:spacing w:line="360" w:lineRule="auto"/>
        <w:jc w:val="both"/>
        <w:rPr>
          <w:rFonts w:ascii="Arial" w:hAnsi="Arial" w:cs="Arial"/>
          <w:sz w:val="22"/>
        </w:rPr>
      </w:pPr>
      <w:r w:rsidRPr="007108A3">
        <w:rPr>
          <w:rFonts w:ascii="Arial" w:hAnsi="Arial" w:cs="Arial"/>
          <w:sz w:val="22"/>
        </w:rPr>
        <w:t xml:space="preserve">3.1.3 Nutritional Status </w:t>
      </w:r>
    </w:p>
    <w:p w14:paraId="42678F39" w14:textId="77777777" w:rsidR="00F27251" w:rsidRPr="007108A3" w:rsidRDefault="00F27251" w:rsidP="00F27251">
      <w:pPr>
        <w:spacing w:line="360" w:lineRule="auto"/>
        <w:jc w:val="both"/>
        <w:rPr>
          <w:rFonts w:ascii="Arial" w:hAnsi="Arial" w:cs="Arial"/>
          <w:szCs w:val="18"/>
        </w:rPr>
      </w:pPr>
      <w:r w:rsidRPr="007108A3">
        <w:rPr>
          <w:rFonts w:ascii="Arial" w:hAnsi="Arial" w:cs="Arial"/>
          <w:szCs w:val="18"/>
        </w:rPr>
        <w:t>The results showed that the majority of students surveyed were of normal weight (77%). They also showed that underweight, overweight, and obese students represented 11%, 7.2%, and 4.8%, respectively. These results reveal that 23% of the students surveyed have nutritional problems, characterized by underweight, overweight, and obesity.</w:t>
      </w:r>
    </w:p>
    <w:p w14:paraId="19EE4318" w14:textId="30707253" w:rsidR="00F27251" w:rsidRDefault="00F27251" w:rsidP="00F27251">
      <w:pPr>
        <w:spacing w:line="259" w:lineRule="auto"/>
        <w:rPr>
          <w:rFonts w:ascii="Arial" w:hAnsi="Arial" w:cs="Arial"/>
          <w:noProof/>
          <w:sz w:val="18"/>
          <w:szCs w:val="18"/>
          <w:lang w:eastAsia="fr-FR"/>
        </w:rPr>
      </w:pPr>
      <w:r w:rsidRPr="007108A3">
        <w:rPr>
          <w:rFonts w:ascii="Arial" w:hAnsi="Arial" w:cs="Arial"/>
          <w:noProof/>
          <w:lang w:val="en-IN" w:eastAsia="en-IN"/>
        </w:rPr>
        <w:drawing>
          <wp:inline distT="0" distB="0" distL="0" distR="0" wp14:anchorId="05CCF392" wp14:editId="2DCD07C1">
            <wp:extent cx="5224145" cy="2692400"/>
            <wp:effectExtent l="0" t="0" r="0" b="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DEB8EF" w14:textId="77777777" w:rsidR="000A5DAA" w:rsidRPr="007108A3" w:rsidRDefault="000A5DAA" w:rsidP="00F27251">
      <w:pPr>
        <w:spacing w:line="259" w:lineRule="auto"/>
        <w:rPr>
          <w:rFonts w:ascii="Arial" w:hAnsi="Arial" w:cs="Arial"/>
          <w:noProof/>
          <w:sz w:val="18"/>
          <w:szCs w:val="18"/>
          <w:lang w:eastAsia="fr-FR"/>
        </w:rPr>
      </w:pPr>
    </w:p>
    <w:p w14:paraId="6490AAD6" w14:textId="3635299D" w:rsidR="00F27251" w:rsidRPr="007108A3" w:rsidRDefault="00F27251" w:rsidP="00F27251">
      <w:pPr>
        <w:spacing w:after="200"/>
        <w:jc w:val="both"/>
        <w:rPr>
          <w:rFonts w:ascii="Arial" w:hAnsi="Arial" w:cs="Arial"/>
          <w:sz w:val="18"/>
          <w:szCs w:val="18"/>
        </w:rPr>
      </w:pPr>
      <w:bookmarkStart w:id="0" w:name="_Toc116271754"/>
      <w:r w:rsidRPr="007108A3">
        <w:rPr>
          <w:rFonts w:ascii="Arial" w:hAnsi="Arial" w:cs="Arial"/>
          <w:b/>
          <w:bCs/>
        </w:rPr>
        <w:t xml:space="preserve">Figure 1: </w:t>
      </w:r>
      <w:bookmarkEnd w:id="0"/>
      <w:r w:rsidRPr="007108A3">
        <w:rPr>
          <w:rFonts w:ascii="Arial" w:hAnsi="Arial" w:cs="Arial"/>
        </w:rPr>
        <w:t>Distribution of students according to weight status, based on French body mass index (BMI) guidelines.</w:t>
      </w:r>
    </w:p>
    <w:p w14:paraId="5940F584" w14:textId="77777777" w:rsidR="00257F39" w:rsidRPr="000921C4" w:rsidRDefault="00257F39" w:rsidP="00257F39">
      <w:pPr>
        <w:spacing w:line="259" w:lineRule="auto"/>
        <w:rPr>
          <w:rFonts w:ascii="Arial" w:hAnsi="Arial" w:cs="Arial"/>
        </w:rPr>
      </w:pPr>
    </w:p>
    <w:p w14:paraId="7FCB7C39" w14:textId="77777777" w:rsidR="00EE5C9D" w:rsidRDefault="00EE5C9D" w:rsidP="00441B6F">
      <w:pPr>
        <w:pStyle w:val="Body"/>
        <w:spacing w:after="0"/>
        <w:rPr>
          <w:rFonts w:ascii="Arial" w:hAnsi="Arial" w:cs="Arial"/>
          <w:b/>
          <w:caps/>
          <w:sz w:val="22"/>
        </w:rPr>
      </w:pPr>
    </w:p>
    <w:p w14:paraId="30E5AD1A" w14:textId="2E1892FB" w:rsidR="00505F06"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451FB5">
        <w:rPr>
          <w:rFonts w:ascii="Arial" w:hAnsi="Arial" w:cs="Arial"/>
          <w:b/>
          <w:caps/>
          <w:sz w:val="22"/>
        </w:rPr>
        <w:t>2</w:t>
      </w:r>
      <w:r w:rsidRPr="00C30A0F">
        <w:rPr>
          <w:rFonts w:ascii="Arial" w:hAnsi="Arial" w:cs="Arial"/>
          <w:b/>
          <w:caps/>
          <w:sz w:val="22"/>
        </w:rPr>
        <w:t xml:space="preserve"> </w:t>
      </w:r>
      <w:r w:rsidR="00451FB5">
        <w:rPr>
          <w:rFonts w:ascii="Arial" w:hAnsi="Arial" w:cs="Arial"/>
          <w:b/>
          <w:sz w:val="22"/>
        </w:rPr>
        <w:t>Discussion</w:t>
      </w:r>
      <w:r w:rsidRPr="00C30A0F">
        <w:rPr>
          <w:rFonts w:ascii="Arial" w:hAnsi="Arial" w:cs="Arial"/>
          <w:b/>
          <w:sz w:val="22"/>
        </w:rPr>
        <w:t xml:space="preserve"> </w:t>
      </w:r>
    </w:p>
    <w:p w14:paraId="4FD7FE8E" w14:textId="2FEDA04E" w:rsidR="00451FB5" w:rsidRPr="00F91D45" w:rsidRDefault="00451FB5" w:rsidP="00451FB5">
      <w:pPr>
        <w:spacing w:line="360" w:lineRule="auto"/>
        <w:jc w:val="both"/>
        <w:rPr>
          <w:rFonts w:ascii="Arial" w:hAnsi="Arial" w:cs="Arial"/>
        </w:rPr>
      </w:pPr>
      <w:r w:rsidRPr="00F91D45">
        <w:rPr>
          <w:rFonts w:ascii="Arial" w:hAnsi="Arial" w:cs="Arial"/>
        </w:rPr>
        <w:t xml:space="preserve">The results revealed that over half of the students surveyed were of normal weight, while a minority had nutritional problems characterized by underweight, overweight, and obesity. This situation is concerning because underweight individuals suffer from malnutrition due to insufficient food intake. Nutritional malnutrition can have several serious consequences, even leading to death if left untreated. Indeed, a study on the association between BMI and mortality showed that a low BMI is linked to an increased risk of mortality </w:t>
      </w:r>
      <w:r w:rsidRPr="00F91D45">
        <w:rPr>
          <w:rFonts w:ascii="Arial" w:hAnsi="Arial" w:cs="Arial"/>
          <w:b/>
        </w:rPr>
        <w:t xml:space="preserve">(Berrington </w:t>
      </w:r>
      <w:r w:rsidRPr="00F91D45">
        <w:rPr>
          <w:rFonts w:ascii="Arial" w:hAnsi="Arial" w:cs="Arial"/>
          <w:b/>
          <w:i/>
        </w:rPr>
        <w:t>et al.,</w:t>
      </w:r>
      <w:r w:rsidRPr="00F91D45">
        <w:rPr>
          <w:rFonts w:ascii="Arial" w:hAnsi="Arial" w:cs="Arial"/>
          <w:b/>
        </w:rPr>
        <w:t xml:space="preserve"> 2010</w:t>
      </w:r>
      <w:r w:rsidRPr="00F91D45">
        <w:rPr>
          <w:rFonts w:ascii="Arial" w:hAnsi="Arial" w:cs="Arial"/>
        </w:rPr>
        <w:t>). In addition, underweight individuals may have low bone mineral density (</w:t>
      </w:r>
      <w:r w:rsidRPr="00F91D45">
        <w:rPr>
          <w:rFonts w:ascii="Arial" w:hAnsi="Arial" w:cs="Arial"/>
          <w:b/>
        </w:rPr>
        <w:t xml:space="preserve">Fernández </w:t>
      </w:r>
      <w:r w:rsidRPr="00F91D45">
        <w:rPr>
          <w:rFonts w:ascii="Arial" w:hAnsi="Arial" w:cs="Arial"/>
          <w:b/>
          <w:i/>
        </w:rPr>
        <w:t>et al</w:t>
      </w:r>
      <w:r w:rsidRPr="00F91D45">
        <w:rPr>
          <w:rFonts w:ascii="Arial" w:hAnsi="Arial" w:cs="Arial"/>
          <w:b/>
        </w:rPr>
        <w:t xml:space="preserve">., </w:t>
      </w:r>
      <w:proofErr w:type="gramStart"/>
      <w:r w:rsidRPr="00F91D45">
        <w:rPr>
          <w:rFonts w:ascii="Arial" w:hAnsi="Arial" w:cs="Arial"/>
          <w:b/>
        </w:rPr>
        <w:t>2009</w:t>
      </w:r>
      <w:r w:rsidRPr="00F91D45">
        <w:rPr>
          <w:rFonts w:ascii="Arial" w:hAnsi="Arial" w:cs="Arial"/>
        </w:rPr>
        <w:t xml:space="preserve"> ;</w:t>
      </w:r>
      <w:proofErr w:type="gramEnd"/>
      <w:r w:rsidRPr="00F91D45">
        <w:rPr>
          <w:rFonts w:ascii="Arial" w:hAnsi="Arial" w:cs="Arial"/>
        </w:rPr>
        <w:t xml:space="preserve"> </w:t>
      </w:r>
      <w:r w:rsidRPr="00F91D45">
        <w:rPr>
          <w:rFonts w:ascii="Arial" w:hAnsi="Arial" w:cs="Arial"/>
          <w:b/>
        </w:rPr>
        <w:t xml:space="preserve">Hasegawa </w:t>
      </w:r>
      <w:r w:rsidRPr="00F91D45">
        <w:rPr>
          <w:rFonts w:ascii="Arial" w:hAnsi="Arial" w:cs="Arial"/>
          <w:b/>
          <w:i/>
        </w:rPr>
        <w:t>et al</w:t>
      </w:r>
      <w:r w:rsidRPr="00F91D45">
        <w:rPr>
          <w:rFonts w:ascii="Arial" w:hAnsi="Arial" w:cs="Arial"/>
          <w:b/>
        </w:rPr>
        <w:t>., 2011</w:t>
      </w:r>
      <w:r w:rsidRPr="00F91D45">
        <w:rPr>
          <w:rFonts w:ascii="Arial" w:hAnsi="Arial" w:cs="Arial"/>
        </w:rPr>
        <w:t>). Decreased bone mineral density can lead to low bone mass and an increased risk of fractures in individuals with constitutional thinness, despite apparently normal bone remodeling (</w:t>
      </w:r>
      <w:r w:rsidRPr="00F91D45">
        <w:rPr>
          <w:rFonts w:ascii="Arial" w:hAnsi="Arial" w:cs="Arial"/>
          <w:b/>
        </w:rPr>
        <w:t xml:space="preserve">Galusca </w:t>
      </w:r>
      <w:r w:rsidRPr="00F91D45">
        <w:rPr>
          <w:rFonts w:ascii="Arial" w:hAnsi="Arial" w:cs="Arial"/>
          <w:b/>
          <w:i/>
        </w:rPr>
        <w:t>et al</w:t>
      </w:r>
      <w:r w:rsidRPr="00F91D45">
        <w:rPr>
          <w:rFonts w:ascii="Arial" w:hAnsi="Arial" w:cs="Arial"/>
        </w:rPr>
        <w:t xml:space="preserve"> ,</w:t>
      </w:r>
      <w:r w:rsidRPr="00F91D45">
        <w:rPr>
          <w:rFonts w:ascii="Arial" w:hAnsi="Arial" w:cs="Arial"/>
          <w:b/>
        </w:rPr>
        <w:t>2016</w:t>
      </w:r>
      <w:r w:rsidRPr="00F91D45">
        <w:rPr>
          <w:rFonts w:ascii="Arial" w:hAnsi="Arial" w:cs="Arial"/>
        </w:rPr>
        <w:t xml:space="preserve">). Malnutrition can induce immune deficiency and protein deficiency. It causes increased susceptibility to infections and raises the risk of drug </w:t>
      </w:r>
      <w:r w:rsidRPr="00F91D45">
        <w:rPr>
          <w:rFonts w:ascii="Arial" w:hAnsi="Arial" w:cs="Arial"/>
        </w:rPr>
        <w:lastRenderedPageBreak/>
        <w:t>toxicity. Undernourished children have a weaker immune system, resulting in a greater risk of infections and poorer wound healing (</w:t>
      </w:r>
      <w:r w:rsidRPr="00F91D45">
        <w:rPr>
          <w:rFonts w:ascii="Arial" w:hAnsi="Arial" w:cs="Arial"/>
          <w:b/>
        </w:rPr>
        <w:t xml:space="preserve">Secker </w:t>
      </w:r>
      <w:r w:rsidRPr="00F91D45">
        <w:rPr>
          <w:rFonts w:ascii="Arial" w:hAnsi="Arial" w:cs="Arial"/>
          <w:b/>
          <w:i/>
        </w:rPr>
        <w:t>et al.,</w:t>
      </w:r>
      <w:r w:rsidRPr="00F91D45">
        <w:rPr>
          <w:rFonts w:ascii="Arial" w:hAnsi="Arial" w:cs="Arial"/>
          <w:b/>
        </w:rPr>
        <w:t xml:space="preserve"> </w:t>
      </w:r>
      <w:proofErr w:type="gramStart"/>
      <w:r w:rsidRPr="00F91D45">
        <w:rPr>
          <w:rFonts w:ascii="Arial" w:hAnsi="Arial" w:cs="Arial"/>
          <w:b/>
        </w:rPr>
        <w:t>2007 ;</w:t>
      </w:r>
      <w:proofErr w:type="gramEnd"/>
      <w:r w:rsidRPr="00F91D45">
        <w:rPr>
          <w:rFonts w:ascii="Arial" w:hAnsi="Arial" w:cs="Arial"/>
          <w:b/>
        </w:rPr>
        <w:t xml:space="preserve"> Hecht </w:t>
      </w:r>
      <w:r w:rsidRPr="00F91D45">
        <w:rPr>
          <w:rFonts w:ascii="Arial" w:hAnsi="Arial" w:cs="Arial"/>
          <w:b/>
          <w:i/>
        </w:rPr>
        <w:t>et al</w:t>
      </w:r>
      <w:r w:rsidRPr="00F91D45">
        <w:rPr>
          <w:rFonts w:ascii="Arial" w:hAnsi="Arial" w:cs="Arial"/>
          <w:b/>
        </w:rPr>
        <w:t>., 2015</w:t>
      </w:r>
      <w:r w:rsidRPr="00F91D45">
        <w:rPr>
          <w:rFonts w:ascii="Arial" w:hAnsi="Arial" w:cs="Arial"/>
        </w:rPr>
        <w:t xml:space="preserve">). In the present research conducted among students at the </w:t>
      </w:r>
      <w:proofErr w:type="spellStart"/>
      <w:r w:rsidRPr="00F91D45">
        <w:rPr>
          <w:rFonts w:ascii="Arial" w:hAnsi="Arial" w:cs="Arial"/>
        </w:rPr>
        <w:t>Amagou</w:t>
      </w:r>
      <w:proofErr w:type="spellEnd"/>
      <w:r w:rsidRPr="00F91D45">
        <w:rPr>
          <w:rFonts w:ascii="Arial" w:hAnsi="Arial" w:cs="Arial"/>
        </w:rPr>
        <w:t xml:space="preserve"> Victor Modern High School in </w:t>
      </w:r>
      <w:proofErr w:type="spellStart"/>
      <w:r w:rsidRPr="00F91D45">
        <w:rPr>
          <w:rFonts w:ascii="Arial" w:hAnsi="Arial" w:cs="Arial"/>
        </w:rPr>
        <w:t>Marcory</w:t>
      </w:r>
      <w:proofErr w:type="spellEnd"/>
      <w:r w:rsidRPr="00F91D45">
        <w:rPr>
          <w:rFonts w:ascii="Arial" w:hAnsi="Arial" w:cs="Arial"/>
        </w:rPr>
        <w:t xml:space="preserve">, the causes of the students' thinness were not identified. However, the study by </w:t>
      </w:r>
      <w:proofErr w:type="spellStart"/>
      <w:r w:rsidRPr="00F91D45">
        <w:rPr>
          <w:rFonts w:ascii="Arial" w:hAnsi="Arial" w:cs="Arial"/>
          <w:b/>
          <w:bCs/>
          <w:shd w:val="clear" w:color="auto" w:fill="FFFFFF"/>
        </w:rPr>
        <w:t>Estour</w:t>
      </w:r>
      <w:proofErr w:type="spellEnd"/>
      <w:r w:rsidRPr="00F91D45">
        <w:rPr>
          <w:rFonts w:ascii="Arial" w:hAnsi="Arial" w:cs="Arial"/>
          <w:b/>
          <w:bCs/>
          <w:shd w:val="clear" w:color="auto" w:fill="FFFFFF"/>
        </w:rPr>
        <w:t xml:space="preserve"> et </w:t>
      </w:r>
      <w:r w:rsidRPr="00F91D45">
        <w:rPr>
          <w:rFonts w:ascii="Arial" w:hAnsi="Arial" w:cs="Arial"/>
          <w:b/>
          <w:bCs/>
          <w:i/>
          <w:iCs/>
          <w:shd w:val="clear" w:color="auto" w:fill="FFFFFF"/>
        </w:rPr>
        <w:t>al</w:t>
      </w:r>
      <w:r w:rsidRPr="00F91D45">
        <w:rPr>
          <w:rFonts w:ascii="Arial" w:hAnsi="Arial" w:cs="Arial"/>
          <w:b/>
          <w:bCs/>
          <w:shd w:val="clear" w:color="auto" w:fill="FFFFFF"/>
        </w:rPr>
        <w:t xml:space="preserve">., (2013) </w:t>
      </w:r>
      <w:r w:rsidRPr="00F91D45">
        <w:rPr>
          <w:rFonts w:ascii="Arial" w:hAnsi="Arial" w:cs="Arial"/>
        </w:rPr>
        <w:t xml:space="preserve">identified constitutional thinness as one of the causes of this condition. This study revealed that constitutional thinness is observed in both sexes, often with a hereditary component, and persists throughout life without any break in the weight curve. Indeed, constitutional thinness is a physiological state of underweight (BMI &lt; 18 kg/m2) in which neither eating disorders nor the hormonal alterations secondary to malnutrition, classically observed in anorexia, are present </w:t>
      </w:r>
      <w:r w:rsidRPr="00F91D45">
        <w:rPr>
          <w:rFonts w:ascii="Arial" w:hAnsi="Arial" w:cs="Arial"/>
          <w:b/>
          <w:bCs/>
        </w:rPr>
        <w:t>(</w:t>
      </w:r>
      <w:r w:rsidRPr="00F91D45">
        <w:rPr>
          <w:rFonts w:ascii="Arial" w:hAnsi="Arial" w:cs="Arial"/>
          <w:b/>
          <w:bCs/>
          <w:shd w:val="clear" w:color="auto" w:fill="FFFFFF"/>
        </w:rPr>
        <w:t xml:space="preserve">Verney et </w:t>
      </w:r>
      <w:r w:rsidRPr="00F91D45">
        <w:rPr>
          <w:rFonts w:ascii="Arial" w:hAnsi="Arial" w:cs="Arial"/>
          <w:b/>
          <w:bCs/>
          <w:i/>
          <w:iCs/>
          <w:shd w:val="clear" w:color="auto" w:fill="FFFFFF"/>
        </w:rPr>
        <w:t>al</w:t>
      </w:r>
      <w:r w:rsidRPr="00F91D45">
        <w:rPr>
          <w:rFonts w:ascii="Arial" w:hAnsi="Arial" w:cs="Arial"/>
          <w:b/>
          <w:bCs/>
          <w:shd w:val="clear" w:color="auto" w:fill="FFFFFF"/>
        </w:rPr>
        <w:t>., 2017)</w:t>
      </w:r>
      <w:r w:rsidRPr="00F91D45">
        <w:rPr>
          <w:rFonts w:ascii="Arial" w:hAnsi="Arial" w:cs="Arial"/>
        </w:rPr>
        <w:t>.</w:t>
      </w:r>
    </w:p>
    <w:p w14:paraId="2C4D7630" w14:textId="4C71B9E6" w:rsidR="00451FB5" w:rsidRPr="00F91D45" w:rsidRDefault="00451FB5" w:rsidP="00451FB5">
      <w:pPr>
        <w:spacing w:line="360" w:lineRule="auto"/>
        <w:jc w:val="both"/>
        <w:rPr>
          <w:rFonts w:ascii="Arial" w:hAnsi="Arial" w:cs="Arial"/>
        </w:rPr>
      </w:pPr>
      <w:r w:rsidRPr="00F91D45">
        <w:rPr>
          <w:rFonts w:ascii="Arial" w:hAnsi="Arial" w:cs="Arial"/>
          <w:b/>
          <w:bCs/>
        </w:rPr>
        <w:tab/>
      </w:r>
      <w:r w:rsidRPr="00F91D45">
        <w:rPr>
          <w:rFonts w:ascii="Arial" w:hAnsi="Arial" w:cs="Arial"/>
        </w:rPr>
        <w:t xml:space="preserve">Although overweight or obese subjects were in the minority in this research, this situation raises concerns. Indeed, obesity is defined as an enormous and excessive accumulation of fat in adipose tissue, which can lead to health problems </w:t>
      </w:r>
      <w:r w:rsidRPr="00F91D45">
        <w:rPr>
          <w:rFonts w:ascii="Arial" w:hAnsi="Arial" w:cs="Arial"/>
          <w:b/>
          <w:bCs/>
        </w:rPr>
        <w:t>(Taleb, 2011)</w:t>
      </w:r>
      <w:r w:rsidRPr="00F91D45">
        <w:rPr>
          <w:rFonts w:ascii="Arial" w:hAnsi="Arial" w:cs="Arial"/>
        </w:rPr>
        <w:t xml:space="preserve">. Obesity, or overeating, is the result of excessive food intake. The excess food is stored by the body as fat. These results could be explained by the fact that overweight and obese students have poor eating habits. In fact, the consumption of sweets, frequent snacking, and a diet high in fat and salt increase the risk of the students surveyed being overweight or obese, as has been observed in previous studies </w:t>
      </w:r>
      <w:r w:rsidRPr="00F91D45">
        <w:rPr>
          <w:rFonts w:ascii="Arial" w:hAnsi="Arial" w:cs="Arial"/>
          <w:b/>
          <w:bCs/>
        </w:rPr>
        <w:t xml:space="preserve">(Hoyland </w:t>
      </w:r>
      <w:r w:rsidRPr="00F91D45">
        <w:rPr>
          <w:rFonts w:ascii="Arial" w:hAnsi="Arial" w:cs="Arial"/>
          <w:b/>
          <w:bCs/>
          <w:i/>
        </w:rPr>
        <w:t>et al.,</w:t>
      </w:r>
      <w:r w:rsidRPr="00F91D45">
        <w:rPr>
          <w:rFonts w:ascii="Arial" w:hAnsi="Arial" w:cs="Arial"/>
          <w:b/>
          <w:bCs/>
        </w:rPr>
        <w:t xml:space="preserve"> </w:t>
      </w:r>
      <w:proofErr w:type="gramStart"/>
      <w:r w:rsidRPr="00F91D45">
        <w:rPr>
          <w:rFonts w:ascii="Arial" w:hAnsi="Arial" w:cs="Arial"/>
          <w:b/>
          <w:bCs/>
        </w:rPr>
        <w:t>2009 ;</w:t>
      </w:r>
      <w:proofErr w:type="gramEnd"/>
      <w:r w:rsidRPr="00F91D45">
        <w:rPr>
          <w:rFonts w:ascii="Arial" w:hAnsi="Arial" w:cs="Arial"/>
          <w:b/>
          <w:bCs/>
        </w:rPr>
        <w:t xml:space="preserve"> </w:t>
      </w:r>
      <w:proofErr w:type="spellStart"/>
      <w:r w:rsidRPr="00F91D45">
        <w:rPr>
          <w:rFonts w:ascii="Arial" w:hAnsi="Arial" w:cs="Arial"/>
          <w:b/>
          <w:bCs/>
        </w:rPr>
        <w:t>Szajewska</w:t>
      </w:r>
      <w:proofErr w:type="spellEnd"/>
      <w:r w:rsidRPr="00F91D45">
        <w:rPr>
          <w:rFonts w:ascii="Arial" w:hAnsi="Arial" w:cs="Arial"/>
          <w:b/>
          <w:bCs/>
        </w:rPr>
        <w:t xml:space="preserve"> </w:t>
      </w:r>
      <w:r w:rsidRPr="00F91D45">
        <w:rPr>
          <w:rFonts w:ascii="Arial" w:hAnsi="Arial" w:cs="Arial"/>
          <w:b/>
          <w:bCs/>
          <w:i/>
        </w:rPr>
        <w:t>et al</w:t>
      </w:r>
      <w:r w:rsidRPr="00F91D45">
        <w:rPr>
          <w:rFonts w:ascii="Arial" w:hAnsi="Arial" w:cs="Arial"/>
          <w:b/>
          <w:bCs/>
        </w:rPr>
        <w:t>., 2010)</w:t>
      </w:r>
      <w:r w:rsidRPr="00F91D45">
        <w:rPr>
          <w:rFonts w:ascii="Arial" w:hAnsi="Arial" w:cs="Arial"/>
        </w:rPr>
        <w:t xml:space="preserve">. A study conducted in Côte d’Ivoire on the prevalence of obesity among children enrolled in private and public primary schools in Abidjan found an obesity prevalence of 2.47% and an overweight rate, including obesity, of 10.30% </w:t>
      </w:r>
      <w:r w:rsidRPr="00F91D45">
        <w:rPr>
          <w:rFonts w:ascii="Arial" w:hAnsi="Arial" w:cs="Arial"/>
          <w:b/>
          <w:shd w:val="clear" w:color="auto" w:fill="FFFFFF"/>
        </w:rPr>
        <w:t>(</w:t>
      </w:r>
      <w:proofErr w:type="spellStart"/>
      <w:r w:rsidRPr="00F91D45">
        <w:rPr>
          <w:rFonts w:ascii="Arial" w:hAnsi="Arial" w:cs="Arial"/>
          <w:b/>
          <w:shd w:val="clear" w:color="auto" w:fill="FFFFFF"/>
        </w:rPr>
        <w:t>Fossou</w:t>
      </w:r>
      <w:proofErr w:type="spellEnd"/>
      <w:r w:rsidRPr="00F91D45">
        <w:rPr>
          <w:rFonts w:ascii="Arial" w:hAnsi="Arial" w:cs="Arial"/>
          <w:b/>
          <w:shd w:val="clear" w:color="auto" w:fill="FFFFFF"/>
        </w:rPr>
        <w:t xml:space="preserve"> </w:t>
      </w:r>
      <w:r w:rsidRPr="00F91D45">
        <w:rPr>
          <w:rFonts w:ascii="Arial" w:hAnsi="Arial" w:cs="Arial"/>
          <w:b/>
          <w:i/>
          <w:shd w:val="clear" w:color="auto" w:fill="FFFFFF"/>
        </w:rPr>
        <w:t>et al</w:t>
      </w:r>
      <w:r w:rsidRPr="00F91D45">
        <w:rPr>
          <w:rFonts w:ascii="Arial" w:hAnsi="Arial" w:cs="Arial"/>
          <w:b/>
          <w:shd w:val="clear" w:color="auto" w:fill="FFFFFF"/>
        </w:rPr>
        <w:t>., 2020)</w:t>
      </w:r>
      <w:r w:rsidRPr="00F91D45">
        <w:rPr>
          <w:rFonts w:ascii="Arial" w:hAnsi="Arial" w:cs="Arial"/>
        </w:rPr>
        <w:t xml:space="preserve">. In this study, the children’s weight status varied according to sex, age, place of residence, type of school, and participation in sports. In a study on the nutritional status and eating habits of adolescents in Marrakech </w:t>
      </w:r>
      <w:r w:rsidRPr="00F91D45">
        <w:rPr>
          <w:rFonts w:ascii="Arial" w:hAnsi="Arial" w:cs="Arial"/>
          <w:b/>
          <w:bCs/>
        </w:rPr>
        <w:t>(</w:t>
      </w:r>
      <w:proofErr w:type="spellStart"/>
      <w:r w:rsidRPr="00F91D45">
        <w:rPr>
          <w:rFonts w:ascii="Arial" w:hAnsi="Arial" w:cs="Arial"/>
          <w:b/>
          <w:bCs/>
          <w:shd w:val="clear" w:color="auto" w:fill="FFFFFF"/>
        </w:rPr>
        <w:t>Baali</w:t>
      </w:r>
      <w:proofErr w:type="spellEnd"/>
      <w:r w:rsidRPr="00F91D45">
        <w:rPr>
          <w:rFonts w:ascii="Arial" w:hAnsi="Arial" w:cs="Arial"/>
          <w:b/>
          <w:bCs/>
        </w:rPr>
        <w:t xml:space="preserve"> </w:t>
      </w:r>
      <w:r w:rsidRPr="00F91D45">
        <w:rPr>
          <w:rFonts w:ascii="Arial" w:hAnsi="Arial" w:cs="Arial"/>
          <w:b/>
          <w:bCs/>
          <w:i/>
        </w:rPr>
        <w:t>et al.,</w:t>
      </w:r>
      <w:r w:rsidRPr="00F91D45">
        <w:rPr>
          <w:rFonts w:ascii="Arial" w:hAnsi="Arial" w:cs="Arial"/>
          <w:b/>
          <w:bCs/>
        </w:rPr>
        <w:t xml:space="preserve"> 2012)</w:t>
      </w:r>
      <w:r w:rsidRPr="00F91D45">
        <w:rPr>
          <w:rFonts w:ascii="Arial" w:hAnsi="Arial" w:cs="Arial"/>
        </w:rPr>
        <w:t xml:space="preserve">, a higher percentage of overweight adolescents (17.3%) was found than in the present study, where 7.2% of our respondents were overweight. However, the present study shows a higher percentage of underweight adolescents (11%) than of overweight (7.2%) and obese adolescents (4.8%). The results of these two studies remain similar, as the difference in percentages can be explained by the difference in sample sizes (n = 1736 versus n = 418). This is similar to the study in </w:t>
      </w:r>
      <w:r w:rsidRPr="00F91D45">
        <w:rPr>
          <w:rFonts w:ascii="Arial" w:hAnsi="Arial" w:cs="Arial"/>
          <w:b/>
          <w:bCs/>
        </w:rPr>
        <w:t>(</w:t>
      </w:r>
      <w:proofErr w:type="spellStart"/>
      <w:r w:rsidRPr="00F91D45">
        <w:rPr>
          <w:rFonts w:ascii="Arial" w:hAnsi="Arial" w:cs="Arial"/>
          <w:b/>
          <w:bCs/>
          <w:shd w:val="clear" w:color="auto" w:fill="FFFFFF"/>
        </w:rPr>
        <w:t>Baali</w:t>
      </w:r>
      <w:proofErr w:type="spellEnd"/>
      <w:r w:rsidRPr="00F91D45">
        <w:rPr>
          <w:rFonts w:ascii="Arial" w:hAnsi="Arial" w:cs="Arial"/>
          <w:b/>
          <w:bCs/>
        </w:rPr>
        <w:t xml:space="preserve"> </w:t>
      </w:r>
      <w:r w:rsidRPr="00F91D45">
        <w:rPr>
          <w:rFonts w:ascii="Arial" w:hAnsi="Arial" w:cs="Arial"/>
          <w:b/>
          <w:bCs/>
          <w:i/>
        </w:rPr>
        <w:t>et al.,</w:t>
      </w:r>
      <w:r w:rsidRPr="00F91D45">
        <w:rPr>
          <w:rFonts w:ascii="Arial" w:hAnsi="Arial" w:cs="Arial"/>
          <w:b/>
          <w:bCs/>
        </w:rPr>
        <w:t xml:space="preserve"> 2012)</w:t>
      </w:r>
      <w:r w:rsidRPr="00F91D45">
        <w:rPr>
          <w:rFonts w:ascii="Arial" w:hAnsi="Arial" w:cs="Arial"/>
        </w:rPr>
        <w:t xml:space="preserve">, where overweight, obesity, and underweight are present. Unlike this present study, </w:t>
      </w:r>
      <w:proofErr w:type="spellStart"/>
      <w:r w:rsidRPr="00F91D45">
        <w:rPr>
          <w:rFonts w:ascii="Arial" w:hAnsi="Arial" w:cs="Arial"/>
          <w:b/>
          <w:bCs/>
          <w:shd w:val="clear" w:color="auto" w:fill="FFFFFF"/>
        </w:rPr>
        <w:t>Zahe</w:t>
      </w:r>
      <w:proofErr w:type="spellEnd"/>
      <w:r w:rsidRPr="00F91D45">
        <w:rPr>
          <w:rFonts w:ascii="Arial" w:hAnsi="Arial" w:cs="Arial"/>
          <w:b/>
          <w:bCs/>
          <w:shd w:val="clear" w:color="auto" w:fill="FFFFFF"/>
        </w:rPr>
        <w:t xml:space="preserve"> </w:t>
      </w:r>
      <w:r w:rsidRPr="00F91D45">
        <w:rPr>
          <w:rFonts w:ascii="Arial" w:hAnsi="Arial" w:cs="Arial"/>
          <w:b/>
          <w:bCs/>
          <w:i/>
          <w:shd w:val="clear" w:color="auto" w:fill="FFFFFF"/>
        </w:rPr>
        <w:t>et al</w:t>
      </w:r>
      <w:r w:rsidRPr="00F91D45">
        <w:rPr>
          <w:rFonts w:ascii="Arial" w:hAnsi="Arial" w:cs="Arial"/>
          <w:b/>
          <w:bCs/>
          <w:shd w:val="clear" w:color="auto" w:fill="FFFFFF"/>
        </w:rPr>
        <w:t>. (2017)</w:t>
      </w:r>
      <w:r w:rsidRPr="00F91D45">
        <w:rPr>
          <w:rFonts w:ascii="Arial" w:hAnsi="Arial" w:cs="Arial"/>
        </w:rPr>
        <w:t xml:space="preserve"> in their study on the diet, nutritional status and performance of schoolchildren aged 5 to 15 years in the district of Abidjan, highlighted the presence of malnutrition in this category of person with a high prevalence of thinness and overweight/obesity representing respectively 13.6% and 6.8% in Côte d’Ivoire.</w:t>
      </w:r>
    </w:p>
    <w:p w14:paraId="4B37938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E240920" w14:textId="77777777" w:rsidR="00790ADA" w:rsidRPr="00FB3A86" w:rsidRDefault="00790ADA" w:rsidP="00441B6F">
      <w:pPr>
        <w:pStyle w:val="ConcHead"/>
        <w:spacing w:after="0"/>
        <w:jc w:val="both"/>
        <w:rPr>
          <w:rFonts w:ascii="Arial" w:hAnsi="Arial" w:cs="Arial"/>
        </w:rPr>
      </w:pPr>
    </w:p>
    <w:p w14:paraId="5752DE25" w14:textId="77777777" w:rsidR="000B4DFC" w:rsidRPr="00714024" w:rsidRDefault="000B4DFC" w:rsidP="000B4DFC">
      <w:pPr>
        <w:spacing w:line="360" w:lineRule="auto"/>
        <w:jc w:val="both"/>
        <w:rPr>
          <w:rFonts w:ascii="Arial" w:hAnsi="Arial" w:cs="Arial"/>
          <w:b/>
          <w:bCs/>
        </w:rPr>
      </w:pPr>
      <w:r w:rsidRPr="00714024">
        <w:rPr>
          <w:rFonts w:ascii="Arial" w:hAnsi="Arial" w:cs="Arial"/>
        </w:rPr>
        <w:t xml:space="preserve">his research assessed the nutritional status and eating habits of students aged 12 to 18 at the </w:t>
      </w:r>
      <w:proofErr w:type="spellStart"/>
      <w:r w:rsidRPr="00714024">
        <w:rPr>
          <w:rFonts w:ascii="Arial" w:hAnsi="Arial" w:cs="Arial"/>
        </w:rPr>
        <w:t>Amagou</w:t>
      </w:r>
      <w:proofErr w:type="spellEnd"/>
      <w:r w:rsidRPr="00714024">
        <w:rPr>
          <w:rFonts w:ascii="Arial" w:hAnsi="Arial" w:cs="Arial"/>
        </w:rPr>
        <w:t xml:space="preserve"> Victor Modern High School in </w:t>
      </w:r>
      <w:proofErr w:type="spellStart"/>
      <w:r w:rsidRPr="00714024">
        <w:rPr>
          <w:rFonts w:ascii="Arial" w:hAnsi="Arial" w:cs="Arial"/>
        </w:rPr>
        <w:t>Marcory</w:t>
      </w:r>
      <w:proofErr w:type="spellEnd"/>
      <w:r w:rsidRPr="00714024">
        <w:rPr>
          <w:rFonts w:ascii="Arial" w:hAnsi="Arial" w:cs="Arial"/>
        </w:rPr>
        <w:t xml:space="preserve">. The results showed that </w:t>
      </w:r>
      <w:r w:rsidRPr="00E47068">
        <w:rPr>
          <w:rFonts w:ascii="Arial" w:hAnsi="Arial" w:cs="Arial"/>
        </w:rPr>
        <w:t>70%</w:t>
      </w:r>
      <w:r w:rsidRPr="00714024">
        <w:rPr>
          <w:rFonts w:ascii="Arial" w:hAnsi="Arial" w:cs="Arial"/>
        </w:rPr>
        <w:t xml:space="preserve"> of the students at the </w:t>
      </w:r>
      <w:proofErr w:type="spellStart"/>
      <w:r w:rsidRPr="00714024">
        <w:rPr>
          <w:rFonts w:ascii="Arial" w:hAnsi="Arial" w:cs="Arial"/>
        </w:rPr>
        <w:t>Amagou</w:t>
      </w:r>
      <w:proofErr w:type="spellEnd"/>
      <w:r w:rsidRPr="00714024">
        <w:rPr>
          <w:rFonts w:ascii="Arial" w:hAnsi="Arial" w:cs="Arial"/>
        </w:rPr>
        <w:t xml:space="preserve"> Victor High School in </w:t>
      </w:r>
      <w:proofErr w:type="spellStart"/>
      <w:r w:rsidRPr="00714024">
        <w:rPr>
          <w:rFonts w:ascii="Arial" w:hAnsi="Arial" w:cs="Arial"/>
        </w:rPr>
        <w:t>Marcory</w:t>
      </w:r>
      <w:proofErr w:type="spellEnd"/>
      <w:r w:rsidRPr="00714024">
        <w:rPr>
          <w:rFonts w:ascii="Arial" w:hAnsi="Arial" w:cs="Arial"/>
        </w:rPr>
        <w:t xml:space="preserve"> have good nutritional status. However, almost all of them exhibit inadequate eating habits. This study, which provides an overview of the current situation, opens the field of food anthropology for qualitative research and will allow for the analysis of strategies to improve eating habits among adolescents. Large-scale research will highlight the need for a nutritional education program. To facilitate the monitoring and maintenance of healthy habits, healthy lifestyle practices will be strongly encouraged within schools in conjunction with school health services (conferences, discussions, food guides, information days, etc.) with the aim of appropriate prevention.</w:t>
      </w:r>
    </w:p>
    <w:p w14:paraId="61F2EE74" w14:textId="77777777" w:rsidR="00315186" w:rsidRPr="006539CB" w:rsidRDefault="00315186" w:rsidP="00441B6F">
      <w:pPr>
        <w:rPr>
          <w:rFonts w:ascii="Arial" w:hAnsi="Arial" w:cs="Arial"/>
        </w:rPr>
      </w:pPr>
    </w:p>
    <w:p w14:paraId="3FB2B85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65710DD" w14:textId="77777777" w:rsidR="00860000" w:rsidRPr="00786D36" w:rsidRDefault="00860000" w:rsidP="00441B6F">
      <w:pPr>
        <w:pStyle w:val="ReferHead"/>
        <w:spacing w:after="0"/>
        <w:jc w:val="both"/>
        <w:rPr>
          <w:rFonts w:ascii="Arial" w:hAnsi="Arial" w:cs="Arial"/>
        </w:rPr>
      </w:pPr>
    </w:p>
    <w:p w14:paraId="14C211EF" w14:textId="77777777" w:rsidR="006539CB" w:rsidRPr="006539CB" w:rsidRDefault="006539CB" w:rsidP="006539CB">
      <w:pPr>
        <w:rPr>
          <w:rFonts w:ascii="Arial" w:hAnsi="Arial" w:cs="Arial"/>
        </w:rPr>
      </w:pPr>
      <w:r w:rsidRPr="006539CB">
        <w:rPr>
          <w:rFonts w:ascii="Arial" w:hAnsi="Arial" w:cs="Arial"/>
        </w:rPr>
        <w:t>Authors have declared that no competing interests exist.</w:t>
      </w:r>
    </w:p>
    <w:p w14:paraId="152EC2A8" w14:textId="3035F19A"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3DEE6EBD" w14:textId="77777777" w:rsidR="00371FB6" w:rsidRDefault="00371FB6" w:rsidP="00441B6F">
      <w:pPr>
        <w:pStyle w:val="ReferHead"/>
        <w:spacing w:after="0"/>
        <w:jc w:val="both"/>
        <w:rPr>
          <w:rFonts w:ascii="Arial" w:hAnsi="Arial" w:cs="Arial"/>
          <w:b w:val="0"/>
          <w:caps w:val="0"/>
          <w:sz w:val="20"/>
        </w:rPr>
      </w:pPr>
    </w:p>
    <w:p w14:paraId="553C8654" w14:textId="77777777" w:rsidR="002B685A" w:rsidRDefault="002B685A" w:rsidP="00441B6F">
      <w:pPr>
        <w:pStyle w:val="ReferHead"/>
        <w:spacing w:after="0"/>
        <w:jc w:val="both"/>
        <w:rPr>
          <w:rFonts w:ascii="Arial" w:hAnsi="Arial" w:cs="Arial"/>
          <w:b w:val="0"/>
          <w:caps w:val="0"/>
          <w:sz w:val="20"/>
        </w:rPr>
      </w:pPr>
    </w:p>
    <w:p w14:paraId="65D08112" w14:textId="77777777" w:rsidR="001A29D8" w:rsidRDefault="001A29D8" w:rsidP="00441B6F">
      <w:pPr>
        <w:pStyle w:val="ReferHead"/>
        <w:spacing w:after="0"/>
        <w:jc w:val="both"/>
        <w:rPr>
          <w:rFonts w:ascii="Arial" w:hAnsi="Arial" w:cs="Arial"/>
          <w:b w:val="0"/>
          <w:caps w:val="0"/>
          <w:sz w:val="20"/>
        </w:rPr>
      </w:pPr>
    </w:p>
    <w:p w14:paraId="0AF4797E" w14:textId="77777777" w:rsidR="005C784C" w:rsidRDefault="005C784C" w:rsidP="00441B6F">
      <w:pPr>
        <w:pStyle w:val="ReferHead"/>
        <w:spacing w:after="0"/>
        <w:jc w:val="both"/>
        <w:rPr>
          <w:rFonts w:ascii="Arial" w:hAnsi="Arial" w:cs="Arial"/>
          <w:b w:val="0"/>
          <w:caps w:val="0"/>
          <w:sz w:val="20"/>
        </w:rPr>
      </w:pPr>
    </w:p>
    <w:p w14:paraId="4AADAC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3CC2859" w14:textId="77777777" w:rsidR="00790ADA" w:rsidRPr="00FB3A86" w:rsidRDefault="00790ADA" w:rsidP="00441B6F">
      <w:pPr>
        <w:pStyle w:val="ReferHead"/>
        <w:spacing w:after="0"/>
        <w:jc w:val="both"/>
        <w:rPr>
          <w:rFonts w:ascii="Arial" w:hAnsi="Arial" w:cs="Arial"/>
        </w:rPr>
      </w:pPr>
    </w:p>
    <w:p w14:paraId="52993390" w14:textId="36984B64"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 Mennel, HD, </w:t>
      </w:r>
      <w:proofErr w:type="spellStart"/>
      <w:r w:rsidRPr="006032FC">
        <w:rPr>
          <w:rFonts w:ascii="Arial" w:hAnsi="Arial" w:cs="Arial"/>
          <w:color w:val="222222"/>
          <w:shd w:val="clear" w:color="auto" w:fill="FFFFFF"/>
        </w:rPr>
        <w:t>Bosslet</w:t>
      </w:r>
      <w:proofErr w:type="spellEnd"/>
      <w:r w:rsidRPr="006032FC">
        <w:rPr>
          <w:rFonts w:ascii="Arial" w:hAnsi="Arial" w:cs="Arial"/>
          <w:color w:val="222222"/>
          <w:shd w:val="clear" w:color="auto" w:fill="FFFFFF"/>
        </w:rPr>
        <w:t>, K., Wiegandt, H., Sedlacek, HH, Bauer, BL, &amp; Rodden, AF (1992). Expression of GD2 epitopes in human intracranial tumors and normal brain. Experimental and Toxicologic Pathology, 44(6), 317-324.</w:t>
      </w:r>
      <w:r w:rsidR="00FB1815" w:rsidRPr="00FB1815">
        <w:t xml:space="preserve"> </w:t>
      </w:r>
      <w:r w:rsidR="00FB1815" w:rsidRPr="00FB1815">
        <w:rPr>
          <w:rFonts w:ascii="Arial" w:hAnsi="Arial" w:cs="Arial"/>
          <w:color w:val="222222"/>
          <w:shd w:val="clear" w:color="auto" w:fill="FFFFFF"/>
        </w:rPr>
        <w:t>https://doi.org/10.1016/S0940-2993(11)80218-6</w:t>
      </w:r>
    </w:p>
    <w:p w14:paraId="5A5C01F7" w14:textId="77777777"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2. Poulain J.P. – Eating differently. Attitudes, norms and practices. Privat Publishers, Toulouse, 2002.</w:t>
      </w:r>
    </w:p>
    <w:p w14:paraId="16C434BA" w14:textId="5513B2A1"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3. Herpin N. – The meal as an institution, report of an exploratory survey. Rev Fr </w:t>
      </w:r>
      <w:proofErr w:type="spellStart"/>
      <w:r w:rsidRPr="006032FC">
        <w:rPr>
          <w:rFonts w:ascii="Arial" w:hAnsi="Arial" w:cs="Arial"/>
          <w:color w:val="222222"/>
          <w:shd w:val="clear" w:color="auto" w:fill="FFFFFF"/>
        </w:rPr>
        <w:t>Sociol</w:t>
      </w:r>
      <w:proofErr w:type="spellEnd"/>
      <w:r w:rsidRPr="006032FC">
        <w:rPr>
          <w:rFonts w:ascii="Arial" w:hAnsi="Arial" w:cs="Arial"/>
          <w:color w:val="222222"/>
          <w:shd w:val="clear" w:color="auto" w:fill="FFFFFF"/>
        </w:rPr>
        <w:t>, 1988, 29, 503-21.</w:t>
      </w:r>
      <w:r w:rsidR="00FB1815" w:rsidRPr="00FB1815">
        <w:t xml:space="preserve"> </w:t>
      </w:r>
      <w:r w:rsidR="00FB1815" w:rsidRPr="00FB1815">
        <w:rPr>
          <w:rFonts w:ascii="Arial" w:hAnsi="Arial" w:cs="Arial"/>
          <w:color w:val="222222"/>
          <w:shd w:val="clear" w:color="auto" w:fill="FFFFFF"/>
        </w:rPr>
        <w:t>https://doi.org/10.2307/3321627</w:t>
      </w:r>
    </w:p>
    <w:p w14:paraId="00278ECD" w14:textId="37A70939"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4. </w:t>
      </w:r>
      <w:proofErr w:type="spellStart"/>
      <w:r w:rsidRPr="006032FC">
        <w:rPr>
          <w:rFonts w:ascii="Arial" w:hAnsi="Arial" w:cs="Arial"/>
          <w:color w:val="222222"/>
          <w:shd w:val="clear" w:color="auto" w:fill="FFFFFF"/>
        </w:rPr>
        <w:t>Hercberg</w:t>
      </w:r>
      <w:proofErr w:type="spellEnd"/>
      <w:r w:rsidRPr="006032FC">
        <w:rPr>
          <w:rFonts w:ascii="Arial" w:hAnsi="Arial" w:cs="Arial"/>
          <w:color w:val="222222"/>
          <w:shd w:val="clear" w:color="auto" w:fill="FFFFFF"/>
        </w:rPr>
        <w:t xml:space="preserve"> S., Chat-</w:t>
      </w:r>
      <w:proofErr w:type="spellStart"/>
      <w:r w:rsidRPr="006032FC">
        <w:rPr>
          <w:rFonts w:ascii="Arial" w:hAnsi="Arial" w:cs="Arial"/>
          <w:color w:val="222222"/>
          <w:shd w:val="clear" w:color="auto" w:fill="FFFFFF"/>
        </w:rPr>
        <w:t>yung</w:t>
      </w:r>
      <w:proofErr w:type="spellEnd"/>
      <w:r w:rsidRPr="006032FC">
        <w:rPr>
          <w:rFonts w:ascii="Arial" w:hAnsi="Arial" w:cs="Arial"/>
          <w:color w:val="222222"/>
          <w:shd w:val="clear" w:color="auto" w:fill="FFFFFF"/>
        </w:rPr>
        <w:t xml:space="preserve"> S., </w:t>
      </w:r>
      <w:proofErr w:type="spellStart"/>
      <w:r w:rsidRPr="006032FC">
        <w:rPr>
          <w:rFonts w:ascii="Arial" w:hAnsi="Arial" w:cs="Arial"/>
          <w:color w:val="222222"/>
          <w:shd w:val="clear" w:color="auto" w:fill="FFFFFF"/>
        </w:rPr>
        <w:t>Chauliac</w:t>
      </w:r>
      <w:proofErr w:type="spellEnd"/>
      <w:r w:rsidRPr="006032FC">
        <w:rPr>
          <w:rFonts w:ascii="Arial" w:hAnsi="Arial" w:cs="Arial"/>
          <w:color w:val="222222"/>
          <w:shd w:val="clear" w:color="auto" w:fill="FFFFFF"/>
        </w:rPr>
        <w:t xml:space="preserve"> M. (2008). The French National Nutrition and Health program: 2001-2006-2010. Int J Public Health. 53(2): 68-77.</w:t>
      </w:r>
      <w:r w:rsidR="00FB1815" w:rsidRPr="00FB1815">
        <w:t xml:space="preserve"> </w:t>
      </w:r>
      <w:r w:rsidR="00FB1815" w:rsidRPr="00FB1815">
        <w:rPr>
          <w:rFonts w:ascii="Arial" w:hAnsi="Arial" w:cs="Arial"/>
          <w:color w:val="222222"/>
          <w:shd w:val="clear" w:color="auto" w:fill="FFFFFF"/>
        </w:rPr>
        <w:t>https://doi.org/10.1007/s00038-008-7016-2</w:t>
      </w:r>
    </w:p>
    <w:p w14:paraId="089E100A" w14:textId="4B32C3CD"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5. March, J. S., Mulle, K., &amp; Herbel, B. (1994). Behavioral psychotherapy for children and adolescents with obsessive-compulsive disorder: An open trial of a new protocol-driven treatment package. Journal of the American Academy of Child &amp; Adolescent Psychiatry, 33(3), 333-341.</w:t>
      </w:r>
      <w:r w:rsidR="00FB1815" w:rsidRPr="00FB1815">
        <w:t xml:space="preserve"> </w:t>
      </w:r>
      <w:r w:rsidR="00FB1815" w:rsidRPr="00FB1815">
        <w:rPr>
          <w:rFonts w:ascii="Arial" w:hAnsi="Arial" w:cs="Arial"/>
          <w:color w:val="222222"/>
          <w:shd w:val="clear" w:color="auto" w:fill="FFFFFF"/>
        </w:rPr>
        <w:t>https://doi.org/10.1097/00004583-199403000-00006</w:t>
      </w:r>
    </w:p>
    <w:p w14:paraId="32DA00A3" w14:textId="77777777"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6. </w:t>
      </w:r>
      <w:proofErr w:type="spellStart"/>
      <w:r w:rsidRPr="006032FC">
        <w:rPr>
          <w:rFonts w:ascii="Arial" w:hAnsi="Arial" w:cs="Arial"/>
          <w:color w:val="222222"/>
          <w:shd w:val="clear" w:color="auto" w:fill="FFFFFF"/>
        </w:rPr>
        <w:t>Daddoun</w:t>
      </w:r>
      <w:proofErr w:type="spellEnd"/>
      <w:r w:rsidRPr="006032FC">
        <w:rPr>
          <w:rFonts w:ascii="Arial" w:hAnsi="Arial" w:cs="Arial"/>
          <w:color w:val="222222"/>
          <w:shd w:val="clear" w:color="auto" w:fill="FFFFFF"/>
        </w:rPr>
        <w:t xml:space="preserve">, F. (2004). Physiological regulation of eating behavior. Cahiers de nutrition et de </w:t>
      </w:r>
      <w:proofErr w:type="spellStart"/>
      <w:r w:rsidRPr="006032FC">
        <w:rPr>
          <w:rFonts w:ascii="Arial" w:hAnsi="Arial" w:cs="Arial"/>
          <w:color w:val="222222"/>
          <w:shd w:val="clear" w:color="auto" w:fill="FFFFFF"/>
        </w:rPr>
        <w:t>diététique</w:t>
      </w:r>
      <w:proofErr w:type="spellEnd"/>
      <w:r w:rsidRPr="006032FC">
        <w:rPr>
          <w:rFonts w:ascii="Arial" w:hAnsi="Arial" w:cs="Arial"/>
          <w:color w:val="222222"/>
          <w:shd w:val="clear" w:color="auto" w:fill="FFFFFF"/>
        </w:rPr>
        <w:t>, 39(6), 422-428.</w:t>
      </w:r>
    </w:p>
    <w:p w14:paraId="70574D7C" w14:textId="48ADB0C9"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lastRenderedPageBreak/>
        <w:t>7. Bresson, E., &amp; Stern, J. (2001, February). Efficient revocation in group signatures. In International Workshop on Public Key Cryptography (pp. 190-206). Berlin, Heidelberg: Springer Berlin Heidelberg.</w:t>
      </w:r>
      <w:r w:rsidR="00FB1815" w:rsidRPr="00FB1815">
        <w:t xml:space="preserve"> </w:t>
      </w:r>
      <w:r w:rsidR="00FB1815" w:rsidRPr="00FB1815">
        <w:rPr>
          <w:rFonts w:ascii="Arial" w:hAnsi="Arial" w:cs="Arial"/>
          <w:color w:val="222222"/>
          <w:shd w:val="clear" w:color="auto" w:fill="FFFFFF"/>
        </w:rPr>
        <w:t>https://doi.org/10.1007/3-540-44586-2_15</w:t>
      </w:r>
    </w:p>
    <w:p w14:paraId="57383663" w14:textId="77777777" w:rsidR="00FB1815"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8. Neumark, D., Polsky, D., &amp; Hansen, D. (1999). Has job stability declined yet? New evidence for the 1990s. Journal of Labor Economics, 17(S4), S29-S64. </w:t>
      </w:r>
    </w:p>
    <w:p w14:paraId="60448EA9" w14:textId="1D441076"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9. Hoyland A, Dye L, Lawton CL. Systematic review of the effect of breakfast on the cognitive performance of children and adolescents. Nutrition Research Reviews </w:t>
      </w:r>
      <w:proofErr w:type="gramStart"/>
      <w:r w:rsidRPr="006032FC">
        <w:rPr>
          <w:rFonts w:ascii="Arial" w:hAnsi="Arial" w:cs="Arial"/>
          <w:color w:val="222222"/>
          <w:shd w:val="clear" w:color="auto" w:fill="FFFFFF"/>
        </w:rPr>
        <w:t>2009;22:220</w:t>
      </w:r>
      <w:proofErr w:type="gramEnd"/>
      <w:r w:rsidRPr="006032FC">
        <w:rPr>
          <w:rFonts w:ascii="Arial" w:hAnsi="Arial" w:cs="Arial"/>
          <w:color w:val="222222"/>
          <w:shd w:val="clear" w:color="auto" w:fill="FFFFFF"/>
        </w:rPr>
        <w:t>- 43.</w:t>
      </w:r>
    </w:p>
    <w:p w14:paraId="4121CE53" w14:textId="4A316197"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10. Stead, G.B., Perry, J.C., Munka, L.M., Bonnett, H.R., </w:t>
      </w:r>
      <w:proofErr w:type="spellStart"/>
      <w:r w:rsidRPr="006032FC">
        <w:rPr>
          <w:rFonts w:ascii="Arial" w:hAnsi="Arial" w:cs="Arial"/>
          <w:color w:val="222222"/>
          <w:shd w:val="clear" w:color="auto" w:fill="FFFFFF"/>
        </w:rPr>
        <w:t>Shiban</w:t>
      </w:r>
      <w:proofErr w:type="spellEnd"/>
      <w:r w:rsidRPr="006032FC">
        <w:rPr>
          <w:rFonts w:ascii="Arial" w:hAnsi="Arial" w:cs="Arial"/>
          <w:color w:val="222222"/>
          <w:shd w:val="clear" w:color="auto" w:fill="FFFFFF"/>
        </w:rPr>
        <w:t>, A.P., &amp; Care, E. (2012). Qualitative research in career development: Content analysis from 1990 to 2009. International Journal for Educational and Vocational Guidance, 12(2), 105-122.</w:t>
      </w:r>
      <w:r w:rsidR="00FB1815" w:rsidRPr="00FB1815">
        <w:t xml:space="preserve"> </w:t>
      </w:r>
      <w:r w:rsidR="00FB1815" w:rsidRPr="00FB1815">
        <w:rPr>
          <w:rFonts w:ascii="Arial" w:hAnsi="Arial" w:cs="Arial"/>
          <w:color w:val="222222"/>
          <w:shd w:val="clear" w:color="auto" w:fill="FFFFFF"/>
        </w:rPr>
        <w:t>https://doi.org/10.1007/s10775-011-9196-1</w:t>
      </w:r>
    </w:p>
    <w:p w14:paraId="48F51354" w14:textId="177B5A25"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11. Croll, J., Neumark-</w:t>
      </w:r>
      <w:proofErr w:type="spellStart"/>
      <w:r w:rsidRPr="006032FC">
        <w:rPr>
          <w:rFonts w:ascii="Arial" w:hAnsi="Arial" w:cs="Arial"/>
          <w:color w:val="222222"/>
          <w:shd w:val="clear" w:color="auto" w:fill="FFFFFF"/>
        </w:rPr>
        <w:t>Sztainer</w:t>
      </w:r>
      <w:proofErr w:type="spellEnd"/>
      <w:r w:rsidRPr="006032FC">
        <w:rPr>
          <w:rFonts w:ascii="Arial" w:hAnsi="Arial" w:cs="Arial"/>
          <w:color w:val="222222"/>
          <w:shd w:val="clear" w:color="auto" w:fill="FFFFFF"/>
        </w:rPr>
        <w:t xml:space="preserve">, D., Story, M., &amp; Ireland, M. (2002). Prevalence and risk and protective factors related to disordered eating behaviors among adolescents: relationship to gender and ethnicity. Journal of Adolescent Health, 31(2), 166-175. </w:t>
      </w:r>
      <w:r w:rsidR="00FB1815" w:rsidRPr="00FB1815">
        <w:rPr>
          <w:rFonts w:ascii="Arial" w:hAnsi="Arial" w:cs="Arial"/>
          <w:color w:val="222222"/>
          <w:shd w:val="clear" w:color="auto" w:fill="FFFFFF"/>
        </w:rPr>
        <w:t>https://doi.org/10.1016/S1054-139X(02)00368-3</w:t>
      </w:r>
    </w:p>
    <w:p w14:paraId="7CF35ACC" w14:textId="0FBAD20F"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12. Szekely, C. (2009). Nutritional recommendations for a healthy elderly person. In Treatise on nutrition of the elderly (pp. 103-107). Paris: Springer Paris.</w:t>
      </w:r>
      <w:r w:rsidR="00FB1815" w:rsidRPr="00FB1815">
        <w:t xml:space="preserve"> </w:t>
      </w:r>
      <w:r w:rsidR="00FB1815" w:rsidRPr="00FB1815">
        <w:rPr>
          <w:rFonts w:ascii="Arial" w:hAnsi="Arial" w:cs="Arial"/>
          <w:color w:val="222222"/>
          <w:shd w:val="clear" w:color="auto" w:fill="FFFFFF"/>
        </w:rPr>
        <w:t>https://doi.org/10.1007/978-2-287-98117-3_13</w:t>
      </w:r>
    </w:p>
    <w:p w14:paraId="1EEF49C9" w14:textId="579E2FC4"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13. Berrington, W. R., Macdonald, M., </w:t>
      </w:r>
      <w:proofErr w:type="spellStart"/>
      <w:r w:rsidRPr="006032FC">
        <w:rPr>
          <w:rFonts w:ascii="Arial" w:hAnsi="Arial" w:cs="Arial"/>
          <w:color w:val="222222"/>
          <w:shd w:val="clear" w:color="auto" w:fill="FFFFFF"/>
        </w:rPr>
        <w:t>Khadge</w:t>
      </w:r>
      <w:proofErr w:type="spellEnd"/>
      <w:r w:rsidRPr="006032FC">
        <w:rPr>
          <w:rFonts w:ascii="Arial" w:hAnsi="Arial" w:cs="Arial"/>
          <w:color w:val="222222"/>
          <w:shd w:val="clear" w:color="auto" w:fill="FFFFFF"/>
        </w:rPr>
        <w:t>, S., Sapkota, B. R., Janer, M., Hagge, D. A., ... &amp; Hawn, T. R. (2010). Common polymorphisms in the NOD2 gene region are associated with leprosy and its reactive states. The Journal of infectious diseases, 201(9), 1422-1435.</w:t>
      </w:r>
      <w:r w:rsidR="00FB1815" w:rsidRPr="00FB1815">
        <w:t xml:space="preserve"> </w:t>
      </w:r>
      <w:r w:rsidR="00FB1815" w:rsidRPr="00FB1815">
        <w:rPr>
          <w:rFonts w:ascii="Arial" w:hAnsi="Arial" w:cs="Arial"/>
          <w:color w:val="222222"/>
          <w:shd w:val="clear" w:color="auto" w:fill="FFFFFF"/>
        </w:rPr>
        <w:t>https://doi.org/10.1086/651559</w:t>
      </w:r>
    </w:p>
    <w:p w14:paraId="5CEE594B" w14:textId="21E5B132"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14. Fernández-García, D., Rodríguez, M., García Alemán, J., García-Almeida, J.M., Picón, M.J., </w:t>
      </w:r>
      <w:proofErr w:type="spellStart"/>
      <w:r w:rsidRPr="006032FC">
        <w:rPr>
          <w:rFonts w:ascii="Arial" w:hAnsi="Arial" w:cs="Arial"/>
          <w:color w:val="222222"/>
          <w:shd w:val="clear" w:color="auto" w:fill="FFFFFF"/>
        </w:rPr>
        <w:t>FernándezAranda</w:t>
      </w:r>
      <w:proofErr w:type="spellEnd"/>
      <w:r w:rsidRPr="006032FC">
        <w:rPr>
          <w:rFonts w:ascii="Arial" w:hAnsi="Arial" w:cs="Arial"/>
          <w:color w:val="222222"/>
          <w:shd w:val="clear" w:color="auto" w:fill="FFFFFF"/>
        </w:rPr>
        <w:t xml:space="preserve">, F., and </w:t>
      </w:r>
      <w:proofErr w:type="spellStart"/>
      <w:r w:rsidRPr="006032FC">
        <w:rPr>
          <w:rFonts w:ascii="Arial" w:hAnsi="Arial" w:cs="Arial"/>
          <w:color w:val="222222"/>
          <w:shd w:val="clear" w:color="auto" w:fill="FFFFFF"/>
        </w:rPr>
        <w:t>Tinahones</w:t>
      </w:r>
      <w:proofErr w:type="spellEnd"/>
      <w:r w:rsidRPr="006032FC">
        <w:rPr>
          <w:rFonts w:ascii="Arial" w:hAnsi="Arial" w:cs="Arial"/>
          <w:color w:val="222222"/>
          <w:shd w:val="clear" w:color="auto" w:fill="FFFFFF"/>
        </w:rPr>
        <w:t xml:space="preserve">, F.J. 2009. Thin healthy women have a similar low bone mass to women with anorexia nervosa. Br. J. </w:t>
      </w:r>
      <w:proofErr w:type="spellStart"/>
      <w:r w:rsidRPr="006032FC">
        <w:rPr>
          <w:rFonts w:ascii="Arial" w:hAnsi="Arial" w:cs="Arial"/>
          <w:color w:val="222222"/>
          <w:shd w:val="clear" w:color="auto" w:fill="FFFFFF"/>
        </w:rPr>
        <w:t>Nutr</w:t>
      </w:r>
      <w:proofErr w:type="spellEnd"/>
      <w:r w:rsidRPr="006032FC">
        <w:rPr>
          <w:rFonts w:ascii="Arial" w:hAnsi="Arial" w:cs="Arial"/>
          <w:color w:val="222222"/>
          <w:shd w:val="clear" w:color="auto" w:fill="FFFFFF"/>
        </w:rPr>
        <w:t xml:space="preserve">. 102(5): 709–714. </w:t>
      </w:r>
      <w:r w:rsidR="00FB1815" w:rsidRPr="00FB1815">
        <w:rPr>
          <w:rFonts w:ascii="Arial" w:hAnsi="Arial" w:cs="Arial"/>
          <w:color w:val="222222"/>
          <w:shd w:val="clear" w:color="auto" w:fill="FFFFFF"/>
        </w:rPr>
        <w:t>https://doi.org/10.1017/S0007114509274733</w:t>
      </w:r>
    </w:p>
    <w:p w14:paraId="3EE471B5" w14:textId="31827306"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15. Hasegawa, A., Usui, C., Kawano, H., Sakamoto, S., and Higuchi, M. 2011. Characteristics of body composition and remaining energy expenditure in lean young women. </w:t>
      </w:r>
      <w:proofErr w:type="spellStart"/>
      <w:proofErr w:type="gramStart"/>
      <w:r w:rsidRPr="006032FC">
        <w:rPr>
          <w:rFonts w:ascii="Arial" w:hAnsi="Arial" w:cs="Arial"/>
          <w:color w:val="222222"/>
          <w:shd w:val="clear" w:color="auto" w:fill="FFFFFF"/>
        </w:rPr>
        <w:t>J.Nutr</w:t>
      </w:r>
      <w:proofErr w:type="spellEnd"/>
      <w:proofErr w:type="gramEnd"/>
      <w:r w:rsidRPr="006032FC">
        <w:rPr>
          <w:rFonts w:ascii="Arial" w:hAnsi="Arial" w:cs="Arial"/>
          <w:color w:val="222222"/>
          <w:shd w:val="clear" w:color="auto" w:fill="FFFFFF"/>
        </w:rPr>
        <w:t xml:space="preserve">. Sci. </w:t>
      </w:r>
      <w:proofErr w:type="spellStart"/>
      <w:r w:rsidRPr="006032FC">
        <w:rPr>
          <w:rFonts w:ascii="Arial" w:hAnsi="Arial" w:cs="Arial"/>
          <w:color w:val="222222"/>
          <w:shd w:val="clear" w:color="auto" w:fill="FFFFFF"/>
        </w:rPr>
        <w:t>Vitaminol</w:t>
      </w:r>
      <w:proofErr w:type="spellEnd"/>
      <w:r w:rsidRPr="006032FC">
        <w:rPr>
          <w:rFonts w:ascii="Arial" w:hAnsi="Arial" w:cs="Arial"/>
          <w:color w:val="222222"/>
          <w:shd w:val="clear" w:color="auto" w:fill="FFFFFF"/>
        </w:rPr>
        <w:t>. (Tokyo) 57(1): 74–79. doi:10.3177/jnsv.57.74.</w:t>
      </w:r>
      <w:r w:rsidR="00FB1815" w:rsidRPr="00FB1815">
        <w:t xml:space="preserve"> </w:t>
      </w:r>
      <w:r w:rsidR="00FB1815" w:rsidRPr="00FB1815">
        <w:rPr>
          <w:rFonts w:ascii="Arial" w:hAnsi="Arial" w:cs="Arial"/>
          <w:color w:val="222222"/>
          <w:shd w:val="clear" w:color="auto" w:fill="FFFFFF"/>
        </w:rPr>
        <w:t>https://doi.org/10.3177/jnsv.57.74</w:t>
      </w:r>
    </w:p>
    <w:p w14:paraId="5CEAEFF7" w14:textId="708D1CE4"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16. Galusca, B., Germain, N., and </w:t>
      </w:r>
      <w:proofErr w:type="spellStart"/>
      <w:r w:rsidRPr="006032FC">
        <w:rPr>
          <w:rFonts w:ascii="Arial" w:hAnsi="Arial" w:cs="Arial"/>
          <w:color w:val="222222"/>
          <w:shd w:val="clear" w:color="auto" w:fill="FFFFFF"/>
        </w:rPr>
        <w:t>Estour</w:t>
      </w:r>
      <w:proofErr w:type="spellEnd"/>
      <w:r w:rsidRPr="006032FC">
        <w:rPr>
          <w:rFonts w:ascii="Arial" w:hAnsi="Arial" w:cs="Arial"/>
          <w:color w:val="222222"/>
          <w:shd w:val="clear" w:color="auto" w:fill="FFFFFF"/>
        </w:rPr>
        <w:t xml:space="preserve">, B. 2016. Thinness, bone and fracture risk. Med. Wrong. </w:t>
      </w:r>
      <w:proofErr w:type="spellStart"/>
      <w:r w:rsidRPr="006032FC">
        <w:rPr>
          <w:rFonts w:ascii="Arial" w:hAnsi="Arial" w:cs="Arial"/>
          <w:color w:val="222222"/>
          <w:shd w:val="clear" w:color="auto" w:fill="FFFFFF"/>
        </w:rPr>
        <w:t>Metab</w:t>
      </w:r>
      <w:proofErr w:type="spellEnd"/>
      <w:r w:rsidRPr="006032FC">
        <w:rPr>
          <w:rFonts w:ascii="Arial" w:hAnsi="Arial" w:cs="Arial"/>
          <w:color w:val="222222"/>
          <w:shd w:val="clear" w:color="auto" w:fill="FFFFFF"/>
        </w:rPr>
        <w:t xml:space="preserve">. 10(1): 16–21. </w:t>
      </w:r>
      <w:r w:rsidR="00FB1815" w:rsidRPr="00FB1815">
        <w:rPr>
          <w:rFonts w:ascii="Arial" w:hAnsi="Arial" w:cs="Arial"/>
          <w:color w:val="222222"/>
          <w:shd w:val="clear" w:color="auto" w:fill="FFFFFF"/>
        </w:rPr>
        <w:t>https://doi.org/10.1016/S1957-2557(16)30004-9</w:t>
      </w:r>
    </w:p>
    <w:p w14:paraId="3C04ADF3" w14:textId="1796BD5A"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17. Secker, D. J., &amp; Jeejeebhoy, K. N. (2007). Subjective global nutritional assessment for children. The American journal of clinical nutrition, 85(4), 1083-1089.</w:t>
      </w:r>
      <w:r w:rsidR="00FB1815" w:rsidRPr="00FB1815">
        <w:t xml:space="preserve"> </w:t>
      </w:r>
      <w:r w:rsidR="00FB1815" w:rsidRPr="00FB1815">
        <w:rPr>
          <w:rFonts w:ascii="Arial" w:hAnsi="Arial" w:cs="Arial"/>
          <w:color w:val="222222"/>
          <w:shd w:val="clear" w:color="auto" w:fill="FFFFFF"/>
        </w:rPr>
        <w:t>https://doi.org/10.1093/ajcn/85.4.1083</w:t>
      </w:r>
    </w:p>
    <w:p w14:paraId="1A92073D" w14:textId="059C9AA5"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lastRenderedPageBreak/>
        <w:t xml:space="preserve">18. Hecht, C., Weber, M., Grote, V., Daskalou, E., </w:t>
      </w:r>
      <w:proofErr w:type="spellStart"/>
      <w:r w:rsidRPr="006032FC">
        <w:rPr>
          <w:rFonts w:ascii="Arial" w:hAnsi="Arial" w:cs="Arial"/>
          <w:color w:val="222222"/>
          <w:shd w:val="clear" w:color="auto" w:fill="FFFFFF"/>
        </w:rPr>
        <w:t>Dell'Era</w:t>
      </w:r>
      <w:proofErr w:type="spellEnd"/>
      <w:r w:rsidRPr="006032FC">
        <w:rPr>
          <w:rFonts w:ascii="Arial" w:hAnsi="Arial" w:cs="Arial"/>
          <w:color w:val="222222"/>
          <w:shd w:val="clear" w:color="auto" w:fill="FFFFFF"/>
        </w:rPr>
        <w:t xml:space="preserve">, L., Flynn, D., ... &amp; </w:t>
      </w:r>
      <w:proofErr w:type="spellStart"/>
      <w:r w:rsidRPr="006032FC">
        <w:rPr>
          <w:rFonts w:ascii="Arial" w:hAnsi="Arial" w:cs="Arial"/>
          <w:color w:val="222222"/>
          <w:shd w:val="clear" w:color="auto" w:fill="FFFFFF"/>
        </w:rPr>
        <w:t>Koletzko</w:t>
      </w:r>
      <w:proofErr w:type="spellEnd"/>
      <w:r w:rsidRPr="006032FC">
        <w:rPr>
          <w:rFonts w:ascii="Arial" w:hAnsi="Arial" w:cs="Arial"/>
          <w:color w:val="222222"/>
          <w:shd w:val="clear" w:color="auto" w:fill="FFFFFF"/>
        </w:rPr>
        <w:t>, B. (2015). Disease associated malnutrition correlates with length of hospital stay in children. Clinical nutrition, 34(1), 53-59.</w:t>
      </w:r>
      <w:r w:rsidR="00FB1815" w:rsidRPr="00FB1815">
        <w:t xml:space="preserve"> </w:t>
      </w:r>
      <w:r w:rsidR="00FB1815" w:rsidRPr="00FB1815">
        <w:rPr>
          <w:rFonts w:ascii="Arial" w:hAnsi="Arial" w:cs="Arial"/>
          <w:color w:val="222222"/>
          <w:shd w:val="clear" w:color="auto" w:fill="FFFFFF"/>
        </w:rPr>
        <w:t>https://doi.org/10.1016/j.clnu.2014.01.003</w:t>
      </w:r>
    </w:p>
    <w:p w14:paraId="6F2C7F55" w14:textId="78FE3B5E"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19. </w:t>
      </w:r>
      <w:proofErr w:type="spellStart"/>
      <w:r w:rsidRPr="006032FC">
        <w:rPr>
          <w:rFonts w:ascii="Arial" w:hAnsi="Arial" w:cs="Arial"/>
          <w:color w:val="222222"/>
          <w:shd w:val="clear" w:color="auto" w:fill="FFFFFF"/>
        </w:rPr>
        <w:t>Estour</w:t>
      </w:r>
      <w:proofErr w:type="spellEnd"/>
      <w:r w:rsidRPr="006032FC">
        <w:rPr>
          <w:rFonts w:ascii="Arial" w:hAnsi="Arial" w:cs="Arial"/>
          <w:color w:val="222222"/>
          <w:shd w:val="clear" w:color="auto" w:fill="FFFFFF"/>
        </w:rPr>
        <w:t>, B., Galusca, B., &amp; Germain, N. (2014). Constitutional thinness and anorexia nervosa: a possible misdiagnosis? Frontiers in endocrinology, 5, 175.</w:t>
      </w:r>
      <w:r w:rsidR="00FB1815" w:rsidRPr="00FB1815">
        <w:t xml:space="preserve"> </w:t>
      </w:r>
      <w:r w:rsidR="00FB1815" w:rsidRPr="00FB1815">
        <w:rPr>
          <w:rFonts w:ascii="Arial" w:hAnsi="Arial" w:cs="Arial"/>
          <w:color w:val="222222"/>
          <w:shd w:val="clear" w:color="auto" w:fill="FFFFFF"/>
        </w:rPr>
        <w:t>https://doi.org/10.3389/fendo.2014.00175</w:t>
      </w:r>
    </w:p>
    <w:p w14:paraId="191DC75C" w14:textId="56DDA03E"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20. Verney, J., Germain, N., </w:t>
      </w:r>
      <w:proofErr w:type="spellStart"/>
      <w:r w:rsidRPr="006032FC">
        <w:rPr>
          <w:rFonts w:ascii="Arial" w:hAnsi="Arial" w:cs="Arial"/>
          <w:color w:val="222222"/>
          <w:shd w:val="clear" w:color="auto" w:fill="FFFFFF"/>
        </w:rPr>
        <w:t>Meugnier</w:t>
      </w:r>
      <w:proofErr w:type="spellEnd"/>
      <w:r w:rsidRPr="006032FC">
        <w:rPr>
          <w:rFonts w:ascii="Arial" w:hAnsi="Arial" w:cs="Arial"/>
          <w:color w:val="222222"/>
          <w:shd w:val="clear" w:color="auto" w:fill="FFFFFF"/>
        </w:rPr>
        <w:t xml:space="preserve">, E., </w:t>
      </w:r>
      <w:proofErr w:type="spellStart"/>
      <w:r w:rsidRPr="006032FC">
        <w:rPr>
          <w:rFonts w:ascii="Arial" w:hAnsi="Arial" w:cs="Arial"/>
          <w:color w:val="222222"/>
          <w:shd w:val="clear" w:color="auto" w:fill="FFFFFF"/>
        </w:rPr>
        <w:t>Grateau</w:t>
      </w:r>
      <w:proofErr w:type="spellEnd"/>
      <w:r w:rsidRPr="006032FC">
        <w:rPr>
          <w:rFonts w:ascii="Arial" w:hAnsi="Arial" w:cs="Arial"/>
          <w:color w:val="222222"/>
          <w:shd w:val="clear" w:color="auto" w:fill="FFFFFF"/>
        </w:rPr>
        <w:t>, G., Édouard, P., Féasson, L., ... &amp; Galusca, B. (2017). Constitutional leanness: a specific muscular phenotype. Clinical Nutrition and Metabolism, 31(3), 232-233.</w:t>
      </w:r>
      <w:r w:rsidR="00FB1815" w:rsidRPr="00FB1815">
        <w:t xml:space="preserve"> </w:t>
      </w:r>
      <w:r w:rsidR="00FB1815" w:rsidRPr="00FB1815">
        <w:rPr>
          <w:rFonts w:ascii="Arial" w:hAnsi="Arial" w:cs="Arial"/>
          <w:color w:val="222222"/>
          <w:shd w:val="clear" w:color="auto" w:fill="FFFFFF"/>
        </w:rPr>
        <w:t>https://doi.org/10.1016/j.nupar.2017.06.039</w:t>
      </w:r>
    </w:p>
    <w:p w14:paraId="2675C20E" w14:textId="77777777"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21. Taleb, S. (2011). Obesity in schoolchildren in </w:t>
      </w:r>
      <w:proofErr w:type="spellStart"/>
      <w:r w:rsidRPr="006032FC">
        <w:rPr>
          <w:rFonts w:ascii="Arial" w:hAnsi="Arial" w:cs="Arial"/>
          <w:color w:val="222222"/>
          <w:shd w:val="clear" w:color="auto" w:fill="FFFFFF"/>
        </w:rPr>
        <w:t>Tébessa</w:t>
      </w:r>
      <w:proofErr w:type="spellEnd"/>
      <w:r w:rsidRPr="006032FC">
        <w:rPr>
          <w:rFonts w:ascii="Arial" w:hAnsi="Arial" w:cs="Arial"/>
          <w:color w:val="222222"/>
          <w:shd w:val="clear" w:color="auto" w:fill="FFFFFF"/>
        </w:rPr>
        <w:t xml:space="preserve"> (1995-2007): prevalence, eating behavior and socio-economic factors (Doctoral dissertation, State doctoral thesis, INATAA. University of Constantine).</w:t>
      </w:r>
    </w:p>
    <w:p w14:paraId="0EA25E51" w14:textId="055DFB6C"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22. Hoyland, A., Dye, L., &amp; Lawton, C. L. (2009). A systematic review of the effect of breakfast on the cognitive performance of children and adolescents. Nutrition research reviews, 22(2), 220-243.</w:t>
      </w:r>
      <w:r w:rsidR="00FB1815" w:rsidRPr="00FB1815">
        <w:t xml:space="preserve"> </w:t>
      </w:r>
      <w:r w:rsidR="00FB1815" w:rsidRPr="00FB1815">
        <w:rPr>
          <w:rFonts w:ascii="Arial" w:hAnsi="Arial" w:cs="Arial"/>
          <w:color w:val="222222"/>
          <w:shd w:val="clear" w:color="auto" w:fill="FFFFFF"/>
        </w:rPr>
        <w:t>https://doi.org/10.1017/S0954422409990175</w:t>
      </w:r>
    </w:p>
    <w:p w14:paraId="06090AFE" w14:textId="359CAFC6"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23. </w:t>
      </w:r>
      <w:proofErr w:type="spellStart"/>
      <w:r w:rsidRPr="006032FC">
        <w:rPr>
          <w:rFonts w:ascii="Arial" w:hAnsi="Arial" w:cs="Arial"/>
          <w:color w:val="222222"/>
          <w:shd w:val="clear" w:color="auto" w:fill="FFFFFF"/>
        </w:rPr>
        <w:t>Szajewska</w:t>
      </w:r>
      <w:proofErr w:type="spellEnd"/>
      <w:r w:rsidRPr="006032FC">
        <w:rPr>
          <w:rFonts w:ascii="Arial" w:hAnsi="Arial" w:cs="Arial"/>
          <w:color w:val="222222"/>
          <w:shd w:val="clear" w:color="auto" w:fill="FFFFFF"/>
        </w:rPr>
        <w:t xml:space="preserve">, H., &amp; </w:t>
      </w:r>
      <w:proofErr w:type="spellStart"/>
      <w:r w:rsidRPr="006032FC">
        <w:rPr>
          <w:rFonts w:ascii="Arial" w:hAnsi="Arial" w:cs="Arial"/>
          <w:color w:val="222222"/>
          <w:shd w:val="clear" w:color="auto" w:fill="FFFFFF"/>
        </w:rPr>
        <w:t>Ruszczy</w:t>
      </w:r>
      <w:r w:rsidRPr="006032FC">
        <w:rPr>
          <w:rFonts w:ascii="Arial" w:hAnsi="Arial" w:cs="Arial" w:hint="eastAsia"/>
          <w:color w:val="222222"/>
          <w:shd w:val="clear" w:color="auto" w:fill="FFFFFF"/>
        </w:rPr>
        <w:t>ń</w:t>
      </w:r>
      <w:r w:rsidRPr="006032FC">
        <w:rPr>
          <w:rFonts w:ascii="Arial" w:hAnsi="Arial" w:cs="Arial"/>
          <w:color w:val="222222"/>
          <w:shd w:val="clear" w:color="auto" w:fill="FFFFFF"/>
        </w:rPr>
        <w:t>ski</w:t>
      </w:r>
      <w:proofErr w:type="spellEnd"/>
      <w:r w:rsidRPr="006032FC">
        <w:rPr>
          <w:rFonts w:ascii="Arial" w:hAnsi="Arial" w:cs="Arial"/>
          <w:color w:val="222222"/>
          <w:shd w:val="clear" w:color="auto" w:fill="FFFFFF"/>
        </w:rPr>
        <w:t>, M. (2010). Systematic review demonstrating that breakfast consumption influences body weight outcomes in children and adolescents in Europe. Critical reviews in food science and nutrition, 50(2), 113-119.</w:t>
      </w:r>
      <w:r w:rsidR="00FB1815" w:rsidRPr="00FB1815">
        <w:t xml:space="preserve"> </w:t>
      </w:r>
      <w:r w:rsidR="00FB1815" w:rsidRPr="00FB1815">
        <w:rPr>
          <w:rFonts w:ascii="Arial" w:hAnsi="Arial" w:cs="Arial"/>
          <w:color w:val="222222"/>
          <w:shd w:val="clear" w:color="auto" w:fill="FFFFFF"/>
        </w:rPr>
        <w:t>https://doi.org/10.1080/10408390903467514</w:t>
      </w:r>
    </w:p>
    <w:p w14:paraId="23F76347" w14:textId="59AF988F"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24. Fossou, A. F., Bitty, M. L. A., Coulibaly, T. J., </w:t>
      </w:r>
      <w:proofErr w:type="spellStart"/>
      <w:r w:rsidRPr="006032FC">
        <w:rPr>
          <w:rFonts w:ascii="Arial" w:hAnsi="Arial" w:cs="Arial"/>
          <w:color w:val="222222"/>
          <w:shd w:val="clear" w:color="auto" w:fill="FFFFFF"/>
        </w:rPr>
        <w:t>Bataï</w:t>
      </w:r>
      <w:proofErr w:type="spellEnd"/>
      <w:r w:rsidRPr="006032FC">
        <w:rPr>
          <w:rFonts w:ascii="Arial" w:hAnsi="Arial" w:cs="Arial"/>
          <w:color w:val="222222"/>
          <w:shd w:val="clear" w:color="auto" w:fill="FFFFFF"/>
        </w:rPr>
        <w:t xml:space="preserve">, N. F., Touré, M. F., &amp; </w:t>
      </w:r>
      <w:proofErr w:type="spellStart"/>
      <w:r w:rsidRPr="006032FC">
        <w:rPr>
          <w:rFonts w:ascii="Arial" w:hAnsi="Arial" w:cs="Arial"/>
          <w:color w:val="222222"/>
          <w:shd w:val="clear" w:color="auto" w:fill="FFFFFF"/>
        </w:rPr>
        <w:t>Zahé</w:t>
      </w:r>
      <w:proofErr w:type="spellEnd"/>
      <w:r w:rsidRPr="006032FC">
        <w:rPr>
          <w:rFonts w:ascii="Arial" w:hAnsi="Arial" w:cs="Arial"/>
          <w:color w:val="222222"/>
          <w:shd w:val="clear" w:color="auto" w:fill="FFFFFF"/>
        </w:rPr>
        <w:t>, K. Y. A. S. (2020). Prevalence of obesity in children enrolled in private and public primary schools. Clinical Nutrition ESPEN, 40, 115-120.</w:t>
      </w:r>
      <w:r w:rsidR="00FB1815" w:rsidRPr="00FB1815">
        <w:t xml:space="preserve"> </w:t>
      </w:r>
      <w:r w:rsidR="00FB1815" w:rsidRPr="00FB1815">
        <w:rPr>
          <w:rFonts w:ascii="Arial" w:hAnsi="Arial" w:cs="Arial"/>
          <w:color w:val="222222"/>
          <w:shd w:val="clear" w:color="auto" w:fill="FFFFFF"/>
        </w:rPr>
        <w:t>https://doi.org/10.1016/j.clnesp.2020.10.006</w:t>
      </w:r>
    </w:p>
    <w:p w14:paraId="64A86CB0" w14:textId="698B5BFD" w:rsidR="006032FC" w:rsidRPr="006032FC" w:rsidRDefault="006032FC" w:rsidP="006032FC">
      <w:pPr>
        <w:spacing w:line="360" w:lineRule="auto"/>
        <w:jc w:val="both"/>
        <w:rPr>
          <w:rFonts w:ascii="Arial" w:hAnsi="Arial" w:cs="Arial"/>
          <w:color w:val="222222"/>
          <w:shd w:val="clear" w:color="auto" w:fill="FFFFFF"/>
        </w:rPr>
      </w:pPr>
      <w:r w:rsidRPr="006032FC">
        <w:rPr>
          <w:rFonts w:ascii="Arial" w:hAnsi="Arial" w:cs="Arial"/>
          <w:color w:val="222222"/>
          <w:shd w:val="clear" w:color="auto" w:fill="FFFFFF"/>
        </w:rPr>
        <w:t xml:space="preserve">25. </w:t>
      </w:r>
      <w:proofErr w:type="spellStart"/>
      <w:r w:rsidRPr="006032FC">
        <w:rPr>
          <w:rFonts w:ascii="Arial" w:hAnsi="Arial" w:cs="Arial"/>
          <w:color w:val="222222"/>
          <w:shd w:val="clear" w:color="auto" w:fill="FFFFFF"/>
        </w:rPr>
        <w:t>Baali</w:t>
      </w:r>
      <w:proofErr w:type="spellEnd"/>
      <w:r w:rsidRPr="006032FC">
        <w:rPr>
          <w:rFonts w:ascii="Arial" w:hAnsi="Arial" w:cs="Arial"/>
          <w:color w:val="222222"/>
          <w:shd w:val="clear" w:color="auto" w:fill="FFFFFF"/>
        </w:rPr>
        <w:t>, M. (2012). Nutritional status and eating behavior of adolescents in the city of Marrakech.</w:t>
      </w:r>
      <w:r w:rsidR="00FB1815" w:rsidRPr="00FB1815">
        <w:t xml:space="preserve"> </w:t>
      </w:r>
      <w:r w:rsidR="00FB1815" w:rsidRPr="00FB1815">
        <w:rPr>
          <w:rFonts w:ascii="Arial" w:hAnsi="Arial" w:cs="Arial"/>
          <w:color w:val="222222"/>
          <w:shd w:val="clear" w:color="auto" w:fill="FFFFFF"/>
        </w:rPr>
        <w:t>http://toubkal.imist.ma/handle/123456789/20085</w:t>
      </w:r>
    </w:p>
    <w:p w14:paraId="21863E3E" w14:textId="5F67068A" w:rsidR="00543B72" w:rsidRPr="00576770" w:rsidRDefault="006032FC" w:rsidP="006032FC">
      <w:pPr>
        <w:spacing w:line="360" w:lineRule="auto"/>
        <w:jc w:val="both"/>
        <w:rPr>
          <w:rFonts w:ascii="Arial" w:hAnsi="Arial" w:cs="Arial"/>
        </w:rPr>
      </w:pPr>
      <w:r w:rsidRPr="006032FC">
        <w:rPr>
          <w:rFonts w:ascii="Arial" w:hAnsi="Arial" w:cs="Arial"/>
          <w:color w:val="222222"/>
          <w:shd w:val="clear" w:color="auto" w:fill="FFFFFF"/>
        </w:rPr>
        <w:t>26. Zahe, K.</w:t>
      </w:r>
      <w:r w:rsidRPr="006032FC">
        <w:t xml:space="preserve"> </w:t>
      </w:r>
      <w:r w:rsidRPr="006032FC">
        <w:rPr>
          <w:rFonts w:ascii="Arial" w:hAnsi="Arial" w:cs="Arial"/>
          <w:color w:val="222222"/>
          <w:shd w:val="clear" w:color="auto" w:fill="FFFFFF"/>
        </w:rPr>
        <w:t xml:space="preserve">Y. A. S., </w:t>
      </w:r>
      <w:proofErr w:type="spellStart"/>
      <w:r w:rsidRPr="006032FC">
        <w:rPr>
          <w:rFonts w:ascii="Arial" w:hAnsi="Arial" w:cs="Arial"/>
          <w:color w:val="222222"/>
          <w:shd w:val="clear" w:color="auto" w:fill="FFFFFF"/>
        </w:rPr>
        <w:t>Méité</w:t>
      </w:r>
      <w:proofErr w:type="spellEnd"/>
      <w:r w:rsidRPr="006032FC">
        <w:rPr>
          <w:rFonts w:ascii="Arial" w:hAnsi="Arial" w:cs="Arial"/>
          <w:color w:val="222222"/>
          <w:shd w:val="clear" w:color="auto" w:fill="FFFFFF"/>
        </w:rPr>
        <w:t xml:space="preserve">, A., Ouattara, H., Dally, T., Kouame, K. G., Aké-Tano, O., &amp; Kati-Coulibaly, S. (2017). Diet, nutritional status and school performance of schoolchildren in the district of Abidjan: case of </w:t>
      </w:r>
      <w:proofErr w:type="spellStart"/>
      <w:r w:rsidRPr="006032FC">
        <w:rPr>
          <w:rFonts w:ascii="Arial" w:hAnsi="Arial" w:cs="Arial"/>
          <w:color w:val="222222"/>
          <w:shd w:val="clear" w:color="auto" w:fill="FFFFFF"/>
        </w:rPr>
        <w:t>Yopougon</w:t>
      </w:r>
      <w:proofErr w:type="spellEnd"/>
      <w:r w:rsidRPr="006032FC">
        <w:rPr>
          <w:rFonts w:ascii="Arial" w:hAnsi="Arial" w:cs="Arial"/>
          <w:color w:val="222222"/>
          <w:shd w:val="clear" w:color="auto" w:fill="FFFFFF"/>
        </w:rPr>
        <w:t xml:space="preserve"> and </w:t>
      </w:r>
      <w:proofErr w:type="spellStart"/>
      <w:r w:rsidRPr="006032FC">
        <w:rPr>
          <w:rFonts w:ascii="Arial" w:hAnsi="Arial" w:cs="Arial"/>
          <w:color w:val="222222"/>
          <w:shd w:val="clear" w:color="auto" w:fill="FFFFFF"/>
        </w:rPr>
        <w:t>Bingerville</w:t>
      </w:r>
      <w:proofErr w:type="spellEnd"/>
      <w:r w:rsidRPr="006032FC">
        <w:rPr>
          <w:rFonts w:ascii="Arial" w:hAnsi="Arial" w:cs="Arial"/>
          <w:color w:val="222222"/>
          <w:shd w:val="clear" w:color="auto" w:fill="FFFFFF"/>
        </w:rPr>
        <w:t xml:space="preserve">. J </w:t>
      </w:r>
      <w:proofErr w:type="spellStart"/>
      <w:r w:rsidRPr="006032FC">
        <w:rPr>
          <w:rFonts w:ascii="Arial" w:hAnsi="Arial" w:cs="Arial"/>
          <w:color w:val="222222"/>
          <w:shd w:val="clear" w:color="auto" w:fill="FFFFFF"/>
        </w:rPr>
        <w:t>Nutr</w:t>
      </w:r>
      <w:proofErr w:type="spellEnd"/>
      <w:r w:rsidRPr="006032FC">
        <w:rPr>
          <w:rFonts w:ascii="Arial" w:hAnsi="Arial" w:cs="Arial"/>
          <w:color w:val="222222"/>
          <w:shd w:val="clear" w:color="auto" w:fill="FFFFFF"/>
        </w:rPr>
        <w:t xml:space="preserve"> Health Sci, 4(1), 102.</w:t>
      </w:r>
      <w:r w:rsidR="00FB1815" w:rsidRPr="00FB1815">
        <w:t xml:space="preserve"> </w:t>
      </w:r>
      <w:r w:rsidR="00FB1815" w:rsidRPr="00FB1815">
        <w:rPr>
          <w:rFonts w:ascii="Arial" w:hAnsi="Arial" w:cs="Arial"/>
          <w:color w:val="222222"/>
          <w:shd w:val="clear" w:color="auto" w:fill="FFFFFF"/>
        </w:rPr>
        <w:t>https://doi.org/10.15744/2393-9060.4.102</w:t>
      </w:r>
    </w:p>
    <w:p w14:paraId="236B1B80" w14:textId="77777777" w:rsidR="00B01FCD" w:rsidRPr="00FB3A86" w:rsidRDefault="00B01FCD" w:rsidP="00543B72">
      <w:pPr>
        <w:pStyle w:val="Body"/>
        <w:spacing w:after="0"/>
        <w:rPr>
          <w:rFonts w:ascii="Arial" w:hAnsi="Arial" w:cs="Arial"/>
          <w:b/>
        </w:rPr>
      </w:pPr>
    </w:p>
    <w:sectPr w:rsidR="00B01FCD" w:rsidRPr="00FB3A86" w:rsidSect="0097405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0A82" w14:textId="77777777" w:rsidR="001025BC" w:rsidRDefault="001025BC" w:rsidP="00C37E61">
      <w:r>
        <w:separator/>
      </w:r>
    </w:p>
  </w:endnote>
  <w:endnote w:type="continuationSeparator" w:id="0">
    <w:p w14:paraId="72151EFF" w14:textId="77777777" w:rsidR="001025BC" w:rsidRDefault="001025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5CF4" w14:textId="77777777" w:rsidR="0097405A" w:rsidRDefault="00974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5569" w14:textId="564A9895" w:rsidR="008A3D3F" w:rsidRDefault="008A3D3F" w:rsidP="008A3D3F">
    <w:pPr>
      <w:pStyle w:val="Footer"/>
    </w:pPr>
  </w:p>
  <w:p w14:paraId="70851323" w14:textId="17EC3D25" w:rsidR="008A3D3F" w:rsidRDefault="008A3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2EDE" w14:textId="77777777" w:rsidR="009E048A" w:rsidRDefault="009E048A">
    <w:pPr>
      <w:pStyle w:val="Footer"/>
      <w:rPr>
        <w:rFonts w:ascii="Arial" w:hAnsi="Arial" w:cs="Arial"/>
        <w:sz w:val="16"/>
      </w:rPr>
    </w:pPr>
  </w:p>
  <w:p w14:paraId="44DBC91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EBEBBBE" w14:textId="77777777" w:rsidR="009E048A" w:rsidRDefault="009E048A">
    <w:pPr>
      <w:pStyle w:val="Footer"/>
      <w:rPr>
        <w:rFonts w:ascii="Arial" w:hAnsi="Arial" w:cs="Arial"/>
        <w:sz w:val="16"/>
      </w:rPr>
    </w:pPr>
  </w:p>
  <w:p w14:paraId="363544E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61E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BB2D" w14:textId="77777777" w:rsidR="001025BC" w:rsidRDefault="001025BC" w:rsidP="00C37E61">
      <w:r>
        <w:separator/>
      </w:r>
    </w:p>
  </w:footnote>
  <w:footnote w:type="continuationSeparator" w:id="0">
    <w:p w14:paraId="5FC15CE8" w14:textId="77777777" w:rsidR="001025BC" w:rsidRDefault="001025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6549" w14:textId="61DC3C7C" w:rsidR="0097405A" w:rsidRDefault="00000000">
    <w:pPr>
      <w:pStyle w:val="Header"/>
    </w:pPr>
    <w:r>
      <w:rPr>
        <w:noProof/>
      </w:rPr>
      <w:pict w14:anchorId="7CA85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B8F8" w14:textId="74A2F044" w:rsidR="0097405A" w:rsidRDefault="00000000">
    <w:pPr>
      <w:pStyle w:val="Header"/>
    </w:pPr>
    <w:r>
      <w:rPr>
        <w:noProof/>
      </w:rPr>
      <w:pict w14:anchorId="2A400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67D1" w14:textId="7AF99A7B" w:rsidR="00296529" w:rsidRPr="00296529" w:rsidRDefault="00000000" w:rsidP="00296529">
    <w:pPr>
      <w:ind w:left="2160"/>
      <w:jc w:val="center"/>
      <w:rPr>
        <w:rFonts w:ascii="Times New Roman" w:eastAsia="Calibri" w:hAnsi="Times New Roman"/>
        <w:i/>
        <w:sz w:val="18"/>
        <w:szCs w:val="22"/>
      </w:rPr>
    </w:pPr>
    <w:r>
      <w:rPr>
        <w:noProof/>
      </w:rPr>
      <w:pict w14:anchorId="3DD3A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8F8F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83BB4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B4EB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B239F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667D4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E1617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A009" w14:textId="28EB7C21" w:rsidR="0097405A" w:rsidRDefault="00000000">
    <w:pPr>
      <w:pStyle w:val="Header"/>
    </w:pPr>
    <w:r>
      <w:rPr>
        <w:noProof/>
      </w:rPr>
      <w:pict w14:anchorId="20885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E56C" w14:textId="4D5CEB2C" w:rsidR="0097405A" w:rsidRDefault="00000000">
    <w:pPr>
      <w:pStyle w:val="Header"/>
    </w:pPr>
    <w:r>
      <w:rPr>
        <w:noProof/>
      </w:rPr>
      <w:pict w14:anchorId="0688E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A8D6" w14:textId="0007C467" w:rsidR="0097405A" w:rsidRDefault="00000000">
    <w:pPr>
      <w:pStyle w:val="Header"/>
    </w:pPr>
    <w:r>
      <w:rPr>
        <w:noProof/>
      </w:rPr>
      <w:pict w14:anchorId="23AEB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2560B2"/>
    <w:multiLevelType w:val="hybridMultilevel"/>
    <w:tmpl w:val="EA4058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850AD3"/>
    <w:multiLevelType w:val="hybridMultilevel"/>
    <w:tmpl w:val="128E19C8"/>
    <w:lvl w:ilvl="0" w:tplc="D06A0C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202925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6224908">
    <w:abstractNumId w:val="17"/>
  </w:num>
  <w:num w:numId="3" w16cid:durableId="1644192896">
    <w:abstractNumId w:val="25"/>
  </w:num>
  <w:num w:numId="4" w16cid:durableId="1196121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14935893">
    <w:abstractNumId w:val="8"/>
  </w:num>
  <w:num w:numId="6" w16cid:durableId="253326508">
    <w:abstractNumId w:val="7"/>
  </w:num>
  <w:num w:numId="7" w16cid:durableId="419571592">
    <w:abstractNumId w:val="1"/>
  </w:num>
  <w:num w:numId="8" w16cid:durableId="1244605461">
    <w:abstractNumId w:val="13"/>
  </w:num>
  <w:num w:numId="9" w16cid:durableId="1821341748">
    <w:abstractNumId w:val="27"/>
  </w:num>
  <w:num w:numId="10" w16cid:durableId="1308976304">
    <w:abstractNumId w:val="2"/>
  </w:num>
  <w:num w:numId="11" w16cid:durableId="583690722">
    <w:abstractNumId w:val="20"/>
  </w:num>
  <w:num w:numId="12" w16cid:durableId="1799182168">
    <w:abstractNumId w:val="4"/>
  </w:num>
  <w:num w:numId="13" w16cid:durableId="1040861604">
    <w:abstractNumId w:val="19"/>
  </w:num>
  <w:num w:numId="14" w16cid:durableId="1043821608">
    <w:abstractNumId w:val="9"/>
  </w:num>
  <w:num w:numId="15" w16cid:durableId="2057317759">
    <w:abstractNumId w:val="23"/>
  </w:num>
  <w:num w:numId="16" w16cid:durableId="1759600747">
    <w:abstractNumId w:val="6"/>
  </w:num>
  <w:num w:numId="17" w16cid:durableId="897940569">
    <w:abstractNumId w:val="24"/>
  </w:num>
  <w:num w:numId="18" w16cid:durableId="1955671598">
    <w:abstractNumId w:val="16"/>
  </w:num>
  <w:num w:numId="19" w16cid:durableId="630020308">
    <w:abstractNumId w:val="30"/>
  </w:num>
  <w:num w:numId="20" w16cid:durableId="870192845">
    <w:abstractNumId w:val="12"/>
  </w:num>
  <w:num w:numId="21" w16cid:durableId="539631086">
    <w:abstractNumId w:val="10"/>
  </w:num>
  <w:num w:numId="22" w16cid:durableId="1162695863">
    <w:abstractNumId w:val="14"/>
  </w:num>
  <w:num w:numId="23" w16cid:durableId="1104301006">
    <w:abstractNumId w:val="21"/>
  </w:num>
  <w:num w:numId="24" w16cid:durableId="1529568583">
    <w:abstractNumId w:val="28"/>
  </w:num>
  <w:num w:numId="25" w16cid:durableId="516699149">
    <w:abstractNumId w:val="5"/>
  </w:num>
  <w:num w:numId="26" w16cid:durableId="579607761">
    <w:abstractNumId w:val="18"/>
  </w:num>
  <w:num w:numId="27" w16cid:durableId="1794012076">
    <w:abstractNumId w:val="22"/>
  </w:num>
  <w:num w:numId="28" w16cid:durableId="299268620">
    <w:abstractNumId w:val="29"/>
  </w:num>
  <w:num w:numId="29" w16cid:durableId="874200020">
    <w:abstractNumId w:val="26"/>
  </w:num>
  <w:num w:numId="30" w16cid:durableId="85661378">
    <w:abstractNumId w:val="11"/>
  </w:num>
  <w:num w:numId="31" w16cid:durableId="1081873977">
    <w:abstractNumId w:val="3"/>
  </w:num>
  <w:num w:numId="32" w16cid:durableId="15597071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4869"/>
    <w:rsid w:val="0004579C"/>
    <w:rsid w:val="00065C1E"/>
    <w:rsid w:val="00072B12"/>
    <w:rsid w:val="000A4513"/>
    <w:rsid w:val="000A47FA"/>
    <w:rsid w:val="000A5DAA"/>
    <w:rsid w:val="000A65D3"/>
    <w:rsid w:val="000B1E33"/>
    <w:rsid w:val="000B4DFC"/>
    <w:rsid w:val="000C798C"/>
    <w:rsid w:val="000D689F"/>
    <w:rsid w:val="000D74B2"/>
    <w:rsid w:val="000E7B7B"/>
    <w:rsid w:val="000E7D62"/>
    <w:rsid w:val="001025BC"/>
    <w:rsid w:val="00103357"/>
    <w:rsid w:val="00110171"/>
    <w:rsid w:val="00123C9F"/>
    <w:rsid w:val="00126190"/>
    <w:rsid w:val="00130F17"/>
    <w:rsid w:val="001320BF"/>
    <w:rsid w:val="00163BC4"/>
    <w:rsid w:val="00191062"/>
    <w:rsid w:val="00192B72"/>
    <w:rsid w:val="001A29D8"/>
    <w:rsid w:val="001A5CAA"/>
    <w:rsid w:val="001B0427"/>
    <w:rsid w:val="001B342C"/>
    <w:rsid w:val="001D3A51"/>
    <w:rsid w:val="001E10D2"/>
    <w:rsid w:val="001E25B4"/>
    <w:rsid w:val="001E44FE"/>
    <w:rsid w:val="00200595"/>
    <w:rsid w:val="00204835"/>
    <w:rsid w:val="00231920"/>
    <w:rsid w:val="0023195C"/>
    <w:rsid w:val="0024282C"/>
    <w:rsid w:val="002460DC"/>
    <w:rsid w:val="002462AA"/>
    <w:rsid w:val="002462E9"/>
    <w:rsid w:val="00250985"/>
    <w:rsid w:val="002556F6"/>
    <w:rsid w:val="00257590"/>
    <w:rsid w:val="00257F39"/>
    <w:rsid w:val="00283105"/>
    <w:rsid w:val="00284C4C"/>
    <w:rsid w:val="00287E68"/>
    <w:rsid w:val="00296529"/>
    <w:rsid w:val="002B27FB"/>
    <w:rsid w:val="002B685A"/>
    <w:rsid w:val="002C0396"/>
    <w:rsid w:val="002C57D2"/>
    <w:rsid w:val="002E07D2"/>
    <w:rsid w:val="002E0D56"/>
    <w:rsid w:val="00312503"/>
    <w:rsid w:val="00315186"/>
    <w:rsid w:val="0033343E"/>
    <w:rsid w:val="0033588C"/>
    <w:rsid w:val="003512C2"/>
    <w:rsid w:val="00371FB6"/>
    <w:rsid w:val="003763C1"/>
    <w:rsid w:val="00376BBE"/>
    <w:rsid w:val="0038503D"/>
    <w:rsid w:val="0039224F"/>
    <w:rsid w:val="003A43A4"/>
    <w:rsid w:val="003A7E18"/>
    <w:rsid w:val="003C4C86"/>
    <w:rsid w:val="003C6258"/>
    <w:rsid w:val="003E2904"/>
    <w:rsid w:val="003F1C26"/>
    <w:rsid w:val="00401927"/>
    <w:rsid w:val="0041027F"/>
    <w:rsid w:val="00412475"/>
    <w:rsid w:val="00423789"/>
    <w:rsid w:val="00440F43"/>
    <w:rsid w:val="00441B6F"/>
    <w:rsid w:val="00446221"/>
    <w:rsid w:val="00450E62"/>
    <w:rsid w:val="00451FB5"/>
    <w:rsid w:val="00452A1B"/>
    <w:rsid w:val="004539DB"/>
    <w:rsid w:val="00471A80"/>
    <w:rsid w:val="004B7F93"/>
    <w:rsid w:val="004C0D78"/>
    <w:rsid w:val="004D305E"/>
    <w:rsid w:val="004D4277"/>
    <w:rsid w:val="00502516"/>
    <w:rsid w:val="00505F06"/>
    <w:rsid w:val="00506828"/>
    <w:rsid w:val="00516F19"/>
    <w:rsid w:val="0053056E"/>
    <w:rsid w:val="00543B72"/>
    <w:rsid w:val="00554FDA"/>
    <w:rsid w:val="00577A6F"/>
    <w:rsid w:val="005811F0"/>
    <w:rsid w:val="005B42DA"/>
    <w:rsid w:val="005C784C"/>
    <w:rsid w:val="005D17F6"/>
    <w:rsid w:val="005E5539"/>
    <w:rsid w:val="00602BF5"/>
    <w:rsid w:val="006032FC"/>
    <w:rsid w:val="0060358A"/>
    <w:rsid w:val="0060476F"/>
    <w:rsid w:val="00617FDD"/>
    <w:rsid w:val="0063045C"/>
    <w:rsid w:val="00633614"/>
    <w:rsid w:val="00633F68"/>
    <w:rsid w:val="00636EB2"/>
    <w:rsid w:val="006375B8"/>
    <w:rsid w:val="006539CB"/>
    <w:rsid w:val="0066510A"/>
    <w:rsid w:val="00673F9F"/>
    <w:rsid w:val="00686953"/>
    <w:rsid w:val="00687DEA"/>
    <w:rsid w:val="00687E67"/>
    <w:rsid w:val="006967F7"/>
    <w:rsid w:val="006A250C"/>
    <w:rsid w:val="006B21D3"/>
    <w:rsid w:val="006B57D0"/>
    <w:rsid w:val="006C53D6"/>
    <w:rsid w:val="006D2AC8"/>
    <w:rsid w:val="006D30FF"/>
    <w:rsid w:val="006D6940"/>
    <w:rsid w:val="006F11EC"/>
    <w:rsid w:val="0070082C"/>
    <w:rsid w:val="00720EDA"/>
    <w:rsid w:val="007369E6"/>
    <w:rsid w:val="00746E59"/>
    <w:rsid w:val="00754C9A"/>
    <w:rsid w:val="0075599A"/>
    <w:rsid w:val="00761D52"/>
    <w:rsid w:val="0077749E"/>
    <w:rsid w:val="00790ADA"/>
    <w:rsid w:val="00791D4F"/>
    <w:rsid w:val="007D2288"/>
    <w:rsid w:val="007E088F"/>
    <w:rsid w:val="007F7B32"/>
    <w:rsid w:val="00804BC2"/>
    <w:rsid w:val="0081431A"/>
    <w:rsid w:val="0083216F"/>
    <w:rsid w:val="008369D5"/>
    <w:rsid w:val="008533AA"/>
    <w:rsid w:val="00860000"/>
    <w:rsid w:val="00861A5F"/>
    <w:rsid w:val="00863BD3"/>
    <w:rsid w:val="008641ED"/>
    <w:rsid w:val="00866D66"/>
    <w:rsid w:val="008671C6"/>
    <w:rsid w:val="00875803"/>
    <w:rsid w:val="00891CEE"/>
    <w:rsid w:val="008947D9"/>
    <w:rsid w:val="008A3D3F"/>
    <w:rsid w:val="008B459E"/>
    <w:rsid w:val="008E13AE"/>
    <w:rsid w:val="008E1506"/>
    <w:rsid w:val="008E435F"/>
    <w:rsid w:val="008E710C"/>
    <w:rsid w:val="008F69D6"/>
    <w:rsid w:val="00902823"/>
    <w:rsid w:val="00915CA6"/>
    <w:rsid w:val="009168D3"/>
    <w:rsid w:val="00927834"/>
    <w:rsid w:val="009500A6"/>
    <w:rsid w:val="00957C18"/>
    <w:rsid w:val="009659BA"/>
    <w:rsid w:val="0097405A"/>
    <w:rsid w:val="00983040"/>
    <w:rsid w:val="0099529C"/>
    <w:rsid w:val="0099628B"/>
    <w:rsid w:val="009B3FB9"/>
    <w:rsid w:val="009C2465"/>
    <w:rsid w:val="009D1FEF"/>
    <w:rsid w:val="009D35A0"/>
    <w:rsid w:val="009D7EB7"/>
    <w:rsid w:val="009E048A"/>
    <w:rsid w:val="009E08E9"/>
    <w:rsid w:val="009E3DB9"/>
    <w:rsid w:val="009E6E35"/>
    <w:rsid w:val="009F0EDA"/>
    <w:rsid w:val="009F217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3412"/>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582C"/>
    <w:rsid w:val="00C70F1B"/>
    <w:rsid w:val="00C71A47"/>
    <w:rsid w:val="00C7464C"/>
    <w:rsid w:val="00C7720C"/>
    <w:rsid w:val="00C85588"/>
    <w:rsid w:val="00CD6755"/>
    <w:rsid w:val="00CD6856"/>
    <w:rsid w:val="00CE0089"/>
    <w:rsid w:val="00CE793C"/>
    <w:rsid w:val="00CF193C"/>
    <w:rsid w:val="00CF4311"/>
    <w:rsid w:val="00D173F1"/>
    <w:rsid w:val="00D72695"/>
    <w:rsid w:val="00D74CB0"/>
    <w:rsid w:val="00D75FB5"/>
    <w:rsid w:val="00D8295D"/>
    <w:rsid w:val="00DC2A65"/>
    <w:rsid w:val="00DC7CD1"/>
    <w:rsid w:val="00DE15F0"/>
    <w:rsid w:val="00DE5663"/>
    <w:rsid w:val="00DE78AA"/>
    <w:rsid w:val="00E053D0"/>
    <w:rsid w:val="00E15994"/>
    <w:rsid w:val="00E3114E"/>
    <w:rsid w:val="00E31A70"/>
    <w:rsid w:val="00E35B02"/>
    <w:rsid w:val="00E4579A"/>
    <w:rsid w:val="00E47068"/>
    <w:rsid w:val="00E66496"/>
    <w:rsid w:val="00E66B35"/>
    <w:rsid w:val="00E66E10"/>
    <w:rsid w:val="00E769F6"/>
    <w:rsid w:val="00E8407C"/>
    <w:rsid w:val="00E84F3C"/>
    <w:rsid w:val="00EA012C"/>
    <w:rsid w:val="00EC6A55"/>
    <w:rsid w:val="00ED0288"/>
    <w:rsid w:val="00EE52CB"/>
    <w:rsid w:val="00EE57A0"/>
    <w:rsid w:val="00EE5C9D"/>
    <w:rsid w:val="00EF581D"/>
    <w:rsid w:val="00EF7FD8"/>
    <w:rsid w:val="00F06F59"/>
    <w:rsid w:val="00F10BA3"/>
    <w:rsid w:val="00F17988"/>
    <w:rsid w:val="00F27251"/>
    <w:rsid w:val="00F469F0"/>
    <w:rsid w:val="00F53273"/>
    <w:rsid w:val="00F62D25"/>
    <w:rsid w:val="00F755E4"/>
    <w:rsid w:val="00F77D02"/>
    <w:rsid w:val="00F850F5"/>
    <w:rsid w:val="00FB1815"/>
    <w:rsid w:val="00FB3A86"/>
    <w:rsid w:val="00FC72D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DCD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577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1"/>
        <c:ser>
          <c:idx val="0"/>
          <c:order val="0"/>
          <c:spPr>
            <a:pattFill prst="pct5">
              <a:fgClr>
                <a:schemeClr val="tx1"/>
              </a:fgClr>
              <a:bgClr>
                <a:schemeClr val="bg1"/>
              </a:bgClr>
            </a:pattFill>
          </c:spPr>
          <c:invertIfNegative val="0"/>
          <c:dPt>
            <c:idx val="0"/>
            <c:invertIfNegative val="0"/>
            <c:bubble3D val="0"/>
            <c:spPr>
              <a:pattFill prst="dotDmnd">
                <a:fgClr>
                  <a:schemeClr val="tx1"/>
                </a:fgClr>
                <a:bgClr>
                  <a:schemeClr val="bg1"/>
                </a:bgClr>
              </a:pattFill>
              <a:ln>
                <a:noFill/>
              </a:ln>
              <a:effectLst/>
              <a:sp3d/>
            </c:spPr>
            <c:extLst>
              <c:ext xmlns:c16="http://schemas.microsoft.com/office/drawing/2014/chart" uri="{C3380CC4-5D6E-409C-BE32-E72D297353CC}">
                <c16:uniqueId val="{00000001-EC22-48A1-9F08-8F725F95FE1D}"/>
              </c:ext>
            </c:extLst>
          </c:dPt>
          <c:dPt>
            <c:idx val="1"/>
            <c:invertIfNegative val="0"/>
            <c:bubble3D val="0"/>
            <c:spPr>
              <a:pattFill prst="horzBrick">
                <a:fgClr>
                  <a:schemeClr val="tx1"/>
                </a:fgClr>
                <a:bgClr>
                  <a:schemeClr val="bg1"/>
                </a:bgClr>
              </a:pattFill>
              <a:ln>
                <a:noFill/>
              </a:ln>
              <a:effectLst/>
              <a:sp3d/>
            </c:spPr>
            <c:extLst>
              <c:ext xmlns:c16="http://schemas.microsoft.com/office/drawing/2014/chart" uri="{C3380CC4-5D6E-409C-BE32-E72D297353CC}">
                <c16:uniqueId val="{00000003-EC22-48A1-9F08-8F725F95FE1D}"/>
              </c:ext>
            </c:extLst>
          </c:dPt>
          <c:dPt>
            <c:idx val="2"/>
            <c:invertIfNegative val="0"/>
            <c:bubble3D val="0"/>
            <c:spPr>
              <a:pattFill prst="dkVert">
                <a:fgClr>
                  <a:schemeClr val="tx1"/>
                </a:fgClr>
                <a:bgClr>
                  <a:schemeClr val="bg1"/>
                </a:bgClr>
              </a:pattFill>
              <a:ln>
                <a:noFill/>
              </a:ln>
              <a:effectLst/>
              <a:sp3d/>
            </c:spPr>
            <c:extLst>
              <c:ext xmlns:c16="http://schemas.microsoft.com/office/drawing/2014/chart" uri="{C3380CC4-5D6E-409C-BE32-E72D297353CC}">
                <c16:uniqueId val="{00000005-EC22-48A1-9F08-8F725F95FE1D}"/>
              </c:ext>
            </c:extLst>
          </c:dPt>
          <c:dPt>
            <c:idx val="3"/>
            <c:invertIfNegative val="0"/>
            <c:bubble3D val="0"/>
            <c:spPr>
              <a:pattFill prst="dashDnDiag">
                <a:fgClr>
                  <a:schemeClr val="tx1"/>
                </a:fgClr>
                <a:bgClr>
                  <a:schemeClr val="bg1"/>
                </a:bgClr>
              </a:pattFill>
              <a:ln>
                <a:noFill/>
              </a:ln>
              <a:effectLst/>
              <a:sp3d/>
            </c:spPr>
            <c:extLst>
              <c:ext xmlns:c16="http://schemas.microsoft.com/office/drawing/2014/chart" uri="{C3380CC4-5D6E-409C-BE32-E72D297353CC}">
                <c16:uniqueId val="{00000007-EC22-48A1-9F08-8F725F95FE1D}"/>
              </c:ext>
            </c:extLst>
          </c:dPt>
          <c:dLbls>
            <c:dLbl>
              <c:idx val="0"/>
              <c:layout>
                <c:manualLayout>
                  <c:x val="1.6194331983805668E-2"/>
                  <c:y val="-0.10548523206751062"/>
                </c:manualLayout>
              </c:layout>
              <c:tx>
                <c:rich>
                  <a:bodyPr/>
                  <a:lstStyle/>
                  <a:p>
                    <a:fld id="{F07F6B74-2EE1-48D8-BC2F-8681187EDD3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C22-48A1-9F08-8F725F95FE1D}"/>
                </c:ext>
              </c:extLst>
            </c:dLbl>
            <c:dLbl>
              <c:idx val="1"/>
              <c:layout>
                <c:manualLayout>
                  <c:x val="1.156737998843262E-2"/>
                  <c:y val="-0.379746835443038"/>
                </c:manualLayout>
              </c:layout>
              <c:tx>
                <c:rich>
                  <a:bodyPr/>
                  <a:lstStyle/>
                  <a:p>
                    <a:r>
                      <a:rPr lang="en-US"/>
                      <a:t>77%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C22-48A1-9F08-8F725F95FE1D}"/>
                </c:ext>
              </c:extLst>
            </c:dLbl>
            <c:dLbl>
              <c:idx val="2"/>
              <c:layout>
                <c:manualLayout>
                  <c:x val="2.3134759976865239E-2"/>
                  <c:y val="-8.8607594936708861E-2"/>
                </c:manualLayout>
              </c:layout>
              <c:tx>
                <c:rich>
                  <a:bodyPr/>
                  <a:lstStyle/>
                  <a:p>
                    <a:r>
                      <a:rPr lang="en-US"/>
                      <a:t>7.2%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C22-48A1-9F08-8F725F95FE1D}"/>
                </c:ext>
              </c:extLst>
            </c:dLbl>
            <c:dLbl>
              <c:idx val="3"/>
              <c:layout>
                <c:manualLayout>
                  <c:x val="3.2388663967611253E-2"/>
                  <c:y val="-8.4388185654008518E-2"/>
                </c:manualLayout>
              </c:layout>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EC22-48A1-9F08-8F725F95FE1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Feuil1!$D$6:$D$9</c:f>
              <c:strCache>
                <c:ptCount val="4"/>
                <c:pt idx="0">
                  <c:v>Underweight</c:v>
                </c:pt>
                <c:pt idx="1">
                  <c:v>Normal weight</c:v>
                </c:pt>
                <c:pt idx="2">
                  <c:v>Over weight</c:v>
                </c:pt>
                <c:pt idx="3">
                  <c:v>Obesity</c:v>
                </c:pt>
              </c:strCache>
            </c:strRef>
          </c:cat>
          <c:val>
            <c:numRef>
              <c:f>Feuil1!$E$6:$E$9</c:f>
              <c:numCache>
                <c:formatCode>General</c:formatCode>
                <c:ptCount val="4"/>
                <c:pt idx="0">
                  <c:v>11</c:v>
                </c:pt>
                <c:pt idx="1">
                  <c:v>77</c:v>
                </c:pt>
                <c:pt idx="2">
                  <c:v>7.2</c:v>
                </c:pt>
                <c:pt idx="3">
                  <c:v>4.8</c:v>
                </c:pt>
              </c:numCache>
            </c:numRef>
          </c:val>
          <c:extLst>
            <c:ext xmlns:c16="http://schemas.microsoft.com/office/drawing/2014/chart" uri="{C3380CC4-5D6E-409C-BE32-E72D297353CC}">
              <c16:uniqueId val="{00000008-EC22-48A1-9F08-8F725F95FE1D}"/>
            </c:ext>
          </c:extLst>
        </c:ser>
        <c:dLbls>
          <c:showLegendKey val="0"/>
          <c:showVal val="0"/>
          <c:showCatName val="0"/>
          <c:showSerName val="0"/>
          <c:showPercent val="0"/>
          <c:showBubbleSize val="0"/>
        </c:dLbls>
        <c:gapWidth val="150"/>
        <c:shape val="box"/>
        <c:axId val="-824236224"/>
        <c:axId val="-824234048"/>
        <c:axId val="0"/>
      </c:bar3DChart>
      <c:catAx>
        <c:axId val="-824236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latin typeface="Times New Roman" panose="02020603050405020304" pitchFamily="18" charset="0"/>
                    <a:cs typeface="Times New Roman" panose="02020603050405020304" pitchFamily="18" charset="0"/>
                  </a:rPr>
                  <a:t>Nutritional</a:t>
                </a:r>
                <a:r>
                  <a:rPr lang="fr-FR" baseline="0">
                    <a:solidFill>
                      <a:schemeClr val="tx1"/>
                    </a:solidFill>
                    <a:latin typeface="Times New Roman" panose="02020603050405020304" pitchFamily="18" charset="0"/>
                    <a:cs typeface="Times New Roman" panose="02020603050405020304" pitchFamily="18" charset="0"/>
                  </a:rPr>
                  <a:t> status</a:t>
                </a:r>
                <a:endParaRPr lang="fr-FR">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59686952086454792"/>
              <c:y val="0.8988929864779562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24234048"/>
        <c:crosses val="autoZero"/>
        <c:auto val="1"/>
        <c:lblAlgn val="ctr"/>
        <c:lblOffset val="100"/>
        <c:noMultiLvlLbl val="0"/>
      </c:catAx>
      <c:valAx>
        <c:axId val="-8242340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latin typeface="Times New Roman" panose="02020603050405020304" pitchFamily="18" charset="0"/>
                    <a:cs typeface="Times New Roman" panose="02020603050405020304" pitchFamily="18" charset="0"/>
                  </a:rPr>
                  <a:t> Effectives</a:t>
                </a:r>
                <a:r>
                  <a:rPr lang="fr-FR" baseline="0">
                    <a:solidFill>
                      <a:schemeClr val="tx1"/>
                    </a:solidFill>
                    <a:latin typeface="Times New Roman" panose="02020603050405020304" pitchFamily="18" charset="0"/>
                    <a:cs typeface="Times New Roman" panose="02020603050405020304" pitchFamily="18" charset="0"/>
                  </a:rPr>
                  <a:t> (%)</a:t>
                </a:r>
                <a:endParaRPr lang="fr-FR">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3.630511811023622E-2"/>
              <c:y val="0.2173534558180227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24236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C8915-EFB1-4675-83E8-E9DBDEEA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TotalTime>
  <Pages>9</Pages>
  <Words>3155</Words>
  <Characters>17984</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21097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lincoln tan</cp:lastModifiedBy>
  <cp:revision>2</cp:revision>
  <cp:lastPrinted>1999-07-06T11:00:00Z</cp:lastPrinted>
  <dcterms:created xsi:type="dcterms:W3CDTF">2025-12-15T11:49:00Z</dcterms:created>
  <dcterms:modified xsi:type="dcterms:W3CDTF">2025-12-15T11:49:00Z</dcterms:modified>
</cp:coreProperties>
</file>