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A82C5" w14:textId="77777777" w:rsidR="00C24997" w:rsidRPr="00FB01D8" w:rsidRDefault="00C24997" w:rsidP="00C24997">
      <w:pPr>
        <w:jc w:val="center"/>
        <w:rPr>
          <w:rFonts w:ascii="Times New Roman" w:hAnsi="Times New Roman" w:cs="Times New Roman"/>
          <w:b/>
          <w:bCs/>
          <w:sz w:val="24"/>
          <w:szCs w:val="24"/>
        </w:rPr>
      </w:pPr>
      <w:r w:rsidRPr="00FB01D8">
        <w:rPr>
          <w:rFonts w:ascii="Times New Roman" w:hAnsi="Times New Roman" w:cs="Times New Roman"/>
          <w:b/>
          <w:bCs/>
          <w:sz w:val="24"/>
          <w:szCs w:val="24"/>
        </w:rPr>
        <w:t>Gender and Age Variations in Biomarkers of Diabetic Nephrotoxicity in a Nigerian Teaching Hospital: KIM-1, Cystatin C, and Microalbuminuria</w:t>
      </w:r>
    </w:p>
    <w:p w14:paraId="64576867" w14:textId="77777777" w:rsidR="00C24997" w:rsidRPr="00FB01D8" w:rsidRDefault="00C24997" w:rsidP="00C24997">
      <w:pPr>
        <w:jc w:val="both"/>
        <w:rPr>
          <w:rFonts w:ascii="Times New Roman" w:hAnsi="Times New Roman" w:cs="Times New Roman"/>
          <w:sz w:val="24"/>
          <w:szCs w:val="24"/>
        </w:rPr>
      </w:pPr>
    </w:p>
    <w:p w14:paraId="4D30BE4A" w14:textId="12E6D003" w:rsidR="00B260EE" w:rsidRPr="00FB01D8" w:rsidRDefault="00B260EE" w:rsidP="0041280B">
      <w:pPr>
        <w:jc w:val="both"/>
        <w:rPr>
          <w:rFonts w:ascii="Times New Roman" w:hAnsi="Times New Roman" w:cs="Times New Roman"/>
          <w:b/>
          <w:bCs/>
          <w:sz w:val="24"/>
          <w:szCs w:val="24"/>
        </w:rPr>
      </w:pPr>
      <w:r w:rsidRPr="00FB01D8">
        <w:rPr>
          <w:rFonts w:ascii="Times New Roman" w:hAnsi="Times New Roman" w:cs="Times New Roman"/>
          <w:b/>
          <w:bCs/>
          <w:sz w:val="24"/>
          <w:szCs w:val="24"/>
        </w:rPr>
        <w:t>Abstract</w:t>
      </w:r>
    </w:p>
    <w:p w14:paraId="400FEA59" w14:textId="5D56C9DE" w:rsidR="00FC5FAD" w:rsidRPr="00FC5FAD" w:rsidRDefault="00FC5FAD" w:rsidP="00FC5FAD">
      <w:pPr>
        <w:spacing w:line="240" w:lineRule="auto"/>
        <w:jc w:val="both"/>
        <w:rPr>
          <w:rFonts w:ascii="Times New Roman" w:hAnsi="Times New Roman" w:cs="Times New Roman"/>
        </w:rPr>
      </w:pPr>
      <w:r w:rsidRPr="00FC5FAD">
        <w:rPr>
          <w:rFonts w:ascii="Times New Roman" w:hAnsi="Times New Roman" w:cs="Times New Roman"/>
          <w:b/>
          <w:bCs/>
        </w:rPr>
        <w:t>Background:</w:t>
      </w:r>
      <w:r w:rsidRPr="00FC5FAD">
        <w:rPr>
          <w:rFonts w:ascii="Times New Roman" w:hAnsi="Times New Roman" w:cs="Times New Roman"/>
        </w:rPr>
        <w:t xml:space="preserve"> Early detection of diabetic nephropathy (DN) is crucial for preventing its progression to chronic kidney disease. While biomarkers like Kidney Injury Molecule-1 (KIM-1), Cystatin C, and microalbuminuria aid in identifying renal injury, gender</w:t>
      </w:r>
      <w:commentRangeStart w:id="0"/>
      <w:r w:rsidRPr="00FC5FAD">
        <w:rPr>
          <w:rFonts w:ascii="Times New Roman" w:hAnsi="Times New Roman" w:cs="Times New Roman"/>
        </w:rPr>
        <w:t>-</w:t>
      </w:r>
      <w:commentRangeEnd w:id="0"/>
      <w:r w:rsidR="00E15EE6">
        <w:rPr>
          <w:rStyle w:val="ab"/>
        </w:rPr>
        <w:commentReference w:id="0"/>
      </w:r>
      <w:r w:rsidRPr="00FC5FAD">
        <w:rPr>
          <w:rFonts w:ascii="Times New Roman" w:hAnsi="Times New Roman" w:cs="Times New Roman"/>
        </w:rPr>
        <w:t xml:space="preserve"> and age-related variations are poorly characterized in Nigerian populations. </w:t>
      </w:r>
      <w:r w:rsidRPr="00FC5FAD">
        <w:rPr>
          <w:rFonts w:ascii="Times New Roman" w:hAnsi="Times New Roman" w:cs="Times New Roman"/>
          <w:b/>
          <w:bCs/>
        </w:rPr>
        <w:t>Objective:</w:t>
      </w:r>
      <w:r w:rsidRPr="00FC5FAD">
        <w:rPr>
          <w:rFonts w:ascii="Times New Roman" w:hAnsi="Times New Roman" w:cs="Times New Roman"/>
        </w:rPr>
        <w:t xml:space="preserve"> To investigate the influence of gender and age on the levels of KIM-1, Cystatin C, and microalbuminuria in diabetic patients attending a Nigerian teaching hospital. </w:t>
      </w:r>
      <w:r w:rsidRPr="00FC5FAD">
        <w:rPr>
          <w:rFonts w:ascii="Times New Roman" w:hAnsi="Times New Roman" w:cs="Times New Roman"/>
          <w:b/>
          <w:bCs/>
        </w:rPr>
        <w:t>Methods:</w:t>
      </w:r>
      <w:r w:rsidRPr="00FC5FAD">
        <w:rPr>
          <w:rFonts w:ascii="Times New Roman" w:hAnsi="Times New Roman" w:cs="Times New Roman"/>
        </w:rPr>
        <w:t xml:space="preserve"> This was a cross-sectional study involving diabetic adults. Blood and urine samples were analyzed for KIM-1, Cystatin C, and microalbuminuria using ELISA and immunoturbidimetric methods. Participants were stratified by gender and by age groups (26–35, 36–45, 46–55, 56–65, 66–75 years). </w:t>
      </w:r>
      <w:commentRangeStart w:id="1"/>
      <w:r w:rsidRPr="00FC5FAD">
        <w:rPr>
          <w:rFonts w:ascii="Times New Roman" w:hAnsi="Times New Roman" w:cs="Times New Roman"/>
        </w:rPr>
        <w:t>Data were analyzed using descriptive statistics, ANOVA, and correlation analyses</w:t>
      </w:r>
      <w:commentRangeEnd w:id="1"/>
      <w:r w:rsidR="005819E6">
        <w:rPr>
          <w:rStyle w:val="ab"/>
        </w:rPr>
        <w:commentReference w:id="1"/>
      </w:r>
      <w:r w:rsidRPr="00FC5FAD">
        <w:rPr>
          <w:rFonts w:ascii="Times New Roman" w:hAnsi="Times New Roman" w:cs="Times New Roman"/>
        </w:rPr>
        <w:t xml:space="preserve">. </w:t>
      </w:r>
      <w:r w:rsidRPr="00FC5FAD">
        <w:rPr>
          <w:rFonts w:ascii="Times New Roman" w:hAnsi="Times New Roman" w:cs="Times New Roman"/>
          <w:b/>
          <w:bCs/>
        </w:rPr>
        <w:t>Results:</w:t>
      </w:r>
      <w:r w:rsidRPr="00FC5FAD">
        <w:rPr>
          <w:rFonts w:ascii="Times New Roman" w:hAnsi="Times New Roman" w:cs="Times New Roman"/>
        </w:rPr>
        <w:t xml:space="preserve"> Older participants exhibited significantly higher levels of KIM-1, Cystatin C, and microalbuminuria (p&lt;0.05). Males had higher KIM-1 and Cystatin C levels than females, suggesting a greater tubular damage burden. Microalbuminuria was consistently elevated across both genders. Age positively correlated with all biomarkers, indicating increased renal vulnerability with advancing age. Significant correlations were observed between the early biomarkers and traditional renal parameters, confirming their utility in detecting subclinical injury. </w:t>
      </w:r>
      <w:r w:rsidRPr="00FC5FAD">
        <w:rPr>
          <w:rFonts w:ascii="Times New Roman" w:hAnsi="Times New Roman" w:cs="Times New Roman"/>
          <w:b/>
          <w:bCs/>
        </w:rPr>
        <w:t>Conclusion:</w:t>
      </w:r>
      <w:r w:rsidRPr="00FC5FAD">
        <w:rPr>
          <w:rFonts w:ascii="Times New Roman" w:hAnsi="Times New Roman" w:cs="Times New Roman"/>
        </w:rPr>
        <w:t xml:space="preserve"> Gender and age significantly influence biomarkers of diabetic nephrotoxicity. The elevation of KIM-1 and Cystatin C was pronounced among older males. These findings support targeted, biomarker-based screening to improve the early identification of diabetic kidney injury and enable timely intervention.</w:t>
      </w:r>
    </w:p>
    <w:p w14:paraId="3D9E32EC" w14:textId="77777777" w:rsidR="00FC5FAD" w:rsidRPr="00FC5FAD" w:rsidRDefault="00FC5FAD" w:rsidP="00FC5FAD">
      <w:pPr>
        <w:jc w:val="both"/>
        <w:rPr>
          <w:rFonts w:ascii="Times New Roman" w:hAnsi="Times New Roman" w:cs="Times New Roman"/>
          <w:sz w:val="24"/>
          <w:szCs w:val="24"/>
        </w:rPr>
      </w:pPr>
    </w:p>
    <w:p w14:paraId="5C13F136" w14:textId="1BA89054" w:rsidR="00B260EE" w:rsidRPr="00FC5FAD" w:rsidRDefault="00FC5FAD" w:rsidP="00FC5FAD">
      <w:pPr>
        <w:jc w:val="both"/>
        <w:rPr>
          <w:rFonts w:ascii="Times New Roman" w:hAnsi="Times New Roman" w:cs="Times New Roman"/>
          <w:i/>
          <w:iCs/>
          <w:sz w:val="24"/>
          <w:szCs w:val="24"/>
        </w:rPr>
      </w:pPr>
      <w:r w:rsidRPr="00FC5FAD">
        <w:rPr>
          <w:rFonts w:ascii="Times New Roman" w:hAnsi="Times New Roman" w:cs="Times New Roman"/>
          <w:b/>
          <w:bCs/>
          <w:i/>
          <w:iCs/>
          <w:sz w:val="24"/>
          <w:szCs w:val="24"/>
        </w:rPr>
        <w:t xml:space="preserve">Keywords: </w:t>
      </w:r>
      <w:r w:rsidRPr="00FC5FAD">
        <w:rPr>
          <w:rFonts w:ascii="Times New Roman" w:hAnsi="Times New Roman" w:cs="Times New Roman"/>
          <w:i/>
          <w:iCs/>
          <w:sz w:val="24"/>
          <w:szCs w:val="24"/>
        </w:rPr>
        <w:t>Diabetic nephropathy, KIM-1, Cystatin C, Microalbuminuria, Gender, Age</w:t>
      </w:r>
    </w:p>
    <w:p w14:paraId="518A6805" w14:textId="45C563C1" w:rsidR="00B260EE" w:rsidRPr="00FB01D8" w:rsidRDefault="00B260EE" w:rsidP="0041280B">
      <w:pPr>
        <w:jc w:val="both"/>
        <w:rPr>
          <w:rFonts w:ascii="Times New Roman" w:hAnsi="Times New Roman" w:cs="Times New Roman"/>
          <w:sz w:val="24"/>
          <w:szCs w:val="24"/>
        </w:rPr>
      </w:pPr>
    </w:p>
    <w:p w14:paraId="1C01E9E1" w14:textId="77777777" w:rsidR="00FC5FAD" w:rsidRPr="00FB01D8" w:rsidRDefault="00FC5FAD" w:rsidP="0041280B">
      <w:pPr>
        <w:jc w:val="both"/>
        <w:rPr>
          <w:rFonts w:ascii="Times New Roman" w:hAnsi="Times New Roman" w:cs="Times New Roman"/>
          <w:sz w:val="24"/>
          <w:szCs w:val="24"/>
        </w:rPr>
      </w:pPr>
    </w:p>
    <w:p w14:paraId="4BF9A0AC" w14:textId="74FEE00F" w:rsidR="0041280B" w:rsidRPr="00FB01D8" w:rsidRDefault="0041280B" w:rsidP="0041280B">
      <w:pPr>
        <w:jc w:val="both"/>
        <w:rPr>
          <w:rFonts w:ascii="Times New Roman" w:hAnsi="Times New Roman" w:cs="Times New Roman"/>
          <w:b/>
          <w:bCs/>
          <w:sz w:val="24"/>
          <w:szCs w:val="24"/>
        </w:rPr>
      </w:pPr>
      <w:r w:rsidRPr="00FB01D8">
        <w:rPr>
          <w:rFonts w:ascii="Times New Roman" w:hAnsi="Times New Roman" w:cs="Times New Roman"/>
          <w:b/>
          <w:bCs/>
          <w:sz w:val="24"/>
          <w:szCs w:val="24"/>
        </w:rPr>
        <w:t>Introduction</w:t>
      </w:r>
    </w:p>
    <w:p w14:paraId="07D1ACE1" w14:textId="23484F26" w:rsidR="0041280B" w:rsidRPr="00FB01D8" w:rsidRDefault="0041280B" w:rsidP="0041280B">
      <w:pPr>
        <w:jc w:val="both"/>
        <w:rPr>
          <w:rFonts w:ascii="Times New Roman" w:hAnsi="Times New Roman" w:cs="Times New Roman"/>
          <w:sz w:val="24"/>
          <w:szCs w:val="24"/>
        </w:rPr>
      </w:pPr>
      <w:commentRangeStart w:id="2"/>
      <w:r w:rsidRPr="00FB01D8">
        <w:rPr>
          <w:rFonts w:ascii="Times New Roman" w:hAnsi="Times New Roman" w:cs="Times New Roman"/>
          <w:sz w:val="24"/>
          <w:szCs w:val="24"/>
        </w:rPr>
        <w:t>Dia</w:t>
      </w:r>
      <w:commentRangeEnd w:id="2"/>
      <w:r w:rsidR="00820F8F">
        <w:rPr>
          <w:rStyle w:val="ab"/>
          <w:rtl/>
        </w:rPr>
        <w:commentReference w:id="2"/>
      </w:r>
      <w:r w:rsidRPr="00FB01D8">
        <w:rPr>
          <w:rFonts w:ascii="Times New Roman" w:hAnsi="Times New Roman" w:cs="Times New Roman"/>
          <w:sz w:val="24"/>
          <w:szCs w:val="24"/>
        </w:rPr>
        <w:t>betic nephropathy (DN) represents a principal cause of morbidity and mortality, contributing significantly to the global burden of chronic kidney disease (CKD) and end-stage renal disease (ESRD) [</w:t>
      </w:r>
      <w:proofErr w:type="spellStart"/>
      <w:r w:rsidRPr="00FB01D8">
        <w:rPr>
          <w:rFonts w:ascii="Times New Roman" w:hAnsi="Times New Roman" w:cs="Times New Roman"/>
          <w:sz w:val="24"/>
          <w:szCs w:val="24"/>
        </w:rPr>
        <w:t>Alicic</w:t>
      </w:r>
      <w:proofErr w:type="spellEnd"/>
      <w:r w:rsidRPr="00FB01D8">
        <w:rPr>
          <w:rFonts w:ascii="Times New Roman" w:hAnsi="Times New Roman" w:cs="Times New Roman"/>
          <w:sz w:val="24"/>
          <w:szCs w:val="24"/>
        </w:rPr>
        <w:t xml:space="preserve"> </w:t>
      </w:r>
      <w:commentRangeStart w:id="3"/>
      <w:r w:rsidRPr="00FB01D8">
        <w:rPr>
          <w:rFonts w:ascii="Times New Roman" w:hAnsi="Times New Roman" w:cs="Times New Roman"/>
          <w:sz w:val="24"/>
          <w:szCs w:val="24"/>
        </w:rPr>
        <w:t>et a</w:t>
      </w:r>
      <w:commentRangeEnd w:id="3"/>
      <w:r w:rsidR="00820F8F">
        <w:rPr>
          <w:rStyle w:val="ab"/>
        </w:rPr>
        <w:commentReference w:id="3"/>
      </w:r>
      <w:r w:rsidRPr="00FB01D8">
        <w:rPr>
          <w:rFonts w:ascii="Times New Roman" w:hAnsi="Times New Roman" w:cs="Times New Roman"/>
          <w:sz w:val="24"/>
          <w:szCs w:val="24"/>
        </w:rPr>
        <w:t xml:space="preserve">l., 2017; Thomas </w:t>
      </w:r>
      <w:commentRangeStart w:id="4"/>
      <w:r w:rsidRPr="00FB01D8">
        <w:rPr>
          <w:rFonts w:ascii="Times New Roman" w:hAnsi="Times New Roman" w:cs="Times New Roman"/>
          <w:sz w:val="24"/>
          <w:szCs w:val="24"/>
        </w:rPr>
        <w:t>et al</w:t>
      </w:r>
      <w:commentRangeEnd w:id="4"/>
      <w:r w:rsidR="00820F8F">
        <w:rPr>
          <w:rStyle w:val="ab"/>
        </w:rPr>
        <w:commentReference w:id="4"/>
      </w:r>
      <w:r w:rsidRPr="00FB01D8">
        <w:rPr>
          <w:rFonts w:ascii="Times New Roman" w:hAnsi="Times New Roman" w:cs="Times New Roman"/>
          <w:sz w:val="24"/>
          <w:szCs w:val="24"/>
        </w:rPr>
        <w:t>., 2015]. The prompt and accurate identification of renal injury in individuals living with diabetes mellitus is paramount for preventing the irreversible progression of kidney structural damage. However, conventional diagnostic metrics, such as serum creatinine and estimated glomerular filtration rate (eGFR), often fail to detect renal dysfunction until a substantial degree of nephron mass has already been compromised [</w:t>
      </w:r>
      <w:proofErr w:type="spellStart"/>
      <w:r w:rsidRPr="00FB01D8">
        <w:rPr>
          <w:rFonts w:ascii="Times New Roman" w:hAnsi="Times New Roman" w:cs="Times New Roman"/>
          <w:sz w:val="24"/>
          <w:szCs w:val="24"/>
        </w:rPr>
        <w:t>Alicic</w:t>
      </w:r>
      <w:proofErr w:type="spellEnd"/>
      <w:r w:rsidRPr="00FB01D8">
        <w:rPr>
          <w:rFonts w:ascii="Times New Roman" w:hAnsi="Times New Roman" w:cs="Times New Roman"/>
          <w:sz w:val="24"/>
          <w:szCs w:val="24"/>
        </w:rPr>
        <w:t xml:space="preserve"> </w:t>
      </w:r>
      <w:commentRangeStart w:id="5"/>
      <w:r w:rsidRPr="00FB01D8">
        <w:rPr>
          <w:rFonts w:ascii="Times New Roman" w:hAnsi="Times New Roman" w:cs="Times New Roman"/>
          <w:sz w:val="24"/>
          <w:szCs w:val="24"/>
        </w:rPr>
        <w:t>et al</w:t>
      </w:r>
      <w:commentRangeEnd w:id="5"/>
      <w:r w:rsidR="00820F8F">
        <w:rPr>
          <w:rStyle w:val="ab"/>
        </w:rPr>
        <w:commentReference w:id="5"/>
      </w:r>
      <w:r w:rsidRPr="00FB01D8">
        <w:rPr>
          <w:rFonts w:ascii="Times New Roman" w:hAnsi="Times New Roman" w:cs="Times New Roman"/>
          <w:sz w:val="24"/>
          <w:szCs w:val="24"/>
        </w:rPr>
        <w:t>., 2017].</w:t>
      </w:r>
    </w:p>
    <w:p w14:paraId="200E9612" w14:textId="0B85B39D" w:rsidR="0041280B" w:rsidRPr="00FB01D8" w:rsidRDefault="0041280B" w:rsidP="0041280B">
      <w:pPr>
        <w:jc w:val="both"/>
        <w:rPr>
          <w:rFonts w:ascii="Times New Roman" w:hAnsi="Times New Roman" w:cs="Times New Roman"/>
          <w:sz w:val="24"/>
          <w:szCs w:val="24"/>
        </w:rPr>
      </w:pPr>
      <w:commentRangeStart w:id="6"/>
      <w:r w:rsidRPr="00FB01D8">
        <w:rPr>
          <w:rFonts w:ascii="Times New Roman" w:hAnsi="Times New Roman" w:cs="Times New Roman"/>
          <w:sz w:val="24"/>
          <w:szCs w:val="24"/>
        </w:rPr>
        <w:t xml:space="preserve">In response </w:t>
      </w:r>
      <w:commentRangeEnd w:id="6"/>
      <w:r w:rsidR="00820F8F">
        <w:rPr>
          <w:rStyle w:val="ab"/>
        </w:rPr>
        <w:commentReference w:id="6"/>
      </w:r>
      <w:r w:rsidRPr="00FB01D8">
        <w:rPr>
          <w:rFonts w:ascii="Times New Roman" w:hAnsi="Times New Roman" w:cs="Times New Roman"/>
          <w:sz w:val="24"/>
          <w:szCs w:val="24"/>
        </w:rPr>
        <w:t xml:space="preserve">to this diagnostic limitation, novel biomarkers that signify subclinical renal damage have emerged as critical tools for improved risk stratification in diabetic populations. Specifically, Kidney Injury Molecule-1 (KIM-1), </w:t>
      </w:r>
      <w:proofErr w:type="spellStart"/>
      <w:r w:rsidRPr="00FB01D8">
        <w:rPr>
          <w:rFonts w:ascii="Times New Roman" w:hAnsi="Times New Roman" w:cs="Times New Roman"/>
          <w:sz w:val="24"/>
          <w:szCs w:val="24"/>
        </w:rPr>
        <w:t>Cystatin</w:t>
      </w:r>
      <w:proofErr w:type="spellEnd"/>
      <w:r w:rsidRPr="00FB01D8">
        <w:rPr>
          <w:rFonts w:ascii="Times New Roman" w:hAnsi="Times New Roman" w:cs="Times New Roman"/>
          <w:sz w:val="24"/>
          <w:szCs w:val="24"/>
        </w:rPr>
        <w:t xml:space="preserve"> C, and urinary microalbuminuria are widely investigated biomarkers that offer the potential for earlier detection of injury compared to </w:t>
      </w:r>
      <w:r w:rsidRPr="00FB01D8">
        <w:rPr>
          <w:rFonts w:ascii="Times New Roman" w:hAnsi="Times New Roman" w:cs="Times New Roman"/>
          <w:sz w:val="24"/>
          <w:szCs w:val="24"/>
        </w:rPr>
        <w:lastRenderedPageBreak/>
        <w:t xml:space="preserve">traditional parameters [Vaidya </w:t>
      </w:r>
      <w:commentRangeStart w:id="7"/>
      <w:r w:rsidRPr="00FB01D8">
        <w:rPr>
          <w:rFonts w:ascii="Times New Roman" w:hAnsi="Times New Roman" w:cs="Times New Roman"/>
          <w:sz w:val="24"/>
          <w:szCs w:val="24"/>
        </w:rPr>
        <w:t xml:space="preserve">et al., </w:t>
      </w:r>
      <w:commentRangeEnd w:id="7"/>
      <w:r w:rsidR="00820F8F">
        <w:rPr>
          <w:rStyle w:val="ab"/>
        </w:rPr>
        <w:commentReference w:id="7"/>
      </w:r>
      <w:commentRangeStart w:id="8"/>
      <w:r w:rsidRPr="00FB01D8">
        <w:rPr>
          <w:rFonts w:ascii="Times New Roman" w:hAnsi="Times New Roman" w:cs="Times New Roman"/>
          <w:sz w:val="24"/>
          <w:szCs w:val="24"/>
        </w:rPr>
        <w:t>2010</w:t>
      </w:r>
      <w:commentRangeEnd w:id="8"/>
      <w:r w:rsidR="0061240F">
        <w:rPr>
          <w:rStyle w:val="ab"/>
        </w:rPr>
        <w:commentReference w:id="8"/>
      </w:r>
      <w:r w:rsidRPr="00FB01D8">
        <w:rPr>
          <w:rFonts w:ascii="Times New Roman" w:hAnsi="Times New Roman" w:cs="Times New Roman"/>
          <w:sz w:val="24"/>
          <w:szCs w:val="24"/>
        </w:rPr>
        <w:t>]. Microalbuminuria has long been established as an indicator of glomerular damage [Gross et al., 2005], while KIM-1 reflects acute and chronic proximal renal tubular injury [</w:t>
      </w:r>
      <w:proofErr w:type="spellStart"/>
      <w:r w:rsidRPr="00FB01D8">
        <w:rPr>
          <w:rFonts w:ascii="Times New Roman" w:hAnsi="Times New Roman" w:cs="Times New Roman"/>
          <w:sz w:val="24"/>
          <w:szCs w:val="24"/>
        </w:rPr>
        <w:t>Bonventre</w:t>
      </w:r>
      <w:proofErr w:type="spellEnd"/>
      <w:r w:rsidRPr="00FB01D8">
        <w:rPr>
          <w:rFonts w:ascii="Times New Roman" w:hAnsi="Times New Roman" w:cs="Times New Roman"/>
          <w:sz w:val="24"/>
          <w:szCs w:val="24"/>
        </w:rPr>
        <w:t xml:space="preserve">, </w:t>
      </w:r>
      <w:commentRangeStart w:id="9"/>
      <w:r w:rsidRPr="00FB01D8">
        <w:rPr>
          <w:rFonts w:ascii="Times New Roman" w:hAnsi="Times New Roman" w:cs="Times New Roman"/>
          <w:sz w:val="24"/>
          <w:szCs w:val="24"/>
        </w:rPr>
        <w:t>2014</w:t>
      </w:r>
      <w:commentRangeEnd w:id="9"/>
      <w:r w:rsidR="0061240F">
        <w:rPr>
          <w:rStyle w:val="ab"/>
        </w:rPr>
        <w:commentReference w:id="9"/>
      </w:r>
      <w:r w:rsidRPr="00FB01D8">
        <w:rPr>
          <w:rFonts w:ascii="Times New Roman" w:hAnsi="Times New Roman" w:cs="Times New Roman"/>
          <w:sz w:val="24"/>
          <w:szCs w:val="24"/>
        </w:rPr>
        <w:t xml:space="preserve">], and </w:t>
      </w:r>
      <w:proofErr w:type="spellStart"/>
      <w:r w:rsidRPr="00FB01D8">
        <w:rPr>
          <w:rFonts w:ascii="Times New Roman" w:hAnsi="Times New Roman" w:cs="Times New Roman"/>
          <w:sz w:val="24"/>
          <w:szCs w:val="24"/>
        </w:rPr>
        <w:t>Cystatin</w:t>
      </w:r>
      <w:proofErr w:type="spellEnd"/>
      <w:r w:rsidRPr="00FB01D8">
        <w:rPr>
          <w:rFonts w:ascii="Times New Roman" w:hAnsi="Times New Roman" w:cs="Times New Roman"/>
          <w:sz w:val="24"/>
          <w:szCs w:val="24"/>
        </w:rPr>
        <w:t xml:space="preserve"> C provides a sensitive measure of subtle changes in glomerular filtration [</w:t>
      </w:r>
      <w:proofErr w:type="spellStart"/>
      <w:r w:rsidRPr="00FB01D8">
        <w:rPr>
          <w:rFonts w:ascii="Times New Roman" w:hAnsi="Times New Roman" w:cs="Times New Roman"/>
          <w:sz w:val="24"/>
          <w:szCs w:val="24"/>
        </w:rPr>
        <w:t>Shlipak</w:t>
      </w:r>
      <w:proofErr w:type="spellEnd"/>
      <w:r w:rsidRPr="00FB01D8">
        <w:rPr>
          <w:rFonts w:ascii="Times New Roman" w:hAnsi="Times New Roman" w:cs="Times New Roman"/>
          <w:sz w:val="24"/>
          <w:szCs w:val="24"/>
        </w:rPr>
        <w:t xml:space="preserve"> </w:t>
      </w:r>
      <w:commentRangeStart w:id="10"/>
      <w:r w:rsidRPr="00FB01D8">
        <w:rPr>
          <w:rFonts w:ascii="Times New Roman" w:hAnsi="Times New Roman" w:cs="Times New Roman"/>
          <w:sz w:val="24"/>
          <w:szCs w:val="24"/>
        </w:rPr>
        <w:t>et al</w:t>
      </w:r>
      <w:commentRangeEnd w:id="10"/>
      <w:r w:rsidR="00820F8F">
        <w:rPr>
          <w:rStyle w:val="ab"/>
        </w:rPr>
        <w:commentReference w:id="10"/>
      </w:r>
      <w:r w:rsidRPr="00FB01D8">
        <w:rPr>
          <w:rFonts w:ascii="Times New Roman" w:hAnsi="Times New Roman" w:cs="Times New Roman"/>
          <w:sz w:val="24"/>
          <w:szCs w:val="24"/>
        </w:rPr>
        <w:t>., 2013].</w:t>
      </w:r>
    </w:p>
    <w:p w14:paraId="175C4CB1" w14:textId="35795A30" w:rsidR="0041280B" w:rsidRPr="00FB01D8" w:rsidRDefault="0041280B" w:rsidP="0041280B">
      <w:pPr>
        <w:jc w:val="both"/>
        <w:rPr>
          <w:rFonts w:ascii="Times New Roman" w:hAnsi="Times New Roman" w:cs="Times New Roman"/>
          <w:sz w:val="24"/>
          <w:szCs w:val="24"/>
        </w:rPr>
      </w:pPr>
      <w:commentRangeStart w:id="11"/>
      <w:r w:rsidRPr="00FB01D8">
        <w:rPr>
          <w:rFonts w:ascii="Times New Roman" w:hAnsi="Times New Roman" w:cs="Times New Roman"/>
          <w:sz w:val="24"/>
          <w:szCs w:val="24"/>
        </w:rPr>
        <w:t xml:space="preserve">The </w:t>
      </w:r>
      <w:commentRangeEnd w:id="11"/>
      <w:r w:rsidR="00820F8F">
        <w:rPr>
          <w:rStyle w:val="ab"/>
        </w:rPr>
        <w:commentReference w:id="11"/>
      </w:r>
      <w:r w:rsidRPr="00FB01D8">
        <w:rPr>
          <w:rFonts w:ascii="Times New Roman" w:hAnsi="Times New Roman" w:cs="Times New Roman"/>
          <w:sz w:val="24"/>
          <w:szCs w:val="24"/>
        </w:rPr>
        <w:t xml:space="preserve">concentrations of these biomarkers and the trajectory of renal injury are hypothesized to be influenced by demographic variables, including age and sex. Physiological decline in GFR and the accumulation of comorbidities associated with advancing age are known to increase vulnerability to kidney damage [Sinclair </w:t>
      </w:r>
      <w:commentRangeStart w:id="12"/>
      <w:r w:rsidRPr="00FB01D8">
        <w:rPr>
          <w:rFonts w:ascii="Times New Roman" w:hAnsi="Times New Roman" w:cs="Times New Roman"/>
          <w:sz w:val="24"/>
          <w:szCs w:val="24"/>
        </w:rPr>
        <w:t>et al</w:t>
      </w:r>
      <w:commentRangeEnd w:id="12"/>
      <w:r w:rsidR="00820F8F">
        <w:rPr>
          <w:rStyle w:val="ab"/>
        </w:rPr>
        <w:commentReference w:id="12"/>
      </w:r>
      <w:r w:rsidRPr="00FB01D8">
        <w:rPr>
          <w:rFonts w:ascii="Times New Roman" w:hAnsi="Times New Roman" w:cs="Times New Roman"/>
          <w:sz w:val="24"/>
          <w:szCs w:val="24"/>
        </w:rPr>
        <w:t xml:space="preserve">., 2020]. Furthermore, sex differences, potentially mediated by hormonal profiles, genetic factors, and behavioral patterns, may differentially affect an individual's susceptibility to nephrotoxicity and their response to injury [Musso </w:t>
      </w:r>
      <w:commentRangeStart w:id="13"/>
      <w:r w:rsidRPr="00FB01D8">
        <w:rPr>
          <w:rFonts w:ascii="Times New Roman" w:hAnsi="Times New Roman" w:cs="Times New Roman"/>
          <w:sz w:val="24"/>
          <w:szCs w:val="24"/>
        </w:rPr>
        <w:t xml:space="preserve">et al., </w:t>
      </w:r>
      <w:commentRangeEnd w:id="13"/>
      <w:r w:rsidR="00820F8F">
        <w:rPr>
          <w:rStyle w:val="ab"/>
        </w:rPr>
        <w:commentReference w:id="13"/>
      </w:r>
      <w:r w:rsidRPr="00FB01D8">
        <w:rPr>
          <w:rFonts w:ascii="Times New Roman" w:hAnsi="Times New Roman" w:cs="Times New Roman"/>
          <w:sz w:val="24"/>
          <w:szCs w:val="24"/>
        </w:rPr>
        <w:t>2016].</w:t>
      </w:r>
    </w:p>
    <w:p w14:paraId="7AFDFEC1" w14:textId="5E95D781" w:rsidR="0041280B" w:rsidRPr="00FB01D8" w:rsidRDefault="0041280B" w:rsidP="0041280B">
      <w:pPr>
        <w:jc w:val="both"/>
        <w:rPr>
          <w:rFonts w:ascii="Times New Roman" w:hAnsi="Times New Roman" w:cs="Times New Roman"/>
          <w:sz w:val="24"/>
          <w:szCs w:val="24"/>
        </w:rPr>
      </w:pPr>
      <w:commentRangeStart w:id="14"/>
      <w:r w:rsidRPr="00FB01D8">
        <w:rPr>
          <w:rFonts w:ascii="Times New Roman" w:hAnsi="Times New Roman" w:cs="Times New Roman"/>
          <w:sz w:val="24"/>
          <w:szCs w:val="24"/>
        </w:rPr>
        <w:t>Desp</w:t>
      </w:r>
      <w:commentRangeEnd w:id="14"/>
      <w:r w:rsidR="00820F8F">
        <w:rPr>
          <w:rStyle w:val="ab"/>
        </w:rPr>
        <w:commentReference w:id="14"/>
      </w:r>
      <w:r w:rsidRPr="00FB01D8">
        <w:rPr>
          <w:rFonts w:ascii="Times New Roman" w:hAnsi="Times New Roman" w:cs="Times New Roman"/>
          <w:sz w:val="24"/>
          <w:szCs w:val="24"/>
        </w:rPr>
        <w:t>ite the global significance of diabetic nephropathy, data characterizing these demographic variations in biomarker concentrations are limited, particularly within sub-Saharan African populations. The scarcity of region-specific reference ranges and established risk patterns hinders accurate clinical interpretation and the design of locally targeted interventional strategies [</w:t>
      </w:r>
      <w:proofErr w:type="spellStart"/>
      <w:r w:rsidRPr="00FB01D8">
        <w:rPr>
          <w:rFonts w:ascii="Times New Roman" w:hAnsi="Times New Roman" w:cs="Times New Roman"/>
          <w:sz w:val="24"/>
          <w:szCs w:val="24"/>
        </w:rPr>
        <w:t>Azevedo</w:t>
      </w:r>
      <w:proofErr w:type="spellEnd"/>
      <w:r w:rsidRPr="00FB01D8">
        <w:rPr>
          <w:rFonts w:ascii="Times New Roman" w:hAnsi="Times New Roman" w:cs="Times New Roman"/>
          <w:sz w:val="24"/>
          <w:szCs w:val="24"/>
        </w:rPr>
        <w:t xml:space="preserve"> &amp; </w:t>
      </w:r>
      <w:proofErr w:type="spellStart"/>
      <w:r w:rsidRPr="00FB01D8">
        <w:rPr>
          <w:rFonts w:ascii="Times New Roman" w:hAnsi="Times New Roman" w:cs="Times New Roman"/>
          <w:sz w:val="24"/>
          <w:szCs w:val="24"/>
        </w:rPr>
        <w:t>Alla</w:t>
      </w:r>
      <w:proofErr w:type="spellEnd"/>
      <w:r w:rsidRPr="00FB01D8">
        <w:rPr>
          <w:rFonts w:ascii="Times New Roman" w:hAnsi="Times New Roman" w:cs="Times New Roman"/>
          <w:sz w:val="24"/>
          <w:szCs w:val="24"/>
        </w:rPr>
        <w:t>, 2008].</w:t>
      </w:r>
    </w:p>
    <w:p w14:paraId="166E59C6" w14:textId="5A1A6054" w:rsidR="00715200" w:rsidRPr="00FB01D8" w:rsidRDefault="0041280B" w:rsidP="0041280B">
      <w:pPr>
        <w:jc w:val="both"/>
        <w:rPr>
          <w:rFonts w:ascii="Times New Roman" w:hAnsi="Times New Roman" w:cs="Times New Roman"/>
          <w:sz w:val="24"/>
          <w:szCs w:val="24"/>
        </w:rPr>
      </w:pPr>
      <w:commentRangeStart w:id="15"/>
      <w:r w:rsidRPr="00FB01D8">
        <w:rPr>
          <w:rFonts w:ascii="Times New Roman" w:hAnsi="Times New Roman" w:cs="Times New Roman"/>
          <w:sz w:val="24"/>
          <w:szCs w:val="24"/>
        </w:rPr>
        <w:t>Ther</w:t>
      </w:r>
      <w:commentRangeEnd w:id="15"/>
      <w:r w:rsidR="00820F8F">
        <w:rPr>
          <w:rStyle w:val="ab"/>
        </w:rPr>
        <w:commentReference w:id="15"/>
      </w:r>
      <w:r w:rsidRPr="00FB01D8">
        <w:rPr>
          <w:rFonts w:ascii="Times New Roman" w:hAnsi="Times New Roman" w:cs="Times New Roman"/>
          <w:sz w:val="24"/>
          <w:szCs w:val="24"/>
        </w:rPr>
        <w:t>efore, this cross-sectional study was undertaken to evaluate the influence of gender and age on the levels of KIM-1, Cystatin C, and microalbuminuria among diabetic patients attending a major teaching hospital in Port Harcourt, Nigeria. By comparing biomarker distributions across sex and age stratifications and assessing their associations with traditional clinical parameters, this work aims to provide actionable insights for guiding early diagnostic and screening strategies in the Niger Delta region for diabetic nephrotoxicity.</w:t>
      </w:r>
    </w:p>
    <w:p w14:paraId="7A177C9E" w14:textId="77777777" w:rsidR="0041280B" w:rsidRPr="00FB01D8" w:rsidRDefault="0041280B" w:rsidP="0041280B">
      <w:pPr>
        <w:jc w:val="both"/>
        <w:rPr>
          <w:rFonts w:ascii="Times New Roman" w:hAnsi="Times New Roman" w:cs="Times New Roman"/>
          <w:sz w:val="24"/>
          <w:szCs w:val="24"/>
        </w:rPr>
      </w:pPr>
    </w:p>
    <w:p w14:paraId="1C1F623E" w14:textId="77777777" w:rsidR="00FC5FAD" w:rsidRDefault="00FC5FAD" w:rsidP="0041280B">
      <w:pPr>
        <w:jc w:val="both"/>
        <w:rPr>
          <w:rFonts w:ascii="Times New Roman" w:hAnsi="Times New Roman" w:cs="Times New Roman"/>
          <w:b/>
          <w:bCs/>
          <w:sz w:val="24"/>
          <w:szCs w:val="24"/>
        </w:rPr>
      </w:pPr>
    </w:p>
    <w:p w14:paraId="1485409F" w14:textId="77777777" w:rsidR="00FC5FAD" w:rsidRDefault="00FC5FAD" w:rsidP="0041280B">
      <w:pPr>
        <w:jc w:val="both"/>
        <w:rPr>
          <w:rFonts w:ascii="Times New Roman" w:hAnsi="Times New Roman" w:cs="Times New Roman"/>
          <w:b/>
          <w:bCs/>
          <w:sz w:val="24"/>
          <w:szCs w:val="24"/>
        </w:rPr>
      </w:pPr>
    </w:p>
    <w:p w14:paraId="22F621CC" w14:textId="77777777" w:rsidR="00FC5FAD" w:rsidRDefault="00FC5FAD" w:rsidP="0041280B">
      <w:pPr>
        <w:jc w:val="both"/>
        <w:rPr>
          <w:rFonts w:ascii="Times New Roman" w:hAnsi="Times New Roman" w:cs="Times New Roman"/>
          <w:b/>
          <w:bCs/>
          <w:sz w:val="24"/>
          <w:szCs w:val="24"/>
        </w:rPr>
      </w:pPr>
    </w:p>
    <w:p w14:paraId="69719FAB" w14:textId="570CD938" w:rsidR="0041280B" w:rsidRPr="00FB01D8" w:rsidRDefault="0041280B" w:rsidP="0041280B">
      <w:pPr>
        <w:jc w:val="both"/>
        <w:rPr>
          <w:rFonts w:ascii="Times New Roman" w:hAnsi="Times New Roman" w:cs="Times New Roman"/>
          <w:b/>
          <w:bCs/>
          <w:sz w:val="24"/>
          <w:szCs w:val="24"/>
        </w:rPr>
      </w:pPr>
      <w:commentRangeStart w:id="16"/>
      <w:r w:rsidRPr="00FB01D8">
        <w:rPr>
          <w:rFonts w:ascii="Times New Roman" w:hAnsi="Times New Roman" w:cs="Times New Roman"/>
          <w:b/>
          <w:bCs/>
          <w:sz w:val="24"/>
          <w:szCs w:val="24"/>
        </w:rPr>
        <w:t>Mat</w:t>
      </w:r>
      <w:commentRangeEnd w:id="16"/>
      <w:r w:rsidR="00741AFC">
        <w:rPr>
          <w:rStyle w:val="ab"/>
        </w:rPr>
        <w:commentReference w:id="16"/>
      </w:r>
      <w:r w:rsidRPr="00FB01D8">
        <w:rPr>
          <w:rFonts w:ascii="Times New Roman" w:hAnsi="Times New Roman" w:cs="Times New Roman"/>
          <w:b/>
          <w:bCs/>
          <w:sz w:val="24"/>
          <w:szCs w:val="24"/>
        </w:rPr>
        <w:t>erials and Methods</w:t>
      </w:r>
    </w:p>
    <w:p w14:paraId="7C80D21D" w14:textId="07323CA0" w:rsidR="0041280B" w:rsidRPr="00FB01D8" w:rsidRDefault="0041280B" w:rsidP="0041280B">
      <w:pPr>
        <w:jc w:val="both"/>
        <w:rPr>
          <w:rFonts w:ascii="Times New Roman" w:hAnsi="Times New Roman" w:cs="Times New Roman"/>
          <w:b/>
          <w:bCs/>
          <w:sz w:val="24"/>
          <w:szCs w:val="24"/>
        </w:rPr>
      </w:pPr>
      <w:r w:rsidRPr="00FB01D8">
        <w:rPr>
          <w:rFonts w:ascii="Times New Roman" w:hAnsi="Times New Roman" w:cs="Times New Roman"/>
          <w:b/>
          <w:bCs/>
          <w:sz w:val="24"/>
          <w:szCs w:val="24"/>
        </w:rPr>
        <w:t>Study Design and Setting</w:t>
      </w:r>
    </w:p>
    <w:p w14:paraId="0B453A8D" w14:textId="623F26D9" w:rsidR="0041280B" w:rsidRPr="00FB01D8" w:rsidRDefault="0041280B" w:rsidP="0041280B">
      <w:pPr>
        <w:jc w:val="both"/>
        <w:rPr>
          <w:rFonts w:ascii="Times New Roman" w:hAnsi="Times New Roman" w:cs="Times New Roman"/>
          <w:sz w:val="24"/>
          <w:szCs w:val="24"/>
        </w:rPr>
      </w:pPr>
      <w:commentRangeStart w:id="17"/>
      <w:r w:rsidRPr="00FB01D8">
        <w:rPr>
          <w:rFonts w:ascii="Times New Roman" w:hAnsi="Times New Roman" w:cs="Times New Roman"/>
          <w:sz w:val="24"/>
          <w:szCs w:val="24"/>
        </w:rPr>
        <w:t>This</w:t>
      </w:r>
      <w:commentRangeEnd w:id="17"/>
      <w:r w:rsidR="00820F8F">
        <w:rPr>
          <w:rStyle w:val="ab"/>
        </w:rPr>
        <w:commentReference w:id="17"/>
      </w:r>
      <w:r w:rsidRPr="00FB01D8">
        <w:rPr>
          <w:rFonts w:ascii="Times New Roman" w:hAnsi="Times New Roman" w:cs="Times New Roman"/>
          <w:sz w:val="24"/>
          <w:szCs w:val="24"/>
        </w:rPr>
        <w:t xml:space="preserve"> study employed an analytical cross-sectional design and was conducted at the Rivers State University Teaching Hospital (RSUTH) in Port Harcourt, Rivers State, Nigeria, between September and December 2024. Port Harcourt is situated along the Bonny River in the Niger Delta, at latitude 4.750</w:t>
      </w:r>
      <w:r w:rsidR="00B260EE" w:rsidRPr="00FB01D8">
        <w:rPr>
          <w:rFonts w:ascii="Times New Roman" w:hAnsi="Times New Roman" w:cs="Times New Roman"/>
          <w:sz w:val="24"/>
          <w:szCs w:val="24"/>
          <w:vertAlign w:val="superscript"/>
        </w:rPr>
        <w:t>o</w:t>
      </w:r>
      <w:r w:rsidRPr="00FB01D8">
        <w:rPr>
          <w:rFonts w:ascii="Times New Roman" w:hAnsi="Times New Roman" w:cs="Times New Roman"/>
          <w:sz w:val="24"/>
          <w:szCs w:val="24"/>
        </w:rPr>
        <w:t>N and longitude 7.000</w:t>
      </w:r>
      <w:r w:rsidR="00B260EE" w:rsidRPr="00FB01D8">
        <w:rPr>
          <w:rFonts w:ascii="Times New Roman" w:hAnsi="Times New Roman" w:cs="Times New Roman"/>
          <w:sz w:val="24"/>
          <w:szCs w:val="24"/>
          <w:vertAlign w:val="superscript"/>
        </w:rPr>
        <w:t>o</w:t>
      </w:r>
      <w:r w:rsidRPr="00FB01D8">
        <w:rPr>
          <w:rFonts w:ascii="Times New Roman" w:hAnsi="Times New Roman" w:cs="Times New Roman"/>
          <w:sz w:val="24"/>
          <w:szCs w:val="24"/>
        </w:rPr>
        <w:t xml:space="preserve">E, spanning an area of 369 </w:t>
      </w:r>
      <w:r w:rsidR="00B260EE" w:rsidRPr="00FB01D8">
        <w:rPr>
          <w:rFonts w:ascii="Times New Roman" w:hAnsi="Times New Roman" w:cs="Times New Roman"/>
          <w:sz w:val="24"/>
          <w:szCs w:val="24"/>
        </w:rPr>
        <w:t>K</w:t>
      </w:r>
      <w:r w:rsidRPr="00FB01D8">
        <w:rPr>
          <w:rFonts w:ascii="Times New Roman" w:hAnsi="Times New Roman" w:cs="Times New Roman"/>
          <w:sz w:val="24"/>
          <w:szCs w:val="24"/>
        </w:rPr>
        <w:t>m</w:t>
      </w:r>
      <w:r w:rsidRPr="00FB01D8">
        <w:rPr>
          <w:rFonts w:ascii="Times New Roman" w:hAnsi="Times New Roman" w:cs="Times New Roman"/>
          <w:sz w:val="24"/>
          <w:szCs w:val="24"/>
          <w:vertAlign w:val="superscript"/>
        </w:rPr>
        <w:t>2</w:t>
      </w:r>
      <w:r w:rsidRPr="00FB01D8">
        <w:rPr>
          <w:rFonts w:ascii="Times New Roman" w:hAnsi="Times New Roman" w:cs="Times New Roman"/>
          <w:sz w:val="24"/>
          <w:szCs w:val="24"/>
        </w:rPr>
        <w:t xml:space="preserve"> [</w:t>
      </w:r>
      <w:proofErr w:type="spellStart"/>
      <w:r w:rsidRPr="00FB01D8">
        <w:rPr>
          <w:rFonts w:ascii="Times New Roman" w:hAnsi="Times New Roman" w:cs="Times New Roman"/>
          <w:sz w:val="24"/>
          <w:szCs w:val="24"/>
        </w:rPr>
        <w:t>Demographia</w:t>
      </w:r>
      <w:proofErr w:type="spellEnd"/>
      <w:r w:rsidRPr="00FB01D8">
        <w:rPr>
          <w:rFonts w:ascii="Times New Roman" w:hAnsi="Times New Roman" w:cs="Times New Roman"/>
          <w:sz w:val="24"/>
          <w:szCs w:val="24"/>
        </w:rPr>
        <w:t>, 2016].</w:t>
      </w:r>
    </w:p>
    <w:p w14:paraId="3527C8F2" w14:textId="2120EF1C" w:rsidR="0041280B" w:rsidRPr="00FB01D8" w:rsidRDefault="0041280B" w:rsidP="0041280B">
      <w:pPr>
        <w:jc w:val="both"/>
        <w:rPr>
          <w:rFonts w:ascii="Times New Roman" w:hAnsi="Times New Roman" w:cs="Times New Roman"/>
          <w:b/>
          <w:bCs/>
          <w:sz w:val="24"/>
          <w:szCs w:val="24"/>
        </w:rPr>
      </w:pPr>
      <w:r w:rsidRPr="00FB01D8">
        <w:rPr>
          <w:rFonts w:ascii="Times New Roman" w:hAnsi="Times New Roman" w:cs="Times New Roman"/>
          <w:b/>
          <w:bCs/>
          <w:sz w:val="24"/>
          <w:szCs w:val="24"/>
        </w:rPr>
        <w:t>Study Population and Sample Size</w:t>
      </w:r>
    </w:p>
    <w:p w14:paraId="162571F7" w14:textId="263771F0" w:rsidR="0041280B" w:rsidRPr="00FB01D8" w:rsidRDefault="0041280B" w:rsidP="0041280B">
      <w:pPr>
        <w:jc w:val="both"/>
        <w:rPr>
          <w:rFonts w:ascii="Times New Roman" w:hAnsi="Times New Roman" w:cs="Times New Roman"/>
          <w:sz w:val="24"/>
          <w:szCs w:val="24"/>
        </w:rPr>
      </w:pPr>
      <w:commentRangeStart w:id="18"/>
      <w:r w:rsidRPr="00FB01D8">
        <w:rPr>
          <w:rFonts w:ascii="Times New Roman" w:hAnsi="Times New Roman" w:cs="Times New Roman"/>
          <w:sz w:val="24"/>
          <w:szCs w:val="24"/>
        </w:rPr>
        <w:t xml:space="preserve">The </w:t>
      </w:r>
      <w:commentRangeEnd w:id="18"/>
      <w:r w:rsidR="00820F8F">
        <w:rPr>
          <w:rStyle w:val="ab"/>
        </w:rPr>
        <w:commentReference w:id="18"/>
      </w:r>
      <w:r w:rsidRPr="00FB01D8">
        <w:rPr>
          <w:rFonts w:ascii="Times New Roman" w:hAnsi="Times New Roman" w:cs="Times New Roman"/>
          <w:sz w:val="24"/>
          <w:szCs w:val="24"/>
        </w:rPr>
        <w:t>study population consisted of two groups: a test group comprising adult patients (</w:t>
      </w:r>
      <w:commentRangeStart w:id="19"/>
      <w:r w:rsidRPr="00FB01D8">
        <w:rPr>
          <w:rFonts w:ascii="Times New Roman" w:hAnsi="Times New Roman" w:cs="Times New Roman"/>
          <w:sz w:val="24"/>
          <w:szCs w:val="24"/>
        </w:rPr>
        <w:t>aged $\</w:t>
      </w:r>
      <w:proofErr w:type="spellStart"/>
      <w:r w:rsidRPr="00FB01D8">
        <w:rPr>
          <w:rFonts w:ascii="Times New Roman" w:hAnsi="Times New Roman" w:cs="Times New Roman"/>
          <w:sz w:val="24"/>
          <w:szCs w:val="24"/>
        </w:rPr>
        <w:t>geq</w:t>
      </w:r>
      <w:proofErr w:type="spellEnd"/>
      <w:r w:rsidRPr="00FB01D8">
        <w:rPr>
          <w:rFonts w:ascii="Times New Roman" w:hAnsi="Times New Roman" w:cs="Times New Roman"/>
          <w:sz w:val="24"/>
          <w:szCs w:val="24"/>
        </w:rPr>
        <w:t xml:space="preserve"> 18$ years)</w:t>
      </w:r>
      <w:commentRangeEnd w:id="19"/>
      <w:r w:rsidR="005819E6">
        <w:rPr>
          <w:rStyle w:val="ab"/>
        </w:rPr>
        <w:commentReference w:id="19"/>
      </w:r>
      <w:r w:rsidRPr="00FB01D8">
        <w:rPr>
          <w:rFonts w:ascii="Times New Roman" w:hAnsi="Times New Roman" w:cs="Times New Roman"/>
          <w:sz w:val="24"/>
          <w:szCs w:val="24"/>
        </w:rPr>
        <w:t xml:space="preserve"> with a laboratory-confirmed diagnosis of diabetes mellitus attending </w:t>
      </w:r>
      <w:commentRangeStart w:id="20"/>
      <w:r w:rsidRPr="00FB01D8">
        <w:rPr>
          <w:rFonts w:ascii="Times New Roman" w:hAnsi="Times New Roman" w:cs="Times New Roman"/>
          <w:sz w:val="24"/>
          <w:szCs w:val="24"/>
        </w:rPr>
        <w:t>RSUTH,</w:t>
      </w:r>
      <w:commentRangeEnd w:id="20"/>
      <w:r w:rsidR="005819E6">
        <w:rPr>
          <w:rStyle w:val="ab"/>
        </w:rPr>
        <w:commentReference w:id="20"/>
      </w:r>
      <w:r w:rsidRPr="00FB01D8">
        <w:rPr>
          <w:rFonts w:ascii="Times New Roman" w:hAnsi="Times New Roman" w:cs="Times New Roman"/>
          <w:sz w:val="24"/>
          <w:szCs w:val="24"/>
        </w:rPr>
        <w:t xml:space="preserve"> and a control group consisting of apparently healthy adult individuals randomly selected from within </w:t>
      </w:r>
      <w:r w:rsidRPr="00FB01D8">
        <w:rPr>
          <w:rFonts w:ascii="Times New Roman" w:hAnsi="Times New Roman" w:cs="Times New Roman"/>
          <w:sz w:val="24"/>
          <w:szCs w:val="24"/>
        </w:rPr>
        <w:lastRenderedPageBreak/>
        <w:t>Port Harcourt. All participants were required to have resided in Port Harcourt for at least six months and provide informed consent. The minimum required sample size was calculated using Cochran’s formula based on an assumed prevalence rate of 3.7%.</w:t>
      </w:r>
    </w:p>
    <w:p w14:paraId="3551A938" w14:textId="190DED87" w:rsidR="0041280B" w:rsidRPr="00FB01D8" w:rsidRDefault="0041280B" w:rsidP="0041280B">
      <w:pPr>
        <w:jc w:val="both"/>
        <w:rPr>
          <w:rFonts w:ascii="Times New Roman" w:hAnsi="Times New Roman" w:cs="Times New Roman"/>
          <w:b/>
          <w:bCs/>
          <w:sz w:val="24"/>
          <w:szCs w:val="24"/>
        </w:rPr>
      </w:pPr>
      <w:r w:rsidRPr="00FB01D8">
        <w:rPr>
          <w:rFonts w:ascii="Times New Roman" w:hAnsi="Times New Roman" w:cs="Times New Roman"/>
          <w:b/>
          <w:bCs/>
          <w:sz w:val="24"/>
          <w:szCs w:val="24"/>
        </w:rPr>
        <w:t>Eligibility and Exclusion Criteria</w:t>
      </w:r>
    </w:p>
    <w:p w14:paraId="5497AE21" w14:textId="43EA8F2D" w:rsidR="0041280B" w:rsidRPr="00FB01D8" w:rsidRDefault="0041280B" w:rsidP="0041280B">
      <w:pPr>
        <w:jc w:val="both"/>
        <w:rPr>
          <w:rFonts w:ascii="Times New Roman" w:hAnsi="Times New Roman" w:cs="Times New Roman"/>
          <w:sz w:val="24"/>
          <w:szCs w:val="24"/>
        </w:rPr>
      </w:pPr>
      <w:r w:rsidRPr="00FB01D8">
        <w:rPr>
          <w:rFonts w:ascii="Times New Roman" w:hAnsi="Times New Roman" w:cs="Times New Roman"/>
          <w:sz w:val="24"/>
          <w:szCs w:val="24"/>
        </w:rPr>
        <w:t>Inclusion criteria for cases involved having a laboratory-confirmed diagnosis of diabetes mellitus, while controls were apparently healthy adults aged over 18 years. Participants in both groups were required to be residents of Port Harcourt for at least six months and willing to give consent. Exclusion criteria for both groups included known chronic kidney disease (Stages 3–5), urinary tract infection, pregnancy, and the use of nephrotoxic drugs within the three months preceding the study. Breastfeeding women and individuals with Human Immunodeficiency Virus (HIV) were also excluded.</w:t>
      </w:r>
    </w:p>
    <w:p w14:paraId="4CC33A27" w14:textId="14956FB1" w:rsidR="0041280B" w:rsidRPr="00FB01D8" w:rsidRDefault="0041280B" w:rsidP="0041280B">
      <w:pPr>
        <w:jc w:val="both"/>
        <w:rPr>
          <w:rFonts w:ascii="Times New Roman" w:hAnsi="Times New Roman" w:cs="Times New Roman"/>
          <w:b/>
          <w:bCs/>
          <w:sz w:val="24"/>
          <w:szCs w:val="24"/>
        </w:rPr>
      </w:pPr>
      <w:r w:rsidRPr="00FB01D8">
        <w:rPr>
          <w:rFonts w:ascii="Times New Roman" w:hAnsi="Times New Roman" w:cs="Times New Roman"/>
          <w:b/>
          <w:bCs/>
          <w:sz w:val="24"/>
          <w:szCs w:val="24"/>
        </w:rPr>
        <w:t>Sampling Technique</w:t>
      </w:r>
    </w:p>
    <w:p w14:paraId="666F3A9A" w14:textId="18837BD4" w:rsidR="0041280B" w:rsidRPr="00FB01D8" w:rsidRDefault="0041280B" w:rsidP="0041280B">
      <w:pPr>
        <w:jc w:val="both"/>
        <w:rPr>
          <w:rFonts w:ascii="Times New Roman" w:hAnsi="Times New Roman" w:cs="Times New Roman"/>
          <w:sz w:val="24"/>
          <w:szCs w:val="24"/>
        </w:rPr>
      </w:pPr>
      <w:r w:rsidRPr="00FB01D8">
        <w:rPr>
          <w:rFonts w:ascii="Times New Roman" w:hAnsi="Times New Roman" w:cs="Times New Roman"/>
          <w:sz w:val="24"/>
          <w:szCs w:val="24"/>
        </w:rPr>
        <w:t>Proportionate stratified random sampling was utilized to select participants. This technique ensured that various subgroups were adequately represented, allowing for precise estimates within each stratum while preserving internal validity and minimizing selection bias. Proportionate allocation was used to ensure the sample reflected the actual clinic population distribution.</w:t>
      </w:r>
    </w:p>
    <w:p w14:paraId="1EDA04B1" w14:textId="25E6714D" w:rsidR="0041280B" w:rsidRPr="00FB01D8" w:rsidRDefault="0041280B" w:rsidP="0041280B">
      <w:pPr>
        <w:jc w:val="both"/>
        <w:rPr>
          <w:rFonts w:ascii="Times New Roman" w:hAnsi="Times New Roman" w:cs="Times New Roman"/>
          <w:b/>
          <w:bCs/>
          <w:sz w:val="24"/>
          <w:szCs w:val="24"/>
        </w:rPr>
      </w:pPr>
      <w:r w:rsidRPr="00FB01D8">
        <w:rPr>
          <w:rFonts w:ascii="Times New Roman" w:hAnsi="Times New Roman" w:cs="Times New Roman"/>
          <w:b/>
          <w:bCs/>
          <w:sz w:val="24"/>
          <w:szCs w:val="24"/>
        </w:rPr>
        <w:t>Ethical Considerations and Data Collection</w:t>
      </w:r>
    </w:p>
    <w:p w14:paraId="78099A0B" w14:textId="041B49AF" w:rsidR="0041280B" w:rsidRPr="00FB01D8" w:rsidRDefault="0041280B" w:rsidP="0041280B">
      <w:pPr>
        <w:jc w:val="both"/>
        <w:rPr>
          <w:rFonts w:ascii="Times New Roman" w:hAnsi="Times New Roman" w:cs="Times New Roman"/>
          <w:sz w:val="24"/>
          <w:szCs w:val="24"/>
        </w:rPr>
      </w:pPr>
      <w:r w:rsidRPr="00FB01D8">
        <w:rPr>
          <w:rFonts w:ascii="Times New Roman" w:hAnsi="Times New Roman" w:cs="Times New Roman"/>
          <w:sz w:val="24"/>
          <w:szCs w:val="24"/>
        </w:rPr>
        <w:t>Ethical clearance for the study was obtained from the Rivers State Health Research Ethics Committee. Signed informed consent was secured from all participants prior to their enrolment. Data pertaining to demographic variables, medical histories, risk factors for diabetic kidney disease (DKD), and other clinical information were collected using a structured study questionnaire.</w:t>
      </w:r>
    </w:p>
    <w:p w14:paraId="7616878E" w14:textId="77777777" w:rsidR="001931AA" w:rsidRDefault="001931AA" w:rsidP="0041280B">
      <w:pPr>
        <w:jc w:val="both"/>
        <w:rPr>
          <w:rFonts w:ascii="Times New Roman" w:hAnsi="Times New Roman" w:cs="Times New Roman"/>
          <w:b/>
          <w:bCs/>
          <w:sz w:val="24"/>
          <w:szCs w:val="24"/>
        </w:rPr>
      </w:pPr>
    </w:p>
    <w:p w14:paraId="20D15221" w14:textId="77777777" w:rsidR="001931AA" w:rsidRDefault="001931AA" w:rsidP="0041280B">
      <w:pPr>
        <w:jc w:val="both"/>
        <w:rPr>
          <w:rFonts w:ascii="Times New Roman" w:hAnsi="Times New Roman" w:cs="Times New Roman"/>
          <w:b/>
          <w:bCs/>
          <w:sz w:val="24"/>
          <w:szCs w:val="24"/>
        </w:rPr>
      </w:pPr>
    </w:p>
    <w:p w14:paraId="0EFC6AF6" w14:textId="77777777" w:rsidR="001931AA" w:rsidRDefault="001931AA" w:rsidP="0041280B">
      <w:pPr>
        <w:jc w:val="both"/>
        <w:rPr>
          <w:rFonts w:ascii="Times New Roman" w:hAnsi="Times New Roman" w:cs="Times New Roman"/>
          <w:b/>
          <w:bCs/>
          <w:sz w:val="24"/>
          <w:szCs w:val="24"/>
        </w:rPr>
      </w:pPr>
    </w:p>
    <w:p w14:paraId="582FAF4F" w14:textId="19488AAA" w:rsidR="0041280B" w:rsidRPr="00FB01D8" w:rsidRDefault="0041280B" w:rsidP="0041280B">
      <w:pPr>
        <w:jc w:val="both"/>
        <w:rPr>
          <w:rFonts w:ascii="Times New Roman" w:hAnsi="Times New Roman" w:cs="Times New Roman"/>
          <w:b/>
          <w:bCs/>
          <w:sz w:val="24"/>
          <w:szCs w:val="24"/>
        </w:rPr>
      </w:pPr>
      <w:commentRangeStart w:id="21"/>
      <w:r w:rsidRPr="00FB01D8">
        <w:rPr>
          <w:rFonts w:ascii="Times New Roman" w:hAnsi="Times New Roman" w:cs="Times New Roman"/>
          <w:b/>
          <w:bCs/>
          <w:sz w:val="24"/>
          <w:szCs w:val="24"/>
        </w:rPr>
        <w:t>La</w:t>
      </w:r>
      <w:commentRangeEnd w:id="21"/>
      <w:r w:rsidR="00741AFC">
        <w:rPr>
          <w:rStyle w:val="ab"/>
        </w:rPr>
        <w:commentReference w:id="21"/>
      </w:r>
      <w:r w:rsidRPr="00FB01D8">
        <w:rPr>
          <w:rFonts w:ascii="Times New Roman" w:hAnsi="Times New Roman" w:cs="Times New Roman"/>
          <w:b/>
          <w:bCs/>
          <w:sz w:val="24"/>
          <w:szCs w:val="24"/>
        </w:rPr>
        <w:t>boratory Assays</w:t>
      </w:r>
    </w:p>
    <w:p w14:paraId="2007F4DE" w14:textId="793EC6F0" w:rsidR="0041280B" w:rsidRPr="00FB01D8" w:rsidRDefault="0041280B" w:rsidP="0041280B">
      <w:pPr>
        <w:jc w:val="both"/>
        <w:rPr>
          <w:rFonts w:ascii="Times New Roman" w:hAnsi="Times New Roman" w:cs="Times New Roman"/>
          <w:b/>
          <w:bCs/>
          <w:sz w:val="24"/>
          <w:szCs w:val="24"/>
        </w:rPr>
      </w:pPr>
      <w:r w:rsidRPr="00FB01D8">
        <w:rPr>
          <w:rFonts w:ascii="Times New Roman" w:hAnsi="Times New Roman" w:cs="Times New Roman"/>
          <w:b/>
          <w:bCs/>
          <w:sz w:val="24"/>
          <w:szCs w:val="24"/>
        </w:rPr>
        <w:t>Specimen Collection</w:t>
      </w:r>
    </w:p>
    <w:p w14:paraId="61221056" w14:textId="7B2BFA19" w:rsidR="0041280B" w:rsidRPr="00FB01D8" w:rsidRDefault="0041280B" w:rsidP="0041280B">
      <w:pPr>
        <w:jc w:val="both"/>
        <w:rPr>
          <w:rFonts w:ascii="Times New Roman" w:hAnsi="Times New Roman" w:cs="Times New Roman"/>
          <w:sz w:val="24"/>
          <w:szCs w:val="24"/>
        </w:rPr>
      </w:pPr>
      <w:r w:rsidRPr="00FB01D8">
        <w:rPr>
          <w:rFonts w:ascii="Times New Roman" w:hAnsi="Times New Roman" w:cs="Times New Roman"/>
          <w:sz w:val="24"/>
          <w:szCs w:val="24"/>
        </w:rPr>
        <w:t xml:space="preserve">Venous blood samples were collected from participants using standard </w:t>
      </w:r>
      <w:commentRangeStart w:id="22"/>
      <w:proofErr w:type="spellStart"/>
      <w:r w:rsidRPr="00FB01D8">
        <w:rPr>
          <w:rFonts w:ascii="Times New Roman" w:hAnsi="Times New Roman" w:cs="Times New Roman"/>
          <w:sz w:val="24"/>
          <w:szCs w:val="24"/>
        </w:rPr>
        <w:t>venepuncture</w:t>
      </w:r>
      <w:commentRangeEnd w:id="22"/>
      <w:proofErr w:type="spellEnd"/>
      <w:r w:rsidR="005819E6">
        <w:rPr>
          <w:rStyle w:val="ab"/>
        </w:rPr>
        <w:commentReference w:id="22"/>
      </w:r>
      <w:r w:rsidRPr="00FB01D8">
        <w:rPr>
          <w:rFonts w:ascii="Times New Roman" w:hAnsi="Times New Roman" w:cs="Times New Roman"/>
          <w:sz w:val="24"/>
          <w:szCs w:val="24"/>
        </w:rPr>
        <w:t xml:space="preserve"> techniques. Three milliliters were collected into </w:t>
      </w:r>
      <w:proofErr w:type="spellStart"/>
      <w:r w:rsidRPr="00FB01D8">
        <w:rPr>
          <w:rFonts w:ascii="Times New Roman" w:hAnsi="Times New Roman" w:cs="Times New Roman"/>
          <w:sz w:val="24"/>
          <w:szCs w:val="24"/>
        </w:rPr>
        <w:t>Tripotassium</w:t>
      </w:r>
      <w:proofErr w:type="spellEnd"/>
      <w:r w:rsidRPr="00FB01D8">
        <w:rPr>
          <w:rFonts w:ascii="Times New Roman" w:hAnsi="Times New Roman" w:cs="Times New Roman"/>
          <w:sz w:val="24"/>
          <w:szCs w:val="24"/>
        </w:rPr>
        <w:t xml:space="preserve"> </w:t>
      </w:r>
      <w:proofErr w:type="spellStart"/>
      <w:r w:rsidRPr="00FB01D8">
        <w:rPr>
          <w:rFonts w:ascii="Times New Roman" w:hAnsi="Times New Roman" w:cs="Times New Roman"/>
          <w:sz w:val="24"/>
          <w:szCs w:val="24"/>
        </w:rPr>
        <w:t>ethylenediaminetetraacetic</w:t>
      </w:r>
      <w:proofErr w:type="spellEnd"/>
      <w:r w:rsidRPr="00FB01D8">
        <w:rPr>
          <w:rFonts w:ascii="Times New Roman" w:hAnsi="Times New Roman" w:cs="Times New Roman"/>
          <w:sz w:val="24"/>
          <w:szCs w:val="24"/>
        </w:rPr>
        <w:t xml:space="preserve"> acid (K</w:t>
      </w:r>
      <w:r w:rsidRPr="00FB01D8">
        <w:rPr>
          <w:rFonts w:ascii="Times New Roman" w:hAnsi="Times New Roman" w:cs="Times New Roman"/>
          <w:sz w:val="24"/>
          <w:szCs w:val="24"/>
          <w:vertAlign w:val="subscript"/>
        </w:rPr>
        <w:t>3</w:t>
      </w:r>
      <w:r w:rsidRPr="00FB01D8">
        <w:rPr>
          <w:rFonts w:ascii="Times New Roman" w:hAnsi="Times New Roman" w:cs="Times New Roman"/>
          <w:sz w:val="24"/>
          <w:szCs w:val="24"/>
        </w:rPr>
        <w:t xml:space="preserve">EDTA) vacutainer tubes for the analysis of </w:t>
      </w:r>
      <w:proofErr w:type="spellStart"/>
      <w:r w:rsidRPr="00FB01D8">
        <w:rPr>
          <w:rFonts w:ascii="Times New Roman" w:hAnsi="Times New Roman" w:cs="Times New Roman"/>
          <w:sz w:val="24"/>
          <w:szCs w:val="24"/>
        </w:rPr>
        <w:t>glycated</w:t>
      </w:r>
      <w:proofErr w:type="spellEnd"/>
      <w:r w:rsidRPr="00FB01D8">
        <w:rPr>
          <w:rFonts w:ascii="Times New Roman" w:hAnsi="Times New Roman" w:cs="Times New Roman"/>
          <w:sz w:val="24"/>
          <w:szCs w:val="24"/>
        </w:rPr>
        <w:t xml:space="preserve"> </w:t>
      </w:r>
      <w:proofErr w:type="spellStart"/>
      <w:r w:rsidRPr="00FB01D8">
        <w:rPr>
          <w:rFonts w:ascii="Times New Roman" w:hAnsi="Times New Roman" w:cs="Times New Roman"/>
          <w:sz w:val="24"/>
          <w:szCs w:val="24"/>
        </w:rPr>
        <w:t>haemoglobin</w:t>
      </w:r>
      <w:proofErr w:type="spellEnd"/>
      <w:r w:rsidRPr="00FB01D8">
        <w:rPr>
          <w:rFonts w:ascii="Times New Roman" w:hAnsi="Times New Roman" w:cs="Times New Roman"/>
          <w:sz w:val="24"/>
          <w:szCs w:val="24"/>
        </w:rPr>
        <w:t xml:space="preserve"> </w:t>
      </w:r>
      <w:commentRangeStart w:id="23"/>
      <w:r w:rsidRPr="00FB01D8">
        <w:rPr>
          <w:rFonts w:ascii="Times New Roman" w:hAnsi="Times New Roman" w:cs="Times New Roman"/>
          <w:sz w:val="24"/>
          <w:szCs w:val="24"/>
        </w:rPr>
        <w:t>(HbA1c</w:t>
      </w:r>
      <w:commentRangeEnd w:id="23"/>
      <w:r w:rsidR="005819E6">
        <w:rPr>
          <w:rStyle w:val="ab"/>
        </w:rPr>
        <w:commentReference w:id="23"/>
      </w:r>
      <w:r w:rsidRPr="00FB01D8">
        <w:rPr>
          <w:rFonts w:ascii="Times New Roman" w:hAnsi="Times New Roman" w:cs="Times New Roman"/>
          <w:sz w:val="24"/>
          <w:szCs w:val="24"/>
        </w:rPr>
        <w:t>), and 2.5 milliliters were collected into plain tubes for serum analysis. Spot urine samples were collected into universal bottles for microalbuminuria assessment (albumin-to-creatinine ratio).</w:t>
      </w:r>
    </w:p>
    <w:p w14:paraId="20819F3B" w14:textId="3BDA74C0" w:rsidR="0041280B" w:rsidRPr="00FB01D8" w:rsidRDefault="0041280B" w:rsidP="0041280B">
      <w:pPr>
        <w:jc w:val="both"/>
        <w:rPr>
          <w:rFonts w:ascii="Times New Roman" w:hAnsi="Times New Roman" w:cs="Times New Roman"/>
          <w:b/>
          <w:bCs/>
          <w:sz w:val="24"/>
          <w:szCs w:val="24"/>
        </w:rPr>
      </w:pPr>
      <w:commentRangeStart w:id="24"/>
      <w:r w:rsidRPr="00FB01D8">
        <w:rPr>
          <w:rFonts w:ascii="Times New Roman" w:hAnsi="Times New Roman" w:cs="Times New Roman"/>
          <w:b/>
          <w:bCs/>
          <w:sz w:val="24"/>
          <w:szCs w:val="24"/>
        </w:rPr>
        <w:t>Biom</w:t>
      </w:r>
      <w:commentRangeEnd w:id="24"/>
      <w:r w:rsidR="00741AFC">
        <w:rPr>
          <w:rStyle w:val="ab"/>
        </w:rPr>
        <w:commentReference w:id="24"/>
      </w:r>
      <w:r w:rsidRPr="00FB01D8">
        <w:rPr>
          <w:rFonts w:ascii="Times New Roman" w:hAnsi="Times New Roman" w:cs="Times New Roman"/>
          <w:b/>
          <w:bCs/>
          <w:sz w:val="24"/>
          <w:szCs w:val="24"/>
        </w:rPr>
        <w:t>arker Analysis</w:t>
      </w:r>
    </w:p>
    <w:p w14:paraId="02537F85" w14:textId="480E80F3" w:rsidR="0041280B" w:rsidRPr="00FB01D8" w:rsidRDefault="0041280B" w:rsidP="0041280B">
      <w:pPr>
        <w:jc w:val="both"/>
        <w:rPr>
          <w:rFonts w:ascii="Times New Roman" w:hAnsi="Times New Roman" w:cs="Times New Roman"/>
          <w:sz w:val="24"/>
          <w:szCs w:val="24"/>
        </w:rPr>
      </w:pPr>
      <w:r w:rsidRPr="00FB01D8">
        <w:rPr>
          <w:rFonts w:ascii="Times New Roman" w:hAnsi="Times New Roman" w:cs="Times New Roman"/>
          <w:sz w:val="24"/>
          <w:szCs w:val="24"/>
        </w:rPr>
        <w:lastRenderedPageBreak/>
        <w:t xml:space="preserve">Serum samples obtained from the plain tubes were used to estimate Kidney Injury Molecule-1 (KIM-1) and </w:t>
      </w:r>
      <w:proofErr w:type="spellStart"/>
      <w:r w:rsidRPr="00FB01D8">
        <w:rPr>
          <w:rFonts w:ascii="Times New Roman" w:hAnsi="Times New Roman" w:cs="Times New Roman"/>
          <w:sz w:val="24"/>
          <w:szCs w:val="24"/>
        </w:rPr>
        <w:t>Cystatin</w:t>
      </w:r>
      <w:proofErr w:type="spellEnd"/>
      <w:r w:rsidRPr="00FB01D8">
        <w:rPr>
          <w:rFonts w:ascii="Times New Roman" w:hAnsi="Times New Roman" w:cs="Times New Roman"/>
          <w:sz w:val="24"/>
          <w:szCs w:val="24"/>
        </w:rPr>
        <w:t xml:space="preserve"> C (</w:t>
      </w:r>
      <w:proofErr w:type="spellStart"/>
      <w:r w:rsidRPr="00FB01D8">
        <w:rPr>
          <w:rFonts w:ascii="Times New Roman" w:hAnsi="Times New Roman" w:cs="Times New Roman"/>
          <w:sz w:val="24"/>
          <w:szCs w:val="24"/>
        </w:rPr>
        <w:t>Cys</w:t>
      </w:r>
      <w:proofErr w:type="spellEnd"/>
      <w:r w:rsidRPr="00FB01D8">
        <w:rPr>
          <w:rFonts w:ascii="Times New Roman" w:hAnsi="Times New Roman" w:cs="Times New Roman"/>
          <w:sz w:val="24"/>
          <w:szCs w:val="24"/>
        </w:rPr>
        <w:t>-C) concentrations using Sandwich-Enzyme Linked Immunosorbent Assay (ELISA) kits</w:t>
      </w:r>
      <w:r w:rsidR="00150DCF" w:rsidRPr="00FB01D8">
        <w:rPr>
          <w:rFonts w:ascii="Times New Roman" w:hAnsi="Times New Roman" w:cs="Times New Roman"/>
          <w:sz w:val="24"/>
          <w:szCs w:val="24"/>
        </w:rPr>
        <w:t xml:space="preserve">. </w:t>
      </w:r>
      <w:r w:rsidRPr="00FB01D8">
        <w:rPr>
          <w:rFonts w:ascii="Times New Roman" w:hAnsi="Times New Roman" w:cs="Times New Roman"/>
          <w:sz w:val="24"/>
          <w:szCs w:val="24"/>
        </w:rPr>
        <w:t>Analysis was performed using an Emp 201 microplate reader. HbA1c levels were estimated from whole blood (K</w:t>
      </w:r>
      <w:r w:rsidRPr="00FB01D8">
        <w:rPr>
          <w:rFonts w:ascii="Times New Roman" w:hAnsi="Times New Roman" w:cs="Times New Roman"/>
          <w:sz w:val="24"/>
          <w:szCs w:val="24"/>
          <w:vertAlign w:val="subscript"/>
        </w:rPr>
        <w:t>3</w:t>
      </w:r>
      <w:r w:rsidRPr="00FB01D8">
        <w:rPr>
          <w:rFonts w:ascii="Times New Roman" w:hAnsi="Times New Roman" w:cs="Times New Roman"/>
          <w:sz w:val="24"/>
          <w:szCs w:val="24"/>
        </w:rPr>
        <w:t xml:space="preserve">EDTA) using the fluorescence immunoassay method [Hicks] as specified by the </w:t>
      </w:r>
      <w:commentRangeStart w:id="25"/>
      <w:proofErr w:type="spellStart"/>
      <w:r w:rsidRPr="00FB01D8">
        <w:rPr>
          <w:rFonts w:ascii="Times New Roman" w:hAnsi="Times New Roman" w:cs="Times New Roman"/>
          <w:sz w:val="24"/>
          <w:szCs w:val="24"/>
        </w:rPr>
        <w:t>Finecare</w:t>
      </w:r>
      <w:commentRangeEnd w:id="25"/>
      <w:proofErr w:type="spellEnd"/>
      <w:r w:rsidR="005819E6">
        <w:rPr>
          <w:rStyle w:val="ab"/>
        </w:rPr>
        <w:commentReference w:id="25"/>
      </w:r>
      <w:r w:rsidRPr="00FB01D8">
        <w:rPr>
          <w:rFonts w:ascii="Times New Roman" w:hAnsi="Times New Roman" w:cs="Times New Roman"/>
          <w:sz w:val="24"/>
          <w:szCs w:val="24"/>
        </w:rPr>
        <w:t xml:space="preserve"> machine</w:t>
      </w:r>
    </w:p>
    <w:p w14:paraId="08F81D82" w14:textId="035ACCB4" w:rsidR="0041280B" w:rsidRPr="00FB01D8" w:rsidRDefault="0041280B" w:rsidP="0041280B">
      <w:pPr>
        <w:jc w:val="both"/>
        <w:rPr>
          <w:rFonts w:ascii="Times New Roman" w:hAnsi="Times New Roman" w:cs="Times New Roman"/>
          <w:b/>
          <w:bCs/>
          <w:sz w:val="24"/>
          <w:szCs w:val="24"/>
        </w:rPr>
      </w:pPr>
      <w:r w:rsidRPr="00FB01D8">
        <w:rPr>
          <w:rFonts w:ascii="Times New Roman" w:hAnsi="Times New Roman" w:cs="Times New Roman"/>
          <w:b/>
          <w:bCs/>
          <w:sz w:val="24"/>
          <w:szCs w:val="24"/>
        </w:rPr>
        <w:t>Routine Chemistry Analysis</w:t>
      </w:r>
    </w:p>
    <w:p w14:paraId="18266317" w14:textId="639D27EF" w:rsidR="0041280B" w:rsidRPr="00FB01D8" w:rsidRDefault="0041280B" w:rsidP="0041280B">
      <w:pPr>
        <w:jc w:val="both"/>
        <w:rPr>
          <w:rFonts w:ascii="Times New Roman" w:hAnsi="Times New Roman" w:cs="Times New Roman"/>
          <w:sz w:val="24"/>
          <w:szCs w:val="24"/>
        </w:rPr>
      </w:pPr>
      <w:r w:rsidRPr="00FB01D8">
        <w:rPr>
          <w:rFonts w:ascii="Times New Roman" w:hAnsi="Times New Roman" w:cs="Times New Roman"/>
          <w:sz w:val="24"/>
          <w:szCs w:val="24"/>
        </w:rPr>
        <w:t xml:space="preserve">Microalbuminuria levels were estimated using </w:t>
      </w:r>
      <w:proofErr w:type="spellStart"/>
      <w:r w:rsidRPr="00FB01D8">
        <w:rPr>
          <w:rFonts w:ascii="Times New Roman" w:hAnsi="Times New Roman" w:cs="Times New Roman"/>
          <w:sz w:val="24"/>
          <w:szCs w:val="24"/>
        </w:rPr>
        <w:t>Combina</w:t>
      </w:r>
      <w:proofErr w:type="spellEnd"/>
      <w:r w:rsidRPr="00FB01D8">
        <w:rPr>
          <w:rFonts w:ascii="Times New Roman" w:hAnsi="Times New Roman" w:cs="Times New Roman"/>
          <w:sz w:val="24"/>
          <w:szCs w:val="24"/>
        </w:rPr>
        <w:t xml:space="preserve"> 13 test strips and the combilyzer13 analyzer according to the manufacturer’s instructions. Fasting blood glucose, plasma creatinine, and plasma urea concentrations were measured using a Mindray Semi-Auto Chemistry Analyzer. Fasting blood glucose was measured by the enzymatic oxidation method [Barham &amp; Trinder, 1972], plasma creatinine by the Jaffe’s Slot enzymatic oxidation method [Jaffe’s </w:t>
      </w:r>
      <w:commentRangeStart w:id="26"/>
      <w:r w:rsidRPr="00FB01D8">
        <w:rPr>
          <w:rFonts w:ascii="Times New Roman" w:hAnsi="Times New Roman" w:cs="Times New Roman"/>
          <w:sz w:val="24"/>
          <w:szCs w:val="24"/>
        </w:rPr>
        <w:t>Slot</w:t>
      </w:r>
      <w:commentRangeEnd w:id="26"/>
      <w:r w:rsidR="0061240F">
        <w:rPr>
          <w:rStyle w:val="ab"/>
        </w:rPr>
        <w:commentReference w:id="26"/>
      </w:r>
      <w:r w:rsidRPr="00FB01D8">
        <w:rPr>
          <w:rFonts w:ascii="Times New Roman" w:hAnsi="Times New Roman" w:cs="Times New Roman"/>
          <w:sz w:val="24"/>
          <w:szCs w:val="24"/>
        </w:rPr>
        <w:t>, 1886], and plasma urea by the Urease Berthelot enzymatic reaction method [Armstrong, 1927]</w:t>
      </w:r>
      <w:r w:rsidR="0054191A" w:rsidRPr="00FB01D8">
        <w:rPr>
          <w:rFonts w:ascii="Times New Roman" w:hAnsi="Times New Roman" w:cs="Times New Roman"/>
          <w:sz w:val="24"/>
          <w:szCs w:val="24"/>
        </w:rPr>
        <w:t>.</w:t>
      </w:r>
      <w:r w:rsidRPr="00FB01D8">
        <w:rPr>
          <w:rFonts w:ascii="Times New Roman" w:hAnsi="Times New Roman" w:cs="Times New Roman"/>
          <w:sz w:val="24"/>
          <w:szCs w:val="24"/>
        </w:rPr>
        <w:t xml:space="preserve"> Estimated glomerular filtration rate (eGFR) was calculated using an appropriate formula.</w:t>
      </w:r>
    </w:p>
    <w:p w14:paraId="02BCA6C9" w14:textId="18C63980" w:rsidR="0041280B" w:rsidRPr="00FB01D8" w:rsidRDefault="0041280B" w:rsidP="0041280B">
      <w:pPr>
        <w:jc w:val="both"/>
        <w:rPr>
          <w:rFonts w:ascii="Times New Roman" w:hAnsi="Times New Roman" w:cs="Times New Roman"/>
          <w:b/>
          <w:bCs/>
          <w:sz w:val="24"/>
          <w:szCs w:val="24"/>
        </w:rPr>
      </w:pPr>
      <w:r w:rsidRPr="00FB01D8">
        <w:rPr>
          <w:rFonts w:ascii="Times New Roman" w:hAnsi="Times New Roman" w:cs="Times New Roman"/>
          <w:b/>
          <w:bCs/>
          <w:sz w:val="24"/>
          <w:szCs w:val="24"/>
        </w:rPr>
        <w:t>Data Analysis</w:t>
      </w:r>
    </w:p>
    <w:p w14:paraId="7C5FD93E" w14:textId="7E565B94" w:rsidR="00263220" w:rsidRDefault="0041280B" w:rsidP="0041280B">
      <w:pPr>
        <w:jc w:val="both"/>
        <w:rPr>
          <w:rFonts w:ascii="Times New Roman" w:hAnsi="Times New Roman" w:cs="Times New Roman"/>
          <w:sz w:val="24"/>
          <w:szCs w:val="24"/>
        </w:rPr>
      </w:pPr>
      <w:r w:rsidRPr="00FB01D8">
        <w:rPr>
          <w:rFonts w:ascii="Times New Roman" w:hAnsi="Times New Roman" w:cs="Times New Roman"/>
          <w:sz w:val="24"/>
          <w:szCs w:val="24"/>
        </w:rPr>
        <w:t xml:space="preserve">Data analysis was conducted using GraphPad Prism software version 9.0.0 (121), San Diego, CA. Numerical data were presented as the </w:t>
      </w:r>
      <w:proofErr w:type="spellStart"/>
      <w:r w:rsidRPr="00FB01D8">
        <w:rPr>
          <w:rFonts w:ascii="Times New Roman" w:hAnsi="Times New Roman" w:cs="Times New Roman"/>
          <w:sz w:val="24"/>
          <w:szCs w:val="24"/>
        </w:rPr>
        <w:t>Mean</w:t>
      </w:r>
      <w:r w:rsidR="00C11728" w:rsidRPr="00FB01D8">
        <w:rPr>
          <w:rFonts w:ascii="Times New Roman" w:hAnsi="Times New Roman" w:cs="Times New Roman"/>
          <w:sz w:val="24"/>
          <w:szCs w:val="24"/>
        </w:rPr>
        <w:t>±</w:t>
      </w:r>
      <w:r w:rsidRPr="00FB01D8">
        <w:rPr>
          <w:rFonts w:ascii="Times New Roman" w:hAnsi="Times New Roman" w:cs="Times New Roman"/>
          <w:sz w:val="24"/>
          <w:szCs w:val="24"/>
        </w:rPr>
        <w:t>Standard</w:t>
      </w:r>
      <w:proofErr w:type="spellEnd"/>
      <w:r w:rsidRPr="00FB01D8">
        <w:rPr>
          <w:rFonts w:ascii="Times New Roman" w:hAnsi="Times New Roman" w:cs="Times New Roman"/>
          <w:sz w:val="24"/>
          <w:szCs w:val="24"/>
        </w:rPr>
        <w:t xml:space="preserve"> Deviation. Independent sample </w:t>
      </w:r>
      <w:r w:rsidR="00C11728" w:rsidRPr="00FB01D8">
        <w:rPr>
          <w:rFonts w:ascii="Times New Roman" w:hAnsi="Times New Roman" w:cs="Times New Roman"/>
          <w:sz w:val="24"/>
          <w:szCs w:val="24"/>
        </w:rPr>
        <w:t>T</w:t>
      </w:r>
      <w:r w:rsidRPr="00FB01D8">
        <w:rPr>
          <w:rFonts w:ascii="Times New Roman" w:hAnsi="Times New Roman" w:cs="Times New Roman"/>
          <w:sz w:val="24"/>
          <w:szCs w:val="24"/>
        </w:rPr>
        <w:t xml:space="preserve">-tests and one-way Analysis of Variance (ANOVA) were performed for the statistical comparison of means between the test and control groups, and across stratified age groups, respectively. Tukey’s multiple comparison (post hoc tests) was applied to identify specific significant differences among groups. Pearson’s correlation analysis was used to evaluate the association between the measured biomarkers and other clinical and biochemical parameters. A </w:t>
      </w:r>
      <w:r w:rsidR="00C11728" w:rsidRPr="00FB01D8">
        <w:rPr>
          <w:rFonts w:ascii="Times New Roman" w:hAnsi="Times New Roman" w:cs="Times New Roman"/>
          <w:sz w:val="24"/>
          <w:szCs w:val="24"/>
        </w:rPr>
        <w:t>p-</w:t>
      </w:r>
      <w:r w:rsidRPr="00FB01D8">
        <w:rPr>
          <w:rFonts w:ascii="Times New Roman" w:hAnsi="Times New Roman" w:cs="Times New Roman"/>
          <w:sz w:val="24"/>
          <w:szCs w:val="24"/>
        </w:rPr>
        <w:t>value of &lt;0.05 was considered to be statistically significant at a 95% confidence interval.</w:t>
      </w:r>
    </w:p>
    <w:p w14:paraId="52044B94" w14:textId="09D44EB3" w:rsidR="00263220" w:rsidRDefault="00263220" w:rsidP="0041280B">
      <w:pPr>
        <w:jc w:val="both"/>
        <w:rPr>
          <w:rFonts w:ascii="Times New Roman" w:hAnsi="Times New Roman" w:cs="Times New Roman"/>
          <w:sz w:val="24"/>
          <w:szCs w:val="24"/>
        </w:rPr>
      </w:pPr>
    </w:p>
    <w:p w14:paraId="30DBEC04" w14:textId="7FFA17C3" w:rsidR="00263220" w:rsidRDefault="00263220" w:rsidP="0041280B">
      <w:pPr>
        <w:jc w:val="both"/>
        <w:rPr>
          <w:rFonts w:ascii="Times New Roman" w:hAnsi="Times New Roman" w:cs="Times New Roman"/>
          <w:sz w:val="24"/>
          <w:szCs w:val="24"/>
        </w:rPr>
      </w:pPr>
    </w:p>
    <w:p w14:paraId="386E8A87" w14:textId="03C52C19" w:rsidR="00263220" w:rsidRDefault="00263220" w:rsidP="0041280B">
      <w:pPr>
        <w:jc w:val="both"/>
        <w:rPr>
          <w:rFonts w:ascii="Times New Roman" w:hAnsi="Times New Roman" w:cs="Times New Roman"/>
          <w:sz w:val="24"/>
          <w:szCs w:val="24"/>
        </w:rPr>
      </w:pPr>
    </w:p>
    <w:p w14:paraId="3E396066" w14:textId="3A33EE10" w:rsidR="00263220" w:rsidRDefault="00263220" w:rsidP="0041280B">
      <w:pPr>
        <w:jc w:val="both"/>
        <w:rPr>
          <w:rFonts w:ascii="Times New Roman" w:hAnsi="Times New Roman" w:cs="Times New Roman"/>
          <w:sz w:val="24"/>
          <w:szCs w:val="24"/>
        </w:rPr>
      </w:pPr>
    </w:p>
    <w:p w14:paraId="7540C0D0" w14:textId="5031E612" w:rsidR="00263220" w:rsidRDefault="00263220" w:rsidP="0041280B">
      <w:pPr>
        <w:jc w:val="both"/>
        <w:rPr>
          <w:rFonts w:ascii="Times New Roman" w:hAnsi="Times New Roman" w:cs="Times New Roman"/>
          <w:sz w:val="24"/>
          <w:szCs w:val="24"/>
        </w:rPr>
      </w:pPr>
    </w:p>
    <w:p w14:paraId="04900B7B" w14:textId="52723CCE" w:rsidR="00FB01D8" w:rsidRPr="00FB01D8" w:rsidRDefault="00FB01D8" w:rsidP="00E4383E">
      <w:pPr>
        <w:spacing w:before="100" w:beforeAutospacing="1" w:after="100" w:afterAutospacing="1" w:line="240" w:lineRule="auto"/>
        <w:outlineLvl w:val="2"/>
        <w:rPr>
          <w:rFonts w:ascii="Times New Roman" w:eastAsia="SimSun" w:hAnsi="Times New Roman" w:cs="Times New Roman"/>
          <w:b/>
          <w:bCs/>
          <w:sz w:val="24"/>
          <w:szCs w:val="24"/>
          <w:lang w:eastAsia="zh-CN"/>
        </w:rPr>
      </w:pPr>
      <w:commentRangeStart w:id="27"/>
      <w:r w:rsidRPr="00FB01D8">
        <w:rPr>
          <w:rFonts w:ascii="Times New Roman" w:eastAsia="SimSun" w:hAnsi="Times New Roman" w:cs="Times New Roman"/>
          <w:b/>
          <w:bCs/>
          <w:sz w:val="24"/>
          <w:szCs w:val="24"/>
          <w:lang w:eastAsia="zh-CN"/>
        </w:rPr>
        <w:t>Res</w:t>
      </w:r>
      <w:commentRangeEnd w:id="27"/>
      <w:r w:rsidR="00741AFC">
        <w:rPr>
          <w:rStyle w:val="ab"/>
        </w:rPr>
        <w:commentReference w:id="27"/>
      </w:r>
      <w:r w:rsidRPr="00FB01D8">
        <w:rPr>
          <w:rFonts w:ascii="Times New Roman" w:eastAsia="SimSun" w:hAnsi="Times New Roman" w:cs="Times New Roman"/>
          <w:b/>
          <w:bCs/>
          <w:sz w:val="24"/>
          <w:szCs w:val="24"/>
          <w:lang w:eastAsia="zh-CN"/>
        </w:rPr>
        <w:t>ults</w:t>
      </w:r>
      <w:r w:rsidR="0019102B">
        <w:rPr>
          <w:rFonts w:ascii="Times New Roman" w:eastAsia="SimSun" w:hAnsi="Times New Roman" w:cs="Times New Roman"/>
          <w:b/>
          <w:bCs/>
          <w:sz w:val="24"/>
          <w:szCs w:val="24"/>
          <w:lang w:eastAsia="zh-CN"/>
        </w:rPr>
        <w:t xml:space="preserve"> and </w:t>
      </w:r>
      <w:r w:rsidR="0019102B" w:rsidRPr="0019102B">
        <w:rPr>
          <w:rFonts w:ascii="Times New Roman" w:eastAsia="SimSun" w:hAnsi="Times New Roman" w:cs="Times New Roman"/>
          <w:b/>
          <w:bCs/>
          <w:sz w:val="24"/>
          <w:szCs w:val="24"/>
          <w:lang w:eastAsia="zh-CN"/>
        </w:rPr>
        <w:t>Discussion</w:t>
      </w:r>
    </w:p>
    <w:p w14:paraId="25152E93" w14:textId="77777777" w:rsidR="00FB01D8" w:rsidRPr="00FB01D8" w:rsidRDefault="00FB01D8" w:rsidP="00FB01D8">
      <w:pPr>
        <w:spacing w:after="0" w:line="360" w:lineRule="auto"/>
        <w:jc w:val="both"/>
        <w:rPr>
          <w:rFonts w:ascii="Times New Roman" w:eastAsia="DengXian" w:hAnsi="Times New Roman" w:cs="Times New Roman"/>
          <w:b/>
          <w:bCs/>
          <w:sz w:val="24"/>
          <w:szCs w:val="24"/>
          <w:lang w:eastAsia="zh-CN"/>
        </w:rPr>
      </w:pPr>
      <w:bookmarkStart w:id="28" w:name="_Hlk191029798"/>
      <w:r w:rsidRPr="00FB01D8">
        <w:rPr>
          <w:rFonts w:ascii="Times New Roman" w:eastAsia="DengXian" w:hAnsi="Times New Roman" w:cs="Times New Roman"/>
          <w:b/>
          <w:color w:val="000000"/>
          <w:sz w:val="24"/>
          <w:szCs w:val="24"/>
          <w:lang w:eastAsia="zh-CN"/>
        </w:rPr>
        <w:t xml:space="preserve">Table 1: </w:t>
      </w:r>
      <w:bookmarkEnd w:id="28"/>
      <w:r w:rsidRPr="00FB01D8">
        <w:rPr>
          <w:rFonts w:ascii="Times New Roman" w:eastAsia="DengXian" w:hAnsi="Times New Roman" w:cs="Times New Roman"/>
          <w:b/>
          <w:bCs/>
          <w:sz w:val="24"/>
          <w:szCs w:val="24"/>
          <w:lang w:eastAsia="zh-CN"/>
        </w:rPr>
        <w:t>Demographic Characteristics of the Studied Subjects</w:t>
      </w:r>
    </w:p>
    <w:tbl>
      <w:tblPr>
        <w:tblStyle w:val="a4"/>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260"/>
        <w:gridCol w:w="1530"/>
        <w:gridCol w:w="1530"/>
        <w:gridCol w:w="1620"/>
      </w:tblGrid>
      <w:tr w:rsidR="00FB01D8" w:rsidRPr="00FB01D8" w14:paraId="0B5D7602" w14:textId="77777777" w:rsidTr="00FB01D8">
        <w:trPr>
          <w:trHeight w:val="20"/>
        </w:trPr>
        <w:tc>
          <w:tcPr>
            <w:tcW w:w="2785" w:type="dxa"/>
            <w:tcBorders>
              <w:top w:val="single" w:sz="4" w:space="0" w:color="auto"/>
              <w:left w:val="nil"/>
              <w:bottom w:val="single" w:sz="4" w:space="0" w:color="auto"/>
              <w:right w:val="nil"/>
            </w:tcBorders>
            <w:hideMark/>
          </w:tcPr>
          <w:p w14:paraId="38A87C6B" w14:textId="77777777" w:rsidR="00FB01D8" w:rsidRPr="00FB01D8" w:rsidRDefault="00FB01D8" w:rsidP="00FB01D8">
            <w:pPr>
              <w:rPr>
                <w:rFonts w:eastAsia="DengXian"/>
                <w:b/>
                <w:bCs/>
                <w:lang w:eastAsia="zh-CN"/>
              </w:rPr>
            </w:pPr>
            <w:r w:rsidRPr="00FB01D8">
              <w:rPr>
                <w:rFonts w:eastAsia="DengXian"/>
                <w:b/>
                <w:bCs/>
                <w:lang w:eastAsia="zh-CN"/>
              </w:rPr>
              <w:t>Category</w:t>
            </w:r>
          </w:p>
        </w:tc>
        <w:tc>
          <w:tcPr>
            <w:tcW w:w="1260" w:type="dxa"/>
            <w:tcBorders>
              <w:top w:val="single" w:sz="4" w:space="0" w:color="auto"/>
              <w:left w:val="nil"/>
              <w:bottom w:val="single" w:sz="4" w:space="0" w:color="auto"/>
              <w:right w:val="nil"/>
            </w:tcBorders>
          </w:tcPr>
          <w:p w14:paraId="32B9E57F" w14:textId="77777777" w:rsidR="00FB01D8" w:rsidRPr="00FB01D8" w:rsidRDefault="00FB01D8" w:rsidP="00FB01D8">
            <w:pPr>
              <w:rPr>
                <w:rFonts w:eastAsia="DengXian"/>
                <w:b/>
                <w:bCs/>
                <w:lang w:eastAsia="zh-CN"/>
              </w:rPr>
            </w:pPr>
          </w:p>
        </w:tc>
        <w:tc>
          <w:tcPr>
            <w:tcW w:w="1530" w:type="dxa"/>
            <w:tcBorders>
              <w:top w:val="single" w:sz="4" w:space="0" w:color="auto"/>
              <w:left w:val="nil"/>
              <w:bottom w:val="single" w:sz="4" w:space="0" w:color="auto"/>
              <w:right w:val="nil"/>
            </w:tcBorders>
          </w:tcPr>
          <w:p w14:paraId="20A5FDB3" w14:textId="77777777" w:rsidR="00FB01D8" w:rsidRPr="00FB01D8" w:rsidRDefault="00FB01D8" w:rsidP="00FB01D8">
            <w:pPr>
              <w:rPr>
                <w:rFonts w:eastAsia="DengXian"/>
                <w:b/>
                <w:bCs/>
                <w:lang w:eastAsia="zh-CN"/>
              </w:rPr>
            </w:pPr>
            <w:r w:rsidRPr="00FB01D8">
              <w:rPr>
                <w:rFonts w:eastAsia="DengXian"/>
                <w:b/>
                <w:bCs/>
                <w:lang w:eastAsia="zh-CN"/>
              </w:rPr>
              <w:t>Control</w:t>
            </w:r>
          </w:p>
          <w:p w14:paraId="1B027739" w14:textId="77777777" w:rsidR="00FB01D8" w:rsidRPr="00FB01D8" w:rsidRDefault="00FB01D8" w:rsidP="00FB01D8">
            <w:pPr>
              <w:rPr>
                <w:rFonts w:eastAsia="DengXian"/>
                <w:lang w:eastAsia="zh-CN"/>
              </w:rPr>
            </w:pPr>
          </w:p>
        </w:tc>
        <w:tc>
          <w:tcPr>
            <w:tcW w:w="1530" w:type="dxa"/>
            <w:tcBorders>
              <w:top w:val="single" w:sz="4" w:space="0" w:color="auto"/>
              <w:left w:val="nil"/>
              <w:bottom w:val="single" w:sz="4" w:space="0" w:color="auto"/>
              <w:right w:val="nil"/>
            </w:tcBorders>
            <w:hideMark/>
          </w:tcPr>
          <w:p w14:paraId="48A48C37" w14:textId="77777777" w:rsidR="00FB01D8" w:rsidRPr="00FB01D8" w:rsidRDefault="00FB01D8" w:rsidP="00FB01D8">
            <w:pPr>
              <w:rPr>
                <w:rFonts w:eastAsia="DengXian"/>
                <w:b/>
                <w:bCs/>
                <w:lang w:eastAsia="zh-CN"/>
              </w:rPr>
            </w:pPr>
            <w:r w:rsidRPr="00FB01D8">
              <w:rPr>
                <w:rFonts w:eastAsia="DengXian"/>
                <w:b/>
                <w:bCs/>
                <w:lang w:eastAsia="zh-CN"/>
              </w:rPr>
              <w:t>Test</w:t>
            </w:r>
          </w:p>
        </w:tc>
        <w:tc>
          <w:tcPr>
            <w:tcW w:w="1620" w:type="dxa"/>
            <w:tcBorders>
              <w:top w:val="single" w:sz="4" w:space="0" w:color="auto"/>
              <w:left w:val="nil"/>
              <w:bottom w:val="single" w:sz="4" w:space="0" w:color="auto"/>
              <w:right w:val="nil"/>
            </w:tcBorders>
            <w:hideMark/>
          </w:tcPr>
          <w:p w14:paraId="6BA3F0E5" w14:textId="77777777" w:rsidR="00FB01D8" w:rsidRPr="00FB01D8" w:rsidRDefault="00FB01D8" w:rsidP="00FB01D8">
            <w:pPr>
              <w:rPr>
                <w:rFonts w:eastAsia="DengXian"/>
                <w:b/>
                <w:bCs/>
                <w:lang w:eastAsia="zh-CN"/>
              </w:rPr>
            </w:pPr>
            <w:r w:rsidRPr="00FB01D8">
              <w:rPr>
                <w:rFonts w:eastAsia="DengXian"/>
                <w:b/>
                <w:bCs/>
                <w:lang w:eastAsia="zh-CN"/>
              </w:rPr>
              <w:t>Total</w:t>
            </w:r>
          </w:p>
        </w:tc>
      </w:tr>
      <w:tr w:rsidR="00FB01D8" w:rsidRPr="00FB01D8" w14:paraId="6CD2E967" w14:textId="77777777" w:rsidTr="00FB01D8">
        <w:trPr>
          <w:trHeight w:val="574"/>
        </w:trPr>
        <w:tc>
          <w:tcPr>
            <w:tcW w:w="2785" w:type="dxa"/>
            <w:vMerge w:val="restart"/>
            <w:tcBorders>
              <w:top w:val="single" w:sz="4" w:space="0" w:color="auto"/>
              <w:left w:val="nil"/>
              <w:bottom w:val="nil"/>
              <w:right w:val="nil"/>
            </w:tcBorders>
            <w:vAlign w:val="center"/>
          </w:tcPr>
          <w:p w14:paraId="1B84E519" w14:textId="77777777" w:rsidR="00FB01D8" w:rsidRPr="00FB01D8" w:rsidRDefault="00FB01D8" w:rsidP="00FB01D8">
            <w:pPr>
              <w:spacing w:line="360" w:lineRule="auto"/>
              <w:jc w:val="both"/>
              <w:rPr>
                <w:rFonts w:eastAsia="DengXian"/>
                <w:b/>
                <w:bCs/>
                <w:lang w:eastAsia="zh-CN"/>
              </w:rPr>
            </w:pPr>
          </w:p>
          <w:p w14:paraId="5455B6AA"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Gender</w:t>
            </w:r>
          </w:p>
        </w:tc>
        <w:tc>
          <w:tcPr>
            <w:tcW w:w="1260" w:type="dxa"/>
            <w:tcBorders>
              <w:top w:val="single" w:sz="4" w:space="0" w:color="auto"/>
              <w:left w:val="nil"/>
              <w:bottom w:val="nil"/>
              <w:right w:val="nil"/>
            </w:tcBorders>
            <w:hideMark/>
          </w:tcPr>
          <w:p w14:paraId="774D75A4"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Male</w:t>
            </w:r>
          </w:p>
        </w:tc>
        <w:tc>
          <w:tcPr>
            <w:tcW w:w="1530" w:type="dxa"/>
            <w:tcBorders>
              <w:top w:val="single" w:sz="4" w:space="0" w:color="auto"/>
              <w:left w:val="nil"/>
              <w:bottom w:val="nil"/>
              <w:right w:val="nil"/>
            </w:tcBorders>
            <w:hideMark/>
          </w:tcPr>
          <w:p w14:paraId="71A70544" w14:textId="77777777" w:rsidR="00FB01D8" w:rsidRPr="00FB01D8" w:rsidRDefault="00FB01D8" w:rsidP="00FB01D8">
            <w:pPr>
              <w:spacing w:line="360" w:lineRule="auto"/>
              <w:jc w:val="both"/>
              <w:rPr>
                <w:rFonts w:eastAsia="DengXian"/>
                <w:lang w:eastAsia="zh-CN"/>
              </w:rPr>
            </w:pPr>
            <w:r w:rsidRPr="00FB01D8">
              <w:rPr>
                <w:rFonts w:eastAsia="DengXian"/>
                <w:lang w:eastAsia="zh-CN"/>
              </w:rPr>
              <w:t>30 (21.43%)</w:t>
            </w:r>
          </w:p>
        </w:tc>
        <w:tc>
          <w:tcPr>
            <w:tcW w:w="1530" w:type="dxa"/>
            <w:tcBorders>
              <w:top w:val="single" w:sz="4" w:space="0" w:color="auto"/>
              <w:left w:val="nil"/>
              <w:bottom w:val="nil"/>
              <w:right w:val="nil"/>
            </w:tcBorders>
            <w:hideMark/>
          </w:tcPr>
          <w:p w14:paraId="2F82091A" w14:textId="77777777" w:rsidR="00FB01D8" w:rsidRPr="00FB01D8" w:rsidRDefault="00FB01D8" w:rsidP="00FB01D8">
            <w:pPr>
              <w:spacing w:line="360" w:lineRule="auto"/>
              <w:jc w:val="both"/>
              <w:rPr>
                <w:rFonts w:eastAsia="DengXian"/>
                <w:lang w:eastAsia="zh-CN"/>
              </w:rPr>
            </w:pPr>
            <w:r w:rsidRPr="00FB01D8">
              <w:rPr>
                <w:rFonts w:eastAsia="DengXian"/>
                <w:lang w:eastAsia="zh-CN"/>
              </w:rPr>
              <w:t>30 (21.43%)</w:t>
            </w:r>
          </w:p>
        </w:tc>
        <w:tc>
          <w:tcPr>
            <w:tcW w:w="1620" w:type="dxa"/>
            <w:tcBorders>
              <w:top w:val="single" w:sz="4" w:space="0" w:color="auto"/>
              <w:left w:val="nil"/>
              <w:bottom w:val="nil"/>
              <w:right w:val="nil"/>
            </w:tcBorders>
            <w:hideMark/>
          </w:tcPr>
          <w:p w14:paraId="2AA3E69D" w14:textId="77777777" w:rsidR="00FB01D8" w:rsidRPr="00FB01D8" w:rsidRDefault="00FB01D8" w:rsidP="00FB01D8">
            <w:pPr>
              <w:spacing w:line="360" w:lineRule="auto"/>
              <w:jc w:val="both"/>
              <w:rPr>
                <w:rFonts w:eastAsia="DengXian"/>
                <w:lang w:eastAsia="zh-CN"/>
              </w:rPr>
            </w:pPr>
            <w:r w:rsidRPr="00FB01D8">
              <w:rPr>
                <w:rFonts w:eastAsia="DengXian"/>
                <w:lang w:eastAsia="zh-CN"/>
              </w:rPr>
              <w:t>60 (42.86%)</w:t>
            </w:r>
          </w:p>
        </w:tc>
      </w:tr>
      <w:tr w:rsidR="00FB01D8" w:rsidRPr="00FB01D8" w14:paraId="39E4B86B" w14:textId="77777777" w:rsidTr="00FB01D8">
        <w:trPr>
          <w:trHeight w:val="574"/>
        </w:trPr>
        <w:tc>
          <w:tcPr>
            <w:tcW w:w="0" w:type="auto"/>
            <w:vMerge/>
            <w:tcBorders>
              <w:top w:val="single" w:sz="4" w:space="0" w:color="auto"/>
              <w:left w:val="nil"/>
              <w:bottom w:val="nil"/>
              <w:right w:val="nil"/>
            </w:tcBorders>
            <w:vAlign w:val="center"/>
            <w:hideMark/>
          </w:tcPr>
          <w:p w14:paraId="7251027C" w14:textId="77777777" w:rsidR="00FB01D8" w:rsidRPr="00FB01D8" w:rsidRDefault="00FB01D8" w:rsidP="00FB01D8">
            <w:pPr>
              <w:rPr>
                <w:rFonts w:eastAsia="DengXian"/>
                <w:b/>
                <w:bCs/>
                <w:lang w:eastAsia="zh-CN"/>
              </w:rPr>
            </w:pPr>
          </w:p>
        </w:tc>
        <w:tc>
          <w:tcPr>
            <w:tcW w:w="1260" w:type="dxa"/>
            <w:tcBorders>
              <w:top w:val="nil"/>
              <w:left w:val="nil"/>
              <w:bottom w:val="nil"/>
              <w:right w:val="nil"/>
            </w:tcBorders>
            <w:hideMark/>
          </w:tcPr>
          <w:p w14:paraId="28D948CF"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Female</w:t>
            </w:r>
          </w:p>
        </w:tc>
        <w:tc>
          <w:tcPr>
            <w:tcW w:w="1530" w:type="dxa"/>
            <w:tcBorders>
              <w:top w:val="nil"/>
              <w:left w:val="nil"/>
              <w:bottom w:val="nil"/>
              <w:right w:val="nil"/>
            </w:tcBorders>
            <w:hideMark/>
          </w:tcPr>
          <w:p w14:paraId="32CAE71F" w14:textId="77777777" w:rsidR="00FB01D8" w:rsidRPr="00FB01D8" w:rsidRDefault="00FB01D8" w:rsidP="00FB01D8">
            <w:pPr>
              <w:spacing w:line="360" w:lineRule="auto"/>
              <w:jc w:val="both"/>
              <w:rPr>
                <w:rFonts w:eastAsia="DengXian"/>
                <w:lang w:eastAsia="zh-CN"/>
              </w:rPr>
            </w:pPr>
            <w:r w:rsidRPr="00FB01D8">
              <w:rPr>
                <w:rFonts w:eastAsia="DengXian"/>
                <w:lang w:eastAsia="zh-CN"/>
              </w:rPr>
              <w:t>40 (28.57%)</w:t>
            </w:r>
          </w:p>
        </w:tc>
        <w:tc>
          <w:tcPr>
            <w:tcW w:w="1530" w:type="dxa"/>
            <w:tcBorders>
              <w:top w:val="nil"/>
              <w:left w:val="nil"/>
              <w:bottom w:val="nil"/>
              <w:right w:val="nil"/>
            </w:tcBorders>
            <w:hideMark/>
          </w:tcPr>
          <w:p w14:paraId="2D115366" w14:textId="77777777" w:rsidR="00FB01D8" w:rsidRPr="00FB01D8" w:rsidRDefault="00FB01D8" w:rsidP="00FB01D8">
            <w:pPr>
              <w:spacing w:line="360" w:lineRule="auto"/>
              <w:jc w:val="both"/>
              <w:rPr>
                <w:rFonts w:eastAsia="DengXian"/>
                <w:lang w:eastAsia="zh-CN"/>
              </w:rPr>
            </w:pPr>
            <w:r w:rsidRPr="00FB01D8">
              <w:rPr>
                <w:rFonts w:eastAsia="DengXian"/>
                <w:lang w:eastAsia="zh-CN"/>
              </w:rPr>
              <w:t>40 (28.57%)</w:t>
            </w:r>
          </w:p>
        </w:tc>
        <w:tc>
          <w:tcPr>
            <w:tcW w:w="1620" w:type="dxa"/>
            <w:tcBorders>
              <w:top w:val="nil"/>
              <w:left w:val="nil"/>
              <w:bottom w:val="nil"/>
              <w:right w:val="nil"/>
            </w:tcBorders>
            <w:hideMark/>
          </w:tcPr>
          <w:p w14:paraId="0CB9404E" w14:textId="77777777" w:rsidR="00FB01D8" w:rsidRPr="00FB01D8" w:rsidRDefault="00FB01D8" w:rsidP="00FB01D8">
            <w:pPr>
              <w:spacing w:line="360" w:lineRule="auto"/>
              <w:jc w:val="both"/>
              <w:rPr>
                <w:rFonts w:eastAsia="DengXian"/>
                <w:lang w:eastAsia="zh-CN"/>
              </w:rPr>
            </w:pPr>
            <w:r w:rsidRPr="00FB01D8">
              <w:rPr>
                <w:rFonts w:eastAsia="DengXian"/>
                <w:lang w:eastAsia="zh-CN"/>
              </w:rPr>
              <w:t>80 (57.14%)</w:t>
            </w:r>
          </w:p>
        </w:tc>
      </w:tr>
      <w:tr w:rsidR="00FB01D8" w:rsidRPr="00FB01D8" w14:paraId="2A9A7209" w14:textId="77777777" w:rsidTr="00FB01D8">
        <w:trPr>
          <w:trHeight w:val="413"/>
        </w:trPr>
        <w:tc>
          <w:tcPr>
            <w:tcW w:w="2785" w:type="dxa"/>
            <w:vMerge w:val="restart"/>
            <w:tcBorders>
              <w:top w:val="nil"/>
              <w:left w:val="nil"/>
              <w:bottom w:val="nil"/>
              <w:right w:val="nil"/>
            </w:tcBorders>
            <w:vAlign w:val="center"/>
            <w:hideMark/>
          </w:tcPr>
          <w:p w14:paraId="1683B0AC"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lastRenderedPageBreak/>
              <w:t>Age (Years)</w:t>
            </w:r>
          </w:p>
        </w:tc>
        <w:tc>
          <w:tcPr>
            <w:tcW w:w="1260" w:type="dxa"/>
            <w:tcBorders>
              <w:top w:val="nil"/>
              <w:left w:val="nil"/>
              <w:bottom w:val="nil"/>
              <w:right w:val="nil"/>
            </w:tcBorders>
            <w:hideMark/>
          </w:tcPr>
          <w:p w14:paraId="551D7B1E"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26-35</w:t>
            </w:r>
          </w:p>
        </w:tc>
        <w:tc>
          <w:tcPr>
            <w:tcW w:w="1530" w:type="dxa"/>
            <w:tcBorders>
              <w:top w:val="nil"/>
              <w:left w:val="nil"/>
              <w:bottom w:val="nil"/>
              <w:right w:val="nil"/>
            </w:tcBorders>
            <w:hideMark/>
          </w:tcPr>
          <w:p w14:paraId="6709166C" w14:textId="77777777" w:rsidR="00FB01D8" w:rsidRPr="00FB01D8" w:rsidRDefault="00FB01D8" w:rsidP="00FB01D8">
            <w:pPr>
              <w:spacing w:line="360" w:lineRule="auto"/>
              <w:jc w:val="both"/>
              <w:rPr>
                <w:rFonts w:eastAsia="DengXian"/>
                <w:lang w:eastAsia="zh-CN"/>
              </w:rPr>
            </w:pPr>
            <w:r w:rsidRPr="00FB01D8">
              <w:rPr>
                <w:rFonts w:eastAsia="DengXian"/>
                <w:lang w:eastAsia="zh-CN"/>
              </w:rPr>
              <w:t>3 (2.14%)</w:t>
            </w:r>
          </w:p>
        </w:tc>
        <w:tc>
          <w:tcPr>
            <w:tcW w:w="1530" w:type="dxa"/>
            <w:tcBorders>
              <w:top w:val="nil"/>
              <w:left w:val="nil"/>
              <w:bottom w:val="nil"/>
              <w:right w:val="nil"/>
            </w:tcBorders>
            <w:hideMark/>
          </w:tcPr>
          <w:p w14:paraId="62AE15FB" w14:textId="77777777" w:rsidR="00FB01D8" w:rsidRPr="00FB01D8" w:rsidRDefault="00FB01D8" w:rsidP="00FB01D8">
            <w:pPr>
              <w:spacing w:line="360" w:lineRule="auto"/>
              <w:jc w:val="both"/>
              <w:rPr>
                <w:rFonts w:eastAsia="DengXian"/>
                <w:lang w:eastAsia="zh-CN"/>
              </w:rPr>
            </w:pPr>
            <w:r w:rsidRPr="00FB01D8">
              <w:rPr>
                <w:rFonts w:eastAsia="DengXian"/>
                <w:lang w:eastAsia="zh-CN"/>
              </w:rPr>
              <w:t>3(2.14%)</w:t>
            </w:r>
          </w:p>
        </w:tc>
        <w:tc>
          <w:tcPr>
            <w:tcW w:w="1620" w:type="dxa"/>
            <w:tcBorders>
              <w:top w:val="nil"/>
              <w:left w:val="nil"/>
              <w:bottom w:val="nil"/>
              <w:right w:val="nil"/>
            </w:tcBorders>
            <w:hideMark/>
          </w:tcPr>
          <w:p w14:paraId="4B8E3BD7" w14:textId="77777777" w:rsidR="00FB01D8" w:rsidRPr="00FB01D8" w:rsidRDefault="00FB01D8" w:rsidP="00FB01D8">
            <w:pPr>
              <w:spacing w:line="360" w:lineRule="auto"/>
              <w:jc w:val="both"/>
              <w:rPr>
                <w:rFonts w:eastAsia="DengXian"/>
                <w:lang w:eastAsia="zh-CN"/>
              </w:rPr>
            </w:pPr>
            <w:r w:rsidRPr="00FB01D8">
              <w:rPr>
                <w:rFonts w:eastAsia="DengXian"/>
                <w:lang w:eastAsia="zh-CN"/>
              </w:rPr>
              <w:t>6 (4.29%)</w:t>
            </w:r>
          </w:p>
        </w:tc>
      </w:tr>
      <w:tr w:rsidR="00FB01D8" w:rsidRPr="00FB01D8" w14:paraId="44BABD72" w14:textId="77777777" w:rsidTr="00FB01D8">
        <w:trPr>
          <w:trHeight w:val="413"/>
        </w:trPr>
        <w:tc>
          <w:tcPr>
            <w:tcW w:w="0" w:type="auto"/>
            <w:vMerge/>
            <w:tcBorders>
              <w:top w:val="nil"/>
              <w:left w:val="nil"/>
              <w:bottom w:val="nil"/>
              <w:right w:val="nil"/>
            </w:tcBorders>
            <w:vAlign w:val="center"/>
            <w:hideMark/>
          </w:tcPr>
          <w:p w14:paraId="02158F53" w14:textId="77777777" w:rsidR="00FB01D8" w:rsidRPr="00FB01D8" w:rsidRDefault="00FB01D8" w:rsidP="00FB01D8">
            <w:pPr>
              <w:rPr>
                <w:rFonts w:eastAsia="DengXian"/>
                <w:b/>
                <w:bCs/>
                <w:lang w:eastAsia="zh-CN"/>
              </w:rPr>
            </w:pPr>
          </w:p>
        </w:tc>
        <w:tc>
          <w:tcPr>
            <w:tcW w:w="1260" w:type="dxa"/>
            <w:tcBorders>
              <w:top w:val="nil"/>
              <w:left w:val="nil"/>
              <w:bottom w:val="nil"/>
              <w:right w:val="nil"/>
            </w:tcBorders>
            <w:hideMark/>
          </w:tcPr>
          <w:p w14:paraId="102824A5"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36-45</w:t>
            </w:r>
          </w:p>
        </w:tc>
        <w:tc>
          <w:tcPr>
            <w:tcW w:w="1530" w:type="dxa"/>
            <w:tcBorders>
              <w:top w:val="nil"/>
              <w:left w:val="nil"/>
              <w:bottom w:val="nil"/>
              <w:right w:val="nil"/>
            </w:tcBorders>
            <w:hideMark/>
          </w:tcPr>
          <w:p w14:paraId="6F1277FA" w14:textId="77777777" w:rsidR="00FB01D8" w:rsidRPr="00FB01D8" w:rsidRDefault="00FB01D8" w:rsidP="00FB01D8">
            <w:pPr>
              <w:spacing w:line="360" w:lineRule="auto"/>
              <w:jc w:val="both"/>
              <w:rPr>
                <w:rFonts w:eastAsia="DengXian"/>
                <w:lang w:eastAsia="zh-CN"/>
              </w:rPr>
            </w:pPr>
            <w:r w:rsidRPr="00FB01D8">
              <w:rPr>
                <w:rFonts w:eastAsia="DengXian"/>
                <w:lang w:eastAsia="zh-CN"/>
              </w:rPr>
              <w:t>12 (8.57%)</w:t>
            </w:r>
          </w:p>
        </w:tc>
        <w:tc>
          <w:tcPr>
            <w:tcW w:w="1530" w:type="dxa"/>
            <w:tcBorders>
              <w:top w:val="nil"/>
              <w:left w:val="nil"/>
              <w:bottom w:val="nil"/>
              <w:right w:val="nil"/>
            </w:tcBorders>
            <w:hideMark/>
          </w:tcPr>
          <w:p w14:paraId="32919ED8" w14:textId="77777777" w:rsidR="00FB01D8" w:rsidRPr="00FB01D8" w:rsidRDefault="00FB01D8" w:rsidP="00FB01D8">
            <w:pPr>
              <w:spacing w:line="360" w:lineRule="auto"/>
              <w:jc w:val="both"/>
              <w:rPr>
                <w:rFonts w:eastAsia="DengXian"/>
                <w:lang w:eastAsia="zh-CN"/>
              </w:rPr>
            </w:pPr>
            <w:r w:rsidRPr="00FB01D8">
              <w:rPr>
                <w:rFonts w:eastAsia="DengXian"/>
                <w:lang w:eastAsia="zh-CN"/>
              </w:rPr>
              <w:t>13 (9.29%)</w:t>
            </w:r>
          </w:p>
        </w:tc>
        <w:tc>
          <w:tcPr>
            <w:tcW w:w="1620" w:type="dxa"/>
            <w:tcBorders>
              <w:top w:val="nil"/>
              <w:left w:val="nil"/>
              <w:bottom w:val="nil"/>
              <w:right w:val="nil"/>
            </w:tcBorders>
            <w:hideMark/>
          </w:tcPr>
          <w:p w14:paraId="17878309" w14:textId="77777777" w:rsidR="00FB01D8" w:rsidRPr="00FB01D8" w:rsidRDefault="00FB01D8" w:rsidP="00FB01D8">
            <w:pPr>
              <w:spacing w:line="360" w:lineRule="auto"/>
              <w:jc w:val="both"/>
              <w:rPr>
                <w:rFonts w:eastAsia="DengXian"/>
                <w:lang w:eastAsia="zh-CN"/>
              </w:rPr>
            </w:pPr>
            <w:r w:rsidRPr="00FB01D8">
              <w:rPr>
                <w:rFonts w:eastAsia="DengXian"/>
                <w:lang w:eastAsia="zh-CN"/>
              </w:rPr>
              <w:t>25 (17.86%)</w:t>
            </w:r>
          </w:p>
        </w:tc>
      </w:tr>
      <w:tr w:rsidR="00FB01D8" w:rsidRPr="00FB01D8" w14:paraId="3620AAF4" w14:textId="77777777" w:rsidTr="00FB01D8">
        <w:trPr>
          <w:trHeight w:val="413"/>
        </w:trPr>
        <w:tc>
          <w:tcPr>
            <w:tcW w:w="0" w:type="auto"/>
            <w:vMerge/>
            <w:tcBorders>
              <w:top w:val="nil"/>
              <w:left w:val="nil"/>
              <w:bottom w:val="nil"/>
              <w:right w:val="nil"/>
            </w:tcBorders>
            <w:vAlign w:val="center"/>
            <w:hideMark/>
          </w:tcPr>
          <w:p w14:paraId="4B029BB3" w14:textId="77777777" w:rsidR="00FB01D8" w:rsidRPr="00FB01D8" w:rsidRDefault="00FB01D8" w:rsidP="00FB01D8">
            <w:pPr>
              <w:rPr>
                <w:rFonts w:eastAsia="DengXian"/>
                <w:b/>
                <w:bCs/>
                <w:lang w:eastAsia="zh-CN"/>
              </w:rPr>
            </w:pPr>
          </w:p>
        </w:tc>
        <w:tc>
          <w:tcPr>
            <w:tcW w:w="1260" w:type="dxa"/>
            <w:tcBorders>
              <w:top w:val="nil"/>
              <w:left w:val="nil"/>
              <w:bottom w:val="nil"/>
              <w:right w:val="nil"/>
            </w:tcBorders>
            <w:hideMark/>
          </w:tcPr>
          <w:p w14:paraId="3E1C0156"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46-55</w:t>
            </w:r>
          </w:p>
        </w:tc>
        <w:tc>
          <w:tcPr>
            <w:tcW w:w="1530" w:type="dxa"/>
            <w:tcBorders>
              <w:top w:val="nil"/>
              <w:left w:val="nil"/>
              <w:bottom w:val="nil"/>
              <w:right w:val="nil"/>
            </w:tcBorders>
            <w:hideMark/>
          </w:tcPr>
          <w:p w14:paraId="536C1BE1" w14:textId="77777777" w:rsidR="00FB01D8" w:rsidRPr="00FB01D8" w:rsidRDefault="00FB01D8" w:rsidP="00FB01D8">
            <w:pPr>
              <w:spacing w:line="360" w:lineRule="auto"/>
              <w:jc w:val="both"/>
              <w:rPr>
                <w:rFonts w:eastAsia="DengXian"/>
                <w:lang w:eastAsia="zh-CN"/>
              </w:rPr>
            </w:pPr>
            <w:r w:rsidRPr="00FB01D8">
              <w:rPr>
                <w:rFonts w:eastAsia="DengXian"/>
                <w:lang w:eastAsia="zh-CN"/>
              </w:rPr>
              <w:t>23 (16.43%)</w:t>
            </w:r>
          </w:p>
        </w:tc>
        <w:tc>
          <w:tcPr>
            <w:tcW w:w="1530" w:type="dxa"/>
            <w:tcBorders>
              <w:top w:val="nil"/>
              <w:left w:val="nil"/>
              <w:bottom w:val="nil"/>
              <w:right w:val="nil"/>
            </w:tcBorders>
            <w:hideMark/>
          </w:tcPr>
          <w:p w14:paraId="75766632" w14:textId="77777777" w:rsidR="00FB01D8" w:rsidRPr="00FB01D8" w:rsidRDefault="00FB01D8" w:rsidP="00FB01D8">
            <w:pPr>
              <w:spacing w:line="360" w:lineRule="auto"/>
              <w:jc w:val="both"/>
              <w:rPr>
                <w:rFonts w:eastAsia="DengXian"/>
                <w:lang w:eastAsia="zh-CN"/>
              </w:rPr>
            </w:pPr>
            <w:r w:rsidRPr="00FB01D8">
              <w:rPr>
                <w:rFonts w:eastAsia="DengXian"/>
                <w:lang w:eastAsia="zh-CN"/>
              </w:rPr>
              <w:t>24 (17.14%)</w:t>
            </w:r>
          </w:p>
        </w:tc>
        <w:tc>
          <w:tcPr>
            <w:tcW w:w="1620" w:type="dxa"/>
            <w:tcBorders>
              <w:top w:val="nil"/>
              <w:left w:val="nil"/>
              <w:bottom w:val="nil"/>
              <w:right w:val="nil"/>
            </w:tcBorders>
            <w:hideMark/>
          </w:tcPr>
          <w:p w14:paraId="5A3B75BD" w14:textId="77777777" w:rsidR="00FB01D8" w:rsidRPr="00FB01D8" w:rsidRDefault="00FB01D8" w:rsidP="00FB01D8">
            <w:pPr>
              <w:spacing w:line="360" w:lineRule="auto"/>
              <w:jc w:val="both"/>
              <w:rPr>
                <w:rFonts w:eastAsia="DengXian"/>
                <w:lang w:eastAsia="zh-CN"/>
              </w:rPr>
            </w:pPr>
            <w:r w:rsidRPr="00FB01D8">
              <w:rPr>
                <w:rFonts w:eastAsia="DengXian"/>
                <w:lang w:eastAsia="zh-CN"/>
              </w:rPr>
              <w:t>47 (33.57%)</w:t>
            </w:r>
          </w:p>
        </w:tc>
      </w:tr>
      <w:tr w:rsidR="00FB01D8" w:rsidRPr="00FB01D8" w14:paraId="4CBD545D" w14:textId="77777777" w:rsidTr="00FB01D8">
        <w:trPr>
          <w:trHeight w:val="413"/>
        </w:trPr>
        <w:tc>
          <w:tcPr>
            <w:tcW w:w="0" w:type="auto"/>
            <w:vMerge/>
            <w:tcBorders>
              <w:top w:val="nil"/>
              <w:left w:val="nil"/>
              <w:bottom w:val="nil"/>
              <w:right w:val="nil"/>
            </w:tcBorders>
            <w:vAlign w:val="center"/>
            <w:hideMark/>
          </w:tcPr>
          <w:p w14:paraId="1E4B1D92" w14:textId="77777777" w:rsidR="00FB01D8" w:rsidRPr="00FB01D8" w:rsidRDefault="00FB01D8" w:rsidP="00FB01D8">
            <w:pPr>
              <w:rPr>
                <w:rFonts w:eastAsia="DengXian"/>
                <w:b/>
                <w:bCs/>
                <w:lang w:eastAsia="zh-CN"/>
              </w:rPr>
            </w:pPr>
          </w:p>
        </w:tc>
        <w:tc>
          <w:tcPr>
            <w:tcW w:w="1260" w:type="dxa"/>
            <w:tcBorders>
              <w:top w:val="nil"/>
              <w:left w:val="nil"/>
              <w:bottom w:val="nil"/>
              <w:right w:val="nil"/>
            </w:tcBorders>
            <w:hideMark/>
          </w:tcPr>
          <w:p w14:paraId="42BA3617"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56-65</w:t>
            </w:r>
          </w:p>
        </w:tc>
        <w:tc>
          <w:tcPr>
            <w:tcW w:w="1530" w:type="dxa"/>
            <w:tcBorders>
              <w:top w:val="nil"/>
              <w:left w:val="nil"/>
              <w:bottom w:val="nil"/>
              <w:right w:val="nil"/>
            </w:tcBorders>
            <w:hideMark/>
          </w:tcPr>
          <w:p w14:paraId="7CB9F834" w14:textId="77777777" w:rsidR="00FB01D8" w:rsidRPr="00FB01D8" w:rsidRDefault="00FB01D8" w:rsidP="00FB01D8">
            <w:pPr>
              <w:spacing w:line="360" w:lineRule="auto"/>
              <w:jc w:val="both"/>
              <w:rPr>
                <w:rFonts w:eastAsia="DengXian"/>
                <w:lang w:eastAsia="zh-CN"/>
              </w:rPr>
            </w:pPr>
            <w:r w:rsidRPr="00FB01D8">
              <w:rPr>
                <w:rFonts w:eastAsia="DengXian"/>
                <w:lang w:eastAsia="zh-CN"/>
              </w:rPr>
              <w:t>19 (13.57%)</w:t>
            </w:r>
          </w:p>
        </w:tc>
        <w:tc>
          <w:tcPr>
            <w:tcW w:w="1530" w:type="dxa"/>
            <w:tcBorders>
              <w:top w:val="nil"/>
              <w:left w:val="nil"/>
              <w:bottom w:val="nil"/>
              <w:right w:val="nil"/>
            </w:tcBorders>
            <w:hideMark/>
          </w:tcPr>
          <w:p w14:paraId="0573D9A8" w14:textId="77777777" w:rsidR="00FB01D8" w:rsidRPr="00FB01D8" w:rsidRDefault="00FB01D8" w:rsidP="00FB01D8">
            <w:pPr>
              <w:spacing w:line="360" w:lineRule="auto"/>
              <w:jc w:val="both"/>
              <w:rPr>
                <w:rFonts w:eastAsia="DengXian"/>
                <w:lang w:eastAsia="zh-CN"/>
              </w:rPr>
            </w:pPr>
            <w:r w:rsidRPr="00FB01D8">
              <w:rPr>
                <w:rFonts w:eastAsia="DengXian"/>
                <w:lang w:eastAsia="zh-CN"/>
              </w:rPr>
              <w:t>24 (17.14%)</w:t>
            </w:r>
          </w:p>
        </w:tc>
        <w:tc>
          <w:tcPr>
            <w:tcW w:w="1620" w:type="dxa"/>
            <w:tcBorders>
              <w:top w:val="nil"/>
              <w:left w:val="nil"/>
              <w:bottom w:val="nil"/>
              <w:right w:val="nil"/>
            </w:tcBorders>
            <w:hideMark/>
          </w:tcPr>
          <w:p w14:paraId="4871B1C3" w14:textId="77777777" w:rsidR="00FB01D8" w:rsidRPr="00FB01D8" w:rsidRDefault="00FB01D8" w:rsidP="00FB01D8">
            <w:pPr>
              <w:spacing w:line="360" w:lineRule="auto"/>
              <w:jc w:val="both"/>
              <w:rPr>
                <w:rFonts w:eastAsia="DengXian"/>
                <w:lang w:eastAsia="zh-CN"/>
              </w:rPr>
            </w:pPr>
            <w:r w:rsidRPr="00FB01D8">
              <w:rPr>
                <w:rFonts w:eastAsia="DengXian"/>
                <w:lang w:eastAsia="zh-CN"/>
              </w:rPr>
              <w:t>43 (30.71%)</w:t>
            </w:r>
          </w:p>
        </w:tc>
      </w:tr>
      <w:tr w:rsidR="00FB01D8" w:rsidRPr="00FB01D8" w14:paraId="4C3768EA" w14:textId="77777777" w:rsidTr="00FB01D8">
        <w:trPr>
          <w:trHeight w:val="413"/>
        </w:trPr>
        <w:tc>
          <w:tcPr>
            <w:tcW w:w="0" w:type="auto"/>
            <w:vMerge/>
            <w:tcBorders>
              <w:top w:val="nil"/>
              <w:left w:val="nil"/>
              <w:bottom w:val="nil"/>
              <w:right w:val="nil"/>
            </w:tcBorders>
            <w:vAlign w:val="center"/>
            <w:hideMark/>
          </w:tcPr>
          <w:p w14:paraId="165A5B6A" w14:textId="77777777" w:rsidR="00FB01D8" w:rsidRPr="00FB01D8" w:rsidRDefault="00FB01D8" w:rsidP="00FB01D8">
            <w:pPr>
              <w:rPr>
                <w:rFonts w:eastAsia="DengXian"/>
                <w:b/>
                <w:bCs/>
                <w:lang w:eastAsia="zh-CN"/>
              </w:rPr>
            </w:pPr>
          </w:p>
        </w:tc>
        <w:tc>
          <w:tcPr>
            <w:tcW w:w="1260" w:type="dxa"/>
            <w:tcBorders>
              <w:top w:val="nil"/>
              <w:left w:val="nil"/>
              <w:bottom w:val="nil"/>
              <w:right w:val="nil"/>
            </w:tcBorders>
            <w:hideMark/>
          </w:tcPr>
          <w:p w14:paraId="2371AD01"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66-75</w:t>
            </w:r>
          </w:p>
        </w:tc>
        <w:tc>
          <w:tcPr>
            <w:tcW w:w="1530" w:type="dxa"/>
            <w:tcBorders>
              <w:top w:val="nil"/>
              <w:left w:val="nil"/>
              <w:bottom w:val="nil"/>
              <w:right w:val="nil"/>
            </w:tcBorders>
            <w:hideMark/>
          </w:tcPr>
          <w:p w14:paraId="5B06BB61" w14:textId="77777777" w:rsidR="00FB01D8" w:rsidRPr="00FB01D8" w:rsidRDefault="00FB01D8" w:rsidP="00FB01D8">
            <w:pPr>
              <w:spacing w:line="360" w:lineRule="auto"/>
              <w:jc w:val="both"/>
              <w:rPr>
                <w:rFonts w:eastAsia="DengXian"/>
                <w:lang w:eastAsia="zh-CN"/>
              </w:rPr>
            </w:pPr>
            <w:r w:rsidRPr="00FB01D8">
              <w:rPr>
                <w:rFonts w:eastAsia="DengXian"/>
                <w:lang w:eastAsia="zh-CN"/>
              </w:rPr>
              <w:t xml:space="preserve">13 (9.29%) </w:t>
            </w:r>
          </w:p>
        </w:tc>
        <w:tc>
          <w:tcPr>
            <w:tcW w:w="1530" w:type="dxa"/>
            <w:tcBorders>
              <w:top w:val="nil"/>
              <w:left w:val="nil"/>
              <w:bottom w:val="nil"/>
              <w:right w:val="nil"/>
            </w:tcBorders>
            <w:hideMark/>
          </w:tcPr>
          <w:p w14:paraId="2C4F6509" w14:textId="77777777" w:rsidR="00FB01D8" w:rsidRPr="00FB01D8" w:rsidRDefault="00FB01D8" w:rsidP="00FB01D8">
            <w:pPr>
              <w:spacing w:line="360" w:lineRule="auto"/>
              <w:jc w:val="both"/>
              <w:rPr>
                <w:rFonts w:eastAsia="DengXian"/>
                <w:lang w:eastAsia="zh-CN"/>
              </w:rPr>
            </w:pPr>
            <w:r w:rsidRPr="00FB01D8">
              <w:rPr>
                <w:rFonts w:eastAsia="DengXian"/>
                <w:lang w:eastAsia="zh-CN"/>
              </w:rPr>
              <w:t>6 (4.29%)</w:t>
            </w:r>
          </w:p>
        </w:tc>
        <w:tc>
          <w:tcPr>
            <w:tcW w:w="1620" w:type="dxa"/>
            <w:tcBorders>
              <w:top w:val="nil"/>
              <w:left w:val="nil"/>
              <w:bottom w:val="nil"/>
              <w:right w:val="nil"/>
            </w:tcBorders>
            <w:hideMark/>
          </w:tcPr>
          <w:p w14:paraId="7CE3DA37" w14:textId="77777777" w:rsidR="00FB01D8" w:rsidRPr="00FB01D8" w:rsidRDefault="00FB01D8" w:rsidP="00FB01D8">
            <w:pPr>
              <w:spacing w:line="360" w:lineRule="auto"/>
              <w:jc w:val="both"/>
              <w:rPr>
                <w:rFonts w:eastAsia="DengXian"/>
                <w:lang w:eastAsia="zh-CN"/>
              </w:rPr>
            </w:pPr>
            <w:r w:rsidRPr="00FB01D8">
              <w:rPr>
                <w:rFonts w:eastAsia="DengXian"/>
                <w:lang w:eastAsia="zh-CN"/>
              </w:rPr>
              <w:t>19 (13.57%)</w:t>
            </w:r>
          </w:p>
        </w:tc>
      </w:tr>
      <w:tr w:rsidR="00FB01D8" w:rsidRPr="00FB01D8" w14:paraId="41044D8F" w14:textId="77777777" w:rsidTr="00FB01D8">
        <w:trPr>
          <w:trHeight w:val="413"/>
        </w:trPr>
        <w:tc>
          <w:tcPr>
            <w:tcW w:w="2785" w:type="dxa"/>
            <w:vMerge w:val="restart"/>
            <w:tcBorders>
              <w:top w:val="nil"/>
              <w:left w:val="nil"/>
              <w:bottom w:val="single" w:sz="4" w:space="0" w:color="auto"/>
              <w:right w:val="nil"/>
            </w:tcBorders>
            <w:vAlign w:val="center"/>
            <w:hideMark/>
          </w:tcPr>
          <w:p w14:paraId="04C0B972" w14:textId="77777777" w:rsidR="00FB01D8" w:rsidRPr="00FB01D8" w:rsidRDefault="00FB01D8" w:rsidP="00FB01D8">
            <w:pPr>
              <w:spacing w:line="360" w:lineRule="auto"/>
              <w:jc w:val="both"/>
              <w:rPr>
                <w:rFonts w:eastAsia="DengXian"/>
                <w:b/>
                <w:bCs/>
                <w:lang w:eastAsia="zh-CN"/>
              </w:rPr>
            </w:pPr>
            <w:bookmarkStart w:id="29" w:name="_Hlk190609663"/>
            <w:r w:rsidRPr="00FB01D8">
              <w:rPr>
                <w:rFonts w:eastAsia="DengXian"/>
                <w:b/>
                <w:bCs/>
                <w:lang w:eastAsia="zh-CN"/>
              </w:rPr>
              <w:t>Duration of DM diagnosis (Years)</w:t>
            </w:r>
          </w:p>
        </w:tc>
        <w:tc>
          <w:tcPr>
            <w:tcW w:w="1260" w:type="dxa"/>
            <w:tcBorders>
              <w:top w:val="nil"/>
              <w:left w:val="nil"/>
              <w:bottom w:val="nil"/>
              <w:right w:val="nil"/>
            </w:tcBorders>
            <w:hideMark/>
          </w:tcPr>
          <w:p w14:paraId="7096F51F"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1-5</w:t>
            </w:r>
          </w:p>
        </w:tc>
        <w:tc>
          <w:tcPr>
            <w:tcW w:w="1530" w:type="dxa"/>
            <w:tcBorders>
              <w:top w:val="nil"/>
              <w:left w:val="nil"/>
              <w:bottom w:val="nil"/>
              <w:right w:val="nil"/>
            </w:tcBorders>
            <w:hideMark/>
          </w:tcPr>
          <w:p w14:paraId="6A4694A1" w14:textId="77777777" w:rsidR="00FB01D8" w:rsidRPr="00FB01D8" w:rsidRDefault="00FB01D8" w:rsidP="00FB01D8">
            <w:pPr>
              <w:spacing w:line="360" w:lineRule="auto"/>
              <w:jc w:val="both"/>
              <w:rPr>
                <w:rFonts w:eastAsia="DengXian"/>
                <w:lang w:eastAsia="zh-CN"/>
              </w:rPr>
            </w:pPr>
            <w:r w:rsidRPr="00FB01D8">
              <w:rPr>
                <w:rFonts w:eastAsia="DengXian"/>
                <w:lang w:eastAsia="zh-CN"/>
              </w:rPr>
              <w:t>Nil</w:t>
            </w:r>
          </w:p>
        </w:tc>
        <w:tc>
          <w:tcPr>
            <w:tcW w:w="1530" w:type="dxa"/>
            <w:tcBorders>
              <w:top w:val="nil"/>
              <w:left w:val="nil"/>
              <w:bottom w:val="nil"/>
              <w:right w:val="nil"/>
            </w:tcBorders>
            <w:hideMark/>
          </w:tcPr>
          <w:p w14:paraId="30C0D3C2" w14:textId="77777777" w:rsidR="00FB01D8" w:rsidRPr="00FB01D8" w:rsidRDefault="00FB01D8" w:rsidP="00FB01D8">
            <w:pPr>
              <w:spacing w:line="360" w:lineRule="auto"/>
              <w:jc w:val="both"/>
              <w:rPr>
                <w:rFonts w:eastAsia="DengXian"/>
                <w:lang w:eastAsia="zh-CN"/>
              </w:rPr>
            </w:pPr>
            <w:r w:rsidRPr="00FB01D8">
              <w:rPr>
                <w:rFonts w:eastAsia="DengXian"/>
                <w:lang w:eastAsia="zh-CN"/>
              </w:rPr>
              <w:t>31(44.29%)</w:t>
            </w:r>
          </w:p>
        </w:tc>
        <w:tc>
          <w:tcPr>
            <w:tcW w:w="1620" w:type="dxa"/>
            <w:tcBorders>
              <w:top w:val="nil"/>
              <w:left w:val="nil"/>
              <w:bottom w:val="nil"/>
              <w:right w:val="nil"/>
            </w:tcBorders>
            <w:hideMark/>
          </w:tcPr>
          <w:p w14:paraId="70888933" w14:textId="77777777" w:rsidR="00FB01D8" w:rsidRPr="00FB01D8" w:rsidRDefault="00FB01D8" w:rsidP="00FB01D8">
            <w:pPr>
              <w:spacing w:line="360" w:lineRule="auto"/>
              <w:jc w:val="both"/>
              <w:rPr>
                <w:rFonts w:eastAsia="DengXian"/>
                <w:lang w:eastAsia="zh-CN"/>
              </w:rPr>
            </w:pPr>
            <w:r w:rsidRPr="00FB01D8">
              <w:rPr>
                <w:rFonts w:eastAsia="DengXian"/>
                <w:lang w:eastAsia="zh-CN"/>
              </w:rPr>
              <w:t>31(44.29%)</w:t>
            </w:r>
          </w:p>
        </w:tc>
      </w:tr>
      <w:tr w:rsidR="00FB01D8" w:rsidRPr="00FB01D8" w14:paraId="0F3C5457" w14:textId="77777777" w:rsidTr="00FB01D8">
        <w:trPr>
          <w:trHeight w:val="413"/>
        </w:trPr>
        <w:tc>
          <w:tcPr>
            <w:tcW w:w="0" w:type="auto"/>
            <w:vMerge/>
            <w:tcBorders>
              <w:top w:val="nil"/>
              <w:left w:val="nil"/>
              <w:bottom w:val="single" w:sz="4" w:space="0" w:color="auto"/>
              <w:right w:val="nil"/>
            </w:tcBorders>
            <w:vAlign w:val="center"/>
            <w:hideMark/>
          </w:tcPr>
          <w:p w14:paraId="5D202D4E" w14:textId="77777777" w:rsidR="00FB01D8" w:rsidRPr="00FB01D8" w:rsidRDefault="00FB01D8" w:rsidP="00FB01D8">
            <w:pPr>
              <w:rPr>
                <w:rFonts w:eastAsia="DengXian"/>
                <w:b/>
                <w:bCs/>
                <w:lang w:eastAsia="zh-CN"/>
              </w:rPr>
            </w:pPr>
          </w:p>
        </w:tc>
        <w:tc>
          <w:tcPr>
            <w:tcW w:w="1260" w:type="dxa"/>
            <w:tcBorders>
              <w:top w:val="nil"/>
              <w:left w:val="nil"/>
              <w:bottom w:val="nil"/>
              <w:right w:val="nil"/>
            </w:tcBorders>
            <w:hideMark/>
          </w:tcPr>
          <w:p w14:paraId="3676F8AE"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6-10</w:t>
            </w:r>
          </w:p>
        </w:tc>
        <w:tc>
          <w:tcPr>
            <w:tcW w:w="1530" w:type="dxa"/>
            <w:tcBorders>
              <w:top w:val="nil"/>
              <w:left w:val="nil"/>
              <w:bottom w:val="nil"/>
              <w:right w:val="nil"/>
            </w:tcBorders>
            <w:hideMark/>
          </w:tcPr>
          <w:p w14:paraId="0D2F01E8" w14:textId="77777777" w:rsidR="00FB01D8" w:rsidRPr="00FB01D8" w:rsidRDefault="00FB01D8" w:rsidP="00FB01D8">
            <w:pPr>
              <w:spacing w:line="360" w:lineRule="auto"/>
              <w:jc w:val="both"/>
              <w:rPr>
                <w:rFonts w:eastAsia="DengXian"/>
                <w:lang w:eastAsia="zh-CN"/>
              </w:rPr>
            </w:pPr>
            <w:r w:rsidRPr="00FB01D8">
              <w:rPr>
                <w:rFonts w:eastAsia="DengXian"/>
                <w:lang w:eastAsia="zh-CN"/>
              </w:rPr>
              <w:t>Nil</w:t>
            </w:r>
          </w:p>
        </w:tc>
        <w:tc>
          <w:tcPr>
            <w:tcW w:w="1530" w:type="dxa"/>
            <w:tcBorders>
              <w:top w:val="nil"/>
              <w:left w:val="nil"/>
              <w:bottom w:val="nil"/>
              <w:right w:val="nil"/>
            </w:tcBorders>
            <w:hideMark/>
          </w:tcPr>
          <w:p w14:paraId="5F68DAD3" w14:textId="77777777" w:rsidR="00FB01D8" w:rsidRPr="00FB01D8" w:rsidRDefault="00FB01D8" w:rsidP="00FB01D8">
            <w:pPr>
              <w:spacing w:line="360" w:lineRule="auto"/>
              <w:jc w:val="both"/>
              <w:rPr>
                <w:rFonts w:eastAsia="DengXian"/>
                <w:lang w:eastAsia="zh-CN"/>
              </w:rPr>
            </w:pPr>
            <w:r w:rsidRPr="00FB01D8">
              <w:rPr>
                <w:rFonts w:eastAsia="DengXian"/>
                <w:lang w:eastAsia="zh-CN"/>
              </w:rPr>
              <w:t>17 (24.29%)</w:t>
            </w:r>
          </w:p>
        </w:tc>
        <w:tc>
          <w:tcPr>
            <w:tcW w:w="1620" w:type="dxa"/>
            <w:tcBorders>
              <w:top w:val="nil"/>
              <w:left w:val="nil"/>
              <w:bottom w:val="nil"/>
              <w:right w:val="nil"/>
            </w:tcBorders>
            <w:hideMark/>
          </w:tcPr>
          <w:p w14:paraId="549FBDAC" w14:textId="77777777" w:rsidR="00FB01D8" w:rsidRPr="00FB01D8" w:rsidRDefault="00FB01D8" w:rsidP="00FB01D8">
            <w:pPr>
              <w:spacing w:line="360" w:lineRule="auto"/>
              <w:jc w:val="both"/>
              <w:rPr>
                <w:rFonts w:eastAsia="DengXian"/>
                <w:lang w:eastAsia="zh-CN"/>
              </w:rPr>
            </w:pPr>
            <w:r w:rsidRPr="00FB01D8">
              <w:rPr>
                <w:rFonts w:eastAsia="DengXian"/>
                <w:lang w:eastAsia="zh-CN"/>
              </w:rPr>
              <w:t>17 (24.29%)</w:t>
            </w:r>
          </w:p>
        </w:tc>
      </w:tr>
      <w:tr w:rsidR="00FB01D8" w:rsidRPr="00FB01D8" w14:paraId="7B9C41D0" w14:textId="77777777" w:rsidTr="00FB01D8">
        <w:trPr>
          <w:trHeight w:val="413"/>
        </w:trPr>
        <w:tc>
          <w:tcPr>
            <w:tcW w:w="0" w:type="auto"/>
            <w:vMerge/>
            <w:tcBorders>
              <w:top w:val="nil"/>
              <w:left w:val="nil"/>
              <w:bottom w:val="single" w:sz="4" w:space="0" w:color="auto"/>
              <w:right w:val="nil"/>
            </w:tcBorders>
            <w:vAlign w:val="center"/>
            <w:hideMark/>
          </w:tcPr>
          <w:p w14:paraId="187C53D1" w14:textId="77777777" w:rsidR="00FB01D8" w:rsidRPr="00FB01D8" w:rsidRDefault="00FB01D8" w:rsidP="00FB01D8">
            <w:pPr>
              <w:rPr>
                <w:rFonts w:eastAsia="DengXian"/>
                <w:b/>
                <w:bCs/>
                <w:lang w:eastAsia="zh-CN"/>
              </w:rPr>
            </w:pPr>
          </w:p>
        </w:tc>
        <w:tc>
          <w:tcPr>
            <w:tcW w:w="1260" w:type="dxa"/>
            <w:tcBorders>
              <w:top w:val="nil"/>
              <w:left w:val="nil"/>
              <w:bottom w:val="nil"/>
              <w:right w:val="nil"/>
            </w:tcBorders>
            <w:hideMark/>
          </w:tcPr>
          <w:p w14:paraId="74A833F7"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11-15</w:t>
            </w:r>
          </w:p>
        </w:tc>
        <w:tc>
          <w:tcPr>
            <w:tcW w:w="1530" w:type="dxa"/>
            <w:tcBorders>
              <w:top w:val="nil"/>
              <w:left w:val="nil"/>
              <w:bottom w:val="nil"/>
              <w:right w:val="nil"/>
            </w:tcBorders>
            <w:hideMark/>
          </w:tcPr>
          <w:p w14:paraId="73DE9006" w14:textId="77777777" w:rsidR="00FB01D8" w:rsidRPr="00FB01D8" w:rsidRDefault="00FB01D8" w:rsidP="00FB01D8">
            <w:pPr>
              <w:spacing w:line="360" w:lineRule="auto"/>
              <w:jc w:val="both"/>
              <w:rPr>
                <w:rFonts w:eastAsia="DengXian"/>
                <w:lang w:eastAsia="zh-CN"/>
              </w:rPr>
            </w:pPr>
            <w:r w:rsidRPr="00FB01D8">
              <w:rPr>
                <w:rFonts w:eastAsia="DengXian"/>
                <w:lang w:eastAsia="zh-CN"/>
              </w:rPr>
              <w:t>Nil</w:t>
            </w:r>
          </w:p>
        </w:tc>
        <w:tc>
          <w:tcPr>
            <w:tcW w:w="1530" w:type="dxa"/>
            <w:tcBorders>
              <w:top w:val="nil"/>
              <w:left w:val="nil"/>
              <w:bottom w:val="nil"/>
              <w:right w:val="nil"/>
            </w:tcBorders>
            <w:hideMark/>
          </w:tcPr>
          <w:p w14:paraId="3C483BC7" w14:textId="77777777" w:rsidR="00FB01D8" w:rsidRPr="00FB01D8" w:rsidRDefault="00FB01D8" w:rsidP="00FB01D8">
            <w:pPr>
              <w:spacing w:line="360" w:lineRule="auto"/>
              <w:jc w:val="both"/>
              <w:rPr>
                <w:rFonts w:eastAsia="DengXian"/>
                <w:lang w:eastAsia="zh-CN"/>
              </w:rPr>
            </w:pPr>
            <w:r w:rsidRPr="00FB01D8">
              <w:rPr>
                <w:rFonts w:eastAsia="DengXian"/>
                <w:lang w:eastAsia="zh-CN"/>
              </w:rPr>
              <w:t>11 (15.71%)</w:t>
            </w:r>
          </w:p>
        </w:tc>
        <w:tc>
          <w:tcPr>
            <w:tcW w:w="1620" w:type="dxa"/>
            <w:tcBorders>
              <w:top w:val="nil"/>
              <w:left w:val="nil"/>
              <w:bottom w:val="nil"/>
              <w:right w:val="nil"/>
            </w:tcBorders>
            <w:hideMark/>
          </w:tcPr>
          <w:p w14:paraId="3A2A160A" w14:textId="77777777" w:rsidR="00FB01D8" w:rsidRPr="00FB01D8" w:rsidRDefault="00FB01D8" w:rsidP="00FB01D8">
            <w:pPr>
              <w:spacing w:line="360" w:lineRule="auto"/>
              <w:jc w:val="both"/>
              <w:rPr>
                <w:rFonts w:eastAsia="DengXian"/>
                <w:lang w:eastAsia="zh-CN"/>
              </w:rPr>
            </w:pPr>
            <w:r w:rsidRPr="00FB01D8">
              <w:rPr>
                <w:rFonts w:eastAsia="DengXian"/>
                <w:lang w:eastAsia="zh-CN"/>
              </w:rPr>
              <w:t>11 (15.71%)</w:t>
            </w:r>
          </w:p>
        </w:tc>
      </w:tr>
      <w:tr w:rsidR="00FB01D8" w:rsidRPr="00FB01D8" w14:paraId="373DADAA" w14:textId="77777777" w:rsidTr="00FB01D8">
        <w:trPr>
          <w:trHeight w:val="413"/>
        </w:trPr>
        <w:tc>
          <w:tcPr>
            <w:tcW w:w="0" w:type="auto"/>
            <w:vMerge/>
            <w:tcBorders>
              <w:top w:val="nil"/>
              <w:left w:val="nil"/>
              <w:bottom w:val="single" w:sz="4" w:space="0" w:color="auto"/>
              <w:right w:val="nil"/>
            </w:tcBorders>
            <w:vAlign w:val="center"/>
            <w:hideMark/>
          </w:tcPr>
          <w:p w14:paraId="3495D401" w14:textId="77777777" w:rsidR="00FB01D8" w:rsidRPr="00FB01D8" w:rsidRDefault="00FB01D8" w:rsidP="00FB01D8">
            <w:pPr>
              <w:rPr>
                <w:rFonts w:eastAsia="DengXian"/>
                <w:b/>
                <w:bCs/>
                <w:lang w:eastAsia="zh-CN"/>
              </w:rPr>
            </w:pPr>
          </w:p>
        </w:tc>
        <w:tc>
          <w:tcPr>
            <w:tcW w:w="1260" w:type="dxa"/>
            <w:tcBorders>
              <w:top w:val="nil"/>
              <w:left w:val="nil"/>
              <w:bottom w:val="nil"/>
              <w:right w:val="nil"/>
            </w:tcBorders>
            <w:hideMark/>
          </w:tcPr>
          <w:p w14:paraId="72F3058C"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16-20</w:t>
            </w:r>
          </w:p>
        </w:tc>
        <w:tc>
          <w:tcPr>
            <w:tcW w:w="1530" w:type="dxa"/>
            <w:tcBorders>
              <w:top w:val="nil"/>
              <w:left w:val="nil"/>
              <w:bottom w:val="nil"/>
              <w:right w:val="nil"/>
            </w:tcBorders>
            <w:hideMark/>
          </w:tcPr>
          <w:p w14:paraId="7028CE3B" w14:textId="77777777" w:rsidR="00FB01D8" w:rsidRPr="00FB01D8" w:rsidRDefault="00FB01D8" w:rsidP="00FB01D8">
            <w:pPr>
              <w:spacing w:line="360" w:lineRule="auto"/>
              <w:jc w:val="both"/>
              <w:rPr>
                <w:rFonts w:eastAsia="DengXian"/>
                <w:lang w:eastAsia="zh-CN"/>
              </w:rPr>
            </w:pPr>
            <w:r w:rsidRPr="00FB01D8">
              <w:rPr>
                <w:rFonts w:eastAsia="DengXian"/>
                <w:lang w:eastAsia="zh-CN"/>
              </w:rPr>
              <w:t>Nil</w:t>
            </w:r>
          </w:p>
        </w:tc>
        <w:tc>
          <w:tcPr>
            <w:tcW w:w="1530" w:type="dxa"/>
            <w:tcBorders>
              <w:top w:val="nil"/>
              <w:left w:val="nil"/>
              <w:bottom w:val="nil"/>
              <w:right w:val="nil"/>
            </w:tcBorders>
            <w:hideMark/>
          </w:tcPr>
          <w:p w14:paraId="687CAFBB" w14:textId="77777777" w:rsidR="00FB01D8" w:rsidRPr="00FB01D8" w:rsidRDefault="00FB01D8" w:rsidP="00FB01D8">
            <w:pPr>
              <w:spacing w:line="360" w:lineRule="auto"/>
              <w:jc w:val="both"/>
              <w:rPr>
                <w:rFonts w:eastAsia="DengXian"/>
                <w:lang w:eastAsia="zh-CN"/>
              </w:rPr>
            </w:pPr>
            <w:r w:rsidRPr="00FB01D8">
              <w:rPr>
                <w:rFonts w:eastAsia="DengXian"/>
                <w:lang w:eastAsia="zh-CN"/>
              </w:rPr>
              <w:t>5 (7.14%)</w:t>
            </w:r>
          </w:p>
        </w:tc>
        <w:tc>
          <w:tcPr>
            <w:tcW w:w="1620" w:type="dxa"/>
            <w:tcBorders>
              <w:top w:val="nil"/>
              <w:left w:val="nil"/>
              <w:bottom w:val="nil"/>
              <w:right w:val="nil"/>
            </w:tcBorders>
            <w:hideMark/>
          </w:tcPr>
          <w:p w14:paraId="126E9458" w14:textId="77777777" w:rsidR="00FB01D8" w:rsidRPr="00FB01D8" w:rsidRDefault="00FB01D8" w:rsidP="00FB01D8">
            <w:pPr>
              <w:spacing w:line="360" w:lineRule="auto"/>
              <w:jc w:val="both"/>
              <w:rPr>
                <w:rFonts w:eastAsia="DengXian"/>
                <w:lang w:eastAsia="zh-CN"/>
              </w:rPr>
            </w:pPr>
            <w:r w:rsidRPr="00FB01D8">
              <w:rPr>
                <w:rFonts w:eastAsia="DengXian"/>
                <w:lang w:eastAsia="zh-CN"/>
              </w:rPr>
              <w:t>5 (7.14%)</w:t>
            </w:r>
          </w:p>
        </w:tc>
      </w:tr>
      <w:tr w:rsidR="00FB01D8" w:rsidRPr="00FB01D8" w14:paraId="66D96631" w14:textId="77777777" w:rsidTr="00FB01D8">
        <w:trPr>
          <w:trHeight w:val="413"/>
        </w:trPr>
        <w:tc>
          <w:tcPr>
            <w:tcW w:w="0" w:type="auto"/>
            <w:vMerge/>
            <w:tcBorders>
              <w:top w:val="nil"/>
              <w:left w:val="nil"/>
              <w:bottom w:val="single" w:sz="4" w:space="0" w:color="auto"/>
              <w:right w:val="nil"/>
            </w:tcBorders>
            <w:vAlign w:val="center"/>
            <w:hideMark/>
          </w:tcPr>
          <w:p w14:paraId="543C275A" w14:textId="77777777" w:rsidR="00FB01D8" w:rsidRPr="00FB01D8" w:rsidRDefault="00FB01D8" w:rsidP="00FB01D8">
            <w:pPr>
              <w:rPr>
                <w:rFonts w:eastAsia="DengXian"/>
                <w:b/>
                <w:bCs/>
                <w:lang w:eastAsia="zh-CN"/>
              </w:rPr>
            </w:pPr>
          </w:p>
        </w:tc>
        <w:tc>
          <w:tcPr>
            <w:tcW w:w="1260" w:type="dxa"/>
            <w:tcBorders>
              <w:top w:val="nil"/>
              <w:left w:val="nil"/>
              <w:bottom w:val="single" w:sz="4" w:space="0" w:color="auto"/>
              <w:right w:val="nil"/>
            </w:tcBorders>
            <w:hideMark/>
          </w:tcPr>
          <w:p w14:paraId="22BE844F"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&gt;20</w:t>
            </w:r>
          </w:p>
        </w:tc>
        <w:tc>
          <w:tcPr>
            <w:tcW w:w="1530" w:type="dxa"/>
            <w:tcBorders>
              <w:top w:val="nil"/>
              <w:left w:val="nil"/>
              <w:bottom w:val="single" w:sz="4" w:space="0" w:color="auto"/>
              <w:right w:val="nil"/>
            </w:tcBorders>
            <w:hideMark/>
          </w:tcPr>
          <w:p w14:paraId="01E691A9" w14:textId="77777777" w:rsidR="00FB01D8" w:rsidRPr="00FB01D8" w:rsidRDefault="00FB01D8" w:rsidP="00FB01D8">
            <w:pPr>
              <w:spacing w:line="360" w:lineRule="auto"/>
              <w:jc w:val="both"/>
              <w:rPr>
                <w:rFonts w:eastAsia="DengXian"/>
                <w:lang w:eastAsia="zh-CN"/>
              </w:rPr>
            </w:pPr>
            <w:r w:rsidRPr="00FB01D8">
              <w:rPr>
                <w:rFonts w:eastAsia="DengXian"/>
                <w:lang w:eastAsia="zh-CN"/>
              </w:rPr>
              <w:t>Nil</w:t>
            </w:r>
          </w:p>
        </w:tc>
        <w:tc>
          <w:tcPr>
            <w:tcW w:w="1530" w:type="dxa"/>
            <w:tcBorders>
              <w:top w:val="nil"/>
              <w:left w:val="nil"/>
              <w:bottom w:val="single" w:sz="4" w:space="0" w:color="auto"/>
              <w:right w:val="nil"/>
            </w:tcBorders>
            <w:hideMark/>
          </w:tcPr>
          <w:p w14:paraId="056EB466" w14:textId="77777777" w:rsidR="00FB01D8" w:rsidRPr="00FB01D8" w:rsidRDefault="00FB01D8" w:rsidP="00FB01D8">
            <w:pPr>
              <w:spacing w:line="360" w:lineRule="auto"/>
              <w:jc w:val="both"/>
              <w:rPr>
                <w:rFonts w:eastAsia="DengXian"/>
                <w:lang w:eastAsia="zh-CN"/>
              </w:rPr>
            </w:pPr>
            <w:r w:rsidRPr="00FB01D8">
              <w:rPr>
                <w:rFonts w:eastAsia="DengXian"/>
                <w:lang w:eastAsia="zh-CN"/>
              </w:rPr>
              <w:t>6 (8.57%)</w:t>
            </w:r>
          </w:p>
        </w:tc>
        <w:tc>
          <w:tcPr>
            <w:tcW w:w="1620" w:type="dxa"/>
            <w:tcBorders>
              <w:top w:val="nil"/>
              <w:left w:val="nil"/>
              <w:bottom w:val="single" w:sz="4" w:space="0" w:color="auto"/>
              <w:right w:val="nil"/>
            </w:tcBorders>
            <w:hideMark/>
          </w:tcPr>
          <w:p w14:paraId="030B62C9" w14:textId="77777777" w:rsidR="00FB01D8" w:rsidRPr="00FB01D8" w:rsidRDefault="00FB01D8" w:rsidP="00FB01D8">
            <w:pPr>
              <w:spacing w:line="360" w:lineRule="auto"/>
              <w:jc w:val="both"/>
              <w:rPr>
                <w:rFonts w:eastAsia="DengXian"/>
                <w:lang w:eastAsia="zh-CN"/>
              </w:rPr>
            </w:pPr>
            <w:r w:rsidRPr="00FB01D8">
              <w:rPr>
                <w:rFonts w:eastAsia="DengXian"/>
                <w:lang w:eastAsia="zh-CN"/>
              </w:rPr>
              <w:t>6 (8.57%)</w:t>
            </w:r>
          </w:p>
        </w:tc>
      </w:tr>
      <w:bookmarkEnd w:id="29"/>
    </w:tbl>
    <w:p w14:paraId="3D3244B1" w14:textId="77777777" w:rsidR="00FB01D8" w:rsidRPr="00FB01D8" w:rsidRDefault="00FB01D8" w:rsidP="00FB01D8">
      <w:pPr>
        <w:spacing w:after="0" w:line="360" w:lineRule="auto"/>
        <w:jc w:val="both"/>
        <w:rPr>
          <w:rFonts w:ascii="Times New Roman" w:eastAsia="DengXian" w:hAnsi="Times New Roman" w:cs="Times New Roman"/>
          <w:b/>
          <w:bCs/>
          <w:sz w:val="24"/>
          <w:szCs w:val="24"/>
          <w:lang w:eastAsia="zh-CN"/>
        </w:rPr>
      </w:pPr>
    </w:p>
    <w:p w14:paraId="4C820A8C" w14:textId="360CD0EB" w:rsidR="00FB01D8" w:rsidRDefault="00E4383E" w:rsidP="007D5C92">
      <w:pPr>
        <w:spacing w:before="100" w:beforeAutospacing="1" w:after="100" w:afterAutospacing="1" w:line="240" w:lineRule="auto"/>
        <w:rPr>
          <w:rFonts w:ascii="Times New Roman" w:eastAsia="SimSun" w:hAnsi="Times New Roman" w:cs="Times New Roman"/>
          <w:sz w:val="24"/>
          <w:szCs w:val="24"/>
          <w:lang w:eastAsia="zh-CN"/>
        </w:rPr>
      </w:pPr>
      <w:r w:rsidRPr="00E4383E">
        <w:rPr>
          <w:rFonts w:ascii="Times New Roman" w:eastAsia="SimSun" w:hAnsi="Times New Roman" w:cs="Times New Roman"/>
          <w:sz w:val="24"/>
          <w:szCs w:val="24"/>
          <w:lang w:eastAsia="zh-CN"/>
        </w:rPr>
        <w:t>Table 1 provides the demographic characteristics of the study participants, including gender, age, and duration of diabetes diagnosis for both control and test groups. It highlights the distribution of participants across various categories, with a higher proportion of females and middle-aged adults.</w:t>
      </w:r>
    </w:p>
    <w:p w14:paraId="11CB1EDF" w14:textId="386C0683" w:rsidR="00263220" w:rsidRDefault="00263220" w:rsidP="00FB01D8">
      <w:pPr>
        <w:spacing w:before="100" w:beforeAutospacing="1" w:after="100" w:afterAutospacing="1" w:line="240" w:lineRule="auto"/>
        <w:rPr>
          <w:rFonts w:ascii="Times New Roman" w:eastAsia="SimSun" w:hAnsi="Times New Roman" w:cs="Times New Roman"/>
          <w:sz w:val="24"/>
          <w:szCs w:val="24"/>
          <w:lang w:eastAsia="zh-CN"/>
        </w:rPr>
      </w:pPr>
    </w:p>
    <w:p w14:paraId="23429D98" w14:textId="77777777" w:rsidR="00263220" w:rsidRPr="00FB01D8" w:rsidRDefault="00263220" w:rsidP="00FB01D8">
      <w:pPr>
        <w:spacing w:before="100" w:beforeAutospacing="1" w:after="100" w:afterAutospacing="1" w:line="240" w:lineRule="auto"/>
        <w:rPr>
          <w:rFonts w:ascii="Times New Roman" w:eastAsia="SimSun" w:hAnsi="Times New Roman" w:cs="Times New Roman"/>
          <w:sz w:val="24"/>
          <w:szCs w:val="24"/>
          <w:lang w:eastAsia="zh-CN"/>
        </w:rPr>
      </w:pPr>
    </w:p>
    <w:p w14:paraId="0BF71A88" w14:textId="77777777" w:rsidR="001931AA" w:rsidRDefault="001931AA" w:rsidP="001931AA">
      <w:pPr>
        <w:spacing w:before="100" w:beforeAutospacing="1" w:after="100" w:afterAutospacing="1" w:line="240" w:lineRule="auto"/>
        <w:outlineLvl w:val="2"/>
        <w:rPr>
          <w:rFonts w:ascii="Times New Roman" w:eastAsia="SimSun" w:hAnsi="Times New Roman" w:cs="Times New Roman"/>
          <w:b/>
          <w:bCs/>
          <w:sz w:val="24"/>
          <w:szCs w:val="24"/>
          <w:lang w:eastAsia="zh-CN"/>
        </w:rPr>
      </w:pPr>
    </w:p>
    <w:p w14:paraId="1A296937" w14:textId="77777777" w:rsidR="001931AA" w:rsidRDefault="001931AA" w:rsidP="001931AA">
      <w:pPr>
        <w:spacing w:before="100" w:beforeAutospacing="1" w:after="100" w:afterAutospacing="1" w:line="240" w:lineRule="auto"/>
        <w:outlineLvl w:val="2"/>
        <w:rPr>
          <w:rFonts w:ascii="Times New Roman" w:eastAsia="SimSun" w:hAnsi="Times New Roman" w:cs="Times New Roman"/>
          <w:b/>
          <w:bCs/>
          <w:sz w:val="24"/>
          <w:szCs w:val="24"/>
          <w:lang w:eastAsia="zh-CN"/>
        </w:rPr>
      </w:pPr>
    </w:p>
    <w:p w14:paraId="01013E42" w14:textId="77777777" w:rsidR="001931AA" w:rsidRDefault="001931AA" w:rsidP="001931AA">
      <w:pPr>
        <w:spacing w:before="100" w:beforeAutospacing="1" w:after="100" w:afterAutospacing="1" w:line="240" w:lineRule="auto"/>
        <w:outlineLvl w:val="2"/>
        <w:rPr>
          <w:rFonts w:ascii="Times New Roman" w:eastAsia="SimSun" w:hAnsi="Times New Roman" w:cs="Times New Roman"/>
          <w:b/>
          <w:bCs/>
          <w:sz w:val="24"/>
          <w:szCs w:val="24"/>
          <w:lang w:eastAsia="zh-CN"/>
        </w:rPr>
      </w:pPr>
    </w:p>
    <w:p w14:paraId="43B35A5B" w14:textId="77777777" w:rsidR="001931AA" w:rsidRDefault="001931AA" w:rsidP="001931AA">
      <w:pPr>
        <w:spacing w:before="100" w:beforeAutospacing="1" w:after="100" w:afterAutospacing="1" w:line="240" w:lineRule="auto"/>
        <w:outlineLvl w:val="2"/>
        <w:rPr>
          <w:rFonts w:ascii="Times New Roman" w:eastAsia="SimSun" w:hAnsi="Times New Roman" w:cs="Times New Roman"/>
          <w:b/>
          <w:bCs/>
          <w:sz w:val="24"/>
          <w:szCs w:val="24"/>
          <w:lang w:eastAsia="zh-CN"/>
        </w:rPr>
      </w:pPr>
    </w:p>
    <w:p w14:paraId="4FFBF502" w14:textId="77777777" w:rsidR="007D5C92" w:rsidRDefault="007D5C92" w:rsidP="001931AA">
      <w:pPr>
        <w:spacing w:before="100" w:beforeAutospacing="1" w:after="100" w:afterAutospacing="1" w:line="240" w:lineRule="auto"/>
        <w:outlineLvl w:val="2"/>
        <w:rPr>
          <w:rFonts w:ascii="Times New Roman" w:eastAsia="SimSun" w:hAnsi="Times New Roman" w:cs="Times New Roman"/>
          <w:b/>
          <w:bCs/>
          <w:sz w:val="24"/>
          <w:szCs w:val="24"/>
          <w:lang w:eastAsia="zh-CN"/>
        </w:rPr>
        <w:sectPr w:rsidR="007D5C92" w:rsidSect="00FC5FA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728" w:left="1440" w:header="720" w:footer="720" w:gutter="0"/>
          <w:cols w:space="720"/>
          <w:docGrid w:linePitch="299"/>
        </w:sectPr>
      </w:pPr>
    </w:p>
    <w:p w14:paraId="33DB8B4E" w14:textId="0DC9EBEB" w:rsidR="00FB01D8" w:rsidRPr="00FB01D8" w:rsidRDefault="00FB01D8" w:rsidP="007D5C92">
      <w:pPr>
        <w:spacing w:before="100" w:beforeAutospacing="1" w:after="100" w:afterAutospacing="1" w:line="240" w:lineRule="auto"/>
        <w:outlineLvl w:val="2"/>
        <w:rPr>
          <w:rFonts w:ascii="Times New Roman" w:eastAsia="SimSun" w:hAnsi="Times New Roman" w:cs="Times New Roman"/>
          <w:b/>
          <w:bCs/>
          <w:sz w:val="24"/>
          <w:szCs w:val="24"/>
          <w:lang w:eastAsia="zh-CN"/>
        </w:rPr>
      </w:pPr>
      <w:r w:rsidRPr="00FB01D8">
        <w:rPr>
          <w:rFonts w:ascii="Times New Roman" w:eastAsia="SimSun" w:hAnsi="Times New Roman" w:cs="Times New Roman"/>
          <w:b/>
          <w:bCs/>
          <w:sz w:val="24"/>
          <w:szCs w:val="24"/>
          <w:lang w:eastAsia="zh-CN"/>
        </w:rPr>
        <w:lastRenderedPageBreak/>
        <w:t>Table 2</w:t>
      </w:r>
      <w:r w:rsidR="001931AA">
        <w:rPr>
          <w:rFonts w:ascii="Times New Roman" w:eastAsia="SimSun" w:hAnsi="Times New Roman" w:cs="Times New Roman"/>
          <w:b/>
          <w:bCs/>
          <w:sz w:val="24"/>
          <w:szCs w:val="24"/>
          <w:lang w:eastAsia="zh-CN"/>
        </w:rPr>
        <w:t>:</w:t>
      </w:r>
      <w:r w:rsidRPr="00FB01D8">
        <w:rPr>
          <w:rFonts w:ascii="Times New Roman" w:eastAsia="SimSun" w:hAnsi="Times New Roman" w:cs="Times New Roman"/>
          <w:b/>
          <w:bCs/>
          <w:sz w:val="24"/>
          <w:szCs w:val="24"/>
          <w:lang w:eastAsia="zh-CN"/>
        </w:rPr>
        <w:t xml:space="preserve"> Distribution of biomarkers (KIM-1, Cystatin C, Microalbuminuria) overall and by sex</w:t>
      </w:r>
    </w:p>
    <w:tbl>
      <w:tblPr>
        <w:tblStyle w:val="a4"/>
        <w:tblpPr w:leftFromText="180" w:rightFromText="180" w:vertAnchor="text" w:tblpY="1"/>
        <w:tblOverlap w:val="never"/>
        <w:tblW w:w="13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2160"/>
        <w:gridCol w:w="1710"/>
        <w:gridCol w:w="1350"/>
        <w:gridCol w:w="1800"/>
        <w:gridCol w:w="1620"/>
        <w:gridCol w:w="1377"/>
      </w:tblGrid>
      <w:tr w:rsidR="00FB01D8" w:rsidRPr="00FB01D8" w14:paraId="59E9964F" w14:textId="77777777" w:rsidTr="00FB01D8">
        <w:trPr>
          <w:trHeight w:val="436"/>
        </w:trPr>
        <w:tc>
          <w:tcPr>
            <w:tcW w:w="3055" w:type="dxa"/>
            <w:vMerge w:val="restart"/>
            <w:tcBorders>
              <w:top w:val="single" w:sz="4" w:space="0" w:color="auto"/>
              <w:left w:val="nil"/>
              <w:bottom w:val="single" w:sz="4" w:space="0" w:color="auto"/>
              <w:right w:val="nil"/>
            </w:tcBorders>
            <w:vAlign w:val="bottom"/>
            <w:hideMark/>
          </w:tcPr>
          <w:p w14:paraId="087BFF23" w14:textId="77777777" w:rsidR="00FB01D8" w:rsidRPr="00FB01D8" w:rsidRDefault="00FB01D8" w:rsidP="00FB01D8">
            <w:pPr>
              <w:jc w:val="center"/>
              <w:rPr>
                <w:rFonts w:eastAsia="DengXian"/>
                <w:b/>
                <w:bCs/>
                <w:lang w:eastAsia="zh-CN"/>
              </w:rPr>
            </w:pPr>
            <w:bookmarkStart w:id="30" w:name="_Hlk198626004"/>
            <w:r w:rsidRPr="00FB01D8">
              <w:rPr>
                <w:rFonts w:eastAsia="DengXian"/>
                <w:b/>
                <w:bCs/>
                <w:lang w:eastAsia="zh-CN"/>
              </w:rPr>
              <w:t>Parameters/Groups</w:t>
            </w:r>
          </w:p>
        </w:tc>
        <w:tc>
          <w:tcPr>
            <w:tcW w:w="5220" w:type="dxa"/>
            <w:gridSpan w:val="3"/>
            <w:tcBorders>
              <w:top w:val="single" w:sz="4" w:space="0" w:color="auto"/>
              <w:left w:val="nil"/>
              <w:bottom w:val="nil"/>
              <w:right w:val="nil"/>
            </w:tcBorders>
            <w:vAlign w:val="bottom"/>
            <w:hideMark/>
          </w:tcPr>
          <w:p w14:paraId="17F7A65A" w14:textId="77777777" w:rsidR="00FB01D8" w:rsidRPr="00FB01D8" w:rsidRDefault="00FB01D8" w:rsidP="00FB01D8">
            <w:pPr>
              <w:jc w:val="center"/>
              <w:rPr>
                <w:rFonts w:eastAsia="DengXian"/>
                <w:b/>
                <w:bCs/>
                <w:lang w:eastAsia="zh-CN"/>
              </w:rPr>
            </w:pPr>
            <w:r w:rsidRPr="00FB01D8">
              <w:rPr>
                <w:rFonts w:eastAsia="DengXian"/>
                <w:b/>
                <w:bCs/>
                <w:lang w:eastAsia="zh-CN"/>
              </w:rPr>
              <w:t>Female</w:t>
            </w:r>
          </w:p>
        </w:tc>
        <w:tc>
          <w:tcPr>
            <w:tcW w:w="4797" w:type="dxa"/>
            <w:gridSpan w:val="3"/>
            <w:tcBorders>
              <w:top w:val="single" w:sz="4" w:space="0" w:color="auto"/>
              <w:left w:val="nil"/>
              <w:bottom w:val="nil"/>
              <w:right w:val="nil"/>
            </w:tcBorders>
            <w:vAlign w:val="bottom"/>
            <w:hideMark/>
          </w:tcPr>
          <w:p w14:paraId="12B58CDC" w14:textId="77777777" w:rsidR="00FB01D8" w:rsidRPr="00FB01D8" w:rsidRDefault="00FB01D8" w:rsidP="00FB01D8">
            <w:pPr>
              <w:jc w:val="center"/>
              <w:rPr>
                <w:rFonts w:eastAsia="DengXian"/>
                <w:b/>
                <w:bCs/>
                <w:lang w:eastAsia="zh-CN"/>
              </w:rPr>
            </w:pPr>
            <w:r w:rsidRPr="00FB01D8">
              <w:rPr>
                <w:rFonts w:eastAsia="DengXian"/>
                <w:b/>
                <w:bCs/>
                <w:lang w:eastAsia="zh-CN"/>
              </w:rPr>
              <w:t>Male</w:t>
            </w:r>
          </w:p>
        </w:tc>
      </w:tr>
      <w:tr w:rsidR="00FB01D8" w:rsidRPr="00FB01D8" w14:paraId="676C3DD2" w14:textId="77777777" w:rsidTr="00FB01D8">
        <w:trPr>
          <w:trHeight w:val="151"/>
        </w:trPr>
        <w:tc>
          <w:tcPr>
            <w:tcW w:w="0" w:type="auto"/>
            <w:vMerge/>
            <w:tcBorders>
              <w:top w:val="single" w:sz="4" w:space="0" w:color="auto"/>
              <w:left w:val="nil"/>
              <w:bottom w:val="single" w:sz="4" w:space="0" w:color="auto"/>
              <w:right w:val="nil"/>
            </w:tcBorders>
            <w:vAlign w:val="center"/>
            <w:hideMark/>
          </w:tcPr>
          <w:p w14:paraId="71382BFD" w14:textId="77777777" w:rsidR="00FB01D8" w:rsidRPr="00FB01D8" w:rsidRDefault="00FB01D8" w:rsidP="00FB01D8">
            <w:pPr>
              <w:rPr>
                <w:rFonts w:eastAsia="DengXian"/>
                <w:b/>
                <w:bCs/>
                <w:lang w:eastAsia="zh-CN"/>
              </w:rPr>
            </w:pPr>
          </w:p>
        </w:tc>
        <w:tc>
          <w:tcPr>
            <w:tcW w:w="2160" w:type="dxa"/>
            <w:tcBorders>
              <w:top w:val="nil"/>
              <w:left w:val="nil"/>
              <w:bottom w:val="single" w:sz="4" w:space="0" w:color="auto"/>
              <w:right w:val="nil"/>
            </w:tcBorders>
            <w:vAlign w:val="bottom"/>
            <w:hideMark/>
          </w:tcPr>
          <w:p w14:paraId="12FC7A34" w14:textId="77777777" w:rsidR="00FB01D8" w:rsidRPr="00FB01D8" w:rsidRDefault="00FB01D8" w:rsidP="00FB01D8">
            <w:pPr>
              <w:jc w:val="center"/>
              <w:rPr>
                <w:rFonts w:eastAsia="DengXian"/>
                <w:b/>
                <w:bCs/>
                <w:lang w:eastAsia="zh-CN"/>
              </w:rPr>
            </w:pPr>
            <w:r w:rsidRPr="00FB01D8">
              <w:rPr>
                <w:rFonts w:eastAsia="DengXian"/>
                <w:b/>
                <w:bCs/>
                <w:lang w:eastAsia="zh-CN"/>
              </w:rPr>
              <w:t>Control</w:t>
            </w:r>
          </w:p>
        </w:tc>
        <w:tc>
          <w:tcPr>
            <w:tcW w:w="1710" w:type="dxa"/>
            <w:tcBorders>
              <w:top w:val="nil"/>
              <w:left w:val="nil"/>
              <w:bottom w:val="single" w:sz="4" w:space="0" w:color="auto"/>
              <w:right w:val="nil"/>
            </w:tcBorders>
            <w:vAlign w:val="bottom"/>
            <w:hideMark/>
          </w:tcPr>
          <w:p w14:paraId="7AE8E8F1" w14:textId="77777777" w:rsidR="00FB01D8" w:rsidRPr="00FB01D8" w:rsidRDefault="00FB01D8" w:rsidP="00FB01D8">
            <w:pPr>
              <w:jc w:val="center"/>
              <w:rPr>
                <w:rFonts w:eastAsia="DengXian"/>
                <w:b/>
                <w:bCs/>
                <w:lang w:eastAsia="zh-CN"/>
              </w:rPr>
            </w:pPr>
            <w:r w:rsidRPr="00FB01D8">
              <w:rPr>
                <w:rFonts w:eastAsia="DengXian"/>
                <w:b/>
                <w:bCs/>
                <w:lang w:eastAsia="zh-CN"/>
              </w:rPr>
              <w:t>Test</w:t>
            </w:r>
          </w:p>
        </w:tc>
        <w:tc>
          <w:tcPr>
            <w:tcW w:w="1350" w:type="dxa"/>
            <w:tcBorders>
              <w:top w:val="nil"/>
              <w:left w:val="nil"/>
              <w:bottom w:val="single" w:sz="4" w:space="0" w:color="auto"/>
              <w:right w:val="nil"/>
            </w:tcBorders>
            <w:vAlign w:val="bottom"/>
            <w:hideMark/>
          </w:tcPr>
          <w:p w14:paraId="543D4D67" w14:textId="77777777" w:rsidR="00FB01D8" w:rsidRPr="00FB01D8" w:rsidRDefault="00FB01D8" w:rsidP="00FB01D8">
            <w:pPr>
              <w:jc w:val="center"/>
              <w:rPr>
                <w:rFonts w:eastAsia="DengXian"/>
                <w:b/>
                <w:bCs/>
                <w:lang w:eastAsia="zh-CN"/>
              </w:rPr>
            </w:pPr>
            <w:r w:rsidRPr="00FB01D8">
              <w:rPr>
                <w:rFonts w:eastAsia="DengXian"/>
                <w:b/>
                <w:bCs/>
                <w:lang w:eastAsia="zh-CN"/>
              </w:rPr>
              <w:t>p-Value</w:t>
            </w:r>
          </w:p>
        </w:tc>
        <w:tc>
          <w:tcPr>
            <w:tcW w:w="1800" w:type="dxa"/>
            <w:tcBorders>
              <w:top w:val="nil"/>
              <w:left w:val="nil"/>
              <w:bottom w:val="single" w:sz="4" w:space="0" w:color="auto"/>
              <w:right w:val="nil"/>
            </w:tcBorders>
            <w:vAlign w:val="bottom"/>
            <w:hideMark/>
          </w:tcPr>
          <w:p w14:paraId="4ECF38F7" w14:textId="77777777" w:rsidR="00FB01D8" w:rsidRPr="00FB01D8" w:rsidRDefault="00FB01D8" w:rsidP="00FB01D8">
            <w:pPr>
              <w:jc w:val="center"/>
              <w:rPr>
                <w:rFonts w:eastAsia="DengXian"/>
                <w:b/>
                <w:bCs/>
                <w:lang w:eastAsia="zh-CN"/>
              </w:rPr>
            </w:pPr>
            <w:r w:rsidRPr="00FB01D8">
              <w:rPr>
                <w:rFonts w:eastAsia="DengXian"/>
                <w:b/>
                <w:bCs/>
                <w:lang w:eastAsia="zh-CN"/>
              </w:rPr>
              <w:t>Control</w:t>
            </w:r>
          </w:p>
        </w:tc>
        <w:tc>
          <w:tcPr>
            <w:tcW w:w="1620" w:type="dxa"/>
            <w:tcBorders>
              <w:top w:val="nil"/>
              <w:left w:val="nil"/>
              <w:bottom w:val="single" w:sz="4" w:space="0" w:color="auto"/>
              <w:right w:val="nil"/>
            </w:tcBorders>
            <w:vAlign w:val="bottom"/>
            <w:hideMark/>
          </w:tcPr>
          <w:p w14:paraId="7EC93FAE" w14:textId="77777777" w:rsidR="00FB01D8" w:rsidRPr="00FB01D8" w:rsidRDefault="00FB01D8" w:rsidP="00FB01D8">
            <w:pPr>
              <w:jc w:val="center"/>
              <w:rPr>
                <w:rFonts w:eastAsia="DengXian"/>
                <w:b/>
                <w:bCs/>
                <w:lang w:eastAsia="zh-CN"/>
              </w:rPr>
            </w:pPr>
            <w:r w:rsidRPr="00FB01D8">
              <w:rPr>
                <w:rFonts w:eastAsia="DengXian"/>
                <w:b/>
                <w:bCs/>
                <w:lang w:eastAsia="zh-CN"/>
              </w:rPr>
              <w:t>Test</w:t>
            </w:r>
          </w:p>
        </w:tc>
        <w:tc>
          <w:tcPr>
            <w:tcW w:w="1377" w:type="dxa"/>
            <w:tcBorders>
              <w:top w:val="nil"/>
              <w:left w:val="nil"/>
              <w:bottom w:val="single" w:sz="4" w:space="0" w:color="auto"/>
              <w:right w:val="nil"/>
            </w:tcBorders>
            <w:vAlign w:val="bottom"/>
            <w:hideMark/>
          </w:tcPr>
          <w:p w14:paraId="099D0241" w14:textId="77777777" w:rsidR="00FB01D8" w:rsidRPr="00FB01D8" w:rsidRDefault="00FB01D8" w:rsidP="00FB01D8">
            <w:pPr>
              <w:jc w:val="center"/>
              <w:rPr>
                <w:rFonts w:eastAsia="DengXian"/>
                <w:b/>
                <w:bCs/>
                <w:lang w:eastAsia="zh-CN"/>
              </w:rPr>
            </w:pPr>
            <w:r w:rsidRPr="00FB01D8">
              <w:rPr>
                <w:rFonts w:eastAsia="DengXian"/>
                <w:b/>
                <w:bCs/>
                <w:lang w:eastAsia="zh-CN"/>
              </w:rPr>
              <w:t>p-Value</w:t>
            </w:r>
          </w:p>
        </w:tc>
      </w:tr>
      <w:tr w:rsidR="00FB01D8" w:rsidRPr="00FB01D8" w14:paraId="4C24AF59" w14:textId="77777777" w:rsidTr="00FB01D8">
        <w:trPr>
          <w:trHeight w:val="634"/>
        </w:trPr>
        <w:tc>
          <w:tcPr>
            <w:tcW w:w="3055" w:type="dxa"/>
            <w:tcBorders>
              <w:top w:val="single" w:sz="4" w:space="0" w:color="auto"/>
              <w:left w:val="nil"/>
              <w:bottom w:val="nil"/>
              <w:right w:val="nil"/>
            </w:tcBorders>
            <w:vAlign w:val="bottom"/>
            <w:hideMark/>
          </w:tcPr>
          <w:p w14:paraId="3E8C82B2" w14:textId="77777777" w:rsidR="00FB01D8" w:rsidRPr="00FB01D8" w:rsidRDefault="00FB01D8" w:rsidP="00FB01D8">
            <w:pPr>
              <w:rPr>
                <w:rFonts w:eastAsia="DengXian"/>
                <w:b/>
                <w:bCs/>
                <w:lang w:eastAsia="zh-CN"/>
              </w:rPr>
            </w:pPr>
            <w:r w:rsidRPr="00FB01D8">
              <w:rPr>
                <w:rFonts w:eastAsia="DengXian"/>
                <w:b/>
                <w:bCs/>
                <w:lang w:eastAsia="zh-CN"/>
              </w:rPr>
              <w:t>KIM-1 (</w:t>
            </w:r>
            <w:proofErr w:type="spellStart"/>
            <w:r w:rsidRPr="00FB01D8">
              <w:rPr>
                <w:rFonts w:eastAsia="DengXian"/>
                <w:b/>
                <w:bCs/>
                <w:lang w:eastAsia="zh-CN"/>
              </w:rPr>
              <w:t>pg</w:t>
            </w:r>
            <w:proofErr w:type="spellEnd"/>
            <w:r w:rsidRPr="00FB01D8">
              <w:rPr>
                <w:rFonts w:eastAsia="DengXian"/>
                <w:b/>
                <w:bCs/>
                <w:lang w:eastAsia="zh-CN"/>
              </w:rPr>
              <w:t>/mL)</w:t>
            </w:r>
          </w:p>
        </w:tc>
        <w:tc>
          <w:tcPr>
            <w:tcW w:w="2160" w:type="dxa"/>
            <w:tcBorders>
              <w:top w:val="single" w:sz="4" w:space="0" w:color="auto"/>
              <w:left w:val="nil"/>
              <w:bottom w:val="nil"/>
              <w:right w:val="nil"/>
            </w:tcBorders>
            <w:vAlign w:val="bottom"/>
            <w:hideMark/>
          </w:tcPr>
          <w:p w14:paraId="2F7EC599" w14:textId="77777777" w:rsidR="00FB01D8" w:rsidRPr="00FB01D8" w:rsidRDefault="00FB01D8" w:rsidP="00FB01D8">
            <w:pPr>
              <w:jc w:val="center"/>
              <w:rPr>
                <w:rFonts w:eastAsia="DengXian"/>
                <w:lang w:val="en-GB" w:eastAsia="zh-CN"/>
              </w:rPr>
            </w:pPr>
            <w:r w:rsidRPr="00FB01D8">
              <w:rPr>
                <w:rFonts w:eastAsia="DengXian"/>
                <w:lang w:val="en-GB" w:eastAsia="zh-CN"/>
              </w:rPr>
              <w:t>5.508</w:t>
            </w:r>
            <w:r w:rsidRPr="00FB01D8">
              <w:rPr>
                <w:rFonts w:eastAsia="DengXian"/>
                <w:lang w:eastAsia="zh-CN"/>
              </w:rPr>
              <w:t xml:space="preserve">± </w:t>
            </w:r>
            <w:r w:rsidRPr="00FB01D8">
              <w:rPr>
                <w:rFonts w:eastAsia="DengXian"/>
                <w:lang w:val="en-GB" w:eastAsia="zh-CN"/>
              </w:rPr>
              <w:t>0.4364</w:t>
            </w:r>
          </w:p>
        </w:tc>
        <w:tc>
          <w:tcPr>
            <w:tcW w:w="1710" w:type="dxa"/>
            <w:tcBorders>
              <w:top w:val="single" w:sz="4" w:space="0" w:color="auto"/>
              <w:left w:val="nil"/>
              <w:bottom w:val="nil"/>
              <w:right w:val="nil"/>
            </w:tcBorders>
            <w:vAlign w:val="bottom"/>
            <w:hideMark/>
          </w:tcPr>
          <w:p w14:paraId="2D6F5DBE" w14:textId="77777777" w:rsidR="00FB01D8" w:rsidRPr="00FB01D8" w:rsidRDefault="00FB01D8" w:rsidP="00FB01D8">
            <w:pPr>
              <w:jc w:val="center"/>
              <w:rPr>
                <w:rFonts w:eastAsia="DengXian"/>
                <w:lang w:val="en-GB" w:eastAsia="zh-CN"/>
              </w:rPr>
            </w:pPr>
            <w:r w:rsidRPr="00FB01D8">
              <w:rPr>
                <w:rFonts w:eastAsia="DengXian"/>
                <w:lang w:val="en-GB" w:eastAsia="zh-CN"/>
              </w:rPr>
              <w:t>8.478</w:t>
            </w:r>
            <w:r w:rsidRPr="00FB01D8">
              <w:rPr>
                <w:rFonts w:eastAsia="DengXian"/>
                <w:lang w:eastAsia="zh-CN"/>
              </w:rPr>
              <w:t xml:space="preserve">± </w:t>
            </w:r>
            <w:r w:rsidRPr="00FB01D8">
              <w:rPr>
                <w:rFonts w:eastAsia="DengXian"/>
                <w:lang w:val="en-GB" w:eastAsia="zh-CN"/>
              </w:rPr>
              <w:t>1.776</w:t>
            </w:r>
          </w:p>
        </w:tc>
        <w:tc>
          <w:tcPr>
            <w:tcW w:w="1350" w:type="dxa"/>
            <w:tcBorders>
              <w:top w:val="single" w:sz="4" w:space="0" w:color="auto"/>
              <w:left w:val="nil"/>
              <w:bottom w:val="nil"/>
              <w:right w:val="nil"/>
            </w:tcBorders>
            <w:vAlign w:val="bottom"/>
            <w:hideMark/>
          </w:tcPr>
          <w:p w14:paraId="246C0FBA"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&lt;0.0001*</w:t>
            </w:r>
          </w:p>
        </w:tc>
        <w:tc>
          <w:tcPr>
            <w:tcW w:w="1800" w:type="dxa"/>
            <w:tcBorders>
              <w:top w:val="single" w:sz="4" w:space="0" w:color="auto"/>
              <w:left w:val="nil"/>
              <w:bottom w:val="nil"/>
              <w:right w:val="nil"/>
            </w:tcBorders>
            <w:vAlign w:val="bottom"/>
            <w:hideMark/>
          </w:tcPr>
          <w:p w14:paraId="60A413E8" w14:textId="77777777" w:rsidR="00FB01D8" w:rsidRPr="00FB01D8" w:rsidRDefault="00FB01D8" w:rsidP="00FB01D8">
            <w:pPr>
              <w:jc w:val="center"/>
              <w:rPr>
                <w:rFonts w:eastAsia="DengXian"/>
                <w:lang w:val="en-GB" w:eastAsia="zh-CN"/>
              </w:rPr>
            </w:pPr>
            <w:r w:rsidRPr="00FB01D8">
              <w:rPr>
                <w:rFonts w:eastAsia="DengXian"/>
                <w:lang w:val="en-GB" w:eastAsia="zh-CN"/>
              </w:rPr>
              <w:t>7.890</w:t>
            </w:r>
            <w:r w:rsidRPr="00FB01D8">
              <w:rPr>
                <w:rFonts w:eastAsia="DengXian"/>
                <w:lang w:eastAsia="zh-CN"/>
              </w:rPr>
              <w:t xml:space="preserve">± </w:t>
            </w:r>
            <w:r w:rsidRPr="00FB01D8">
              <w:rPr>
                <w:rFonts w:eastAsia="DengXian"/>
                <w:lang w:val="en-GB" w:eastAsia="zh-CN"/>
              </w:rPr>
              <w:t>5.624</w:t>
            </w:r>
          </w:p>
        </w:tc>
        <w:tc>
          <w:tcPr>
            <w:tcW w:w="1620" w:type="dxa"/>
            <w:tcBorders>
              <w:top w:val="single" w:sz="4" w:space="0" w:color="auto"/>
              <w:left w:val="nil"/>
              <w:bottom w:val="nil"/>
              <w:right w:val="nil"/>
            </w:tcBorders>
            <w:vAlign w:val="bottom"/>
            <w:hideMark/>
          </w:tcPr>
          <w:p w14:paraId="119C941C" w14:textId="77777777" w:rsidR="00FB01D8" w:rsidRPr="00FB01D8" w:rsidRDefault="00FB01D8" w:rsidP="00FB01D8">
            <w:pPr>
              <w:jc w:val="center"/>
              <w:rPr>
                <w:rFonts w:eastAsia="DengXian"/>
                <w:lang w:val="en-GB" w:eastAsia="zh-CN"/>
              </w:rPr>
            </w:pPr>
            <w:r w:rsidRPr="00FB01D8">
              <w:rPr>
                <w:rFonts w:eastAsia="DengXian"/>
                <w:lang w:val="en-GB" w:eastAsia="zh-CN"/>
              </w:rPr>
              <w:t>23.90</w:t>
            </w:r>
            <w:r w:rsidRPr="00FB01D8">
              <w:rPr>
                <w:rFonts w:eastAsia="DengXian"/>
                <w:lang w:eastAsia="zh-CN"/>
              </w:rPr>
              <w:t xml:space="preserve">± </w:t>
            </w:r>
            <w:r w:rsidRPr="00FB01D8">
              <w:rPr>
                <w:rFonts w:eastAsia="DengXian"/>
                <w:lang w:val="en-GB" w:eastAsia="zh-CN"/>
              </w:rPr>
              <w:t>18.37</w:t>
            </w:r>
          </w:p>
        </w:tc>
        <w:tc>
          <w:tcPr>
            <w:tcW w:w="1377" w:type="dxa"/>
            <w:tcBorders>
              <w:top w:val="single" w:sz="4" w:space="0" w:color="auto"/>
              <w:left w:val="nil"/>
              <w:bottom w:val="nil"/>
              <w:right w:val="nil"/>
            </w:tcBorders>
            <w:vAlign w:val="bottom"/>
            <w:hideMark/>
          </w:tcPr>
          <w:p w14:paraId="3EEAAE12"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&lt;0.0001*</w:t>
            </w:r>
          </w:p>
        </w:tc>
      </w:tr>
      <w:tr w:rsidR="00FB01D8" w:rsidRPr="00FB01D8" w14:paraId="7BB7DAC7" w14:textId="77777777" w:rsidTr="00FB01D8">
        <w:trPr>
          <w:trHeight w:val="554"/>
        </w:trPr>
        <w:tc>
          <w:tcPr>
            <w:tcW w:w="3055" w:type="dxa"/>
            <w:vAlign w:val="bottom"/>
            <w:hideMark/>
          </w:tcPr>
          <w:p w14:paraId="3667B5C3" w14:textId="77777777" w:rsidR="00FB01D8" w:rsidRPr="00FB01D8" w:rsidRDefault="00FB01D8" w:rsidP="00FB01D8">
            <w:pPr>
              <w:rPr>
                <w:rFonts w:eastAsia="DengXian"/>
                <w:b/>
                <w:bCs/>
                <w:lang w:eastAsia="zh-CN"/>
              </w:rPr>
            </w:pPr>
            <w:r w:rsidRPr="00FB01D8">
              <w:rPr>
                <w:rFonts w:eastAsia="DengXian"/>
                <w:b/>
                <w:bCs/>
                <w:lang w:eastAsia="zh-CN"/>
              </w:rPr>
              <w:t>Cystatin C (ng/mL)</w:t>
            </w:r>
          </w:p>
        </w:tc>
        <w:tc>
          <w:tcPr>
            <w:tcW w:w="2160" w:type="dxa"/>
            <w:vAlign w:val="bottom"/>
            <w:hideMark/>
          </w:tcPr>
          <w:p w14:paraId="43B4B7CE" w14:textId="77777777" w:rsidR="00FB01D8" w:rsidRPr="00FB01D8" w:rsidRDefault="00FB01D8" w:rsidP="00FB01D8">
            <w:pPr>
              <w:jc w:val="center"/>
              <w:rPr>
                <w:rFonts w:eastAsia="DengXian"/>
                <w:lang w:val="en-GB" w:eastAsia="zh-CN"/>
              </w:rPr>
            </w:pPr>
            <w:r w:rsidRPr="00FB01D8">
              <w:rPr>
                <w:rFonts w:eastAsia="DengXian"/>
                <w:lang w:val="en-GB" w:eastAsia="zh-CN"/>
              </w:rPr>
              <w:t>9.554</w:t>
            </w:r>
            <w:r w:rsidRPr="00FB01D8">
              <w:rPr>
                <w:rFonts w:eastAsia="DengXian"/>
                <w:lang w:eastAsia="zh-CN"/>
              </w:rPr>
              <w:t xml:space="preserve">± </w:t>
            </w:r>
            <w:r w:rsidRPr="00FB01D8">
              <w:rPr>
                <w:rFonts w:eastAsia="DengXian"/>
                <w:lang w:val="en-GB" w:eastAsia="zh-CN"/>
              </w:rPr>
              <w:t>4.091</w:t>
            </w:r>
          </w:p>
        </w:tc>
        <w:tc>
          <w:tcPr>
            <w:tcW w:w="1710" w:type="dxa"/>
            <w:vAlign w:val="bottom"/>
            <w:hideMark/>
          </w:tcPr>
          <w:p w14:paraId="06FC3BFF" w14:textId="77777777" w:rsidR="00FB01D8" w:rsidRPr="00FB01D8" w:rsidRDefault="00FB01D8" w:rsidP="00FB01D8">
            <w:pPr>
              <w:jc w:val="center"/>
              <w:rPr>
                <w:rFonts w:eastAsia="DengXian"/>
                <w:lang w:val="en-GB" w:eastAsia="zh-CN"/>
              </w:rPr>
            </w:pPr>
            <w:r w:rsidRPr="00FB01D8">
              <w:rPr>
                <w:rFonts w:eastAsia="DengXian"/>
                <w:lang w:val="en-GB" w:eastAsia="zh-CN"/>
              </w:rPr>
              <w:t>17.35</w:t>
            </w:r>
            <w:r w:rsidRPr="00FB01D8">
              <w:rPr>
                <w:rFonts w:eastAsia="DengXian"/>
                <w:lang w:eastAsia="zh-CN"/>
              </w:rPr>
              <w:t xml:space="preserve">± </w:t>
            </w:r>
            <w:r w:rsidRPr="00FB01D8">
              <w:rPr>
                <w:rFonts w:eastAsia="DengXian"/>
                <w:lang w:val="en-GB" w:eastAsia="zh-CN"/>
              </w:rPr>
              <w:t>6.040</w:t>
            </w:r>
          </w:p>
        </w:tc>
        <w:tc>
          <w:tcPr>
            <w:tcW w:w="1350" w:type="dxa"/>
            <w:vAlign w:val="bottom"/>
            <w:hideMark/>
          </w:tcPr>
          <w:p w14:paraId="1596572B"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&lt;0.0001*</w:t>
            </w:r>
          </w:p>
        </w:tc>
        <w:tc>
          <w:tcPr>
            <w:tcW w:w="1800" w:type="dxa"/>
            <w:vAlign w:val="bottom"/>
            <w:hideMark/>
          </w:tcPr>
          <w:p w14:paraId="439AC292" w14:textId="77777777" w:rsidR="00FB01D8" w:rsidRPr="00FB01D8" w:rsidRDefault="00FB01D8" w:rsidP="00FB01D8">
            <w:pPr>
              <w:jc w:val="center"/>
              <w:rPr>
                <w:rFonts w:eastAsia="DengXian"/>
                <w:lang w:val="en-GB" w:eastAsia="zh-CN"/>
              </w:rPr>
            </w:pPr>
            <w:r w:rsidRPr="00FB01D8">
              <w:rPr>
                <w:rFonts w:eastAsia="DengXian"/>
                <w:lang w:val="en-GB" w:eastAsia="zh-CN"/>
              </w:rPr>
              <w:t>11.58</w:t>
            </w:r>
            <w:r w:rsidRPr="00FB01D8">
              <w:rPr>
                <w:rFonts w:eastAsia="DengXian"/>
                <w:lang w:eastAsia="zh-CN"/>
              </w:rPr>
              <w:t xml:space="preserve">± </w:t>
            </w:r>
            <w:r w:rsidRPr="00FB01D8">
              <w:rPr>
                <w:rFonts w:eastAsia="DengXian"/>
                <w:lang w:val="en-GB" w:eastAsia="zh-CN"/>
              </w:rPr>
              <w:t>3.755</w:t>
            </w:r>
          </w:p>
        </w:tc>
        <w:tc>
          <w:tcPr>
            <w:tcW w:w="1620" w:type="dxa"/>
            <w:vAlign w:val="bottom"/>
            <w:hideMark/>
          </w:tcPr>
          <w:p w14:paraId="23272C7D" w14:textId="77777777" w:rsidR="00FB01D8" w:rsidRPr="00FB01D8" w:rsidRDefault="00FB01D8" w:rsidP="00FB01D8">
            <w:pPr>
              <w:jc w:val="center"/>
              <w:rPr>
                <w:rFonts w:eastAsia="DengXian"/>
                <w:lang w:val="en-GB" w:eastAsia="zh-CN"/>
              </w:rPr>
            </w:pPr>
            <w:r w:rsidRPr="00FB01D8">
              <w:rPr>
                <w:rFonts w:eastAsia="DengXian"/>
                <w:lang w:val="en-GB" w:eastAsia="zh-CN"/>
              </w:rPr>
              <w:t>20.12</w:t>
            </w:r>
            <w:r w:rsidRPr="00FB01D8">
              <w:rPr>
                <w:rFonts w:eastAsia="DengXian"/>
                <w:lang w:eastAsia="zh-CN"/>
              </w:rPr>
              <w:t xml:space="preserve">± </w:t>
            </w:r>
            <w:r w:rsidRPr="00FB01D8">
              <w:rPr>
                <w:rFonts w:eastAsia="DengXian"/>
                <w:lang w:val="en-GB" w:eastAsia="zh-CN"/>
              </w:rPr>
              <w:t>8.839</w:t>
            </w:r>
          </w:p>
        </w:tc>
        <w:tc>
          <w:tcPr>
            <w:tcW w:w="1377" w:type="dxa"/>
            <w:vAlign w:val="bottom"/>
            <w:hideMark/>
          </w:tcPr>
          <w:p w14:paraId="30E27BE5"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&lt;0.0001*</w:t>
            </w:r>
          </w:p>
        </w:tc>
      </w:tr>
      <w:tr w:rsidR="00FB01D8" w:rsidRPr="00FB01D8" w14:paraId="150D7D4F" w14:textId="77777777" w:rsidTr="00FB01D8">
        <w:trPr>
          <w:trHeight w:val="707"/>
        </w:trPr>
        <w:tc>
          <w:tcPr>
            <w:tcW w:w="3055" w:type="dxa"/>
            <w:vAlign w:val="bottom"/>
            <w:hideMark/>
          </w:tcPr>
          <w:p w14:paraId="5750F549" w14:textId="77777777" w:rsidR="00FB01D8" w:rsidRPr="00FB01D8" w:rsidRDefault="00FB01D8" w:rsidP="00FB01D8">
            <w:pPr>
              <w:rPr>
                <w:rFonts w:eastAsia="DengXian"/>
                <w:lang w:eastAsia="zh-CN"/>
              </w:rPr>
            </w:pPr>
            <w:r w:rsidRPr="00FB01D8">
              <w:rPr>
                <w:rFonts w:eastAsia="DengXian"/>
                <w:b/>
                <w:bCs/>
                <w:lang w:eastAsia="zh-CN"/>
              </w:rPr>
              <w:t>Microalbuminuria (mg/L)</w:t>
            </w:r>
          </w:p>
        </w:tc>
        <w:tc>
          <w:tcPr>
            <w:tcW w:w="2160" w:type="dxa"/>
            <w:vAlign w:val="bottom"/>
            <w:hideMark/>
          </w:tcPr>
          <w:p w14:paraId="57DEC810" w14:textId="77777777" w:rsidR="00FB01D8" w:rsidRPr="00FB01D8" w:rsidRDefault="00FB01D8" w:rsidP="00FB01D8">
            <w:pPr>
              <w:jc w:val="center"/>
              <w:rPr>
                <w:rFonts w:eastAsia="DengXian"/>
                <w:lang w:val="en-GB" w:eastAsia="zh-CN"/>
              </w:rPr>
            </w:pPr>
            <w:r w:rsidRPr="00FB01D8">
              <w:rPr>
                <w:rFonts w:eastAsia="DengXian"/>
                <w:lang w:val="en-GB" w:eastAsia="zh-CN"/>
              </w:rPr>
              <w:t>21.00</w:t>
            </w:r>
            <w:r w:rsidRPr="00FB01D8">
              <w:rPr>
                <w:rFonts w:eastAsia="DengXian"/>
                <w:lang w:eastAsia="zh-CN"/>
              </w:rPr>
              <w:t xml:space="preserve">± </w:t>
            </w:r>
            <w:r w:rsidRPr="00FB01D8">
              <w:rPr>
                <w:rFonts w:eastAsia="DengXian"/>
                <w:lang w:val="en-GB" w:eastAsia="zh-CN"/>
              </w:rPr>
              <w:t>21.46</w:t>
            </w:r>
          </w:p>
        </w:tc>
        <w:tc>
          <w:tcPr>
            <w:tcW w:w="1710" w:type="dxa"/>
            <w:vAlign w:val="bottom"/>
            <w:hideMark/>
          </w:tcPr>
          <w:p w14:paraId="18ADDFC9" w14:textId="77777777" w:rsidR="00FB01D8" w:rsidRPr="00FB01D8" w:rsidRDefault="00FB01D8" w:rsidP="00FB01D8">
            <w:pPr>
              <w:jc w:val="center"/>
              <w:rPr>
                <w:rFonts w:eastAsia="DengXian"/>
                <w:lang w:val="en-GB" w:eastAsia="zh-CN"/>
              </w:rPr>
            </w:pPr>
            <w:r w:rsidRPr="00FB01D8">
              <w:rPr>
                <w:rFonts w:eastAsia="DengXian"/>
                <w:lang w:val="en-GB" w:eastAsia="zh-CN"/>
              </w:rPr>
              <w:t>61.25</w:t>
            </w:r>
            <w:r w:rsidRPr="00FB01D8">
              <w:rPr>
                <w:rFonts w:eastAsia="DengXian"/>
                <w:lang w:eastAsia="zh-CN"/>
              </w:rPr>
              <w:t xml:space="preserve">± </w:t>
            </w:r>
            <w:r w:rsidRPr="00FB01D8">
              <w:rPr>
                <w:rFonts w:eastAsia="DengXian"/>
                <w:lang w:val="en-GB" w:eastAsia="zh-CN"/>
              </w:rPr>
              <w:t>61.61</w:t>
            </w:r>
          </w:p>
        </w:tc>
        <w:tc>
          <w:tcPr>
            <w:tcW w:w="1350" w:type="dxa"/>
            <w:vAlign w:val="bottom"/>
            <w:hideMark/>
          </w:tcPr>
          <w:p w14:paraId="616EF0EB"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0.0002*</w:t>
            </w:r>
          </w:p>
        </w:tc>
        <w:tc>
          <w:tcPr>
            <w:tcW w:w="1800" w:type="dxa"/>
            <w:vAlign w:val="bottom"/>
            <w:hideMark/>
          </w:tcPr>
          <w:p w14:paraId="781D4B79" w14:textId="77777777" w:rsidR="00FB01D8" w:rsidRPr="00FB01D8" w:rsidRDefault="00FB01D8" w:rsidP="00FB01D8">
            <w:pPr>
              <w:jc w:val="center"/>
              <w:rPr>
                <w:rFonts w:eastAsia="DengXian"/>
                <w:lang w:eastAsia="zh-CN"/>
              </w:rPr>
            </w:pPr>
            <w:r w:rsidRPr="00FB01D8">
              <w:rPr>
                <w:rFonts w:eastAsia="DengXian"/>
                <w:lang w:val="en-GB" w:eastAsia="zh-CN"/>
              </w:rPr>
              <w:t>22.00</w:t>
            </w:r>
            <w:r w:rsidRPr="00FB01D8">
              <w:rPr>
                <w:rFonts w:eastAsia="DengXian"/>
                <w:lang w:eastAsia="zh-CN"/>
              </w:rPr>
              <w:t xml:space="preserve">± </w:t>
            </w:r>
            <w:r w:rsidRPr="00FB01D8">
              <w:rPr>
                <w:rFonts w:eastAsia="DengXian"/>
                <w:lang w:val="en-GB" w:eastAsia="zh-CN"/>
              </w:rPr>
              <w:t>35.47</w:t>
            </w:r>
          </w:p>
        </w:tc>
        <w:tc>
          <w:tcPr>
            <w:tcW w:w="1620" w:type="dxa"/>
            <w:vAlign w:val="bottom"/>
            <w:hideMark/>
          </w:tcPr>
          <w:p w14:paraId="16E55493" w14:textId="77777777" w:rsidR="00FB01D8" w:rsidRPr="00FB01D8" w:rsidRDefault="00FB01D8" w:rsidP="00FB01D8">
            <w:pPr>
              <w:jc w:val="center"/>
              <w:rPr>
                <w:rFonts w:eastAsia="DengXian"/>
                <w:lang w:eastAsia="zh-CN"/>
              </w:rPr>
            </w:pPr>
            <w:r w:rsidRPr="00FB01D8">
              <w:rPr>
                <w:rFonts w:eastAsia="DengXian"/>
                <w:lang w:val="en-GB" w:eastAsia="zh-CN"/>
              </w:rPr>
              <w:t>63.00</w:t>
            </w:r>
            <w:r w:rsidRPr="00FB01D8">
              <w:rPr>
                <w:rFonts w:eastAsia="DengXian"/>
                <w:lang w:eastAsia="zh-CN"/>
              </w:rPr>
              <w:t xml:space="preserve">± </w:t>
            </w:r>
            <w:r w:rsidRPr="00FB01D8">
              <w:rPr>
                <w:rFonts w:eastAsia="DengXian"/>
                <w:lang w:val="en-GB" w:eastAsia="zh-CN"/>
              </w:rPr>
              <w:t>61.37</w:t>
            </w:r>
          </w:p>
        </w:tc>
        <w:tc>
          <w:tcPr>
            <w:tcW w:w="1377" w:type="dxa"/>
            <w:vAlign w:val="bottom"/>
            <w:hideMark/>
          </w:tcPr>
          <w:p w14:paraId="76EA495D"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0.002*</w:t>
            </w:r>
          </w:p>
        </w:tc>
      </w:tr>
      <w:tr w:rsidR="00FB01D8" w:rsidRPr="00FB01D8" w14:paraId="69DC16C7" w14:textId="77777777" w:rsidTr="00FB01D8">
        <w:trPr>
          <w:trHeight w:val="545"/>
        </w:trPr>
        <w:tc>
          <w:tcPr>
            <w:tcW w:w="3055" w:type="dxa"/>
            <w:vAlign w:val="bottom"/>
            <w:hideMark/>
          </w:tcPr>
          <w:p w14:paraId="418CF160" w14:textId="77777777" w:rsidR="00FB01D8" w:rsidRPr="00FB01D8" w:rsidRDefault="00FB01D8" w:rsidP="00FB01D8">
            <w:pPr>
              <w:rPr>
                <w:rFonts w:eastAsia="DengXian"/>
                <w:b/>
                <w:bCs/>
                <w:lang w:eastAsia="zh-CN"/>
              </w:rPr>
            </w:pPr>
            <w:r w:rsidRPr="00FB01D8">
              <w:rPr>
                <w:rFonts w:eastAsia="DengXian"/>
                <w:b/>
                <w:bCs/>
                <w:lang w:eastAsia="zh-CN"/>
              </w:rPr>
              <w:t>eGFR (ml/min per 1.73 m</w:t>
            </w:r>
            <w:r w:rsidRPr="00FB01D8">
              <w:rPr>
                <w:rFonts w:eastAsia="DengXian"/>
                <w:b/>
                <w:bCs/>
                <w:vertAlign w:val="superscript"/>
                <w:lang w:eastAsia="zh-CN"/>
              </w:rPr>
              <w:t>2</w:t>
            </w:r>
            <w:r w:rsidRPr="00FB01D8">
              <w:rPr>
                <w:rFonts w:eastAsia="DengXian"/>
                <w:b/>
                <w:bCs/>
                <w:lang w:eastAsia="zh-CN"/>
              </w:rPr>
              <w:t>)</w:t>
            </w:r>
          </w:p>
        </w:tc>
        <w:tc>
          <w:tcPr>
            <w:tcW w:w="2160" w:type="dxa"/>
            <w:vAlign w:val="bottom"/>
            <w:hideMark/>
          </w:tcPr>
          <w:p w14:paraId="5714DA1F" w14:textId="77777777" w:rsidR="00FB01D8" w:rsidRPr="00FB01D8" w:rsidRDefault="00FB01D8" w:rsidP="00FB01D8">
            <w:pPr>
              <w:jc w:val="center"/>
              <w:rPr>
                <w:rFonts w:eastAsia="DengXian"/>
                <w:lang w:val="en-GB" w:eastAsia="zh-CN"/>
              </w:rPr>
            </w:pPr>
            <w:r w:rsidRPr="00FB01D8">
              <w:rPr>
                <w:rFonts w:eastAsia="DengXian"/>
                <w:lang w:val="en-GB" w:eastAsia="zh-CN"/>
              </w:rPr>
              <w:t>83.18</w:t>
            </w:r>
            <w:r w:rsidRPr="00FB01D8">
              <w:rPr>
                <w:rFonts w:eastAsia="DengXian"/>
                <w:lang w:eastAsia="zh-CN"/>
              </w:rPr>
              <w:t xml:space="preserve">± </w:t>
            </w:r>
            <w:r w:rsidRPr="00FB01D8">
              <w:rPr>
                <w:rFonts w:eastAsia="DengXian"/>
                <w:lang w:val="en-GB" w:eastAsia="zh-CN"/>
              </w:rPr>
              <w:t>12.56</w:t>
            </w:r>
          </w:p>
        </w:tc>
        <w:tc>
          <w:tcPr>
            <w:tcW w:w="1710" w:type="dxa"/>
            <w:vAlign w:val="bottom"/>
            <w:hideMark/>
          </w:tcPr>
          <w:p w14:paraId="5600C6D4" w14:textId="77777777" w:rsidR="00FB01D8" w:rsidRPr="00FB01D8" w:rsidRDefault="00FB01D8" w:rsidP="00FB01D8">
            <w:pPr>
              <w:jc w:val="center"/>
              <w:rPr>
                <w:rFonts w:eastAsia="DengXian"/>
                <w:lang w:val="en-GB" w:eastAsia="zh-CN"/>
              </w:rPr>
            </w:pPr>
            <w:r w:rsidRPr="00FB01D8">
              <w:rPr>
                <w:rFonts w:eastAsia="DengXian"/>
                <w:lang w:val="en-GB" w:eastAsia="zh-CN"/>
              </w:rPr>
              <w:t>72.13</w:t>
            </w:r>
            <w:r w:rsidRPr="00FB01D8">
              <w:rPr>
                <w:rFonts w:eastAsia="DengXian"/>
                <w:lang w:eastAsia="zh-CN"/>
              </w:rPr>
              <w:t xml:space="preserve">± </w:t>
            </w:r>
            <w:r w:rsidRPr="00FB01D8">
              <w:rPr>
                <w:rFonts w:eastAsia="DengXian"/>
                <w:lang w:val="en-GB" w:eastAsia="zh-CN"/>
              </w:rPr>
              <w:t>24.46</w:t>
            </w:r>
          </w:p>
        </w:tc>
        <w:tc>
          <w:tcPr>
            <w:tcW w:w="1350" w:type="dxa"/>
            <w:vAlign w:val="bottom"/>
            <w:hideMark/>
          </w:tcPr>
          <w:p w14:paraId="76D89E9C"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0.0130*</w:t>
            </w:r>
          </w:p>
        </w:tc>
        <w:tc>
          <w:tcPr>
            <w:tcW w:w="1800" w:type="dxa"/>
            <w:vAlign w:val="bottom"/>
            <w:hideMark/>
          </w:tcPr>
          <w:p w14:paraId="6F49C094" w14:textId="77777777" w:rsidR="00FB01D8" w:rsidRPr="00FB01D8" w:rsidRDefault="00FB01D8" w:rsidP="00FB01D8">
            <w:pPr>
              <w:jc w:val="center"/>
              <w:rPr>
                <w:rFonts w:eastAsia="DengXian"/>
                <w:lang w:eastAsia="zh-CN"/>
              </w:rPr>
            </w:pPr>
            <w:r w:rsidRPr="00FB01D8">
              <w:rPr>
                <w:rFonts w:eastAsia="DengXian"/>
                <w:lang w:val="en-GB" w:eastAsia="zh-CN"/>
              </w:rPr>
              <w:t>97.67</w:t>
            </w:r>
            <w:r w:rsidRPr="00FB01D8">
              <w:rPr>
                <w:rFonts w:eastAsia="DengXian"/>
                <w:lang w:eastAsia="zh-CN"/>
              </w:rPr>
              <w:t xml:space="preserve">± </w:t>
            </w:r>
            <w:r w:rsidRPr="00FB01D8">
              <w:rPr>
                <w:rFonts w:eastAsia="DengXian"/>
                <w:lang w:val="en-GB" w:eastAsia="zh-CN"/>
              </w:rPr>
              <w:t>17.33</w:t>
            </w:r>
          </w:p>
        </w:tc>
        <w:tc>
          <w:tcPr>
            <w:tcW w:w="1620" w:type="dxa"/>
            <w:vAlign w:val="bottom"/>
            <w:hideMark/>
          </w:tcPr>
          <w:p w14:paraId="7B6DDBFB" w14:textId="77777777" w:rsidR="00FB01D8" w:rsidRPr="00FB01D8" w:rsidRDefault="00FB01D8" w:rsidP="00FB01D8">
            <w:pPr>
              <w:jc w:val="center"/>
              <w:rPr>
                <w:rFonts w:eastAsia="DengXian"/>
                <w:lang w:eastAsia="zh-CN"/>
              </w:rPr>
            </w:pPr>
            <w:r w:rsidRPr="00FB01D8">
              <w:rPr>
                <w:rFonts w:eastAsia="DengXian"/>
                <w:lang w:val="en-GB" w:eastAsia="zh-CN"/>
              </w:rPr>
              <w:t>84.07</w:t>
            </w:r>
            <w:r w:rsidRPr="00FB01D8">
              <w:rPr>
                <w:rFonts w:eastAsia="DengXian"/>
                <w:lang w:eastAsia="zh-CN"/>
              </w:rPr>
              <w:t xml:space="preserve">± </w:t>
            </w:r>
            <w:r w:rsidRPr="00FB01D8">
              <w:rPr>
                <w:rFonts w:eastAsia="DengXian"/>
                <w:lang w:val="en-GB" w:eastAsia="zh-CN"/>
              </w:rPr>
              <w:t>20.59</w:t>
            </w:r>
          </w:p>
        </w:tc>
        <w:tc>
          <w:tcPr>
            <w:tcW w:w="1377" w:type="dxa"/>
            <w:vAlign w:val="bottom"/>
            <w:hideMark/>
          </w:tcPr>
          <w:p w14:paraId="409D33E1"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0.0076*</w:t>
            </w:r>
          </w:p>
        </w:tc>
      </w:tr>
      <w:tr w:rsidR="00FB01D8" w:rsidRPr="00FB01D8" w14:paraId="64F46E39" w14:textId="77777777" w:rsidTr="00FB01D8">
        <w:trPr>
          <w:trHeight w:val="545"/>
        </w:trPr>
        <w:tc>
          <w:tcPr>
            <w:tcW w:w="3055" w:type="dxa"/>
            <w:vAlign w:val="bottom"/>
            <w:hideMark/>
          </w:tcPr>
          <w:p w14:paraId="3B62BA8B" w14:textId="77777777" w:rsidR="00FB01D8" w:rsidRPr="00FB01D8" w:rsidRDefault="00FB01D8" w:rsidP="00FB01D8">
            <w:pPr>
              <w:rPr>
                <w:rFonts w:eastAsia="DengXian"/>
                <w:b/>
                <w:bCs/>
                <w:lang w:eastAsia="zh-CN"/>
              </w:rPr>
            </w:pPr>
            <w:r w:rsidRPr="00FB01D8">
              <w:rPr>
                <w:rFonts w:eastAsia="DengXian"/>
                <w:b/>
                <w:bCs/>
                <w:lang w:eastAsia="zh-CN"/>
              </w:rPr>
              <w:t>Urea (mmol/L)</w:t>
            </w:r>
          </w:p>
        </w:tc>
        <w:tc>
          <w:tcPr>
            <w:tcW w:w="2160" w:type="dxa"/>
            <w:vAlign w:val="bottom"/>
            <w:hideMark/>
          </w:tcPr>
          <w:p w14:paraId="559B2FB3" w14:textId="77777777" w:rsidR="00FB01D8" w:rsidRPr="00FB01D8" w:rsidRDefault="00FB01D8" w:rsidP="00FB01D8">
            <w:pPr>
              <w:jc w:val="center"/>
              <w:rPr>
                <w:rFonts w:eastAsia="DengXian"/>
                <w:lang w:val="en-GB" w:eastAsia="zh-CN"/>
              </w:rPr>
            </w:pPr>
            <w:r w:rsidRPr="00FB01D8">
              <w:rPr>
                <w:rFonts w:eastAsia="DengXian"/>
                <w:lang w:val="en-GB" w:eastAsia="zh-CN"/>
              </w:rPr>
              <w:t>3.380</w:t>
            </w:r>
            <w:r w:rsidRPr="00FB01D8">
              <w:rPr>
                <w:rFonts w:eastAsia="DengXian"/>
                <w:lang w:eastAsia="zh-CN"/>
              </w:rPr>
              <w:t xml:space="preserve">± </w:t>
            </w:r>
            <w:r w:rsidRPr="00FB01D8">
              <w:rPr>
                <w:rFonts w:eastAsia="DengXian"/>
                <w:lang w:val="en-GB" w:eastAsia="zh-CN"/>
              </w:rPr>
              <w:t>0.4784</w:t>
            </w:r>
          </w:p>
        </w:tc>
        <w:tc>
          <w:tcPr>
            <w:tcW w:w="1710" w:type="dxa"/>
            <w:vAlign w:val="bottom"/>
            <w:hideMark/>
          </w:tcPr>
          <w:p w14:paraId="3D81D1A0" w14:textId="77777777" w:rsidR="00FB01D8" w:rsidRPr="00FB01D8" w:rsidRDefault="00FB01D8" w:rsidP="00FB01D8">
            <w:pPr>
              <w:jc w:val="center"/>
              <w:rPr>
                <w:rFonts w:eastAsia="DengXian"/>
                <w:lang w:val="en-GB" w:eastAsia="zh-CN"/>
              </w:rPr>
            </w:pPr>
            <w:r w:rsidRPr="00FB01D8">
              <w:rPr>
                <w:rFonts w:eastAsia="DengXian"/>
                <w:lang w:val="en-GB" w:eastAsia="zh-CN"/>
              </w:rPr>
              <w:t>4.610</w:t>
            </w:r>
            <w:r w:rsidRPr="00FB01D8">
              <w:rPr>
                <w:rFonts w:eastAsia="DengXian"/>
                <w:lang w:eastAsia="zh-CN"/>
              </w:rPr>
              <w:t xml:space="preserve">± </w:t>
            </w:r>
            <w:r w:rsidRPr="00FB01D8">
              <w:rPr>
                <w:rFonts w:eastAsia="DengXian"/>
                <w:lang w:val="en-GB" w:eastAsia="zh-CN"/>
              </w:rPr>
              <w:t>4.562</w:t>
            </w:r>
          </w:p>
        </w:tc>
        <w:tc>
          <w:tcPr>
            <w:tcW w:w="1350" w:type="dxa"/>
            <w:vAlign w:val="bottom"/>
            <w:hideMark/>
          </w:tcPr>
          <w:p w14:paraId="3853BAAC" w14:textId="77777777" w:rsidR="00FB01D8" w:rsidRPr="00FB01D8" w:rsidRDefault="00FB01D8" w:rsidP="00FB01D8">
            <w:pPr>
              <w:jc w:val="center"/>
              <w:rPr>
                <w:rFonts w:eastAsia="DengXian"/>
                <w:lang w:val="en-GB" w:eastAsia="zh-CN"/>
              </w:rPr>
            </w:pPr>
            <w:r w:rsidRPr="00FB01D8">
              <w:rPr>
                <w:rFonts w:eastAsia="DengXian"/>
                <w:lang w:val="en-GB" w:eastAsia="zh-CN"/>
              </w:rPr>
              <w:t>0.0939</w:t>
            </w:r>
          </w:p>
        </w:tc>
        <w:tc>
          <w:tcPr>
            <w:tcW w:w="1800" w:type="dxa"/>
            <w:vAlign w:val="bottom"/>
            <w:hideMark/>
          </w:tcPr>
          <w:p w14:paraId="7F2D2043" w14:textId="77777777" w:rsidR="00FB01D8" w:rsidRPr="00FB01D8" w:rsidRDefault="00FB01D8" w:rsidP="00FB01D8">
            <w:pPr>
              <w:jc w:val="center"/>
              <w:rPr>
                <w:rFonts w:eastAsia="DengXian"/>
                <w:lang w:eastAsia="zh-CN"/>
              </w:rPr>
            </w:pPr>
            <w:r w:rsidRPr="00FB01D8">
              <w:rPr>
                <w:rFonts w:eastAsia="DengXian"/>
                <w:lang w:val="en-GB" w:eastAsia="zh-CN"/>
              </w:rPr>
              <w:t>3.470</w:t>
            </w:r>
            <w:r w:rsidRPr="00FB01D8">
              <w:rPr>
                <w:rFonts w:eastAsia="DengXian"/>
                <w:lang w:eastAsia="zh-CN"/>
              </w:rPr>
              <w:t xml:space="preserve">± </w:t>
            </w:r>
            <w:r w:rsidRPr="00FB01D8">
              <w:rPr>
                <w:rFonts w:eastAsia="DengXian"/>
                <w:lang w:val="en-GB" w:eastAsia="zh-CN"/>
              </w:rPr>
              <w:t>0.5100</w:t>
            </w:r>
          </w:p>
        </w:tc>
        <w:tc>
          <w:tcPr>
            <w:tcW w:w="1620" w:type="dxa"/>
            <w:vAlign w:val="bottom"/>
            <w:hideMark/>
          </w:tcPr>
          <w:p w14:paraId="013BAAFF" w14:textId="77777777" w:rsidR="00FB01D8" w:rsidRPr="00FB01D8" w:rsidRDefault="00FB01D8" w:rsidP="00FB01D8">
            <w:pPr>
              <w:jc w:val="center"/>
              <w:rPr>
                <w:rFonts w:eastAsia="DengXian"/>
                <w:lang w:eastAsia="zh-CN"/>
              </w:rPr>
            </w:pPr>
            <w:r w:rsidRPr="00FB01D8">
              <w:rPr>
                <w:rFonts w:eastAsia="DengXian"/>
                <w:lang w:val="en-GB" w:eastAsia="zh-CN"/>
              </w:rPr>
              <w:t>5.270</w:t>
            </w:r>
            <w:r w:rsidRPr="00FB01D8">
              <w:rPr>
                <w:rFonts w:eastAsia="DengXian"/>
                <w:lang w:eastAsia="zh-CN"/>
              </w:rPr>
              <w:t xml:space="preserve">± </w:t>
            </w:r>
            <w:r w:rsidRPr="00FB01D8">
              <w:rPr>
                <w:rFonts w:eastAsia="DengXian"/>
                <w:lang w:val="en-GB" w:eastAsia="zh-CN"/>
              </w:rPr>
              <w:t>4.643</w:t>
            </w:r>
          </w:p>
        </w:tc>
        <w:tc>
          <w:tcPr>
            <w:tcW w:w="1377" w:type="dxa"/>
            <w:vAlign w:val="bottom"/>
            <w:hideMark/>
          </w:tcPr>
          <w:p w14:paraId="691BA777"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0.0391*</w:t>
            </w:r>
          </w:p>
        </w:tc>
      </w:tr>
      <w:tr w:rsidR="00FB01D8" w:rsidRPr="00FB01D8" w14:paraId="19361956" w14:textId="77777777" w:rsidTr="00FB01D8">
        <w:trPr>
          <w:trHeight w:val="626"/>
        </w:trPr>
        <w:tc>
          <w:tcPr>
            <w:tcW w:w="3055" w:type="dxa"/>
            <w:vAlign w:val="bottom"/>
            <w:hideMark/>
          </w:tcPr>
          <w:p w14:paraId="10357EE4" w14:textId="77777777" w:rsidR="00FB01D8" w:rsidRPr="00FB01D8" w:rsidRDefault="00FB01D8" w:rsidP="00FB01D8">
            <w:pPr>
              <w:rPr>
                <w:rFonts w:eastAsia="DengXian"/>
                <w:b/>
                <w:bCs/>
                <w:lang w:eastAsia="zh-CN"/>
              </w:rPr>
            </w:pPr>
            <w:proofErr w:type="spellStart"/>
            <w:r w:rsidRPr="00FB01D8">
              <w:rPr>
                <w:rFonts w:eastAsia="DengXian"/>
                <w:b/>
                <w:bCs/>
                <w:lang w:eastAsia="zh-CN"/>
              </w:rPr>
              <w:t>Creatinine</w:t>
            </w:r>
            <w:proofErr w:type="spellEnd"/>
            <w:r w:rsidRPr="00FB01D8">
              <w:rPr>
                <w:rFonts w:eastAsia="DengXian"/>
                <w:b/>
                <w:bCs/>
                <w:lang w:eastAsia="zh-CN"/>
              </w:rPr>
              <w:t xml:space="preserve"> (</w:t>
            </w:r>
            <w:r w:rsidRPr="00FB01D8">
              <w:rPr>
                <w:rFonts w:eastAsia="DengXian"/>
                <w:b/>
                <w:noProof/>
              </w:rPr>
              <w:drawing>
                <wp:inline distT="0" distB="0" distL="0" distR="0" wp14:anchorId="79CA6375" wp14:editId="64568B51">
                  <wp:extent cx="9525" cy="95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roofErr w:type="spellStart"/>
            <w:r w:rsidRPr="00FB01D8">
              <w:rPr>
                <w:rFonts w:eastAsia="DengXian"/>
                <w:b/>
                <w:bCs/>
                <w:lang w:eastAsia="zh-CN"/>
              </w:rPr>
              <w:t>μmol</w:t>
            </w:r>
            <w:proofErr w:type="spellEnd"/>
            <w:r w:rsidRPr="00FB01D8">
              <w:rPr>
                <w:rFonts w:eastAsia="DengXian"/>
                <w:b/>
                <w:bCs/>
                <w:lang w:eastAsia="zh-CN"/>
              </w:rPr>
              <w:t>/L)</w:t>
            </w:r>
          </w:p>
        </w:tc>
        <w:tc>
          <w:tcPr>
            <w:tcW w:w="2160" w:type="dxa"/>
            <w:vAlign w:val="bottom"/>
            <w:hideMark/>
          </w:tcPr>
          <w:p w14:paraId="6F519FCE" w14:textId="77777777" w:rsidR="00FB01D8" w:rsidRPr="00FB01D8" w:rsidRDefault="00FB01D8" w:rsidP="00FB01D8">
            <w:pPr>
              <w:jc w:val="center"/>
              <w:rPr>
                <w:rFonts w:eastAsia="DengXian"/>
                <w:lang w:val="en-GB" w:eastAsia="zh-CN"/>
              </w:rPr>
            </w:pPr>
            <w:r w:rsidRPr="00FB01D8">
              <w:rPr>
                <w:rFonts w:eastAsia="DengXian"/>
                <w:lang w:val="en-GB" w:eastAsia="zh-CN"/>
              </w:rPr>
              <w:t>75.30</w:t>
            </w:r>
            <w:r w:rsidRPr="00FB01D8">
              <w:rPr>
                <w:rFonts w:eastAsia="DengXian"/>
                <w:lang w:eastAsia="zh-CN"/>
              </w:rPr>
              <w:t xml:space="preserve">± </w:t>
            </w:r>
            <w:r w:rsidRPr="00FB01D8">
              <w:rPr>
                <w:rFonts w:eastAsia="DengXian"/>
                <w:lang w:val="en-GB" w:eastAsia="zh-CN"/>
              </w:rPr>
              <w:t>11.00</w:t>
            </w:r>
          </w:p>
        </w:tc>
        <w:tc>
          <w:tcPr>
            <w:tcW w:w="1710" w:type="dxa"/>
            <w:vAlign w:val="bottom"/>
            <w:hideMark/>
          </w:tcPr>
          <w:p w14:paraId="296C9DC5" w14:textId="77777777" w:rsidR="00FB01D8" w:rsidRPr="00FB01D8" w:rsidRDefault="00FB01D8" w:rsidP="00FB01D8">
            <w:pPr>
              <w:jc w:val="center"/>
              <w:rPr>
                <w:rFonts w:eastAsia="DengXian"/>
                <w:lang w:val="en-GB" w:eastAsia="zh-CN"/>
              </w:rPr>
            </w:pPr>
            <w:r w:rsidRPr="00FB01D8">
              <w:rPr>
                <w:rFonts w:eastAsia="DengXian"/>
                <w:lang w:val="en-GB" w:eastAsia="zh-CN"/>
              </w:rPr>
              <w:t>105.3</w:t>
            </w:r>
            <w:r w:rsidRPr="00FB01D8">
              <w:rPr>
                <w:rFonts w:eastAsia="DengXian"/>
                <w:lang w:eastAsia="zh-CN"/>
              </w:rPr>
              <w:t xml:space="preserve">± </w:t>
            </w:r>
            <w:r w:rsidRPr="00FB01D8">
              <w:rPr>
                <w:rFonts w:eastAsia="DengXian"/>
                <w:lang w:val="en-GB" w:eastAsia="zh-CN"/>
              </w:rPr>
              <w:t>105.8</w:t>
            </w:r>
          </w:p>
        </w:tc>
        <w:tc>
          <w:tcPr>
            <w:tcW w:w="1350" w:type="dxa"/>
            <w:vAlign w:val="bottom"/>
            <w:hideMark/>
          </w:tcPr>
          <w:p w14:paraId="46ED52D3" w14:textId="77777777" w:rsidR="00FB01D8" w:rsidRPr="00FB01D8" w:rsidRDefault="00FB01D8" w:rsidP="00FB01D8">
            <w:pPr>
              <w:jc w:val="center"/>
              <w:rPr>
                <w:rFonts w:eastAsia="DengXian"/>
                <w:lang w:val="en-GB" w:eastAsia="zh-CN"/>
              </w:rPr>
            </w:pPr>
            <w:r w:rsidRPr="00FB01D8">
              <w:rPr>
                <w:rFonts w:eastAsia="DengXian"/>
                <w:lang w:val="en-GB" w:eastAsia="zh-CN"/>
              </w:rPr>
              <w:t>0.0783</w:t>
            </w:r>
          </w:p>
        </w:tc>
        <w:tc>
          <w:tcPr>
            <w:tcW w:w="1800" w:type="dxa"/>
            <w:vAlign w:val="bottom"/>
            <w:hideMark/>
          </w:tcPr>
          <w:p w14:paraId="198F54B4" w14:textId="77777777" w:rsidR="00FB01D8" w:rsidRPr="00FB01D8" w:rsidRDefault="00FB01D8" w:rsidP="00FB01D8">
            <w:pPr>
              <w:jc w:val="center"/>
              <w:rPr>
                <w:rFonts w:eastAsia="DengXian"/>
                <w:lang w:val="en-GB" w:eastAsia="zh-CN"/>
              </w:rPr>
            </w:pPr>
            <w:r w:rsidRPr="00FB01D8">
              <w:rPr>
                <w:rFonts w:eastAsia="DengXian"/>
                <w:lang w:val="en-GB" w:eastAsia="zh-CN"/>
              </w:rPr>
              <w:t>82.03</w:t>
            </w:r>
            <w:r w:rsidRPr="00FB01D8">
              <w:rPr>
                <w:rFonts w:eastAsia="DengXian"/>
                <w:lang w:eastAsia="zh-CN"/>
              </w:rPr>
              <w:t xml:space="preserve">± </w:t>
            </w:r>
            <w:r w:rsidRPr="00FB01D8">
              <w:rPr>
                <w:rFonts w:eastAsia="DengXian"/>
                <w:lang w:val="en-GB" w:eastAsia="zh-CN"/>
              </w:rPr>
              <w:t>23.85</w:t>
            </w:r>
          </w:p>
        </w:tc>
        <w:tc>
          <w:tcPr>
            <w:tcW w:w="1620" w:type="dxa"/>
            <w:vAlign w:val="bottom"/>
            <w:hideMark/>
          </w:tcPr>
          <w:p w14:paraId="2AB12E05" w14:textId="77777777" w:rsidR="00FB01D8" w:rsidRPr="00FB01D8" w:rsidRDefault="00FB01D8" w:rsidP="00FB01D8">
            <w:pPr>
              <w:jc w:val="center"/>
              <w:rPr>
                <w:rFonts w:eastAsia="DengXian"/>
                <w:lang w:val="en-GB" w:eastAsia="zh-CN"/>
              </w:rPr>
            </w:pPr>
            <w:r w:rsidRPr="00FB01D8">
              <w:rPr>
                <w:rFonts w:eastAsia="DengXian"/>
                <w:lang w:val="en-GB" w:eastAsia="zh-CN"/>
              </w:rPr>
              <w:t>96.27</w:t>
            </w:r>
            <w:r w:rsidRPr="00FB01D8">
              <w:rPr>
                <w:rFonts w:eastAsia="DengXian"/>
                <w:lang w:eastAsia="zh-CN"/>
              </w:rPr>
              <w:t xml:space="preserve">± </w:t>
            </w:r>
            <w:r w:rsidRPr="00FB01D8">
              <w:rPr>
                <w:rFonts w:eastAsia="DengXian"/>
                <w:lang w:val="en-GB" w:eastAsia="zh-CN"/>
              </w:rPr>
              <w:t>21.95</w:t>
            </w:r>
          </w:p>
        </w:tc>
        <w:tc>
          <w:tcPr>
            <w:tcW w:w="1377" w:type="dxa"/>
            <w:vAlign w:val="bottom"/>
            <w:hideMark/>
          </w:tcPr>
          <w:p w14:paraId="6A3F4B3B"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0.0194*</w:t>
            </w:r>
          </w:p>
        </w:tc>
      </w:tr>
      <w:tr w:rsidR="00FB01D8" w:rsidRPr="00FB01D8" w14:paraId="74E3D9A8" w14:textId="77777777" w:rsidTr="00FB01D8">
        <w:trPr>
          <w:trHeight w:val="545"/>
        </w:trPr>
        <w:tc>
          <w:tcPr>
            <w:tcW w:w="3055" w:type="dxa"/>
            <w:vAlign w:val="bottom"/>
            <w:hideMark/>
          </w:tcPr>
          <w:p w14:paraId="4B76B83B" w14:textId="77777777" w:rsidR="00FB01D8" w:rsidRPr="00FB01D8" w:rsidRDefault="00FB01D8" w:rsidP="00FB01D8">
            <w:pPr>
              <w:rPr>
                <w:rFonts w:eastAsia="DengXian"/>
                <w:b/>
                <w:bCs/>
                <w:lang w:eastAsia="zh-CN"/>
              </w:rPr>
            </w:pPr>
            <w:r w:rsidRPr="00FB01D8">
              <w:rPr>
                <w:rFonts w:eastAsia="DengXian"/>
                <w:b/>
                <w:bCs/>
                <w:lang w:eastAsia="zh-CN"/>
              </w:rPr>
              <w:t>Sodium (mmol/L)</w:t>
            </w:r>
          </w:p>
        </w:tc>
        <w:tc>
          <w:tcPr>
            <w:tcW w:w="2160" w:type="dxa"/>
            <w:vAlign w:val="bottom"/>
            <w:hideMark/>
          </w:tcPr>
          <w:p w14:paraId="24868DEC" w14:textId="77777777" w:rsidR="00FB01D8" w:rsidRPr="00FB01D8" w:rsidRDefault="00FB01D8" w:rsidP="00FB01D8">
            <w:pPr>
              <w:jc w:val="center"/>
              <w:rPr>
                <w:rFonts w:eastAsia="DengXian"/>
                <w:lang w:val="en-GB" w:eastAsia="zh-CN"/>
              </w:rPr>
            </w:pPr>
            <w:r w:rsidRPr="00FB01D8">
              <w:rPr>
                <w:rFonts w:eastAsia="DengXian"/>
                <w:lang w:val="en-GB" w:eastAsia="zh-CN"/>
              </w:rPr>
              <w:t>140.2</w:t>
            </w:r>
            <w:r w:rsidRPr="00FB01D8">
              <w:rPr>
                <w:rFonts w:eastAsia="DengXian"/>
                <w:lang w:eastAsia="zh-CN"/>
              </w:rPr>
              <w:t xml:space="preserve">± </w:t>
            </w:r>
            <w:r w:rsidRPr="00FB01D8">
              <w:rPr>
                <w:rFonts w:eastAsia="DengXian"/>
                <w:lang w:val="en-GB" w:eastAsia="zh-CN"/>
              </w:rPr>
              <w:t>1.810</w:t>
            </w:r>
          </w:p>
        </w:tc>
        <w:tc>
          <w:tcPr>
            <w:tcW w:w="1710" w:type="dxa"/>
            <w:vAlign w:val="bottom"/>
            <w:hideMark/>
          </w:tcPr>
          <w:p w14:paraId="58FF4C15" w14:textId="77777777" w:rsidR="00FB01D8" w:rsidRPr="00FB01D8" w:rsidRDefault="00FB01D8" w:rsidP="00FB01D8">
            <w:pPr>
              <w:jc w:val="center"/>
              <w:rPr>
                <w:rFonts w:eastAsia="DengXian"/>
                <w:lang w:val="en-GB" w:eastAsia="zh-CN"/>
              </w:rPr>
            </w:pPr>
            <w:r w:rsidRPr="00FB01D8">
              <w:rPr>
                <w:rFonts w:eastAsia="DengXian"/>
                <w:lang w:val="en-GB" w:eastAsia="zh-CN"/>
              </w:rPr>
              <w:t>140.6</w:t>
            </w:r>
            <w:r w:rsidRPr="00FB01D8">
              <w:rPr>
                <w:rFonts w:eastAsia="DengXian"/>
                <w:lang w:eastAsia="zh-CN"/>
              </w:rPr>
              <w:t xml:space="preserve">± </w:t>
            </w:r>
            <w:r w:rsidRPr="00FB01D8">
              <w:rPr>
                <w:rFonts w:eastAsia="DengXian"/>
                <w:lang w:val="en-GB" w:eastAsia="zh-CN"/>
              </w:rPr>
              <w:t>1.973</w:t>
            </w:r>
          </w:p>
        </w:tc>
        <w:tc>
          <w:tcPr>
            <w:tcW w:w="1350" w:type="dxa"/>
            <w:vAlign w:val="bottom"/>
            <w:hideMark/>
          </w:tcPr>
          <w:p w14:paraId="5516A80E" w14:textId="77777777" w:rsidR="00FB01D8" w:rsidRPr="00FB01D8" w:rsidRDefault="00FB01D8" w:rsidP="00FB01D8">
            <w:pPr>
              <w:jc w:val="center"/>
              <w:rPr>
                <w:rFonts w:eastAsia="DengXian"/>
                <w:lang w:val="en-GB" w:eastAsia="zh-CN"/>
              </w:rPr>
            </w:pPr>
            <w:r w:rsidRPr="00FB01D8">
              <w:rPr>
                <w:rFonts w:eastAsia="DengXian"/>
                <w:lang w:val="en-GB" w:eastAsia="zh-CN"/>
              </w:rPr>
              <w:t>0.3476</w:t>
            </w:r>
          </w:p>
        </w:tc>
        <w:tc>
          <w:tcPr>
            <w:tcW w:w="1800" w:type="dxa"/>
            <w:vAlign w:val="bottom"/>
            <w:hideMark/>
          </w:tcPr>
          <w:p w14:paraId="613A068A" w14:textId="77777777" w:rsidR="00FB01D8" w:rsidRPr="00FB01D8" w:rsidRDefault="00FB01D8" w:rsidP="00FB01D8">
            <w:pPr>
              <w:jc w:val="center"/>
              <w:rPr>
                <w:rFonts w:eastAsia="DengXian"/>
                <w:lang w:val="en-GB" w:eastAsia="zh-CN"/>
              </w:rPr>
            </w:pPr>
            <w:r w:rsidRPr="00FB01D8">
              <w:rPr>
                <w:rFonts w:eastAsia="DengXian"/>
                <w:lang w:val="en-GB" w:eastAsia="zh-CN"/>
              </w:rPr>
              <w:t>140.1</w:t>
            </w:r>
            <w:r w:rsidRPr="00FB01D8">
              <w:rPr>
                <w:rFonts w:eastAsia="DengXian"/>
                <w:lang w:eastAsia="zh-CN"/>
              </w:rPr>
              <w:t xml:space="preserve">± </w:t>
            </w:r>
            <w:r w:rsidRPr="00FB01D8">
              <w:rPr>
                <w:rFonts w:eastAsia="DengXian"/>
                <w:lang w:val="en-GB" w:eastAsia="zh-CN"/>
              </w:rPr>
              <w:t>1.494</w:t>
            </w:r>
          </w:p>
        </w:tc>
        <w:tc>
          <w:tcPr>
            <w:tcW w:w="1620" w:type="dxa"/>
            <w:vAlign w:val="bottom"/>
            <w:hideMark/>
          </w:tcPr>
          <w:p w14:paraId="0A19B3BA" w14:textId="77777777" w:rsidR="00FB01D8" w:rsidRPr="00FB01D8" w:rsidRDefault="00FB01D8" w:rsidP="00FB01D8">
            <w:pPr>
              <w:jc w:val="center"/>
              <w:rPr>
                <w:rFonts w:eastAsia="DengXian"/>
                <w:lang w:val="en-GB" w:eastAsia="zh-CN"/>
              </w:rPr>
            </w:pPr>
            <w:r w:rsidRPr="00FB01D8">
              <w:rPr>
                <w:rFonts w:eastAsia="DengXian"/>
                <w:lang w:val="en-GB" w:eastAsia="zh-CN"/>
              </w:rPr>
              <w:t>140.0</w:t>
            </w:r>
            <w:r w:rsidRPr="00FB01D8">
              <w:rPr>
                <w:rFonts w:eastAsia="DengXian"/>
                <w:lang w:eastAsia="zh-CN"/>
              </w:rPr>
              <w:t xml:space="preserve">± </w:t>
            </w:r>
            <w:r w:rsidRPr="00FB01D8">
              <w:rPr>
                <w:rFonts w:eastAsia="DengXian"/>
                <w:lang w:val="en-GB" w:eastAsia="zh-CN"/>
              </w:rPr>
              <w:t>2.141</w:t>
            </w:r>
          </w:p>
        </w:tc>
        <w:tc>
          <w:tcPr>
            <w:tcW w:w="1377" w:type="dxa"/>
            <w:vAlign w:val="bottom"/>
            <w:hideMark/>
          </w:tcPr>
          <w:p w14:paraId="1710A703" w14:textId="77777777" w:rsidR="00FB01D8" w:rsidRPr="00FB01D8" w:rsidRDefault="00FB01D8" w:rsidP="00FB01D8">
            <w:pPr>
              <w:jc w:val="center"/>
              <w:rPr>
                <w:rFonts w:eastAsia="DengXian"/>
                <w:lang w:val="en-GB" w:eastAsia="zh-CN"/>
              </w:rPr>
            </w:pPr>
            <w:r w:rsidRPr="00FB01D8">
              <w:rPr>
                <w:rFonts w:eastAsia="DengXian"/>
                <w:lang w:val="en-GB" w:eastAsia="zh-CN"/>
              </w:rPr>
              <w:t>0.8893</w:t>
            </w:r>
          </w:p>
        </w:tc>
      </w:tr>
      <w:tr w:rsidR="00FB01D8" w:rsidRPr="00FB01D8" w14:paraId="51E75B17" w14:textId="77777777" w:rsidTr="00FB01D8">
        <w:trPr>
          <w:trHeight w:val="581"/>
        </w:trPr>
        <w:tc>
          <w:tcPr>
            <w:tcW w:w="3055" w:type="dxa"/>
            <w:vAlign w:val="bottom"/>
            <w:hideMark/>
          </w:tcPr>
          <w:p w14:paraId="6421EB61" w14:textId="77777777" w:rsidR="00FB01D8" w:rsidRPr="00FB01D8" w:rsidRDefault="00FB01D8" w:rsidP="00FB01D8">
            <w:pPr>
              <w:rPr>
                <w:rFonts w:eastAsia="DengXian"/>
                <w:b/>
                <w:bCs/>
                <w:lang w:eastAsia="zh-CN"/>
              </w:rPr>
            </w:pPr>
            <w:r w:rsidRPr="00FB01D8">
              <w:rPr>
                <w:rFonts w:eastAsia="DengXian"/>
                <w:b/>
                <w:bCs/>
                <w:lang w:eastAsia="zh-CN"/>
              </w:rPr>
              <w:t>Potassium (mmol/L)</w:t>
            </w:r>
          </w:p>
        </w:tc>
        <w:tc>
          <w:tcPr>
            <w:tcW w:w="2160" w:type="dxa"/>
            <w:vAlign w:val="bottom"/>
            <w:hideMark/>
          </w:tcPr>
          <w:p w14:paraId="044FD111" w14:textId="77777777" w:rsidR="00FB01D8" w:rsidRPr="00FB01D8" w:rsidRDefault="00FB01D8" w:rsidP="00FB01D8">
            <w:pPr>
              <w:jc w:val="center"/>
              <w:rPr>
                <w:rFonts w:eastAsia="DengXian"/>
                <w:lang w:val="en-GB" w:eastAsia="zh-CN"/>
              </w:rPr>
            </w:pPr>
            <w:r w:rsidRPr="00FB01D8">
              <w:rPr>
                <w:rFonts w:eastAsia="DengXian"/>
                <w:lang w:val="en-GB" w:eastAsia="zh-CN"/>
              </w:rPr>
              <w:t>4.133</w:t>
            </w:r>
            <w:r w:rsidRPr="00FB01D8">
              <w:rPr>
                <w:rFonts w:eastAsia="DengXian"/>
                <w:lang w:eastAsia="zh-CN"/>
              </w:rPr>
              <w:t xml:space="preserve">± </w:t>
            </w:r>
            <w:r w:rsidRPr="00FB01D8">
              <w:rPr>
                <w:rFonts w:eastAsia="DengXian"/>
                <w:lang w:val="en-GB" w:eastAsia="zh-CN"/>
              </w:rPr>
              <w:t>0.2759</w:t>
            </w:r>
          </w:p>
        </w:tc>
        <w:tc>
          <w:tcPr>
            <w:tcW w:w="1710" w:type="dxa"/>
            <w:vAlign w:val="bottom"/>
            <w:hideMark/>
          </w:tcPr>
          <w:p w14:paraId="05143114" w14:textId="77777777" w:rsidR="00FB01D8" w:rsidRPr="00FB01D8" w:rsidRDefault="00FB01D8" w:rsidP="00FB01D8">
            <w:pPr>
              <w:jc w:val="center"/>
              <w:rPr>
                <w:rFonts w:eastAsia="DengXian"/>
                <w:lang w:val="en-GB" w:eastAsia="zh-CN"/>
              </w:rPr>
            </w:pPr>
            <w:r w:rsidRPr="00FB01D8">
              <w:rPr>
                <w:rFonts w:eastAsia="DengXian"/>
                <w:lang w:val="en-GB" w:eastAsia="zh-CN"/>
              </w:rPr>
              <w:t>5.998</w:t>
            </w:r>
            <w:r w:rsidRPr="00FB01D8">
              <w:rPr>
                <w:rFonts w:eastAsia="DengXian"/>
                <w:lang w:eastAsia="zh-CN"/>
              </w:rPr>
              <w:t xml:space="preserve">± </w:t>
            </w:r>
            <w:r w:rsidRPr="00FB01D8">
              <w:rPr>
                <w:rFonts w:eastAsia="DengXian"/>
                <w:lang w:val="en-GB" w:eastAsia="zh-CN"/>
              </w:rPr>
              <w:t>7.907</w:t>
            </w:r>
          </w:p>
        </w:tc>
        <w:tc>
          <w:tcPr>
            <w:tcW w:w="1350" w:type="dxa"/>
            <w:vAlign w:val="bottom"/>
            <w:hideMark/>
          </w:tcPr>
          <w:p w14:paraId="72AB6CB5" w14:textId="77777777" w:rsidR="00FB01D8" w:rsidRPr="00FB01D8" w:rsidRDefault="00FB01D8" w:rsidP="00FB01D8">
            <w:pPr>
              <w:jc w:val="center"/>
              <w:rPr>
                <w:rFonts w:eastAsia="DengXian"/>
                <w:lang w:val="en-GB" w:eastAsia="zh-CN"/>
              </w:rPr>
            </w:pPr>
            <w:r w:rsidRPr="00FB01D8">
              <w:rPr>
                <w:rFonts w:eastAsia="DengXian"/>
                <w:lang w:val="en-GB" w:eastAsia="zh-CN"/>
              </w:rPr>
              <w:t>0.1400</w:t>
            </w:r>
          </w:p>
        </w:tc>
        <w:tc>
          <w:tcPr>
            <w:tcW w:w="1800" w:type="dxa"/>
            <w:vAlign w:val="bottom"/>
            <w:hideMark/>
          </w:tcPr>
          <w:p w14:paraId="35764E8C" w14:textId="77777777" w:rsidR="00FB01D8" w:rsidRPr="00FB01D8" w:rsidRDefault="00FB01D8" w:rsidP="00FB01D8">
            <w:pPr>
              <w:jc w:val="center"/>
              <w:rPr>
                <w:rFonts w:eastAsia="DengXian"/>
                <w:lang w:val="en-GB" w:eastAsia="zh-CN"/>
              </w:rPr>
            </w:pPr>
            <w:r w:rsidRPr="00FB01D8">
              <w:rPr>
                <w:rFonts w:eastAsia="DengXian"/>
                <w:lang w:val="en-GB" w:eastAsia="zh-CN"/>
              </w:rPr>
              <w:t>4.097</w:t>
            </w:r>
            <w:r w:rsidRPr="00FB01D8">
              <w:rPr>
                <w:rFonts w:eastAsia="DengXian"/>
                <w:lang w:eastAsia="zh-CN"/>
              </w:rPr>
              <w:t xml:space="preserve">± </w:t>
            </w:r>
            <w:r w:rsidRPr="00FB01D8">
              <w:rPr>
                <w:rFonts w:eastAsia="DengXian"/>
                <w:lang w:val="en-GB" w:eastAsia="zh-CN"/>
              </w:rPr>
              <w:t>0.2414</w:t>
            </w:r>
          </w:p>
        </w:tc>
        <w:tc>
          <w:tcPr>
            <w:tcW w:w="1620" w:type="dxa"/>
            <w:vAlign w:val="bottom"/>
            <w:hideMark/>
          </w:tcPr>
          <w:p w14:paraId="16B00ED4" w14:textId="77777777" w:rsidR="00FB01D8" w:rsidRPr="00FB01D8" w:rsidRDefault="00FB01D8" w:rsidP="00FB01D8">
            <w:pPr>
              <w:jc w:val="center"/>
              <w:rPr>
                <w:rFonts w:eastAsia="DengXian"/>
                <w:lang w:val="en-GB" w:eastAsia="zh-CN"/>
              </w:rPr>
            </w:pPr>
            <w:r w:rsidRPr="00FB01D8">
              <w:rPr>
                <w:rFonts w:eastAsia="DengXian"/>
                <w:lang w:val="en-GB" w:eastAsia="zh-CN"/>
              </w:rPr>
              <w:t>5.327</w:t>
            </w:r>
            <w:r w:rsidRPr="00FB01D8">
              <w:rPr>
                <w:rFonts w:eastAsia="DengXian"/>
                <w:lang w:eastAsia="zh-CN"/>
              </w:rPr>
              <w:t xml:space="preserve">± </w:t>
            </w:r>
            <w:r w:rsidRPr="00FB01D8">
              <w:rPr>
                <w:rFonts w:eastAsia="DengXian"/>
                <w:lang w:val="en-GB" w:eastAsia="zh-CN"/>
              </w:rPr>
              <w:t>6.558</w:t>
            </w:r>
          </w:p>
        </w:tc>
        <w:tc>
          <w:tcPr>
            <w:tcW w:w="1377" w:type="dxa"/>
            <w:vAlign w:val="bottom"/>
            <w:hideMark/>
          </w:tcPr>
          <w:p w14:paraId="7B3596CE" w14:textId="77777777" w:rsidR="00FB01D8" w:rsidRPr="00FB01D8" w:rsidRDefault="00FB01D8" w:rsidP="00FB01D8">
            <w:pPr>
              <w:jc w:val="center"/>
              <w:rPr>
                <w:rFonts w:eastAsia="DengXian"/>
                <w:lang w:val="en-GB" w:eastAsia="zh-CN"/>
              </w:rPr>
            </w:pPr>
            <w:r w:rsidRPr="00FB01D8">
              <w:rPr>
                <w:rFonts w:eastAsia="DengXian"/>
                <w:lang w:val="en-GB" w:eastAsia="zh-CN"/>
              </w:rPr>
              <w:t>0.3089</w:t>
            </w:r>
          </w:p>
        </w:tc>
      </w:tr>
      <w:tr w:rsidR="00FB01D8" w:rsidRPr="00FB01D8" w14:paraId="1131CA96" w14:textId="77777777" w:rsidTr="00FB01D8">
        <w:trPr>
          <w:trHeight w:val="390"/>
        </w:trPr>
        <w:tc>
          <w:tcPr>
            <w:tcW w:w="3055" w:type="dxa"/>
            <w:vAlign w:val="bottom"/>
            <w:hideMark/>
          </w:tcPr>
          <w:p w14:paraId="339E5DBE" w14:textId="77777777" w:rsidR="00FB01D8" w:rsidRPr="00FB01D8" w:rsidRDefault="00FB01D8" w:rsidP="00FB01D8">
            <w:pPr>
              <w:rPr>
                <w:rFonts w:eastAsia="DengXian"/>
                <w:b/>
                <w:bCs/>
                <w:lang w:eastAsia="zh-CN"/>
              </w:rPr>
            </w:pPr>
            <w:r w:rsidRPr="00FB01D8">
              <w:rPr>
                <w:rFonts w:eastAsia="DengXian"/>
                <w:b/>
                <w:bCs/>
                <w:lang w:eastAsia="zh-CN"/>
              </w:rPr>
              <w:t>Chloride (mmol/L)</w:t>
            </w:r>
          </w:p>
        </w:tc>
        <w:tc>
          <w:tcPr>
            <w:tcW w:w="2160" w:type="dxa"/>
            <w:vAlign w:val="bottom"/>
            <w:hideMark/>
          </w:tcPr>
          <w:p w14:paraId="5D7F1A70" w14:textId="77777777" w:rsidR="00FB01D8" w:rsidRPr="00FB01D8" w:rsidRDefault="00FB01D8" w:rsidP="00FB01D8">
            <w:pPr>
              <w:jc w:val="center"/>
              <w:rPr>
                <w:rFonts w:eastAsia="DengXian"/>
                <w:lang w:val="en-GB" w:eastAsia="zh-CN"/>
              </w:rPr>
            </w:pPr>
            <w:r w:rsidRPr="00FB01D8">
              <w:rPr>
                <w:rFonts w:eastAsia="DengXian"/>
                <w:lang w:val="en-GB" w:eastAsia="zh-CN"/>
              </w:rPr>
              <w:t>100.2</w:t>
            </w:r>
            <w:r w:rsidRPr="00FB01D8">
              <w:rPr>
                <w:rFonts w:eastAsia="DengXian"/>
                <w:lang w:eastAsia="zh-CN"/>
              </w:rPr>
              <w:t xml:space="preserve">± </w:t>
            </w:r>
            <w:r w:rsidRPr="00FB01D8">
              <w:rPr>
                <w:rFonts w:eastAsia="DengXian"/>
                <w:lang w:val="en-GB" w:eastAsia="zh-CN"/>
              </w:rPr>
              <w:t>2.099</w:t>
            </w:r>
          </w:p>
        </w:tc>
        <w:tc>
          <w:tcPr>
            <w:tcW w:w="1710" w:type="dxa"/>
            <w:vAlign w:val="bottom"/>
            <w:hideMark/>
          </w:tcPr>
          <w:p w14:paraId="70262169" w14:textId="77777777" w:rsidR="00FB01D8" w:rsidRPr="00FB01D8" w:rsidRDefault="00FB01D8" w:rsidP="00FB01D8">
            <w:pPr>
              <w:jc w:val="center"/>
              <w:rPr>
                <w:rFonts w:eastAsia="DengXian"/>
                <w:lang w:val="en-GB" w:eastAsia="zh-CN"/>
              </w:rPr>
            </w:pPr>
            <w:r w:rsidRPr="00FB01D8">
              <w:rPr>
                <w:rFonts w:eastAsia="DengXian"/>
                <w:lang w:val="en-GB" w:eastAsia="zh-CN"/>
              </w:rPr>
              <w:t>100.6</w:t>
            </w:r>
            <w:r w:rsidRPr="00FB01D8">
              <w:rPr>
                <w:rFonts w:eastAsia="DengXian"/>
                <w:lang w:eastAsia="zh-CN"/>
              </w:rPr>
              <w:t xml:space="preserve">± </w:t>
            </w:r>
            <w:r w:rsidRPr="00FB01D8">
              <w:rPr>
                <w:rFonts w:eastAsia="DengXian"/>
                <w:lang w:val="en-GB" w:eastAsia="zh-CN"/>
              </w:rPr>
              <w:t>2.716</w:t>
            </w:r>
          </w:p>
        </w:tc>
        <w:tc>
          <w:tcPr>
            <w:tcW w:w="1350" w:type="dxa"/>
            <w:vAlign w:val="bottom"/>
            <w:hideMark/>
          </w:tcPr>
          <w:p w14:paraId="01DCBA7A" w14:textId="77777777" w:rsidR="00FB01D8" w:rsidRPr="00FB01D8" w:rsidRDefault="00FB01D8" w:rsidP="00FB01D8">
            <w:pPr>
              <w:jc w:val="center"/>
              <w:rPr>
                <w:rFonts w:eastAsia="DengXian"/>
                <w:lang w:val="en-GB" w:eastAsia="zh-CN"/>
              </w:rPr>
            </w:pPr>
            <w:r w:rsidRPr="00FB01D8">
              <w:rPr>
                <w:rFonts w:eastAsia="DengXian"/>
                <w:lang w:val="en-GB" w:eastAsia="zh-CN"/>
              </w:rPr>
              <w:t>0.4633</w:t>
            </w:r>
          </w:p>
        </w:tc>
        <w:tc>
          <w:tcPr>
            <w:tcW w:w="1800" w:type="dxa"/>
            <w:vAlign w:val="bottom"/>
            <w:hideMark/>
          </w:tcPr>
          <w:p w14:paraId="0BEA7B38" w14:textId="77777777" w:rsidR="00FB01D8" w:rsidRPr="00FB01D8" w:rsidRDefault="00FB01D8" w:rsidP="00FB01D8">
            <w:pPr>
              <w:jc w:val="center"/>
              <w:rPr>
                <w:rFonts w:eastAsia="DengXian"/>
                <w:lang w:val="en-GB" w:eastAsia="zh-CN"/>
              </w:rPr>
            </w:pPr>
            <w:r w:rsidRPr="00FB01D8">
              <w:rPr>
                <w:rFonts w:eastAsia="DengXian"/>
                <w:lang w:val="en-GB" w:eastAsia="zh-CN"/>
              </w:rPr>
              <w:t>100.4</w:t>
            </w:r>
            <w:r w:rsidRPr="00FB01D8">
              <w:rPr>
                <w:rFonts w:eastAsia="DengXian"/>
                <w:lang w:eastAsia="zh-CN"/>
              </w:rPr>
              <w:t xml:space="preserve">± </w:t>
            </w:r>
            <w:r w:rsidRPr="00FB01D8">
              <w:rPr>
                <w:rFonts w:eastAsia="DengXian"/>
                <w:lang w:val="en-GB" w:eastAsia="zh-CN"/>
              </w:rPr>
              <w:t>2.092</w:t>
            </w:r>
          </w:p>
        </w:tc>
        <w:tc>
          <w:tcPr>
            <w:tcW w:w="1620" w:type="dxa"/>
            <w:vAlign w:val="bottom"/>
            <w:hideMark/>
          </w:tcPr>
          <w:p w14:paraId="3D85BCDB" w14:textId="77777777" w:rsidR="00FB01D8" w:rsidRPr="00FB01D8" w:rsidRDefault="00FB01D8" w:rsidP="00FB01D8">
            <w:pPr>
              <w:jc w:val="center"/>
              <w:rPr>
                <w:rFonts w:eastAsia="DengXian"/>
                <w:lang w:val="en-GB" w:eastAsia="zh-CN"/>
              </w:rPr>
            </w:pPr>
            <w:r w:rsidRPr="00FB01D8">
              <w:rPr>
                <w:rFonts w:eastAsia="DengXian"/>
                <w:lang w:val="en-GB" w:eastAsia="zh-CN"/>
              </w:rPr>
              <w:t>100.0</w:t>
            </w:r>
            <w:r w:rsidRPr="00FB01D8">
              <w:rPr>
                <w:rFonts w:eastAsia="DengXian"/>
                <w:lang w:eastAsia="zh-CN"/>
              </w:rPr>
              <w:t xml:space="preserve">± </w:t>
            </w:r>
            <w:r w:rsidRPr="00FB01D8">
              <w:rPr>
                <w:rFonts w:eastAsia="DengXian"/>
                <w:lang w:val="en-GB" w:eastAsia="zh-CN"/>
              </w:rPr>
              <w:t>3.358</w:t>
            </w:r>
          </w:p>
        </w:tc>
        <w:tc>
          <w:tcPr>
            <w:tcW w:w="1377" w:type="dxa"/>
            <w:vAlign w:val="bottom"/>
            <w:hideMark/>
          </w:tcPr>
          <w:p w14:paraId="4EAB0027" w14:textId="77777777" w:rsidR="00FB01D8" w:rsidRPr="00FB01D8" w:rsidRDefault="00FB01D8" w:rsidP="00FB01D8">
            <w:pPr>
              <w:jc w:val="center"/>
              <w:rPr>
                <w:rFonts w:eastAsia="DengXian"/>
                <w:lang w:val="en-GB" w:eastAsia="zh-CN"/>
              </w:rPr>
            </w:pPr>
            <w:r w:rsidRPr="00FB01D8">
              <w:rPr>
                <w:rFonts w:eastAsia="DengXian"/>
                <w:lang w:val="en-GB" w:eastAsia="zh-CN"/>
              </w:rPr>
              <w:t>0.6462</w:t>
            </w:r>
          </w:p>
        </w:tc>
      </w:tr>
      <w:tr w:rsidR="00FB01D8" w:rsidRPr="00FB01D8" w14:paraId="0435D560" w14:textId="77777777" w:rsidTr="00FB01D8">
        <w:trPr>
          <w:trHeight w:val="444"/>
        </w:trPr>
        <w:tc>
          <w:tcPr>
            <w:tcW w:w="3055" w:type="dxa"/>
            <w:tcBorders>
              <w:top w:val="nil"/>
              <w:left w:val="nil"/>
              <w:bottom w:val="single" w:sz="4" w:space="0" w:color="auto"/>
              <w:right w:val="nil"/>
            </w:tcBorders>
            <w:vAlign w:val="bottom"/>
            <w:hideMark/>
          </w:tcPr>
          <w:p w14:paraId="3E359DFB" w14:textId="77777777" w:rsidR="00FB01D8" w:rsidRPr="00FB01D8" w:rsidRDefault="00FB01D8" w:rsidP="00FB01D8">
            <w:pPr>
              <w:rPr>
                <w:rFonts w:eastAsia="DengXian"/>
                <w:b/>
                <w:bCs/>
                <w:lang w:eastAsia="zh-CN"/>
              </w:rPr>
            </w:pPr>
            <w:r w:rsidRPr="00FB01D8">
              <w:rPr>
                <w:rFonts w:eastAsia="DengXian"/>
                <w:b/>
                <w:bCs/>
                <w:lang w:eastAsia="zh-CN"/>
              </w:rPr>
              <w:t>Bicarbonate (mmol/L)</w:t>
            </w:r>
          </w:p>
        </w:tc>
        <w:tc>
          <w:tcPr>
            <w:tcW w:w="2160" w:type="dxa"/>
            <w:tcBorders>
              <w:top w:val="nil"/>
              <w:left w:val="nil"/>
              <w:bottom w:val="single" w:sz="4" w:space="0" w:color="auto"/>
              <w:right w:val="nil"/>
            </w:tcBorders>
            <w:vAlign w:val="bottom"/>
            <w:hideMark/>
          </w:tcPr>
          <w:p w14:paraId="29FA7695" w14:textId="77777777" w:rsidR="00FB01D8" w:rsidRPr="00FB01D8" w:rsidRDefault="00FB01D8" w:rsidP="00FB01D8">
            <w:pPr>
              <w:jc w:val="center"/>
              <w:rPr>
                <w:rFonts w:eastAsia="DengXian"/>
                <w:lang w:val="en-GB" w:eastAsia="zh-CN"/>
              </w:rPr>
            </w:pPr>
            <w:r w:rsidRPr="00FB01D8">
              <w:rPr>
                <w:rFonts w:eastAsia="DengXian"/>
                <w:lang w:val="en-GB" w:eastAsia="zh-CN"/>
              </w:rPr>
              <w:t>24.73</w:t>
            </w:r>
            <w:r w:rsidRPr="00FB01D8">
              <w:rPr>
                <w:rFonts w:eastAsia="DengXian"/>
                <w:lang w:eastAsia="zh-CN"/>
              </w:rPr>
              <w:t xml:space="preserve">± </w:t>
            </w:r>
            <w:r w:rsidRPr="00FB01D8">
              <w:rPr>
                <w:rFonts w:eastAsia="DengXian"/>
                <w:lang w:val="en-GB" w:eastAsia="zh-CN"/>
              </w:rPr>
              <w:t>1.648</w:t>
            </w:r>
          </w:p>
        </w:tc>
        <w:tc>
          <w:tcPr>
            <w:tcW w:w="1710" w:type="dxa"/>
            <w:tcBorders>
              <w:top w:val="nil"/>
              <w:left w:val="nil"/>
              <w:bottom w:val="single" w:sz="4" w:space="0" w:color="auto"/>
              <w:right w:val="nil"/>
            </w:tcBorders>
            <w:vAlign w:val="bottom"/>
            <w:hideMark/>
          </w:tcPr>
          <w:p w14:paraId="08A40826" w14:textId="77777777" w:rsidR="00FB01D8" w:rsidRPr="00FB01D8" w:rsidRDefault="00FB01D8" w:rsidP="00FB01D8">
            <w:pPr>
              <w:jc w:val="center"/>
              <w:rPr>
                <w:rFonts w:eastAsia="DengXian"/>
                <w:lang w:val="en-GB" w:eastAsia="zh-CN"/>
              </w:rPr>
            </w:pPr>
            <w:r w:rsidRPr="00FB01D8">
              <w:rPr>
                <w:rFonts w:eastAsia="DengXian"/>
                <w:lang w:val="en-GB" w:eastAsia="zh-CN"/>
              </w:rPr>
              <w:t>25.78</w:t>
            </w:r>
            <w:r w:rsidRPr="00FB01D8">
              <w:rPr>
                <w:rFonts w:eastAsia="DengXian"/>
                <w:lang w:eastAsia="zh-CN"/>
              </w:rPr>
              <w:t xml:space="preserve">± </w:t>
            </w:r>
            <w:r w:rsidRPr="00FB01D8">
              <w:rPr>
                <w:rFonts w:eastAsia="DengXian"/>
                <w:lang w:val="en-GB" w:eastAsia="zh-CN"/>
              </w:rPr>
              <w:t>2.833</w:t>
            </w:r>
          </w:p>
        </w:tc>
        <w:tc>
          <w:tcPr>
            <w:tcW w:w="1350" w:type="dxa"/>
            <w:tcBorders>
              <w:top w:val="nil"/>
              <w:left w:val="nil"/>
              <w:bottom w:val="single" w:sz="4" w:space="0" w:color="auto"/>
              <w:right w:val="nil"/>
            </w:tcBorders>
            <w:vAlign w:val="bottom"/>
            <w:hideMark/>
          </w:tcPr>
          <w:p w14:paraId="17D9615D"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0.0462*</w:t>
            </w:r>
          </w:p>
        </w:tc>
        <w:tc>
          <w:tcPr>
            <w:tcW w:w="1800" w:type="dxa"/>
            <w:tcBorders>
              <w:top w:val="nil"/>
              <w:left w:val="nil"/>
              <w:bottom w:val="single" w:sz="4" w:space="0" w:color="auto"/>
              <w:right w:val="nil"/>
            </w:tcBorders>
            <w:vAlign w:val="bottom"/>
            <w:hideMark/>
          </w:tcPr>
          <w:p w14:paraId="0978F22C" w14:textId="77777777" w:rsidR="00FB01D8" w:rsidRPr="00FB01D8" w:rsidRDefault="00FB01D8" w:rsidP="00FB01D8">
            <w:pPr>
              <w:jc w:val="center"/>
              <w:rPr>
                <w:rFonts w:eastAsia="DengXian"/>
                <w:lang w:val="en-GB" w:eastAsia="zh-CN"/>
              </w:rPr>
            </w:pPr>
            <w:r w:rsidRPr="00FB01D8">
              <w:rPr>
                <w:rFonts w:eastAsia="DengXian"/>
                <w:lang w:val="en-GB" w:eastAsia="zh-CN"/>
              </w:rPr>
              <w:t>24.47</w:t>
            </w:r>
            <w:r w:rsidRPr="00FB01D8">
              <w:rPr>
                <w:rFonts w:eastAsia="DengXian"/>
                <w:lang w:eastAsia="zh-CN"/>
              </w:rPr>
              <w:t xml:space="preserve">± </w:t>
            </w:r>
            <w:r w:rsidRPr="00FB01D8">
              <w:rPr>
                <w:rFonts w:eastAsia="DengXian"/>
                <w:lang w:val="en-GB" w:eastAsia="zh-CN"/>
              </w:rPr>
              <w:t>1.570</w:t>
            </w:r>
          </w:p>
        </w:tc>
        <w:tc>
          <w:tcPr>
            <w:tcW w:w="1620" w:type="dxa"/>
            <w:tcBorders>
              <w:top w:val="nil"/>
              <w:left w:val="nil"/>
              <w:bottom w:val="single" w:sz="4" w:space="0" w:color="auto"/>
              <w:right w:val="nil"/>
            </w:tcBorders>
            <w:vAlign w:val="bottom"/>
            <w:hideMark/>
          </w:tcPr>
          <w:p w14:paraId="7FEF3D19" w14:textId="77777777" w:rsidR="00FB01D8" w:rsidRPr="00FB01D8" w:rsidRDefault="00FB01D8" w:rsidP="00FB01D8">
            <w:pPr>
              <w:jc w:val="center"/>
              <w:rPr>
                <w:rFonts w:eastAsia="DengXian"/>
                <w:lang w:val="en-GB" w:eastAsia="zh-CN"/>
              </w:rPr>
            </w:pPr>
            <w:r w:rsidRPr="00FB01D8">
              <w:rPr>
                <w:rFonts w:eastAsia="DengXian"/>
                <w:lang w:val="en-GB" w:eastAsia="zh-CN"/>
              </w:rPr>
              <w:t>26.03</w:t>
            </w:r>
            <w:r w:rsidRPr="00FB01D8">
              <w:rPr>
                <w:rFonts w:eastAsia="DengXian"/>
                <w:lang w:eastAsia="zh-CN"/>
              </w:rPr>
              <w:t xml:space="preserve">± </w:t>
            </w:r>
            <w:r w:rsidRPr="00FB01D8">
              <w:rPr>
                <w:rFonts w:eastAsia="DengXian"/>
                <w:lang w:val="en-GB" w:eastAsia="zh-CN"/>
              </w:rPr>
              <w:t>2.297</w:t>
            </w:r>
          </w:p>
        </w:tc>
        <w:tc>
          <w:tcPr>
            <w:tcW w:w="1377" w:type="dxa"/>
            <w:tcBorders>
              <w:top w:val="nil"/>
              <w:left w:val="nil"/>
              <w:bottom w:val="single" w:sz="4" w:space="0" w:color="auto"/>
              <w:right w:val="nil"/>
            </w:tcBorders>
            <w:vAlign w:val="bottom"/>
            <w:hideMark/>
          </w:tcPr>
          <w:p w14:paraId="1807F45A" w14:textId="77777777" w:rsidR="00FB01D8" w:rsidRPr="00FB01D8" w:rsidRDefault="00FB01D8" w:rsidP="00FB01D8">
            <w:pPr>
              <w:jc w:val="center"/>
              <w:rPr>
                <w:rFonts w:eastAsia="DengXian"/>
                <w:b/>
                <w:bCs/>
                <w:lang w:val="en-GB" w:eastAsia="zh-CN"/>
              </w:rPr>
            </w:pPr>
            <w:r w:rsidRPr="00FB01D8">
              <w:rPr>
                <w:rFonts w:eastAsia="DengXian"/>
                <w:b/>
                <w:bCs/>
                <w:lang w:val="en-GB" w:eastAsia="zh-CN"/>
              </w:rPr>
              <w:t>0.0031*</w:t>
            </w:r>
          </w:p>
        </w:tc>
      </w:tr>
    </w:tbl>
    <w:bookmarkEnd w:id="30"/>
    <w:p w14:paraId="20476B97" w14:textId="77777777" w:rsidR="00FB01D8" w:rsidRPr="00FB01D8" w:rsidRDefault="00FB01D8" w:rsidP="00FB01D8">
      <w:pPr>
        <w:spacing w:after="0" w:line="240" w:lineRule="auto"/>
        <w:jc w:val="both"/>
        <w:rPr>
          <w:rFonts w:ascii="Times New Roman" w:eastAsia="DengXian" w:hAnsi="Times New Roman" w:cs="Times New Roman"/>
          <w:b/>
          <w:bCs/>
          <w:sz w:val="24"/>
          <w:szCs w:val="24"/>
          <w:lang w:eastAsia="zh-CN"/>
        </w:rPr>
      </w:pPr>
      <w:r w:rsidRPr="00FB01D8">
        <w:rPr>
          <w:rFonts w:ascii="Times New Roman" w:eastAsia="DengXian" w:hAnsi="Times New Roman" w:cs="Times New Roman"/>
          <w:b/>
          <w:bCs/>
          <w:sz w:val="24"/>
          <w:szCs w:val="24"/>
          <w:lang w:eastAsia="zh-CN"/>
        </w:rPr>
        <w:t>Key: Test and Control values represents the mean ± standard deviation,</w:t>
      </w:r>
      <w:r w:rsidRPr="00FB01D8">
        <w:rPr>
          <w:rFonts w:ascii="Times New Roman" w:eastAsia="DengXian" w:hAnsi="Times New Roman" w:cs="Times New Roman"/>
          <w:b/>
          <w:bCs/>
          <w:sz w:val="24"/>
          <w:szCs w:val="24"/>
          <w:lang w:eastAsia="zh-CN"/>
        </w:rPr>
        <w:tab/>
        <w:t xml:space="preserve"> N=70</w:t>
      </w:r>
      <w:r w:rsidRPr="00FB01D8">
        <w:rPr>
          <w:rFonts w:ascii="Times New Roman" w:eastAsia="DengXian" w:hAnsi="Times New Roman" w:cs="Times New Roman"/>
          <w:b/>
          <w:bCs/>
          <w:sz w:val="24"/>
          <w:szCs w:val="24"/>
          <w:lang w:eastAsia="zh-CN"/>
        </w:rPr>
        <w:tab/>
      </w:r>
      <w:r w:rsidRPr="00FB01D8">
        <w:rPr>
          <w:rFonts w:ascii="Times New Roman" w:eastAsia="DengXian" w:hAnsi="Times New Roman" w:cs="Times New Roman"/>
          <w:b/>
          <w:bCs/>
          <w:sz w:val="24"/>
          <w:szCs w:val="24"/>
          <w:lang w:eastAsia="zh-CN"/>
        </w:rPr>
        <w:tab/>
      </w:r>
      <w:r w:rsidRPr="00FB01D8">
        <w:rPr>
          <w:rFonts w:ascii="Times New Roman" w:eastAsia="DengXian" w:hAnsi="Times New Roman" w:cs="Times New Roman"/>
          <w:b/>
          <w:bCs/>
          <w:sz w:val="24"/>
          <w:szCs w:val="24"/>
          <w:lang w:eastAsia="zh-CN"/>
        </w:rPr>
        <w:tab/>
      </w:r>
      <w:r w:rsidRPr="00FB01D8">
        <w:rPr>
          <w:rFonts w:ascii="Times New Roman" w:eastAsia="DengXian" w:hAnsi="Times New Roman" w:cs="Times New Roman"/>
          <w:b/>
          <w:bCs/>
          <w:sz w:val="24"/>
          <w:szCs w:val="24"/>
          <w:lang w:eastAsia="zh-CN"/>
        </w:rPr>
        <w:tab/>
      </w:r>
    </w:p>
    <w:p w14:paraId="7E6FB546" w14:textId="77777777" w:rsidR="00FB01D8" w:rsidRDefault="00FB01D8" w:rsidP="00263220">
      <w:pPr>
        <w:spacing w:after="0" w:line="240" w:lineRule="auto"/>
        <w:jc w:val="both"/>
        <w:rPr>
          <w:rFonts w:ascii="Times New Roman" w:eastAsia="DengXian" w:hAnsi="Times New Roman" w:cs="Times New Roman"/>
          <w:b/>
          <w:bCs/>
          <w:sz w:val="24"/>
          <w:szCs w:val="24"/>
          <w:lang w:eastAsia="zh-CN"/>
        </w:rPr>
      </w:pPr>
      <w:r w:rsidRPr="00FB01D8">
        <w:rPr>
          <w:rFonts w:ascii="Times New Roman" w:eastAsia="DengXian" w:hAnsi="Times New Roman" w:cs="Times New Roman"/>
          <w:b/>
          <w:bCs/>
          <w:sz w:val="24"/>
          <w:szCs w:val="24"/>
          <w:lang w:eastAsia="zh-CN"/>
        </w:rPr>
        <w:t>* represents statistical significance at p&lt;0.05</w:t>
      </w:r>
    </w:p>
    <w:p w14:paraId="3A1E4CC1" w14:textId="77777777" w:rsidR="007D5C92" w:rsidRDefault="007D5C92" w:rsidP="00263220">
      <w:pPr>
        <w:spacing w:after="0" w:line="240" w:lineRule="auto"/>
        <w:jc w:val="both"/>
        <w:rPr>
          <w:rFonts w:ascii="Times New Roman" w:eastAsia="DengXian" w:hAnsi="Times New Roman" w:cs="Times New Roman"/>
          <w:b/>
          <w:bCs/>
          <w:sz w:val="24"/>
          <w:szCs w:val="24"/>
          <w:lang w:eastAsia="zh-CN"/>
        </w:rPr>
      </w:pPr>
    </w:p>
    <w:p w14:paraId="5CBEAAA3" w14:textId="77777777" w:rsidR="007D5C92" w:rsidRDefault="007D5C92" w:rsidP="00263220">
      <w:pPr>
        <w:spacing w:after="0" w:line="240" w:lineRule="auto"/>
        <w:jc w:val="both"/>
        <w:rPr>
          <w:rFonts w:ascii="Times New Roman" w:eastAsia="DengXian" w:hAnsi="Times New Roman" w:cs="Times New Roman"/>
          <w:b/>
          <w:bCs/>
          <w:sz w:val="24"/>
          <w:szCs w:val="24"/>
          <w:lang w:eastAsia="zh-CN"/>
        </w:rPr>
      </w:pPr>
    </w:p>
    <w:p w14:paraId="1E05C3B5" w14:textId="5779758E" w:rsidR="007D5C92" w:rsidRPr="00FB01D8" w:rsidRDefault="007D5C92" w:rsidP="00263220">
      <w:pPr>
        <w:spacing w:after="0" w:line="240" w:lineRule="auto"/>
        <w:jc w:val="both"/>
        <w:rPr>
          <w:rFonts w:ascii="Times New Roman" w:eastAsia="DengXian" w:hAnsi="Times New Roman" w:cs="Times New Roman"/>
          <w:sz w:val="24"/>
          <w:szCs w:val="24"/>
          <w:lang w:eastAsia="zh-CN"/>
        </w:rPr>
        <w:sectPr w:rsidR="007D5C92" w:rsidRPr="00FB01D8" w:rsidSect="007D5C92">
          <w:pgSz w:w="15840" w:h="12240" w:orient="landscape"/>
          <w:pgMar w:top="1440" w:right="1440" w:bottom="1440" w:left="1728" w:header="720" w:footer="720" w:gutter="0"/>
          <w:cols w:space="720"/>
          <w:docGrid w:linePitch="299"/>
        </w:sectPr>
      </w:pPr>
      <w:r w:rsidRPr="007D5C92">
        <w:rPr>
          <w:rFonts w:ascii="Times New Roman" w:eastAsia="DengXian" w:hAnsi="Times New Roman" w:cs="Times New Roman"/>
          <w:sz w:val="24"/>
          <w:szCs w:val="24"/>
          <w:lang w:eastAsia="zh-CN"/>
        </w:rPr>
        <w:t>Table 2 presents the levels of KIM-1, Cystatin C, and microalbuminuria in both male and female participants, comparing the control and test groups. The results indicate significant differences in these biomarkers, with higher levels in the test groups</w:t>
      </w:r>
    </w:p>
    <w:p w14:paraId="334DE03E" w14:textId="6397A9CE" w:rsidR="00FB01D8" w:rsidRPr="00FB01D8" w:rsidRDefault="00FB01D8" w:rsidP="00263220">
      <w:pPr>
        <w:spacing w:after="0" w:line="240" w:lineRule="auto"/>
        <w:outlineLvl w:val="2"/>
        <w:rPr>
          <w:rFonts w:ascii="Times New Roman" w:eastAsia="SimSun" w:hAnsi="Times New Roman" w:cs="Times New Roman"/>
          <w:b/>
          <w:bCs/>
          <w:sz w:val="24"/>
          <w:szCs w:val="24"/>
          <w:lang w:eastAsia="zh-CN"/>
        </w:rPr>
      </w:pPr>
      <w:r w:rsidRPr="00FB01D8">
        <w:rPr>
          <w:rFonts w:ascii="Times New Roman" w:eastAsia="SimSun" w:hAnsi="Times New Roman" w:cs="Times New Roman"/>
          <w:b/>
          <w:bCs/>
          <w:sz w:val="24"/>
          <w:szCs w:val="24"/>
          <w:lang w:eastAsia="zh-CN"/>
        </w:rPr>
        <w:lastRenderedPageBreak/>
        <w:t>Table 3</w:t>
      </w:r>
      <w:r>
        <w:rPr>
          <w:rFonts w:ascii="Times New Roman" w:eastAsia="SimSun" w:hAnsi="Times New Roman" w:cs="Times New Roman"/>
          <w:b/>
          <w:bCs/>
          <w:sz w:val="24"/>
          <w:szCs w:val="24"/>
          <w:lang w:eastAsia="zh-CN"/>
        </w:rPr>
        <w:t>:</w:t>
      </w:r>
      <w:r w:rsidRPr="00FB01D8">
        <w:rPr>
          <w:rFonts w:ascii="Times New Roman" w:eastAsia="SimSun" w:hAnsi="Times New Roman" w:cs="Times New Roman"/>
          <w:b/>
          <w:bCs/>
          <w:sz w:val="24"/>
          <w:szCs w:val="24"/>
          <w:lang w:eastAsia="zh-CN"/>
        </w:rPr>
        <w:t xml:space="preserve"> Early Biomarker levels by age groups</w:t>
      </w:r>
    </w:p>
    <w:tbl>
      <w:tblPr>
        <w:tblStyle w:val="a4"/>
        <w:tblpPr w:leftFromText="180" w:rightFromText="180" w:vertAnchor="text" w:horzAnchor="margin" w:tblpY="270"/>
        <w:tblOverlap w:val="never"/>
        <w:tblW w:w="98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3"/>
        <w:gridCol w:w="1016"/>
        <w:gridCol w:w="1353"/>
        <w:gridCol w:w="1208"/>
        <w:gridCol w:w="1324"/>
        <w:gridCol w:w="1420"/>
        <w:gridCol w:w="1394"/>
      </w:tblGrid>
      <w:tr w:rsidR="00FB01D8" w:rsidRPr="00263220" w14:paraId="0666FABE" w14:textId="77777777" w:rsidTr="00FB01D8">
        <w:trPr>
          <w:trHeight w:val="591"/>
        </w:trPr>
        <w:tc>
          <w:tcPr>
            <w:tcW w:w="3139" w:type="dxa"/>
            <w:gridSpan w:val="2"/>
            <w:tcBorders>
              <w:top w:val="single" w:sz="4" w:space="0" w:color="auto"/>
              <w:left w:val="nil"/>
              <w:bottom w:val="single" w:sz="4" w:space="0" w:color="auto"/>
              <w:right w:val="nil"/>
            </w:tcBorders>
            <w:vAlign w:val="center"/>
          </w:tcPr>
          <w:p w14:paraId="5CE40C1F" w14:textId="77777777" w:rsidR="00FB01D8" w:rsidRPr="00FB01D8" w:rsidRDefault="00FB01D8" w:rsidP="00FB01D8">
            <w:pPr>
              <w:jc w:val="both"/>
              <w:rPr>
                <w:rFonts w:eastAsia="DengXian"/>
                <w:b/>
                <w:bCs/>
                <w:lang w:eastAsia="zh-CN"/>
              </w:rPr>
            </w:pPr>
            <w:r w:rsidRPr="00FB01D8">
              <w:rPr>
                <w:rFonts w:eastAsia="DengXian"/>
                <w:b/>
                <w:bCs/>
                <w:lang w:eastAsia="zh-CN"/>
              </w:rPr>
              <w:t>Parameters/Age (Years)</w:t>
            </w:r>
          </w:p>
          <w:p w14:paraId="33B1E73D" w14:textId="77777777" w:rsidR="00FB01D8" w:rsidRPr="00FB01D8" w:rsidRDefault="00FB01D8" w:rsidP="00FB01D8">
            <w:pPr>
              <w:jc w:val="both"/>
              <w:rPr>
                <w:rFonts w:eastAsia="DengXian"/>
                <w:b/>
                <w:bCs/>
                <w:lang w:eastAsia="zh-CN"/>
              </w:rPr>
            </w:pPr>
          </w:p>
        </w:tc>
        <w:tc>
          <w:tcPr>
            <w:tcW w:w="1353" w:type="dxa"/>
            <w:tcBorders>
              <w:top w:val="single" w:sz="4" w:space="0" w:color="auto"/>
              <w:left w:val="nil"/>
              <w:bottom w:val="single" w:sz="4" w:space="0" w:color="auto"/>
              <w:right w:val="nil"/>
            </w:tcBorders>
            <w:hideMark/>
          </w:tcPr>
          <w:p w14:paraId="4B00F12A" w14:textId="77777777" w:rsidR="00FB01D8" w:rsidRPr="00FB01D8" w:rsidRDefault="00FB01D8" w:rsidP="00FB01D8">
            <w:pPr>
              <w:jc w:val="both"/>
              <w:rPr>
                <w:rFonts w:eastAsia="DengXian"/>
                <w:b/>
                <w:bCs/>
                <w:color w:val="000000"/>
                <w:lang w:eastAsia="zh-CN"/>
              </w:rPr>
            </w:pPr>
            <w:r w:rsidRPr="00FB01D8">
              <w:rPr>
                <w:rFonts w:eastAsia="DengXian"/>
                <w:b/>
                <w:bCs/>
                <w:color w:val="000000"/>
                <w:lang w:eastAsia="zh-CN"/>
              </w:rPr>
              <w:t>26-35 years</w:t>
            </w:r>
          </w:p>
        </w:tc>
        <w:tc>
          <w:tcPr>
            <w:tcW w:w="1208" w:type="dxa"/>
            <w:tcBorders>
              <w:top w:val="single" w:sz="4" w:space="0" w:color="auto"/>
              <w:left w:val="nil"/>
              <w:bottom w:val="single" w:sz="4" w:space="0" w:color="auto"/>
              <w:right w:val="nil"/>
            </w:tcBorders>
            <w:hideMark/>
          </w:tcPr>
          <w:p w14:paraId="7E30C892" w14:textId="77777777" w:rsidR="00FB01D8" w:rsidRPr="00FB01D8" w:rsidRDefault="00FB01D8" w:rsidP="00FB01D8">
            <w:pPr>
              <w:jc w:val="both"/>
              <w:rPr>
                <w:rFonts w:eastAsia="DengXian"/>
                <w:b/>
                <w:bCs/>
                <w:color w:val="000000"/>
                <w:lang w:eastAsia="zh-CN"/>
              </w:rPr>
            </w:pPr>
            <w:r w:rsidRPr="00FB01D8">
              <w:rPr>
                <w:rFonts w:eastAsia="DengXian"/>
                <w:b/>
                <w:bCs/>
                <w:color w:val="000000"/>
                <w:lang w:eastAsia="zh-CN"/>
              </w:rPr>
              <w:t>36-45 years</w:t>
            </w:r>
          </w:p>
        </w:tc>
        <w:tc>
          <w:tcPr>
            <w:tcW w:w="1324" w:type="dxa"/>
            <w:tcBorders>
              <w:top w:val="single" w:sz="4" w:space="0" w:color="auto"/>
              <w:left w:val="nil"/>
              <w:bottom w:val="single" w:sz="4" w:space="0" w:color="auto"/>
              <w:right w:val="nil"/>
            </w:tcBorders>
            <w:hideMark/>
          </w:tcPr>
          <w:p w14:paraId="308B93F5" w14:textId="77777777" w:rsidR="00FB01D8" w:rsidRPr="00FB01D8" w:rsidRDefault="00FB01D8" w:rsidP="00FB01D8">
            <w:pPr>
              <w:jc w:val="both"/>
              <w:rPr>
                <w:rFonts w:eastAsia="DengXian"/>
                <w:b/>
                <w:bCs/>
                <w:color w:val="000000"/>
                <w:lang w:eastAsia="zh-CN"/>
              </w:rPr>
            </w:pPr>
            <w:r w:rsidRPr="00FB01D8">
              <w:rPr>
                <w:rFonts w:eastAsia="DengXian"/>
                <w:b/>
                <w:bCs/>
                <w:color w:val="000000"/>
                <w:lang w:eastAsia="zh-CN"/>
              </w:rPr>
              <w:t>46-55 years</w:t>
            </w:r>
          </w:p>
        </w:tc>
        <w:tc>
          <w:tcPr>
            <w:tcW w:w="1420" w:type="dxa"/>
            <w:tcBorders>
              <w:top w:val="single" w:sz="4" w:space="0" w:color="auto"/>
              <w:left w:val="nil"/>
              <w:bottom w:val="single" w:sz="4" w:space="0" w:color="auto"/>
              <w:right w:val="nil"/>
            </w:tcBorders>
            <w:hideMark/>
          </w:tcPr>
          <w:p w14:paraId="75B7EED9" w14:textId="77777777" w:rsidR="00FB01D8" w:rsidRPr="00FB01D8" w:rsidRDefault="00FB01D8" w:rsidP="00FB01D8">
            <w:pPr>
              <w:jc w:val="both"/>
              <w:rPr>
                <w:rFonts w:eastAsia="DengXian"/>
                <w:b/>
                <w:bCs/>
                <w:color w:val="000000"/>
                <w:lang w:eastAsia="zh-CN"/>
              </w:rPr>
            </w:pPr>
            <w:r w:rsidRPr="00FB01D8">
              <w:rPr>
                <w:rFonts w:eastAsia="DengXian"/>
                <w:b/>
                <w:bCs/>
                <w:color w:val="000000"/>
                <w:lang w:eastAsia="zh-CN"/>
              </w:rPr>
              <w:t>56-65 years</w:t>
            </w:r>
          </w:p>
        </w:tc>
        <w:tc>
          <w:tcPr>
            <w:tcW w:w="1394" w:type="dxa"/>
            <w:tcBorders>
              <w:top w:val="single" w:sz="4" w:space="0" w:color="auto"/>
              <w:left w:val="nil"/>
              <w:bottom w:val="single" w:sz="4" w:space="0" w:color="auto"/>
              <w:right w:val="nil"/>
            </w:tcBorders>
            <w:hideMark/>
          </w:tcPr>
          <w:p w14:paraId="2C52FAA9" w14:textId="77777777" w:rsidR="00FB01D8" w:rsidRPr="00FB01D8" w:rsidRDefault="00FB01D8" w:rsidP="00FB01D8">
            <w:pPr>
              <w:jc w:val="both"/>
              <w:rPr>
                <w:rFonts w:eastAsia="DengXian"/>
                <w:b/>
                <w:bCs/>
                <w:color w:val="000000"/>
                <w:lang w:eastAsia="zh-CN"/>
              </w:rPr>
            </w:pPr>
            <w:r w:rsidRPr="00FB01D8">
              <w:rPr>
                <w:rFonts w:eastAsia="DengXian"/>
                <w:b/>
                <w:bCs/>
                <w:color w:val="000000"/>
                <w:lang w:eastAsia="zh-CN"/>
              </w:rPr>
              <w:t>66-75 years</w:t>
            </w:r>
          </w:p>
        </w:tc>
      </w:tr>
      <w:tr w:rsidR="00FB01D8" w:rsidRPr="00263220" w14:paraId="26420D4A" w14:textId="77777777" w:rsidTr="00FB01D8">
        <w:trPr>
          <w:trHeight w:val="459"/>
        </w:trPr>
        <w:tc>
          <w:tcPr>
            <w:tcW w:w="2123" w:type="dxa"/>
            <w:vMerge w:val="restart"/>
            <w:tcBorders>
              <w:top w:val="single" w:sz="4" w:space="0" w:color="auto"/>
              <w:left w:val="nil"/>
              <w:bottom w:val="nil"/>
              <w:right w:val="nil"/>
            </w:tcBorders>
            <w:vAlign w:val="center"/>
            <w:hideMark/>
          </w:tcPr>
          <w:p w14:paraId="37ADFA3B" w14:textId="77777777" w:rsidR="00FB01D8" w:rsidRPr="00FB01D8" w:rsidRDefault="00FB01D8" w:rsidP="00FB01D8">
            <w:pPr>
              <w:spacing w:line="360" w:lineRule="auto"/>
              <w:rPr>
                <w:rFonts w:eastAsia="DengXian"/>
                <w:b/>
                <w:bCs/>
                <w:lang w:eastAsia="zh-CN"/>
              </w:rPr>
            </w:pPr>
            <w:r w:rsidRPr="00FB01D8">
              <w:rPr>
                <w:rFonts w:eastAsia="DengXian"/>
                <w:b/>
                <w:bCs/>
                <w:lang w:eastAsia="zh-CN"/>
              </w:rPr>
              <w:t>KIM-1 (</w:t>
            </w:r>
            <w:proofErr w:type="spellStart"/>
            <w:r w:rsidRPr="00FB01D8">
              <w:rPr>
                <w:rFonts w:eastAsia="DengXian"/>
                <w:b/>
                <w:bCs/>
                <w:lang w:eastAsia="zh-CN"/>
              </w:rPr>
              <w:t>pg</w:t>
            </w:r>
            <w:proofErr w:type="spellEnd"/>
            <w:r w:rsidRPr="00FB01D8">
              <w:rPr>
                <w:rFonts w:eastAsia="DengXian"/>
                <w:b/>
                <w:bCs/>
                <w:lang w:eastAsia="zh-CN"/>
              </w:rPr>
              <w:t>/mL)</w:t>
            </w:r>
          </w:p>
        </w:tc>
        <w:tc>
          <w:tcPr>
            <w:tcW w:w="1016" w:type="dxa"/>
            <w:tcBorders>
              <w:top w:val="single" w:sz="4" w:space="0" w:color="auto"/>
              <w:left w:val="nil"/>
              <w:bottom w:val="nil"/>
              <w:right w:val="nil"/>
            </w:tcBorders>
            <w:vAlign w:val="center"/>
            <w:hideMark/>
          </w:tcPr>
          <w:p w14:paraId="28656D8C"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 xml:space="preserve">Control </w:t>
            </w:r>
          </w:p>
        </w:tc>
        <w:tc>
          <w:tcPr>
            <w:tcW w:w="1353" w:type="dxa"/>
            <w:tcBorders>
              <w:top w:val="single" w:sz="4" w:space="0" w:color="auto"/>
              <w:left w:val="nil"/>
              <w:bottom w:val="nil"/>
              <w:right w:val="nil"/>
            </w:tcBorders>
            <w:vAlign w:val="center"/>
            <w:hideMark/>
          </w:tcPr>
          <w:p w14:paraId="56284B9B" w14:textId="77777777" w:rsidR="00FB01D8" w:rsidRPr="00FB01D8" w:rsidRDefault="00FB01D8" w:rsidP="00FB01D8">
            <w:pPr>
              <w:spacing w:line="360" w:lineRule="auto"/>
              <w:jc w:val="both"/>
              <w:rPr>
                <w:rFonts w:eastAsia="DengXian"/>
                <w:b/>
                <w:bCs/>
                <w:lang w:eastAsia="zh-CN"/>
              </w:rPr>
            </w:pPr>
            <w:r w:rsidRPr="00FB01D8">
              <w:rPr>
                <w:rFonts w:eastAsia="DengXian"/>
                <w:lang w:val="en-GB" w:eastAsia="zh-CN"/>
              </w:rPr>
              <w:t>5.113</w:t>
            </w:r>
            <w:r w:rsidRPr="00FB01D8">
              <w:rPr>
                <w:rFonts w:eastAsia="DengXian"/>
                <w:lang w:eastAsia="zh-CN"/>
              </w:rPr>
              <w:t xml:space="preserve">± </w:t>
            </w:r>
            <w:r w:rsidRPr="00FB01D8">
              <w:rPr>
                <w:rFonts w:eastAsia="DengXian"/>
                <w:lang w:val="en-GB" w:eastAsia="zh-CN"/>
              </w:rPr>
              <w:t>4.415</w:t>
            </w:r>
          </w:p>
        </w:tc>
        <w:tc>
          <w:tcPr>
            <w:tcW w:w="1208" w:type="dxa"/>
            <w:tcBorders>
              <w:top w:val="single" w:sz="4" w:space="0" w:color="auto"/>
              <w:left w:val="nil"/>
              <w:bottom w:val="nil"/>
              <w:right w:val="nil"/>
            </w:tcBorders>
            <w:vAlign w:val="center"/>
            <w:hideMark/>
          </w:tcPr>
          <w:p w14:paraId="62E9588A" w14:textId="77777777" w:rsidR="00FB01D8" w:rsidRPr="00FB01D8" w:rsidRDefault="00FB01D8" w:rsidP="00FB01D8">
            <w:pPr>
              <w:spacing w:line="360" w:lineRule="auto"/>
              <w:jc w:val="both"/>
              <w:rPr>
                <w:rFonts w:eastAsia="DengXian"/>
                <w:b/>
                <w:bCs/>
                <w:lang w:eastAsia="zh-CN"/>
              </w:rPr>
            </w:pPr>
            <w:r w:rsidRPr="00FB01D8">
              <w:rPr>
                <w:rFonts w:eastAsia="DengXian"/>
                <w:lang w:val="en-GB" w:eastAsia="zh-CN"/>
              </w:rPr>
              <w:t>5.475</w:t>
            </w:r>
            <w:r w:rsidRPr="00FB01D8">
              <w:rPr>
                <w:rFonts w:eastAsia="DengXian"/>
                <w:lang w:eastAsia="zh-CN"/>
              </w:rPr>
              <w:t xml:space="preserve">± </w:t>
            </w:r>
            <w:r w:rsidRPr="00FB01D8">
              <w:rPr>
                <w:rFonts w:eastAsia="DengXian"/>
                <w:lang w:val="en-GB" w:eastAsia="zh-CN"/>
              </w:rPr>
              <w:t>3.937</w:t>
            </w:r>
          </w:p>
        </w:tc>
        <w:tc>
          <w:tcPr>
            <w:tcW w:w="1324" w:type="dxa"/>
            <w:tcBorders>
              <w:top w:val="single" w:sz="4" w:space="0" w:color="auto"/>
              <w:left w:val="nil"/>
              <w:bottom w:val="nil"/>
              <w:right w:val="nil"/>
            </w:tcBorders>
            <w:vAlign w:val="center"/>
            <w:hideMark/>
          </w:tcPr>
          <w:p w14:paraId="2CF6A12B" w14:textId="77777777" w:rsidR="00FB01D8" w:rsidRPr="00FB01D8" w:rsidRDefault="00FB01D8" w:rsidP="00FB01D8">
            <w:pPr>
              <w:spacing w:line="360" w:lineRule="auto"/>
              <w:jc w:val="both"/>
              <w:rPr>
                <w:rFonts w:eastAsia="DengXian"/>
                <w:b/>
                <w:bCs/>
                <w:lang w:eastAsia="zh-CN"/>
              </w:rPr>
            </w:pPr>
            <w:r w:rsidRPr="00FB01D8">
              <w:rPr>
                <w:rFonts w:eastAsia="DengXian"/>
                <w:lang w:val="en-GB" w:eastAsia="zh-CN"/>
              </w:rPr>
              <w:t>7.740</w:t>
            </w:r>
            <w:r w:rsidRPr="00FB01D8">
              <w:rPr>
                <w:rFonts w:eastAsia="DengXian"/>
                <w:lang w:eastAsia="zh-CN"/>
              </w:rPr>
              <w:t xml:space="preserve">± </w:t>
            </w:r>
            <w:r w:rsidRPr="00FB01D8">
              <w:rPr>
                <w:rFonts w:eastAsia="DengXian"/>
                <w:lang w:val="en-GB" w:eastAsia="zh-CN"/>
              </w:rPr>
              <w:t>5.992</w:t>
            </w:r>
          </w:p>
        </w:tc>
        <w:tc>
          <w:tcPr>
            <w:tcW w:w="1420" w:type="dxa"/>
            <w:tcBorders>
              <w:top w:val="single" w:sz="4" w:space="0" w:color="auto"/>
              <w:left w:val="nil"/>
              <w:bottom w:val="nil"/>
              <w:right w:val="nil"/>
            </w:tcBorders>
            <w:vAlign w:val="center"/>
            <w:hideMark/>
          </w:tcPr>
          <w:p w14:paraId="0C91ABD7" w14:textId="77777777" w:rsidR="00FB01D8" w:rsidRPr="00FB01D8" w:rsidRDefault="00FB01D8" w:rsidP="00FB01D8">
            <w:pPr>
              <w:spacing w:line="360" w:lineRule="auto"/>
              <w:jc w:val="both"/>
              <w:rPr>
                <w:rFonts w:eastAsia="DengXian"/>
                <w:b/>
                <w:bCs/>
                <w:lang w:eastAsia="zh-CN"/>
              </w:rPr>
            </w:pPr>
            <w:r w:rsidRPr="00FB01D8">
              <w:rPr>
                <w:rFonts w:eastAsia="DengXian"/>
                <w:lang w:val="en-GB" w:eastAsia="zh-CN"/>
              </w:rPr>
              <w:t>6.682</w:t>
            </w:r>
            <w:r w:rsidRPr="00FB01D8">
              <w:rPr>
                <w:rFonts w:eastAsia="DengXian"/>
                <w:lang w:eastAsia="zh-CN"/>
              </w:rPr>
              <w:t xml:space="preserve">± </w:t>
            </w:r>
            <w:r w:rsidRPr="00FB01D8">
              <w:rPr>
                <w:rFonts w:eastAsia="DengXian"/>
                <w:lang w:val="en-GB" w:eastAsia="zh-CN"/>
              </w:rPr>
              <w:t>5.428</w:t>
            </w:r>
          </w:p>
        </w:tc>
        <w:tc>
          <w:tcPr>
            <w:tcW w:w="1394" w:type="dxa"/>
            <w:tcBorders>
              <w:top w:val="single" w:sz="4" w:space="0" w:color="auto"/>
              <w:left w:val="nil"/>
              <w:bottom w:val="nil"/>
              <w:right w:val="nil"/>
            </w:tcBorders>
            <w:vAlign w:val="center"/>
            <w:hideMark/>
          </w:tcPr>
          <w:p w14:paraId="4B7A19F1" w14:textId="77777777" w:rsidR="00FB01D8" w:rsidRPr="00FB01D8" w:rsidRDefault="00FB01D8" w:rsidP="00FB01D8">
            <w:pPr>
              <w:spacing w:line="360" w:lineRule="auto"/>
              <w:jc w:val="both"/>
              <w:rPr>
                <w:rFonts w:eastAsia="DengXian"/>
                <w:b/>
                <w:bCs/>
                <w:lang w:eastAsia="zh-CN"/>
              </w:rPr>
            </w:pPr>
            <w:r w:rsidRPr="00FB01D8">
              <w:rPr>
                <w:rFonts w:eastAsia="DengXian"/>
                <w:lang w:val="en-GB" w:eastAsia="zh-CN"/>
              </w:rPr>
              <w:t>5.803</w:t>
            </w:r>
            <w:r w:rsidRPr="00FB01D8">
              <w:rPr>
                <w:rFonts w:eastAsia="DengXian"/>
                <w:lang w:eastAsia="zh-CN"/>
              </w:rPr>
              <w:t xml:space="preserve">± </w:t>
            </w:r>
            <w:r w:rsidRPr="00FB01D8">
              <w:rPr>
                <w:rFonts w:eastAsia="DengXian"/>
                <w:lang w:val="en-GB" w:eastAsia="zh-CN"/>
              </w:rPr>
              <w:t>6.110</w:t>
            </w:r>
          </w:p>
        </w:tc>
      </w:tr>
      <w:tr w:rsidR="00FB01D8" w:rsidRPr="00263220" w14:paraId="3FC963BB" w14:textId="77777777" w:rsidTr="00263220">
        <w:trPr>
          <w:trHeight w:val="439"/>
        </w:trPr>
        <w:tc>
          <w:tcPr>
            <w:tcW w:w="0" w:type="auto"/>
            <w:vMerge/>
            <w:tcBorders>
              <w:top w:val="single" w:sz="4" w:space="0" w:color="auto"/>
              <w:left w:val="nil"/>
              <w:bottom w:val="nil"/>
              <w:right w:val="nil"/>
            </w:tcBorders>
            <w:vAlign w:val="center"/>
            <w:hideMark/>
          </w:tcPr>
          <w:p w14:paraId="4F04A873" w14:textId="77777777" w:rsidR="00FB01D8" w:rsidRPr="00FB01D8" w:rsidRDefault="00FB01D8" w:rsidP="00FB01D8">
            <w:pPr>
              <w:rPr>
                <w:rFonts w:eastAsia="DengXian"/>
                <w:b/>
                <w:bCs/>
                <w:lang w:eastAsia="zh-CN"/>
              </w:rPr>
            </w:pPr>
          </w:p>
        </w:tc>
        <w:tc>
          <w:tcPr>
            <w:tcW w:w="1016" w:type="dxa"/>
            <w:tcBorders>
              <w:top w:val="nil"/>
              <w:left w:val="nil"/>
              <w:bottom w:val="nil"/>
              <w:right w:val="nil"/>
            </w:tcBorders>
            <w:vAlign w:val="center"/>
            <w:hideMark/>
          </w:tcPr>
          <w:p w14:paraId="00BF1215" w14:textId="77777777" w:rsidR="00FB01D8" w:rsidRPr="00FB01D8" w:rsidRDefault="00FB01D8" w:rsidP="00FB01D8">
            <w:pPr>
              <w:spacing w:line="360" w:lineRule="auto"/>
              <w:jc w:val="both"/>
              <w:rPr>
                <w:rFonts w:eastAsia="DengXian"/>
                <w:b/>
                <w:bCs/>
                <w:vertAlign w:val="superscript"/>
                <w:lang w:eastAsia="zh-CN"/>
              </w:rPr>
            </w:pPr>
            <w:r w:rsidRPr="00FB01D8">
              <w:rPr>
                <w:rFonts w:eastAsia="DengXian"/>
                <w:b/>
                <w:bCs/>
                <w:lang w:val="en-GB" w:eastAsia="zh-CN"/>
              </w:rPr>
              <w:t xml:space="preserve">Test </w:t>
            </w:r>
          </w:p>
        </w:tc>
        <w:tc>
          <w:tcPr>
            <w:tcW w:w="1353" w:type="dxa"/>
            <w:tcBorders>
              <w:top w:val="nil"/>
              <w:left w:val="nil"/>
              <w:bottom w:val="nil"/>
              <w:right w:val="nil"/>
            </w:tcBorders>
            <w:vAlign w:val="center"/>
            <w:hideMark/>
          </w:tcPr>
          <w:p w14:paraId="3D255BFD"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31.01</w:t>
            </w:r>
            <w:r w:rsidRPr="00FB01D8">
              <w:rPr>
                <w:rFonts w:eastAsia="DengXian"/>
                <w:lang w:eastAsia="zh-CN"/>
              </w:rPr>
              <w:t xml:space="preserve">± </w:t>
            </w:r>
            <w:r w:rsidRPr="00FB01D8">
              <w:rPr>
                <w:rFonts w:eastAsia="DengXian"/>
                <w:lang w:val="en-GB" w:eastAsia="zh-CN"/>
              </w:rPr>
              <w:t>17.54</w:t>
            </w:r>
          </w:p>
        </w:tc>
        <w:tc>
          <w:tcPr>
            <w:tcW w:w="1208" w:type="dxa"/>
            <w:tcBorders>
              <w:top w:val="nil"/>
              <w:left w:val="nil"/>
              <w:bottom w:val="nil"/>
              <w:right w:val="nil"/>
            </w:tcBorders>
            <w:vAlign w:val="center"/>
            <w:hideMark/>
          </w:tcPr>
          <w:p w14:paraId="5D46C0C4"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12.46</w:t>
            </w:r>
            <w:r w:rsidRPr="00FB01D8">
              <w:rPr>
                <w:rFonts w:eastAsia="DengXian"/>
                <w:lang w:eastAsia="zh-CN"/>
              </w:rPr>
              <w:t xml:space="preserve">± </w:t>
            </w:r>
            <w:r w:rsidRPr="00FB01D8">
              <w:rPr>
                <w:rFonts w:eastAsia="DengXian"/>
                <w:lang w:val="en-GB" w:eastAsia="zh-CN"/>
              </w:rPr>
              <w:t>5.614</w:t>
            </w:r>
          </w:p>
        </w:tc>
        <w:tc>
          <w:tcPr>
            <w:tcW w:w="1324" w:type="dxa"/>
            <w:tcBorders>
              <w:top w:val="nil"/>
              <w:left w:val="nil"/>
              <w:bottom w:val="nil"/>
              <w:right w:val="nil"/>
            </w:tcBorders>
            <w:vAlign w:val="center"/>
            <w:hideMark/>
          </w:tcPr>
          <w:p w14:paraId="7E5E0BEC"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25.54</w:t>
            </w:r>
            <w:r w:rsidRPr="00FB01D8">
              <w:rPr>
                <w:rFonts w:eastAsia="DengXian"/>
                <w:lang w:eastAsia="zh-CN"/>
              </w:rPr>
              <w:t xml:space="preserve">± </w:t>
            </w:r>
            <w:r w:rsidRPr="00FB01D8">
              <w:rPr>
                <w:rFonts w:eastAsia="DengXian"/>
                <w:lang w:val="en-GB" w:eastAsia="zh-CN"/>
              </w:rPr>
              <w:t>18.91</w:t>
            </w:r>
          </w:p>
        </w:tc>
        <w:tc>
          <w:tcPr>
            <w:tcW w:w="1420" w:type="dxa"/>
            <w:tcBorders>
              <w:top w:val="nil"/>
              <w:left w:val="nil"/>
              <w:bottom w:val="nil"/>
              <w:right w:val="nil"/>
            </w:tcBorders>
            <w:vAlign w:val="center"/>
            <w:hideMark/>
          </w:tcPr>
          <w:p w14:paraId="78FC4C13" w14:textId="77777777" w:rsidR="00FB01D8" w:rsidRPr="00FB01D8" w:rsidRDefault="00FB01D8" w:rsidP="00FB01D8">
            <w:pPr>
              <w:spacing w:line="360" w:lineRule="auto"/>
              <w:jc w:val="both"/>
              <w:rPr>
                <w:rFonts w:eastAsia="DengXian"/>
                <w:lang w:eastAsia="zh-CN"/>
              </w:rPr>
            </w:pPr>
            <w:r w:rsidRPr="00FB01D8">
              <w:rPr>
                <w:rFonts w:eastAsia="DengXian"/>
                <w:lang w:val="en-GB" w:eastAsia="zh-CN"/>
              </w:rPr>
              <w:t>21.15</w:t>
            </w:r>
            <w:r w:rsidRPr="00FB01D8">
              <w:rPr>
                <w:rFonts w:eastAsia="DengXian"/>
                <w:lang w:eastAsia="zh-CN"/>
              </w:rPr>
              <w:t xml:space="preserve">± </w:t>
            </w:r>
            <w:r w:rsidRPr="00FB01D8">
              <w:rPr>
                <w:rFonts w:eastAsia="DengXian"/>
                <w:lang w:val="en-GB" w:eastAsia="zh-CN"/>
              </w:rPr>
              <w:t>12.47</w:t>
            </w:r>
          </w:p>
        </w:tc>
        <w:tc>
          <w:tcPr>
            <w:tcW w:w="1394" w:type="dxa"/>
            <w:tcBorders>
              <w:top w:val="nil"/>
              <w:left w:val="nil"/>
              <w:bottom w:val="nil"/>
              <w:right w:val="nil"/>
            </w:tcBorders>
            <w:vAlign w:val="center"/>
            <w:hideMark/>
          </w:tcPr>
          <w:p w14:paraId="01FF721D" w14:textId="77777777" w:rsidR="00FB01D8" w:rsidRPr="00FB01D8" w:rsidRDefault="00FB01D8" w:rsidP="00FB01D8">
            <w:pPr>
              <w:spacing w:line="360" w:lineRule="auto"/>
              <w:jc w:val="both"/>
              <w:rPr>
                <w:rFonts w:eastAsia="DengXian"/>
                <w:lang w:eastAsia="zh-CN"/>
              </w:rPr>
            </w:pPr>
            <w:r w:rsidRPr="00FB01D8">
              <w:rPr>
                <w:rFonts w:eastAsia="DengXian"/>
                <w:lang w:val="en-GB" w:eastAsia="zh-CN"/>
              </w:rPr>
              <w:t>34.31</w:t>
            </w:r>
            <w:r w:rsidRPr="00FB01D8">
              <w:rPr>
                <w:rFonts w:eastAsia="DengXian"/>
                <w:lang w:eastAsia="zh-CN"/>
              </w:rPr>
              <w:t xml:space="preserve">± </w:t>
            </w:r>
            <w:r w:rsidRPr="00FB01D8">
              <w:rPr>
                <w:rFonts w:eastAsia="DengXian"/>
                <w:lang w:val="en-GB" w:eastAsia="zh-CN"/>
              </w:rPr>
              <w:t>28.55</w:t>
            </w:r>
          </w:p>
        </w:tc>
      </w:tr>
      <w:tr w:rsidR="00FB01D8" w:rsidRPr="00263220" w14:paraId="4CB2ED22" w14:textId="77777777" w:rsidTr="00263220">
        <w:trPr>
          <w:trHeight w:val="439"/>
        </w:trPr>
        <w:tc>
          <w:tcPr>
            <w:tcW w:w="0" w:type="auto"/>
            <w:vMerge/>
            <w:tcBorders>
              <w:top w:val="single" w:sz="4" w:space="0" w:color="auto"/>
              <w:left w:val="nil"/>
              <w:bottom w:val="nil"/>
              <w:right w:val="nil"/>
            </w:tcBorders>
            <w:vAlign w:val="center"/>
            <w:hideMark/>
          </w:tcPr>
          <w:p w14:paraId="2C03C252" w14:textId="77777777" w:rsidR="00FB01D8" w:rsidRPr="00FB01D8" w:rsidRDefault="00FB01D8" w:rsidP="00FB01D8">
            <w:pPr>
              <w:rPr>
                <w:rFonts w:eastAsia="DengXian"/>
                <w:b/>
                <w:bCs/>
                <w:lang w:eastAsia="zh-CN"/>
              </w:rPr>
            </w:pPr>
          </w:p>
        </w:tc>
        <w:tc>
          <w:tcPr>
            <w:tcW w:w="1016" w:type="dxa"/>
            <w:tcBorders>
              <w:top w:val="nil"/>
              <w:left w:val="nil"/>
              <w:bottom w:val="single" w:sz="4" w:space="0" w:color="auto"/>
              <w:right w:val="nil"/>
            </w:tcBorders>
            <w:vAlign w:val="center"/>
            <w:hideMark/>
          </w:tcPr>
          <w:p w14:paraId="274295EA"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p-value</w:t>
            </w:r>
          </w:p>
        </w:tc>
        <w:tc>
          <w:tcPr>
            <w:tcW w:w="1353" w:type="dxa"/>
            <w:tcBorders>
              <w:top w:val="nil"/>
              <w:left w:val="nil"/>
              <w:bottom w:val="single" w:sz="4" w:space="0" w:color="auto"/>
              <w:right w:val="nil"/>
            </w:tcBorders>
            <w:vAlign w:val="center"/>
            <w:hideMark/>
          </w:tcPr>
          <w:p w14:paraId="407DE87B" w14:textId="77777777" w:rsidR="00FB01D8" w:rsidRPr="00FB01D8" w:rsidRDefault="00FB01D8" w:rsidP="00FB01D8">
            <w:pPr>
              <w:spacing w:line="360" w:lineRule="auto"/>
              <w:jc w:val="both"/>
              <w:rPr>
                <w:rFonts w:eastAsia="DengXian"/>
                <w:b/>
                <w:bCs/>
                <w:lang w:eastAsia="zh-CN"/>
              </w:rPr>
            </w:pPr>
            <w:r w:rsidRPr="00FB01D8">
              <w:rPr>
                <w:rFonts w:eastAsia="DengXian"/>
                <w:lang w:val="en-GB" w:eastAsia="zh-CN"/>
              </w:rPr>
              <w:t>0.068</w:t>
            </w:r>
          </w:p>
        </w:tc>
        <w:tc>
          <w:tcPr>
            <w:tcW w:w="1208" w:type="dxa"/>
            <w:tcBorders>
              <w:top w:val="nil"/>
              <w:left w:val="nil"/>
              <w:bottom w:val="single" w:sz="4" w:space="0" w:color="auto"/>
              <w:right w:val="nil"/>
            </w:tcBorders>
            <w:vAlign w:val="center"/>
            <w:hideMark/>
          </w:tcPr>
          <w:p w14:paraId="394C928C" w14:textId="77777777" w:rsidR="00FB01D8" w:rsidRPr="00FB01D8" w:rsidRDefault="00FB01D8" w:rsidP="00FB01D8">
            <w:pPr>
              <w:spacing w:line="360" w:lineRule="auto"/>
              <w:jc w:val="both"/>
              <w:rPr>
                <w:rFonts w:eastAsia="DengXian"/>
                <w:b/>
                <w:bCs/>
                <w:lang w:eastAsia="zh-CN"/>
              </w:rPr>
            </w:pPr>
            <w:r w:rsidRPr="00FB01D8">
              <w:rPr>
                <w:rFonts w:eastAsia="DengXian"/>
                <w:b/>
                <w:bCs/>
                <w:lang w:val="en-GB" w:eastAsia="zh-CN"/>
              </w:rPr>
              <w:t>0.001*</w:t>
            </w:r>
          </w:p>
        </w:tc>
        <w:tc>
          <w:tcPr>
            <w:tcW w:w="1324" w:type="dxa"/>
            <w:tcBorders>
              <w:top w:val="nil"/>
              <w:left w:val="nil"/>
              <w:bottom w:val="single" w:sz="4" w:space="0" w:color="auto"/>
              <w:right w:val="nil"/>
            </w:tcBorders>
            <w:vAlign w:val="center"/>
            <w:hideMark/>
          </w:tcPr>
          <w:p w14:paraId="499ED2DC" w14:textId="77777777" w:rsidR="00FB01D8" w:rsidRPr="00FB01D8" w:rsidRDefault="00FB01D8" w:rsidP="00FB01D8">
            <w:pPr>
              <w:spacing w:line="360" w:lineRule="auto"/>
              <w:jc w:val="both"/>
              <w:rPr>
                <w:rFonts w:eastAsia="DengXian"/>
                <w:b/>
                <w:bCs/>
                <w:lang w:eastAsia="zh-CN"/>
              </w:rPr>
            </w:pPr>
            <w:r w:rsidRPr="00FB01D8">
              <w:rPr>
                <w:rFonts w:eastAsia="DengXian"/>
                <w:b/>
                <w:bCs/>
                <w:lang w:val="en-GB" w:eastAsia="zh-CN"/>
              </w:rPr>
              <w:t>&lt;0.0001*</w:t>
            </w:r>
          </w:p>
        </w:tc>
        <w:tc>
          <w:tcPr>
            <w:tcW w:w="1420" w:type="dxa"/>
            <w:tcBorders>
              <w:top w:val="nil"/>
              <w:left w:val="nil"/>
              <w:bottom w:val="single" w:sz="4" w:space="0" w:color="auto"/>
              <w:right w:val="nil"/>
            </w:tcBorders>
            <w:vAlign w:val="center"/>
            <w:hideMark/>
          </w:tcPr>
          <w:p w14:paraId="6D0C1F21" w14:textId="77777777" w:rsidR="00FB01D8" w:rsidRPr="00FB01D8" w:rsidRDefault="00FB01D8" w:rsidP="00FB01D8">
            <w:pPr>
              <w:spacing w:line="360" w:lineRule="auto"/>
              <w:jc w:val="both"/>
              <w:rPr>
                <w:rFonts w:eastAsia="DengXian"/>
                <w:b/>
                <w:bCs/>
                <w:lang w:eastAsia="zh-CN"/>
              </w:rPr>
            </w:pPr>
            <w:r w:rsidRPr="00FB01D8">
              <w:rPr>
                <w:rFonts w:eastAsia="DengXian"/>
                <w:b/>
                <w:bCs/>
                <w:lang w:val="en-GB" w:eastAsia="zh-CN"/>
              </w:rPr>
              <w:t>&lt;0.0001*</w:t>
            </w:r>
          </w:p>
        </w:tc>
        <w:tc>
          <w:tcPr>
            <w:tcW w:w="1394" w:type="dxa"/>
            <w:tcBorders>
              <w:top w:val="nil"/>
              <w:left w:val="nil"/>
              <w:bottom w:val="single" w:sz="4" w:space="0" w:color="auto"/>
              <w:right w:val="nil"/>
            </w:tcBorders>
            <w:vAlign w:val="center"/>
            <w:hideMark/>
          </w:tcPr>
          <w:p w14:paraId="051333B2" w14:textId="77777777" w:rsidR="00FB01D8" w:rsidRPr="00FB01D8" w:rsidRDefault="00FB01D8" w:rsidP="00FB01D8">
            <w:pPr>
              <w:spacing w:line="360" w:lineRule="auto"/>
              <w:jc w:val="both"/>
              <w:rPr>
                <w:rFonts w:eastAsia="DengXian"/>
                <w:b/>
                <w:bCs/>
                <w:lang w:eastAsia="zh-CN"/>
              </w:rPr>
            </w:pPr>
            <w:r w:rsidRPr="00FB01D8">
              <w:rPr>
                <w:rFonts w:eastAsia="DengXian"/>
                <w:b/>
                <w:bCs/>
                <w:lang w:val="en-GB" w:eastAsia="zh-CN"/>
              </w:rPr>
              <w:t>0.0290*</w:t>
            </w:r>
          </w:p>
        </w:tc>
      </w:tr>
      <w:tr w:rsidR="00FB01D8" w:rsidRPr="00263220" w14:paraId="77286EF9" w14:textId="77777777" w:rsidTr="00263220">
        <w:trPr>
          <w:trHeight w:val="418"/>
        </w:trPr>
        <w:tc>
          <w:tcPr>
            <w:tcW w:w="2123" w:type="dxa"/>
            <w:vMerge w:val="restart"/>
            <w:tcBorders>
              <w:top w:val="nil"/>
              <w:left w:val="nil"/>
              <w:bottom w:val="nil"/>
              <w:right w:val="nil"/>
            </w:tcBorders>
            <w:vAlign w:val="center"/>
            <w:hideMark/>
          </w:tcPr>
          <w:p w14:paraId="5CF27749"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Cystatin-C (ng/mL)</w:t>
            </w:r>
          </w:p>
        </w:tc>
        <w:tc>
          <w:tcPr>
            <w:tcW w:w="1016" w:type="dxa"/>
            <w:tcBorders>
              <w:top w:val="single" w:sz="4" w:space="0" w:color="auto"/>
              <w:left w:val="nil"/>
              <w:bottom w:val="nil"/>
              <w:right w:val="nil"/>
            </w:tcBorders>
            <w:vAlign w:val="center"/>
            <w:hideMark/>
          </w:tcPr>
          <w:p w14:paraId="5CD7153E" w14:textId="77777777" w:rsidR="00FB01D8" w:rsidRPr="00FB01D8" w:rsidRDefault="00FB01D8" w:rsidP="00FB01D8">
            <w:pPr>
              <w:spacing w:line="360" w:lineRule="auto"/>
              <w:jc w:val="both"/>
              <w:rPr>
                <w:rFonts w:eastAsia="DengXian"/>
                <w:vertAlign w:val="superscript"/>
                <w:lang w:eastAsia="zh-CN"/>
              </w:rPr>
            </w:pPr>
            <w:r w:rsidRPr="00FB01D8">
              <w:rPr>
                <w:rFonts w:eastAsia="DengXian"/>
                <w:b/>
                <w:bCs/>
                <w:lang w:eastAsia="zh-CN"/>
              </w:rPr>
              <w:t>Control</w:t>
            </w:r>
          </w:p>
        </w:tc>
        <w:tc>
          <w:tcPr>
            <w:tcW w:w="1353" w:type="dxa"/>
            <w:tcBorders>
              <w:top w:val="single" w:sz="4" w:space="0" w:color="auto"/>
              <w:left w:val="nil"/>
              <w:bottom w:val="nil"/>
              <w:right w:val="nil"/>
            </w:tcBorders>
            <w:vAlign w:val="center"/>
            <w:hideMark/>
          </w:tcPr>
          <w:p w14:paraId="4256D0AD"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12.17</w:t>
            </w:r>
            <w:r w:rsidRPr="00FB01D8">
              <w:rPr>
                <w:rFonts w:eastAsia="DengXian"/>
                <w:lang w:eastAsia="zh-CN"/>
              </w:rPr>
              <w:t xml:space="preserve">± </w:t>
            </w:r>
            <w:r w:rsidRPr="00FB01D8">
              <w:rPr>
                <w:rFonts w:eastAsia="DengXian"/>
                <w:lang w:val="en-GB" w:eastAsia="zh-CN"/>
              </w:rPr>
              <w:t>4.162</w:t>
            </w:r>
          </w:p>
        </w:tc>
        <w:tc>
          <w:tcPr>
            <w:tcW w:w="1208" w:type="dxa"/>
            <w:tcBorders>
              <w:top w:val="single" w:sz="4" w:space="0" w:color="auto"/>
              <w:left w:val="nil"/>
              <w:bottom w:val="nil"/>
              <w:right w:val="nil"/>
            </w:tcBorders>
            <w:vAlign w:val="center"/>
            <w:hideMark/>
          </w:tcPr>
          <w:p w14:paraId="17905EEE"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9.485</w:t>
            </w:r>
            <w:r w:rsidRPr="00FB01D8">
              <w:rPr>
                <w:rFonts w:eastAsia="DengXian"/>
                <w:lang w:eastAsia="zh-CN"/>
              </w:rPr>
              <w:t xml:space="preserve">± </w:t>
            </w:r>
            <w:r w:rsidRPr="00FB01D8">
              <w:rPr>
                <w:rFonts w:eastAsia="DengXian"/>
                <w:lang w:val="en-GB" w:eastAsia="zh-CN"/>
              </w:rPr>
              <w:t>4.509</w:t>
            </w:r>
          </w:p>
        </w:tc>
        <w:tc>
          <w:tcPr>
            <w:tcW w:w="1324" w:type="dxa"/>
            <w:tcBorders>
              <w:top w:val="single" w:sz="4" w:space="0" w:color="auto"/>
              <w:left w:val="nil"/>
              <w:bottom w:val="nil"/>
              <w:right w:val="nil"/>
            </w:tcBorders>
            <w:vAlign w:val="center"/>
            <w:hideMark/>
          </w:tcPr>
          <w:p w14:paraId="1896A163"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11.66</w:t>
            </w:r>
            <w:r w:rsidRPr="00FB01D8">
              <w:rPr>
                <w:rFonts w:eastAsia="DengXian"/>
                <w:lang w:eastAsia="zh-CN"/>
              </w:rPr>
              <w:t xml:space="preserve">± </w:t>
            </w:r>
            <w:r w:rsidRPr="00FB01D8">
              <w:rPr>
                <w:rFonts w:eastAsia="DengXian"/>
                <w:lang w:val="en-GB" w:eastAsia="zh-CN"/>
              </w:rPr>
              <w:t>3.957</w:t>
            </w:r>
          </w:p>
        </w:tc>
        <w:tc>
          <w:tcPr>
            <w:tcW w:w="1420" w:type="dxa"/>
            <w:tcBorders>
              <w:top w:val="single" w:sz="4" w:space="0" w:color="auto"/>
              <w:left w:val="nil"/>
              <w:bottom w:val="nil"/>
              <w:right w:val="nil"/>
            </w:tcBorders>
            <w:vAlign w:val="center"/>
            <w:hideMark/>
          </w:tcPr>
          <w:p w14:paraId="65BA0D08" w14:textId="77777777" w:rsidR="00FB01D8" w:rsidRPr="00FB01D8" w:rsidRDefault="00FB01D8" w:rsidP="00FB01D8">
            <w:pPr>
              <w:spacing w:line="360" w:lineRule="auto"/>
              <w:jc w:val="both"/>
              <w:rPr>
                <w:rFonts w:eastAsia="DengXian"/>
                <w:lang w:eastAsia="zh-CN"/>
              </w:rPr>
            </w:pPr>
            <w:r w:rsidRPr="00FB01D8">
              <w:rPr>
                <w:rFonts w:eastAsia="DengXian"/>
                <w:lang w:val="en-GB" w:eastAsia="zh-CN"/>
              </w:rPr>
              <w:t>9.490</w:t>
            </w:r>
            <w:r w:rsidRPr="00FB01D8">
              <w:rPr>
                <w:rFonts w:eastAsia="Times New Roman"/>
                <w:color w:val="000000"/>
                <w:lang w:val="en-GB" w:eastAsia="zh-CN"/>
              </w:rPr>
              <w:t>±</w:t>
            </w:r>
            <w:r w:rsidRPr="00FB01D8">
              <w:rPr>
                <w:rFonts w:eastAsia="DengXian"/>
                <w:lang w:val="en-GB" w:eastAsia="zh-CN"/>
              </w:rPr>
              <w:t xml:space="preserve"> 4.033</w:t>
            </w:r>
          </w:p>
        </w:tc>
        <w:tc>
          <w:tcPr>
            <w:tcW w:w="1394" w:type="dxa"/>
            <w:tcBorders>
              <w:top w:val="single" w:sz="4" w:space="0" w:color="auto"/>
              <w:left w:val="nil"/>
              <w:bottom w:val="nil"/>
              <w:right w:val="nil"/>
            </w:tcBorders>
            <w:vAlign w:val="center"/>
            <w:hideMark/>
          </w:tcPr>
          <w:p w14:paraId="2D92E358" w14:textId="77777777" w:rsidR="00FB01D8" w:rsidRPr="00FB01D8" w:rsidRDefault="00FB01D8" w:rsidP="00FB01D8">
            <w:pPr>
              <w:spacing w:line="360" w:lineRule="auto"/>
              <w:jc w:val="both"/>
              <w:rPr>
                <w:rFonts w:eastAsia="DengXian"/>
                <w:lang w:eastAsia="zh-CN"/>
              </w:rPr>
            </w:pPr>
            <w:r w:rsidRPr="00FB01D8">
              <w:rPr>
                <w:rFonts w:eastAsia="DengXian"/>
                <w:lang w:val="en-GB" w:eastAsia="zh-CN"/>
              </w:rPr>
              <w:t xml:space="preserve">10.37 </w:t>
            </w:r>
            <w:r w:rsidRPr="00FB01D8">
              <w:rPr>
                <w:rFonts w:eastAsia="DengXian"/>
                <w:lang w:eastAsia="zh-CN"/>
              </w:rPr>
              <w:t xml:space="preserve">± </w:t>
            </w:r>
            <w:r w:rsidRPr="00FB01D8">
              <w:rPr>
                <w:rFonts w:eastAsia="DengXian"/>
                <w:lang w:val="en-GB" w:eastAsia="zh-CN"/>
              </w:rPr>
              <w:t xml:space="preserve">2.860       </w:t>
            </w:r>
          </w:p>
        </w:tc>
      </w:tr>
      <w:tr w:rsidR="00FB01D8" w:rsidRPr="00263220" w14:paraId="279A4D3F" w14:textId="77777777" w:rsidTr="00C111BE">
        <w:trPr>
          <w:trHeight w:val="418"/>
        </w:trPr>
        <w:tc>
          <w:tcPr>
            <w:tcW w:w="0" w:type="auto"/>
            <w:vMerge/>
            <w:tcBorders>
              <w:top w:val="nil"/>
              <w:left w:val="nil"/>
              <w:bottom w:val="nil"/>
              <w:right w:val="nil"/>
            </w:tcBorders>
            <w:vAlign w:val="center"/>
            <w:hideMark/>
          </w:tcPr>
          <w:p w14:paraId="653635A6" w14:textId="77777777" w:rsidR="00FB01D8" w:rsidRPr="00FB01D8" w:rsidRDefault="00FB01D8" w:rsidP="00FB01D8">
            <w:pPr>
              <w:rPr>
                <w:rFonts w:eastAsia="DengXian"/>
                <w:b/>
                <w:bCs/>
                <w:lang w:eastAsia="zh-CN"/>
              </w:rPr>
            </w:pPr>
          </w:p>
        </w:tc>
        <w:tc>
          <w:tcPr>
            <w:tcW w:w="1016" w:type="dxa"/>
            <w:tcBorders>
              <w:top w:val="nil"/>
              <w:left w:val="nil"/>
              <w:bottom w:val="nil"/>
              <w:right w:val="nil"/>
            </w:tcBorders>
            <w:vAlign w:val="center"/>
            <w:hideMark/>
          </w:tcPr>
          <w:p w14:paraId="6BB5106C" w14:textId="77777777" w:rsidR="00FB01D8" w:rsidRPr="00FB01D8" w:rsidRDefault="00FB01D8" w:rsidP="00FB01D8">
            <w:pPr>
              <w:spacing w:line="360" w:lineRule="auto"/>
              <w:jc w:val="both"/>
              <w:rPr>
                <w:rFonts w:eastAsia="DengXian"/>
                <w:b/>
                <w:bCs/>
                <w:lang w:val="en-GB" w:eastAsia="zh-CN"/>
              </w:rPr>
            </w:pPr>
            <w:r w:rsidRPr="00FB01D8">
              <w:rPr>
                <w:rFonts w:eastAsia="DengXian"/>
                <w:b/>
                <w:bCs/>
                <w:lang w:val="en-GB" w:eastAsia="zh-CN"/>
              </w:rPr>
              <w:t>Test</w:t>
            </w:r>
          </w:p>
        </w:tc>
        <w:tc>
          <w:tcPr>
            <w:tcW w:w="1353" w:type="dxa"/>
            <w:tcBorders>
              <w:top w:val="nil"/>
              <w:left w:val="nil"/>
              <w:bottom w:val="nil"/>
              <w:right w:val="nil"/>
            </w:tcBorders>
            <w:vAlign w:val="center"/>
            <w:hideMark/>
          </w:tcPr>
          <w:p w14:paraId="1C43E763"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16.28</w:t>
            </w:r>
            <w:r w:rsidRPr="00FB01D8">
              <w:rPr>
                <w:rFonts w:eastAsia="DengXian"/>
                <w:lang w:eastAsia="zh-CN"/>
              </w:rPr>
              <w:t xml:space="preserve">± </w:t>
            </w:r>
            <w:r w:rsidRPr="00FB01D8">
              <w:rPr>
                <w:rFonts w:eastAsia="DengXian"/>
                <w:lang w:val="en-GB" w:eastAsia="zh-CN"/>
              </w:rPr>
              <w:t>4.346</w:t>
            </w:r>
          </w:p>
        </w:tc>
        <w:tc>
          <w:tcPr>
            <w:tcW w:w="1208" w:type="dxa"/>
            <w:tcBorders>
              <w:top w:val="nil"/>
              <w:left w:val="nil"/>
              <w:bottom w:val="nil"/>
              <w:right w:val="nil"/>
            </w:tcBorders>
            <w:vAlign w:val="center"/>
            <w:hideMark/>
          </w:tcPr>
          <w:p w14:paraId="74108705"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14.49</w:t>
            </w:r>
            <w:r w:rsidRPr="00FB01D8">
              <w:rPr>
                <w:rFonts w:eastAsia="DengXian"/>
                <w:lang w:eastAsia="zh-CN"/>
              </w:rPr>
              <w:t xml:space="preserve">± </w:t>
            </w:r>
            <w:r w:rsidRPr="00FB01D8">
              <w:rPr>
                <w:rFonts w:eastAsia="DengXian"/>
                <w:lang w:val="en-GB" w:eastAsia="zh-CN"/>
              </w:rPr>
              <w:t>3.366</w:t>
            </w:r>
          </w:p>
        </w:tc>
        <w:tc>
          <w:tcPr>
            <w:tcW w:w="1324" w:type="dxa"/>
            <w:tcBorders>
              <w:top w:val="nil"/>
              <w:left w:val="nil"/>
              <w:bottom w:val="nil"/>
              <w:right w:val="nil"/>
            </w:tcBorders>
            <w:vAlign w:val="center"/>
            <w:hideMark/>
          </w:tcPr>
          <w:p w14:paraId="3918C4A7"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17.85</w:t>
            </w:r>
            <w:r w:rsidRPr="00FB01D8">
              <w:rPr>
                <w:rFonts w:eastAsia="DengXian"/>
                <w:lang w:eastAsia="zh-CN"/>
              </w:rPr>
              <w:t xml:space="preserve">± </w:t>
            </w:r>
            <w:r w:rsidRPr="00FB01D8">
              <w:rPr>
                <w:rFonts w:eastAsia="DengXian"/>
                <w:lang w:val="en-GB" w:eastAsia="zh-CN"/>
              </w:rPr>
              <w:t>5.226</w:t>
            </w:r>
          </w:p>
        </w:tc>
        <w:tc>
          <w:tcPr>
            <w:tcW w:w="1420" w:type="dxa"/>
            <w:tcBorders>
              <w:top w:val="nil"/>
              <w:left w:val="nil"/>
              <w:bottom w:val="nil"/>
              <w:right w:val="nil"/>
            </w:tcBorders>
            <w:vAlign w:val="center"/>
            <w:hideMark/>
          </w:tcPr>
          <w:p w14:paraId="063CFBA2"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19.74</w:t>
            </w:r>
            <w:r w:rsidRPr="00FB01D8">
              <w:rPr>
                <w:rFonts w:eastAsia="DengXian"/>
                <w:lang w:eastAsia="zh-CN"/>
              </w:rPr>
              <w:t xml:space="preserve">± </w:t>
            </w:r>
            <w:r w:rsidRPr="00FB01D8">
              <w:rPr>
                <w:rFonts w:eastAsia="DengXian"/>
                <w:lang w:val="en-GB" w:eastAsia="zh-CN"/>
              </w:rPr>
              <w:t>7.957</w:t>
            </w:r>
          </w:p>
        </w:tc>
        <w:tc>
          <w:tcPr>
            <w:tcW w:w="1394" w:type="dxa"/>
            <w:tcBorders>
              <w:top w:val="nil"/>
              <w:left w:val="nil"/>
              <w:bottom w:val="nil"/>
              <w:right w:val="nil"/>
            </w:tcBorders>
            <w:vAlign w:val="center"/>
            <w:hideMark/>
          </w:tcPr>
          <w:p w14:paraId="6C8E3BD5"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22.26</w:t>
            </w:r>
            <w:r w:rsidRPr="00FB01D8">
              <w:rPr>
                <w:rFonts w:eastAsia="DengXian"/>
                <w:lang w:eastAsia="zh-CN"/>
              </w:rPr>
              <w:t xml:space="preserve">± </w:t>
            </w:r>
            <w:r w:rsidRPr="00FB01D8">
              <w:rPr>
                <w:rFonts w:eastAsia="DengXian"/>
                <w:lang w:val="en-GB" w:eastAsia="zh-CN"/>
              </w:rPr>
              <w:t>11.14</w:t>
            </w:r>
          </w:p>
        </w:tc>
      </w:tr>
      <w:tr w:rsidR="00FB01D8" w:rsidRPr="00263220" w14:paraId="7C6EB942" w14:textId="77777777" w:rsidTr="00C111BE">
        <w:trPr>
          <w:trHeight w:val="418"/>
        </w:trPr>
        <w:tc>
          <w:tcPr>
            <w:tcW w:w="0" w:type="auto"/>
            <w:vMerge/>
            <w:tcBorders>
              <w:top w:val="nil"/>
              <w:left w:val="nil"/>
              <w:bottom w:val="nil"/>
              <w:right w:val="nil"/>
            </w:tcBorders>
            <w:vAlign w:val="center"/>
            <w:hideMark/>
          </w:tcPr>
          <w:p w14:paraId="65922EE5" w14:textId="77777777" w:rsidR="00FB01D8" w:rsidRPr="00FB01D8" w:rsidRDefault="00FB01D8" w:rsidP="00FB01D8">
            <w:pPr>
              <w:rPr>
                <w:rFonts w:eastAsia="DengXian"/>
                <w:b/>
                <w:bCs/>
                <w:lang w:eastAsia="zh-CN"/>
              </w:rPr>
            </w:pPr>
          </w:p>
        </w:tc>
        <w:tc>
          <w:tcPr>
            <w:tcW w:w="1016" w:type="dxa"/>
            <w:tcBorders>
              <w:top w:val="nil"/>
              <w:left w:val="nil"/>
              <w:bottom w:val="single" w:sz="4" w:space="0" w:color="auto"/>
              <w:right w:val="nil"/>
            </w:tcBorders>
            <w:vAlign w:val="center"/>
            <w:hideMark/>
          </w:tcPr>
          <w:p w14:paraId="341DEC32" w14:textId="77777777" w:rsidR="00FB01D8" w:rsidRPr="00FB01D8" w:rsidRDefault="00FB01D8" w:rsidP="00FB01D8">
            <w:pPr>
              <w:spacing w:line="360" w:lineRule="auto"/>
              <w:jc w:val="both"/>
              <w:rPr>
                <w:rFonts w:eastAsia="DengXian"/>
                <w:lang w:val="en-GB" w:eastAsia="zh-CN"/>
              </w:rPr>
            </w:pPr>
            <w:r w:rsidRPr="00FB01D8">
              <w:rPr>
                <w:rFonts w:eastAsia="DengXian"/>
                <w:b/>
                <w:bCs/>
                <w:lang w:eastAsia="zh-CN"/>
              </w:rPr>
              <w:t>p-value</w:t>
            </w:r>
          </w:p>
        </w:tc>
        <w:tc>
          <w:tcPr>
            <w:tcW w:w="1353" w:type="dxa"/>
            <w:tcBorders>
              <w:top w:val="nil"/>
              <w:left w:val="nil"/>
              <w:bottom w:val="single" w:sz="4" w:space="0" w:color="auto"/>
              <w:right w:val="nil"/>
            </w:tcBorders>
            <w:vAlign w:val="center"/>
            <w:hideMark/>
          </w:tcPr>
          <w:p w14:paraId="7AFB0E4E"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0.302</w:t>
            </w:r>
          </w:p>
        </w:tc>
        <w:tc>
          <w:tcPr>
            <w:tcW w:w="1208" w:type="dxa"/>
            <w:tcBorders>
              <w:top w:val="nil"/>
              <w:left w:val="nil"/>
              <w:bottom w:val="single" w:sz="4" w:space="0" w:color="auto"/>
              <w:right w:val="nil"/>
            </w:tcBorders>
            <w:vAlign w:val="center"/>
            <w:hideMark/>
          </w:tcPr>
          <w:p w14:paraId="0C60C5DE" w14:textId="77777777" w:rsidR="00FB01D8" w:rsidRPr="00FB01D8" w:rsidRDefault="00FB01D8" w:rsidP="00FB01D8">
            <w:pPr>
              <w:spacing w:line="360" w:lineRule="auto"/>
              <w:jc w:val="both"/>
              <w:rPr>
                <w:rFonts w:eastAsia="DengXian"/>
                <w:b/>
                <w:bCs/>
                <w:lang w:val="en-GB" w:eastAsia="zh-CN"/>
              </w:rPr>
            </w:pPr>
            <w:r w:rsidRPr="00FB01D8">
              <w:rPr>
                <w:rFonts w:eastAsia="DengXian"/>
                <w:b/>
                <w:bCs/>
                <w:lang w:val="en-GB" w:eastAsia="zh-CN"/>
              </w:rPr>
              <w:t>0.004*</w:t>
            </w:r>
          </w:p>
        </w:tc>
        <w:tc>
          <w:tcPr>
            <w:tcW w:w="1324" w:type="dxa"/>
            <w:tcBorders>
              <w:top w:val="nil"/>
              <w:left w:val="nil"/>
              <w:bottom w:val="single" w:sz="4" w:space="0" w:color="auto"/>
              <w:right w:val="nil"/>
            </w:tcBorders>
            <w:vAlign w:val="center"/>
            <w:hideMark/>
          </w:tcPr>
          <w:p w14:paraId="77938F1E" w14:textId="77777777" w:rsidR="00FB01D8" w:rsidRPr="00FB01D8" w:rsidRDefault="00FB01D8" w:rsidP="00FB01D8">
            <w:pPr>
              <w:spacing w:line="360" w:lineRule="auto"/>
              <w:jc w:val="both"/>
              <w:rPr>
                <w:rFonts w:eastAsia="DengXian"/>
                <w:b/>
                <w:bCs/>
                <w:lang w:val="en-GB" w:eastAsia="zh-CN"/>
              </w:rPr>
            </w:pPr>
            <w:r w:rsidRPr="00FB01D8">
              <w:rPr>
                <w:rFonts w:eastAsia="DengXian"/>
                <w:b/>
                <w:bCs/>
                <w:lang w:val="en-GB" w:eastAsia="zh-CN"/>
              </w:rPr>
              <w:t>&lt;0.0001*</w:t>
            </w:r>
          </w:p>
        </w:tc>
        <w:tc>
          <w:tcPr>
            <w:tcW w:w="1420" w:type="dxa"/>
            <w:tcBorders>
              <w:top w:val="nil"/>
              <w:left w:val="nil"/>
              <w:bottom w:val="single" w:sz="4" w:space="0" w:color="auto"/>
              <w:right w:val="nil"/>
            </w:tcBorders>
            <w:vAlign w:val="center"/>
            <w:hideMark/>
          </w:tcPr>
          <w:p w14:paraId="72E657F3" w14:textId="77777777" w:rsidR="00FB01D8" w:rsidRPr="00FB01D8" w:rsidRDefault="00FB01D8" w:rsidP="00FB01D8">
            <w:pPr>
              <w:spacing w:line="360" w:lineRule="auto"/>
              <w:jc w:val="both"/>
              <w:rPr>
                <w:rFonts w:eastAsia="DengXian"/>
                <w:b/>
                <w:bCs/>
                <w:lang w:val="en-GB" w:eastAsia="zh-CN"/>
              </w:rPr>
            </w:pPr>
            <w:r w:rsidRPr="00FB01D8">
              <w:rPr>
                <w:rFonts w:eastAsia="DengXian"/>
                <w:b/>
                <w:bCs/>
                <w:lang w:val="en-GB" w:eastAsia="zh-CN"/>
              </w:rPr>
              <w:t>0.0007*</w:t>
            </w:r>
          </w:p>
        </w:tc>
        <w:tc>
          <w:tcPr>
            <w:tcW w:w="1394" w:type="dxa"/>
            <w:tcBorders>
              <w:top w:val="nil"/>
              <w:left w:val="nil"/>
              <w:bottom w:val="single" w:sz="4" w:space="0" w:color="auto"/>
              <w:right w:val="nil"/>
            </w:tcBorders>
            <w:vAlign w:val="center"/>
            <w:hideMark/>
          </w:tcPr>
          <w:p w14:paraId="09C8EE68" w14:textId="77777777" w:rsidR="00FB01D8" w:rsidRPr="00FB01D8" w:rsidRDefault="00FB01D8" w:rsidP="00FB01D8">
            <w:pPr>
              <w:spacing w:line="360" w:lineRule="auto"/>
              <w:jc w:val="both"/>
              <w:rPr>
                <w:rFonts w:eastAsia="DengXian"/>
                <w:b/>
                <w:bCs/>
                <w:lang w:val="en-GB" w:eastAsia="zh-CN"/>
              </w:rPr>
            </w:pPr>
            <w:r w:rsidRPr="00FB01D8">
              <w:rPr>
                <w:rFonts w:eastAsia="DengXian"/>
                <w:b/>
                <w:bCs/>
                <w:lang w:val="en-GB" w:eastAsia="zh-CN"/>
              </w:rPr>
              <w:t>0.0212*</w:t>
            </w:r>
          </w:p>
        </w:tc>
      </w:tr>
      <w:tr w:rsidR="00FB01D8" w:rsidRPr="00263220" w14:paraId="7618D4C3" w14:textId="77777777" w:rsidTr="00FB01D8">
        <w:trPr>
          <w:trHeight w:val="418"/>
        </w:trPr>
        <w:tc>
          <w:tcPr>
            <w:tcW w:w="2123" w:type="dxa"/>
            <w:vMerge w:val="restart"/>
            <w:tcBorders>
              <w:top w:val="nil"/>
              <w:left w:val="nil"/>
              <w:bottom w:val="nil"/>
              <w:right w:val="nil"/>
            </w:tcBorders>
            <w:vAlign w:val="center"/>
            <w:hideMark/>
          </w:tcPr>
          <w:p w14:paraId="7527333B" w14:textId="77777777" w:rsidR="00FB01D8" w:rsidRPr="00FB01D8" w:rsidRDefault="00FB01D8" w:rsidP="00FB01D8">
            <w:pPr>
              <w:spacing w:line="360" w:lineRule="auto"/>
              <w:jc w:val="both"/>
              <w:rPr>
                <w:rFonts w:eastAsia="DengXian"/>
                <w:b/>
                <w:bCs/>
                <w:lang w:eastAsia="zh-CN"/>
              </w:rPr>
            </w:pPr>
            <w:r w:rsidRPr="00FB01D8">
              <w:rPr>
                <w:rFonts w:eastAsia="DengXian"/>
                <w:b/>
                <w:bCs/>
                <w:lang w:eastAsia="zh-CN"/>
              </w:rPr>
              <w:t>Microalbuminuria (mg/L)</w:t>
            </w:r>
          </w:p>
        </w:tc>
        <w:tc>
          <w:tcPr>
            <w:tcW w:w="1016" w:type="dxa"/>
            <w:tcBorders>
              <w:top w:val="nil"/>
              <w:left w:val="nil"/>
              <w:bottom w:val="nil"/>
              <w:right w:val="nil"/>
            </w:tcBorders>
            <w:vAlign w:val="center"/>
            <w:hideMark/>
          </w:tcPr>
          <w:p w14:paraId="7BE560BB" w14:textId="77777777" w:rsidR="00FB01D8" w:rsidRPr="00FB01D8" w:rsidRDefault="00FB01D8" w:rsidP="00FB01D8">
            <w:pPr>
              <w:spacing w:line="360" w:lineRule="auto"/>
              <w:jc w:val="both"/>
              <w:rPr>
                <w:rFonts w:eastAsia="DengXian"/>
                <w:lang w:eastAsia="zh-CN"/>
              </w:rPr>
            </w:pPr>
            <w:r w:rsidRPr="00FB01D8">
              <w:rPr>
                <w:rFonts w:eastAsia="DengXian"/>
                <w:b/>
                <w:bCs/>
                <w:lang w:eastAsia="zh-CN"/>
              </w:rPr>
              <w:t>Control</w:t>
            </w:r>
          </w:p>
        </w:tc>
        <w:tc>
          <w:tcPr>
            <w:tcW w:w="1353" w:type="dxa"/>
            <w:tcBorders>
              <w:top w:val="nil"/>
              <w:left w:val="nil"/>
              <w:bottom w:val="nil"/>
              <w:right w:val="nil"/>
            </w:tcBorders>
            <w:vAlign w:val="center"/>
            <w:hideMark/>
          </w:tcPr>
          <w:p w14:paraId="29BCE158"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10.00</w:t>
            </w:r>
            <w:r w:rsidRPr="00FB01D8">
              <w:rPr>
                <w:rFonts w:eastAsia="DengXian"/>
                <w:lang w:eastAsia="zh-CN"/>
              </w:rPr>
              <w:t xml:space="preserve">± </w:t>
            </w:r>
            <w:r w:rsidRPr="00FB01D8">
              <w:rPr>
                <w:rFonts w:eastAsia="DengXian"/>
                <w:lang w:val="en-GB" w:eastAsia="zh-CN"/>
              </w:rPr>
              <w:t>0.000</w:t>
            </w:r>
          </w:p>
        </w:tc>
        <w:tc>
          <w:tcPr>
            <w:tcW w:w="1208" w:type="dxa"/>
            <w:tcBorders>
              <w:top w:val="nil"/>
              <w:left w:val="nil"/>
              <w:bottom w:val="nil"/>
              <w:right w:val="nil"/>
            </w:tcBorders>
            <w:vAlign w:val="center"/>
            <w:hideMark/>
          </w:tcPr>
          <w:p w14:paraId="4E1DA6BD"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18.46</w:t>
            </w:r>
            <w:r w:rsidRPr="00FB01D8">
              <w:rPr>
                <w:rFonts w:eastAsia="DengXian"/>
                <w:lang w:eastAsia="zh-CN"/>
              </w:rPr>
              <w:t xml:space="preserve">± </w:t>
            </w:r>
            <w:r w:rsidRPr="00FB01D8">
              <w:rPr>
                <w:rFonts w:eastAsia="DengXian"/>
                <w:lang w:val="en-GB" w:eastAsia="zh-CN"/>
              </w:rPr>
              <w:t>19.94</w:t>
            </w:r>
          </w:p>
        </w:tc>
        <w:tc>
          <w:tcPr>
            <w:tcW w:w="1324" w:type="dxa"/>
            <w:tcBorders>
              <w:top w:val="nil"/>
              <w:left w:val="nil"/>
              <w:bottom w:val="nil"/>
              <w:right w:val="nil"/>
            </w:tcBorders>
            <w:vAlign w:val="center"/>
            <w:hideMark/>
          </w:tcPr>
          <w:p w14:paraId="62927C39"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20.00</w:t>
            </w:r>
            <w:r w:rsidRPr="00FB01D8">
              <w:rPr>
                <w:rFonts w:eastAsia="DengXian"/>
                <w:lang w:eastAsia="zh-CN"/>
              </w:rPr>
              <w:t xml:space="preserve">± </w:t>
            </w:r>
            <w:r w:rsidRPr="00FB01D8">
              <w:rPr>
                <w:rFonts w:eastAsia="DengXian"/>
                <w:lang w:val="en-GB" w:eastAsia="zh-CN"/>
              </w:rPr>
              <w:t>28.89</w:t>
            </w:r>
          </w:p>
        </w:tc>
        <w:tc>
          <w:tcPr>
            <w:tcW w:w="1420" w:type="dxa"/>
            <w:tcBorders>
              <w:top w:val="nil"/>
              <w:left w:val="nil"/>
              <w:bottom w:val="nil"/>
              <w:right w:val="nil"/>
            </w:tcBorders>
            <w:vAlign w:val="center"/>
            <w:hideMark/>
          </w:tcPr>
          <w:p w14:paraId="28B46F33" w14:textId="77777777" w:rsidR="00FB01D8" w:rsidRPr="00FB01D8" w:rsidRDefault="00FB01D8" w:rsidP="00FB01D8">
            <w:pPr>
              <w:spacing w:line="360" w:lineRule="auto"/>
              <w:jc w:val="both"/>
              <w:rPr>
                <w:rFonts w:eastAsia="DengXian"/>
                <w:lang w:eastAsia="zh-CN"/>
              </w:rPr>
            </w:pPr>
            <w:r w:rsidRPr="00FB01D8">
              <w:rPr>
                <w:rFonts w:eastAsia="DengXian"/>
                <w:lang w:val="en-GB" w:eastAsia="zh-CN"/>
              </w:rPr>
              <w:t>25.83</w:t>
            </w:r>
            <w:r w:rsidRPr="00FB01D8">
              <w:rPr>
                <w:rFonts w:eastAsia="DengXian"/>
                <w:lang w:eastAsia="zh-CN"/>
              </w:rPr>
              <w:t xml:space="preserve">± </w:t>
            </w:r>
            <w:r w:rsidRPr="00FB01D8">
              <w:rPr>
                <w:rFonts w:eastAsia="DengXian"/>
                <w:lang w:val="en-GB" w:eastAsia="zh-CN"/>
              </w:rPr>
              <w:t>33.22</w:t>
            </w:r>
          </w:p>
        </w:tc>
        <w:tc>
          <w:tcPr>
            <w:tcW w:w="1394" w:type="dxa"/>
            <w:tcBorders>
              <w:top w:val="nil"/>
              <w:left w:val="nil"/>
              <w:bottom w:val="nil"/>
              <w:right w:val="nil"/>
            </w:tcBorders>
            <w:vAlign w:val="center"/>
            <w:hideMark/>
          </w:tcPr>
          <w:p w14:paraId="2D1ABEDC" w14:textId="77777777" w:rsidR="00FB01D8" w:rsidRPr="00FB01D8" w:rsidRDefault="00FB01D8" w:rsidP="00FB01D8">
            <w:pPr>
              <w:spacing w:line="360" w:lineRule="auto"/>
              <w:jc w:val="both"/>
              <w:rPr>
                <w:rFonts w:eastAsia="DengXian"/>
                <w:lang w:eastAsia="zh-CN"/>
              </w:rPr>
            </w:pPr>
            <w:r w:rsidRPr="00FB01D8">
              <w:rPr>
                <w:rFonts w:eastAsia="DengXian"/>
                <w:lang w:val="en-GB" w:eastAsia="zh-CN"/>
              </w:rPr>
              <w:t>75.30</w:t>
            </w:r>
            <w:r w:rsidRPr="00FB01D8">
              <w:rPr>
                <w:rFonts w:eastAsia="DengXian"/>
                <w:lang w:eastAsia="zh-CN"/>
              </w:rPr>
              <w:t xml:space="preserve">± </w:t>
            </w:r>
            <w:r w:rsidRPr="00FB01D8">
              <w:rPr>
                <w:rFonts w:eastAsia="DengXian"/>
                <w:lang w:val="en-GB" w:eastAsia="zh-CN"/>
              </w:rPr>
              <w:t>11.00</w:t>
            </w:r>
          </w:p>
        </w:tc>
      </w:tr>
      <w:tr w:rsidR="00FB01D8" w:rsidRPr="00263220" w14:paraId="2B20AB85" w14:textId="77777777" w:rsidTr="00C111BE">
        <w:trPr>
          <w:trHeight w:val="418"/>
        </w:trPr>
        <w:tc>
          <w:tcPr>
            <w:tcW w:w="0" w:type="auto"/>
            <w:vMerge/>
            <w:tcBorders>
              <w:top w:val="nil"/>
              <w:left w:val="nil"/>
              <w:bottom w:val="nil"/>
              <w:right w:val="nil"/>
            </w:tcBorders>
            <w:vAlign w:val="center"/>
            <w:hideMark/>
          </w:tcPr>
          <w:p w14:paraId="31A72AB0" w14:textId="77777777" w:rsidR="00FB01D8" w:rsidRPr="00FB01D8" w:rsidRDefault="00FB01D8" w:rsidP="00FB01D8">
            <w:pPr>
              <w:rPr>
                <w:rFonts w:eastAsia="DengXian"/>
                <w:b/>
                <w:bCs/>
                <w:lang w:eastAsia="zh-CN"/>
              </w:rPr>
            </w:pPr>
          </w:p>
        </w:tc>
        <w:tc>
          <w:tcPr>
            <w:tcW w:w="1016" w:type="dxa"/>
            <w:tcBorders>
              <w:top w:val="nil"/>
              <w:left w:val="nil"/>
              <w:bottom w:val="nil"/>
              <w:right w:val="nil"/>
            </w:tcBorders>
            <w:vAlign w:val="center"/>
            <w:hideMark/>
          </w:tcPr>
          <w:p w14:paraId="751D6080" w14:textId="77777777" w:rsidR="00FB01D8" w:rsidRPr="00FB01D8" w:rsidRDefault="00FB01D8" w:rsidP="00FB01D8">
            <w:pPr>
              <w:spacing w:line="360" w:lineRule="auto"/>
              <w:jc w:val="both"/>
              <w:rPr>
                <w:rFonts w:eastAsia="DengXian"/>
                <w:b/>
                <w:bCs/>
                <w:lang w:val="en-GB" w:eastAsia="zh-CN"/>
              </w:rPr>
            </w:pPr>
            <w:r w:rsidRPr="00FB01D8">
              <w:rPr>
                <w:rFonts w:eastAsia="DengXian"/>
                <w:b/>
                <w:bCs/>
                <w:lang w:val="en-GB" w:eastAsia="zh-CN"/>
              </w:rPr>
              <w:t>Test</w:t>
            </w:r>
          </w:p>
        </w:tc>
        <w:tc>
          <w:tcPr>
            <w:tcW w:w="1353" w:type="dxa"/>
            <w:tcBorders>
              <w:top w:val="nil"/>
              <w:left w:val="nil"/>
              <w:bottom w:val="nil"/>
              <w:right w:val="nil"/>
            </w:tcBorders>
            <w:vAlign w:val="center"/>
            <w:hideMark/>
          </w:tcPr>
          <w:p w14:paraId="030C020B"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80.00</w:t>
            </w:r>
            <w:r w:rsidRPr="00FB01D8">
              <w:rPr>
                <w:rFonts w:eastAsia="DengXian"/>
                <w:lang w:eastAsia="zh-CN"/>
              </w:rPr>
              <w:t xml:space="preserve">± </w:t>
            </w:r>
            <w:r w:rsidRPr="00FB01D8">
              <w:rPr>
                <w:rFonts w:eastAsia="DengXian"/>
                <w:lang w:val="en-GB" w:eastAsia="zh-CN"/>
              </w:rPr>
              <w:t>70.00</w:t>
            </w:r>
          </w:p>
        </w:tc>
        <w:tc>
          <w:tcPr>
            <w:tcW w:w="1208" w:type="dxa"/>
            <w:tcBorders>
              <w:top w:val="nil"/>
              <w:left w:val="nil"/>
              <w:bottom w:val="nil"/>
              <w:right w:val="nil"/>
            </w:tcBorders>
            <w:vAlign w:val="center"/>
            <w:hideMark/>
          </w:tcPr>
          <w:p w14:paraId="7EB71711"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46.67</w:t>
            </w:r>
            <w:r w:rsidRPr="00FB01D8">
              <w:rPr>
                <w:rFonts w:eastAsia="DengXian"/>
                <w:lang w:eastAsia="zh-CN"/>
              </w:rPr>
              <w:t xml:space="preserve">± </w:t>
            </w:r>
            <w:r w:rsidRPr="00FB01D8">
              <w:rPr>
                <w:rFonts w:eastAsia="DengXian"/>
                <w:lang w:val="en-GB" w:eastAsia="zh-CN"/>
              </w:rPr>
              <w:t>62.57</w:t>
            </w:r>
          </w:p>
        </w:tc>
        <w:tc>
          <w:tcPr>
            <w:tcW w:w="1324" w:type="dxa"/>
            <w:tcBorders>
              <w:top w:val="nil"/>
              <w:left w:val="nil"/>
              <w:bottom w:val="nil"/>
              <w:right w:val="nil"/>
            </w:tcBorders>
            <w:vAlign w:val="center"/>
            <w:hideMark/>
          </w:tcPr>
          <w:p w14:paraId="50FCD46C"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70.00</w:t>
            </w:r>
            <w:r w:rsidRPr="00FB01D8">
              <w:rPr>
                <w:rFonts w:eastAsia="DengXian"/>
                <w:lang w:eastAsia="zh-CN"/>
              </w:rPr>
              <w:t xml:space="preserve">± </w:t>
            </w:r>
            <w:r w:rsidRPr="00FB01D8">
              <w:rPr>
                <w:rFonts w:eastAsia="DengXian"/>
                <w:lang w:val="en-GB" w:eastAsia="zh-CN"/>
              </w:rPr>
              <w:t>66.06</w:t>
            </w:r>
          </w:p>
        </w:tc>
        <w:tc>
          <w:tcPr>
            <w:tcW w:w="1420" w:type="dxa"/>
            <w:tcBorders>
              <w:top w:val="nil"/>
              <w:left w:val="nil"/>
              <w:bottom w:val="nil"/>
              <w:right w:val="nil"/>
            </w:tcBorders>
            <w:vAlign w:val="center"/>
            <w:hideMark/>
          </w:tcPr>
          <w:p w14:paraId="0E6E1DB6"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54.21</w:t>
            </w:r>
            <w:r w:rsidRPr="00FB01D8">
              <w:rPr>
                <w:rFonts w:eastAsia="DengXian"/>
                <w:lang w:eastAsia="zh-CN"/>
              </w:rPr>
              <w:t xml:space="preserve">± </w:t>
            </w:r>
            <w:r w:rsidRPr="00FB01D8">
              <w:rPr>
                <w:rFonts w:eastAsia="DengXian"/>
                <w:lang w:val="en-GB" w:eastAsia="zh-CN"/>
              </w:rPr>
              <w:t>54.70</w:t>
            </w:r>
          </w:p>
        </w:tc>
        <w:tc>
          <w:tcPr>
            <w:tcW w:w="1394" w:type="dxa"/>
            <w:tcBorders>
              <w:top w:val="nil"/>
              <w:left w:val="nil"/>
              <w:bottom w:val="nil"/>
              <w:right w:val="nil"/>
            </w:tcBorders>
            <w:vAlign w:val="center"/>
            <w:hideMark/>
          </w:tcPr>
          <w:p w14:paraId="317686DD"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21.67</w:t>
            </w:r>
            <w:r w:rsidRPr="00FB01D8">
              <w:rPr>
                <w:rFonts w:eastAsia="DengXian"/>
                <w:lang w:eastAsia="zh-CN"/>
              </w:rPr>
              <w:t xml:space="preserve">± </w:t>
            </w:r>
            <w:r w:rsidRPr="00FB01D8">
              <w:rPr>
                <w:rFonts w:eastAsia="DengXian"/>
                <w:lang w:val="en-GB" w:eastAsia="zh-CN"/>
              </w:rPr>
              <w:t>28.58</w:t>
            </w:r>
          </w:p>
        </w:tc>
      </w:tr>
      <w:tr w:rsidR="00FB01D8" w:rsidRPr="00263220" w14:paraId="14FEDFFF" w14:textId="77777777" w:rsidTr="00C111BE">
        <w:trPr>
          <w:trHeight w:val="418"/>
        </w:trPr>
        <w:tc>
          <w:tcPr>
            <w:tcW w:w="0" w:type="auto"/>
            <w:vMerge/>
            <w:tcBorders>
              <w:top w:val="nil"/>
              <w:left w:val="nil"/>
              <w:bottom w:val="nil"/>
              <w:right w:val="nil"/>
            </w:tcBorders>
            <w:vAlign w:val="center"/>
            <w:hideMark/>
          </w:tcPr>
          <w:p w14:paraId="1F60E1FD" w14:textId="77777777" w:rsidR="00FB01D8" w:rsidRPr="00FB01D8" w:rsidRDefault="00FB01D8" w:rsidP="00FB01D8">
            <w:pPr>
              <w:rPr>
                <w:rFonts w:eastAsia="DengXian"/>
                <w:b/>
                <w:bCs/>
                <w:lang w:eastAsia="zh-CN"/>
              </w:rPr>
            </w:pPr>
          </w:p>
        </w:tc>
        <w:tc>
          <w:tcPr>
            <w:tcW w:w="1016" w:type="dxa"/>
            <w:tcBorders>
              <w:top w:val="nil"/>
              <w:left w:val="nil"/>
              <w:bottom w:val="single" w:sz="4" w:space="0" w:color="auto"/>
              <w:right w:val="nil"/>
            </w:tcBorders>
            <w:vAlign w:val="center"/>
            <w:hideMark/>
          </w:tcPr>
          <w:p w14:paraId="62CA6420" w14:textId="77777777" w:rsidR="00FB01D8" w:rsidRPr="00FB01D8" w:rsidRDefault="00FB01D8" w:rsidP="00FB01D8">
            <w:pPr>
              <w:spacing w:line="360" w:lineRule="auto"/>
              <w:jc w:val="both"/>
              <w:rPr>
                <w:rFonts w:eastAsia="DengXian"/>
                <w:lang w:val="en-GB" w:eastAsia="zh-CN"/>
              </w:rPr>
            </w:pPr>
            <w:r w:rsidRPr="00FB01D8">
              <w:rPr>
                <w:rFonts w:eastAsia="DengXian"/>
                <w:b/>
                <w:bCs/>
                <w:lang w:eastAsia="zh-CN"/>
              </w:rPr>
              <w:t>p-value</w:t>
            </w:r>
          </w:p>
        </w:tc>
        <w:tc>
          <w:tcPr>
            <w:tcW w:w="1353" w:type="dxa"/>
            <w:tcBorders>
              <w:top w:val="nil"/>
              <w:left w:val="nil"/>
              <w:bottom w:val="single" w:sz="4" w:space="0" w:color="auto"/>
              <w:right w:val="nil"/>
            </w:tcBorders>
            <w:vAlign w:val="center"/>
            <w:hideMark/>
          </w:tcPr>
          <w:p w14:paraId="097008D4"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0.1583</w:t>
            </w:r>
          </w:p>
        </w:tc>
        <w:tc>
          <w:tcPr>
            <w:tcW w:w="1208" w:type="dxa"/>
            <w:tcBorders>
              <w:top w:val="nil"/>
              <w:left w:val="nil"/>
              <w:bottom w:val="single" w:sz="4" w:space="0" w:color="auto"/>
              <w:right w:val="nil"/>
            </w:tcBorders>
            <w:vAlign w:val="center"/>
            <w:hideMark/>
          </w:tcPr>
          <w:p w14:paraId="2A0F6164"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0.1360</w:t>
            </w:r>
          </w:p>
        </w:tc>
        <w:tc>
          <w:tcPr>
            <w:tcW w:w="1324" w:type="dxa"/>
            <w:tcBorders>
              <w:top w:val="nil"/>
              <w:left w:val="nil"/>
              <w:bottom w:val="single" w:sz="4" w:space="0" w:color="auto"/>
              <w:right w:val="nil"/>
            </w:tcBorders>
            <w:vAlign w:val="center"/>
            <w:hideMark/>
          </w:tcPr>
          <w:p w14:paraId="2B1811E5" w14:textId="77777777" w:rsidR="00FB01D8" w:rsidRPr="00FB01D8" w:rsidRDefault="00FB01D8" w:rsidP="00FB01D8">
            <w:pPr>
              <w:spacing w:line="360" w:lineRule="auto"/>
              <w:jc w:val="both"/>
              <w:rPr>
                <w:rFonts w:eastAsia="DengXian"/>
                <w:b/>
                <w:bCs/>
                <w:lang w:val="en-GB" w:eastAsia="zh-CN"/>
              </w:rPr>
            </w:pPr>
            <w:r w:rsidRPr="00FB01D8">
              <w:rPr>
                <w:rFonts w:eastAsia="DengXian"/>
                <w:b/>
                <w:bCs/>
                <w:lang w:val="en-GB" w:eastAsia="zh-CN"/>
              </w:rPr>
              <w:t>0.0015*</w:t>
            </w:r>
          </w:p>
        </w:tc>
        <w:tc>
          <w:tcPr>
            <w:tcW w:w="1420" w:type="dxa"/>
            <w:tcBorders>
              <w:top w:val="nil"/>
              <w:left w:val="nil"/>
              <w:bottom w:val="single" w:sz="4" w:space="0" w:color="auto"/>
              <w:right w:val="nil"/>
            </w:tcBorders>
            <w:vAlign w:val="center"/>
            <w:hideMark/>
          </w:tcPr>
          <w:p w14:paraId="55734C7E" w14:textId="77777777" w:rsidR="00FB01D8" w:rsidRPr="00FB01D8" w:rsidRDefault="00FB01D8" w:rsidP="00FB01D8">
            <w:pPr>
              <w:spacing w:line="360" w:lineRule="auto"/>
              <w:jc w:val="both"/>
              <w:rPr>
                <w:rFonts w:eastAsia="DengXian"/>
                <w:b/>
                <w:bCs/>
                <w:lang w:val="en-GB" w:eastAsia="zh-CN"/>
              </w:rPr>
            </w:pPr>
            <w:r w:rsidRPr="00FB01D8">
              <w:rPr>
                <w:rFonts w:eastAsia="DengXian"/>
                <w:b/>
                <w:bCs/>
                <w:lang w:val="en-GB" w:eastAsia="zh-CN"/>
              </w:rPr>
              <w:t>0.0417*</w:t>
            </w:r>
          </w:p>
        </w:tc>
        <w:tc>
          <w:tcPr>
            <w:tcW w:w="1394" w:type="dxa"/>
            <w:tcBorders>
              <w:top w:val="nil"/>
              <w:left w:val="nil"/>
              <w:bottom w:val="single" w:sz="4" w:space="0" w:color="auto"/>
              <w:right w:val="nil"/>
            </w:tcBorders>
            <w:vAlign w:val="center"/>
            <w:hideMark/>
          </w:tcPr>
          <w:p w14:paraId="434A507F" w14:textId="77777777" w:rsidR="00FB01D8" w:rsidRPr="00FB01D8" w:rsidRDefault="00FB01D8" w:rsidP="00FB01D8">
            <w:pPr>
              <w:spacing w:line="360" w:lineRule="auto"/>
              <w:jc w:val="both"/>
              <w:rPr>
                <w:rFonts w:eastAsia="DengXian"/>
                <w:lang w:val="en-GB" w:eastAsia="zh-CN"/>
              </w:rPr>
            </w:pPr>
            <w:r w:rsidRPr="00FB01D8">
              <w:rPr>
                <w:rFonts w:eastAsia="DengXian"/>
                <w:lang w:val="en-GB" w:eastAsia="zh-CN"/>
              </w:rPr>
              <w:t>0.0982</w:t>
            </w:r>
          </w:p>
        </w:tc>
      </w:tr>
    </w:tbl>
    <w:p w14:paraId="4DA08303" w14:textId="77777777" w:rsidR="00FB01D8" w:rsidRPr="00FB01D8" w:rsidRDefault="00FB01D8" w:rsidP="00FB01D8">
      <w:pPr>
        <w:autoSpaceDE w:val="0"/>
        <w:autoSpaceDN w:val="0"/>
        <w:adjustRightInd w:val="0"/>
        <w:spacing w:after="0" w:line="240" w:lineRule="auto"/>
        <w:jc w:val="both"/>
        <w:rPr>
          <w:rFonts w:ascii="Times New Roman" w:eastAsia="Calibri" w:hAnsi="Times New Roman" w:cs="Times New Roman"/>
          <w:bCs/>
          <w:color w:val="000000"/>
          <w:sz w:val="24"/>
          <w:szCs w:val="24"/>
          <w14:ligatures w14:val="standardContextual"/>
        </w:rPr>
      </w:pPr>
    </w:p>
    <w:p w14:paraId="40757DB8"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16F03A88"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042CEBAC"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739A6A66"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00708336"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2EF61713"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7709B6E8"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7BD7E016"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191B20D9"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4CF049D0"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476C4E57"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08C225FA"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3D1CFD80"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5C198C8B"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19A5939C"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637BA6A2"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3D519678"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5037E379"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2DAD652D"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11333942"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24F5DC3B"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52B50624"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36E775C9" w14:textId="77777777" w:rsidR="00C111BE" w:rsidRDefault="00C111BE" w:rsidP="00FB01D8">
      <w:pPr>
        <w:spacing w:after="0" w:line="240" w:lineRule="auto"/>
        <w:rPr>
          <w:rFonts w:ascii="Times New Roman" w:eastAsia="DengXian" w:hAnsi="Times New Roman" w:cs="Times New Roman"/>
          <w:b/>
          <w:bCs/>
          <w:sz w:val="24"/>
          <w:szCs w:val="24"/>
          <w:lang w:eastAsia="zh-CN"/>
        </w:rPr>
      </w:pPr>
    </w:p>
    <w:p w14:paraId="61E91AC9" w14:textId="05B975C3" w:rsidR="00FB01D8" w:rsidRPr="00FB01D8" w:rsidRDefault="00FB01D8" w:rsidP="00FB01D8">
      <w:pPr>
        <w:spacing w:after="0" w:line="240" w:lineRule="auto"/>
        <w:rPr>
          <w:rFonts w:ascii="Times New Roman" w:eastAsia="DengXian" w:hAnsi="Times New Roman" w:cs="Times New Roman"/>
          <w:sz w:val="24"/>
          <w:szCs w:val="24"/>
          <w:lang w:eastAsia="zh-CN"/>
        </w:rPr>
      </w:pPr>
      <w:r w:rsidRPr="00FB01D8">
        <w:rPr>
          <w:rFonts w:ascii="Times New Roman" w:eastAsia="DengXian" w:hAnsi="Times New Roman" w:cs="Times New Roman"/>
          <w:b/>
          <w:bCs/>
          <w:sz w:val="24"/>
          <w:szCs w:val="24"/>
          <w:lang w:eastAsia="zh-CN"/>
        </w:rPr>
        <w:t>Key: Test and Control values represents the mean ± standard deviation, * represents statistical significance at p&lt;0.05</w:t>
      </w:r>
    </w:p>
    <w:p w14:paraId="46B588AE" w14:textId="58C53A51" w:rsidR="00FB01D8" w:rsidRPr="00FB01D8" w:rsidRDefault="007D5C92" w:rsidP="00A33EE4">
      <w:pPr>
        <w:spacing w:before="100" w:beforeAutospacing="1" w:after="100" w:afterAutospacing="1" w:line="240" w:lineRule="auto"/>
        <w:outlineLvl w:val="2"/>
        <w:rPr>
          <w:rFonts w:ascii="Times New Roman" w:eastAsia="SimSun" w:hAnsi="Times New Roman" w:cs="Times New Roman"/>
          <w:sz w:val="24"/>
          <w:szCs w:val="24"/>
          <w:lang w:eastAsia="zh-CN"/>
        </w:rPr>
      </w:pPr>
      <w:r w:rsidRPr="007D5C92">
        <w:rPr>
          <w:rFonts w:ascii="Times New Roman" w:eastAsia="SimSun" w:hAnsi="Times New Roman" w:cs="Times New Roman"/>
          <w:sz w:val="24"/>
          <w:szCs w:val="24"/>
          <w:lang w:eastAsia="zh-CN"/>
        </w:rPr>
        <w:t>Table 3 shows the early biomarker levels of KIM-1, Cystatin C, and microalbuminuria across different age groups. Significant increases in biomarker levels are observed in older age groups, suggesting age-related progression of diabetic nephropathy.</w:t>
      </w:r>
    </w:p>
    <w:p w14:paraId="1EC1EC1E" w14:textId="09137884" w:rsidR="00C111BE" w:rsidRDefault="00C111BE" w:rsidP="00FB01D8">
      <w:pPr>
        <w:autoSpaceDE w:val="0"/>
        <w:autoSpaceDN w:val="0"/>
        <w:adjustRightInd w:val="0"/>
        <w:spacing w:after="0" w:line="240" w:lineRule="auto"/>
        <w:jc w:val="both"/>
        <w:rPr>
          <w:rFonts w:ascii="Times New Roman" w:eastAsia="Calibri" w:hAnsi="Times New Roman" w:cs="Times New Roman"/>
          <w:b/>
          <w:color w:val="000000"/>
          <w:sz w:val="24"/>
          <w:szCs w:val="24"/>
          <w14:ligatures w14:val="standardContextual"/>
        </w:rPr>
      </w:pPr>
    </w:p>
    <w:p w14:paraId="247D92B8" w14:textId="77777777" w:rsidR="00A33EE4" w:rsidRDefault="00A33EE4" w:rsidP="00FB01D8">
      <w:pPr>
        <w:autoSpaceDE w:val="0"/>
        <w:autoSpaceDN w:val="0"/>
        <w:adjustRightInd w:val="0"/>
        <w:spacing w:after="0" w:line="240" w:lineRule="auto"/>
        <w:jc w:val="both"/>
        <w:rPr>
          <w:rFonts w:ascii="Times New Roman" w:eastAsia="Calibri" w:hAnsi="Times New Roman" w:cs="Times New Roman"/>
          <w:b/>
          <w:color w:val="000000"/>
          <w:sz w:val="24"/>
          <w:szCs w:val="24"/>
          <w14:ligatures w14:val="standardContextual"/>
        </w:rPr>
      </w:pPr>
    </w:p>
    <w:p w14:paraId="3D49581F" w14:textId="1AF03D95" w:rsidR="00FB01D8" w:rsidRDefault="00FB01D8" w:rsidP="00FB01D8">
      <w:pPr>
        <w:autoSpaceDE w:val="0"/>
        <w:autoSpaceDN w:val="0"/>
        <w:adjustRightInd w:val="0"/>
        <w:spacing w:after="0" w:line="240" w:lineRule="auto"/>
        <w:jc w:val="both"/>
        <w:rPr>
          <w:rFonts w:ascii="Times New Roman" w:eastAsia="Calibri" w:hAnsi="Times New Roman" w:cs="Times New Roman"/>
          <w:b/>
          <w:bCs/>
          <w:color w:val="000000"/>
          <w:sz w:val="24"/>
          <w:szCs w:val="24"/>
          <w14:ligatures w14:val="standardContextual"/>
        </w:rPr>
      </w:pPr>
      <w:r w:rsidRPr="00FB01D8">
        <w:rPr>
          <w:rFonts w:ascii="Times New Roman" w:eastAsia="Calibri" w:hAnsi="Times New Roman" w:cs="Times New Roman"/>
          <w:b/>
          <w:color w:val="000000"/>
          <w:sz w:val="24"/>
          <w:szCs w:val="24"/>
          <w14:ligatures w14:val="standardContextual"/>
        </w:rPr>
        <w:lastRenderedPageBreak/>
        <w:t xml:space="preserve">Table 4: Estimated Glomerular Filtration Rate and </w:t>
      </w:r>
      <w:r w:rsidRPr="00FB01D8">
        <w:rPr>
          <w:rFonts w:ascii="Times New Roman" w:eastAsia="Calibri" w:hAnsi="Times New Roman" w:cs="Times New Roman"/>
          <w:b/>
          <w:bCs/>
          <w:color w:val="000000"/>
          <w:sz w:val="24"/>
          <w:szCs w:val="24"/>
          <w14:ligatures w14:val="standardContextual"/>
        </w:rPr>
        <w:t>Traditional Markers of Kidney Function (Plasma Sodium, Chloride, Potassium, Bicarbonate, Urea and Creatinine) of the Different Age Groups of Diabetic Subjects.</w:t>
      </w:r>
    </w:p>
    <w:p w14:paraId="0D773B06" w14:textId="32200A01" w:rsidR="0000401C" w:rsidRDefault="0000401C" w:rsidP="00FB01D8">
      <w:pPr>
        <w:autoSpaceDE w:val="0"/>
        <w:autoSpaceDN w:val="0"/>
        <w:adjustRightInd w:val="0"/>
        <w:spacing w:after="0" w:line="240" w:lineRule="auto"/>
        <w:jc w:val="both"/>
        <w:rPr>
          <w:rFonts w:ascii="Times New Roman" w:eastAsia="Calibri" w:hAnsi="Times New Roman" w:cs="Times New Roman"/>
          <w:b/>
          <w:bCs/>
          <w:color w:val="000000"/>
          <w:sz w:val="24"/>
          <w:szCs w:val="24"/>
          <w14:ligatures w14:val="standardContextual"/>
        </w:rPr>
      </w:pPr>
    </w:p>
    <w:p w14:paraId="122CA461" w14:textId="5C3CE847" w:rsidR="0000401C" w:rsidRDefault="0000401C" w:rsidP="00FB01D8">
      <w:pPr>
        <w:autoSpaceDE w:val="0"/>
        <w:autoSpaceDN w:val="0"/>
        <w:adjustRightInd w:val="0"/>
        <w:spacing w:after="0" w:line="240" w:lineRule="auto"/>
        <w:jc w:val="both"/>
        <w:rPr>
          <w:rFonts w:ascii="Times New Roman" w:eastAsia="Calibri" w:hAnsi="Times New Roman" w:cs="Times New Roman"/>
          <w:b/>
          <w:color w:val="000000"/>
          <w:sz w:val="24"/>
          <w:szCs w:val="24"/>
          <w14:ligatures w14:val="standardContextual"/>
        </w:rPr>
      </w:pPr>
      <w:r w:rsidRPr="0000401C">
        <w:rPr>
          <w:noProof/>
        </w:rPr>
        <w:drawing>
          <wp:inline distT="0" distB="0" distL="0" distR="0" wp14:anchorId="325075B3" wp14:editId="069B96D0">
            <wp:extent cx="8046720" cy="4362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46720" cy="4362450"/>
                    </a:xfrm>
                    <a:prstGeom prst="rect">
                      <a:avLst/>
                    </a:prstGeom>
                    <a:noFill/>
                    <a:ln>
                      <a:noFill/>
                    </a:ln>
                  </pic:spPr>
                </pic:pic>
              </a:graphicData>
            </a:graphic>
          </wp:inline>
        </w:drawing>
      </w:r>
    </w:p>
    <w:p w14:paraId="72FD5DBB" w14:textId="2F8FA92F" w:rsidR="00350F2E" w:rsidRDefault="00350F2E" w:rsidP="00FB01D8">
      <w:pPr>
        <w:autoSpaceDE w:val="0"/>
        <w:autoSpaceDN w:val="0"/>
        <w:adjustRightInd w:val="0"/>
        <w:spacing w:after="0" w:line="240" w:lineRule="auto"/>
        <w:jc w:val="both"/>
        <w:rPr>
          <w:rFonts w:ascii="Times New Roman" w:eastAsia="Calibri" w:hAnsi="Times New Roman" w:cs="Times New Roman"/>
          <w:bCs/>
          <w:color w:val="000000"/>
          <w:sz w:val="24"/>
          <w:szCs w:val="24"/>
          <w14:ligatures w14:val="standardContextual"/>
        </w:rPr>
      </w:pPr>
      <w:r w:rsidRPr="00350F2E">
        <w:rPr>
          <w:rFonts w:ascii="Times New Roman" w:eastAsia="Calibri" w:hAnsi="Times New Roman" w:cs="Times New Roman"/>
          <w:bCs/>
          <w:color w:val="000000"/>
          <w:sz w:val="24"/>
          <w:szCs w:val="24"/>
          <w14:ligatures w14:val="standardContextual"/>
        </w:rPr>
        <w:t>Key: * represents statistical significance at p&lt;0.05</w:t>
      </w:r>
    </w:p>
    <w:p w14:paraId="355A396E" w14:textId="77777777" w:rsidR="00350F2E" w:rsidRDefault="00350F2E" w:rsidP="00FB01D8">
      <w:pPr>
        <w:autoSpaceDE w:val="0"/>
        <w:autoSpaceDN w:val="0"/>
        <w:adjustRightInd w:val="0"/>
        <w:spacing w:after="0" w:line="240" w:lineRule="auto"/>
        <w:jc w:val="both"/>
        <w:rPr>
          <w:rFonts w:ascii="Times New Roman" w:eastAsia="Calibri" w:hAnsi="Times New Roman" w:cs="Times New Roman"/>
          <w:bCs/>
          <w:color w:val="000000"/>
          <w:sz w:val="24"/>
          <w:szCs w:val="24"/>
          <w14:ligatures w14:val="standardContextual"/>
        </w:rPr>
      </w:pPr>
    </w:p>
    <w:p w14:paraId="27A7E10F" w14:textId="79635694" w:rsidR="0000401C" w:rsidRPr="00FB01D8" w:rsidRDefault="0000401C" w:rsidP="00FB01D8">
      <w:pPr>
        <w:autoSpaceDE w:val="0"/>
        <w:autoSpaceDN w:val="0"/>
        <w:adjustRightInd w:val="0"/>
        <w:spacing w:after="0" w:line="240" w:lineRule="auto"/>
        <w:jc w:val="both"/>
        <w:rPr>
          <w:rFonts w:ascii="Times New Roman" w:eastAsia="Calibri" w:hAnsi="Times New Roman" w:cs="Times New Roman"/>
          <w:bCs/>
          <w:color w:val="000000"/>
          <w:sz w:val="24"/>
          <w:szCs w:val="24"/>
          <w14:ligatures w14:val="standardContextual"/>
        </w:rPr>
      </w:pPr>
      <w:r w:rsidRPr="0000401C">
        <w:rPr>
          <w:rFonts w:ascii="Times New Roman" w:eastAsia="Calibri" w:hAnsi="Times New Roman" w:cs="Times New Roman"/>
          <w:bCs/>
          <w:color w:val="000000"/>
          <w:sz w:val="24"/>
          <w:szCs w:val="24"/>
          <w14:ligatures w14:val="standardContextual"/>
        </w:rPr>
        <w:t>Table 4 compares eGFR, urea, creatinine, and electrolyte levels across various age groups in diabetic subjects. The findings indicate significant reductions in eGFR and increased creatinine levels in older age groups, pointing to declining kidney function with age</w:t>
      </w:r>
    </w:p>
    <w:p w14:paraId="23BA9A9F" w14:textId="77777777" w:rsidR="00350F2E" w:rsidRDefault="00350F2E" w:rsidP="00350F2E">
      <w:pPr>
        <w:spacing w:after="0" w:line="240" w:lineRule="auto"/>
        <w:outlineLvl w:val="2"/>
        <w:rPr>
          <w:rFonts w:ascii="Times New Roman" w:eastAsia="SimSun" w:hAnsi="Times New Roman" w:cs="Times New Roman"/>
          <w:b/>
          <w:bCs/>
          <w:sz w:val="24"/>
          <w:szCs w:val="24"/>
          <w:lang w:eastAsia="zh-CN"/>
        </w:rPr>
      </w:pPr>
    </w:p>
    <w:p w14:paraId="26F92322" w14:textId="561FF9AF" w:rsidR="00FB01D8" w:rsidRPr="00FB01D8" w:rsidRDefault="00FB01D8" w:rsidP="00350F2E">
      <w:pPr>
        <w:spacing w:after="0" w:line="240" w:lineRule="auto"/>
        <w:outlineLvl w:val="2"/>
        <w:rPr>
          <w:rFonts w:ascii="Times New Roman" w:eastAsia="SimSun" w:hAnsi="Times New Roman" w:cs="Times New Roman"/>
          <w:b/>
          <w:bCs/>
          <w:sz w:val="24"/>
          <w:szCs w:val="24"/>
          <w:lang w:eastAsia="zh-CN"/>
        </w:rPr>
      </w:pPr>
      <w:commentRangeStart w:id="31"/>
      <w:r w:rsidRPr="00FB01D8">
        <w:rPr>
          <w:rFonts w:ascii="Times New Roman" w:eastAsia="SimSun" w:hAnsi="Times New Roman" w:cs="Times New Roman"/>
          <w:b/>
          <w:bCs/>
          <w:sz w:val="24"/>
          <w:szCs w:val="24"/>
          <w:lang w:eastAsia="zh-CN"/>
        </w:rPr>
        <w:t>Table</w:t>
      </w:r>
      <w:commentRangeEnd w:id="31"/>
      <w:r w:rsidR="00741AFC">
        <w:rPr>
          <w:rStyle w:val="ab"/>
        </w:rPr>
        <w:commentReference w:id="31"/>
      </w:r>
      <w:r w:rsidRPr="00FB01D8">
        <w:rPr>
          <w:rFonts w:ascii="Times New Roman" w:eastAsia="SimSun" w:hAnsi="Times New Roman" w:cs="Times New Roman"/>
          <w:b/>
          <w:bCs/>
          <w:sz w:val="24"/>
          <w:szCs w:val="24"/>
          <w:lang w:eastAsia="zh-CN"/>
        </w:rPr>
        <w:t xml:space="preserve"> 5 — Correlations between biomarkers and clinical variables</w:t>
      </w:r>
    </w:p>
    <w:tbl>
      <w:tblPr>
        <w:tblW w:w="13252" w:type="dxa"/>
        <w:jc w:val="right"/>
        <w:tblBorders>
          <w:top w:val="single" w:sz="4" w:space="0" w:color="auto"/>
          <w:bottom w:val="single" w:sz="4" w:space="0" w:color="auto"/>
        </w:tblBorders>
        <w:tblLook w:val="04A0" w:firstRow="1" w:lastRow="0" w:firstColumn="1" w:lastColumn="0" w:noHBand="0" w:noVBand="1"/>
      </w:tblPr>
      <w:tblGrid>
        <w:gridCol w:w="2340"/>
        <w:gridCol w:w="461"/>
        <w:gridCol w:w="1087"/>
        <w:gridCol w:w="1075"/>
        <w:gridCol w:w="1048"/>
        <w:gridCol w:w="1190"/>
        <w:gridCol w:w="1291"/>
        <w:gridCol w:w="1190"/>
        <w:gridCol w:w="1190"/>
        <w:gridCol w:w="1190"/>
        <w:gridCol w:w="1190"/>
      </w:tblGrid>
      <w:tr w:rsidR="00FB01D8" w:rsidRPr="00FB01D8" w14:paraId="1BDA66B1" w14:textId="77777777" w:rsidTr="00FB01D8">
        <w:trPr>
          <w:trHeight w:val="558"/>
          <w:jc w:val="right"/>
        </w:trPr>
        <w:tc>
          <w:tcPr>
            <w:tcW w:w="2340" w:type="dxa"/>
            <w:tcBorders>
              <w:top w:val="single" w:sz="4" w:space="0" w:color="auto"/>
              <w:left w:val="nil"/>
              <w:bottom w:val="single" w:sz="4" w:space="0" w:color="auto"/>
              <w:right w:val="nil"/>
            </w:tcBorders>
            <w:vAlign w:val="center"/>
            <w:hideMark/>
          </w:tcPr>
          <w:p w14:paraId="3EC5A824"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Parameters</w:t>
            </w:r>
          </w:p>
        </w:tc>
        <w:tc>
          <w:tcPr>
            <w:tcW w:w="461" w:type="dxa"/>
            <w:tcBorders>
              <w:top w:val="single" w:sz="4" w:space="0" w:color="auto"/>
              <w:left w:val="nil"/>
              <w:bottom w:val="single" w:sz="4" w:space="0" w:color="auto"/>
              <w:right w:val="nil"/>
            </w:tcBorders>
            <w:vAlign w:val="center"/>
          </w:tcPr>
          <w:p w14:paraId="3FD05049"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1087" w:type="dxa"/>
            <w:tcBorders>
              <w:top w:val="single" w:sz="4" w:space="0" w:color="auto"/>
              <w:left w:val="nil"/>
              <w:bottom w:val="single" w:sz="4" w:space="0" w:color="auto"/>
              <w:right w:val="nil"/>
            </w:tcBorders>
            <w:vAlign w:val="center"/>
            <w:hideMark/>
          </w:tcPr>
          <w:p w14:paraId="35A4C6E1"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KIM-1 (</w:t>
            </w:r>
            <w:proofErr w:type="spellStart"/>
            <w:r w:rsidRPr="00FB01D8">
              <w:rPr>
                <w:rFonts w:ascii="Times New Roman" w:eastAsia="Times New Roman" w:hAnsi="Times New Roman" w:cs="Times New Roman"/>
                <w:b/>
                <w:bCs/>
                <w:color w:val="000000"/>
                <w:sz w:val="20"/>
                <w:szCs w:val="20"/>
                <w:lang w:eastAsia="zh-CN"/>
              </w:rPr>
              <w:t>pg</w:t>
            </w:r>
            <w:proofErr w:type="spellEnd"/>
            <w:r w:rsidRPr="00FB01D8">
              <w:rPr>
                <w:rFonts w:ascii="Times New Roman" w:eastAsia="Times New Roman" w:hAnsi="Times New Roman" w:cs="Times New Roman"/>
                <w:b/>
                <w:bCs/>
                <w:color w:val="000000"/>
                <w:sz w:val="20"/>
                <w:szCs w:val="20"/>
                <w:lang w:eastAsia="zh-CN"/>
              </w:rPr>
              <w:t>/mL)</w:t>
            </w:r>
          </w:p>
        </w:tc>
        <w:tc>
          <w:tcPr>
            <w:tcW w:w="1075" w:type="dxa"/>
            <w:tcBorders>
              <w:top w:val="single" w:sz="4" w:space="0" w:color="auto"/>
              <w:left w:val="nil"/>
              <w:bottom w:val="single" w:sz="4" w:space="0" w:color="auto"/>
              <w:right w:val="nil"/>
            </w:tcBorders>
            <w:vAlign w:val="center"/>
            <w:hideMark/>
          </w:tcPr>
          <w:p w14:paraId="0D6E6EB9"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roofErr w:type="spellStart"/>
            <w:r w:rsidRPr="00FB01D8">
              <w:rPr>
                <w:rFonts w:ascii="Times New Roman" w:eastAsia="Times New Roman" w:hAnsi="Times New Roman" w:cs="Times New Roman"/>
                <w:b/>
                <w:bCs/>
                <w:color w:val="000000"/>
                <w:sz w:val="20"/>
                <w:szCs w:val="20"/>
                <w:lang w:eastAsia="zh-CN"/>
              </w:rPr>
              <w:t>Cys</w:t>
            </w:r>
            <w:proofErr w:type="spellEnd"/>
            <w:r w:rsidRPr="00FB01D8">
              <w:rPr>
                <w:rFonts w:ascii="Times New Roman" w:eastAsia="Times New Roman" w:hAnsi="Times New Roman" w:cs="Times New Roman"/>
                <w:b/>
                <w:bCs/>
                <w:color w:val="000000"/>
                <w:sz w:val="20"/>
                <w:szCs w:val="20"/>
                <w:lang w:eastAsia="zh-CN"/>
              </w:rPr>
              <w:t>-C (</w:t>
            </w:r>
            <w:proofErr w:type="spellStart"/>
            <w:r w:rsidRPr="00FB01D8">
              <w:rPr>
                <w:rFonts w:ascii="Times New Roman" w:eastAsia="Times New Roman" w:hAnsi="Times New Roman" w:cs="Times New Roman"/>
                <w:b/>
                <w:bCs/>
                <w:color w:val="000000"/>
                <w:sz w:val="20"/>
                <w:szCs w:val="20"/>
                <w:lang w:eastAsia="zh-CN"/>
              </w:rPr>
              <w:t>ng</w:t>
            </w:r>
            <w:proofErr w:type="spellEnd"/>
            <w:r w:rsidRPr="00FB01D8">
              <w:rPr>
                <w:rFonts w:ascii="Times New Roman" w:eastAsia="Times New Roman" w:hAnsi="Times New Roman" w:cs="Times New Roman"/>
                <w:b/>
                <w:bCs/>
                <w:color w:val="000000"/>
                <w:sz w:val="20"/>
                <w:szCs w:val="20"/>
                <w:lang w:eastAsia="zh-CN"/>
              </w:rPr>
              <w:t>/mL)</w:t>
            </w:r>
          </w:p>
        </w:tc>
        <w:tc>
          <w:tcPr>
            <w:tcW w:w="1048" w:type="dxa"/>
            <w:tcBorders>
              <w:top w:val="single" w:sz="4" w:space="0" w:color="auto"/>
              <w:left w:val="nil"/>
              <w:bottom w:val="single" w:sz="4" w:space="0" w:color="auto"/>
              <w:right w:val="nil"/>
            </w:tcBorders>
            <w:vAlign w:val="center"/>
            <w:hideMark/>
          </w:tcPr>
          <w:p w14:paraId="609A5F89"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Malb (mg/L)</w:t>
            </w:r>
          </w:p>
        </w:tc>
        <w:tc>
          <w:tcPr>
            <w:tcW w:w="1190" w:type="dxa"/>
            <w:tcBorders>
              <w:top w:val="single" w:sz="4" w:space="0" w:color="auto"/>
              <w:left w:val="nil"/>
              <w:bottom w:val="single" w:sz="4" w:space="0" w:color="auto"/>
              <w:right w:val="nil"/>
            </w:tcBorders>
            <w:vAlign w:val="center"/>
            <w:hideMark/>
          </w:tcPr>
          <w:p w14:paraId="1D4FEAAE"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Urea</w:t>
            </w:r>
          </w:p>
          <w:p w14:paraId="1DEADBDF"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(mmol/L)</w:t>
            </w:r>
          </w:p>
        </w:tc>
        <w:tc>
          <w:tcPr>
            <w:tcW w:w="1291" w:type="dxa"/>
            <w:tcBorders>
              <w:top w:val="single" w:sz="4" w:space="0" w:color="auto"/>
              <w:left w:val="nil"/>
              <w:bottom w:val="single" w:sz="4" w:space="0" w:color="auto"/>
              <w:right w:val="nil"/>
            </w:tcBorders>
            <w:vAlign w:val="center"/>
            <w:hideMark/>
          </w:tcPr>
          <w:p w14:paraId="5601B880"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Cr</w:t>
            </w:r>
          </w:p>
          <w:p w14:paraId="1B0FF313"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w:t>
            </w:r>
            <w:proofErr w:type="spellStart"/>
            <w:r w:rsidRPr="00FB01D8">
              <w:rPr>
                <w:rFonts w:ascii="Times New Roman" w:eastAsia="Times New Roman" w:hAnsi="Times New Roman" w:cs="Times New Roman"/>
                <w:b/>
                <w:bCs/>
                <w:color w:val="000000"/>
                <w:sz w:val="20"/>
                <w:szCs w:val="20"/>
                <w:lang w:eastAsia="zh-CN"/>
              </w:rPr>
              <w:t>μmol</w:t>
            </w:r>
            <w:proofErr w:type="spellEnd"/>
            <w:r w:rsidRPr="00FB01D8">
              <w:rPr>
                <w:rFonts w:ascii="Times New Roman" w:eastAsia="Times New Roman" w:hAnsi="Times New Roman" w:cs="Times New Roman"/>
                <w:b/>
                <w:bCs/>
                <w:color w:val="000000"/>
                <w:sz w:val="20"/>
                <w:szCs w:val="20"/>
                <w:lang w:eastAsia="zh-CN"/>
              </w:rPr>
              <w:t>/L)</w:t>
            </w:r>
          </w:p>
        </w:tc>
        <w:tc>
          <w:tcPr>
            <w:tcW w:w="1190" w:type="dxa"/>
            <w:tcBorders>
              <w:top w:val="single" w:sz="4" w:space="0" w:color="auto"/>
              <w:left w:val="nil"/>
              <w:bottom w:val="single" w:sz="4" w:space="0" w:color="auto"/>
              <w:right w:val="nil"/>
            </w:tcBorders>
            <w:vAlign w:val="center"/>
            <w:hideMark/>
          </w:tcPr>
          <w:p w14:paraId="4DECDAF2"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Na</w:t>
            </w:r>
          </w:p>
          <w:p w14:paraId="129854DA"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(mmol/L)</w:t>
            </w:r>
          </w:p>
        </w:tc>
        <w:tc>
          <w:tcPr>
            <w:tcW w:w="1190" w:type="dxa"/>
            <w:tcBorders>
              <w:top w:val="single" w:sz="4" w:space="0" w:color="auto"/>
              <w:left w:val="nil"/>
              <w:bottom w:val="single" w:sz="4" w:space="0" w:color="auto"/>
              <w:right w:val="nil"/>
            </w:tcBorders>
            <w:vAlign w:val="center"/>
            <w:hideMark/>
          </w:tcPr>
          <w:p w14:paraId="78FBE7FD"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K</w:t>
            </w:r>
          </w:p>
          <w:p w14:paraId="72FFC8F9"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(mmol/L)</w:t>
            </w:r>
          </w:p>
        </w:tc>
        <w:tc>
          <w:tcPr>
            <w:tcW w:w="1190" w:type="dxa"/>
            <w:tcBorders>
              <w:top w:val="single" w:sz="4" w:space="0" w:color="auto"/>
              <w:left w:val="nil"/>
              <w:bottom w:val="single" w:sz="4" w:space="0" w:color="auto"/>
              <w:right w:val="nil"/>
            </w:tcBorders>
            <w:vAlign w:val="center"/>
            <w:hideMark/>
          </w:tcPr>
          <w:p w14:paraId="59CDE03B"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Cl</w:t>
            </w:r>
          </w:p>
          <w:p w14:paraId="4A20274D"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(mmol/L)</w:t>
            </w:r>
          </w:p>
        </w:tc>
        <w:tc>
          <w:tcPr>
            <w:tcW w:w="1190" w:type="dxa"/>
            <w:tcBorders>
              <w:top w:val="single" w:sz="4" w:space="0" w:color="auto"/>
              <w:left w:val="nil"/>
              <w:bottom w:val="single" w:sz="4" w:space="0" w:color="auto"/>
              <w:right w:val="nil"/>
            </w:tcBorders>
            <w:vAlign w:val="center"/>
            <w:hideMark/>
          </w:tcPr>
          <w:p w14:paraId="4E909614"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HCO3 (mmol/L)</w:t>
            </w:r>
          </w:p>
        </w:tc>
      </w:tr>
      <w:tr w:rsidR="00FB01D8" w:rsidRPr="00FB01D8" w14:paraId="7400B76F" w14:textId="77777777" w:rsidTr="00FB01D8">
        <w:trPr>
          <w:trHeight w:val="185"/>
          <w:jc w:val="right"/>
        </w:trPr>
        <w:tc>
          <w:tcPr>
            <w:tcW w:w="2340" w:type="dxa"/>
            <w:vMerge w:val="restart"/>
            <w:tcBorders>
              <w:top w:val="single" w:sz="4" w:space="0" w:color="auto"/>
              <w:left w:val="nil"/>
              <w:bottom w:val="nil"/>
              <w:right w:val="nil"/>
            </w:tcBorders>
            <w:vAlign w:val="center"/>
            <w:hideMark/>
          </w:tcPr>
          <w:p w14:paraId="24A25D95"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KIM-1 (</w:t>
            </w:r>
            <w:proofErr w:type="spellStart"/>
            <w:r w:rsidRPr="00FB01D8">
              <w:rPr>
                <w:rFonts w:ascii="Times New Roman" w:eastAsia="Times New Roman" w:hAnsi="Times New Roman" w:cs="Times New Roman"/>
                <w:b/>
                <w:bCs/>
                <w:color w:val="000000"/>
                <w:sz w:val="20"/>
                <w:szCs w:val="20"/>
                <w:lang w:eastAsia="zh-CN"/>
              </w:rPr>
              <w:t>pg</w:t>
            </w:r>
            <w:proofErr w:type="spellEnd"/>
            <w:r w:rsidRPr="00FB01D8">
              <w:rPr>
                <w:rFonts w:ascii="Times New Roman" w:eastAsia="Times New Roman" w:hAnsi="Times New Roman" w:cs="Times New Roman"/>
                <w:b/>
                <w:bCs/>
                <w:color w:val="000000"/>
                <w:sz w:val="20"/>
                <w:szCs w:val="20"/>
                <w:lang w:eastAsia="zh-CN"/>
              </w:rPr>
              <w:t>/mL)</w:t>
            </w:r>
          </w:p>
        </w:tc>
        <w:tc>
          <w:tcPr>
            <w:tcW w:w="461" w:type="dxa"/>
            <w:tcBorders>
              <w:top w:val="single" w:sz="4" w:space="0" w:color="auto"/>
              <w:left w:val="nil"/>
              <w:bottom w:val="nil"/>
              <w:right w:val="nil"/>
            </w:tcBorders>
            <w:vAlign w:val="center"/>
            <w:hideMark/>
          </w:tcPr>
          <w:p w14:paraId="03ECE956"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r</w:t>
            </w:r>
          </w:p>
        </w:tc>
        <w:tc>
          <w:tcPr>
            <w:tcW w:w="1087" w:type="dxa"/>
            <w:tcBorders>
              <w:top w:val="single" w:sz="4" w:space="0" w:color="auto"/>
              <w:left w:val="nil"/>
              <w:bottom w:val="nil"/>
              <w:right w:val="nil"/>
            </w:tcBorders>
            <w:vAlign w:val="center"/>
            <w:hideMark/>
          </w:tcPr>
          <w:p w14:paraId="32C0314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1</w:t>
            </w:r>
          </w:p>
        </w:tc>
        <w:tc>
          <w:tcPr>
            <w:tcW w:w="1075" w:type="dxa"/>
            <w:tcBorders>
              <w:top w:val="single" w:sz="4" w:space="0" w:color="auto"/>
              <w:left w:val="nil"/>
              <w:bottom w:val="nil"/>
              <w:right w:val="nil"/>
            </w:tcBorders>
            <w:vAlign w:val="center"/>
            <w:hideMark/>
          </w:tcPr>
          <w:p w14:paraId="1230457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0.48</w:t>
            </w:r>
          </w:p>
        </w:tc>
        <w:tc>
          <w:tcPr>
            <w:tcW w:w="1048" w:type="dxa"/>
            <w:tcBorders>
              <w:top w:val="single" w:sz="4" w:space="0" w:color="auto"/>
              <w:left w:val="nil"/>
              <w:bottom w:val="nil"/>
              <w:right w:val="nil"/>
            </w:tcBorders>
            <w:vAlign w:val="center"/>
            <w:hideMark/>
          </w:tcPr>
          <w:p w14:paraId="60E6C98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0.145</w:t>
            </w:r>
          </w:p>
        </w:tc>
        <w:tc>
          <w:tcPr>
            <w:tcW w:w="1190" w:type="dxa"/>
            <w:tcBorders>
              <w:top w:val="single" w:sz="4" w:space="0" w:color="auto"/>
              <w:left w:val="nil"/>
              <w:bottom w:val="nil"/>
              <w:right w:val="nil"/>
            </w:tcBorders>
            <w:vAlign w:val="center"/>
            <w:hideMark/>
          </w:tcPr>
          <w:p w14:paraId="10CE9A0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-0.094</w:t>
            </w:r>
          </w:p>
        </w:tc>
        <w:tc>
          <w:tcPr>
            <w:tcW w:w="1291" w:type="dxa"/>
            <w:tcBorders>
              <w:top w:val="single" w:sz="4" w:space="0" w:color="auto"/>
              <w:left w:val="nil"/>
              <w:bottom w:val="nil"/>
              <w:right w:val="nil"/>
            </w:tcBorders>
            <w:vAlign w:val="center"/>
            <w:hideMark/>
          </w:tcPr>
          <w:p w14:paraId="60F727A0"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0.247</w:t>
            </w:r>
          </w:p>
        </w:tc>
        <w:tc>
          <w:tcPr>
            <w:tcW w:w="1190" w:type="dxa"/>
            <w:tcBorders>
              <w:top w:val="single" w:sz="4" w:space="0" w:color="auto"/>
              <w:left w:val="nil"/>
              <w:bottom w:val="nil"/>
              <w:right w:val="nil"/>
            </w:tcBorders>
            <w:vAlign w:val="center"/>
            <w:hideMark/>
          </w:tcPr>
          <w:p w14:paraId="04B80A5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-0.083</w:t>
            </w:r>
          </w:p>
        </w:tc>
        <w:tc>
          <w:tcPr>
            <w:tcW w:w="1190" w:type="dxa"/>
            <w:tcBorders>
              <w:top w:val="single" w:sz="4" w:space="0" w:color="auto"/>
              <w:left w:val="nil"/>
              <w:bottom w:val="nil"/>
              <w:right w:val="nil"/>
            </w:tcBorders>
            <w:vAlign w:val="center"/>
            <w:hideMark/>
          </w:tcPr>
          <w:p w14:paraId="237207B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-0.017</w:t>
            </w:r>
          </w:p>
        </w:tc>
        <w:tc>
          <w:tcPr>
            <w:tcW w:w="1190" w:type="dxa"/>
            <w:tcBorders>
              <w:top w:val="single" w:sz="4" w:space="0" w:color="auto"/>
              <w:left w:val="nil"/>
              <w:bottom w:val="nil"/>
              <w:right w:val="nil"/>
            </w:tcBorders>
            <w:vAlign w:val="center"/>
            <w:hideMark/>
          </w:tcPr>
          <w:p w14:paraId="689FF730"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-0.065</w:t>
            </w:r>
          </w:p>
        </w:tc>
        <w:tc>
          <w:tcPr>
            <w:tcW w:w="1190" w:type="dxa"/>
            <w:tcBorders>
              <w:top w:val="single" w:sz="4" w:space="0" w:color="auto"/>
              <w:left w:val="nil"/>
              <w:bottom w:val="nil"/>
              <w:right w:val="nil"/>
            </w:tcBorders>
            <w:vAlign w:val="center"/>
            <w:hideMark/>
          </w:tcPr>
          <w:p w14:paraId="5BDACD3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0.199</w:t>
            </w:r>
          </w:p>
        </w:tc>
      </w:tr>
      <w:tr w:rsidR="00FB01D8" w:rsidRPr="00FB01D8" w14:paraId="29A3D544" w14:textId="77777777" w:rsidTr="00FB01D8">
        <w:trPr>
          <w:trHeight w:val="185"/>
          <w:jc w:val="right"/>
        </w:trPr>
        <w:tc>
          <w:tcPr>
            <w:tcW w:w="0" w:type="auto"/>
            <w:vMerge/>
            <w:tcBorders>
              <w:top w:val="single" w:sz="4" w:space="0" w:color="auto"/>
              <w:left w:val="nil"/>
              <w:bottom w:val="nil"/>
              <w:right w:val="nil"/>
            </w:tcBorders>
            <w:vAlign w:val="center"/>
            <w:hideMark/>
          </w:tcPr>
          <w:p w14:paraId="5A8A1D73" w14:textId="77777777" w:rsidR="00FB01D8" w:rsidRPr="00FB01D8" w:rsidRDefault="00FB01D8" w:rsidP="00FB01D8">
            <w:pPr>
              <w:spacing w:after="0" w:line="240" w:lineRule="auto"/>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hideMark/>
          </w:tcPr>
          <w:p w14:paraId="7F98B5FE"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p</w:t>
            </w:r>
          </w:p>
        </w:tc>
        <w:tc>
          <w:tcPr>
            <w:tcW w:w="1087" w:type="dxa"/>
            <w:tcBorders>
              <w:top w:val="nil"/>
              <w:left w:val="nil"/>
              <w:bottom w:val="nil"/>
              <w:right w:val="nil"/>
            </w:tcBorders>
            <w:vAlign w:val="center"/>
            <w:hideMark/>
          </w:tcPr>
          <w:p w14:paraId="208ABCB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w:t>
            </w:r>
          </w:p>
        </w:tc>
        <w:tc>
          <w:tcPr>
            <w:tcW w:w="1075" w:type="dxa"/>
            <w:tcBorders>
              <w:top w:val="nil"/>
              <w:left w:val="nil"/>
              <w:bottom w:val="nil"/>
              <w:right w:val="nil"/>
            </w:tcBorders>
            <w:vAlign w:val="center"/>
            <w:hideMark/>
          </w:tcPr>
          <w:p w14:paraId="0576CAF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2.577</w:t>
            </w:r>
          </w:p>
        </w:tc>
        <w:tc>
          <w:tcPr>
            <w:tcW w:w="1048" w:type="dxa"/>
            <w:tcBorders>
              <w:top w:val="nil"/>
              <w:left w:val="nil"/>
              <w:bottom w:val="nil"/>
              <w:right w:val="nil"/>
            </w:tcBorders>
            <w:vAlign w:val="center"/>
            <w:hideMark/>
          </w:tcPr>
          <w:p w14:paraId="395543B1"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0.228</w:t>
            </w:r>
          </w:p>
        </w:tc>
        <w:tc>
          <w:tcPr>
            <w:tcW w:w="1190" w:type="dxa"/>
            <w:tcBorders>
              <w:top w:val="nil"/>
              <w:left w:val="nil"/>
              <w:bottom w:val="nil"/>
              <w:right w:val="nil"/>
            </w:tcBorders>
            <w:vAlign w:val="center"/>
            <w:hideMark/>
          </w:tcPr>
          <w:p w14:paraId="1712AE9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0.435</w:t>
            </w:r>
          </w:p>
        </w:tc>
        <w:tc>
          <w:tcPr>
            <w:tcW w:w="1291" w:type="dxa"/>
            <w:tcBorders>
              <w:top w:val="nil"/>
              <w:left w:val="nil"/>
              <w:bottom w:val="nil"/>
              <w:right w:val="nil"/>
            </w:tcBorders>
            <w:vAlign w:val="center"/>
            <w:hideMark/>
          </w:tcPr>
          <w:p w14:paraId="42C1007E"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val="en-GB" w:eastAsia="zh-CN"/>
              </w:rPr>
              <w:t>0.038*</w:t>
            </w:r>
          </w:p>
        </w:tc>
        <w:tc>
          <w:tcPr>
            <w:tcW w:w="1190" w:type="dxa"/>
            <w:tcBorders>
              <w:top w:val="nil"/>
              <w:left w:val="nil"/>
              <w:bottom w:val="nil"/>
              <w:right w:val="nil"/>
            </w:tcBorders>
            <w:vAlign w:val="center"/>
            <w:hideMark/>
          </w:tcPr>
          <w:p w14:paraId="013CC49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0.492</w:t>
            </w:r>
          </w:p>
        </w:tc>
        <w:tc>
          <w:tcPr>
            <w:tcW w:w="1190" w:type="dxa"/>
            <w:tcBorders>
              <w:top w:val="nil"/>
              <w:left w:val="nil"/>
              <w:bottom w:val="nil"/>
              <w:right w:val="nil"/>
            </w:tcBorders>
            <w:vAlign w:val="center"/>
            <w:hideMark/>
          </w:tcPr>
          <w:p w14:paraId="134F3831"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0.886</w:t>
            </w:r>
          </w:p>
        </w:tc>
        <w:tc>
          <w:tcPr>
            <w:tcW w:w="1190" w:type="dxa"/>
            <w:tcBorders>
              <w:top w:val="nil"/>
              <w:left w:val="nil"/>
              <w:bottom w:val="nil"/>
              <w:right w:val="nil"/>
            </w:tcBorders>
            <w:vAlign w:val="center"/>
            <w:hideMark/>
          </w:tcPr>
          <w:p w14:paraId="612B670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0.591</w:t>
            </w:r>
          </w:p>
        </w:tc>
        <w:tc>
          <w:tcPr>
            <w:tcW w:w="1190" w:type="dxa"/>
            <w:tcBorders>
              <w:top w:val="nil"/>
              <w:left w:val="nil"/>
              <w:bottom w:val="nil"/>
              <w:right w:val="nil"/>
            </w:tcBorders>
            <w:vAlign w:val="center"/>
            <w:hideMark/>
          </w:tcPr>
          <w:p w14:paraId="591C3180"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0.097</w:t>
            </w:r>
          </w:p>
        </w:tc>
      </w:tr>
      <w:tr w:rsidR="00FB01D8" w:rsidRPr="00FB01D8" w14:paraId="1EFD5E23" w14:textId="77777777" w:rsidTr="00FB01D8">
        <w:trPr>
          <w:trHeight w:val="185"/>
          <w:jc w:val="right"/>
        </w:trPr>
        <w:tc>
          <w:tcPr>
            <w:tcW w:w="2340" w:type="dxa"/>
            <w:tcBorders>
              <w:top w:val="nil"/>
              <w:left w:val="nil"/>
              <w:bottom w:val="nil"/>
              <w:right w:val="nil"/>
            </w:tcBorders>
            <w:vAlign w:val="center"/>
          </w:tcPr>
          <w:p w14:paraId="0D395C69"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tcPr>
          <w:p w14:paraId="6C9ADF4A"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1087" w:type="dxa"/>
            <w:tcBorders>
              <w:top w:val="nil"/>
              <w:left w:val="nil"/>
              <w:bottom w:val="nil"/>
              <w:right w:val="nil"/>
            </w:tcBorders>
            <w:vAlign w:val="center"/>
          </w:tcPr>
          <w:p w14:paraId="0C750E1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75" w:type="dxa"/>
            <w:tcBorders>
              <w:top w:val="nil"/>
              <w:left w:val="nil"/>
              <w:bottom w:val="nil"/>
              <w:right w:val="nil"/>
            </w:tcBorders>
            <w:vAlign w:val="center"/>
          </w:tcPr>
          <w:p w14:paraId="01AAA46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48" w:type="dxa"/>
            <w:tcBorders>
              <w:top w:val="nil"/>
              <w:left w:val="nil"/>
              <w:bottom w:val="nil"/>
              <w:right w:val="nil"/>
            </w:tcBorders>
            <w:vAlign w:val="center"/>
          </w:tcPr>
          <w:p w14:paraId="0A72F78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778E377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291" w:type="dxa"/>
            <w:tcBorders>
              <w:top w:val="nil"/>
              <w:left w:val="nil"/>
              <w:bottom w:val="nil"/>
              <w:right w:val="nil"/>
            </w:tcBorders>
            <w:vAlign w:val="center"/>
          </w:tcPr>
          <w:p w14:paraId="25F340D1"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000A661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29FA99B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0DE76E1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0276B4A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r>
      <w:tr w:rsidR="00FB01D8" w:rsidRPr="00FB01D8" w14:paraId="43004D83" w14:textId="77777777" w:rsidTr="00FB01D8">
        <w:trPr>
          <w:trHeight w:val="185"/>
          <w:jc w:val="right"/>
        </w:trPr>
        <w:tc>
          <w:tcPr>
            <w:tcW w:w="2340" w:type="dxa"/>
            <w:vMerge w:val="restart"/>
            <w:tcBorders>
              <w:top w:val="nil"/>
              <w:left w:val="nil"/>
              <w:bottom w:val="nil"/>
              <w:right w:val="nil"/>
            </w:tcBorders>
            <w:vAlign w:val="center"/>
            <w:hideMark/>
          </w:tcPr>
          <w:p w14:paraId="791114AB"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Cystatin-C (ng/mL)</w:t>
            </w:r>
          </w:p>
        </w:tc>
        <w:tc>
          <w:tcPr>
            <w:tcW w:w="461" w:type="dxa"/>
            <w:tcBorders>
              <w:top w:val="nil"/>
              <w:left w:val="nil"/>
              <w:bottom w:val="nil"/>
              <w:right w:val="nil"/>
            </w:tcBorders>
            <w:vAlign w:val="center"/>
            <w:hideMark/>
          </w:tcPr>
          <w:p w14:paraId="1F52DE8E"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r</w:t>
            </w:r>
          </w:p>
        </w:tc>
        <w:tc>
          <w:tcPr>
            <w:tcW w:w="1087" w:type="dxa"/>
            <w:tcBorders>
              <w:top w:val="nil"/>
              <w:left w:val="nil"/>
              <w:bottom w:val="nil"/>
              <w:right w:val="nil"/>
            </w:tcBorders>
            <w:vAlign w:val="center"/>
            <w:hideMark/>
          </w:tcPr>
          <w:p w14:paraId="4930BFE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0.48</w:t>
            </w:r>
          </w:p>
        </w:tc>
        <w:tc>
          <w:tcPr>
            <w:tcW w:w="1075" w:type="dxa"/>
            <w:tcBorders>
              <w:top w:val="nil"/>
              <w:left w:val="nil"/>
              <w:bottom w:val="nil"/>
              <w:right w:val="nil"/>
            </w:tcBorders>
            <w:vAlign w:val="center"/>
            <w:hideMark/>
          </w:tcPr>
          <w:p w14:paraId="6E3FFF3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0.999</w:t>
            </w:r>
          </w:p>
        </w:tc>
        <w:tc>
          <w:tcPr>
            <w:tcW w:w="1048" w:type="dxa"/>
            <w:tcBorders>
              <w:top w:val="nil"/>
              <w:left w:val="nil"/>
              <w:bottom w:val="nil"/>
              <w:right w:val="nil"/>
            </w:tcBorders>
            <w:vAlign w:val="center"/>
            <w:hideMark/>
          </w:tcPr>
          <w:p w14:paraId="282E3D6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0.055</w:t>
            </w:r>
          </w:p>
        </w:tc>
        <w:tc>
          <w:tcPr>
            <w:tcW w:w="1190" w:type="dxa"/>
            <w:tcBorders>
              <w:top w:val="nil"/>
              <w:left w:val="nil"/>
              <w:bottom w:val="nil"/>
              <w:right w:val="nil"/>
            </w:tcBorders>
            <w:vAlign w:val="center"/>
            <w:hideMark/>
          </w:tcPr>
          <w:p w14:paraId="10F5F48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-0.124</w:t>
            </w:r>
          </w:p>
        </w:tc>
        <w:tc>
          <w:tcPr>
            <w:tcW w:w="1291" w:type="dxa"/>
            <w:tcBorders>
              <w:top w:val="nil"/>
              <w:left w:val="nil"/>
              <w:bottom w:val="nil"/>
              <w:right w:val="nil"/>
            </w:tcBorders>
            <w:vAlign w:val="center"/>
            <w:hideMark/>
          </w:tcPr>
          <w:p w14:paraId="46B2B8A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0.045</w:t>
            </w:r>
          </w:p>
        </w:tc>
        <w:tc>
          <w:tcPr>
            <w:tcW w:w="1190" w:type="dxa"/>
            <w:tcBorders>
              <w:top w:val="nil"/>
              <w:left w:val="nil"/>
              <w:bottom w:val="nil"/>
              <w:right w:val="nil"/>
            </w:tcBorders>
            <w:vAlign w:val="center"/>
            <w:hideMark/>
          </w:tcPr>
          <w:p w14:paraId="5162E82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-0.0832</w:t>
            </w:r>
          </w:p>
        </w:tc>
        <w:tc>
          <w:tcPr>
            <w:tcW w:w="1190" w:type="dxa"/>
            <w:tcBorders>
              <w:top w:val="nil"/>
              <w:left w:val="nil"/>
              <w:bottom w:val="nil"/>
              <w:right w:val="nil"/>
            </w:tcBorders>
            <w:vAlign w:val="center"/>
            <w:hideMark/>
          </w:tcPr>
          <w:p w14:paraId="5A7152A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-0.074</w:t>
            </w:r>
          </w:p>
        </w:tc>
        <w:tc>
          <w:tcPr>
            <w:tcW w:w="1190" w:type="dxa"/>
            <w:tcBorders>
              <w:top w:val="nil"/>
              <w:left w:val="nil"/>
              <w:bottom w:val="nil"/>
              <w:right w:val="nil"/>
            </w:tcBorders>
            <w:vAlign w:val="center"/>
            <w:hideMark/>
          </w:tcPr>
          <w:p w14:paraId="487C776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-0.125</w:t>
            </w:r>
          </w:p>
        </w:tc>
        <w:tc>
          <w:tcPr>
            <w:tcW w:w="1190" w:type="dxa"/>
            <w:tcBorders>
              <w:top w:val="nil"/>
              <w:left w:val="nil"/>
              <w:bottom w:val="nil"/>
              <w:right w:val="nil"/>
            </w:tcBorders>
            <w:vAlign w:val="center"/>
            <w:hideMark/>
          </w:tcPr>
          <w:p w14:paraId="69FDA71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0.113</w:t>
            </w:r>
          </w:p>
        </w:tc>
      </w:tr>
      <w:tr w:rsidR="00FB01D8" w:rsidRPr="00FB01D8" w14:paraId="678AF0A4" w14:textId="77777777" w:rsidTr="00FB01D8">
        <w:trPr>
          <w:trHeight w:val="185"/>
          <w:jc w:val="right"/>
        </w:trPr>
        <w:tc>
          <w:tcPr>
            <w:tcW w:w="0" w:type="auto"/>
            <w:vMerge/>
            <w:tcBorders>
              <w:top w:val="nil"/>
              <w:left w:val="nil"/>
              <w:bottom w:val="nil"/>
              <w:right w:val="nil"/>
            </w:tcBorders>
            <w:vAlign w:val="center"/>
            <w:hideMark/>
          </w:tcPr>
          <w:p w14:paraId="7DAA75D9" w14:textId="77777777" w:rsidR="00FB01D8" w:rsidRPr="00FB01D8" w:rsidRDefault="00FB01D8" w:rsidP="00FB01D8">
            <w:pPr>
              <w:spacing w:after="0" w:line="240" w:lineRule="auto"/>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hideMark/>
          </w:tcPr>
          <w:p w14:paraId="0F780F2E"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p</w:t>
            </w:r>
          </w:p>
        </w:tc>
        <w:tc>
          <w:tcPr>
            <w:tcW w:w="1087" w:type="dxa"/>
            <w:tcBorders>
              <w:top w:val="nil"/>
              <w:left w:val="nil"/>
              <w:bottom w:val="nil"/>
              <w:right w:val="nil"/>
            </w:tcBorders>
            <w:vAlign w:val="center"/>
            <w:hideMark/>
          </w:tcPr>
          <w:p w14:paraId="0BEB093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2.577</w:t>
            </w:r>
          </w:p>
        </w:tc>
        <w:tc>
          <w:tcPr>
            <w:tcW w:w="1075" w:type="dxa"/>
            <w:tcBorders>
              <w:top w:val="nil"/>
              <w:left w:val="nil"/>
              <w:bottom w:val="nil"/>
              <w:right w:val="nil"/>
            </w:tcBorders>
            <w:vAlign w:val="center"/>
            <w:hideMark/>
          </w:tcPr>
          <w:p w14:paraId="52CE457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w:t>
            </w:r>
          </w:p>
        </w:tc>
        <w:tc>
          <w:tcPr>
            <w:tcW w:w="1048" w:type="dxa"/>
            <w:tcBorders>
              <w:top w:val="nil"/>
              <w:left w:val="nil"/>
              <w:bottom w:val="nil"/>
              <w:right w:val="nil"/>
            </w:tcBorders>
            <w:vAlign w:val="center"/>
            <w:hideMark/>
          </w:tcPr>
          <w:p w14:paraId="4E4C0467"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0.649</w:t>
            </w:r>
          </w:p>
        </w:tc>
        <w:tc>
          <w:tcPr>
            <w:tcW w:w="1190" w:type="dxa"/>
            <w:tcBorders>
              <w:top w:val="nil"/>
              <w:left w:val="nil"/>
              <w:bottom w:val="nil"/>
              <w:right w:val="nil"/>
            </w:tcBorders>
            <w:vAlign w:val="center"/>
            <w:hideMark/>
          </w:tcPr>
          <w:p w14:paraId="5551CE4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0.304</w:t>
            </w:r>
          </w:p>
        </w:tc>
        <w:tc>
          <w:tcPr>
            <w:tcW w:w="1291" w:type="dxa"/>
            <w:tcBorders>
              <w:top w:val="nil"/>
              <w:left w:val="nil"/>
              <w:bottom w:val="nil"/>
              <w:right w:val="nil"/>
            </w:tcBorders>
            <w:vAlign w:val="center"/>
            <w:hideMark/>
          </w:tcPr>
          <w:p w14:paraId="3E62E14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0.709</w:t>
            </w:r>
          </w:p>
        </w:tc>
        <w:tc>
          <w:tcPr>
            <w:tcW w:w="1190" w:type="dxa"/>
            <w:tcBorders>
              <w:top w:val="nil"/>
              <w:left w:val="nil"/>
              <w:bottom w:val="nil"/>
              <w:right w:val="nil"/>
            </w:tcBorders>
            <w:vAlign w:val="center"/>
            <w:hideMark/>
          </w:tcPr>
          <w:p w14:paraId="7269C4D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0.493</w:t>
            </w:r>
          </w:p>
        </w:tc>
        <w:tc>
          <w:tcPr>
            <w:tcW w:w="1190" w:type="dxa"/>
            <w:tcBorders>
              <w:top w:val="nil"/>
              <w:left w:val="nil"/>
              <w:bottom w:val="nil"/>
              <w:right w:val="nil"/>
            </w:tcBorders>
            <w:vAlign w:val="center"/>
            <w:hideMark/>
          </w:tcPr>
          <w:p w14:paraId="5EB29BE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0.537</w:t>
            </w:r>
          </w:p>
        </w:tc>
        <w:tc>
          <w:tcPr>
            <w:tcW w:w="1190" w:type="dxa"/>
            <w:tcBorders>
              <w:top w:val="nil"/>
              <w:left w:val="nil"/>
              <w:bottom w:val="nil"/>
              <w:right w:val="nil"/>
            </w:tcBorders>
            <w:vAlign w:val="center"/>
            <w:hideMark/>
          </w:tcPr>
          <w:p w14:paraId="0514586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0.301</w:t>
            </w:r>
          </w:p>
        </w:tc>
        <w:tc>
          <w:tcPr>
            <w:tcW w:w="1190" w:type="dxa"/>
            <w:tcBorders>
              <w:top w:val="nil"/>
              <w:left w:val="nil"/>
              <w:bottom w:val="nil"/>
              <w:right w:val="nil"/>
            </w:tcBorders>
            <w:vAlign w:val="center"/>
            <w:hideMark/>
          </w:tcPr>
          <w:p w14:paraId="7890D6B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0.349</w:t>
            </w:r>
          </w:p>
        </w:tc>
      </w:tr>
      <w:tr w:rsidR="00FB01D8" w:rsidRPr="00FB01D8" w14:paraId="081EAFC3" w14:textId="77777777" w:rsidTr="00FB01D8">
        <w:trPr>
          <w:trHeight w:val="185"/>
          <w:jc w:val="right"/>
        </w:trPr>
        <w:tc>
          <w:tcPr>
            <w:tcW w:w="2340" w:type="dxa"/>
            <w:tcBorders>
              <w:top w:val="nil"/>
              <w:left w:val="nil"/>
              <w:bottom w:val="nil"/>
              <w:right w:val="nil"/>
            </w:tcBorders>
            <w:vAlign w:val="center"/>
          </w:tcPr>
          <w:p w14:paraId="583EB7A4"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tcPr>
          <w:p w14:paraId="7917F647"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1087" w:type="dxa"/>
            <w:tcBorders>
              <w:top w:val="nil"/>
              <w:left w:val="nil"/>
              <w:bottom w:val="nil"/>
              <w:right w:val="nil"/>
            </w:tcBorders>
            <w:vAlign w:val="center"/>
          </w:tcPr>
          <w:p w14:paraId="274FEA9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75" w:type="dxa"/>
            <w:tcBorders>
              <w:top w:val="nil"/>
              <w:left w:val="nil"/>
              <w:bottom w:val="nil"/>
              <w:right w:val="nil"/>
            </w:tcBorders>
            <w:vAlign w:val="center"/>
          </w:tcPr>
          <w:p w14:paraId="3FE88DB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48" w:type="dxa"/>
            <w:tcBorders>
              <w:top w:val="nil"/>
              <w:left w:val="nil"/>
              <w:bottom w:val="nil"/>
              <w:right w:val="nil"/>
            </w:tcBorders>
            <w:vAlign w:val="center"/>
          </w:tcPr>
          <w:p w14:paraId="5792331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1EBE283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291" w:type="dxa"/>
            <w:tcBorders>
              <w:top w:val="nil"/>
              <w:left w:val="nil"/>
              <w:bottom w:val="nil"/>
              <w:right w:val="nil"/>
            </w:tcBorders>
            <w:vAlign w:val="center"/>
          </w:tcPr>
          <w:p w14:paraId="00195DF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68365EA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08D97CD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1A98161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5794F24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r>
      <w:tr w:rsidR="00FB01D8" w:rsidRPr="00FB01D8" w14:paraId="7FF32AB2" w14:textId="77777777" w:rsidTr="00FB01D8">
        <w:trPr>
          <w:trHeight w:val="185"/>
          <w:jc w:val="right"/>
        </w:trPr>
        <w:tc>
          <w:tcPr>
            <w:tcW w:w="2340" w:type="dxa"/>
            <w:vMerge w:val="restart"/>
            <w:tcBorders>
              <w:top w:val="nil"/>
              <w:left w:val="nil"/>
              <w:bottom w:val="nil"/>
              <w:right w:val="nil"/>
            </w:tcBorders>
            <w:vAlign w:val="center"/>
            <w:hideMark/>
          </w:tcPr>
          <w:p w14:paraId="1C4980E4"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Microalbuminuria (mg/L)</w:t>
            </w:r>
          </w:p>
        </w:tc>
        <w:tc>
          <w:tcPr>
            <w:tcW w:w="461" w:type="dxa"/>
            <w:tcBorders>
              <w:top w:val="nil"/>
              <w:left w:val="nil"/>
              <w:bottom w:val="nil"/>
              <w:right w:val="nil"/>
            </w:tcBorders>
            <w:vAlign w:val="center"/>
            <w:hideMark/>
          </w:tcPr>
          <w:p w14:paraId="4AE27562"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r</w:t>
            </w:r>
          </w:p>
        </w:tc>
        <w:tc>
          <w:tcPr>
            <w:tcW w:w="1087" w:type="dxa"/>
            <w:tcBorders>
              <w:top w:val="nil"/>
              <w:left w:val="nil"/>
              <w:bottom w:val="nil"/>
              <w:right w:val="nil"/>
            </w:tcBorders>
            <w:vAlign w:val="center"/>
            <w:hideMark/>
          </w:tcPr>
          <w:p w14:paraId="6CBE002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0.145</w:t>
            </w:r>
          </w:p>
        </w:tc>
        <w:tc>
          <w:tcPr>
            <w:tcW w:w="1075" w:type="dxa"/>
            <w:tcBorders>
              <w:top w:val="nil"/>
              <w:left w:val="nil"/>
              <w:bottom w:val="nil"/>
              <w:right w:val="nil"/>
            </w:tcBorders>
            <w:vAlign w:val="center"/>
            <w:hideMark/>
          </w:tcPr>
          <w:p w14:paraId="50199471"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0.055</w:t>
            </w:r>
          </w:p>
        </w:tc>
        <w:tc>
          <w:tcPr>
            <w:tcW w:w="1048" w:type="dxa"/>
            <w:tcBorders>
              <w:top w:val="nil"/>
              <w:left w:val="nil"/>
              <w:bottom w:val="nil"/>
              <w:right w:val="nil"/>
            </w:tcBorders>
            <w:vAlign w:val="center"/>
            <w:hideMark/>
          </w:tcPr>
          <w:p w14:paraId="006081A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1</w:t>
            </w:r>
          </w:p>
        </w:tc>
        <w:tc>
          <w:tcPr>
            <w:tcW w:w="1190" w:type="dxa"/>
            <w:tcBorders>
              <w:top w:val="nil"/>
              <w:left w:val="nil"/>
              <w:bottom w:val="nil"/>
              <w:right w:val="nil"/>
            </w:tcBorders>
            <w:vAlign w:val="center"/>
            <w:hideMark/>
          </w:tcPr>
          <w:p w14:paraId="115AABE7"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0.049</w:t>
            </w:r>
          </w:p>
        </w:tc>
        <w:tc>
          <w:tcPr>
            <w:tcW w:w="1291" w:type="dxa"/>
            <w:tcBorders>
              <w:top w:val="nil"/>
              <w:left w:val="nil"/>
              <w:bottom w:val="nil"/>
              <w:right w:val="nil"/>
            </w:tcBorders>
            <w:vAlign w:val="center"/>
            <w:hideMark/>
          </w:tcPr>
          <w:p w14:paraId="5E81744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0.238</w:t>
            </w:r>
          </w:p>
        </w:tc>
        <w:tc>
          <w:tcPr>
            <w:tcW w:w="1190" w:type="dxa"/>
            <w:tcBorders>
              <w:top w:val="nil"/>
              <w:left w:val="nil"/>
              <w:bottom w:val="nil"/>
              <w:right w:val="nil"/>
            </w:tcBorders>
            <w:vAlign w:val="center"/>
            <w:hideMark/>
          </w:tcPr>
          <w:p w14:paraId="27572C0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-0.012</w:t>
            </w:r>
          </w:p>
        </w:tc>
        <w:tc>
          <w:tcPr>
            <w:tcW w:w="1190" w:type="dxa"/>
            <w:tcBorders>
              <w:top w:val="nil"/>
              <w:left w:val="nil"/>
              <w:bottom w:val="nil"/>
              <w:right w:val="nil"/>
            </w:tcBorders>
            <w:vAlign w:val="center"/>
            <w:hideMark/>
          </w:tcPr>
          <w:p w14:paraId="56400EB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-0.186</w:t>
            </w:r>
          </w:p>
        </w:tc>
        <w:tc>
          <w:tcPr>
            <w:tcW w:w="1190" w:type="dxa"/>
            <w:tcBorders>
              <w:top w:val="nil"/>
              <w:left w:val="nil"/>
              <w:bottom w:val="nil"/>
              <w:right w:val="nil"/>
            </w:tcBorders>
            <w:vAlign w:val="center"/>
            <w:hideMark/>
          </w:tcPr>
          <w:p w14:paraId="7281289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-0.148</w:t>
            </w:r>
          </w:p>
        </w:tc>
        <w:tc>
          <w:tcPr>
            <w:tcW w:w="1190" w:type="dxa"/>
            <w:tcBorders>
              <w:top w:val="nil"/>
              <w:left w:val="nil"/>
              <w:bottom w:val="nil"/>
              <w:right w:val="nil"/>
            </w:tcBorders>
            <w:vAlign w:val="center"/>
            <w:hideMark/>
          </w:tcPr>
          <w:p w14:paraId="600020B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0.128</w:t>
            </w:r>
          </w:p>
        </w:tc>
      </w:tr>
      <w:tr w:rsidR="00FB01D8" w:rsidRPr="00FB01D8" w14:paraId="2158A8E3" w14:textId="77777777" w:rsidTr="00FB01D8">
        <w:trPr>
          <w:trHeight w:val="185"/>
          <w:jc w:val="right"/>
        </w:trPr>
        <w:tc>
          <w:tcPr>
            <w:tcW w:w="0" w:type="auto"/>
            <w:vMerge/>
            <w:tcBorders>
              <w:top w:val="nil"/>
              <w:left w:val="nil"/>
              <w:bottom w:val="nil"/>
              <w:right w:val="nil"/>
            </w:tcBorders>
            <w:vAlign w:val="center"/>
            <w:hideMark/>
          </w:tcPr>
          <w:p w14:paraId="2EB9ED4B" w14:textId="77777777" w:rsidR="00FB01D8" w:rsidRPr="00FB01D8" w:rsidRDefault="00FB01D8" w:rsidP="00FB01D8">
            <w:pPr>
              <w:spacing w:after="0" w:line="240" w:lineRule="auto"/>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hideMark/>
          </w:tcPr>
          <w:p w14:paraId="2DD12F30"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p</w:t>
            </w:r>
          </w:p>
        </w:tc>
        <w:tc>
          <w:tcPr>
            <w:tcW w:w="1087" w:type="dxa"/>
            <w:tcBorders>
              <w:top w:val="nil"/>
              <w:left w:val="nil"/>
              <w:bottom w:val="nil"/>
              <w:right w:val="nil"/>
            </w:tcBorders>
            <w:vAlign w:val="center"/>
            <w:hideMark/>
          </w:tcPr>
          <w:p w14:paraId="4D0C0F37"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0.228</w:t>
            </w:r>
          </w:p>
        </w:tc>
        <w:tc>
          <w:tcPr>
            <w:tcW w:w="1075" w:type="dxa"/>
            <w:tcBorders>
              <w:top w:val="nil"/>
              <w:left w:val="nil"/>
              <w:bottom w:val="nil"/>
              <w:right w:val="nil"/>
            </w:tcBorders>
            <w:vAlign w:val="center"/>
            <w:hideMark/>
          </w:tcPr>
          <w:p w14:paraId="62B0957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0.649</w:t>
            </w:r>
          </w:p>
        </w:tc>
        <w:tc>
          <w:tcPr>
            <w:tcW w:w="1048" w:type="dxa"/>
            <w:tcBorders>
              <w:top w:val="nil"/>
              <w:left w:val="nil"/>
              <w:bottom w:val="nil"/>
              <w:right w:val="nil"/>
            </w:tcBorders>
            <w:vAlign w:val="center"/>
            <w:hideMark/>
          </w:tcPr>
          <w:p w14:paraId="2B62999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w:t>
            </w:r>
          </w:p>
        </w:tc>
        <w:tc>
          <w:tcPr>
            <w:tcW w:w="1190" w:type="dxa"/>
            <w:tcBorders>
              <w:top w:val="nil"/>
              <w:left w:val="nil"/>
              <w:bottom w:val="nil"/>
              <w:right w:val="nil"/>
            </w:tcBorders>
            <w:vAlign w:val="center"/>
            <w:hideMark/>
          </w:tcPr>
          <w:p w14:paraId="00AB523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0.682</w:t>
            </w:r>
          </w:p>
        </w:tc>
        <w:tc>
          <w:tcPr>
            <w:tcW w:w="1291" w:type="dxa"/>
            <w:tcBorders>
              <w:top w:val="nil"/>
              <w:left w:val="nil"/>
              <w:bottom w:val="nil"/>
              <w:right w:val="nil"/>
            </w:tcBorders>
            <w:vAlign w:val="center"/>
            <w:hideMark/>
          </w:tcPr>
          <w:p w14:paraId="477E7E7F"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val="en-GB" w:eastAsia="zh-CN"/>
              </w:rPr>
              <w:t>0.047*</w:t>
            </w:r>
          </w:p>
        </w:tc>
        <w:tc>
          <w:tcPr>
            <w:tcW w:w="1190" w:type="dxa"/>
            <w:tcBorders>
              <w:top w:val="nil"/>
              <w:left w:val="nil"/>
              <w:bottom w:val="nil"/>
              <w:right w:val="nil"/>
            </w:tcBorders>
            <w:vAlign w:val="center"/>
            <w:hideMark/>
          </w:tcPr>
          <w:p w14:paraId="5AC7988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0.918</w:t>
            </w:r>
          </w:p>
        </w:tc>
        <w:tc>
          <w:tcPr>
            <w:tcW w:w="1190" w:type="dxa"/>
            <w:tcBorders>
              <w:top w:val="nil"/>
              <w:left w:val="nil"/>
              <w:bottom w:val="nil"/>
              <w:right w:val="nil"/>
            </w:tcBorders>
            <w:vAlign w:val="center"/>
            <w:hideMark/>
          </w:tcPr>
          <w:p w14:paraId="3633D99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0.122</w:t>
            </w:r>
          </w:p>
        </w:tc>
        <w:tc>
          <w:tcPr>
            <w:tcW w:w="1190" w:type="dxa"/>
            <w:tcBorders>
              <w:top w:val="nil"/>
              <w:left w:val="nil"/>
              <w:bottom w:val="nil"/>
              <w:right w:val="nil"/>
            </w:tcBorders>
            <w:vAlign w:val="center"/>
            <w:hideMark/>
          </w:tcPr>
          <w:p w14:paraId="7E2F98E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0.219</w:t>
            </w:r>
          </w:p>
        </w:tc>
        <w:tc>
          <w:tcPr>
            <w:tcW w:w="1190" w:type="dxa"/>
            <w:tcBorders>
              <w:top w:val="nil"/>
              <w:left w:val="nil"/>
              <w:bottom w:val="nil"/>
              <w:right w:val="nil"/>
            </w:tcBorders>
            <w:vAlign w:val="center"/>
            <w:hideMark/>
          </w:tcPr>
          <w:p w14:paraId="030992FD"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0.29</w:t>
            </w:r>
          </w:p>
        </w:tc>
      </w:tr>
      <w:tr w:rsidR="00FB01D8" w:rsidRPr="00FB01D8" w14:paraId="08102C49" w14:textId="77777777" w:rsidTr="00FB01D8">
        <w:trPr>
          <w:trHeight w:val="185"/>
          <w:jc w:val="right"/>
        </w:trPr>
        <w:tc>
          <w:tcPr>
            <w:tcW w:w="2340" w:type="dxa"/>
            <w:tcBorders>
              <w:top w:val="nil"/>
              <w:left w:val="nil"/>
              <w:bottom w:val="nil"/>
              <w:right w:val="nil"/>
            </w:tcBorders>
            <w:vAlign w:val="center"/>
          </w:tcPr>
          <w:p w14:paraId="6153D00D"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tcPr>
          <w:p w14:paraId="67616D6B"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1087" w:type="dxa"/>
            <w:tcBorders>
              <w:top w:val="nil"/>
              <w:left w:val="nil"/>
              <w:bottom w:val="nil"/>
              <w:right w:val="nil"/>
            </w:tcBorders>
            <w:vAlign w:val="center"/>
          </w:tcPr>
          <w:p w14:paraId="1FAF94E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75" w:type="dxa"/>
            <w:tcBorders>
              <w:top w:val="nil"/>
              <w:left w:val="nil"/>
              <w:bottom w:val="nil"/>
              <w:right w:val="nil"/>
            </w:tcBorders>
            <w:vAlign w:val="center"/>
          </w:tcPr>
          <w:p w14:paraId="2DEF9B5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48" w:type="dxa"/>
            <w:tcBorders>
              <w:top w:val="nil"/>
              <w:left w:val="nil"/>
              <w:bottom w:val="nil"/>
              <w:right w:val="nil"/>
            </w:tcBorders>
            <w:vAlign w:val="center"/>
          </w:tcPr>
          <w:p w14:paraId="5C27080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606C1A4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291" w:type="dxa"/>
            <w:tcBorders>
              <w:top w:val="nil"/>
              <w:left w:val="nil"/>
              <w:bottom w:val="nil"/>
              <w:right w:val="nil"/>
            </w:tcBorders>
            <w:vAlign w:val="center"/>
          </w:tcPr>
          <w:p w14:paraId="2E39344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6396F50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314430E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20157380"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71FCBDF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r>
      <w:tr w:rsidR="00FB01D8" w:rsidRPr="00FB01D8" w14:paraId="6B2D4663" w14:textId="77777777" w:rsidTr="00FB01D8">
        <w:trPr>
          <w:trHeight w:val="185"/>
          <w:jc w:val="right"/>
        </w:trPr>
        <w:tc>
          <w:tcPr>
            <w:tcW w:w="2340" w:type="dxa"/>
            <w:vMerge w:val="restart"/>
            <w:tcBorders>
              <w:top w:val="nil"/>
              <w:left w:val="nil"/>
              <w:bottom w:val="nil"/>
              <w:right w:val="nil"/>
            </w:tcBorders>
            <w:vAlign w:val="center"/>
            <w:hideMark/>
          </w:tcPr>
          <w:p w14:paraId="6F7F9CB2"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Urea</w:t>
            </w:r>
          </w:p>
          <w:p w14:paraId="0DAB5101"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(mmol/L)</w:t>
            </w:r>
          </w:p>
        </w:tc>
        <w:tc>
          <w:tcPr>
            <w:tcW w:w="461" w:type="dxa"/>
            <w:tcBorders>
              <w:top w:val="nil"/>
              <w:left w:val="nil"/>
              <w:bottom w:val="nil"/>
              <w:right w:val="nil"/>
            </w:tcBorders>
            <w:vAlign w:val="center"/>
            <w:hideMark/>
          </w:tcPr>
          <w:p w14:paraId="004F3C0E"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r</w:t>
            </w:r>
          </w:p>
        </w:tc>
        <w:tc>
          <w:tcPr>
            <w:tcW w:w="1087" w:type="dxa"/>
            <w:tcBorders>
              <w:top w:val="nil"/>
              <w:left w:val="nil"/>
              <w:bottom w:val="nil"/>
              <w:right w:val="nil"/>
            </w:tcBorders>
            <w:vAlign w:val="center"/>
            <w:hideMark/>
          </w:tcPr>
          <w:p w14:paraId="7ABF8A6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-0.094</w:t>
            </w:r>
          </w:p>
        </w:tc>
        <w:tc>
          <w:tcPr>
            <w:tcW w:w="1075" w:type="dxa"/>
            <w:tcBorders>
              <w:top w:val="nil"/>
              <w:left w:val="nil"/>
              <w:bottom w:val="nil"/>
              <w:right w:val="nil"/>
            </w:tcBorders>
            <w:vAlign w:val="center"/>
            <w:hideMark/>
          </w:tcPr>
          <w:p w14:paraId="212D566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-0.124</w:t>
            </w:r>
          </w:p>
        </w:tc>
        <w:tc>
          <w:tcPr>
            <w:tcW w:w="1048" w:type="dxa"/>
            <w:tcBorders>
              <w:top w:val="nil"/>
              <w:left w:val="nil"/>
              <w:bottom w:val="nil"/>
              <w:right w:val="nil"/>
            </w:tcBorders>
            <w:vAlign w:val="center"/>
            <w:hideMark/>
          </w:tcPr>
          <w:p w14:paraId="6359870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0.049</w:t>
            </w:r>
          </w:p>
        </w:tc>
        <w:tc>
          <w:tcPr>
            <w:tcW w:w="1190" w:type="dxa"/>
            <w:tcBorders>
              <w:top w:val="nil"/>
              <w:left w:val="nil"/>
              <w:bottom w:val="nil"/>
              <w:right w:val="nil"/>
            </w:tcBorders>
            <w:vAlign w:val="center"/>
            <w:hideMark/>
          </w:tcPr>
          <w:p w14:paraId="7C9F4720"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eastAsia="zh-CN"/>
              </w:rPr>
              <w:t>1</w:t>
            </w:r>
          </w:p>
        </w:tc>
        <w:tc>
          <w:tcPr>
            <w:tcW w:w="1291" w:type="dxa"/>
            <w:tcBorders>
              <w:top w:val="nil"/>
              <w:left w:val="nil"/>
              <w:bottom w:val="nil"/>
              <w:right w:val="nil"/>
            </w:tcBorders>
            <w:vAlign w:val="center"/>
            <w:hideMark/>
          </w:tcPr>
          <w:p w14:paraId="0578A06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0.277</w:t>
            </w:r>
          </w:p>
        </w:tc>
        <w:tc>
          <w:tcPr>
            <w:tcW w:w="1190" w:type="dxa"/>
            <w:tcBorders>
              <w:top w:val="nil"/>
              <w:left w:val="nil"/>
              <w:bottom w:val="nil"/>
              <w:right w:val="nil"/>
            </w:tcBorders>
            <w:vAlign w:val="center"/>
            <w:hideMark/>
          </w:tcPr>
          <w:p w14:paraId="7FAF043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0.199</w:t>
            </w:r>
          </w:p>
        </w:tc>
        <w:tc>
          <w:tcPr>
            <w:tcW w:w="1190" w:type="dxa"/>
            <w:tcBorders>
              <w:top w:val="nil"/>
              <w:left w:val="nil"/>
              <w:bottom w:val="nil"/>
              <w:right w:val="nil"/>
            </w:tcBorders>
            <w:vAlign w:val="center"/>
            <w:hideMark/>
          </w:tcPr>
          <w:p w14:paraId="78414F3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-0.027</w:t>
            </w:r>
          </w:p>
        </w:tc>
        <w:tc>
          <w:tcPr>
            <w:tcW w:w="1190" w:type="dxa"/>
            <w:tcBorders>
              <w:top w:val="nil"/>
              <w:left w:val="nil"/>
              <w:bottom w:val="nil"/>
              <w:right w:val="nil"/>
            </w:tcBorders>
            <w:vAlign w:val="center"/>
            <w:hideMark/>
          </w:tcPr>
          <w:p w14:paraId="7C8851B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0.304</w:t>
            </w:r>
          </w:p>
        </w:tc>
        <w:tc>
          <w:tcPr>
            <w:tcW w:w="1190" w:type="dxa"/>
            <w:tcBorders>
              <w:top w:val="nil"/>
              <w:left w:val="nil"/>
              <w:bottom w:val="nil"/>
              <w:right w:val="nil"/>
            </w:tcBorders>
            <w:vAlign w:val="center"/>
            <w:hideMark/>
          </w:tcPr>
          <w:p w14:paraId="14B47D0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-0.057</w:t>
            </w:r>
          </w:p>
        </w:tc>
      </w:tr>
      <w:tr w:rsidR="00FB01D8" w:rsidRPr="00FB01D8" w14:paraId="0946E9DE" w14:textId="77777777" w:rsidTr="00FB01D8">
        <w:trPr>
          <w:trHeight w:val="185"/>
          <w:jc w:val="right"/>
        </w:trPr>
        <w:tc>
          <w:tcPr>
            <w:tcW w:w="0" w:type="auto"/>
            <w:vMerge/>
            <w:tcBorders>
              <w:top w:val="nil"/>
              <w:left w:val="nil"/>
              <w:bottom w:val="nil"/>
              <w:right w:val="nil"/>
            </w:tcBorders>
            <w:vAlign w:val="center"/>
            <w:hideMark/>
          </w:tcPr>
          <w:p w14:paraId="42F243CB" w14:textId="77777777" w:rsidR="00FB01D8" w:rsidRPr="00FB01D8" w:rsidRDefault="00FB01D8" w:rsidP="00FB01D8">
            <w:pPr>
              <w:spacing w:after="0" w:line="240" w:lineRule="auto"/>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hideMark/>
          </w:tcPr>
          <w:p w14:paraId="631F9816"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p</w:t>
            </w:r>
          </w:p>
        </w:tc>
        <w:tc>
          <w:tcPr>
            <w:tcW w:w="1087" w:type="dxa"/>
            <w:tcBorders>
              <w:top w:val="nil"/>
              <w:left w:val="nil"/>
              <w:bottom w:val="nil"/>
              <w:right w:val="nil"/>
            </w:tcBorders>
            <w:vAlign w:val="center"/>
            <w:hideMark/>
          </w:tcPr>
          <w:p w14:paraId="4E1A7FE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0.435</w:t>
            </w:r>
          </w:p>
        </w:tc>
        <w:tc>
          <w:tcPr>
            <w:tcW w:w="1075" w:type="dxa"/>
            <w:tcBorders>
              <w:top w:val="nil"/>
              <w:left w:val="nil"/>
              <w:bottom w:val="nil"/>
              <w:right w:val="nil"/>
            </w:tcBorders>
            <w:vAlign w:val="center"/>
            <w:hideMark/>
          </w:tcPr>
          <w:p w14:paraId="69AA6B3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0.304</w:t>
            </w:r>
          </w:p>
        </w:tc>
        <w:tc>
          <w:tcPr>
            <w:tcW w:w="1048" w:type="dxa"/>
            <w:tcBorders>
              <w:top w:val="nil"/>
              <w:left w:val="nil"/>
              <w:bottom w:val="nil"/>
              <w:right w:val="nil"/>
            </w:tcBorders>
            <w:vAlign w:val="center"/>
            <w:hideMark/>
          </w:tcPr>
          <w:p w14:paraId="49DFAE5D"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0.682</w:t>
            </w:r>
          </w:p>
        </w:tc>
        <w:tc>
          <w:tcPr>
            <w:tcW w:w="1190" w:type="dxa"/>
            <w:tcBorders>
              <w:top w:val="nil"/>
              <w:left w:val="nil"/>
              <w:bottom w:val="nil"/>
              <w:right w:val="nil"/>
            </w:tcBorders>
            <w:vAlign w:val="center"/>
            <w:hideMark/>
          </w:tcPr>
          <w:p w14:paraId="2531050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eastAsia="zh-CN"/>
              </w:rPr>
              <w:t>0</w:t>
            </w:r>
          </w:p>
        </w:tc>
        <w:tc>
          <w:tcPr>
            <w:tcW w:w="1291" w:type="dxa"/>
            <w:tcBorders>
              <w:top w:val="nil"/>
              <w:left w:val="nil"/>
              <w:bottom w:val="nil"/>
              <w:right w:val="nil"/>
            </w:tcBorders>
            <w:vAlign w:val="center"/>
            <w:hideMark/>
          </w:tcPr>
          <w:p w14:paraId="649A657C"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val="en-GB" w:eastAsia="zh-CN"/>
              </w:rPr>
              <w:t>0.020*</w:t>
            </w:r>
          </w:p>
        </w:tc>
        <w:tc>
          <w:tcPr>
            <w:tcW w:w="1190" w:type="dxa"/>
            <w:tcBorders>
              <w:top w:val="nil"/>
              <w:left w:val="nil"/>
              <w:bottom w:val="nil"/>
              <w:right w:val="nil"/>
            </w:tcBorders>
            <w:vAlign w:val="center"/>
            <w:hideMark/>
          </w:tcPr>
          <w:p w14:paraId="123429A1"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0.097</w:t>
            </w:r>
          </w:p>
        </w:tc>
        <w:tc>
          <w:tcPr>
            <w:tcW w:w="1190" w:type="dxa"/>
            <w:tcBorders>
              <w:top w:val="nil"/>
              <w:left w:val="nil"/>
              <w:bottom w:val="nil"/>
              <w:right w:val="nil"/>
            </w:tcBorders>
            <w:vAlign w:val="center"/>
            <w:hideMark/>
          </w:tcPr>
          <w:p w14:paraId="762DC85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0.82</w:t>
            </w:r>
          </w:p>
        </w:tc>
        <w:tc>
          <w:tcPr>
            <w:tcW w:w="1190" w:type="dxa"/>
            <w:tcBorders>
              <w:top w:val="nil"/>
              <w:left w:val="nil"/>
              <w:bottom w:val="nil"/>
              <w:right w:val="nil"/>
            </w:tcBorders>
            <w:vAlign w:val="center"/>
            <w:hideMark/>
          </w:tcPr>
          <w:p w14:paraId="556AF2E4"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val="en-GB" w:eastAsia="zh-CN"/>
              </w:rPr>
              <w:t>0.010*</w:t>
            </w:r>
          </w:p>
        </w:tc>
        <w:tc>
          <w:tcPr>
            <w:tcW w:w="1190" w:type="dxa"/>
            <w:tcBorders>
              <w:top w:val="nil"/>
              <w:left w:val="nil"/>
              <w:bottom w:val="nil"/>
              <w:right w:val="nil"/>
            </w:tcBorders>
            <w:vAlign w:val="center"/>
            <w:hideMark/>
          </w:tcPr>
          <w:p w14:paraId="02F4ED7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0.634</w:t>
            </w:r>
          </w:p>
        </w:tc>
      </w:tr>
      <w:tr w:rsidR="00FB01D8" w:rsidRPr="00FB01D8" w14:paraId="4D7208F0" w14:textId="77777777" w:rsidTr="00FB01D8">
        <w:trPr>
          <w:trHeight w:val="185"/>
          <w:jc w:val="right"/>
        </w:trPr>
        <w:tc>
          <w:tcPr>
            <w:tcW w:w="2340" w:type="dxa"/>
            <w:tcBorders>
              <w:top w:val="nil"/>
              <w:left w:val="nil"/>
              <w:bottom w:val="nil"/>
              <w:right w:val="nil"/>
            </w:tcBorders>
            <w:vAlign w:val="center"/>
          </w:tcPr>
          <w:p w14:paraId="008691E4"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tcPr>
          <w:p w14:paraId="459790B0"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1087" w:type="dxa"/>
            <w:tcBorders>
              <w:top w:val="nil"/>
              <w:left w:val="nil"/>
              <w:bottom w:val="nil"/>
              <w:right w:val="nil"/>
            </w:tcBorders>
            <w:vAlign w:val="center"/>
          </w:tcPr>
          <w:p w14:paraId="62969BB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75" w:type="dxa"/>
            <w:tcBorders>
              <w:top w:val="nil"/>
              <w:left w:val="nil"/>
              <w:bottom w:val="nil"/>
              <w:right w:val="nil"/>
            </w:tcBorders>
            <w:vAlign w:val="center"/>
          </w:tcPr>
          <w:p w14:paraId="46E0897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48" w:type="dxa"/>
            <w:tcBorders>
              <w:top w:val="nil"/>
              <w:left w:val="nil"/>
              <w:bottom w:val="nil"/>
              <w:right w:val="nil"/>
            </w:tcBorders>
            <w:vAlign w:val="center"/>
          </w:tcPr>
          <w:p w14:paraId="2F0710E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3D1FF98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p>
        </w:tc>
        <w:tc>
          <w:tcPr>
            <w:tcW w:w="1291" w:type="dxa"/>
            <w:tcBorders>
              <w:top w:val="nil"/>
              <w:left w:val="nil"/>
              <w:bottom w:val="nil"/>
              <w:right w:val="nil"/>
            </w:tcBorders>
            <w:vAlign w:val="center"/>
          </w:tcPr>
          <w:p w14:paraId="0EB4B62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45BD4857"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098D1EB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05DFA4D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6FC4014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r>
      <w:tr w:rsidR="00FB01D8" w:rsidRPr="00FB01D8" w14:paraId="6AB5F7E1" w14:textId="77777777" w:rsidTr="00FB01D8">
        <w:trPr>
          <w:trHeight w:val="185"/>
          <w:jc w:val="right"/>
        </w:trPr>
        <w:tc>
          <w:tcPr>
            <w:tcW w:w="2340" w:type="dxa"/>
            <w:vMerge w:val="restart"/>
            <w:tcBorders>
              <w:top w:val="nil"/>
              <w:left w:val="nil"/>
              <w:bottom w:val="nil"/>
              <w:right w:val="nil"/>
            </w:tcBorders>
            <w:vAlign w:val="center"/>
            <w:hideMark/>
          </w:tcPr>
          <w:p w14:paraId="2ACDBAAD"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Creatinine</w:t>
            </w:r>
          </w:p>
          <w:p w14:paraId="317F505F"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w:t>
            </w:r>
            <w:proofErr w:type="spellStart"/>
            <w:r w:rsidRPr="00FB01D8">
              <w:rPr>
                <w:rFonts w:ascii="Times New Roman" w:eastAsia="Times New Roman" w:hAnsi="Times New Roman" w:cs="Times New Roman"/>
                <w:b/>
                <w:bCs/>
                <w:color w:val="000000"/>
                <w:sz w:val="20"/>
                <w:szCs w:val="20"/>
                <w:lang w:eastAsia="zh-CN"/>
              </w:rPr>
              <w:t>μmol</w:t>
            </w:r>
            <w:proofErr w:type="spellEnd"/>
            <w:r w:rsidRPr="00FB01D8">
              <w:rPr>
                <w:rFonts w:ascii="Times New Roman" w:eastAsia="Times New Roman" w:hAnsi="Times New Roman" w:cs="Times New Roman"/>
                <w:b/>
                <w:bCs/>
                <w:color w:val="000000"/>
                <w:sz w:val="20"/>
                <w:szCs w:val="20"/>
                <w:lang w:eastAsia="zh-CN"/>
              </w:rPr>
              <w:t>/L)</w:t>
            </w:r>
          </w:p>
        </w:tc>
        <w:tc>
          <w:tcPr>
            <w:tcW w:w="461" w:type="dxa"/>
            <w:tcBorders>
              <w:top w:val="nil"/>
              <w:left w:val="nil"/>
              <w:bottom w:val="nil"/>
              <w:right w:val="nil"/>
            </w:tcBorders>
            <w:vAlign w:val="center"/>
            <w:hideMark/>
          </w:tcPr>
          <w:p w14:paraId="7C3B17F6"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r</w:t>
            </w:r>
          </w:p>
        </w:tc>
        <w:tc>
          <w:tcPr>
            <w:tcW w:w="1087" w:type="dxa"/>
            <w:tcBorders>
              <w:top w:val="nil"/>
              <w:left w:val="nil"/>
              <w:bottom w:val="nil"/>
              <w:right w:val="nil"/>
            </w:tcBorders>
            <w:vAlign w:val="center"/>
            <w:hideMark/>
          </w:tcPr>
          <w:p w14:paraId="0213353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0.247</w:t>
            </w:r>
          </w:p>
        </w:tc>
        <w:tc>
          <w:tcPr>
            <w:tcW w:w="1075" w:type="dxa"/>
            <w:tcBorders>
              <w:top w:val="nil"/>
              <w:left w:val="nil"/>
              <w:bottom w:val="nil"/>
              <w:right w:val="nil"/>
            </w:tcBorders>
            <w:vAlign w:val="center"/>
            <w:hideMark/>
          </w:tcPr>
          <w:p w14:paraId="35ECB0A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0.045</w:t>
            </w:r>
          </w:p>
        </w:tc>
        <w:tc>
          <w:tcPr>
            <w:tcW w:w="1048" w:type="dxa"/>
            <w:tcBorders>
              <w:top w:val="nil"/>
              <w:left w:val="nil"/>
              <w:bottom w:val="nil"/>
              <w:right w:val="nil"/>
            </w:tcBorders>
            <w:vAlign w:val="center"/>
            <w:hideMark/>
          </w:tcPr>
          <w:p w14:paraId="5442E42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0.238</w:t>
            </w:r>
          </w:p>
        </w:tc>
        <w:tc>
          <w:tcPr>
            <w:tcW w:w="1190" w:type="dxa"/>
            <w:tcBorders>
              <w:top w:val="nil"/>
              <w:left w:val="nil"/>
              <w:bottom w:val="nil"/>
              <w:right w:val="nil"/>
            </w:tcBorders>
            <w:vAlign w:val="center"/>
            <w:hideMark/>
          </w:tcPr>
          <w:p w14:paraId="2538381D"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0.277</w:t>
            </w:r>
          </w:p>
        </w:tc>
        <w:tc>
          <w:tcPr>
            <w:tcW w:w="1291" w:type="dxa"/>
            <w:tcBorders>
              <w:top w:val="nil"/>
              <w:left w:val="nil"/>
              <w:bottom w:val="nil"/>
              <w:right w:val="nil"/>
            </w:tcBorders>
            <w:vAlign w:val="center"/>
            <w:hideMark/>
          </w:tcPr>
          <w:p w14:paraId="78CD78FD"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1</w:t>
            </w:r>
          </w:p>
        </w:tc>
        <w:tc>
          <w:tcPr>
            <w:tcW w:w="1190" w:type="dxa"/>
            <w:tcBorders>
              <w:top w:val="nil"/>
              <w:left w:val="nil"/>
              <w:bottom w:val="nil"/>
              <w:right w:val="nil"/>
            </w:tcBorders>
            <w:vAlign w:val="center"/>
            <w:hideMark/>
          </w:tcPr>
          <w:p w14:paraId="7DA7748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0.032</w:t>
            </w:r>
          </w:p>
        </w:tc>
        <w:tc>
          <w:tcPr>
            <w:tcW w:w="1190" w:type="dxa"/>
            <w:tcBorders>
              <w:top w:val="nil"/>
              <w:left w:val="nil"/>
              <w:bottom w:val="nil"/>
              <w:right w:val="nil"/>
            </w:tcBorders>
            <w:vAlign w:val="center"/>
            <w:hideMark/>
          </w:tcPr>
          <w:p w14:paraId="1C2F1BC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-0.012</w:t>
            </w:r>
          </w:p>
        </w:tc>
        <w:tc>
          <w:tcPr>
            <w:tcW w:w="1190" w:type="dxa"/>
            <w:tcBorders>
              <w:top w:val="nil"/>
              <w:left w:val="nil"/>
              <w:bottom w:val="nil"/>
              <w:right w:val="nil"/>
            </w:tcBorders>
            <w:vAlign w:val="center"/>
            <w:hideMark/>
          </w:tcPr>
          <w:p w14:paraId="56490040"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0.096</w:t>
            </w:r>
          </w:p>
        </w:tc>
        <w:tc>
          <w:tcPr>
            <w:tcW w:w="1190" w:type="dxa"/>
            <w:tcBorders>
              <w:top w:val="nil"/>
              <w:left w:val="nil"/>
              <w:bottom w:val="nil"/>
              <w:right w:val="nil"/>
            </w:tcBorders>
            <w:vAlign w:val="center"/>
            <w:hideMark/>
          </w:tcPr>
          <w:p w14:paraId="499B6D1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0.555</w:t>
            </w:r>
          </w:p>
        </w:tc>
      </w:tr>
      <w:tr w:rsidR="00FB01D8" w:rsidRPr="00FB01D8" w14:paraId="55CE0CAB" w14:textId="77777777" w:rsidTr="00FB01D8">
        <w:trPr>
          <w:trHeight w:val="185"/>
          <w:jc w:val="right"/>
        </w:trPr>
        <w:tc>
          <w:tcPr>
            <w:tcW w:w="0" w:type="auto"/>
            <w:vMerge/>
            <w:tcBorders>
              <w:top w:val="nil"/>
              <w:left w:val="nil"/>
              <w:bottom w:val="nil"/>
              <w:right w:val="nil"/>
            </w:tcBorders>
            <w:vAlign w:val="center"/>
            <w:hideMark/>
          </w:tcPr>
          <w:p w14:paraId="61F366BA" w14:textId="77777777" w:rsidR="00FB01D8" w:rsidRPr="00FB01D8" w:rsidRDefault="00FB01D8" w:rsidP="00FB01D8">
            <w:pPr>
              <w:spacing w:after="0" w:line="240" w:lineRule="auto"/>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hideMark/>
          </w:tcPr>
          <w:p w14:paraId="51B8CE4D"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p</w:t>
            </w:r>
          </w:p>
        </w:tc>
        <w:tc>
          <w:tcPr>
            <w:tcW w:w="1087" w:type="dxa"/>
            <w:tcBorders>
              <w:top w:val="nil"/>
              <w:left w:val="nil"/>
              <w:bottom w:val="nil"/>
              <w:right w:val="nil"/>
            </w:tcBorders>
            <w:vAlign w:val="center"/>
            <w:hideMark/>
          </w:tcPr>
          <w:p w14:paraId="39CF4CEB"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val="en-GB" w:eastAsia="zh-CN"/>
              </w:rPr>
              <w:t>0.038*</w:t>
            </w:r>
          </w:p>
        </w:tc>
        <w:tc>
          <w:tcPr>
            <w:tcW w:w="1075" w:type="dxa"/>
            <w:tcBorders>
              <w:top w:val="nil"/>
              <w:left w:val="nil"/>
              <w:bottom w:val="nil"/>
              <w:right w:val="nil"/>
            </w:tcBorders>
            <w:vAlign w:val="center"/>
            <w:hideMark/>
          </w:tcPr>
          <w:p w14:paraId="60C6B141"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0.709</w:t>
            </w:r>
          </w:p>
        </w:tc>
        <w:tc>
          <w:tcPr>
            <w:tcW w:w="1048" w:type="dxa"/>
            <w:tcBorders>
              <w:top w:val="nil"/>
              <w:left w:val="nil"/>
              <w:bottom w:val="nil"/>
              <w:right w:val="nil"/>
            </w:tcBorders>
            <w:vAlign w:val="center"/>
            <w:hideMark/>
          </w:tcPr>
          <w:p w14:paraId="418AFB4E"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val="en-GB" w:eastAsia="zh-CN"/>
              </w:rPr>
              <w:t>0.047*</w:t>
            </w:r>
          </w:p>
        </w:tc>
        <w:tc>
          <w:tcPr>
            <w:tcW w:w="1190" w:type="dxa"/>
            <w:tcBorders>
              <w:top w:val="nil"/>
              <w:left w:val="nil"/>
              <w:bottom w:val="nil"/>
              <w:right w:val="nil"/>
            </w:tcBorders>
            <w:vAlign w:val="center"/>
            <w:hideMark/>
          </w:tcPr>
          <w:p w14:paraId="0BD7C05F"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val="en-GB" w:eastAsia="zh-CN"/>
              </w:rPr>
              <w:t>0.020*</w:t>
            </w:r>
          </w:p>
        </w:tc>
        <w:tc>
          <w:tcPr>
            <w:tcW w:w="1291" w:type="dxa"/>
            <w:tcBorders>
              <w:top w:val="nil"/>
              <w:left w:val="nil"/>
              <w:bottom w:val="nil"/>
              <w:right w:val="nil"/>
            </w:tcBorders>
            <w:vAlign w:val="center"/>
            <w:hideMark/>
          </w:tcPr>
          <w:p w14:paraId="6EFBB89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w:t>
            </w:r>
          </w:p>
        </w:tc>
        <w:tc>
          <w:tcPr>
            <w:tcW w:w="1190" w:type="dxa"/>
            <w:tcBorders>
              <w:top w:val="nil"/>
              <w:left w:val="nil"/>
              <w:bottom w:val="nil"/>
              <w:right w:val="nil"/>
            </w:tcBorders>
            <w:vAlign w:val="center"/>
            <w:hideMark/>
          </w:tcPr>
          <w:p w14:paraId="49E5DFB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0.792</w:t>
            </w:r>
          </w:p>
        </w:tc>
        <w:tc>
          <w:tcPr>
            <w:tcW w:w="1190" w:type="dxa"/>
            <w:tcBorders>
              <w:top w:val="nil"/>
              <w:left w:val="nil"/>
              <w:bottom w:val="nil"/>
              <w:right w:val="nil"/>
            </w:tcBorders>
            <w:vAlign w:val="center"/>
            <w:hideMark/>
          </w:tcPr>
          <w:p w14:paraId="12C4150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0.917</w:t>
            </w:r>
          </w:p>
        </w:tc>
        <w:tc>
          <w:tcPr>
            <w:tcW w:w="1190" w:type="dxa"/>
            <w:tcBorders>
              <w:top w:val="nil"/>
              <w:left w:val="nil"/>
              <w:bottom w:val="nil"/>
              <w:right w:val="nil"/>
            </w:tcBorders>
            <w:vAlign w:val="center"/>
            <w:hideMark/>
          </w:tcPr>
          <w:p w14:paraId="07673AB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0.427</w:t>
            </w:r>
          </w:p>
        </w:tc>
        <w:tc>
          <w:tcPr>
            <w:tcW w:w="1190" w:type="dxa"/>
            <w:tcBorders>
              <w:top w:val="nil"/>
              <w:left w:val="nil"/>
              <w:bottom w:val="nil"/>
              <w:right w:val="nil"/>
            </w:tcBorders>
            <w:vAlign w:val="center"/>
            <w:hideMark/>
          </w:tcPr>
          <w:p w14:paraId="1E44F093"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0.000*</w:t>
            </w:r>
          </w:p>
        </w:tc>
      </w:tr>
      <w:tr w:rsidR="00FB01D8" w:rsidRPr="00FB01D8" w14:paraId="4BA588A6" w14:textId="77777777" w:rsidTr="00FB01D8">
        <w:trPr>
          <w:trHeight w:val="185"/>
          <w:jc w:val="right"/>
        </w:trPr>
        <w:tc>
          <w:tcPr>
            <w:tcW w:w="2340" w:type="dxa"/>
            <w:tcBorders>
              <w:top w:val="nil"/>
              <w:left w:val="nil"/>
              <w:bottom w:val="nil"/>
              <w:right w:val="nil"/>
            </w:tcBorders>
            <w:vAlign w:val="center"/>
          </w:tcPr>
          <w:p w14:paraId="5CC8F115"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tcPr>
          <w:p w14:paraId="23D5A13A"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1087" w:type="dxa"/>
            <w:tcBorders>
              <w:top w:val="nil"/>
              <w:left w:val="nil"/>
              <w:bottom w:val="nil"/>
              <w:right w:val="nil"/>
            </w:tcBorders>
            <w:vAlign w:val="center"/>
          </w:tcPr>
          <w:p w14:paraId="5596E571"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75" w:type="dxa"/>
            <w:tcBorders>
              <w:top w:val="nil"/>
              <w:left w:val="nil"/>
              <w:bottom w:val="nil"/>
              <w:right w:val="nil"/>
            </w:tcBorders>
            <w:vAlign w:val="center"/>
          </w:tcPr>
          <w:p w14:paraId="18ED02C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48" w:type="dxa"/>
            <w:tcBorders>
              <w:top w:val="nil"/>
              <w:left w:val="nil"/>
              <w:bottom w:val="nil"/>
              <w:right w:val="nil"/>
            </w:tcBorders>
            <w:vAlign w:val="center"/>
          </w:tcPr>
          <w:p w14:paraId="5791821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04394DE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291" w:type="dxa"/>
            <w:tcBorders>
              <w:top w:val="nil"/>
              <w:left w:val="nil"/>
              <w:bottom w:val="nil"/>
              <w:right w:val="nil"/>
            </w:tcBorders>
            <w:vAlign w:val="center"/>
          </w:tcPr>
          <w:p w14:paraId="256D852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759B2AB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5CC3D6F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601A01F7"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60CA4AD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r>
      <w:tr w:rsidR="00FB01D8" w:rsidRPr="00FB01D8" w14:paraId="3D6A38A1" w14:textId="77777777" w:rsidTr="00FB01D8">
        <w:trPr>
          <w:trHeight w:val="185"/>
          <w:jc w:val="right"/>
        </w:trPr>
        <w:tc>
          <w:tcPr>
            <w:tcW w:w="2340" w:type="dxa"/>
            <w:vMerge w:val="restart"/>
            <w:tcBorders>
              <w:top w:val="nil"/>
              <w:left w:val="nil"/>
              <w:bottom w:val="nil"/>
              <w:right w:val="nil"/>
            </w:tcBorders>
            <w:vAlign w:val="center"/>
            <w:hideMark/>
          </w:tcPr>
          <w:p w14:paraId="287815C8"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bookmarkStart w:id="32" w:name="_Hlk190858280"/>
            <w:proofErr w:type="spellStart"/>
            <w:r w:rsidRPr="00FB01D8">
              <w:rPr>
                <w:rFonts w:ascii="Times New Roman" w:eastAsia="Times New Roman" w:hAnsi="Times New Roman" w:cs="Times New Roman"/>
                <w:b/>
                <w:bCs/>
                <w:color w:val="000000"/>
                <w:sz w:val="20"/>
                <w:szCs w:val="20"/>
                <w:lang w:eastAsia="zh-CN"/>
              </w:rPr>
              <w:t>Soduim</w:t>
            </w:r>
            <w:proofErr w:type="spellEnd"/>
          </w:p>
          <w:p w14:paraId="21E86C74"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(mmol/L)</w:t>
            </w:r>
          </w:p>
        </w:tc>
        <w:tc>
          <w:tcPr>
            <w:tcW w:w="461" w:type="dxa"/>
            <w:tcBorders>
              <w:top w:val="nil"/>
              <w:left w:val="nil"/>
              <w:bottom w:val="nil"/>
              <w:right w:val="nil"/>
            </w:tcBorders>
            <w:vAlign w:val="center"/>
            <w:hideMark/>
          </w:tcPr>
          <w:p w14:paraId="6C956CF6"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r</w:t>
            </w:r>
          </w:p>
        </w:tc>
        <w:tc>
          <w:tcPr>
            <w:tcW w:w="1087" w:type="dxa"/>
            <w:tcBorders>
              <w:top w:val="nil"/>
              <w:left w:val="nil"/>
              <w:bottom w:val="nil"/>
              <w:right w:val="nil"/>
            </w:tcBorders>
            <w:vAlign w:val="center"/>
            <w:hideMark/>
          </w:tcPr>
          <w:p w14:paraId="3B821CD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-0.083</w:t>
            </w:r>
          </w:p>
        </w:tc>
        <w:tc>
          <w:tcPr>
            <w:tcW w:w="1075" w:type="dxa"/>
            <w:tcBorders>
              <w:top w:val="nil"/>
              <w:left w:val="nil"/>
              <w:bottom w:val="nil"/>
              <w:right w:val="nil"/>
            </w:tcBorders>
            <w:vAlign w:val="center"/>
            <w:hideMark/>
          </w:tcPr>
          <w:p w14:paraId="099A421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-0.0832</w:t>
            </w:r>
          </w:p>
        </w:tc>
        <w:tc>
          <w:tcPr>
            <w:tcW w:w="1048" w:type="dxa"/>
            <w:tcBorders>
              <w:top w:val="nil"/>
              <w:left w:val="nil"/>
              <w:bottom w:val="nil"/>
              <w:right w:val="nil"/>
            </w:tcBorders>
            <w:vAlign w:val="center"/>
            <w:hideMark/>
          </w:tcPr>
          <w:p w14:paraId="7DE67D90"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-0.012</w:t>
            </w:r>
          </w:p>
        </w:tc>
        <w:tc>
          <w:tcPr>
            <w:tcW w:w="1190" w:type="dxa"/>
            <w:tcBorders>
              <w:top w:val="nil"/>
              <w:left w:val="nil"/>
              <w:bottom w:val="nil"/>
              <w:right w:val="nil"/>
            </w:tcBorders>
            <w:vAlign w:val="center"/>
            <w:hideMark/>
          </w:tcPr>
          <w:p w14:paraId="0E6BFE4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0.199</w:t>
            </w:r>
          </w:p>
        </w:tc>
        <w:tc>
          <w:tcPr>
            <w:tcW w:w="1291" w:type="dxa"/>
            <w:tcBorders>
              <w:top w:val="nil"/>
              <w:left w:val="nil"/>
              <w:bottom w:val="nil"/>
              <w:right w:val="nil"/>
            </w:tcBorders>
            <w:vAlign w:val="center"/>
            <w:hideMark/>
          </w:tcPr>
          <w:p w14:paraId="6006416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0.032</w:t>
            </w:r>
          </w:p>
        </w:tc>
        <w:tc>
          <w:tcPr>
            <w:tcW w:w="1190" w:type="dxa"/>
            <w:tcBorders>
              <w:top w:val="nil"/>
              <w:left w:val="nil"/>
              <w:bottom w:val="nil"/>
              <w:right w:val="nil"/>
            </w:tcBorders>
            <w:vAlign w:val="center"/>
            <w:hideMark/>
          </w:tcPr>
          <w:p w14:paraId="6B08104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1</w:t>
            </w:r>
          </w:p>
        </w:tc>
        <w:tc>
          <w:tcPr>
            <w:tcW w:w="1190" w:type="dxa"/>
            <w:tcBorders>
              <w:top w:val="nil"/>
              <w:left w:val="nil"/>
              <w:bottom w:val="nil"/>
              <w:right w:val="nil"/>
            </w:tcBorders>
            <w:vAlign w:val="center"/>
            <w:hideMark/>
          </w:tcPr>
          <w:p w14:paraId="2F65DB1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0.017</w:t>
            </w:r>
          </w:p>
        </w:tc>
        <w:tc>
          <w:tcPr>
            <w:tcW w:w="1190" w:type="dxa"/>
            <w:tcBorders>
              <w:top w:val="nil"/>
              <w:left w:val="nil"/>
              <w:bottom w:val="nil"/>
              <w:right w:val="nil"/>
            </w:tcBorders>
            <w:vAlign w:val="center"/>
            <w:hideMark/>
          </w:tcPr>
          <w:p w14:paraId="71931D6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0.306</w:t>
            </w:r>
          </w:p>
        </w:tc>
        <w:tc>
          <w:tcPr>
            <w:tcW w:w="1190" w:type="dxa"/>
            <w:tcBorders>
              <w:top w:val="nil"/>
              <w:left w:val="nil"/>
              <w:bottom w:val="nil"/>
              <w:right w:val="nil"/>
            </w:tcBorders>
            <w:vAlign w:val="center"/>
            <w:hideMark/>
          </w:tcPr>
          <w:p w14:paraId="33DCEC8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-0.207</w:t>
            </w:r>
          </w:p>
        </w:tc>
      </w:tr>
      <w:tr w:rsidR="00FB01D8" w:rsidRPr="00FB01D8" w14:paraId="309D768D" w14:textId="77777777" w:rsidTr="00FB01D8">
        <w:trPr>
          <w:trHeight w:val="185"/>
          <w:jc w:val="right"/>
        </w:trPr>
        <w:tc>
          <w:tcPr>
            <w:tcW w:w="0" w:type="auto"/>
            <w:vMerge/>
            <w:tcBorders>
              <w:top w:val="nil"/>
              <w:left w:val="nil"/>
              <w:bottom w:val="nil"/>
              <w:right w:val="nil"/>
            </w:tcBorders>
            <w:vAlign w:val="center"/>
            <w:hideMark/>
          </w:tcPr>
          <w:p w14:paraId="2F0B4691" w14:textId="77777777" w:rsidR="00FB01D8" w:rsidRPr="00FB01D8" w:rsidRDefault="00FB01D8" w:rsidP="00FB01D8">
            <w:pPr>
              <w:spacing w:after="0" w:line="240" w:lineRule="auto"/>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hideMark/>
          </w:tcPr>
          <w:p w14:paraId="5E9EE67D"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p</w:t>
            </w:r>
          </w:p>
        </w:tc>
        <w:tc>
          <w:tcPr>
            <w:tcW w:w="1087" w:type="dxa"/>
            <w:tcBorders>
              <w:top w:val="nil"/>
              <w:left w:val="nil"/>
              <w:bottom w:val="nil"/>
              <w:right w:val="nil"/>
            </w:tcBorders>
            <w:vAlign w:val="center"/>
            <w:hideMark/>
          </w:tcPr>
          <w:p w14:paraId="10FD43F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0.492</w:t>
            </w:r>
          </w:p>
        </w:tc>
        <w:tc>
          <w:tcPr>
            <w:tcW w:w="1075" w:type="dxa"/>
            <w:tcBorders>
              <w:top w:val="nil"/>
              <w:left w:val="nil"/>
              <w:bottom w:val="nil"/>
              <w:right w:val="nil"/>
            </w:tcBorders>
            <w:vAlign w:val="center"/>
            <w:hideMark/>
          </w:tcPr>
          <w:p w14:paraId="5F26476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0.493</w:t>
            </w:r>
          </w:p>
        </w:tc>
        <w:tc>
          <w:tcPr>
            <w:tcW w:w="1048" w:type="dxa"/>
            <w:tcBorders>
              <w:top w:val="nil"/>
              <w:left w:val="nil"/>
              <w:bottom w:val="nil"/>
              <w:right w:val="nil"/>
            </w:tcBorders>
            <w:vAlign w:val="center"/>
            <w:hideMark/>
          </w:tcPr>
          <w:p w14:paraId="5A8E3C5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0.918</w:t>
            </w:r>
          </w:p>
        </w:tc>
        <w:tc>
          <w:tcPr>
            <w:tcW w:w="1190" w:type="dxa"/>
            <w:tcBorders>
              <w:top w:val="nil"/>
              <w:left w:val="nil"/>
              <w:bottom w:val="nil"/>
              <w:right w:val="nil"/>
            </w:tcBorders>
            <w:vAlign w:val="center"/>
            <w:hideMark/>
          </w:tcPr>
          <w:p w14:paraId="1DADD47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0.097</w:t>
            </w:r>
          </w:p>
        </w:tc>
        <w:tc>
          <w:tcPr>
            <w:tcW w:w="1291" w:type="dxa"/>
            <w:tcBorders>
              <w:top w:val="nil"/>
              <w:left w:val="nil"/>
              <w:bottom w:val="nil"/>
              <w:right w:val="nil"/>
            </w:tcBorders>
            <w:vAlign w:val="center"/>
            <w:hideMark/>
          </w:tcPr>
          <w:p w14:paraId="30BC7A3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0.792</w:t>
            </w:r>
          </w:p>
        </w:tc>
        <w:tc>
          <w:tcPr>
            <w:tcW w:w="1190" w:type="dxa"/>
            <w:tcBorders>
              <w:top w:val="nil"/>
              <w:left w:val="nil"/>
              <w:bottom w:val="nil"/>
              <w:right w:val="nil"/>
            </w:tcBorders>
            <w:vAlign w:val="center"/>
            <w:hideMark/>
          </w:tcPr>
          <w:p w14:paraId="49A8CD5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w:t>
            </w:r>
          </w:p>
        </w:tc>
        <w:tc>
          <w:tcPr>
            <w:tcW w:w="1190" w:type="dxa"/>
            <w:tcBorders>
              <w:top w:val="nil"/>
              <w:left w:val="nil"/>
              <w:bottom w:val="nil"/>
              <w:right w:val="nil"/>
            </w:tcBorders>
            <w:vAlign w:val="center"/>
            <w:hideMark/>
          </w:tcPr>
          <w:p w14:paraId="6BDB7CF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0.883</w:t>
            </w:r>
          </w:p>
        </w:tc>
        <w:tc>
          <w:tcPr>
            <w:tcW w:w="1190" w:type="dxa"/>
            <w:tcBorders>
              <w:top w:val="nil"/>
              <w:left w:val="nil"/>
              <w:bottom w:val="nil"/>
              <w:right w:val="nil"/>
            </w:tcBorders>
            <w:vAlign w:val="center"/>
            <w:hideMark/>
          </w:tcPr>
          <w:p w14:paraId="5E57010D"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val="en-GB" w:eastAsia="zh-CN"/>
              </w:rPr>
              <w:t>0.009*</w:t>
            </w:r>
          </w:p>
        </w:tc>
        <w:tc>
          <w:tcPr>
            <w:tcW w:w="1190" w:type="dxa"/>
            <w:tcBorders>
              <w:top w:val="nil"/>
              <w:left w:val="nil"/>
              <w:bottom w:val="nil"/>
              <w:right w:val="nil"/>
            </w:tcBorders>
            <w:vAlign w:val="center"/>
            <w:hideMark/>
          </w:tcPr>
          <w:p w14:paraId="4AD0356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0.085</w:t>
            </w:r>
          </w:p>
        </w:tc>
        <w:bookmarkEnd w:id="32"/>
      </w:tr>
      <w:tr w:rsidR="00FB01D8" w:rsidRPr="00FB01D8" w14:paraId="07EBD301" w14:textId="77777777" w:rsidTr="00FB01D8">
        <w:trPr>
          <w:trHeight w:val="185"/>
          <w:jc w:val="right"/>
        </w:trPr>
        <w:tc>
          <w:tcPr>
            <w:tcW w:w="2340" w:type="dxa"/>
            <w:tcBorders>
              <w:top w:val="nil"/>
              <w:left w:val="nil"/>
              <w:bottom w:val="nil"/>
              <w:right w:val="nil"/>
            </w:tcBorders>
            <w:vAlign w:val="center"/>
          </w:tcPr>
          <w:p w14:paraId="23D9D9AA"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tcPr>
          <w:p w14:paraId="77800B72"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1087" w:type="dxa"/>
            <w:tcBorders>
              <w:top w:val="nil"/>
              <w:left w:val="nil"/>
              <w:bottom w:val="nil"/>
              <w:right w:val="nil"/>
            </w:tcBorders>
            <w:vAlign w:val="center"/>
          </w:tcPr>
          <w:p w14:paraId="06441991"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75" w:type="dxa"/>
            <w:tcBorders>
              <w:top w:val="nil"/>
              <w:left w:val="nil"/>
              <w:bottom w:val="nil"/>
              <w:right w:val="nil"/>
            </w:tcBorders>
            <w:vAlign w:val="center"/>
          </w:tcPr>
          <w:p w14:paraId="7D957A9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48" w:type="dxa"/>
            <w:tcBorders>
              <w:top w:val="nil"/>
              <w:left w:val="nil"/>
              <w:bottom w:val="nil"/>
              <w:right w:val="nil"/>
            </w:tcBorders>
            <w:vAlign w:val="center"/>
          </w:tcPr>
          <w:p w14:paraId="6A8D8F9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53CA29F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291" w:type="dxa"/>
            <w:tcBorders>
              <w:top w:val="nil"/>
              <w:left w:val="nil"/>
              <w:bottom w:val="nil"/>
              <w:right w:val="nil"/>
            </w:tcBorders>
            <w:vAlign w:val="center"/>
          </w:tcPr>
          <w:p w14:paraId="0DB88C40"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7BE92A7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3B0F38C7"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5201F57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3031F75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r>
      <w:tr w:rsidR="00FB01D8" w:rsidRPr="00FB01D8" w14:paraId="6A647FDD" w14:textId="77777777" w:rsidTr="00FB01D8">
        <w:trPr>
          <w:trHeight w:val="185"/>
          <w:jc w:val="right"/>
        </w:trPr>
        <w:tc>
          <w:tcPr>
            <w:tcW w:w="2340" w:type="dxa"/>
            <w:vMerge w:val="restart"/>
            <w:tcBorders>
              <w:top w:val="nil"/>
              <w:left w:val="nil"/>
              <w:bottom w:val="nil"/>
              <w:right w:val="nil"/>
            </w:tcBorders>
            <w:vAlign w:val="center"/>
            <w:hideMark/>
          </w:tcPr>
          <w:p w14:paraId="7D0A7885"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Potassium</w:t>
            </w:r>
          </w:p>
          <w:p w14:paraId="15BE7823"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(mmol/L)</w:t>
            </w:r>
          </w:p>
        </w:tc>
        <w:tc>
          <w:tcPr>
            <w:tcW w:w="461" w:type="dxa"/>
            <w:tcBorders>
              <w:top w:val="nil"/>
              <w:left w:val="nil"/>
              <w:bottom w:val="nil"/>
              <w:right w:val="nil"/>
            </w:tcBorders>
            <w:vAlign w:val="center"/>
            <w:hideMark/>
          </w:tcPr>
          <w:p w14:paraId="471386E5"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r</w:t>
            </w:r>
          </w:p>
        </w:tc>
        <w:tc>
          <w:tcPr>
            <w:tcW w:w="1087" w:type="dxa"/>
            <w:tcBorders>
              <w:top w:val="nil"/>
              <w:left w:val="nil"/>
              <w:bottom w:val="nil"/>
              <w:right w:val="nil"/>
            </w:tcBorders>
            <w:vAlign w:val="center"/>
            <w:hideMark/>
          </w:tcPr>
          <w:p w14:paraId="532AD12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-0.017</w:t>
            </w:r>
          </w:p>
        </w:tc>
        <w:tc>
          <w:tcPr>
            <w:tcW w:w="1075" w:type="dxa"/>
            <w:tcBorders>
              <w:top w:val="nil"/>
              <w:left w:val="nil"/>
              <w:bottom w:val="nil"/>
              <w:right w:val="nil"/>
            </w:tcBorders>
            <w:vAlign w:val="center"/>
            <w:hideMark/>
          </w:tcPr>
          <w:p w14:paraId="2CA7072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-0.074</w:t>
            </w:r>
          </w:p>
        </w:tc>
        <w:tc>
          <w:tcPr>
            <w:tcW w:w="1048" w:type="dxa"/>
            <w:tcBorders>
              <w:top w:val="nil"/>
              <w:left w:val="nil"/>
              <w:bottom w:val="nil"/>
              <w:right w:val="nil"/>
            </w:tcBorders>
            <w:vAlign w:val="center"/>
            <w:hideMark/>
          </w:tcPr>
          <w:p w14:paraId="1ECA6DA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-0.186</w:t>
            </w:r>
          </w:p>
        </w:tc>
        <w:tc>
          <w:tcPr>
            <w:tcW w:w="1190" w:type="dxa"/>
            <w:tcBorders>
              <w:top w:val="nil"/>
              <w:left w:val="nil"/>
              <w:bottom w:val="nil"/>
              <w:right w:val="nil"/>
            </w:tcBorders>
            <w:vAlign w:val="center"/>
            <w:hideMark/>
          </w:tcPr>
          <w:p w14:paraId="56DCD377"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-0.027</w:t>
            </w:r>
          </w:p>
        </w:tc>
        <w:tc>
          <w:tcPr>
            <w:tcW w:w="1291" w:type="dxa"/>
            <w:tcBorders>
              <w:top w:val="nil"/>
              <w:left w:val="nil"/>
              <w:bottom w:val="nil"/>
              <w:right w:val="nil"/>
            </w:tcBorders>
            <w:vAlign w:val="center"/>
            <w:hideMark/>
          </w:tcPr>
          <w:p w14:paraId="70A9607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-0.012</w:t>
            </w:r>
          </w:p>
        </w:tc>
        <w:tc>
          <w:tcPr>
            <w:tcW w:w="1190" w:type="dxa"/>
            <w:tcBorders>
              <w:top w:val="nil"/>
              <w:left w:val="nil"/>
              <w:bottom w:val="nil"/>
              <w:right w:val="nil"/>
            </w:tcBorders>
            <w:vAlign w:val="center"/>
            <w:hideMark/>
          </w:tcPr>
          <w:p w14:paraId="2CE7503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0.017</w:t>
            </w:r>
          </w:p>
        </w:tc>
        <w:tc>
          <w:tcPr>
            <w:tcW w:w="1190" w:type="dxa"/>
            <w:tcBorders>
              <w:top w:val="nil"/>
              <w:left w:val="nil"/>
              <w:bottom w:val="nil"/>
              <w:right w:val="nil"/>
            </w:tcBorders>
            <w:vAlign w:val="center"/>
            <w:hideMark/>
          </w:tcPr>
          <w:p w14:paraId="40FDE9E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1</w:t>
            </w:r>
          </w:p>
        </w:tc>
        <w:tc>
          <w:tcPr>
            <w:tcW w:w="1190" w:type="dxa"/>
            <w:tcBorders>
              <w:top w:val="nil"/>
              <w:left w:val="nil"/>
              <w:bottom w:val="nil"/>
              <w:right w:val="nil"/>
            </w:tcBorders>
            <w:vAlign w:val="center"/>
            <w:hideMark/>
          </w:tcPr>
          <w:p w14:paraId="68026601"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-0.194</w:t>
            </w:r>
          </w:p>
        </w:tc>
        <w:tc>
          <w:tcPr>
            <w:tcW w:w="1190" w:type="dxa"/>
            <w:tcBorders>
              <w:top w:val="nil"/>
              <w:left w:val="nil"/>
              <w:bottom w:val="nil"/>
              <w:right w:val="nil"/>
            </w:tcBorders>
            <w:vAlign w:val="center"/>
            <w:hideMark/>
          </w:tcPr>
          <w:p w14:paraId="3F102B9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-0.03</w:t>
            </w:r>
          </w:p>
        </w:tc>
      </w:tr>
      <w:tr w:rsidR="00FB01D8" w:rsidRPr="00FB01D8" w14:paraId="7D9AE997" w14:textId="77777777" w:rsidTr="00FB01D8">
        <w:trPr>
          <w:trHeight w:val="185"/>
          <w:jc w:val="right"/>
        </w:trPr>
        <w:tc>
          <w:tcPr>
            <w:tcW w:w="0" w:type="auto"/>
            <w:vMerge/>
            <w:tcBorders>
              <w:top w:val="nil"/>
              <w:left w:val="nil"/>
              <w:bottom w:val="nil"/>
              <w:right w:val="nil"/>
            </w:tcBorders>
            <w:vAlign w:val="center"/>
            <w:hideMark/>
          </w:tcPr>
          <w:p w14:paraId="2C8A3CD8" w14:textId="77777777" w:rsidR="00FB01D8" w:rsidRPr="00FB01D8" w:rsidRDefault="00FB01D8" w:rsidP="00FB01D8">
            <w:pPr>
              <w:spacing w:after="0" w:line="240" w:lineRule="auto"/>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hideMark/>
          </w:tcPr>
          <w:p w14:paraId="4E4CF21A"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p</w:t>
            </w:r>
          </w:p>
        </w:tc>
        <w:tc>
          <w:tcPr>
            <w:tcW w:w="1087" w:type="dxa"/>
            <w:tcBorders>
              <w:top w:val="nil"/>
              <w:left w:val="nil"/>
              <w:bottom w:val="nil"/>
              <w:right w:val="nil"/>
            </w:tcBorders>
            <w:vAlign w:val="center"/>
            <w:hideMark/>
          </w:tcPr>
          <w:p w14:paraId="78F09BC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0.886</w:t>
            </w:r>
          </w:p>
        </w:tc>
        <w:tc>
          <w:tcPr>
            <w:tcW w:w="1075" w:type="dxa"/>
            <w:tcBorders>
              <w:top w:val="nil"/>
              <w:left w:val="nil"/>
              <w:bottom w:val="nil"/>
              <w:right w:val="nil"/>
            </w:tcBorders>
            <w:vAlign w:val="center"/>
            <w:hideMark/>
          </w:tcPr>
          <w:p w14:paraId="4195BE7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0.537</w:t>
            </w:r>
          </w:p>
        </w:tc>
        <w:tc>
          <w:tcPr>
            <w:tcW w:w="1048" w:type="dxa"/>
            <w:tcBorders>
              <w:top w:val="nil"/>
              <w:left w:val="nil"/>
              <w:bottom w:val="nil"/>
              <w:right w:val="nil"/>
            </w:tcBorders>
            <w:vAlign w:val="center"/>
            <w:hideMark/>
          </w:tcPr>
          <w:p w14:paraId="28B8E80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0.122</w:t>
            </w:r>
          </w:p>
        </w:tc>
        <w:tc>
          <w:tcPr>
            <w:tcW w:w="1190" w:type="dxa"/>
            <w:tcBorders>
              <w:top w:val="nil"/>
              <w:left w:val="nil"/>
              <w:bottom w:val="nil"/>
              <w:right w:val="nil"/>
            </w:tcBorders>
            <w:vAlign w:val="center"/>
            <w:hideMark/>
          </w:tcPr>
          <w:p w14:paraId="58A9ED4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0.82</w:t>
            </w:r>
          </w:p>
        </w:tc>
        <w:tc>
          <w:tcPr>
            <w:tcW w:w="1291" w:type="dxa"/>
            <w:tcBorders>
              <w:top w:val="nil"/>
              <w:left w:val="nil"/>
              <w:bottom w:val="nil"/>
              <w:right w:val="nil"/>
            </w:tcBorders>
            <w:vAlign w:val="center"/>
            <w:hideMark/>
          </w:tcPr>
          <w:p w14:paraId="0A0047A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0.917</w:t>
            </w:r>
          </w:p>
        </w:tc>
        <w:tc>
          <w:tcPr>
            <w:tcW w:w="1190" w:type="dxa"/>
            <w:tcBorders>
              <w:top w:val="nil"/>
              <w:left w:val="nil"/>
              <w:bottom w:val="nil"/>
              <w:right w:val="nil"/>
            </w:tcBorders>
            <w:vAlign w:val="center"/>
            <w:hideMark/>
          </w:tcPr>
          <w:p w14:paraId="47C9DED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0.883</w:t>
            </w:r>
          </w:p>
        </w:tc>
        <w:tc>
          <w:tcPr>
            <w:tcW w:w="1190" w:type="dxa"/>
            <w:tcBorders>
              <w:top w:val="nil"/>
              <w:left w:val="nil"/>
              <w:bottom w:val="nil"/>
              <w:right w:val="nil"/>
            </w:tcBorders>
            <w:vAlign w:val="center"/>
            <w:hideMark/>
          </w:tcPr>
          <w:p w14:paraId="26767350"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w:t>
            </w:r>
          </w:p>
        </w:tc>
        <w:tc>
          <w:tcPr>
            <w:tcW w:w="1190" w:type="dxa"/>
            <w:tcBorders>
              <w:top w:val="nil"/>
              <w:left w:val="nil"/>
              <w:bottom w:val="nil"/>
              <w:right w:val="nil"/>
            </w:tcBorders>
            <w:vAlign w:val="center"/>
            <w:hideMark/>
          </w:tcPr>
          <w:p w14:paraId="2932870D"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0.106</w:t>
            </w:r>
          </w:p>
        </w:tc>
        <w:tc>
          <w:tcPr>
            <w:tcW w:w="1190" w:type="dxa"/>
            <w:tcBorders>
              <w:top w:val="nil"/>
              <w:left w:val="nil"/>
              <w:bottom w:val="nil"/>
              <w:right w:val="nil"/>
            </w:tcBorders>
            <w:vAlign w:val="center"/>
            <w:hideMark/>
          </w:tcPr>
          <w:p w14:paraId="1273C00A"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0.799</w:t>
            </w:r>
          </w:p>
        </w:tc>
      </w:tr>
      <w:tr w:rsidR="00FB01D8" w:rsidRPr="00FB01D8" w14:paraId="2256BBFD" w14:textId="77777777" w:rsidTr="00FB01D8">
        <w:trPr>
          <w:trHeight w:val="185"/>
          <w:jc w:val="right"/>
        </w:trPr>
        <w:tc>
          <w:tcPr>
            <w:tcW w:w="2340" w:type="dxa"/>
            <w:tcBorders>
              <w:top w:val="nil"/>
              <w:left w:val="nil"/>
              <w:bottom w:val="nil"/>
              <w:right w:val="nil"/>
            </w:tcBorders>
            <w:vAlign w:val="center"/>
          </w:tcPr>
          <w:p w14:paraId="3B003B45"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tcPr>
          <w:p w14:paraId="12EE91D2"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1087" w:type="dxa"/>
            <w:tcBorders>
              <w:top w:val="nil"/>
              <w:left w:val="nil"/>
              <w:bottom w:val="nil"/>
              <w:right w:val="nil"/>
            </w:tcBorders>
            <w:vAlign w:val="center"/>
          </w:tcPr>
          <w:p w14:paraId="655CF14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75" w:type="dxa"/>
            <w:tcBorders>
              <w:top w:val="nil"/>
              <w:left w:val="nil"/>
              <w:bottom w:val="nil"/>
              <w:right w:val="nil"/>
            </w:tcBorders>
            <w:vAlign w:val="center"/>
          </w:tcPr>
          <w:p w14:paraId="39A09E9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48" w:type="dxa"/>
            <w:tcBorders>
              <w:top w:val="nil"/>
              <w:left w:val="nil"/>
              <w:bottom w:val="nil"/>
              <w:right w:val="nil"/>
            </w:tcBorders>
            <w:vAlign w:val="center"/>
          </w:tcPr>
          <w:p w14:paraId="61F0B50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6A5D09B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291" w:type="dxa"/>
            <w:tcBorders>
              <w:top w:val="nil"/>
              <w:left w:val="nil"/>
              <w:bottom w:val="nil"/>
              <w:right w:val="nil"/>
            </w:tcBorders>
            <w:vAlign w:val="center"/>
          </w:tcPr>
          <w:p w14:paraId="0E4B3C61"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775808D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0758E5E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7878535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3B21FF9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r>
      <w:tr w:rsidR="00FB01D8" w:rsidRPr="00FB01D8" w14:paraId="2DF65B92" w14:textId="77777777" w:rsidTr="00FB01D8">
        <w:trPr>
          <w:trHeight w:val="185"/>
          <w:jc w:val="right"/>
        </w:trPr>
        <w:tc>
          <w:tcPr>
            <w:tcW w:w="2340" w:type="dxa"/>
            <w:vMerge w:val="restart"/>
            <w:tcBorders>
              <w:top w:val="nil"/>
              <w:left w:val="nil"/>
              <w:bottom w:val="nil"/>
              <w:right w:val="nil"/>
            </w:tcBorders>
            <w:vAlign w:val="center"/>
            <w:hideMark/>
          </w:tcPr>
          <w:p w14:paraId="7476AFF9"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Chloride</w:t>
            </w:r>
          </w:p>
          <w:p w14:paraId="0849E636"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(mmol/L)</w:t>
            </w:r>
          </w:p>
        </w:tc>
        <w:tc>
          <w:tcPr>
            <w:tcW w:w="461" w:type="dxa"/>
            <w:tcBorders>
              <w:top w:val="nil"/>
              <w:left w:val="nil"/>
              <w:bottom w:val="nil"/>
              <w:right w:val="nil"/>
            </w:tcBorders>
            <w:vAlign w:val="center"/>
            <w:hideMark/>
          </w:tcPr>
          <w:p w14:paraId="161157BF"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r</w:t>
            </w:r>
          </w:p>
        </w:tc>
        <w:tc>
          <w:tcPr>
            <w:tcW w:w="1087" w:type="dxa"/>
            <w:tcBorders>
              <w:top w:val="nil"/>
              <w:left w:val="nil"/>
              <w:bottom w:val="nil"/>
              <w:right w:val="nil"/>
            </w:tcBorders>
            <w:vAlign w:val="center"/>
            <w:hideMark/>
          </w:tcPr>
          <w:p w14:paraId="326001B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-0.065</w:t>
            </w:r>
          </w:p>
        </w:tc>
        <w:tc>
          <w:tcPr>
            <w:tcW w:w="1075" w:type="dxa"/>
            <w:tcBorders>
              <w:top w:val="nil"/>
              <w:left w:val="nil"/>
              <w:bottom w:val="nil"/>
              <w:right w:val="nil"/>
            </w:tcBorders>
            <w:vAlign w:val="center"/>
            <w:hideMark/>
          </w:tcPr>
          <w:p w14:paraId="282EC6B0"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-0.125</w:t>
            </w:r>
          </w:p>
        </w:tc>
        <w:tc>
          <w:tcPr>
            <w:tcW w:w="1048" w:type="dxa"/>
            <w:tcBorders>
              <w:top w:val="nil"/>
              <w:left w:val="nil"/>
              <w:bottom w:val="nil"/>
              <w:right w:val="nil"/>
            </w:tcBorders>
            <w:vAlign w:val="center"/>
            <w:hideMark/>
          </w:tcPr>
          <w:p w14:paraId="2589156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-0.148</w:t>
            </w:r>
          </w:p>
        </w:tc>
        <w:tc>
          <w:tcPr>
            <w:tcW w:w="1190" w:type="dxa"/>
            <w:tcBorders>
              <w:top w:val="nil"/>
              <w:left w:val="nil"/>
              <w:bottom w:val="nil"/>
              <w:right w:val="nil"/>
            </w:tcBorders>
            <w:vAlign w:val="center"/>
            <w:hideMark/>
          </w:tcPr>
          <w:p w14:paraId="17078EA7"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0.304</w:t>
            </w:r>
          </w:p>
        </w:tc>
        <w:tc>
          <w:tcPr>
            <w:tcW w:w="1291" w:type="dxa"/>
            <w:tcBorders>
              <w:top w:val="nil"/>
              <w:left w:val="nil"/>
              <w:bottom w:val="nil"/>
              <w:right w:val="nil"/>
            </w:tcBorders>
            <w:vAlign w:val="center"/>
            <w:hideMark/>
          </w:tcPr>
          <w:p w14:paraId="17F85BE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0.096</w:t>
            </w:r>
          </w:p>
        </w:tc>
        <w:tc>
          <w:tcPr>
            <w:tcW w:w="1190" w:type="dxa"/>
            <w:tcBorders>
              <w:top w:val="nil"/>
              <w:left w:val="nil"/>
              <w:bottom w:val="nil"/>
              <w:right w:val="nil"/>
            </w:tcBorders>
            <w:vAlign w:val="center"/>
            <w:hideMark/>
          </w:tcPr>
          <w:p w14:paraId="2DEAB8CF"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0.306</w:t>
            </w:r>
          </w:p>
        </w:tc>
        <w:tc>
          <w:tcPr>
            <w:tcW w:w="1190" w:type="dxa"/>
            <w:tcBorders>
              <w:top w:val="nil"/>
              <w:left w:val="nil"/>
              <w:bottom w:val="nil"/>
              <w:right w:val="nil"/>
            </w:tcBorders>
            <w:vAlign w:val="center"/>
            <w:hideMark/>
          </w:tcPr>
          <w:p w14:paraId="20C0BBC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-0.194</w:t>
            </w:r>
          </w:p>
        </w:tc>
        <w:tc>
          <w:tcPr>
            <w:tcW w:w="1190" w:type="dxa"/>
            <w:tcBorders>
              <w:top w:val="nil"/>
              <w:left w:val="nil"/>
              <w:bottom w:val="nil"/>
              <w:right w:val="nil"/>
            </w:tcBorders>
            <w:vAlign w:val="center"/>
            <w:hideMark/>
          </w:tcPr>
          <w:p w14:paraId="1CEFE42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1</w:t>
            </w:r>
          </w:p>
        </w:tc>
        <w:tc>
          <w:tcPr>
            <w:tcW w:w="1190" w:type="dxa"/>
            <w:tcBorders>
              <w:top w:val="nil"/>
              <w:left w:val="nil"/>
              <w:bottom w:val="nil"/>
              <w:right w:val="nil"/>
            </w:tcBorders>
            <w:vAlign w:val="center"/>
            <w:hideMark/>
          </w:tcPr>
          <w:p w14:paraId="3A10B4D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0.157</w:t>
            </w:r>
          </w:p>
        </w:tc>
      </w:tr>
      <w:tr w:rsidR="00FB01D8" w:rsidRPr="00FB01D8" w14:paraId="093DF118" w14:textId="77777777" w:rsidTr="00FB01D8">
        <w:trPr>
          <w:trHeight w:val="185"/>
          <w:jc w:val="right"/>
        </w:trPr>
        <w:tc>
          <w:tcPr>
            <w:tcW w:w="0" w:type="auto"/>
            <w:vMerge/>
            <w:tcBorders>
              <w:top w:val="nil"/>
              <w:left w:val="nil"/>
              <w:bottom w:val="nil"/>
              <w:right w:val="nil"/>
            </w:tcBorders>
            <w:vAlign w:val="center"/>
            <w:hideMark/>
          </w:tcPr>
          <w:p w14:paraId="5F23C41B" w14:textId="77777777" w:rsidR="00FB01D8" w:rsidRPr="00FB01D8" w:rsidRDefault="00FB01D8" w:rsidP="00FB01D8">
            <w:pPr>
              <w:spacing w:after="0" w:line="240" w:lineRule="auto"/>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hideMark/>
          </w:tcPr>
          <w:p w14:paraId="7A27385D"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p</w:t>
            </w:r>
          </w:p>
        </w:tc>
        <w:tc>
          <w:tcPr>
            <w:tcW w:w="1087" w:type="dxa"/>
            <w:tcBorders>
              <w:top w:val="nil"/>
              <w:left w:val="nil"/>
              <w:bottom w:val="nil"/>
              <w:right w:val="nil"/>
            </w:tcBorders>
            <w:vAlign w:val="center"/>
            <w:hideMark/>
          </w:tcPr>
          <w:p w14:paraId="4DAA51F4"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0.591</w:t>
            </w:r>
          </w:p>
        </w:tc>
        <w:tc>
          <w:tcPr>
            <w:tcW w:w="1075" w:type="dxa"/>
            <w:tcBorders>
              <w:top w:val="nil"/>
              <w:left w:val="nil"/>
              <w:bottom w:val="nil"/>
              <w:right w:val="nil"/>
            </w:tcBorders>
            <w:vAlign w:val="center"/>
            <w:hideMark/>
          </w:tcPr>
          <w:p w14:paraId="1A16D56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0.301</w:t>
            </w:r>
          </w:p>
        </w:tc>
        <w:tc>
          <w:tcPr>
            <w:tcW w:w="1048" w:type="dxa"/>
            <w:tcBorders>
              <w:top w:val="nil"/>
              <w:left w:val="nil"/>
              <w:bottom w:val="nil"/>
              <w:right w:val="nil"/>
            </w:tcBorders>
            <w:vAlign w:val="center"/>
            <w:hideMark/>
          </w:tcPr>
          <w:p w14:paraId="7904DEF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0.219</w:t>
            </w:r>
          </w:p>
        </w:tc>
        <w:tc>
          <w:tcPr>
            <w:tcW w:w="1190" w:type="dxa"/>
            <w:tcBorders>
              <w:top w:val="nil"/>
              <w:left w:val="nil"/>
              <w:bottom w:val="nil"/>
              <w:right w:val="nil"/>
            </w:tcBorders>
            <w:vAlign w:val="center"/>
            <w:hideMark/>
          </w:tcPr>
          <w:p w14:paraId="4AEAF682"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val="en-GB" w:eastAsia="zh-CN"/>
              </w:rPr>
              <w:t>0.010*</w:t>
            </w:r>
          </w:p>
        </w:tc>
        <w:tc>
          <w:tcPr>
            <w:tcW w:w="1291" w:type="dxa"/>
            <w:tcBorders>
              <w:top w:val="nil"/>
              <w:left w:val="nil"/>
              <w:bottom w:val="nil"/>
              <w:right w:val="nil"/>
            </w:tcBorders>
            <w:vAlign w:val="center"/>
            <w:hideMark/>
          </w:tcPr>
          <w:p w14:paraId="32FFC367"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0.427</w:t>
            </w:r>
          </w:p>
        </w:tc>
        <w:tc>
          <w:tcPr>
            <w:tcW w:w="1190" w:type="dxa"/>
            <w:tcBorders>
              <w:top w:val="nil"/>
              <w:left w:val="nil"/>
              <w:bottom w:val="nil"/>
              <w:right w:val="nil"/>
            </w:tcBorders>
            <w:vAlign w:val="center"/>
            <w:hideMark/>
          </w:tcPr>
          <w:p w14:paraId="18F808A8"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val="en-GB" w:eastAsia="zh-CN"/>
              </w:rPr>
              <w:t>0.009*</w:t>
            </w:r>
          </w:p>
        </w:tc>
        <w:tc>
          <w:tcPr>
            <w:tcW w:w="1190" w:type="dxa"/>
            <w:tcBorders>
              <w:top w:val="nil"/>
              <w:left w:val="nil"/>
              <w:bottom w:val="nil"/>
              <w:right w:val="nil"/>
            </w:tcBorders>
            <w:vAlign w:val="center"/>
            <w:hideMark/>
          </w:tcPr>
          <w:p w14:paraId="7E70DE6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0.106</w:t>
            </w:r>
          </w:p>
        </w:tc>
        <w:tc>
          <w:tcPr>
            <w:tcW w:w="1190" w:type="dxa"/>
            <w:tcBorders>
              <w:top w:val="nil"/>
              <w:left w:val="nil"/>
              <w:bottom w:val="nil"/>
              <w:right w:val="nil"/>
            </w:tcBorders>
            <w:vAlign w:val="center"/>
            <w:hideMark/>
          </w:tcPr>
          <w:p w14:paraId="4B104F2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w:t>
            </w:r>
          </w:p>
        </w:tc>
        <w:tc>
          <w:tcPr>
            <w:tcW w:w="1190" w:type="dxa"/>
            <w:tcBorders>
              <w:top w:val="nil"/>
              <w:left w:val="nil"/>
              <w:bottom w:val="nil"/>
              <w:right w:val="nil"/>
            </w:tcBorders>
            <w:vAlign w:val="center"/>
            <w:hideMark/>
          </w:tcPr>
          <w:p w14:paraId="4BB8BD2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0.192</w:t>
            </w:r>
          </w:p>
        </w:tc>
      </w:tr>
      <w:tr w:rsidR="00FB01D8" w:rsidRPr="00FB01D8" w14:paraId="796BE10D" w14:textId="77777777" w:rsidTr="00FB01D8">
        <w:trPr>
          <w:trHeight w:val="185"/>
          <w:jc w:val="right"/>
        </w:trPr>
        <w:tc>
          <w:tcPr>
            <w:tcW w:w="2340" w:type="dxa"/>
            <w:tcBorders>
              <w:top w:val="nil"/>
              <w:left w:val="nil"/>
              <w:bottom w:val="nil"/>
              <w:right w:val="nil"/>
            </w:tcBorders>
            <w:vAlign w:val="center"/>
          </w:tcPr>
          <w:p w14:paraId="2856CA5C"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461" w:type="dxa"/>
            <w:tcBorders>
              <w:top w:val="nil"/>
              <w:left w:val="nil"/>
              <w:bottom w:val="nil"/>
              <w:right w:val="nil"/>
            </w:tcBorders>
            <w:vAlign w:val="center"/>
          </w:tcPr>
          <w:p w14:paraId="249DFE72"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p>
        </w:tc>
        <w:tc>
          <w:tcPr>
            <w:tcW w:w="1087" w:type="dxa"/>
            <w:tcBorders>
              <w:top w:val="nil"/>
              <w:left w:val="nil"/>
              <w:bottom w:val="nil"/>
              <w:right w:val="nil"/>
            </w:tcBorders>
            <w:vAlign w:val="center"/>
          </w:tcPr>
          <w:p w14:paraId="5C3718C7"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75" w:type="dxa"/>
            <w:tcBorders>
              <w:top w:val="nil"/>
              <w:left w:val="nil"/>
              <w:bottom w:val="nil"/>
              <w:right w:val="nil"/>
            </w:tcBorders>
            <w:vAlign w:val="center"/>
          </w:tcPr>
          <w:p w14:paraId="48BE816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048" w:type="dxa"/>
            <w:tcBorders>
              <w:top w:val="nil"/>
              <w:left w:val="nil"/>
              <w:bottom w:val="nil"/>
              <w:right w:val="nil"/>
            </w:tcBorders>
            <w:vAlign w:val="center"/>
          </w:tcPr>
          <w:p w14:paraId="4F782B7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502800D1"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291" w:type="dxa"/>
            <w:tcBorders>
              <w:top w:val="nil"/>
              <w:left w:val="nil"/>
              <w:bottom w:val="nil"/>
              <w:right w:val="nil"/>
            </w:tcBorders>
            <w:vAlign w:val="center"/>
          </w:tcPr>
          <w:p w14:paraId="29B43F8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02F6ADBD"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4C73D0E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1221EBF7"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c>
          <w:tcPr>
            <w:tcW w:w="1190" w:type="dxa"/>
            <w:tcBorders>
              <w:top w:val="nil"/>
              <w:left w:val="nil"/>
              <w:bottom w:val="nil"/>
              <w:right w:val="nil"/>
            </w:tcBorders>
            <w:vAlign w:val="center"/>
          </w:tcPr>
          <w:p w14:paraId="3A661622"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val="en-GB" w:eastAsia="zh-CN"/>
              </w:rPr>
            </w:pPr>
          </w:p>
        </w:tc>
      </w:tr>
      <w:tr w:rsidR="00FB01D8" w:rsidRPr="00FB01D8" w14:paraId="01D1F10B" w14:textId="77777777" w:rsidTr="00FB01D8">
        <w:trPr>
          <w:trHeight w:val="185"/>
          <w:jc w:val="right"/>
        </w:trPr>
        <w:tc>
          <w:tcPr>
            <w:tcW w:w="2340" w:type="dxa"/>
            <w:vMerge w:val="restart"/>
            <w:tcBorders>
              <w:top w:val="nil"/>
              <w:left w:val="nil"/>
              <w:bottom w:val="single" w:sz="4" w:space="0" w:color="auto"/>
              <w:right w:val="nil"/>
            </w:tcBorders>
            <w:vAlign w:val="center"/>
            <w:hideMark/>
          </w:tcPr>
          <w:p w14:paraId="3AA5B399"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Bicarbonate</w:t>
            </w:r>
          </w:p>
          <w:p w14:paraId="01E7C270"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(mmol/L)</w:t>
            </w:r>
          </w:p>
        </w:tc>
        <w:tc>
          <w:tcPr>
            <w:tcW w:w="461" w:type="dxa"/>
            <w:tcBorders>
              <w:top w:val="nil"/>
              <w:left w:val="nil"/>
              <w:bottom w:val="nil"/>
              <w:right w:val="nil"/>
            </w:tcBorders>
            <w:vAlign w:val="center"/>
            <w:hideMark/>
          </w:tcPr>
          <w:p w14:paraId="331AEB99"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r</w:t>
            </w:r>
          </w:p>
        </w:tc>
        <w:tc>
          <w:tcPr>
            <w:tcW w:w="1087" w:type="dxa"/>
            <w:tcBorders>
              <w:top w:val="nil"/>
              <w:left w:val="nil"/>
              <w:bottom w:val="nil"/>
              <w:right w:val="nil"/>
            </w:tcBorders>
            <w:vAlign w:val="center"/>
            <w:hideMark/>
          </w:tcPr>
          <w:p w14:paraId="2ACD2D2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0.199</w:t>
            </w:r>
          </w:p>
        </w:tc>
        <w:tc>
          <w:tcPr>
            <w:tcW w:w="1075" w:type="dxa"/>
            <w:tcBorders>
              <w:top w:val="nil"/>
              <w:left w:val="nil"/>
              <w:bottom w:val="nil"/>
              <w:right w:val="nil"/>
            </w:tcBorders>
            <w:vAlign w:val="center"/>
            <w:hideMark/>
          </w:tcPr>
          <w:p w14:paraId="1C4A9A4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0.113</w:t>
            </w:r>
          </w:p>
        </w:tc>
        <w:tc>
          <w:tcPr>
            <w:tcW w:w="1048" w:type="dxa"/>
            <w:tcBorders>
              <w:top w:val="nil"/>
              <w:left w:val="nil"/>
              <w:bottom w:val="nil"/>
              <w:right w:val="nil"/>
            </w:tcBorders>
            <w:vAlign w:val="center"/>
            <w:hideMark/>
          </w:tcPr>
          <w:p w14:paraId="750D2620"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0.128</w:t>
            </w:r>
          </w:p>
        </w:tc>
        <w:tc>
          <w:tcPr>
            <w:tcW w:w="1190" w:type="dxa"/>
            <w:tcBorders>
              <w:top w:val="nil"/>
              <w:left w:val="nil"/>
              <w:bottom w:val="nil"/>
              <w:right w:val="nil"/>
            </w:tcBorders>
            <w:vAlign w:val="center"/>
            <w:hideMark/>
          </w:tcPr>
          <w:p w14:paraId="147C8A6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-0.057</w:t>
            </w:r>
          </w:p>
        </w:tc>
        <w:tc>
          <w:tcPr>
            <w:tcW w:w="1291" w:type="dxa"/>
            <w:tcBorders>
              <w:top w:val="nil"/>
              <w:left w:val="nil"/>
              <w:bottom w:val="nil"/>
              <w:right w:val="nil"/>
            </w:tcBorders>
            <w:vAlign w:val="center"/>
            <w:hideMark/>
          </w:tcPr>
          <w:p w14:paraId="08D6066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0.555</w:t>
            </w:r>
          </w:p>
        </w:tc>
        <w:tc>
          <w:tcPr>
            <w:tcW w:w="1190" w:type="dxa"/>
            <w:tcBorders>
              <w:top w:val="nil"/>
              <w:left w:val="nil"/>
              <w:bottom w:val="nil"/>
              <w:right w:val="nil"/>
            </w:tcBorders>
            <w:vAlign w:val="center"/>
            <w:hideMark/>
          </w:tcPr>
          <w:p w14:paraId="15C082B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-0.207</w:t>
            </w:r>
          </w:p>
        </w:tc>
        <w:tc>
          <w:tcPr>
            <w:tcW w:w="1190" w:type="dxa"/>
            <w:tcBorders>
              <w:top w:val="nil"/>
              <w:left w:val="nil"/>
              <w:bottom w:val="nil"/>
              <w:right w:val="nil"/>
            </w:tcBorders>
            <w:vAlign w:val="center"/>
            <w:hideMark/>
          </w:tcPr>
          <w:p w14:paraId="1563BCDD"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-0.03</w:t>
            </w:r>
          </w:p>
        </w:tc>
        <w:tc>
          <w:tcPr>
            <w:tcW w:w="1190" w:type="dxa"/>
            <w:tcBorders>
              <w:top w:val="nil"/>
              <w:left w:val="nil"/>
              <w:bottom w:val="nil"/>
              <w:right w:val="nil"/>
            </w:tcBorders>
            <w:vAlign w:val="center"/>
            <w:hideMark/>
          </w:tcPr>
          <w:p w14:paraId="2E5132F8"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0.157</w:t>
            </w:r>
          </w:p>
        </w:tc>
        <w:tc>
          <w:tcPr>
            <w:tcW w:w="1190" w:type="dxa"/>
            <w:tcBorders>
              <w:top w:val="nil"/>
              <w:left w:val="nil"/>
              <w:bottom w:val="nil"/>
              <w:right w:val="nil"/>
            </w:tcBorders>
            <w:vAlign w:val="center"/>
            <w:hideMark/>
          </w:tcPr>
          <w:p w14:paraId="7C1D0EE9"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1</w:t>
            </w:r>
          </w:p>
        </w:tc>
      </w:tr>
      <w:tr w:rsidR="00FB01D8" w:rsidRPr="00FB01D8" w14:paraId="40476A83" w14:textId="77777777" w:rsidTr="00FB01D8">
        <w:trPr>
          <w:trHeight w:val="185"/>
          <w:jc w:val="right"/>
        </w:trPr>
        <w:tc>
          <w:tcPr>
            <w:tcW w:w="0" w:type="auto"/>
            <w:vMerge/>
            <w:tcBorders>
              <w:top w:val="nil"/>
              <w:left w:val="nil"/>
              <w:bottom w:val="single" w:sz="4" w:space="0" w:color="auto"/>
              <w:right w:val="nil"/>
            </w:tcBorders>
            <w:vAlign w:val="center"/>
            <w:hideMark/>
          </w:tcPr>
          <w:p w14:paraId="6E18D1CA" w14:textId="77777777" w:rsidR="00FB01D8" w:rsidRPr="00FB01D8" w:rsidRDefault="00FB01D8" w:rsidP="00FB01D8">
            <w:pPr>
              <w:spacing w:after="0" w:line="240" w:lineRule="auto"/>
              <w:rPr>
                <w:rFonts w:ascii="Times New Roman" w:eastAsia="Times New Roman" w:hAnsi="Times New Roman" w:cs="Times New Roman"/>
                <w:b/>
                <w:bCs/>
                <w:color w:val="000000"/>
                <w:sz w:val="20"/>
                <w:szCs w:val="20"/>
                <w:lang w:eastAsia="zh-CN"/>
              </w:rPr>
            </w:pPr>
          </w:p>
        </w:tc>
        <w:tc>
          <w:tcPr>
            <w:tcW w:w="461" w:type="dxa"/>
            <w:tcBorders>
              <w:top w:val="nil"/>
              <w:left w:val="nil"/>
              <w:bottom w:val="single" w:sz="4" w:space="0" w:color="auto"/>
              <w:right w:val="nil"/>
            </w:tcBorders>
            <w:vAlign w:val="center"/>
            <w:hideMark/>
          </w:tcPr>
          <w:p w14:paraId="49352553"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p</w:t>
            </w:r>
          </w:p>
        </w:tc>
        <w:tc>
          <w:tcPr>
            <w:tcW w:w="1087" w:type="dxa"/>
            <w:tcBorders>
              <w:top w:val="nil"/>
              <w:left w:val="nil"/>
              <w:bottom w:val="single" w:sz="4" w:space="0" w:color="auto"/>
              <w:right w:val="nil"/>
            </w:tcBorders>
            <w:vAlign w:val="center"/>
            <w:hideMark/>
          </w:tcPr>
          <w:p w14:paraId="16E5C423"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0.097</w:t>
            </w:r>
          </w:p>
        </w:tc>
        <w:tc>
          <w:tcPr>
            <w:tcW w:w="1075" w:type="dxa"/>
            <w:tcBorders>
              <w:top w:val="nil"/>
              <w:left w:val="nil"/>
              <w:bottom w:val="single" w:sz="4" w:space="0" w:color="auto"/>
              <w:right w:val="nil"/>
            </w:tcBorders>
            <w:vAlign w:val="center"/>
            <w:hideMark/>
          </w:tcPr>
          <w:p w14:paraId="07A2242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0.349</w:t>
            </w:r>
          </w:p>
        </w:tc>
        <w:tc>
          <w:tcPr>
            <w:tcW w:w="1048" w:type="dxa"/>
            <w:tcBorders>
              <w:top w:val="nil"/>
              <w:left w:val="nil"/>
              <w:bottom w:val="single" w:sz="4" w:space="0" w:color="auto"/>
              <w:right w:val="nil"/>
            </w:tcBorders>
            <w:vAlign w:val="center"/>
            <w:hideMark/>
          </w:tcPr>
          <w:p w14:paraId="72525AF6"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0.29</w:t>
            </w:r>
          </w:p>
        </w:tc>
        <w:tc>
          <w:tcPr>
            <w:tcW w:w="1190" w:type="dxa"/>
            <w:tcBorders>
              <w:top w:val="nil"/>
              <w:left w:val="nil"/>
              <w:bottom w:val="single" w:sz="4" w:space="0" w:color="auto"/>
              <w:right w:val="nil"/>
            </w:tcBorders>
            <w:vAlign w:val="center"/>
            <w:hideMark/>
          </w:tcPr>
          <w:p w14:paraId="5C788B4C"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0.634</w:t>
            </w:r>
          </w:p>
        </w:tc>
        <w:tc>
          <w:tcPr>
            <w:tcW w:w="1291" w:type="dxa"/>
            <w:tcBorders>
              <w:top w:val="nil"/>
              <w:left w:val="nil"/>
              <w:bottom w:val="single" w:sz="4" w:space="0" w:color="auto"/>
              <w:right w:val="nil"/>
            </w:tcBorders>
            <w:vAlign w:val="center"/>
            <w:hideMark/>
          </w:tcPr>
          <w:p w14:paraId="1784CD3C" w14:textId="77777777" w:rsidR="00FB01D8" w:rsidRPr="00FB01D8" w:rsidRDefault="00FB01D8" w:rsidP="00FB01D8">
            <w:pPr>
              <w:spacing w:after="0" w:line="240" w:lineRule="auto"/>
              <w:jc w:val="both"/>
              <w:rPr>
                <w:rFonts w:ascii="Times New Roman" w:eastAsia="Times New Roman" w:hAnsi="Times New Roman" w:cs="Times New Roman"/>
                <w:b/>
                <w:bCs/>
                <w:color w:val="000000"/>
                <w:sz w:val="20"/>
                <w:szCs w:val="20"/>
                <w:lang w:eastAsia="zh-CN"/>
              </w:rPr>
            </w:pPr>
            <w:r w:rsidRPr="00FB01D8">
              <w:rPr>
                <w:rFonts w:ascii="Times New Roman" w:eastAsia="Times New Roman" w:hAnsi="Times New Roman" w:cs="Times New Roman"/>
                <w:b/>
                <w:bCs/>
                <w:color w:val="000000"/>
                <w:sz w:val="20"/>
                <w:szCs w:val="20"/>
                <w:lang w:eastAsia="zh-CN"/>
              </w:rPr>
              <w:t>0.000*</w:t>
            </w:r>
          </w:p>
        </w:tc>
        <w:tc>
          <w:tcPr>
            <w:tcW w:w="1190" w:type="dxa"/>
            <w:tcBorders>
              <w:top w:val="nil"/>
              <w:left w:val="nil"/>
              <w:bottom w:val="single" w:sz="4" w:space="0" w:color="auto"/>
              <w:right w:val="nil"/>
            </w:tcBorders>
            <w:vAlign w:val="center"/>
            <w:hideMark/>
          </w:tcPr>
          <w:p w14:paraId="5CC23C7B"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0.085</w:t>
            </w:r>
          </w:p>
        </w:tc>
        <w:tc>
          <w:tcPr>
            <w:tcW w:w="1190" w:type="dxa"/>
            <w:tcBorders>
              <w:top w:val="nil"/>
              <w:left w:val="nil"/>
              <w:bottom w:val="single" w:sz="4" w:space="0" w:color="auto"/>
              <w:right w:val="nil"/>
            </w:tcBorders>
            <w:vAlign w:val="center"/>
            <w:hideMark/>
          </w:tcPr>
          <w:p w14:paraId="229711AD"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0.799</w:t>
            </w:r>
          </w:p>
        </w:tc>
        <w:tc>
          <w:tcPr>
            <w:tcW w:w="1190" w:type="dxa"/>
            <w:tcBorders>
              <w:top w:val="nil"/>
              <w:left w:val="nil"/>
              <w:bottom w:val="single" w:sz="4" w:space="0" w:color="auto"/>
              <w:right w:val="nil"/>
            </w:tcBorders>
            <w:vAlign w:val="center"/>
            <w:hideMark/>
          </w:tcPr>
          <w:p w14:paraId="188DEF45"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0.192</w:t>
            </w:r>
          </w:p>
        </w:tc>
        <w:tc>
          <w:tcPr>
            <w:tcW w:w="1190" w:type="dxa"/>
            <w:tcBorders>
              <w:top w:val="nil"/>
              <w:left w:val="nil"/>
              <w:bottom w:val="single" w:sz="4" w:space="0" w:color="auto"/>
              <w:right w:val="nil"/>
            </w:tcBorders>
            <w:vAlign w:val="center"/>
            <w:hideMark/>
          </w:tcPr>
          <w:p w14:paraId="1820E03E" w14:textId="77777777" w:rsidR="00FB01D8" w:rsidRPr="00FB01D8" w:rsidRDefault="00FB01D8" w:rsidP="00FB01D8">
            <w:pPr>
              <w:spacing w:after="0" w:line="240" w:lineRule="auto"/>
              <w:jc w:val="both"/>
              <w:rPr>
                <w:rFonts w:ascii="Times New Roman" w:eastAsia="Times New Roman" w:hAnsi="Times New Roman" w:cs="Times New Roman"/>
                <w:color w:val="000000"/>
                <w:sz w:val="20"/>
                <w:szCs w:val="20"/>
                <w:lang w:eastAsia="zh-CN"/>
              </w:rPr>
            </w:pPr>
            <w:r w:rsidRPr="00FB01D8">
              <w:rPr>
                <w:rFonts w:ascii="Times New Roman" w:eastAsia="Times New Roman" w:hAnsi="Times New Roman" w:cs="Times New Roman"/>
                <w:color w:val="000000"/>
                <w:sz w:val="20"/>
                <w:szCs w:val="20"/>
                <w:lang w:val="en-GB" w:eastAsia="zh-CN"/>
              </w:rPr>
              <w:t>0</w:t>
            </w:r>
          </w:p>
        </w:tc>
      </w:tr>
    </w:tbl>
    <w:p w14:paraId="0ECE0214" w14:textId="77777777" w:rsidR="00FB01D8" w:rsidRPr="00FB01D8" w:rsidRDefault="00FB01D8" w:rsidP="00FB01D8">
      <w:pPr>
        <w:spacing w:after="0" w:line="360" w:lineRule="auto"/>
        <w:jc w:val="both"/>
        <w:rPr>
          <w:rFonts w:ascii="Times New Roman" w:eastAsia="DengXian" w:hAnsi="Times New Roman" w:cs="Times New Roman"/>
          <w:b/>
          <w:bCs/>
          <w:sz w:val="24"/>
          <w:szCs w:val="24"/>
          <w:lang w:eastAsia="zh-CN"/>
        </w:rPr>
      </w:pPr>
      <w:r w:rsidRPr="00FB01D8">
        <w:rPr>
          <w:rFonts w:ascii="Times New Roman" w:eastAsia="DengXian" w:hAnsi="Times New Roman" w:cs="Times New Roman"/>
          <w:b/>
          <w:bCs/>
          <w:sz w:val="24"/>
          <w:szCs w:val="24"/>
          <w:lang w:eastAsia="zh-CN"/>
        </w:rPr>
        <w:t>N=70</w:t>
      </w:r>
      <w:r w:rsidRPr="00FB01D8">
        <w:rPr>
          <w:rFonts w:ascii="Times New Roman" w:eastAsia="DengXian" w:hAnsi="Times New Roman" w:cs="Times New Roman"/>
          <w:b/>
          <w:bCs/>
          <w:sz w:val="24"/>
          <w:szCs w:val="24"/>
          <w:lang w:eastAsia="zh-CN"/>
        </w:rPr>
        <w:tab/>
      </w:r>
      <w:r w:rsidRPr="00FB01D8">
        <w:rPr>
          <w:rFonts w:ascii="Times New Roman" w:eastAsia="DengXian" w:hAnsi="Times New Roman" w:cs="Times New Roman"/>
          <w:b/>
          <w:bCs/>
          <w:sz w:val="24"/>
          <w:szCs w:val="24"/>
          <w:lang w:eastAsia="zh-CN"/>
        </w:rPr>
        <w:tab/>
      </w:r>
      <w:r w:rsidRPr="00FB01D8">
        <w:rPr>
          <w:rFonts w:ascii="Times New Roman" w:eastAsia="DengXian" w:hAnsi="Times New Roman" w:cs="Times New Roman"/>
          <w:b/>
          <w:bCs/>
          <w:sz w:val="24"/>
          <w:szCs w:val="24"/>
          <w:lang w:eastAsia="zh-CN"/>
        </w:rPr>
        <w:tab/>
      </w:r>
      <w:r w:rsidRPr="00FB01D8">
        <w:rPr>
          <w:rFonts w:ascii="Times New Roman" w:eastAsia="DengXian" w:hAnsi="Times New Roman" w:cs="Times New Roman"/>
          <w:b/>
          <w:bCs/>
          <w:sz w:val="24"/>
          <w:szCs w:val="24"/>
          <w:lang w:eastAsia="zh-CN"/>
        </w:rPr>
        <w:tab/>
        <w:t>* represents statistical significance at p&lt;0.05</w:t>
      </w:r>
    </w:p>
    <w:p w14:paraId="555D57A7" w14:textId="1C449522" w:rsidR="00FB01D8" w:rsidRDefault="00FB01D8" w:rsidP="00FB01D8">
      <w:pPr>
        <w:spacing w:after="0" w:line="360" w:lineRule="auto"/>
        <w:rPr>
          <w:rFonts w:ascii="Times New Roman" w:eastAsia="DengXian" w:hAnsi="Times New Roman" w:cs="Times New Roman"/>
          <w:b/>
          <w:bCs/>
          <w:sz w:val="24"/>
          <w:szCs w:val="24"/>
          <w:lang w:eastAsia="zh-CN"/>
        </w:rPr>
      </w:pPr>
    </w:p>
    <w:p w14:paraId="10326E9E" w14:textId="3D590C95" w:rsidR="00350F2E" w:rsidRPr="00FB01D8" w:rsidRDefault="00350F2E" w:rsidP="00FB01D8">
      <w:pPr>
        <w:spacing w:after="0" w:line="360" w:lineRule="auto"/>
        <w:rPr>
          <w:rFonts w:ascii="Times New Roman" w:eastAsia="DengXian" w:hAnsi="Times New Roman" w:cs="Times New Roman"/>
          <w:sz w:val="24"/>
          <w:szCs w:val="24"/>
          <w:lang w:eastAsia="zh-CN"/>
        </w:rPr>
        <w:sectPr w:rsidR="00350F2E" w:rsidRPr="00FB01D8" w:rsidSect="00350F2E">
          <w:pgSz w:w="15840" w:h="12240" w:orient="landscape"/>
          <w:pgMar w:top="1080" w:right="1440" w:bottom="1980" w:left="1728" w:header="720" w:footer="720" w:gutter="0"/>
          <w:cols w:space="720"/>
        </w:sectPr>
      </w:pPr>
      <w:r w:rsidRPr="00350F2E">
        <w:rPr>
          <w:rFonts w:ascii="Times New Roman" w:eastAsia="DengXian" w:hAnsi="Times New Roman" w:cs="Times New Roman"/>
          <w:sz w:val="24"/>
          <w:szCs w:val="24"/>
          <w:lang w:eastAsia="zh-CN"/>
        </w:rPr>
        <w:t>Table 5 illustrates the correlations between biomarkers and clinical variables, including traditional kidney function markers. Significant correlations are observed between KIM-1, Cystatin C, microalbuminuria, and markers such as creatinine, indicating their relevance in assessing kidney function in diabetic patients.</w:t>
      </w:r>
    </w:p>
    <w:p w14:paraId="7659E9CC" w14:textId="77777777" w:rsidR="00A90700" w:rsidRPr="00A90700" w:rsidRDefault="00A90700" w:rsidP="00E4383E">
      <w:pPr>
        <w:spacing w:before="100" w:beforeAutospacing="1" w:after="100" w:afterAutospacing="1" w:line="240" w:lineRule="auto"/>
        <w:jc w:val="both"/>
        <w:rPr>
          <w:rFonts w:ascii="Times New Roman" w:eastAsia="Times New Roman" w:hAnsi="Times New Roman" w:cs="Times New Roman"/>
          <w:sz w:val="24"/>
          <w:szCs w:val="24"/>
        </w:rPr>
      </w:pPr>
      <w:r w:rsidRPr="00A90700">
        <w:rPr>
          <w:rFonts w:ascii="Times New Roman" w:eastAsia="Times New Roman" w:hAnsi="Times New Roman" w:cs="Times New Roman"/>
          <w:sz w:val="24"/>
          <w:szCs w:val="24"/>
        </w:rPr>
        <w:lastRenderedPageBreak/>
        <w:t>The current study investigated the influence of gender and age on novel and conventional biomarkers of diabetic nephrotoxicity within a Nigerian patient cohort, aiming to refine early detection strategies in this resource-limited setting.</w:t>
      </w:r>
    </w:p>
    <w:p w14:paraId="726B3210" w14:textId="77777777" w:rsidR="00A90700" w:rsidRPr="00A90700" w:rsidRDefault="00A90700" w:rsidP="00A90700">
      <w:pPr>
        <w:spacing w:before="100" w:beforeAutospacing="1" w:after="100" w:afterAutospacing="1" w:line="240" w:lineRule="auto"/>
        <w:jc w:val="both"/>
        <w:rPr>
          <w:rFonts w:ascii="Times New Roman" w:eastAsia="Times New Roman" w:hAnsi="Times New Roman" w:cs="Times New Roman"/>
          <w:sz w:val="24"/>
          <w:szCs w:val="24"/>
        </w:rPr>
      </w:pPr>
      <w:r w:rsidRPr="00A90700">
        <w:rPr>
          <w:rFonts w:ascii="Times New Roman" w:eastAsia="Times New Roman" w:hAnsi="Times New Roman" w:cs="Times New Roman"/>
          <w:sz w:val="24"/>
          <w:szCs w:val="24"/>
        </w:rPr>
        <w:t xml:space="preserve">The demographic analysis revealed a higher representation of females (57.14%) compared to males (42.86%) in the overall study population, a pattern consistent across both the diabetic and control groups. This observation aligns with established reports from Nigeria and other sub-Saharan African regions, often attributed to a higher proclivity for health-seeking behavior among women </w:t>
      </w:r>
      <w:commentRangeStart w:id="33"/>
      <w:r w:rsidRPr="00A90700">
        <w:rPr>
          <w:rFonts w:ascii="Times New Roman" w:eastAsia="Times New Roman" w:hAnsi="Times New Roman" w:cs="Times New Roman"/>
          <w:sz w:val="24"/>
          <w:szCs w:val="24"/>
        </w:rPr>
        <w:t>[</w:t>
      </w:r>
      <w:proofErr w:type="spellStart"/>
      <w:r w:rsidRPr="00A90700">
        <w:rPr>
          <w:rFonts w:ascii="Times New Roman" w:eastAsia="Times New Roman" w:hAnsi="Times New Roman" w:cs="Times New Roman"/>
          <w:sz w:val="24"/>
          <w:szCs w:val="24"/>
        </w:rPr>
        <w:t>Azevedo</w:t>
      </w:r>
      <w:proofErr w:type="spellEnd"/>
      <w:r w:rsidRPr="00A90700">
        <w:rPr>
          <w:rFonts w:ascii="Times New Roman" w:eastAsia="Times New Roman" w:hAnsi="Times New Roman" w:cs="Times New Roman"/>
          <w:sz w:val="24"/>
          <w:szCs w:val="24"/>
        </w:rPr>
        <w:t xml:space="preserve"> &amp; </w:t>
      </w:r>
      <w:proofErr w:type="spellStart"/>
      <w:r w:rsidRPr="00A90700">
        <w:rPr>
          <w:rFonts w:ascii="Times New Roman" w:eastAsia="Times New Roman" w:hAnsi="Times New Roman" w:cs="Times New Roman"/>
          <w:sz w:val="24"/>
          <w:szCs w:val="24"/>
        </w:rPr>
        <w:t>Alla</w:t>
      </w:r>
      <w:proofErr w:type="spellEnd"/>
      <w:r w:rsidRPr="00A90700">
        <w:rPr>
          <w:rFonts w:ascii="Times New Roman" w:eastAsia="Times New Roman" w:hAnsi="Times New Roman" w:cs="Times New Roman"/>
          <w:sz w:val="24"/>
          <w:szCs w:val="24"/>
        </w:rPr>
        <w:t xml:space="preserve">, 2008; </w:t>
      </w:r>
      <w:proofErr w:type="spellStart"/>
      <w:r w:rsidRPr="00A90700">
        <w:rPr>
          <w:rFonts w:ascii="Times New Roman" w:eastAsia="Times New Roman" w:hAnsi="Times New Roman" w:cs="Times New Roman"/>
          <w:sz w:val="24"/>
          <w:szCs w:val="24"/>
        </w:rPr>
        <w:t>Ogurtsova</w:t>
      </w:r>
      <w:proofErr w:type="spellEnd"/>
      <w:r w:rsidRPr="00A90700">
        <w:rPr>
          <w:rFonts w:ascii="Times New Roman" w:eastAsia="Times New Roman" w:hAnsi="Times New Roman" w:cs="Times New Roman"/>
          <w:sz w:val="24"/>
          <w:szCs w:val="24"/>
        </w:rPr>
        <w:t xml:space="preserve"> et al., 2017; </w:t>
      </w:r>
      <w:proofErr w:type="spellStart"/>
      <w:r w:rsidRPr="00A90700">
        <w:rPr>
          <w:rFonts w:ascii="Times New Roman" w:eastAsia="Times New Roman" w:hAnsi="Times New Roman" w:cs="Times New Roman"/>
          <w:sz w:val="24"/>
          <w:szCs w:val="24"/>
        </w:rPr>
        <w:t>Uloko</w:t>
      </w:r>
      <w:proofErr w:type="spellEnd"/>
      <w:r w:rsidRPr="00A90700">
        <w:rPr>
          <w:rFonts w:ascii="Times New Roman" w:eastAsia="Times New Roman" w:hAnsi="Times New Roman" w:cs="Times New Roman"/>
          <w:sz w:val="24"/>
          <w:szCs w:val="24"/>
        </w:rPr>
        <w:t xml:space="preserve"> et al., 2018; World Health Organization, 2019]. </w:t>
      </w:r>
      <w:commentRangeEnd w:id="33"/>
      <w:r w:rsidR="005D2FE6">
        <w:rPr>
          <w:rStyle w:val="ab"/>
        </w:rPr>
        <w:commentReference w:id="33"/>
      </w:r>
      <w:r w:rsidRPr="00A90700">
        <w:rPr>
          <w:rFonts w:ascii="Times New Roman" w:eastAsia="Times New Roman" w:hAnsi="Times New Roman" w:cs="Times New Roman"/>
          <w:sz w:val="24"/>
          <w:szCs w:val="24"/>
        </w:rPr>
        <w:t>Furthermore, the majority of participants were concentrated in the middle-aged to older adult categories (46–55 years at 33.57% and 56–65 years at 30.71%). This demographic profile is characteristic of Type 2 Diabetes Mellitus epidemiology, where the prevalence increases with advancing age due to the progressive onset of insulin resistance and β-cell dysfunction [American Diabetes Association, 2022].</w:t>
      </w:r>
    </w:p>
    <w:p w14:paraId="156C92DD" w14:textId="77777777" w:rsidR="00A90700" w:rsidRPr="00A90700" w:rsidRDefault="00A90700" w:rsidP="00A90700">
      <w:pPr>
        <w:spacing w:before="100" w:beforeAutospacing="1" w:after="100" w:afterAutospacing="1" w:line="240" w:lineRule="auto"/>
        <w:jc w:val="both"/>
        <w:rPr>
          <w:rFonts w:ascii="Times New Roman" w:eastAsia="Times New Roman" w:hAnsi="Times New Roman" w:cs="Times New Roman"/>
          <w:sz w:val="24"/>
          <w:szCs w:val="24"/>
        </w:rPr>
      </w:pPr>
      <w:r w:rsidRPr="00A90700">
        <w:rPr>
          <w:rFonts w:ascii="Times New Roman" w:eastAsia="Times New Roman" w:hAnsi="Times New Roman" w:cs="Times New Roman"/>
          <w:sz w:val="24"/>
          <w:szCs w:val="24"/>
        </w:rPr>
        <w:t>Analysis of disease duration among diabetic participants showed that the largest subset (44.29%) had been diagnosed for 1–5 years, suggesting a considerable number of patients were in the early to intermediate stages of the disease course. A long duration of diabetes is a known primary risk factor for the development and progression of diabetic nephropathy, associated with increasing levels of renal damage biomarkers such as albuminuria, Cystatin C, and KIM-1 [</w:t>
      </w:r>
      <w:commentRangeStart w:id="34"/>
      <w:proofErr w:type="spellStart"/>
      <w:r w:rsidRPr="00A90700">
        <w:rPr>
          <w:rFonts w:ascii="Times New Roman" w:eastAsia="Times New Roman" w:hAnsi="Times New Roman" w:cs="Times New Roman"/>
          <w:sz w:val="24"/>
          <w:szCs w:val="24"/>
        </w:rPr>
        <w:t>Alicic</w:t>
      </w:r>
      <w:proofErr w:type="spellEnd"/>
      <w:r w:rsidRPr="00A90700">
        <w:rPr>
          <w:rFonts w:ascii="Times New Roman" w:eastAsia="Times New Roman" w:hAnsi="Times New Roman" w:cs="Times New Roman"/>
          <w:sz w:val="24"/>
          <w:szCs w:val="24"/>
        </w:rPr>
        <w:t xml:space="preserve"> et al., 2017; Gross et al., 2005; Thomas et al., 2015].</w:t>
      </w:r>
      <w:commentRangeEnd w:id="34"/>
      <w:r w:rsidR="005D2FE6">
        <w:rPr>
          <w:rStyle w:val="ab"/>
        </w:rPr>
        <w:commentReference w:id="34"/>
      </w:r>
    </w:p>
    <w:p w14:paraId="014AF64A" w14:textId="77777777" w:rsidR="00A90700" w:rsidRPr="00A90700" w:rsidRDefault="00A90700" w:rsidP="00A90700">
      <w:pPr>
        <w:spacing w:before="100" w:beforeAutospacing="1" w:after="100" w:afterAutospacing="1" w:line="240" w:lineRule="auto"/>
        <w:jc w:val="both"/>
        <w:rPr>
          <w:rFonts w:ascii="Times New Roman" w:eastAsia="Times New Roman" w:hAnsi="Times New Roman" w:cs="Times New Roman"/>
          <w:sz w:val="24"/>
          <w:szCs w:val="24"/>
        </w:rPr>
      </w:pPr>
      <w:r w:rsidRPr="00A90700">
        <w:rPr>
          <w:rFonts w:ascii="Times New Roman" w:eastAsia="Times New Roman" w:hAnsi="Times New Roman" w:cs="Times New Roman"/>
          <w:sz w:val="24"/>
          <w:szCs w:val="24"/>
        </w:rPr>
        <w:t>Crucially, the early injury biomarkers—KIM-1, Cystatin C, and microalbuminuria—were significantly elevated in both male and female diabetic participants compared to their non-diabetic controls (p&lt;0.0001). This finding robustly indicates the presence of early renal injury, which precedes overt declines in renal function, aligning with the growing body of evidence supporting the utility of these biomarkers in detecting subclinical damage [</w:t>
      </w:r>
      <w:commentRangeStart w:id="35"/>
      <w:proofErr w:type="spellStart"/>
      <w:r w:rsidRPr="00A90700">
        <w:rPr>
          <w:rFonts w:ascii="Times New Roman" w:eastAsia="Times New Roman" w:hAnsi="Times New Roman" w:cs="Times New Roman"/>
          <w:sz w:val="24"/>
          <w:szCs w:val="24"/>
        </w:rPr>
        <w:t>Alicic</w:t>
      </w:r>
      <w:proofErr w:type="spellEnd"/>
      <w:r w:rsidRPr="00A90700">
        <w:rPr>
          <w:rFonts w:ascii="Times New Roman" w:eastAsia="Times New Roman" w:hAnsi="Times New Roman" w:cs="Times New Roman"/>
          <w:sz w:val="24"/>
          <w:szCs w:val="24"/>
        </w:rPr>
        <w:t xml:space="preserve"> et al., 2017; Thomas et al., 2015; Vaidya et al., </w:t>
      </w:r>
      <w:commentRangeStart w:id="36"/>
      <w:r w:rsidRPr="00A90700">
        <w:rPr>
          <w:rFonts w:ascii="Times New Roman" w:eastAsia="Times New Roman" w:hAnsi="Times New Roman" w:cs="Times New Roman"/>
          <w:sz w:val="24"/>
          <w:szCs w:val="24"/>
        </w:rPr>
        <w:t>2010]</w:t>
      </w:r>
      <w:commentRangeEnd w:id="36"/>
      <w:r w:rsidR="0061240F">
        <w:rPr>
          <w:rStyle w:val="ab"/>
        </w:rPr>
        <w:commentReference w:id="36"/>
      </w:r>
      <w:r w:rsidRPr="00A90700">
        <w:rPr>
          <w:rFonts w:ascii="Times New Roman" w:eastAsia="Times New Roman" w:hAnsi="Times New Roman" w:cs="Times New Roman"/>
          <w:sz w:val="24"/>
          <w:szCs w:val="24"/>
        </w:rPr>
        <w:t>.</w:t>
      </w:r>
      <w:commentRangeEnd w:id="35"/>
      <w:r w:rsidR="005D2FE6">
        <w:rPr>
          <w:rStyle w:val="ab"/>
        </w:rPr>
        <w:commentReference w:id="35"/>
      </w:r>
    </w:p>
    <w:p w14:paraId="33D72BBB" w14:textId="77777777" w:rsidR="00A90700" w:rsidRPr="00A90700" w:rsidRDefault="00A90700" w:rsidP="00A90700">
      <w:pPr>
        <w:spacing w:before="100" w:beforeAutospacing="1" w:after="100" w:afterAutospacing="1" w:line="240" w:lineRule="auto"/>
        <w:jc w:val="both"/>
        <w:rPr>
          <w:rFonts w:ascii="Times New Roman" w:eastAsia="Times New Roman" w:hAnsi="Times New Roman" w:cs="Times New Roman"/>
          <w:sz w:val="24"/>
          <w:szCs w:val="24"/>
        </w:rPr>
      </w:pPr>
      <w:r w:rsidRPr="00A90700">
        <w:rPr>
          <w:rFonts w:ascii="Times New Roman" w:eastAsia="Times New Roman" w:hAnsi="Times New Roman" w:cs="Times New Roman"/>
          <w:sz w:val="24"/>
          <w:szCs w:val="24"/>
        </w:rPr>
        <w:t>The elevation of biomarkers demonstrated a significant age-dependent progression. KIM-1 levels exhibited significant increases in the diabetic test groups from 36–45 years upwards (p&lt;0.05), becoming markedly elevated in older adults (≥46 years). This pattern suggests cumulative tubular injury resulting from chronic hyperglycemia interacting with the age-related decline in renal reserve [</w:t>
      </w:r>
      <w:commentRangeStart w:id="37"/>
      <w:r w:rsidRPr="00A90700">
        <w:rPr>
          <w:rFonts w:ascii="Times New Roman" w:eastAsia="Times New Roman" w:hAnsi="Times New Roman" w:cs="Times New Roman"/>
          <w:sz w:val="24"/>
          <w:szCs w:val="24"/>
        </w:rPr>
        <w:t xml:space="preserve">Bonventre, 2014; Han et al., </w:t>
      </w:r>
      <w:commentRangeStart w:id="38"/>
      <w:r w:rsidRPr="00A90700">
        <w:rPr>
          <w:rFonts w:ascii="Times New Roman" w:eastAsia="Times New Roman" w:hAnsi="Times New Roman" w:cs="Times New Roman"/>
          <w:sz w:val="24"/>
          <w:szCs w:val="24"/>
        </w:rPr>
        <w:t>2018</w:t>
      </w:r>
      <w:commentRangeEnd w:id="38"/>
      <w:r w:rsidR="00216FB1">
        <w:rPr>
          <w:rStyle w:val="ab"/>
        </w:rPr>
        <w:commentReference w:id="38"/>
      </w:r>
      <w:r w:rsidRPr="00A90700">
        <w:rPr>
          <w:rFonts w:ascii="Times New Roman" w:eastAsia="Times New Roman" w:hAnsi="Times New Roman" w:cs="Times New Roman"/>
          <w:sz w:val="24"/>
          <w:szCs w:val="24"/>
        </w:rPr>
        <w:t>; Thomas et al., 2015</w:t>
      </w:r>
      <w:commentRangeEnd w:id="37"/>
      <w:r w:rsidR="005D2FE6">
        <w:rPr>
          <w:rStyle w:val="ab"/>
        </w:rPr>
        <w:commentReference w:id="37"/>
      </w:r>
      <w:r w:rsidRPr="00A90700">
        <w:rPr>
          <w:rFonts w:ascii="Times New Roman" w:eastAsia="Times New Roman" w:hAnsi="Times New Roman" w:cs="Times New Roman"/>
          <w:sz w:val="24"/>
          <w:szCs w:val="24"/>
        </w:rPr>
        <w:t xml:space="preserve">]. Similarly, Cystatin C showed age-dependent rises, reaching significance from the 36-year age category, which reinforces its recognized sensitivity over serum creatinine for detecting early glomerular filtration rate (GFR) decline, particularly in aging populations [Papale et al., 2013; </w:t>
      </w:r>
      <w:proofErr w:type="spellStart"/>
      <w:r w:rsidRPr="00A90700">
        <w:rPr>
          <w:rFonts w:ascii="Times New Roman" w:eastAsia="Times New Roman" w:hAnsi="Times New Roman" w:cs="Times New Roman"/>
          <w:sz w:val="24"/>
          <w:szCs w:val="24"/>
        </w:rPr>
        <w:t>Shlipak</w:t>
      </w:r>
      <w:proofErr w:type="spellEnd"/>
      <w:r w:rsidRPr="00A90700">
        <w:rPr>
          <w:rFonts w:ascii="Times New Roman" w:eastAsia="Times New Roman" w:hAnsi="Times New Roman" w:cs="Times New Roman"/>
          <w:sz w:val="24"/>
          <w:szCs w:val="24"/>
        </w:rPr>
        <w:t xml:space="preserve"> et al., 2013].</w:t>
      </w:r>
    </w:p>
    <w:p w14:paraId="60B57D46" w14:textId="77777777" w:rsidR="00A90700" w:rsidRPr="00A90700" w:rsidRDefault="00A90700" w:rsidP="00A90700">
      <w:pPr>
        <w:spacing w:before="100" w:beforeAutospacing="1" w:after="100" w:afterAutospacing="1" w:line="240" w:lineRule="auto"/>
        <w:jc w:val="both"/>
        <w:rPr>
          <w:rFonts w:ascii="Times New Roman" w:eastAsia="Times New Roman" w:hAnsi="Times New Roman" w:cs="Times New Roman"/>
          <w:sz w:val="24"/>
          <w:szCs w:val="24"/>
        </w:rPr>
      </w:pPr>
      <w:r w:rsidRPr="00A90700">
        <w:rPr>
          <w:rFonts w:ascii="Times New Roman" w:eastAsia="Times New Roman" w:hAnsi="Times New Roman" w:cs="Times New Roman"/>
          <w:sz w:val="24"/>
          <w:szCs w:val="24"/>
        </w:rPr>
        <w:t>Microalbuminuria, a well-established marker of glomerular damage, was significantly increased in the middle-aged groups (46–55 and 56–65 years), consistent with the understanding that albuminuria tends to increase with disease duration and age-related glomerular damage [</w:t>
      </w:r>
      <w:proofErr w:type="spellStart"/>
      <w:r w:rsidRPr="00A90700">
        <w:rPr>
          <w:rFonts w:ascii="Times New Roman" w:eastAsia="Times New Roman" w:hAnsi="Times New Roman" w:cs="Times New Roman"/>
          <w:sz w:val="24"/>
          <w:szCs w:val="24"/>
        </w:rPr>
        <w:t>Molitch</w:t>
      </w:r>
      <w:proofErr w:type="spellEnd"/>
      <w:r w:rsidRPr="00A90700">
        <w:rPr>
          <w:rFonts w:ascii="Times New Roman" w:eastAsia="Times New Roman" w:hAnsi="Times New Roman" w:cs="Times New Roman"/>
          <w:sz w:val="24"/>
          <w:szCs w:val="24"/>
        </w:rPr>
        <w:t xml:space="preserve"> et al., </w:t>
      </w:r>
      <w:commentRangeStart w:id="39"/>
      <w:r w:rsidRPr="00A90700">
        <w:rPr>
          <w:rFonts w:ascii="Times New Roman" w:eastAsia="Times New Roman" w:hAnsi="Times New Roman" w:cs="Times New Roman"/>
          <w:sz w:val="24"/>
          <w:szCs w:val="24"/>
        </w:rPr>
        <w:t>2015</w:t>
      </w:r>
      <w:commentRangeEnd w:id="39"/>
      <w:r w:rsidR="00216FB1">
        <w:rPr>
          <w:rStyle w:val="ab"/>
        </w:rPr>
        <w:commentReference w:id="39"/>
      </w:r>
      <w:r w:rsidRPr="00A90700">
        <w:rPr>
          <w:rFonts w:ascii="Times New Roman" w:eastAsia="Times New Roman" w:hAnsi="Times New Roman" w:cs="Times New Roman"/>
          <w:sz w:val="24"/>
          <w:szCs w:val="24"/>
        </w:rPr>
        <w:t>]. The relative absence of significance in younger adults (26–45 years) may reflect that microalbuminuria typically manifests later in the progression of diabetic nephropathy compared to tubular markers [Tuttle et al., 2014].</w:t>
      </w:r>
    </w:p>
    <w:p w14:paraId="2D93D1B1" w14:textId="77777777" w:rsidR="00A90700" w:rsidRPr="00A90700" w:rsidRDefault="00A90700" w:rsidP="00A90700">
      <w:pPr>
        <w:spacing w:before="100" w:beforeAutospacing="1" w:after="100" w:afterAutospacing="1" w:line="240" w:lineRule="auto"/>
        <w:jc w:val="both"/>
        <w:rPr>
          <w:rFonts w:ascii="Times New Roman" w:eastAsia="Times New Roman" w:hAnsi="Times New Roman" w:cs="Times New Roman"/>
          <w:sz w:val="24"/>
          <w:szCs w:val="24"/>
        </w:rPr>
      </w:pPr>
      <w:r w:rsidRPr="00A90700">
        <w:rPr>
          <w:rFonts w:ascii="Times New Roman" w:eastAsia="Times New Roman" w:hAnsi="Times New Roman" w:cs="Times New Roman"/>
          <w:sz w:val="24"/>
          <w:szCs w:val="24"/>
        </w:rPr>
        <w:lastRenderedPageBreak/>
        <w:t>Further analysis of gender differences indicated that diabetic males exhibited higher mean levels of KIM-1 and Cystatin C compared to diabetic females, suggesting a potentially greater burden of tubular and early filtration damage in the male cohort. Although microalbuminuria was elevated in both sexes, the overall prevalence was high, underscoring its consistency as an early indicator of damage across all diabetic subjects [</w:t>
      </w:r>
      <w:proofErr w:type="spellStart"/>
      <w:r w:rsidRPr="00A90700">
        <w:rPr>
          <w:rFonts w:ascii="Times New Roman" w:eastAsia="Times New Roman" w:hAnsi="Times New Roman" w:cs="Times New Roman"/>
          <w:sz w:val="24"/>
          <w:szCs w:val="24"/>
        </w:rPr>
        <w:t>Alicic</w:t>
      </w:r>
      <w:proofErr w:type="spellEnd"/>
      <w:r w:rsidRPr="00A90700">
        <w:rPr>
          <w:rFonts w:ascii="Times New Roman" w:eastAsia="Times New Roman" w:hAnsi="Times New Roman" w:cs="Times New Roman"/>
          <w:sz w:val="24"/>
          <w:szCs w:val="24"/>
        </w:rPr>
        <w:t xml:space="preserve"> et al., 2017].</w:t>
      </w:r>
    </w:p>
    <w:p w14:paraId="1AE03AA3" w14:textId="77777777" w:rsidR="00A90700" w:rsidRPr="00A90700" w:rsidRDefault="00A90700" w:rsidP="00A90700">
      <w:pPr>
        <w:spacing w:before="100" w:beforeAutospacing="1" w:after="100" w:afterAutospacing="1" w:line="240" w:lineRule="auto"/>
        <w:jc w:val="both"/>
        <w:rPr>
          <w:rFonts w:ascii="Times New Roman" w:eastAsia="Times New Roman" w:hAnsi="Times New Roman" w:cs="Times New Roman"/>
          <w:sz w:val="24"/>
          <w:szCs w:val="24"/>
        </w:rPr>
      </w:pPr>
      <w:r w:rsidRPr="00A90700">
        <w:rPr>
          <w:rFonts w:ascii="Times New Roman" w:eastAsia="Times New Roman" w:hAnsi="Times New Roman" w:cs="Times New Roman"/>
          <w:sz w:val="24"/>
          <w:szCs w:val="24"/>
        </w:rPr>
        <w:t>With regard to traditional renal parameters, eGFR was significantly lower in both diabetic sexes compared to controls, a feature of progressive diabetic nephropathy [American Diabetes Association, 2022]. However, the late-stage markers, urea and creatinine, showed only mild increases, becoming statistically significant primarily in the older diabetic groups (56–75 years) [Holman et al., 2017]. Electrolyte levels were largely unchanged, with isolated variances in sodium, potassium, and chloride in the 26–35 and 46–55 age groups. This stability suggested preserved tubular handling in the early to moderate disease stages [</w:t>
      </w:r>
      <w:commentRangeStart w:id="41"/>
      <w:r w:rsidRPr="00A90700">
        <w:rPr>
          <w:rFonts w:ascii="Times New Roman" w:eastAsia="Times New Roman" w:hAnsi="Times New Roman" w:cs="Times New Roman"/>
          <w:sz w:val="24"/>
          <w:szCs w:val="24"/>
        </w:rPr>
        <w:t>Musso et al., 2016; Tuttle et al., 2014].</w:t>
      </w:r>
      <w:commentRangeEnd w:id="41"/>
      <w:r w:rsidR="005D2FE6">
        <w:rPr>
          <w:rStyle w:val="ab"/>
        </w:rPr>
        <w:commentReference w:id="41"/>
      </w:r>
    </w:p>
    <w:p w14:paraId="27362FB2" w14:textId="77777777" w:rsidR="00A90700" w:rsidRPr="00A90700" w:rsidRDefault="00A90700" w:rsidP="00A90700">
      <w:pPr>
        <w:spacing w:before="100" w:beforeAutospacing="1" w:after="100" w:afterAutospacing="1" w:line="240" w:lineRule="auto"/>
        <w:jc w:val="both"/>
        <w:rPr>
          <w:rFonts w:ascii="Times New Roman" w:eastAsia="Times New Roman" w:hAnsi="Times New Roman" w:cs="Times New Roman"/>
          <w:sz w:val="24"/>
          <w:szCs w:val="24"/>
        </w:rPr>
      </w:pPr>
      <w:r w:rsidRPr="00A90700">
        <w:rPr>
          <w:rFonts w:ascii="Times New Roman" w:eastAsia="Times New Roman" w:hAnsi="Times New Roman" w:cs="Times New Roman"/>
          <w:sz w:val="24"/>
          <w:szCs w:val="24"/>
        </w:rPr>
        <w:t>The renal function decline was observed to be more pronounced after the age of 46, and males appeared to carry a higher initial burden of tubular damage (KIM-1 and Cystatin C). These findings underscore the necessity of moving beyond traditional screening and utilizing these sensitive biomarkers for targeted, early detection in high-risk demographic subgrou</w:t>
      </w:r>
      <w:commentRangeStart w:id="42"/>
      <w:r w:rsidRPr="00A90700">
        <w:rPr>
          <w:rFonts w:ascii="Times New Roman" w:eastAsia="Times New Roman" w:hAnsi="Times New Roman" w:cs="Times New Roman"/>
          <w:sz w:val="24"/>
          <w:szCs w:val="24"/>
        </w:rPr>
        <w:t>ps</w:t>
      </w:r>
      <w:commentRangeEnd w:id="42"/>
      <w:r w:rsidR="005D2FE6">
        <w:rPr>
          <w:rStyle w:val="ab"/>
        </w:rPr>
        <w:commentReference w:id="42"/>
      </w:r>
      <w:r w:rsidRPr="00A90700">
        <w:rPr>
          <w:rFonts w:ascii="Times New Roman" w:eastAsia="Times New Roman" w:hAnsi="Times New Roman" w:cs="Times New Roman"/>
          <w:sz w:val="24"/>
          <w:szCs w:val="24"/>
        </w:rPr>
        <w:t>.</w:t>
      </w:r>
    </w:p>
    <w:p w14:paraId="64D08725" w14:textId="77777777" w:rsidR="00A90700" w:rsidRPr="00A90700" w:rsidRDefault="00A90700" w:rsidP="00A90700">
      <w:pPr>
        <w:spacing w:before="100" w:beforeAutospacing="1" w:after="100" w:afterAutospacing="1" w:line="240" w:lineRule="auto"/>
        <w:jc w:val="both"/>
        <w:rPr>
          <w:rFonts w:ascii="Times New Roman" w:eastAsia="Times New Roman" w:hAnsi="Times New Roman" w:cs="Times New Roman"/>
          <w:sz w:val="24"/>
          <w:szCs w:val="24"/>
        </w:rPr>
      </w:pPr>
      <w:r w:rsidRPr="00A90700">
        <w:rPr>
          <w:rFonts w:ascii="Times New Roman" w:eastAsia="Times New Roman" w:hAnsi="Times New Roman" w:cs="Times New Roman"/>
          <w:sz w:val="24"/>
          <w:szCs w:val="24"/>
        </w:rPr>
        <w:t>The correlation analysis highlighted important relationships that confirm the clinical relevance of the new biomarkers. KIM-1 showed a significant positive correlation with serum creatinine (r=0.247, P=0.038), suggesting its role as an early indicator of tubular injury that precedes overt rises in creatinine [Zhang et al., 2020]. Furthermore, Cystatin C and KIM-1 correlated strongly (r=0.48), supporting the concept that both markers concurrently reflect early nephron damage [</w:t>
      </w:r>
      <w:proofErr w:type="spellStart"/>
      <w:r w:rsidRPr="00A90700">
        <w:rPr>
          <w:rFonts w:ascii="Times New Roman" w:eastAsia="Times New Roman" w:hAnsi="Times New Roman" w:cs="Times New Roman"/>
          <w:sz w:val="24"/>
          <w:szCs w:val="24"/>
        </w:rPr>
        <w:t>Okpechi</w:t>
      </w:r>
      <w:proofErr w:type="spellEnd"/>
      <w:r w:rsidRPr="00A90700">
        <w:rPr>
          <w:rFonts w:ascii="Times New Roman" w:eastAsia="Times New Roman" w:hAnsi="Times New Roman" w:cs="Times New Roman"/>
          <w:sz w:val="24"/>
          <w:szCs w:val="24"/>
        </w:rPr>
        <w:t xml:space="preserve"> et al., 2021]. Microalbuminuria also demonstrated a significant positive relationship with creatinine (r=0.238, P=0.047), reinforcing its combined utility as a glomerular marker alongside the new tubular injury markers [American Diabetes Association, 2023]. The strong association between creatinine and bicarbonate (r=0.555, P&lt;0.001) reflected the kidney’s role in buffering capacity, which is impaired in advanced dysfunction [Johnson et al., 2021]. Electrolyte correlations, including sodium–chloride (r=0.306, P=0.009), align with renal regulation of extracellular fluid balance [Guyton &amp; Hall, 2020].</w:t>
      </w:r>
    </w:p>
    <w:p w14:paraId="2BC9C4DE" w14:textId="5EF5E2AE" w:rsidR="00263220" w:rsidRPr="00A90700" w:rsidRDefault="00A90700" w:rsidP="0041280B">
      <w:pPr>
        <w:jc w:val="both"/>
        <w:rPr>
          <w:rFonts w:ascii="Times New Roman" w:hAnsi="Times New Roman" w:cs="Times New Roman"/>
          <w:b/>
          <w:bCs/>
          <w:sz w:val="24"/>
          <w:szCs w:val="24"/>
        </w:rPr>
      </w:pPr>
      <w:r w:rsidRPr="00A90700">
        <w:rPr>
          <w:rFonts w:ascii="Times New Roman" w:hAnsi="Times New Roman" w:cs="Times New Roman"/>
          <w:b/>
          <w:bCs/>
          <w:sz w:val="24"/>
          <w:szCs w:val="24"/>
        </w:rPr>
        <w:t>Conclusion</w:t>
      </w:r>
    </w:p>
    <w:p w14:paraId="4A9EFE81" w14:textId="6BEB5BEF" w:rsidR="00685819" w:rsidRPr="00685819" w:rsidRDefault="00685819" w:rsidP="00685819">
      <w:pPr>
        <w:jc w:val="both"/>
        <w:rPr>
          <w:rFonts w:ascii="Times New Roman" w:hAnsi="Times New Roman" w:cs="Times New Roman"/>
          <w:sz w:val="24"/>
          <w:szCs w:val="24"/>
        </w:rPr>
      </w:pPr>
      <w:r w:rsidRPr="00685819">
        <w:rPr>
          <w:rFonts w:ascii="Times New Roman" w:hAnsi="Times New Roman" w:cs="Times New Roman"/>
          <w:sz w:val="24"/>
          <w:szCs w:val="24"/>
        </w:rPr>
        <w:t>This study confirmed that gender and age significantly influence early diabetic nephrotoxicity biomarkers in the Nigerian cohort. All three markers (KIM-1, Cystatin C, and microalbuminuria) increased with advancing age, indicating heightened renal susceptibility in older diabetic patients. Males exhibited higher levels of KIM-1 and Cystatin C, suggesting a greater tubular damage burden, while microalbuminuria was consistently elevated across both genders. These results support integrating sensitive biomarkers into routine monitoring for earlier detection than traditional measures alone and advocate for targeted screening, particularly for older males.</w:t>
      </w:r>
    </w:p>
    <w:p w14:paraId="50967B4C" w14:textId="77777777" w:rsidR="00685819" w:rsidRPr="00685819" w:rsidRDefault="00685819" w:rsidP="00685819">
      <w:pPr>
        <w:jc w:val="both"/>
        <w:rPr>
          <w:rFonts w:ascii="Times New Roman" w:hAnsi="Times New Roman" w:cs="Times New Roman"/>
          <w:b/>
          <w:bCs/>
          <w:sz w:val="24"/>
          <w:szCs w:val="24"/>
        </w:rPr>
      </w:pPr>
      <w:r w:rsidRPr="00685819">
        <w:rPr>
          <w:rFonts w:ascii="Times New Roman" w:hAnsi="Times New Roman" w:cs="Times New Roman"/>
          <w:b/>
          <w:bCs/>
          <w:sz w:val="24"/>
          <w:szCs w:val="24"/>
        </w:rPr>
        <w:t>Limitations</w:t>
      </w:r>
    </w:p>
    <w:p w14:paraId="1A062579" w14:textId="3804E3AF" w:rsidR="00A90700" w:rsidRDefault="00685819" w:rsidP="00685819">
      <w:pPr>
        <w:jc w:val="both"/>
        <w:rPr>
          <w:rFonts w:ascii="Times New Roman" w:hAnsi="Times New Roman" w:cs="Times New Roman"/>
          <w:sz w:val="24"/>
          <w:szCs w:val="24"/>
        </w:rPr>
      </w:pPr>
      <w:r w:rsidRPr="00685819">
        <w:rPr>
          <w:rFonts w:ascii="Times New Roman" w:hAnsi="Times New Roman" w:cs="Times New Roman"/>
          <w:sz w:val="24"/>
          <w:szCs w:val="24"/>
        </w:rPr>
        <w:t xml:space="preserve">The primary limitations include the cross-sectional study design, which restricts causality determination and progression rate tracking. The single-center sample limits the generalizability </w:t>
      </w:r>
      <w:r w:rsidRPr="00685819">
        <w:rPr>
          <w:rFonts w:ascii="Times New Roman" w:hAnsi="Times New Roman" w:cs="Times New Roman"/>
          <w:sz w:val="24"/>
          <w:szCs w:val="24"/>
        </w:rPr>
        <w:lastRenderedPageBreak/>
        <w:t>of the findings to the broader Nigerian diabetic population and introduces potential selection bias related to healthcare access. Furthermore, sample size limitations existed within granular age and gender subgroup analyses, such as the mixed results observed in the oldest age category (66–75 years).</w:t>
      </w:r>
    </w:p>
    <w:p w14:paraId="7C6938C5" w14:textId="77777777" w:rsidR="00FC5FAD" w:rsidRPr="00FC5FAD" w:rsidRDefault="00FC5FAD" w:rsidP="00FC5FAD">
      <w:pPr>
        <w:jc w:val="both"/>
        <w:rPr>
          <w:rFonts w:ascii="Times New Roman" w:hAnsi="Times New Roman" w:cs="Times New Roman"/>
          <w:b/>
          <w:bCs/>
          <w:sz w:val="24"/>
          <w:szCs w:val="24"/>
        </w:rPr>
      </w:pPr>
      <w:r w:rsidRPr="00FC5FAD">
        <w:rPr>
          <w:rFonts w:ascii="Times New Roman" w:hAnsi="Times New Roman" w:cs="Times New Roman"/>
          <w:b/>
          <w:bCs/>
          <w:sz w:val="24"/>
          <w:szCs w:val="24"/>
        </w:rPr>
        <w:t>Recommendations</w:t>
      </w:r>
    </w:p>
    <w:p w14:paraId="424E4A51" w14:textId="6BB3CDCF" w:rsidR="00685819" w:rsidRDefault="00FC5FAD" w:rsidP="00FC5FAD">
      <w:pPr>
        <w:jc w:val="both"/>
        <w:rPr>
          <w:rFonts w:ascii="Times New Roman" w:hAnsi="Times New Roman" w:cs="Times New Roman"/>
          <w:sz w:val="24"/>
          <w:szCs w:val="24"/>
        </w:rPr>
      </w:pPr>
      <w:r w:rsidRPr="00FC5FAD">
        <w:rPr>
          <w:rFonts w:ascii="Times New Roman" w:hAnsi="Times New Roman" w:cs="Times New Roman"/>
          <w:sz w:val="24"/>
          <w:szCs w:val="24"/>
        </w:rPr>
        <w:t>Based on the study results, the following are recommended: Clinicians in the Niger Delta region should incorporate Kidney Injury Molecule-1 and Cystatin C into routine diabetic monitoring alongside microalbuminuria to enhance sensitivity for early damage detection. Targeted screening protocols should increase vigilance for early renal injury markers in older diabetic patients and males, given their higher risk profile. Future research must adopt prospective, longitudinal designs to validate these observed age- and gender-specific patterns. Finally, further research is essential to establish local, population-specific reference ranges for KIM-1 and Cystatin C to optimize their diagnostic specificity in sub-Saharan Africa.</w:t>
      </w:r>
    </w:p>
    <w:p w14:paraId="39A532F4" w14:textId="11A09EBF" w:rsidR="00685819" w:rsidRDefault="00685819" w:rsidP="0041280B">
      <w:pPr>
        <w:jc w:val="both"/>
        <w:rPr>
          <w:rFonts w:ascii="Times New Roman" w:hAnsi="Times New Roman" w:cs="Times New Roman"/>
          <w:sz w:val="24"/>
          <w:szCs w:val="24"/>
        </w:rPr>
      </w:pPr>
    </w:p>
    <w:p w14:paraId="59F6D2A3" w14:textId="400E32C2" w:rsidR="00685819" w:rsidRPr="00685819" w:rsidRDefault="00685819" w:rsidP="0041280B">
      <w:pPr>
        <w:jc w:val="both"/>
        <w:rPr>
          <w:rFonts w:ascii="Times New Roman" w:hAnsi="Times New Roman" w:cs="Times New Roman"/>
          <w:b/>
          <w:bCs/>
          <w:sz w:val="24"/>
          <w:szCs w:val="24"/>
        </w:rPr>
      </w:pPr>
      <w:r w:rsidRPr="00685819">
        <w:rPr>
          <w:rFonts w:ascii="Times New Roman" w:hAnsi="Times New Roman" w:cs="Times New Roman"/>
          <w:b/>
          <w:bCs/>
          <w:sz w:val="24"/>
          <w:szCs w:val="24"/>
        </w:rPr>
        <w:t>References</w:t>
      </w:r>
    </w:p>
    <w:p w14:paraId="2AEF3D7B" w14:textId="70721114" w:rsidR="00685819" w:rsidRPr="00E91CF6" w:rsidRDefault="00B859B6"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proofErr w:type="spellStart"/>
      <w:r w:rsidRPr="00E91CF6">
        <w:rPr>
          <w:rFonts w:ascii="Times New Roman" w:eastAsia="Times New Roman" w:hAnsi="Times New Roman" w:cs="Times New Roman"/>
          <w:sz w:val="24"/>
          <w:szCs w:val="24"/>
        </w:rPr>
        <w:t>Alicic</w:t>
      </w:r>
      <w:proofErr w:type="spellEnd"/>
      <w:r w:rsidRPr="00E91CF6">
        <w:rPr>
          <w:rFonts w:ascii="Times New Roman" w:eastAsia="Times New Roman" w:hAnsi="Times New Roman" w:cs="Times New Roman"/>
          <w:sz w:val="24"/>
          <w:szCs w:val="24"/>
        </w:rPr>
        <w:t>, R. Z., Rooney, M. T., &amp; Tuttle, K. R. (2017). Diabetic kidney disease: Challenges, progress, and possibilities. Clinical Journal of the American Society of Nephrology, 12(12), 2032–2045. https://doi.org/10.2215/CJN.11491116</w:t>
      </w:r>
    </w:p>
    <w:p w14:paraId="37165174" w14:textId="0B41FFEF" w:rsidR="00685819" w:rsidRPr="00E91CF6" w:rsidRDefault="00B859B6"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r w:rsidRPr="00E91CF6">
        <w:rPr>
          <w:rFonts w:ascii="Times New Roman" w:eastAsia="Times New Roman" w:hAnsi="Times New Roman" w:cs="Times New Roman"/>
          <w:sz w:val="24"/>
          <w:szCs w:val="24"/>
        </w:rPr>
        <w:t>American Diabetes Association. (2022). Standards of medical care in diabetes—2022. Diabetes Care, 45(Supplement 1), S1–S264. https://doi.org/10.2337/dc22-Sint</w:t>
      </w:r>
    </w:p>
    <w:p w14:paraId="6E3FAAB3" w14:textId="05217466" w:rsidR="00685819" w:rsidRPr="00E91CF6" w:rsidRDefault="0046004A"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r w:rsidRPr="00E91CF6">
        <w:rPr>
          <w:rFonts w:ascii="Times New Roman" w:eastAsia="Times New Roman" w:hAnsi="Times New Roman" w:cs="Times New Roman"/>
          <w:sz w:val="24"/>
          <w:szCs w:val="24"/>
        </w:rPr>
        <w:t>American Diabetes Association. (2023). Standards of Care in Diabetes—2023. Diabetes Care, 46(Supplement 1), S1–S291. https://doi.org/10.2337/dc23-SINT</w:t>
      </w:r>
    </w:p>
    <w:p w14:paraId="1B8493E2" w14:textId="77777777" w:rsidR="00685819" w:rsidRPr="00E91CF6" w:rsidRDefault="00685819" w:rsidP="00E91CF6">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E91CF6">
        <w:rPr>
          <w:rFonts w:ascii="Times New Roman" w:eastAsia="Times New Roman" w:hAnsi="Times New Roman" w:cs="Times New Roman"/>
          <w:sz w:val="24"/>
          <w:szCs w:val="24"/>
        </w:rPr>
        <w:t xml:space="preserve">Armstrong, W. G. </w:t>
      </w:r>
      <w:commentRangeStart w:id="43"/>
      <w:r w:rsidRPr="00E91CF6">
        <w:rPr>
          <w:rFonts w:ascii="Times New Roman" w:eastAsia="Times New Roman" w:hAnsi="Times New Roman" w:cs="Times New Roman"/>
          <w:sz w:val="24"/>
          <w:szCs w:val="24"/>
        </w:rPr>
        <w:t xml:space="preserve">(1927). </w:t>
      </w:r>
      <w:commentRangeEnd w:id="43"/>
      <w:r w:rsidR="00820F8F">
        <w:rPr>
          <w:rStyle w:val="ab"/>
        </w:rPr>
        <w:commentReference w:id="43"/>
      </w:r>
      <w:r w:rsidRPr="00E91CF6">
        <w:rPr>
          <w:rFonts w:ascii="Times New Roman" w:eastAsia="Times New Roman" w:hAnsi="Times New Roman" w:cs="Times New Roman"/>
          <w:sz w:val="24"/>
          <w:szCs w:val="24"/>
        </w:rPr>
        <w:t>A simplified method for the estimation of urea in blood and urine. Biochemical Journal, 21(3), 543–548.</w:t>
      </w:r>
    </w:p>
    <w:p w14:paraId="482A0C82" w14:textId="495D8A49" w:rsidR="00685819" w:rsidRPr="00E91CF6" w:rsidRDefault="002B6AE6"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r w:rsidRPr="00E91CF6">
        <w:rPr>
          <w:rFonts w:ascii="Times New Roman" w:eastAsia="Times New Roman" w:hAnsi="Times New Roman" w:cs="Times New Roman"/>
          <w:sz w:val="24"/>
          <w:szCs w:val="24"/>
        </w:rPr>
        <w:t xml:space="preserve">Azevedo, M., &amp; </w:t>
      </w:r>
      <w:proofErr w:type="spellStart"/>
      <w:r w:rsidRPr="00E91CF6">
        <w:rPr>
          <w:rFonts w:ascii="Times New Roman" w:eastAsia="Times New Roman" w:hAnsi="Times New Roman" w:cs="Times New Roman"/>
          <w:sz w:val="24"/>
          <w:szCs w:val="24"/>
        </w:rPr>
        <w:t>Alla</w:t>
      </w:r>
      <w:proofErr w:type="spellEnd"/>
      <w:r w:rsidRPr="00E91CF6">
        <w:rPr>
          <w:rFonts w:ascii="Times New Roman" w:eastAsia="Times New Roman" w:hAnsi="Times New Roman" w:cs="Times New Roman"/>
          <w:sz w:val="24"/>
          <w:szCs w:val="24"/>
        </w:rPr>
        <w:t>, S. (2008). Diabetes in Sub-Saharan Africa: Kenya, Mali, Mozambique, Nigeria, South Africa and Zambia. International Journal of Diabetes in Developing Countries, 28(4), 101–108. https://doi.org/10.4103/0973-3930.45268</w:t>
      </w:r>
    </w:p>
    <w:p w14:paraId="102EB50A" w14:textId="0621E334" w:rsidR="00685819" w:rsidRPr="00E91CF6" w:rsidRDefault="00046F09"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r w:rsidRPr="00E91CF6">
        <w:rPr>
          <w:rFonts w:ascii="Times New Roman" w:eastAsia="Times New Roman" w:hAnsi="Times New Roman" w:cs="Times New Roman"/>
          <w:sz w:val="24"/>
          <w:szCs w:val="24"/>
        </w:rPr>
        <w:t>Barham, D., &amp; Trinder, P. (</w:t>
      </w:r>
      <w:commentRangeStart w:id="44"/>
      <w:r w:rsidRPr="00E91CF6">
        <w:rPr>
          <w:rFonts w:ascii="Times New Roman" w:eastAsia="Times New Roman" w:hAnsi="Times New Roman" w:cs="Times New Roman"/>
          <w:sz w:val="24"/>
          <w:szCs w:val="24"/>
        </w:rPr>
        <w:t>1972</w:t>
      </w:r>
      <w:commentRangeEnd w:id="44"/>
      <w:r w:rsidR="00820F8F">
        <w:rPr>
          <w:rStyle w:val="ab"/>
        </w:rPr>
        <w:commentReference w:id="44"/>
      </w:r>
      <w:r w:rsidRPr="00E91CF6">
        <w:rPr>
          <w:rFonts w:ascii="Times New Roman" w:eastAsia="Times New Roman" w:hAnsi="Times New Roman" w:cs="Times New Roman"/>
          <w:sz w:val="24"/>
          <w:szCs w:val="24"/>
        </w:rPr>
        <w:t xml:space="preserve">). An improved </w:t>
      </w:r>
      <w:proofErr w:type="spellStart"/>
      <w:r w:rsidRPr="00E91CF6">
        <w:rPr>
          <w:rFonts w:ascii="Times New Roman" w:eastAsia="Times New Roman" w:hAnsi="Times New Roman" w:cs="Times New Roman"/>
          <w:sz w:val="24"/>
          <w:szCs w:val="24"/>
        </w:rPr>
        <w:t>colour</w:t>
      </w:r>
      <w:proofErr w:type="spellEnd"/>
      <w:r w:rsidRPr="00E91CF6">
        <w:rPr>
          <w:rFonts w:ascii="Times New Roman" w:eastAsia="Times New Roman" w:hAnsi="Times New Roman" w:cs="Times New Roman"/>
          <w:sz w:val="24"/>
          <w:szCs w:val="24"/>
        </w:rPr>
        <w:t xml:space="preserve"> reagent for the determination of blood glucose by the oxidase system. Analyst. https://doi.org/10.1039/AN9729700142</w:t>
      </w:r>
    </w:p>
    <w:p w14:paraId="6AE403FE" w14:textId="6CA9BA94" w:rsidR="00685819" w:rsidRPr="00E91CF6" w:rsidRDefault="00BB0C1C"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r w:rsidRPr="00E91CF6">
        <w:rPr>
          <w:rFonts w:ascii="Times New Roman" w:eastAsia="Times New Roman" w:hAnsi="Times New Roman" w:cs="Times New Roman"/>
          <w:sz w:val="24"/>
          <w:szCs w:val="24"/>
        </w:rPr>
        <w:t>Bonventre, J. V. (</w:t>
      </w:r>
      <w:commentRangeStart w:id="45"/>
      <w:r w:rsidRPr="00E91CF6">
        <w:rPr>
          <w:rFonts w:ascii="Times New Roman" w:eastAsia="Times New Roman" w:hAnsi="Times New Roman" w:cs="Times New Roman"/>
          <w:sz w:val="24"/>
          <w:szCs w:val="24"/>
        </w:rPr>
        <w:t>2009</w:t>
      </w:r>
      <w:commentRangeEnd w:id="45"/>
      <w:r w:rsidR="0061240F">
        <w:rPr>
          <w:rStyle w:val="ab"/>
        </w:rPr>
        <w:commentReference w:id="45"/>
      </w:r>
      <w:r w:rsidRPr="00E91CF6">
        <w:rPr>
          <w:rFonts w:ascii="Times New Roman" w:eastAsia="Times New Roman" w:hAnsi="Times New Roman" w:cs="Times New Roman"/>
          <w:sz w:val="24"/>
          <w:szCs w:val="24"/>
        </w:rPr>
        <w:t>). Kidney injury molecule-1 (KIM-1): a urinary biomarker and much more. Nephrology Dialysis Transplantation, 24(11), 3265–3268. https://doi.org/10.1093/ndt/gfp010</w:t>
      </w:r>
    </w:p>
    <w:p w14:paraId="487A0C6D" w14:textId="2BBFBCBF" w:rsidR="00685819" w:rsidRPr="00E91CF6" w:rsidRDefault="00691A74"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proofErr w:type="spellStart"/>
      <w:r w:rsidRPr="00E91CF6">
        <w:rPr>
          <w:rFonts w:ascii="Times New Roman" w:eastAsia="Times New Roman" w:hAnsi="Times New Roman" w:cs="Times New Roman"/>
          <w:sz w:val="24"/>
          <w:szCs w:val="24"/>
        </w:rPr>
        <w:t>Demographia</w:t>
      </w:r>
      <w:proofErr w:type="spellEnd"/>
      <w:r w:rsidRPr="00E91CF6">
        <w:rPr>
          <w:rFonts w:ascii="Times New Roman" w:eastAsia="Times New Roman" w:hAnsi="Times New Roman" w:cs="Times New Roman"/>
          <w:sz w:val="24"/>
          <w:szCs w:val="24"/>
        </w:rPr>
        <w:t xml:space="preserve">. (2016). </w:t>
      </w:r>
      <w:proofErr w:type="spellStart"/>
      <w:r w:rsidRPr="00E91CF6">
        <w:rPr>
          <w:rFonts w:ascii="Times New Roman" w:eastAsia="Times New Roman" w:hAnsi="Times New Roman" w:cs="Times New Roman"/>
          <w:sz w:val="24"/>
          <w:szCs w:val="24"/>
        </w:rPr>
        <w:t>Demographia</w:t>
      </w:r>
      <w:proofErr w:type="spellEnd"/>
      <w:r w:rsidRPr="00E91CF6">
        <w:rPr>
          <w:rFonts w:ascii="Times New Roman" w:eastAsia="Times New Roman" w:hAnsi="Times New Roman" w:cs="Times New Roman"/>
          <w:sz w:val="24"/>
          <w:szCs w:val="24"/>
        </w:rPr>
        <w:t xml:space="preserve"> World Urban Areas (12th Annual Edition). http://www.demographia.com/db-worldua.htm</w:t>
      </w:r>
    </w:p>
    <w:p w14:paraId="0D3B93D5" w14:textId="70E269D1" w:rsidR="00685819" w:rsidRPr="00E91CF6" w:rsidRDefault="00D274AF"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r w:rsidRPr="00E91CF6">
        <w:rPr>
          <w:rFonts w:ascii="Times New Roman" w:eastAsia="Times New Roman" w:hAnsi="Times New Roman" w:cs="Times New Roman"/>
          <w:sz w:val="24"/>
          <w:szCs w:val="24"/>
        </w:rPr>
        <w:lastRenderedPageBreak/>
        <w:t xml:space="preserve">Gross, J. L., de Azevedo, M. J., </w:t>
      </w:r>
      <w:proofErr w:type="spellStart"/>
      <w:r w:rsidRPr="00E91CF6">
        <w:rPr>
          <w:rFonts w:ascii="Times New Roman" w:eastAsia="Times New Roman" w:hAnsi="Times New Roman" w:cs="Times New Roman"/>
          <w:sz w:val="24"/>
          <w:szCs w:val="24"/>
        </w:rPr>
        <w:t>Silveiro</w:t>
      </w:r>
      <w:proofErr w:type="spellEnd"/>
      <w:r w:rsidRPr="00E91CF6">
        <w:rPr>
          <w:rFonts w:ascii="Times New Roman" w:eastAsia="Times New Roman" w:hAnsi="Times New Roman" w:cs="Times New Roman"/>
          <w:sz w:val="24"/>
          <w:szCs w:val="24"/>
        </w:rPr>
        <w:t xml:space="preserve">, S. P., </w:t>
      </w:r>
      <w:proofErr w:type="spellStart"/>
      <w:r w:rsidRPr="00E91CF6">
        <w:rPr>
          <w:rFonts w:ascii="Times New Roman" w:eastAsia="Times New Roman" w:hAnsi="Times New Roman" w:cs="Times New Roman"/>
          <w:sz w:val="24"/>
          <w:szCs w:val="24"/>
        </w:rPr>
        <w:t>Canani</w:t>
      </w:r>
      <w:proofErr w:type="spellEnd"/>
      <w:r w:rsidRPr="00E91CF6">
        <w:rPr>
          <w:rFonts w:ascii="Times New Roman" w:eastAsia="Times New Roman" w:hAnsi="Times New Roman" w:cs="Times New Roman"/>
          <w:sz w:val="24"/>
          <w:szCs w:val="24"/>
        </w:rPr>
        <w:t xml:space="preserve">, L. H., </w:t>
      </w:r>
      <w:proofErr w:type="spellStart"/>
      <w:r w:rsidRPr="00E91CF6">
        <w:rPr>
          <w:rFonts w:ascii="Times New Roman" w:eastAsia="Times New Roman" w:hAnsi="Times New Roman" w:cs="Times New Roman"/>
          <w:sz w:val="24"/>
          <w:szCs w:val="24"/>
        </w:rPr>
        <w:t>Caramori</w:t>
      </w:r>
      <w:proofErr w:type="spellEnd"/>
      <w:r w:rsidRPr="00E91CF6">
        <w:rPr>
          <w:rFonts w:ascii="Times New Roman" w:eastAsia="Times New Roman" w:hAnsi="Times New Roman" w:cs="Times New Roman"/>
          <w:sz w:val="24"/>
          <w:szCs w:val="24"/>
        </w:rPr>
        <w:t xml:space="preserve">, M. L., &amp; </w:t>
      </w:r>
      <w:proofErr w:type="spellStart"/>
      <w:r w:rsidRPr="00E91CF6">
        <w:rPr>
          <w:rFonts w:ascii="Times New Roman" w:eastAsia="Times New Roman" w:hAnsi="Times New Roman" w:cs="Times New Roman"/>
          <w:sz w:val="24"/>
          <w:szCs w:val="24"/>
        </w:rPr>
        <w:t>Zelmanovitz</w:t>
      </w:r>
      <w:proofErr w:type="spellEnd"/>
      <w:r w:rsidRPr="00E91CF6">
        <w:rPr>
          <w:rFonts w:ascii="Times New Roman" w:eastAsia="Times New Roman" w:hAnsi="Times New Roman" w:cs="Times New Roman"/>
          <w:sz w:val="24"/>
          <w:szCs w:val="24"/>
        </w:rPr>
        <w:t>, T. (2005). Diabetic nephropathy: Diagnosis, prevention, and treatment. Diabetes Care, 28(1), 164–176. https://doi.org/10.2337/diacare.28.1.164</w:t>
      </w:r>
    </w:p>
    <w:p w14:paraId="41A30AE0" w14:textId="7979033A" w:rsidR="00685819" w:rsidRPr="00E91CF6" w:rsidRDefault="00C32EC6"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r w:rsidRPr="00E91CF6">
        <w:rPr>
          <w:rFonts w:ascii="Times New Roman" w:eastAsia="Times New Roman" w:hAnsi="Times New Roman" w:cs="Times New Roman"/>
          <w:sz w:val="24"/>
          <w:szCs w:val="24"/>
        </w:rPr>
        <w:t>Guyton, A. C., &amp; Hall, J. E. (2020). Textbook of medical physiology (14th ed.). Elsevier. https://www.elsevier.com/books/guyton-and-hall-textbook-of-medical-physiology/hall/978-0-323-59712-8</w:t>
      </w:r>
    </w:p>
    <w:p w14:paraId="26E50B91" w14:textId="3B225F55" w:rsidR="00685819" w:rsidRPr="00E91CF6" w:rsidRDefault="00567AB3"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r w:rsidRPr="00E91CF6">
        <w:rPr>
          <w:rFonts w:ascii="Times New Roman" w:eastAsia="Times New Roman" w:hAnsi="Times New Roman" w:cs="Times New Roman"/>
          <w:sz w:val="24"/>
          <w:szCs w:val="24"/>
        </w:rPr>
        <w:t xml:space="preserve">Han, W. K., Bailly, V., </w:t>
      </w:r>
      <w:proofErr w:type="spellStart"/>
      <w:r w:rsidRPr="00E91CF6">
        <w:rPr>
          <w:rFonts w:ascii="Times New Roman" w:eastAsia="Times New Roman" w:hAnsi="Times New Roman" w:cs="Times New Roman"/>
          <w:sz w:val="24"/>
          <w:szCs w:val="24"/>
        </w:rPr>
        <w:t>Abichandani</w:t>
      </w:r>
      <w:proofErr w:type="spellEnd"/>
      <w:r w:rsidRPr="00E91CF6">
        <w:rPr>
          <w:rFonts w:ascii="Times New Roman" w:eastAsia="Times New Roman" w:hAnsi="Times New Roman" w:cs="Times New Roman"/>
          <w:sz w:val="24"/>
          <w:szCs w:val="24"/>
        </w:rPr>
        <w:t xml:space="preserve">, R., </w:t>
      </w:r>
      <w:proofErr w:type="spellStart"/>
      <w:r w:rsidRPr="00E91CF6">
        <w:rPr>
          <w:rFonts w:ascii="Times New Roman" w:eastAsia="Times New Roman" w:hAnsi="Times New Roman" w:cs="Times New Roman"/>
          <w:sz w:val="24"/>
          <w:szCs w:val="24"/>
        </w:rPr>
        <w:t>Thadhani</w:t>
      </w:r>
      <w:proofErr w:type="spellEnd"/>
      <w:r w:rsidRPr="00E91CF6">
        <w:rPr>
          <w:rFonts w:ascii="Times New Roman" w:eastAsia="Times New Roman" w:hAnsi="Times New Roman" w:cs="Times New Roman"/>
          <w:sz w:val="24"/>
          <w:szCs w:val="24"/>
        </w:rPr>
        <w:t>, R., &amp; Bonventre, J. V. (2002). Kidney Injury Molecule-1 (KIM-1): a novel biomarker for human renal proximal tubule injury. Kidney International, 62(1), 237–244. https://doi.org/10.1046/j.1523-1755.2002.00433.x</w:t>
      </w:r>
    </w:p>
    <w:p w14:paraId="3BF98B80" w14:textId="77777777" w:rsidR="00685819" w:rsidRPr="00E91CF6" w:rsidRDefault="00685819" w:rsidP="00E91CF6">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E91CF6">
        <w:rPr>
          <w:rFonts w:ascii="Times New Roman" w:eastAsia="Times New Roman" w:hAnsi="Times New Roman" w:cs="Times New Roman"/>
          <w:sz w:val="24"/>
          <w:szCs w:val="24"/>
        </w:rPr>
        <w:t>Holman, N., Wild, S. H., &amp; Sharp, S. J. (2017). Assessing renal function decline in diabetes: Limitations of traditional markers. Diabetic Medicine, 34(10), 1405–1412.</w:t>
      </w:r>
    </w:p>
    <w:p w14:paraId="6F696E76" w14:textId="507FE3F2" w:rsidR="00685819" w:rsidRPr="00E91CF6" w:rsidRDefault="005C2C70"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r w:rsidRPr="00E91CF6">
        <w:rPr>
          <w:rFonts w:ascii="Times New Roman" w:eastAsia="Times New Roman" w:hAnsi="Times New Roman" w:cs="Times New Roman"/>
          <w:sz w:val="24"/>
          <w:szCs w:val="24"/>
        </w:rPr>
        <w:t xml:space="preserve">Jaffe, M. </w:t>
      </w:r>
      <w:commentRangeStart w:id="46"/>
      <w:r w:rsidRPr="00E91CF6">
        <w:rPr>
          <w:rFonts w:ascii="Times New Roman" w:eastAsia="Times New Roman" w:hAnsi="Times New Roman" w:cs="Times New Roman"/>
          <w:sz w:val="24"/>
          <w:szCs w:val="24"/>
        </w:rPr>
        <w:t xml:space="preserve">(1886). </w:t>
      </w:r>
      <w:commentRangeEnd w:id="46"/>
      <w:r w:rsidR="00820F8F">
        <w:rPr>
          <w:rStyle w:val="ab"/>
        </w:rPr>
        <w:commentReference w:id="46"/>
      </w:r>
      <w:proofErr w:type="spellStart"/>
      <w:r w:rsidRPr="00E91CF6">
        <w:rPr>
          <w:rFonts w:ascii="Times New Roman" w:eastAsia="Times New Roman" w:hAnsi="Times New Roman" w:cs="Times New Roman"/>
          <w:sz w:val="24"/>
          <w:szCs w:val="24"/>
        </w:rPr>
        <w:t>Über</w:t>
      </w:r>
      <w:proofErr w:type="spellEnd"/>
      <w:r w:rsidRPr="00E91CF6">
        <w:rPr>
          <w:rFonts w:ascii="Times New Roman" w:eastAsia="Times New Roman" w:hAnsi="Times New Roman" w:cs="Times New Roman"/>
          <w:sz w:val="24"/>
          <w:szCs w:val="24"/>
        </w:rPr>
        <w:t xml:space="preserve"> den </w:t>
      </w:r>
      <w:proofErr w:type="spellStart"/>
      <w:r w:rsidRPr="00E91CF6">
        <w:rPr>
          <w:rFonts w:ascii="Times New Roman" w:eastAsia="Times New Roman" w:hAnsi="Times New Roman" w:cs="Times New Roman"/>
          <w:sz w:val="24"/>
          <w:szCs w:val="24"/>
        </w:rPr>
        <w:t>Niederschlag</w:t>
      </w:r>
      <w:proofErr w:type="spellEnd"/>
      <w:r w:rsidRPr="00E91CF6">
        <w:rPr>
          <w:rFonts w:ascii="Times New Roman" w:eastAsia="Times New Roman" w:hAnsi="Times New Roman" w:cs="Times New Roman"/>
          <w:sz w:val="24"/>
          <w:szCs w:val="24"/>
        </w:rPr>
        <w:t xml:space="preserve">, </w:t>
      </w:r>
      <w:proofErr w:type="spellStart"/>
      <w:r w:rsidRPr="00E91CF6">
        <w:rPr>
          <w:rFonts w:ascii="Times New Roman" w:eastAsia="Times New Roman" w:hAnsi="Times New Roman" w:cs="Times New Roman"/>
          <w:sz w:val="24"/>
          <w:szCs w:val="24"/>
        </w:rPr>
        <w:t>welchen</w:t>
      </w:r>
      <w:proofErr w:type="spellEnd"/>
      <w:r w:rsidRPr="00E91CF6">
        <w:rPr>
          <w:rFonts w:ascii="Times New Roman" w:eastAsia="Times New Roman" w:hAnsi="Times New Roman" w:cs="Times New Roman"/>
          <w:sz w:val="24"/>
          <w:szCs w:val="24"/>
        </w:rPr>
        <w:t xml:space="preserve"> </w:t>
      </w:r>
      <w:proofErr w:type="spellStart"/>
      <w:r w:rsidRPr="00E91CF6">
        <w:rPr>
          <w:rFonts w:ascii="Times New Roman" w:eastAsia="Times New Roman" w:hAnsi="Times New Roman" w:cs="Times New Roman"/>
          <w:sz w:val="24"/>
          <w:szCs w:val="24"/>
        </w:rPr>
        <w:t>Pikrinsäure</w:t>
      </w:r>
      <w:proofErr w:type="spellEnd"/>
      <w:r w:rsidRPr="00E91CF6">
        <w:rPr>
          <w:rFonts w:ascii="Times New Roman" w:eastAsia="Times New Roman" w:hAnsi="Times New Roman" w:cs="Times New Roman"/>
          <w:sz w:val="24"/>
          <w:szCs w:val="24"/>
        </w:rPr>
        <w:t xml:space="preserve"> in </w:t>
      </w:r>
      <w:proofErr w:type="spellStart"/>
      <w:r w:rsidRPr="00E91CF6">
        <w:rPr>
          <w:rFonts w:ascii="Times New Roman" w:eastAsia="Times New Roman" w:hAnsi="Times New Roman" w:cs="Times New Roman"/>
          <w:sz w:val="24"/>
          <w:szCs w:val="24"/>
        </w:rPr>
        <w:t>normalem</w:t>
      </w:r>
      <w:proofErr w:type="spellEnd"/>
      <w:r w:rsidRPr="00E91CF6">
        <w:rPr>
          <w:rFonts w:ascii="Times New Roman" w:eastAsia="Times New Roman" w:hAnsi="Times New Roman" w:cs="Times New Roman"/>
          <w:sz w:val="24"/>
          <w:szCs w:val="24"/>
        </w:rPr>
        <w:t xml:space="preserve"> </w:t>
      </w:r>
      <w:proofErr w:type="spellStart"/>
      <w:r w:rsidRPr="00E91CF6">
        <w:rPr>
          <w:rFonts w:ascii="Times New Roman" w:eastAsia="Times New Roman" w:hAnsi="Times New Roman" w:cs="Times New Roman"/>
          <w:sz w:val="24"/>
          <w:szCs w:val="24"/>
        </w:rPr>
        <w:t>Harn</w:t>
      </w:r>
      <w:proofErr w:type="spellEnd"/>
      <w:r w:rsidRPr="00E91CF6">
        <w:rPr>
          <w:rFonts w:ascii="Times New Roman" w:eastAsia="Times New Roman" w:hAnsi="Times New Roman" w:cs="Times New Roman"/>
          <w:sz w:val="24"/>
          <w:szCs w:val="24"/>
        </w:rPr>
        <w:t xml:space="preserve"> </w:t>
      </w:r>
      <w:proofErr w:type="spellStart"/>
      <w:r w:rsidRPr="00E91CF6">
        <w:rPr>
          <w:rFonts w:ascii="Times New Roman" w:eastAsia="Times New Roman" w:hAnsi="Times New Roman" w:cs="Times New Roman"/>
          <w:sz w:val="24"/>
          <w:szCs w:val="24"/>
        </w:rPr>
        <w:t>erzeugt</w:t>
      </w:r>
      <w:proofErr w:type="spellEnd"/>
      <w:r w:rsidRPr="00E91CF6">
        <w:rPr>
          <w:rFonts w:ascii="Times New Roman" w:eastAsia="Times New Roman" w:hAnsi="Times New Roman" w:cs="Times New Roman"/>
          <w:sz w:val="24"/>
          <w:szCs w:val="24"/>
        </w:rPr>
        <w:t xml:space="preserve"> und </w:t>
      </w:r>
      <w:proofErr w:type="spellStart"/>
      <w:r w:rsidRPr="00E91CF6">
        <w:rPr>
          <w:rFonts w:ascii="Times New Roman" w:eastAsia="Times New Roman" w:hAnsi="Times New Roman" w:cs="Times New Roman"/>
          <w:sz w:val="24"/>
          <w:szCs w:val="24"/>
        </w:rPr>
        <w:t>über</w:t>
      </w:r>
      <w:proofErr w:type="spellEnd"/>
      <w:r w:rsidRPr="00E91CF6">
        <w:rPr>
          <w:rFonts w:ascii="Times New Roman" w:eastAsia="Times New Roman" w:hAnsi="Times New Roman" w:cs="Times New Roman"/>
          <w:sz w:val="24"/>
          <w:szCs w:val="24"/>
        </w:rPr>
        <w:t xml:space="preserve"> </w:t>
      </w:r>
      <w:proofErr w:type="spellStart"/>
      <w:r w:rsidRPr="00E91CF6">
        <w:rPr>
          <w:rFonts w:ascii="Times New Roman" w:eastAsia="Times New Roman" w:hAnsi="Times New Roman" w:cs="Times New Roman"/>
          <w:sz w:val="24"/>
          <w:szCs w:val="24"/>
        </w:rPr>
        <w:t>eine</w:t>
      </w:r>
      <w:proofErr w:type="spellEnd"/>
      <w:r w:rsidRPr="00E91CF6">
        <w:rPr>
          <w:rFonts w:ascii="Times New Roman" w:eastAsia="Times New Roman" w:hAnsi="Times New Roman" w:cs="Times New Roman"/>
          <w:sz w:val="24"/>
          <w:szCs w:val="24"/>
        </w:rPr>
        <w:t xml:space="preserve"> </w:t>
      </w:r>
      <w:proofErr w:type="spellStart"/>
      <w:r w:rsidRPr="00E91CF6">
        <w:rPr>
          <w:rFonts w:ascii="Times New Roman" w:eastAsia="Times New Roman" w:hAnsi="Times New Roman" w:cs="Times New Roman"/>
          <w:sz w:val="24"/>
          <w:szCs w:val="24"/>
        </w:rPr>
        <w:t>neue</w:t>
      </w:r>
      <w:proofErr w:type="spellEnd"/>
      <w:r w:rsidRPr="00E91CF6">
        <w:rPr>
          <w:rFonts w:ascii="Times New Roman" w:eastAsia="Times New Roman" w:hAnsi="Times New Roman" w:cs="Times New Roman"/>
          <w:sz w:val="24"/>
          <w:szCs w:val="24"/>
        </w:rPr>
        <w:t xml:space="preserve"> Reaction des </w:t>
      </w:r>
      <w:proofErr w:type="spellStart"/>
      <w:r w:rsidRPr="00E91CF6">
        <w:rPr>
          <w:rFonts w:ascii="Times New Roman" w:eastAsia="Times New Roman" w:hAnsi="Times New Roman" w:cs="Times New Roman"/>
          <w:sz w:val="24"/>
          <w:szCs w:val="24"/>
        </w:rPr>
        <w:t>Kreatinins</w:t>
      </w:r>
      <w:proofErr w:type="spellEnd"/>
      <w:r w:rsidRPr="00E91CF6">
        <w:rPr>
          <w:rFonts w:ascii="Times New Roman" w:eastAsia="Times New Roman" w:hAnsi="Times New Roman" w:cs="Times New Roman"/>
          <w:sz w:val="24"/>
          <w:szCs w:val="24"/>
        </w:rPr>
        <w:t xml:space="preserve">. </w:t>
      </w:r>
      <w:proofErr w:type="spellStart"/>
      <w:r w:rsidRPr="00E91CF6">
        <w:rPr>
          <w:rFonts w:ascii="Times New Roman" w:eastAsia="Times New Roman" w:hAnsi="Times New Roman" w:cs="Times New Roman"/>
          <w:sz w:val="24"/>
          <w:szCs w:val="24"/>
        </w:rPr>
        <w:t>Zeitschrift</w:t>
      </w:r>
      <w:proofErr w:type="spellEnd"/>
      <w:r w:rsidRPr="00E91CF6">
        <w:rPr>
          <w:rFonts w:ascii="Times New Roman" w:eastAsia="Times New Roman" w:hAnsi="Times New Roman" w:cs="Times New Roman"/>
          <w:sz w:val="24"/>
          <w:szCs w:val="24"/>
        </w:rPr>
        <w:t xml:space="preserve"> </w:t>
      </w:r>
      <w:proofErr w:type="spellStart"/>
      <w:r w:rsidRPr="00E91CF6">
        <w:rPr>
          <w:rFonts w:ascii="Times New Roman" w:eastAsia="Times New Roman" w:hAnsi="Times New Roman" w:cs="Times New Roman"/>
          <w:sz w:val="24"/>
          <w:szCs w:val="24"/>
        </w:rPr>
        <w:t>für</w:t>
      </w:r>
      <w:proofErr w:type="spellEnd"/>
      <w:r w:rsidRPr="00E91CF6">
        <w:rPr>
          <w:rFonts w:ascii="Times New Roman" w:eastAsia="Times New Roman" w:hAnsi="Times New Roman" w:cs="Times New Roman"/>
          <w:sz w:val="24"/>
          <w:szCs w:val="24"/>
        </w:rPr>
        <w:t xml:space="preserve"> </w:t>
      </w:r>
      <w:proofErr w:type="spellStart"/>
      <w:r w:rsidRPr="00E91CF6">
        <w:rPr>
          <w:rFonts w:ascii="Times New Roman" w:eastAsia="Times New Roman" w:hAnsi="Times New Roman" w:cs="Times New Roman"/>
          <w:sz w:val="24"/>
          <w:szCs w:val="24"/>
        </w:rPr>
        <w:t>Physiologische</w:t>
      </w:r>
      <w:proofErr w:type="spellEnd"/>
      <w:r w:rsidRPr="00E91CF6">
        <w:rPr>
          <w:rFonts w:ascii="Times New Roman" w:eastAsia="Times New Roman" w:hAnsi="Times New Roman" w:cs="Times New Roman"/>
          <w:sz w:val="24"/>
          <w:szCs w:val="24"/>
        </w:rPr>
        <w:t xml:space="preserve"> </w:t>
      </w:r>
      <w:proofErr w:type="spellStart"/>
      <w:r w:rsidRPr="00E91CF6">
        <w:rPr>
          <w:rFonts w:ascii="Times New Roman" w:eastAsia="Times New Roman" w:hAnsi="Times New Roman" w:cs="Times New Roman"/>
          <w:sz w:val="24"/>
          <w:szCs w:val="24"/>
        </w:rPr>
        <w:t>Chemie</w:t>
      </w:r>
      <w:proofErr w:type="spellEnd"/>
      <w:r w:rsidRPr="00E91CF6">
        <w:rPr>
          <w:rFonts w:ascii="Times New Roman" w:eastAsia="Times New Roman" w:hAnsi="Times New Roman" w:cs="Times New Roman"/>
          <w:sz w:val="24"/>
          <w:szCs w:val="24"/>
        </w:rPr>
        <w:t>, 10, 391–400.</w:t>
      </w:r>
    </w:p>
    <w:p w14:paraId="3ABF9137" w14:textId="77777777" w:rsidR="00685819" w:rsidRPr="00E91CF6" w:rsidRDefault="00685819" w:rsidP="00E91CF6">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E91CF6">
        <w:rPr>
          <w:rFonts w:ascii="Times New Roman" w:eastAsia="Times New Roman" w:hAnsi="Times New Roman" w:cs="Times New Roman"/>
          <w:sz w:val="24"/>
          <w:szCs w:val="24"/>
        </w:rPr>
        <w:t xml:space="preserve">Johnson, R. J., </w:t>
      </w:r>
      <w:proofErr w:type="spellStart"/>
      <w:r w:rsidRPr="00E91CF6">
        <w:rPr>
          <w:rFonts w:ascii="Times New Roman" w:eastAsia="Times New Roman" w:hAnsi="Times New Roman" w:cs="Times New Roman"/>
          <w:sz w:val="24"/>
          <w:szCs w:val="24"/>
        </w:rPr>
        <w:t>Perazella</w:t>
      </w:r>
      <w:proofErr w:type="spellEnd"/>
      <w:r w:rsidRPr="00E91CF6">
        <w:rPr>
          <w:rFonts w:ascii="Times New Roman" w:eastAsia="Times New Roman" w:hAnsi="Times New Roman" w:cs="Times New Roman"/>
          <w:sz w:val="24"/>
          <w:szCs w:val="24"/>
        </w:rPr>
        <w:t>, M. A., Wesson, D. E., &amp; Moe, S. M. (2021). The Kidney and Hypertension in Diabetes. Springer Nature.</w:t>
      </w:r>
    </w:p>
    <w:p w14:paraId="6232B7A1" w14:textId="0341C66D" w:rsidR="00685819" w:rsidRPr="00E91CF6" w:rsidRDefault="009060E9"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proofErr w:type="spellStart"/>
      <w:r w:rsidRPr="00E91CF6">
        <w:rPr>
          <w:rFonts w:ascii="Times New Roman" w:eastAsia="Times New Roman" w:hAnsi="Times New Roman" w:cs="Times New Roman"/>
          <w:sz w:val="24"/>
          <w:szCs w:val="24"/>
        </w:rPr>
        <w:t>Molitch</w:t>
      </w:r>
      <w:proofErr w:type="spellEnd"/>
      <w:r w:rsidRPr="00E91CF6">
        <w:rPr>
          <w:rFonts w:ascii="Times New Roman" w:eastAsia="Times New Roman" w:hAnsi="Times New Roman" w:cs="Times New Roman"/>
          <w:sz w:val="24"/>
          <w:szCs w:val="24"/>
        </w:rPr>
        <w:t xml:space="preserve">, M. E., </w:t>
      </w:r>
      <w:proofErr w:type="spellStart"/>
      <w:r w:rsidRPr="00E91CF6">
        <w:rPr>
          <w:rFonts w:ascii="Times New Roman" w:eastAsia="Times New Roman" w:hAnsi="Times New Roman" w:cs="Times New Roman"/>
          <w:sz w:val="24"/>
          <w:szCs w:val="24"/>
        </w:rPr>
        <w:t>Steffes</w:t>
      </w:r>
      <w:proofErr w:type="spellEnd"/>
      <w:r w:rsidRPr="00E91CF6">
        <w:rPr>
          <w:rFonts w:ascii="Times New Roman" w:eastAsia="Times New Roman" w:hAnsi="Times New Roman" w:cs="Times New Roman"/>
          <w:sz w:val="24"/>
          <w:szCs w:val="24"/>
        </w:rPr>
        <w:t xml:space="preserve">, M., Sun, W., Rutledge, B., Cleary, P., de Boer, I. H., </w:t>
      </w:r>
      <w:proofErr w:type="spellStart"/>
      <w:r w:rsidRPr="00E91CF6">
        <w:rPr>
          <w:rFonts w:ascii="Times New Roman" w:eastAsia="Times New Roman" w:hAnsi="Times New Roman" w:cs="Times New Roman"/>
          <w:sz w:val="24"/>
          <w:szCs w:val="24"/>
        </w:rPr>
        <w:t>Zinman</w:t>
      </w:r>
      <w:proofErr w:type="spellEnd"/>
      <w:r w:rsidRPr="00E91CF6">
        <w:rPr>
          <w:rFonts w:ascii="Times New Roman" w:eastAsia="Times New Roman" w:hAnsi="Times New Roman" w:cs="Times New Roman"/>
          <w:sz w:val="24"/>
          <w:szCs w:val="24"/>
        </w:rPr>
        <w:t xml:space="preserve">, B., &amp; </w:t>
      </w:r>
      <w:proofErr w:type="spellStart"/>
      <w:r w:rsidRPr="00E91CF6">
        <w:rPr>
          <w:rFonts w:ascii="Times New Roman" w:eastAsia="Times New Roman" w:hAnsi="Times New Roman" w:cs="Times New Roman"/>
          <w:sz w:val="24"/>
          <w:szCs w:val="24"/>
        </w:rPr>
        <w:t>Lachin</w:t>
      </w:r>
      <w:proofErr w:type="spellEnd"/>
      <w:r w:rsidRPr="00E91CF6">
        <w:rPr>
          <w:rFonts w:ascii="Times New Roman" w:eastAsia="Times New Roman" w:hAnsi="Times New Roman" w:cs="Times New Roman"/>
          <w:sz w:val="24"/>
          <w:szCs w:val="24"/>
        </w:rPr>
        <w:t>, J. (2010). Development and progression of renal insufficiency with and without albuminuria in adults with type 1 diabetes in the diabetes control and complications trial and the epidemiology of diabetes interventions and complications study. Diabetes Care, 33(7), 1536–1543. https://doi.org/10.2337/dc09-1098</w:t>
      </w:r>
    </w:p>
    <w:p w14:paraId="4EBB94B9" w14:textId="77777777" w:rsidR="00685819" w:rsidRPr="00E91CF6" w:rsidRDefault="00685819" w:rsidP="00E91CF6">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E91CF6">
        <w:rPr>
          <w:rFonts w:ascii="Times New Roman" w:eastAsia="Times New Roman" w:hAnsi="Times New Roman" w:cs="Times New Roman"/>
          <w:sz w:val="24"/>
          <w:szCs w:val="24"/>
        </w:rPr>
        <w:t>Musso, C. G., Jauregui, J. R., Núñez, J. F., &amp; Imperiali, N. (2016). Electrolyte abnormalities in diabetic nephropathy. World Journal of Diabetes, 7(1), 1–6.</w:t>
      </w:r>
    </w:p>
    <w:p w14:paraId="0D455301" w14:textId="487D8497" w:rsidR="00685819" w:rsidRPr="00E91CF6" w:rsidRDefault="00BF5199"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proofErr w:type="spellStart"/>
      <w:r w:rsidRPr="00E91CF6">
        <w:rPr>
          <w:rFonts w:ascii="Times New Roman" w:eastAsia="Times New Roman" w:hAnsi="Times New Roman" w:cs="Times New Roman"/>
          <w:sz w:val="24"/>
          <w:szCs w:val="24"/>
        </w:rPr>
        <w:t>Ogurtsova</w:t>
      </w:r>
      <w:proofErr w:type="spellEnd"/>
      <w:r w:rsidRPr="00E91CF6">
        <w:rPr>
          <w:rFonts w:ascii="Times New Roman" w:eastAsia="Times New Roman" w:hAnsi="Times New Roman" w:cs="Times New Roman"/>
          <w:sz w:val="24"/>
          <w:szCs w:val="24"/>
        </w:rPr>
        <w:t xml:space="preserve">, K., da Rocha Fernandes, J. D., Huang, Y., </w:t>
      </w:r>
      <w:proofErr w:type="spellStart"/>
      <w:r w:rsidRPr="00E91CF6">
        <w:rPr>
          <w:rFonts w:ascii="Times New Roman" w:eastAsia="Times New Roman" w:hAnsi="Times New Roman" w:cs="Times New Roman"/>
          <w:sz w:val="24"/>
          <w:szCs w:val="24"/>
        </w:rPr>
        <w:t>Linnenkamp</w:t>
      </w:r>
      <w:proofErr w:type="spellEnd"/>
      <w:r w:rsidRPr="00E91CF6">
        <w:rPr>
          <w:rFonts w:ascii="Times New Roman" w:eastAsia="Times New Roman" w:hAnsi="Times New Roman" w:cs="Times New Roman"/>
          <w:sz w:val="24"/>
          <w:szCs w:val="24"/>
        </w:rPr>
        <w:t xml:space="preserve">, U., </w:t>
      </w:r>
      <w:proofErr w:type="spellStart"/>
      <w:r w:rsidRPr="00E91CF6">
        <w:rPr>
          <w:rFonts w:ascii="Times New Roman" w:eastAsia="Times New Roman" w:hAnsi="Times New Roman" w:cs="Times New Roman"/>
          <w:sz w:val="24"/>
          <w:szCs w:val="24"/>
        </w:rPr>
        <w:t>Guariguata</w:t>
      </w:r>
      <w:proofErr w:type="spellEnd"/>
      <w:r w:rsidRPr="00E91CF6">
        <w:rPr>
          <w:rFonts w:ascii="Times New Roman" w:eastAsia="Times New Roman" w:hAnsi="Times New Roman" w:cs="Times New Roman"/>
          <w:sz w:val="24"/>
          <w:szCs w:val="24"/>
        </w:rPr>
        <w:t xml:space="preserve">, L., Cho, N. H., Shaw, J. E., &amp; </w:t>
      </w:r>
      <w:proofErr w:type="spellStart"/>
      <w:r w:rsidRPr="00E91CF6">
        <w:rPr>
          <w:rFonts w:ascii="Times New Roman" w:eastAsia="Times New Roman" w:hAnsi="Times New Roman" w:cs="Times New Roman"/>
          <w:sz w:val="24"/>
          <w:szCs w:val="24"/>
        </w:rPr>
        <w:t>Karuranga</w:t>
      </w:r>
      <w:proofErr w:type="spellEnd"/>
      <w:r w:rsidRPr="00E91CF6">
        <w:rPr>
          <w:rFonts w:ascii="Times New Roman" w:eastAsia="Times New Roman" w:hAnsi="Times New Roman" w:cs="Times New Roman"/>
          <w:sz w:val="24"/>
          <w:szCs w:val="24"/>
        </w:rPr>
        <w:t>, S. (2017). IDF Diabetes Atlas: Global estimates for the prevalence of diabetes for 2015 and 2040. Diabetes Research and Clinical Practice, 128, 40–50. https://doi.org/10.1016/j.diabres.2017.03.024</w:t>
      </w:r>
    </w:p>
    <w:p w14:paraId="378E0004" w14:textId="77777777" w:rsidR="00685819" w:rsidRPr="00E91CF6" w:rsidRDefault="00685819" w:rsidP="00E91CF6">
      <w:pPr>
        <w:spacing w:before="100" w:beforeAutospacing="1" w:after="100" w:afterAutospacing="1" w:line="240" w:lineRule="auto"/>
        <w:ind w:left="540" w:hanging="540"/>
        <w:jc w:val="both"/>
        <w:rPr>
          <w:rFonts w:ascii="Times New Roman" w:eastAsia="Times New Roman" w:hAnsi="Times New Roman" w:cs="Times New Roman"/>
          <w:sz w:val="24"/>
          <w:szCs w:val="24"/>
        </w:rPr>
      </w:pPr>
      <w:proofErr w:type="spellStart"/>
      <w:r w:rsidRPr="00E91CF6">
        <w:rPr>
          <w:rFonts w:ascii="Times New Roman" w:eastAsia="Times New Roman" w:hAnsi="Times New Roman" w:cs="Times New Roman"/>
          <w:sz w:val="24"/>
          <w:szCs w:val="24"/>
        </w:rPr>
        <w:t>Okpechi</w:t>
      </w:r>
      <w:proofErr w:type="spellEnd"/>
      <w:r w:rsidRPr="00E91CF6">
        <w:rPr>
          <w:rFonts w:ascii="Times New Roman" w:eastAsia="Times New Roman" w:hAnsi="Times New Roman" w:cs="Times New Roman"/>
          <w:sz w:val="24"/>
          <w:szCs w:val="24"/>
        </w:rPr>
        <w:t xml:space="preserve">, I. G., </w:t>
      </w:r>
      <w:proofErr w:type="spellStart"/>
      <w:r w:rsidRPr="00E91CF6">
        <w:rPr>
          <w:rFonts w:ascii="Times New Roman" w:eastAsia="Times New Roman" w:hAnsi="Times New Roman" w:cs="Times New Roman"/>
          <w:sz w:val="24"/>
          <w:szCs w:val="24"/>
        </w:rPr>
        <w:t>Kalyesubula</w:t>
      </w:r>
      <w:proofErr w:type="spellEnd"/>
      <w:r w:rsidRPr="00E91CF6">
        <w:rPr>
          <w:rFonts w:ascii="Times New Roman" w:eastAsia="Times New Roman" w:hAnsi="Times New Roman" w:cs="Times New Roman"/>
          <w:sz w:val="24"/>
          <w:szCs w:val="24"/>
        </w:rPr>
        <w:t xml:space="preserve">, R., &amp; </w:t>
      </w:r>
      <w:proofErr w:type="spellStart"/>
      <w:r w:rsidRPr="00E91CF6">
        <w:rPr>
          <w:rFonts w:ascii="Times New Roman" w:eastAsia="Times New Roman" w:hAnsi="Times New Roman" w:cs="Times New Roman"/>
          <w:sz w:val="24"/>
          <w:szCs w:val="24"/>
        </w:rPr>
        <w:t>Ekoé</w:t>
      </w:r>
      <w:proofErr w:type="spellEnd"/>
      <w:r w:rsidRPr="00E91CF6">
        <w:rPr>
          <w:rFonts w:ascii="Times New Roman" w:eastAsia="Times New Roman" w:hAnsi="Times New Roman" w:cs="Times New Roman"/>
          <w:sz w:val="24"/>
          <w:szCs w:val="24"/>
        </w:rPr>
        <w:t>, T. J. (2021). The epidemiology of chronic kidney disease in sub-Saharan Africa. Kidney International Reports, 6(11), 2736–2746.</w:t>
      </w:r>
    </w:p>
    <w:p w14:paraId="5DA36B33" w14:textId="77777777" w:rsidR="00685819" w:rsidRPr="00E91CF6" w:rsidRDefault="00685819" w:rsidP="00E91CF6">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E91CF6">
        <w:rPr>
          <w:rFonts w:ascii="Times New Roman" w:eastAsia="Times New Roman" w:hAnsi="Times New Roman" w:cs="Times New Roman"/>
          <w:sz w:val="24"/>
          <w:szCs w:val="24"/>
        </w:rPr>
        <w:t xml:space="preserve">Papale, M., Di Paolo, S., </w:t>
      </w:r>
      <w:proofErr w:type="spellStart"/>
      <w:r w:rsidRPr="00E91CF6">
        <w:rPr>
          <w:rFonts w:ascii="Times New Roman" w:eastAsia="Times New Roman" w:hAnsi="Times New Roman" w:cs="Times New Roman"/>
          <w:sz w:val="24"/>
          <w:szCs w:val="24"/>
        </w:rPr>
        <w:t>Magistroni</w:t>
      </w:r>
      <w:proofErr w:type="spellEnd"/>
      <w:r w:rsidRPr="00E91CF6">
        <w:rPr>
          <w:rFonts w:ascii="Times New Roman" w:eastAsia="Times New Roman" w:hAnsi="Times New Roman" w:cs="Times New Roman"/>
          <w:sz w:val="24"/>
          <w:szCs w:val="24"/>
        </w:rPr>
        <w:t>, R., &amp; De Nicola, L. (2013). Cystatin C as a biomarker of diabetic kidney disease: Pathophysiological and clinical relevance. Journal of Nephrology, 26(6), 1053–1063.</w:t>
      </w:r>
    </w:p>
    <w:p w14:paraId="615463E2" w14:textId="5B5A216C" w:rsidR="00685819" w:rsidRPr="00E91CF6" w:rsidRDefault="00C56A8F"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proofErr w:type="spellStart"/>
      <w:r w:rsidRPr="00E91CF6">
        <w:rPr>
          <w:rFonts w:ascii="Times New Roman" w:eastAsia="Times New Roman" w:hAnsi="Times New Roman" w:cs="Times New Roman"/>
          <w:sz w:val="24"/>
          <w:szCs w:val="24"/>
        </w:rPr>
        <w:t>Shlipak</w:t>
      </w:r>
      <w:proofErr w:type="spellEnd"/>
      <w:r w:rsidRPr="00E91CF6">
        <w:rPr>
          <w:rFonts w:ascii="Times New Roman" w:eastAsia="Times New Roman" w:hAnsi="Times New Roman" w:cs="Times New Roman"/>
          <w:sz w:val="24"/>
          <w:szCs w:val="24"/>
        </w:rPr>
        <w:t xml:space="preserve">, M. G., Matsushita, K., </w:t>
      </w:r>
      <w:proofErr w:type="spellStart"/>
      <w:r w:rsidRPr="00E91CF6">
        <w:rPr>
          <w:rFonts w:ascii="Times New Roman" w:eastAsia="Times New Roman" w:hAnsi="Times New Roman" w:cs="Times New Roman"/>
          <w:sz w:val="24"/>
          <w:szCs w:val="24"/>
        </w:rPr>
        <w:t>Ärnlöv</w:t>
      </w:r>
      <w:proofErr w:type="spellEnd"/>
      <w:r w:rsidRPr="00E91CF6">
        <w:rPr>
          <w:rFonts w:ascii="Times New Roman" w:eastAsia="Times New Roman" w:hAnsi="Times New Roman" w:cs="Times New Roman"/>
          <w:sz w:val="24"/>
          <w:szCs w:val="24"/>
        </w:rPr>
        <w:t xml:space="preserve">, J., Inker, L. A., Katz, R., Polkinghorne, K. R., </w:t>
      </w:r>
      <w:proofErr w:type="spellStart"/>
      <w:r w:rsidRPr="00E91CF6">
        <w:rPr>
          <w:rFonts w:ascii="Times New Roman" w:eastAsia="Times New Roman" w:hAnsi="Times New Roman" w:cs="Times New Roman"/>
          <w:sz w:val="24"/>
          <w:szCs w:val="24"/>
        </w:rPr>
        <w:t>Rothenbacher</w:t>
      </w:r>
      <w:proofErr w:type="spellEnd"/>
      <w:r w:rsidRPr="00E91CF6">
        <w:rPr>
          <w:rFonts w:ascii="Times New Roman" w:eastAsia="Times New Roman" w:hAnsi="Times New Roman" w:cs="Times New Roman"/>
          <w:sz w:val="24"/>
          <w:szCs w:val="24"/>
        </w:rPr>
        <w:t xml:space="preserve">, D., </w:t>
      </w:r>
      <w:proofErr w:type="spellStart"/>
      <w:r w:rsidRPr="00E91CF6">
        <w:rPr>
          <w:rFonts w:ascii="Times New Roman" w:eastAsia="Times New Roman" w:hAnsi="Times New Roman" w:cs="Times New Roman"/>
          <w:sz w:val="24"/>
          <w:szCs w:val="24"/>
        </w:rPr>
        <w:t>Sarnak</w:t>
      </w:r>
      <w:proofErr w:type="spellEnd"/>
      <w:r w:rsidRPr="00E91CF6">
        <w:rPr>
          <w:rFonts w:ascii="Times New Roman" w:eastAsia="Times New Roman" w:hAnsi="Times New Roman" w:cs="Times New Roman"/>
          <w:sz w:val="24"/>
          <w:szCs w:val="24"/>
        </w:rPr>
        <w:t xml:space="preserve">, M. J., Astor, B. C., Coresh, J., Levey, A. S., &amp; Gansevoort, R. </w:t>
      </w:r>
      <w:r w:rsidRPr="00E91CF6">
        <w:rPr>
          <w:rFonts w:ascii="Times New Roman" w:eastAsia="Times New Roman" w:hAnsi="Times New Roman" w:cs="Times New Roman"/>
          <w:sz w:val="24"/>
          <w:szCs w:val="24"/>
        </w:rPr>
        <w:lastRenderedPageBreak/>
        <w:t>T. (2013). Cystatin C versus creatinine in determining risk based on kidney function. New England Journal of Medicine, 369(10), 932–943. https://doi.org/10.1056/NEJMoa1214234</w:t>
      </w:r>
    </w:p>
    <w:p w14:paraId="7D88C591" w14:textId="77777777" w:rsidR="00685819" w:rsidRPr="00E91CF6" w:rsidRDefault="00685819" w:rsidP="00E91CF6">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E91CF6">
        <w:rPr>
          <w:rFonts w:ascii="Times New Roman" w:eastAsia="Times New Roman" w:hAnsi="Times New Roman" w:cs="Times New Roman"/>
          <w:sz w:val="24"/>
          <w:szCs w:val="24"/>
        </w:rPr>
        <w:t>Sinclair, A. J., Dunning, T., &amp; Rodriguez-Mañas, L. (2020). Diabetes in older adults: A position statement. The Lancet Diabetes &amp; Endocrinology, 8(6), 463–475.</w:t>
      </w:r>
    </w:p>
    <w:p w14:paraId="03103E2C" w14:textId="2E202A96" w:rsidR="00685819" w:rsidRPr="00E91CF6" w:rsidRDefault="00A74A0C"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commentRangeStart w:id="47"/>
      <w:r w:rsidRPr="00E91CF6">
        <w:rPr>
          <w:rFonts w:ascii="Times New Roman" w:eastAsia="Times New Roman" w:hAnsi="Times New Roman" w:cs="Times New Roman"/>
          <w:sz w:val="24"/>
          <w:szCs w:val="24"/>
        </w:rPr>
        <w:t>Thom</w:t>
      </w:r>
      <w:commentRangeEnd w:id="47"/>
      <w:r w:rsidR="00B75EC4">
        <w:rPr>
          <w:rStyle w:val="ab"/>
        </w:rPr>
        <w:commentReference w:id="47"/>
      </w:r>
      <w:r w:rsidRPr="00E91CF6">
        <w:rPr>
          <w:rFonts w:ascii="Times New Roman" w:eastAsia="Times New Roman" w:hAnsi="Times New Roman" w:cs="Times New Roman"/>
          <w:sz w:val="24"/>
          <w:szCs w:val="24"/>
        </w:rPr>
        <w:t xml:space="preserve">as, M. C., Brownlee, M., </w:t>
      </w:r>
      <w:proofErr w:type="spellStart"/>
      <w:r w:rsidRPr="00E91CF6">
        <w:rPr>
          <w:rFonts w:ascii="Times New Roman" w:eastAsia="Times New Roman" w:hAnsi="Times New Roman" w:cs="Times New Roman"/>
          <w:sz w:val="24"/>
          <w:szCs w:val="24"/>
        </w:rPr>
        <w:t>Susztak</w:t>
      </w:r>
      <w:proofErr w:type="spellEnd"/>
      <w:r w:rsidRPr="00E91CF6">
        <w:rPr>
          <w:rFonts w:ascii="Times New Roman" w:eastAsia="Times New Roman" w:hAnsi="Times New Roman" w:cs="Times New Roman"/>
          <w:sz w:val="24"/>
          <w:szCs w:val="24"/>
        </w:rPr>
        <w:t xml:space="preserve">, K., Sharma, K., </w:t>
      </w:r>
      <w:proofErr w:type="spellStart"/>
      <w:r w:rsidRPr="00E91CF6">
        <w:rPr>
          <w:rFonts w:ascii="Times New Roman" w:eastAsia="Times New Roman" w:hAnsi="Times New Roman" w:cs="Times New Roman"/>
          <w:sz w:val="24"/>
          <w:szCs w:val="24"/>
        </w:rPr>
        <w:t>Jandeleit-Dahm</w:t>
      </w:r>
      <w:proofErr w:type="spellEnd"/>
      <w:r w:rsidRPr="00E91CF6">
        <w:rPr>
          <w:rFonts w:ascii="Times New Roman" w:eastAsia="Times New Roman" w:hAnsi="Times New Roman" w:cs="Times New Roman"/>
          <w:sz w:val="24"/>
          <w:szCs w:val="24"/>
        </w:rPr>
        <w:t xml:space="preserve">, K. A. M., </w:t>
      </w:r>
      <w:proofErr w:type="spellStart"/>
      <w:r w:rsidRPr="00E91CF6">
        <w:rPr>
          <w:rFonts w:ascii="Times New Roman" w:eastAsia="Times New Roman" w:hAnsi="Times New Roman" w:cs="Times New Roman"/>
          <w:sz w:val="24"/>
          <w:szCs w:val="24"/>
        </w:rPr>
        <w:t>Zoungas</w:t>
      </w:r>
      <w:proofErr w:type="spellEnd"/>
      <w:r w:rsidRPr="00E91CF6">
        <w:rPr>
          <w:rFonts w:ascii="Times New Roman" w:eastAsia="Times New Roman" w:hAnsi="Times New Roman" w:cs="Times New Roman"/>
          <w:sz w:val="24"/>
          <w:szCs w:val="24"/>
        </w:rPr>
        <w:t xml:space="preserve">, S., </w:t>
      </w:r>
      <w:proofErr w:type="spellStart"/>
      <w:r w:rsidRPr="00E91CF6">
        <w:rPr>
          <w:rFonts w:ascii="Times New Roman" w:eastAsia="Times New Roman" w:hAnsi="Times New Roman" w:cs="Times New Roman"/>
          <w:sz w:val="24"/>
          <w:szCs w:val="24"/>
        </w:rPr>
        <w:t>Rossing</w:t>
      </w:r>
      <w:proofErr w:type="spellEnd"/>
      <w:r w:rsidRPr="00E91CF6">
        <w:rPr>
          <w:rFonts w:ascii="Times New Roman" w:eastAsia="Times New Roman" w:hAnsi="Times New Roman" w:cs="Times New Roman"/>
          <w:sz w:val="24"/>
          <w:szCs w:val="24"/>
        </w:rPr>
        <w:t xml:space="preserve">, P., </w:t>
      </w:r>
      <w:proofErr w:type="spellStart"/>
      <w:r w:rsidRPr="00E91CF6">
        <w:rPr>
          <w:rFonts w:ascii="Times New Roman" w:eastAsia="Times New Roman" w:hAnsi="Times New Roman" w:cs="Times New Roman"/>
          <w:sz w:val="24"/>
          <w:szCs w:val="24"/>
        </w:rPr>
        <w:t>Groop</w:t>
      </w:r>
      <w:proofErr w:type="spellEnd"/>
      <w:r w:rsidRPr="00E91CF6">
        <w:rPr>
          <w:rFonts w:ascii="Times New Roman" w:eastAsia="Times New Roman" w:hAnsi="Times New Roman" w:cs="Times New Roman"/>
          <w:sz w:val="24"/>
          <w:szCs w:val="24"/>
        </w:rPr>
        <w:t>, P.-H., &amp; Cooper, M. E. (2015). Diabetic kidney disease. Nature Reviews Disease Primers, 1, 15018. https://doi.org/10.1038/nrdp.2015.18</w:t>
      </w:r>
    </w:p>
    <w:p w14:paraId="212DC014" w14:textId="0603ACEE" w:rsidR="00685819" w:rsidRPr="00E91CF6" w:rsidRDefault="00791D09"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r w:rsidRPr="00E91CF6">
        <w:rPr>
          <w:rFonts w:ascii="Times New Roman" w:eastAsia="Times New Roman" w:hAnsi="Times New Roman" w:cs="Times New Roman"/>
          <w:sz w:val="24"/>
          <w:szCs w:val="24"/>
        </w:rPr>
        <w:t xml:space="preserve">Tuttle, K. R., </w:t>
      </w:r>
      <w:proofErr w:type="spellStart"/>
      <w:r w:rsidRPr="00E91CF6">
        <w:rPr>
          <w:rFonts w:ascii="Times New Roman" w:eastAsia="Times New Roman" w:hAnsi="Times New Roman" w:cs="Times New Roman"/>
          <w:sz w:val="24"/>
          <w:szCs w:val="24"/>
        </w:rPr>
        <w:t>Bakris</w:t>
      </w:r>
      <w:proofErr w:type="spellEnd"/>
      <w:r w:rsidRPr="00E91CF6">
        <w:rPr>
          <w:rFonts w:ascii="Times New Roman" w:eastAsia="Times New Roman" w:hAnsi="Times New Roman" w:cs="Times New Roman"/>
          <w:sz w:val="24"/>
          <w:szCs w:val="24"/>
        </w:rPr>
        <w:t xml:space="preserve">, G. L., </w:t>
      </w:r>
      <w:proofErr w:type="spellStart"/>
      <w:r w:rsidRPr="00E91CF6">
        <w:rPr>
          <w:rFonts w:ascii="Times New Roman" w:eastAsia="Times New Roman" w:hAnsi="Times New Roman" w:cs="Times New Roman"/>
          <w:sz w:val="24"/>
          <w:szCs w:val="24"/>
        </w:rPr>
        <w:t>Bilous</w:t>
      </w:r>
      <w:proofErr w:type="spellEnd"/>
      <w:r w:rsidRPr="00E91CF6">
        <w:rPr>
          <w:rFonts w:ascii="Times New Roman" w:eastAsia="Times New Roman" w:hAnsi="Times New Roman" w:cs="Times New Roman"/>
          <w:sz w:val="24"/>
          <w:szCs w:val="24"/>
        </w:rPr>
        <w:t xml:space="preserve">, R. W., Chiang, J. L., de Boer, I. H., Goldstein-Fuchs, J., Hirsch, I. B., </w:t>
      </w:r>
      <w:proofErr w:type="spellStart"/>
      <w:r w:rsidRPr="00E91CF6">
        <w:rPr>
          <w:rFonts w:ascii="Times New Roman" w:eastAsia="Times New Roman" w:hAnsi="Times New Roman" w:cs="Times New Roman"/>
          <w:sz w:val="24"/>
          <w:szCs w:val="24"/>
        </w:rPr>
        <w:t>Kalantar-Zadeh</w:t>
      </w:r>
      <w:proofErr w:type="spellEnd"/>
      <w:r w:rsidRPr="00E91CF6">
        <w:rPr>
          <w:rFonts w:ascii="Times New Roman" w:eastAsia="Times New Roman" w:hAnsi="Times New Roman" w:cs="Times New Roman"/>
          <w:sz w:val="24"/>
          <w:szCs w:val="24"/>
        </w:rPr>
        <w:t xml:space="preserve">, K., </w:t>
      </w:r>
      <w:proofErr w:type="spellStart"/>
      <w:r w:rsidRPr="00E91CF6">
        <w:rPr>
          <w:rFonts w:ascii="Times New Roman" w:eastAsia="Times New Roman" w:hAnsi="Times New Roman" w:cs="Times New Roman"/>
          <w:sz w:val="24"/>
          <w:szCs w:val="24"/>
        </w:rPr>
        <w:t>Narva</w:t>
      </w:r>
      <w:proofErr w:type="spellEnd"/>
      <w:r w:rsidRPr="00E91CF6">
        <w:rPr>
          <w:rFonts w:ascii="Times New Roman" w:eastAsia="Times New Roman" w:hAnsi="Times New Roman" w:cs="Times New Roman"/>
          <w:sz w:val="24"/>
          <w:szCs w:val="24"/>
        </w:rPr>
        <w:t xml:space="preserve">, A. S., Navaneethan, S. D., </w:t>
      </w:r>
      <w:proofErr w:type="spellStart"/>
      <w:r w:rsidRPr="00E91CF6">
        <w:rPr>
          <w:rFonts w:ascii="Times New Roman" w:eastAsia="Times New Roman" w:hAnsi="Times New Roman" w:cs="Times New Roman"/>
          <w:sz w:val="24"/>
          <w:szCs w:val="24"/>
        </w:rPr>
        <w:t>Neumiller</w:t>
      </w:r>
      <w:proofErr w:type="spellEnd"/>
      <w:r w:rsidRPr="00E91CF6">
        <w:rPr>
          <w:rFonts w:ascii="Times New Roman" w:eastAsia="Times New Roman" w:hAnsi="Times New Roman" w:cs="Times New Roman"/>
          <w:sz w:val="24"/>
          <w:szCs w:val="24"/>
        </w:rPr>
        <w:t xml:space="preserve">, J. J., Patel, U. D., Ratner, R. E., Whaley-Connell, A. T., &amp; </w:t>
      </w:r>
      <w:proofErr w:type="spellStart"/>
      <w:r w:rsidRPr="00E91CF6">
        <w:rPr>
          <w:rFonts w:ascii="Times New Roman" w:eastAsia="Times New Roman" w:hAnsi="Times New Roman" w:cs="Times New Roman"/>
          <w:sz w:val="24"/>
          <w:szCs w:val="24"/>
        </w:rPr>
        <w:t>Molitch</w:t>
      </w:r>
      <w:proofErr w:type="spellEnd"/>
      <w:r w:rsidRPr="00E91CF6">
        <w:rPr>
          <w:rFonts w:ascii="Times New Roman" w:eastAsia="Times New Roman" w:hAnsi="Times New Roman" w:cs="Times New Roman"/>
          <w:sz w:val="24"/>
          <w:szCs w:val="24"/>
        </w:rPr>
        <w:t>, M. E. (2014). Diabetic Kidney Disease: A Report From an ADA Consensus Conference. Diabetes Care, 37(10), 2864–2883. https://doi.org/10.2337/dc14-1296</w:t>
      </w:r>
    </w:p>
    <w:p w14:paraId="732E8B8B" w14:textId="0F3F7324" w:rsidR="00685819" w:rsidRPr="00E91CF6" w:rsidRDefault="002B7D67"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proofErr w:type="spellStart"/>
      <w:r w:rsidRPr="00E91CF6">
        <w:rPr>
          <w:rFonts w:ascii="Times New Roman" w:eastAsia="Times New Roman" w:hAnsi="Times New Roman" w:cs="Times New Roman"/>
          <w:sz w:val="24"/>
          <w:szCs w:val="24"/>
        </w:rPr>
        <w:t>Uloko</w:t>
      </w:r>
      <w:proofErr w:type="spellEnd"/>
      <w:r w:rsidRPr="00E91CF6">
        <w:rPr>
          <w:rFonts w:ascii="Times New Roman" w:eastAsia="Times New Roman" w:hAnsi="Times New Roman" w:cs="Times New Roman"/>
          <w:sz w:val="24"/>
          <w:szCs w:val="24"/>
        </w:rPr>
        <w:t xml:space="preserve">, A. E., Musa, B. M., </w:t>
      </w:r>
      <w:proofErr w:type="spellStart"/>
      <w:r w:rsidRPr="00E91CF6">
        <w:rPr>
          <w:rFonts w:ascii="Times New Roman" w:eastAsia="Times New Roman" w:hAnsi="Times New Roman" w:cs="Times New Roman"/>
          <w:sz w:val="24"/>
          <w:szCs w:val="24"/>
        </w:rPr>
        <w:t>Ramalan</w:t>
      </w:r>
      <w:proofErr w:type="spellEnd"/>
      <w:r w:rsidRPr="00E91CF6">
        <w:rPr>
          <w:rFonts w:ascii="Times New Roman" w:eastAsia="Times New Roman" w:hAnsi="Times New Roman" w:cs="Times New Roman"/>
          <w:sz w:val="24"/>
          <w:szCs w:val="24"/>
        </w:rPr>
        <w:t xml:space="preserve">, M. A., </w:t>
      </w:r>
      <w:proofErr w:type="spellStart"/>
      <w:r w:rsidRPr="00E91CF6">
        <w:rPr>
          <w:rFonts w:ascii="Times New Roman" w:eastAsia="Times New Roman" w:hAnsi="Times New Roman" w:cs="Times New Roman"/>
          <w:sz w:val="24"/>
          <w:szCs w:val="24"/>
        </w:rPr>
        <w:t>Gezawa</w:t>
      </w:r>
      <w:proofErr w:type="spellEnd"/>
      <w:r w:rsidRPr="00E91CF6">
        <w:rPr>
          <w:rFonts w:ascii="Times New Roman" w:eastAsia="Times New Roman" w:hAnsi="Times New Roman" w:cs="Times New Roman"/>
          <w:sz w:val="24"/>
          <w:szCs w:val="24"/>
        </w:rPr>
        <w:t xml:space="preserve">, I. D., </w:t>
      </w:r>
      <w:proofErr w:type="spellStart"/>
      <w:r w:rsidRPr="00E91CF6">
        <w:rPr>
          <w:rFonts w:ascii="Times New Roman" w:eastAsia="Times New Roman" w:hAnsi="Times New Roman" w:cs="Times New Roman"/>
          <w:sz w:val="24"/>
          <w:szCs w:val="24"/>
        </w:rPr>
        <w:t>Puepet</w:t>
      </w:r>
      <w:proofErr w:type="spellEnd"/>
      <w:r w:rsidRPr="00E91CF6">
        <w:rPr>
          <w:rFonts w:ascii="Times New Roman" w:eastAsia="Times New Roman" w:hAnsi="Times New Roman" w:cs="Times New Roman"/>
          <w:sz w:val="24"/>
          <w:szCs w:val="24"/>
        </w:rPr>
        <w:t xml:space="preserve">, F. H., </w:t>
      </w:r>
      <w:proofErr w:type="spellStart"/>
      <w:r w:rsidRPr="00E91CF6">
        <w:rPr>
          <w:rFonts w:ascii="Times New Roman" w:eastAsia="Times New Roman" w:hAnsi="Times New Roman" w:cs="Times New Roman"/>
          <w:sz w:val="24"/>
          <w:szCs w:val="24"/>
        </w:rPr>
        <w:t>Uloko</w:t>
      </w:r>
      <w:proofErr w:type="spellEnd"/>
      <w:r w:rsidRPr="00E91CF6">
        <w:rPr>
          <w:rFonts w:ascii="Times New Roman" w:eastAsia="Times New Roman" w:hAnsi="Times New Roman" w:cs="Times New Roman"/>
          <w:sz w:val="24"/>
          <w:szCs w:val="24"/>
        </w:rPr>
        <w:t xml:space="preserve">, A. T., </w:t>
      </w:r>
      <w:proofErr w:type="spellStart"/>
      <w:r w:rsidRPr="00E91CF6">
        <w:rPr>
          <w:rFonts w:ascii="Times New Roman" w:eastAsia="Times New Roman" w:hAnsi="Times New Roman" w:cs="Times New Roman"/>
          <w:sz w:val="24"/>
          <w:szCs w:val="24"/>
        </w:rPr>
        <w:t>Borodo</w:t>
      </w:r>
      <w:proofErr w:type="spellEnd"/>
      <w:r w:rsidRPr="00E91CF6">
        <w:rPr>
          <w:rFonts w:ascii="Times New Roman" w:eastAsia="Times New Roman" w:hAnsi="Times New Roman" w:cs="Times New Roman"/>
          <w:sz w:val="24"/>
          <w:szCs w:val="24"/>
        </w:rPr>
        <w:t xml:space="preserve">, M. M., &amp; </w:t>
      </w:r>
      <w:proofErr w:type="spellStart"/>
      <w:r w:rsidRPr="00E91CF6">
        <w:rPr>
          <w:rFonts w:ascii="Times New Roman" w:eastAsia="Times New Roman" w:hAnsi="Times New Roman" w:cs="Times New Roman"/>
          <w:sz w:val="24"/>
          <w:szCs w:val="24"/>
        </w:rPr>
        <w:t>Sada</w:t>
      </w:r>
      <w:proofErr w:type="spellEnd"/>
      <w:r w:rsidRPr="00E91CF6">
        <w:rPr>
          <w:rFonts w:ascii="Times New Roman" w:eastAsia="Times New Roman" w:hAnsi="Times New Roman" w:cs="Times New Roman"/>
          <w:sz w:val="24"/>
          <w:szCs w:val="24"/>
        </w:rPr>
        <w:t>, K. B. (2018). Prevalence and risk factors for diabetes mellitus in Nigeria: A systematic review and meta-analysis. Diabetes Therapy, 9(3), 1307–1316. https://doi.org/10.1007/s13300-018-0441-1</w:t>
      </w:r>
    </w:p>
    <w:p w14:paraId="5BAC40E4" w14:textId="31BB69D4" w:rsidR="00685819" w:rsidRPr="00E91CF6" w:rsidRDefault="00334F84" w:rsidP="00E91CF6">
      <w:pPr>
        <w:spacing w:before="100" w:beforeAutospacing="1" w:after="100" w:afterAutospacing="1" w:line="240" w:lineRule="auto"/>
        <w:ind w:left="540" w:hanging="540"/>
        <w:jc w:val="both"/>
        <w:rPr>
          <w:rFonts w:ascii="Times New Roman" w:eastAsia="Times New Roman" w:hAnsi="Times New Roman" w:cs="Times New Roman"/>
          <w:sz w:val="24"/>
          <w:szCs w:val="24"/>
          <w:highlight w:val="yellow"/>
        </w:rPr>
      </w:pPr>
      <w:r w:rsidRPr="00E91CF6">
        <w:rPr>
          <w:rFonts w:ascii="Times New Roman" w:eastAsia="Times New Roman" w:hAnsi="Times New Roman" w:cs="Times New Roman"/>
          <w:sz w:val="24"/>
          <w:szCs w:val="24"/>
        </w:rPr>
        <w:t>Vaidya, V. S., Ferguson, M. A., &amp; Bonventre, J. V. (</w:t>
      </w:r>
      <w:commentRangeStart w:id="48"/>
      <w:r w:rsidRPr="00E91CF6">
        <w:rPr>
          <w:rFonts w:ascii="Times New Roman" w:eastAsia="Times New Roman" w:hAnsi="Times New Roman" w:cs="Times New Roman"/>
          <w:sz w:val="24"/>
          <w:szCs w:val="24"/>
        </w:rPr>
        <w:t>2008</w:t>
      </w:r>
      <w:commentRangeEnd w:id="48"/>
      <w:r w:rsidR="0061240F">
        <w:rPr>
          <w:rStyle w:val="ab"/>
        </w:rPr>
        <w:commentReference w:id="48"/>
      </w:r>
      <w:r w:rsidRPr="00E91CF6">
        <w:rPr>
          <w:rFonts w:ascii="Times New Roman" w:eastAsia="Times New Roman" w:hAnsi="Times New Roman" w:cs="Times New Roman"/>
          <w:sz w:val="24"/>
          <w:szCs w:val="24"/>
        </w:rPr>
        <w:t>). Biomarkers of acute kidney injury. Annual Review of Pharmacology and Toxicology, 48, 463–493. https://doi.org/10.1146/annurev.pharmtox.48.113006.094615</w:t>
      </w:r>
    </w:p>
    <w:p w14:paraId="7A424C28" w14:textId="77777777" w:rsidR="00685819" w:rsidRPr="00E91CF6" w:rsidRDefault="00685819" w:rsidP="00E91CF6">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E91CF6">
        <w:rPr>
          <w:rFonts w:ascii="Times New Roman" w:eastAsia="Times New Roman" w:hAnsi="Times New Roman" w:cs="Times New Roman"/>
          <w:sz w:val="24"/>
          <w:szCs w:val="24"/>
        </w:rPr>
        <w:t xml:space="preserve">World Health Organization. (2019). Health-seeking </w:t>
      </w:r>
      <w:proofErr w:type="spellStart"/>
      <w:r w:rsidRPr="00E91CF6">
        <w:rPr>
          <w:rFonts w:ascii="Times New Roman" w:eastAsia="Times New Roman" w:hAnsi="Times New Roman" w:cs="Times New Roman"/>
          <w:sz w:val="24"/>
          <w:szCs w:val="24"/>
        </w:rPr>
        <w:t>behaviour</w:t>
      </w:r>
      <w:proofErr w:type="spellEnd"/>
      <w:r w:rsidRPr="00E91CF6">
        <w:rPr>
          <w:rFonts w:ascii="Times New Roman" w:eastAsia="Times New Roman" w:hAnsi="Times New Roman" w:cs="Times New Roman"/>
          <w:sz w:val="24"/>
          <w:szCs w:val="24"/>
        </w:rPr>
        <w:t xml:space="preserve"> and gender. Geneva: WHO Press.</w:t>
      </w:r>
    </w:p>
    <w:p w14:paraId="5C7098DC" w14:textId="77777777" w:rsidR="00685819" w:rsidRPr="00E91CF6" w:rsidRDefault="00685819" w:rsidP="00E91CF6">
      <w:pPr>
        <w:spacing w:before="100" w:beforeAutospacing="1" w:after="100" w:afterAutospacing="1" w:line="240" w:lineRule="auto"/>
        <w:ind w:left="540" w:hanging="540"/>
        <w:jc w:val="both"/>
        <w:rPr>
          <w:rFonts w:ascii="Times New Roman" w:eastAsia="Times New Roman" w:hAnsi="Times New Roman" w:cs="Times New Roman"/>
          <w:sz w:val="24"/>
          <w:szCs w:val="24"/>
        </w:rPr>
      </w:pPr>
      <w:r w:rsidRPr="00E91CF6">
        <w:rPr>
          <w:rFonts w:ascii="Times New Roman" w:eastAsia="Times New Roman" w:hAnsi="Times New Roman" w:cs="Times New Roman"/>
          <w:sz w:val="24"/>
          <w:szCs w:val="24"/>
        </w:rPr>
        <w:t>Zhang, J., Han, J., Fan, Z., &amp; Chen, J. (2020). Urinary kidney injury molecule-1 (KIM-1) is associated with disease activity in diabetic kidney disease. Clinical Chemistry and Laboratory Medicine (CCLM), 58(8), e178–e181.</w:t>
      </w:r>
    </w:p>
    <w:p w14:paraId="0B8825C9" w14:textId="77777777" w:rsidR="00685819" w:rsidRPr="00FB01D8" w:rsidRDefault="00685819" w:rsidP="0041280B">
      <w:pPr>
        <w:jc w:val="both"/>
        <w:rPr>
          <w:rFonts w:ascii="Times New Roman" w:hAnsi="Times New Roman" w:cs="Times New Roman"/>
          <w:sz w:val="24"/>
          <w:szCs w:val="24"/>
        </w:rPr>
      </w:pPr>
    </w:p>
    <w:sectPr w:rsidR="00685819" w:rsidRPr="00FB01D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L@manar" w:date="2025-12-12T20:16:00Z" w:initials="A">
    <w:p w14:paraId="56B952DF" w14:textId="6A06F0E4" w:rsidR="00E15EE6" w:rsidRDefault="00E15EE6">
      <w:pPr>
        <w:pStyle w:val="ac"/>
      </w:pPr>
      <w:r>
        <w:rPr>
          <w:rStyle w:val="ab"/>
        </w:rPr>
        <w:annotationRef/>
      </w:r>
      <w:r>
        <w:t>Remove it and add ,</w:t>
      </w:r>
    </w:p>
  </w:comment>
  <w:comment w:id="1" w:author="AL@manar" w:date="2025-12-12T20:22:00Z" w:initials="A">
    <w:p w14:paraId="3093166D" w14:textId="619C1DE9" w:rsidR="005819E6" w:rsidRDefault="005819E6">
      <w:pPr>
        <w:pStyle w:val="ac"/>
      </w:pPr>
      <w:r>
        <w:rPr>
          <w:rStyle w:val="ab"/>
        </w:rPr>
        <w:annotationRef/>
      </w:r>
      <w:r>
        <w:t>Please remove it from the abstract</w:t>
      </w:r>
    </w:p>
  </w:comment>
  <w:comment w:id="2" w:author="AL@manar" w:date="2025-12-12T18:21:00Z" w:initials="A">
    <w:p w14:paraId="1B4CFB23" w14:textId="508F9D86" w:rsidR="00741AFC" w:rsidRDefault="00741AFC">
      <w:pPr>
        <w:pStyle w:val="ac"/>
      </w:pPr>
      <w:r>
        <w:rPr>
          <w:rStyle w:val="ab"/>
        </w:rPr>
        <w:annotationRef/>
      </w:r>
      <w:r>
        <w:t>Add space</w:t>
      </w:r>
    </w:p>
  </w:comment>
  <w:comment w:id="3" w:author="AL@manar" w:date="2025-12-12T18:22:00Z" w:initials="A">
    <w:p w14:paraId="0F6495AF" w14:textId="18E95D0E" w:rsidR="00741AFC" w:rsidRPr="00820F8F" w:rsidRDefault="00741AFC">
      <w:pPr>
        <w:pStyle w:val="ac"/>
        <w:rPr>
          <w:i/>
          <w:iCs/>
        </w:rPr>
      </w:pPr>
      <w:r>
        <w:rPr>
          <w:rStyle w:val="ab"/>
        </w:rPr>
        <w:annotationRef/>
      </w:r>
      <w:r>
        <w:rPr>
          <w:i/>
          <w:iCs/>
        </w:rPr>
        <w:t>et al.,</w:t>
      </w:r>
    </w:p>
  </w:comment>
  <w:comment w:id="4" w:author="AL@manar" w:date="2025-12-12T18:22:00Z" w:initials="A">
    <w:p w14:paraId="10BDBF8A" w14:textId="3BC1A85C" w:rsidR="00741AFC" w:rsidRPr="00820F8F" w:rsidRDefault="00741AFC">
      <w:pPr>
        <w:pStyle w:val="ac"/>
        <w:rPr>
          <w:i/>
          <w:iCs/>
        </w:rPr>
      </w:pPr>
      <w:r>
        <w:rPr>
          <w:rStyle w:val="ab"/>
        </w:rPr>
        <w:annotationRef/>
      </w:r>
      <w:r>
        <w:rPr>
          <w:i/>
          <w:iCs/>
        </w:rPr>
        <w:t>et al.,</w:t>
      </w:r>
    </w:p>
  </w:comment>
  <w:comment w:id="5" w:author="AL@manar" w:date="2025-12-12T18:21:00Z" w:initials="A">
    <w:p w14:paraId="309B03F5" w14:textId="34D2A982" w:rsidR="00741AFC" w:rsidRPr="00820F8F" w:rsidRDefault="00741AFC">
      <w:pPr>
        <w:pStyle w:val="ac"/>
        <w:rPr>
          <w:i/>
          <w:iCs/>
        </w:rPr>
      </w:pPr>
      <w:r>
        <w:rPr>
          <w:rStyle w:val="ab"/>
        </w:rPr>
        <w:annotationRef/>
      </w:r>
      <w:r>
        <w:rPr>
          <w:i/>
          <w:iCs/>
        </w:rPr>
        <w:t>et al.,</w:t>
      </w:r>
    </w:p>
  </w:comment>
  <w:comment w:id="6" w:author="AL@manar" w:date="2025-12-12T18:22:00Z" w:initials="A">
    <w:p w14:paraId="4BA392CA" w14:textId="74F2FCFB" w:rsidR="00741AFC" w:rsidRDefault="00741AFC">
      <w:pPr>
        <w:pStyle w:val="ac"/>
      </w:pPr>
      <w:r>
        <w:rPr>
          <w:rStyle w:val="ab"/>
        </w:rPr>
        <w:annotationRef/>
      </w:r>
      <w:r>
        <w:t>add space</w:t>
      </w:r>
    </w:p>
  </w:comment>
  <w:comment w:id="7" w:author="AL@manar" w:date="2025-12-12T18:23:00Z" w:initials="A">
    <w:p w14:paraId="1068477D" w14:textId="7660F4D5" w:rsidR="00741AFC" w:rsidRDefault="00741AFC">
      <w:pPr>
        <w:pStyle w:val="ac"/>
      </w:pPr>
      <w:r>
        <w:rPr>
          <w:rStyle w:val="ab"/>
        </w:rPr>
        <w:annotationRef/>
      </w:r>
      <w:r>
        <w:t>also</w:t>
      </w:r>
    </w:p>
  </w:comment>
  <w:comment w:id="8" w:author="AL@manar" w:date="2025-12-12T21:01:00Z" w:initials="A">
    <w:p w14:paraId="5E2EB6AE" w14:textId="77C99B13" w:rsidR="0061240F" w:rsidRDefault="0061240F" w:rsidP="0061240F">
      <w:pPr>
        <w:pStyle w:val="ac"/>
      </w:pPr>
      <w:r>
        <w:rPr>
          <w:rStyle w:val="ab"/>
        </w:rPr>
        <w:annotationRef/>
      </w:r>
      <w:r w:rsidRPr="0061240F">
        <w:t>in lis</w:t>
      </w:r>
      <w:r>
        <w:t>t of references was written 2008</w:t>
      </w:r>
      <w:r w:rsidRPr="0061240F">
        <w:t>, which one is correct</w:t>
      </w:r>
    </w:p>
  </w:comment>
  <w:comment w:id="9" w:author="AL@manar" w:date="2025-12-12T21:00:00Z" w:initials="A">
    <w:p w14:paraId="6183CF39" w14:textId="56C1A6F4" w:rsidR="0061240F" w:rsidRDefault="0061240F">
      <w:pPr>
        <w:pStyle w:val="ac"/>
      </w:pPr>
      <w:r>
        <w:rPr>
          <w:rStyle w:val="ab"/>
        </w:rPr>
        <w:annotationRef/>
      </w:r>
      <w:r>
        <w:t>in list of references was written 2009, which one is correct</w:t>
      </w:r>
    </w:p>
  </w:comment>
  <w:comment w:id="10" w:author="AL@manar" w:date="2025-12-12T18:23:00Z" w:initials="A">
    <w:p w14:paraId="28E00FE9" w14:textId="46BE5FA6" w:rsidR="00741AFC" w:rsidRDefault="00741AFC">
      <w:pPr>
        <w:pStyle w:val="ac"/>
      </w:pPr>
      <w:r>
        <w:rPr>
          <w:rStyle w:val="ab"/>
        </w:rPr>
        <w:annotationRef/>
      </w:r>
      <w:r>
        <w:t>also</w:t>
      </w:r>
    </w:p>
  </w:comment>
  <w:comment w:id="11" w:author="AL@manar" w:date="2025-12-12T18:23:00Z" w:initials="A">
    <w:p w14:paraId="2C90B60F" w14:textId="46F71537" w:rsidR="00741AFC" w:rsidRDefault="00741AFC">
      <w:pPr>
        <w:pStyle w:val="ac"/>
      </w:pPr>
      <w:r>
        <w:rPr>
          <w:rStyle w:val="ab"/>
        </w:rPr>
        <w:annotationRef/>
      </w:r>
      <w:r>
        <w:t>add space</w:t>
      </w:r>
    </w:p>
  </w:comment>
  <w:comment w:id="12" w:author="AL@manar" w:date="2025-12-12T18:23:00Z" w:initials="A">
    <w:p w14:paraId="009D914F" w14:textId="160F8D18" w:rsidR="00741AFC" w:rsidRDefault="00741AFC">
      <w:pPr>
        <w:pStyle w:val="ac"/>
      </w:pPr>
      <w:r>
        <w:rPr>
          <w:rStyle w:val="ab"/>
        </w:rPr>
        <w:annotationRef/>
      </w:r>
      <w:r>
        <w:t>also</w:t>
      </w:r>
    </w:p>
  </w:comment>
  <w:comment w:id="13" w:author="AL@manar" w:date="2025-12-12T18:23:00Z" w:initials="A">
    <w:p w14:paraId="6DA4856B" w14:textId="077848E2" w:rsidR="00741AFC" w:rsidRDefault="00741AFC">
      <w:pPr>
        <w:pStyle w:val="ac"/>
      </w:pPr>
      <w:r>
        <w:rPr>
          <w:rStyle w:val="ab"/>
        </w:rPr>
        <w:annotationRef/>
      </w:r>
      <w:r>
        <w:t>also</w:t>
      </w:r>
    </w:p>
  </w:comment>
  <w:comment w:id="14" w:author="AL@manar" w:date="2025-12-12T18:23:00Z" w:initials="A">
    <w:p w14:paraId="0FF5C1F7" w14:textId="53722A6B" w:rsidR="00741AFC" w:rsidRDefault="00741AFC">
      <w:pPr>
        <w:pStyle w:val="ac"/>
      </w:pPr>
      <w:r>
        <w:rPr>
          <w:rStyle w:val="ab"/>
        </w:rPr>
        <w:annotationRef/>
      </w:r>
      <w:r>
        <w:t>add space</w:t>
      </w:r>
    </w:p>
  </w:comment>
  <w:comment w:id="15" w:author="AL@manar" w:date="2025-12-12T18:23:00Z" w:initials="A">
    <w:p w14:paraId="5DD22070" w14:textId="090A2A02" w:rsidR="00741AFC" w:rsidRDefault="00741AFC">
      <w:pPr>
        <w:pStyle w:val="ac"/>
      </w:pPr>
      <w:r>
        <w:rPr>
          <w:rStyle w:val="ab"/>
        </w:rPr>
        <w:annotationRef/>
      </w:r>
      <w:r>
        <w:t>add space</w:t>
      </w:r>
    </w:p>
  </w:comment>
  <w:comment w:id="16" w:author="AL@manar" w:date="2025-12-12T20:03:00Z" w:initials="A">
    <w:p w14:paraId="6BBBC797" w14:textId="6D22082B" w:rsidR="00741AFC" w:rsidRDefault="00741AFC">
      <w:pPr>
        <w:pStyle w:val="ac"/>
      </w:pPr>
      <w:r>
        <w:rPr>
          <w:rStyle w:val="ab"/>
        </w:rPr>
        <w:annotationRef/>
      </w:r>
      <w:r>
        <w:t>remove the space above it</w:t>
      </w:r>
    </w:p>
  </w:comment>
  <w:comment w:id="17" w:author="AL@manar" w:date="2025-12-12T18:24:00Z" w:initials="A">
    <w:p w14:paraId="65FA4798" w14:textId="782C4999" w:rsidR="00741AFC" w:rsidRDefault="00741AFC">
      <w:pPr>
        <w:pStyle w:val="ac"/>
      </w:pPr>
      <w:r>
        <w:rPr>
          <w:rStyle w:val="ab"/>
        </w:rPr>
        <w:annotationRef/>
      </w:r>
      <w:r>
        <w:t xml:space="preserve">add space in the beginning of each paragraph. </w:t>
      </w:r>
    </w:p>
  </w:comment>
  <w:comment w:id="18" w:author="AL@manar" w:date="2025-12-12T18:24:00Z" w:initials="A">
    <w:p w14:paraId="56106645" w14:textId="74953414" w:rsidR="00741AFC" w:rsidRDefault="00741AFC">
      <w:pPr>
        <w:pStyle w:val="ac"/>
      </w:pPr>
      <w:r>
        <w:rPr>
          <w:rStyle w:val="ab"/>
        </w:rPr>
        <w:annotationRef/>
      </w:r>
      <w:r>
        <w:t>Also</w:t>
      </w:r>
    </w:p>
  </w:comment>
  <w:comment w:id="19" w:author="AL@manar" w:date="2025-12-12T20:24:00Z" w:initials="A">
    <w:p w14:paraId="3D34550D" w14:textId="264F265B" w:rsidR="005819E6" w:rsidRDefault="005819E6">
      <w:pPr>
        <w:pStyle w:val="ac"/>
      </w:pPr>
      <w:r>
        <w:rPr>
          <w:rStyle w:val="ab"/>
        </w:rPr>
        <w:annotationRef/>
      </w:r>
      <w:r>
        <w:t>Please correct it , it is unclear.</w:t>
      </w:r>
    </w:p>
  </w:comment>
  <w:comment w:id="20" w:author="AL@manar" w:date="2025-12-12T20:25:00Z" w:initials="A">
    <w:p w14:paraId="457F28F5" w14:textId="6094CF51" w:rsidR="005819E6" w:rsidRDefault="005819E6">
      <w:pPr>
        <w:pStyle w:val="ac"/>
      </w:pPr>
      <w:r>
        <w:rPr>
          <w:rStyle w:val="ab"/>
        </w:rPr>
        <w:annotationRef/>
      </w:r>
      <w:r>
        <w:t>What is the meaning of it?</w:t>
      </w:r>
    </w:p>
  </w:comment>
  <w:comment w:id="21" w:author="AL@manar" w:date="2025-12-12T20:03:00Z" w:initials="A">
    <w:p w14:paraId="4DA03961" w14:textId="357A9598" w:rsidR="00741AFC" w:rsidRDefault="00741AFC">
      <w:pPr>
        <w:pStyle w:val="ac"/>
      </w:pPr>
      <w:r>
        <w:rPr>
          <w:rStyle w:val="ab"/>
        </w:rPr>
        <w:annotationRef/>
      </w:r>
      <w:r>
        <w:t>Remove the space above it</w:t>
      </w:r>
    </w:p>
  </w:comment>
  <w:comment w:id="22" w:author="AL@manar" w:date="2025-12-12T20:28:00Z" w:initials="A">
    <w:p w14:paraId="47E232BD" w14:textId="51DE4CA8" w:rsidR="005819E6" w:rsidRDefault="005819E6">
      <w:pPr>
        <w:pStyle w:val="ac"/>
      </w:pPr>
      <w:r>
        <w:rPr>
          <w:rStyle w:val="ab"/>
        </w:rPr>
        <w:annotationRef/>
      </w:r>
      <w:r>
        <w:t>venipuncture</w:t>
      </w:r>
    </w:p>
  </w:comment>
  <w:comment w:id="23" w:author="AL@manar" w:date="2025-12-12T20:29:00Z" w:initials="A">
    <w:p w14:paraId="582FA39E" w14:textId="6C9B33DE" w:rsidR="005819E6" w:rsidRDefault="005819E6">
      <w:pPr>
        <w:pStyle w:val="ac"/>
      </w:pPr>
      <w:r>
        <w:rPr>
          <w:rStyle w:val="ab"/>
        </w:rPr>
        <w:annotationRef/>
      </w:r>
      <w:r>
        <w:t>unclear, correct it</w:t>
      </w:r>
    </w:p>
  </w:comment>
  <w:comment w:id="24" w:author="AL@manar" w:date="2025-12-12T20:05:00Z" w:initials="A">
    <w:p w14:paraId="3AC9C0C9" w14:textId="280D9EB7" w:rsidR="00741AFC" w:rsidRDefault="00741AFC">
      <w:pPr>
        <w:pStyle w:val="ac"/>
      </w:pPr>
      <w:r>
        <w:rPr>
          <w:rStyle w:val="ab"/>
        </w:rPr>
        <w:annotationRef/>
      </w:r>
      <w:r>
        <w:t>Write it in the beginning of the next paper.</w:t>
      </w:r>
    </w:p>
  </w:comment>
  <w:comment w:id="25" w:author="AL@manar" w:date="2025-12-12T20:32:00Z" w:initials="A">
    <w:p w14:paraId="1921C3FC" w14:textId="0E023758" w:rsidR="005819E6" w:rsidRDefault="005819E6">
      <w:pPr>
        <w:pStyle w:val="ac"/>
      </w:pPr>
      <w:r>
        <w:rPr>
          <w:rStyle w:val="ab"/>
        </w:rPr>
        <w:annotationRef/>
      </w:r>
      <w:r w:rsidR="005D2FE6">
        <w:t>Fine care</w:t>
      </w:r>
    </w:p>
  </w:comment>
  <w:comment w:id="26" w:author="AL@manar" w:date="2025-12-12T21:05:00Z" w:initials="A">
    <w:p w14:paraId="0353942F" w14:textId="64238F86" w:rsidR="0061240F" w:rsidRDefault="0061240F">
      <w:pPr>
        <w:pStyle w:val="ac"/>
      </w:pPr>
      <w:r>
        <w:rPr>
          <w:rStyle w:val="ab"/>
        </w:rPr>
        <w:annotationRef/>
      </w:r>
      <w:r>
        <w:t>Delete it</w:t>
      </w:r>
    </w:p>
  </w:comment>
  <w:comment w:id="27" w:author="AL@manar" w:date="2025-12-12T20:05:00Z" w:initials="A">
    <w:p w14:paraId="2D8EA2CE" w14:textId="57FE83CD" w:rsidR="00741AFC" w:rsidRDefault="00741AFC">
      <w:pPr>
        <w:pStyle w:val="ac"/>
      </w:pPr>
      <w:r>
        <w:rPr>
          <w:rStyle w:val="ab"/>
        </w:rPr>
        <w:annotationRef/>
      </w:r>
      <w:r>
        <w:t>Remove the space above it</w:t>
      </w:r>
    </w:p>
  </w:comment>
  <w:comment w:id="31" w:author="AL@manar" w:date="2025-12-12T20:07:00Z" w:initials="A">
    <w:p w14:paraId="5A1328A3" w14:textId="6C184FBE" w:rsidR="00741AFC" w:rsidRDefault="00741AFC">
      <w:pPr>
        <w:pStyle w:val="ac"/>
      </w:pPr>
      <w:r>
        <w:rPr>
          <w:rStyle w:val="ab"/>
        </w:rPr>
        <w:annotationRef/>
      </w:r>
      <w:r>
        <w:t>Reduce the volume of this table</w:t>
      </w:r>
    </w:p>
  </w:comment>
  <w:comment w:id="33" w:author="AL@manar" w:date="2025-12-12T20:34:00Z" w:initials="A">
    <w:p w14:paraId="0611D3BC" w14:textId="2A2C10B5" w:rsidR="005D2FE6" w:rsidRDefault="005D2FE6">
      <w:pPr>
        <w:pStyle w:val="ac"/>
      </w:pPr>
      <w:r>
        <w:rPr>
          <w:rStyle w:val="ab"/>
        </w:rPr>
        <w:annotationRef/>
      </w:r>
      <w:r>
        <w:t>Reduce the number of references</w:t>
      </w:r>
    </w:p>
  </w:comment>
  <w:comment w:id="34" w:author="AL@manar" w:date="2025-12-12T20:36:00Z" w:initials="A">
    <w:p w14:paraId="7789ABB2" w14:textId="6F7A8917" w:rsidR="005D2FE6" w:rsidRDefault="005D2FE6">
      <w:pPr>
        <w:pStyle w:val="ac"/>
      </w:pPr>
      <w:r>
        <w:rPr>
          <w:rStyle w:val="ab"/>
        </w:rPr>
        <w:annotationRef/>
      </w:r>
      <w:r>
        <w:t>Re-arrange these references from old to new</w:t>
      </w:r>
    </w:p>
  </w:comment>
  <w:comment w:id="36" w:author="AL@manar" w:date="2025-12-12T21:07:00Z" w:initials="A">
    <w:p w14:paraId="4345E890" w14:textId="07E4643C" w:rsidR="0061240F" w:rsidRDefault="0061240F">
      <w:pPr>
        <w:pStyle w:val="ac"/>
      </w:pPr>
      <w:r>
        <w:rPr>
          <w:rStyle w:val="ab"/>
        </w:rPr>
        <w:annotationRef/>
      </w:r>
      <w:r>
        <w:t>In references was written 2008, which one is correct?</w:t>
      </w:r>
    </w:p>
  </w:comment>
  <w:comment w:id="35" w:author="AL@manar" w:date="2025-12-12T20:36:00Z" w:initials="A">
    <w:p w14:paraId="4AEA2BCB" w14:textId="27143CBE" w:rsidR="005D2FE6" w:rsidRDefault="005D2FE6" w:rsidP="005D2FE6">
      <w:pPr>
        <w:pStyle w:val="ac"/>
      </w:pPr>
      <w:r>
        <w:rPr>
          <w:rStyle w:val="ab"/>
        </w:rPr>
        <w:annotationRef/>
      </w:r>
      <w:r>
        <w:t xml:space="preserve">Also, </w:t>
      </w:r>
      <w:r w:rsidRPr="005D2FE6">
        <w:t>Re-arrange these references from old to new</w:t>
      </w:r>
    </w:p>
  </w:comment>
  <w:comment w:id="38" w:author="AL@manar" w:date="2025-12-12T21:08:00Z" w:initials="A">
    <w:p w14:paraId="0ADEE116" w14:textId="1947F87D" w:rsidR="00216FB1" w:rsidRPr="00216FB1" w:rsidRDefault="00216FB1" w:rsidP="00216FB1">
      <w:pPr>
        <w:pStyle w:val="ac"/>
      </w:pPr>
      <w:r>
        <w:rPr>
          <w:rStyle w:val="ab"/>
        </w:rPr>
        <w:annotationRef/>
      </w:r>
      <w:r w:rsidRPr="00216FB1">
        <w:t xml:space="preserve">In </w:t>
      </w:r>
      <w:r>
        <w:t>references was written 2002</w:t>
      </w:r>
      <w:r w:rsidRPr="00216FB1">
        <w:t>, which one is correct?</w:t>
      </w:r>
    </w:p>
    <w:p w14:paraId="248DF34C" w14:textId="74BB6AAC" w:rsidR="00216FB1" w:rsidRDefault="00216FB1">
      <w:pPr>
        <w:pStyle w:val="ac"/>
      </w:pPr>
    </w:p>
  </w:comment>
  <w:comment w:id="37" w:author="AL@manar" w:date="2025-12-12T20:36:00Z" w:initials="A">
    <w:p w14:paraId="772218BC" w14:textId="33E5EB24" w:rsidR="005D2FE6" w:rsidRDefault="005D2FE6">
      <w:pPr>
        <w:pStyle w:val="ac"/>
      </w:pPr>
      <w:r>
        <w:rPr>
          <w:rStyle w:val="ab"/>
        </w:rPr>
        <w:annotationRef/>
      </w:r>
      <w:r>
        <w:t>also</w:t>
      </w:r>
    </w:p>
  </w:comment>
  <w:comment w:id="39" w:author="AL@manar" w:date="2025-12-12T21:09:00Z" w:initials="A">
    <w:p w14:paraId="7914A4C7" w14:textId="6CE1AE8C" w:rsidR="00216FB1" w:rsidRDefault="00216FB1" w:rsidP="00216FB1">
      <w:pPr>
        <w:pStyle w:val="ac"/>
      </w:pPr>
      <w:r>
        <w:rPr>
          <w:rStyle w:val="ab"/>
        </w:rPr>
        <w:annotationRef/>
      </w:r>
      <w:r w:rsidRPr="00216FB1">
        <w:t xml:space="preserve">In </w:t>
      </w:r>
      <w:r>
        <w:t>references was written 2010</w:t>
      </w:r>
      <w:bookmarkStart w:id="40" w:name="_GoBack"/>
      <w:bookmarkEnd w:id="40"/>
      <w:r w:rsidRPr="00216FB1">
        <w:t>, which one is correct?</w:t>
      </w:r>
    </w:p>
  </w:comment>
  <w:comment w:id="41" w:author="AL@manar" w:date="2025-12-12T20:37:00Z" w:initials="A">
    <w:p w14:paraId="167A936E" w14:textId="1CB134C5" w:rsidR="005D2FE6" w:rsidRDefault="005D2FE6">
      <w:pPr>
        <w:pStyle w:val="ac"/>
      </w:pPr>
      <w:r>
        <w:rPr>
          <w:rStyle w:val="ab"/>
        </w:rPr>
        <w:annotationRef/>
      </w:r>
      <w:r>
        <w:t>re-arrange from old to new</w:t>
      </w:r>
    </w:p>
  </w:comment>
  <w:comment w:id="42" w:author="AL@manar" w:date="2025-12-12T20:38:00Z" w:initials="A">
    <w:p w14:paraId="554225E2" w14:textId="4CD8489C" w:rsidR="005D2FE6" w:rsidRDefault="005D2FE6">
      <w:pPr>
        <w:pStyle w:val="ac"/>
      </w:pPr>
      <w:r>
        <w:rPr>
          <w:rStyle w:val="ab"/>
        </w:rPr>
        <w:annotationRef/>
      </w:r>
      <w:r>
        <w:t>add reference</w:t>
      </w:r>
    </w:p>
  </w:comment>
  <w:comment w:id="43" w:author="AL@manar" w:date="2025-12-12T20:08:00Z" w:initials="A">
    <w:p w14:paraId="1AFBD0E3" w14:textId="782030B1" w:rsidR="00741AFC" w:rsidRDefault="00741AFC">
      <w:pPr>
        <w:pStyle w:val="ac"/>
      </w:pPr>
      <w:r>
        <w:rPr>
          <w:rStyle w:val="ab"/>
        </w:rPr>
        <w:annotationRef/>
      </w:r>
      <w:r>
        <w:t>old reference, please replace it.</w:t>
      </w:r>
    </w:p>
  </w:comment>
  <w:comment w:id="44" w:author="AL@manar" w:date="2025-12-12T18:28:00Z" w:initials="A">
    <w:p w14:paraId="03B1307B" w14:textId="69A094F2" w:rsidR="00741AFC" w:rsidRDefault="00741AFC">
      <w:pPr>
        <w:pStyle w:val="ac"/>
      </w:pPr>
      <w:r>
        <w:rPr>
          <w:rStyle w:val="ab"/>
        </w:rPr>
        <w:annotationRef/>
      </w:r>
      <w:r>
        <w:t>Old reference</w:t>
      </w:r>
    </w:p>
  </w:comment>
  <w:comment w:id="45" w:author="AL@manar" w:date="2025-12-12T21:02:00Z" w:initials="A">
    <w:p w14:paraId="0C4F1F91" w14:textId="4A88F609" w:rsidR="0061240F" w:rsidRDefault="0061240F">
      <w:pPr>
        <w:pStyle w:val="ac"/>
      </w:pPr>
      <w:r>
        <w:rPr>
          <w:rStyle w:val="ab"/>
        </w:rPr>
        <w:annotationRef/>
      </w:r>
      <w:r>
        <w:t>In text was written 2014, which one is correct?</w:t>
      </w:r>
    </w:p>
  </w:comment>
  <w:comment w:id="46" w:author="AL@manar" w:date="2025-12-12T20:11:00Z" w:initials="A">
    <w:p w14:paraId="507EEFC4" w14:textId="29AB5095" w:rsidR="00741AFC" w:rsidRDefault="00741AFC">
      <w:pPr>
        <w:pStyle w:val="ac"/>
      </w:pPr>
      <w:r>
        <w:rPr>
          <w:rStyle w:val="ab"/>
        </w:rPr>
        <w:annotationRef/>
      </w:r>
      <w:r>
        <w:t>V</w:t>
      </w:r>
      <w:r w:rsidR="00B75EC4">
        <w:t>ery old reference, please replace</w:t>
      </w:r>
      <w:r>
        <w:t xml:space="preserve"> it</w:t>
      </w:r>
    </w:p>
  </w:comment>
  <w:comment w:id="47" w:author="AL@manar" w:date="2025-12-12T20:13:00Z" w:initials="A">
    <w:p w14:paraId="2C3F3CD8" w14:textId="1DFC8801" w:rsidR="00B75EC4" w:rsidRDefault="00B75EC4">
      <w:pPr>
        <w:pStyle w:val="ac"/>
      </w:pPr>
      <w:r>
        <w:rPr>
          <w:rStyle w:val="ab"/>
        </w:rPr>
        <w:annotationRef/>
      </w:r>
      <w:r>
        <w:t>Where is the no. of papers</w:t>
      </w:r>
    </w:p>
  </w:comment>
  <w:comment w:id="48" w:author="AL@manar" w:date="2025-12-12T20:59:00Z" w:initials="A">
    <w:p w14:paraId="0F28588E" w14:textId="72A29039" w:rsidR="0061240F" w:rsidRDefault="0061240F">
      <w:pPr>
        <w:pStyle w:val="ac"/>
      </w:pPr>
      <w:r>
        <w:rPr>
          <w:rStyle w:val="ab"/>
        </w:rPr>
        <w:annotationRef/>
      </w:r>
      <w:r>
        <w:t>In text was written 2010, which is true?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1F48B" w14:textId="77777777" w:rsidR="00A63080" w:rsidRDefault="00A63080" w:rsidP="00E86566">
      <w:pPr>
        <w:spacing w:after="0" w:line="240" w:lineRule="auto"/>
      </w:pPr>
      <w:r>
        <w:separator/>
      </w:r>
    </w:p>
  </w:endnote>
  <w:endnote w:type="continuationSeparator" w:id="0">
    <w:p w14:paraId="3D347271" w14:textId="77777777" w:rsidR="00A63080" w:rsidRDefault="00A63080" w:rsidP="00E86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2D8D1" w14:textId="77777777" w:rsidR="00741AFC" w:rsidRDefault="00741AF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E5E73" w14:textId="77777777" w:rsidR="00741AFC" w:rsidRDefault="00741AF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136F0" w14:textId="77777777" w:rsidR="00741AFC" w:rsidRDefault="00741AF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55DCC" w14:textId="77777777" w:rsidR="00A63080" w:rsidRDefault="00A63080" w:rsidP="00E86566">
      <w:pPr>
        <w:spacing w:after="0" w:line="240" w:lineRule="auto"/>
      </w:pPr>
      <w:r>
        <w:separator/>
      </w:r>
    </w:p>
  </w:footnote>
  <w:footnote w:type="continuationSeparator" w:id="0">
    <w:p w14:paraId="5E03D9AB" w14:textId="77777777" w:rsidR="00A63080" w:rsidRDefault="00A63080" w:rsidP="00E86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6C9BD" w14:textId="0DA8354C" w:rsidR="00741AFC" w:rsidRDefault="00741AFC">
    <w:pPr>
      <w:pStyle w:val="a8"/>
    </w:pPr>
    <w:r>
      <w:rPr>
        <w:noProof/>
      </w:rPr>
      <w:pict w14:anchorId="725A4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42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98697" w14:textId="690A2AE8" w:rsidR="00741AFC" w:rsidRDefault="00741AFC">
    <w:pPr>
      <w:pStyle w:val="a8"/>
    </w:pPr>
    <w:r>
      <w:rPr>
        <w:noProof/>
      </w:rPr>
      <w:pict w14:anchorId="1201C5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42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558DD" w14:textId="612D033E" w:rsidR="00741AFC" w:rsidRDefault="00741AFC">
    <w:pPr>
      <w:pStyle w:val="a8"/>
    </w:pPr>
    <w:r>
      <w:rPr>
        <w:noProof/>
      </w:rPr>
      <w:pict w14:anchorId="6DA80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542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01281"/>
    <w:multiLevelType w:val="hybridMultilevel"/>
    <w:tmpl w:val="0F048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80B"/>
    <w:rsid w:val="0000401C"/>
    <w:rsid w:val="00046F09"/>
    <w:rsid w:val="000B687B"/>
    <w:rsid w:val="00150DCF"/>
    <w:rsid w:val="0019102B"/>
    <w:rsid w:val="001928EB"/>
    <w:rsid w:val="001931AA"/>
    <w:rsid w:val="00216FB1"/>
    <w:rsid w:val="00263220"/>
    <w:rsid w:val="002B6AE6"/>
    <w:rsid w:val="002B7D67"/>
    <w:rsid w:val="00334F84"/>
    <w:rsid w:val="00350F2E"/>
    <w:rsid w:val="0041280B"/>
    <w:rsid w:val="0046004A"/>
    <w:rsid w:val="0052291F"/>
    <w:rsid w:val="0054191A"/>
    <w:rsid w:val="00567AB3"/>
    <w:rsid w:val="005819E6"/>
    <w:rsid w:val="005C2C70"/>
    <w:rsid w:val="005D2FE6"/>
    <w:rsid w:val="0061240F"/>
    <w:rsid w:val="00672E5D"/>
    <w:rsid w:val="00685819"/>
    <w:rsid w:val="00691A74"/>
    <w:rsid w:val="00715200"/>
    <w:rsid w:val="00741AFC"/>
    <w:rsid w:val="00791D09"/>
    <w:rsid w:val="007D5C92"/>
    <w:rsid w:val="007F13D0"/>
    <w:rsid w:val="00820F8F"/>
    <w:rsid w:val="009060E9"/>
    <w:rsid w:val="00967F03"/>
    <w:rsid w:val="00A33EE4"/>
    <w:rsid w:val="00A63080"/>
    <w:rsid w:val="00A74A0C"/>
    <w:rsid w:val="00A90700"/>
    <w:rsid w:val="00B260EE"/>
    <w:rsid w:val="00B75EC4"/>
    <w:rsid w:val="00B859B6"/>
    <w:rsid w:val="00BB0C1C"/>
    <w:rsid w:val="00BF5199"/>
    <w:rsid w:val="00C111BE"/>
    <w:rsid w:val="00C11728"/>
    <w:rsid w:val="00C24997"/>
    <w:rsid w:val="00C32EC6"/>
    <w:rsid w:val="00C56A8F"/>
    <w:rsid w:val="00CF0D30"/>
    <w:rsid w:val="00D274AF"/>
    <w:rsid w:val="00E15EE6"/>
    <w:rsid w:val="00E4383E"/>
    <w:rsid w:val="00E43A9B"/>
    <w:rsid w:val="00E86566"/>
    <w:rsid w:val="00E91CF6"/>
    <w:rsid w:val="00FB01D8"/>
    <w:rsid w:val="00FC5F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4C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Char"/>
    <w:qFormat/>
    <w:rsid w:val="00FB01D8"/>
    <w:pPr>
      <w:spacing w:before="100" w:beforeAutospacing="1" w:after="100" w:afterAutospacing="1" w:line="240" w:lineRule="auto"/>
      <w:outlineLvl w:val="0"/>
    </w:pPr>
    <w:rPr>
      <w:rFonts w:ascii="SimSun" w:eastAsia="SimSun" w:hAnsi="SimSun" w:cs="Times New Roman"/>
      <w:b/>
      <w:bCs/>
      <w:kern w:val="44"/>
      <w:sz w:val="48"/>
      <w:szCs w:val="48"/>
      <w:lang w:eastAsia="zh-CN"/>
    </w:rPr>
  </w:style>
  <w:style w:type="paragraph" w:styleId="2">
    <w:name w:val="heading 2"/>
    <w:next w:val="a"/>
    <w:link w:val="2Char"/>
    <w:semiHidden/>
    <w:unhideWhenUsed/>
    <w:qFormat/>
    <w:rsid w:val="00FB01D8"/>
    <w:pPr>
      <w:spacing w:before="100" w:beforeAutospacing="1" w:after="100" w:afterAutospacing="1" w:line="240" w:lineRule="auto"/>
      <w:outlineLvl w:val="1"/>
    </w:pPr>
    <w:rPr>
      <w:rFonts w:ascii="SimSun" w:eastAsia="SimSun" w:hAnsi="SimSun" w:cs="Times New Roman"/>
      <w:b/>
      <w:bCs/>
      <w:sz w:val="36"/>
      <w:szCs w:val="36"/>
      <w:lang w:eastAsia="zh-CN"/>
    </w:rPr>
  </w:style>
  <w:style w:type="paragraph" w:styleId="3">
    <w:name w:val="heading 3"/>
    <w:next w:val="a"/>
    <w:link w:val="3Char"/>
    <w:semiHidden/>
    <w:unhideWhenUsed/>
    <w:qFormat/>
    <w:rsid w:val="00FB01D8"/>
    <w:pPr>
      <w:spacing w:before="100" w:beforeAutospacing="1" w:after="100" w:afterAutospacing="1" w:line="240" w:lineRule="auto"/>
      <w:outlineLvl w:val="2"/>
    </w:pPr>
    <w:rPr>
      <w:rFonts w:ascii="SimSun" w:eastAsia="SimSun" w:hAnsi="SimSun" w:cs="Times New Roman"/>
      <w:b/>
      <w:bCs/>
      <w:sz w:val="27"/>
      <w:szCs w:val="27"/>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nhideWhenUsed/>
    <w:rsid w:val="00B260EE"/>
    <w:rPr>
      <w:color w:val="0563C1" w:themeColor="hyperlink"/>
      <w:u w:val="single"/>
    </w:rPr>
  </w:style>
  <w:style w:type="character" w:customStyle="1" w:styleId="UnresolvedMention">
    <w:name w:val="Unresolved Mention"/>
    <w:basedOn w:val="a0"/>
    <w:uiPriority w:val="99"/>
    <w:semiHidden/>
    <w:unhideWhenUsed/>
    <w:rsid w:val="00B260EE"/>
    <w:rPr>
      <w:color w:val="605E5C"/>
      <w:shd w:val="clear" w:color="auto" w:fill="E1DFDD"/>
    </w:rPr>
  </w:style>
  <w:style w:type="character" w:customStyle="1" w:styleId="1Char">
    <w:name w:val="عنوان 1 Char"/>
    <w:basedOn w:val="a0"/>
    <w:link w:val="1"/>
    <w:rsid w:val="00FB01D8"/>
    <w:rPr>
      <w:rFonts w:ascii="SimSun" w:eastAsia="SimSun" w:hAnsi="SimSun" w:cs="Times New Roman"/>
      <w:b/>
      <w:bCs/>
      <w:kern w:val="44"/>
      <w:sz w:val="48"/>
      <w:szCs w:val="48"/>
      <w:lang w:eastAsia="zh-CN"/>
    </w:rPr>
  </w:style>
  <w:style w:type="character" w:customStyle="1" w:styleId="2Char">
    <w:name w:val="عنوان 2 Char"/>
    <w:basedOn w:val="a0"/>
    <w:link w:val="2"/>
    <w:semiHidden/>
    <w:rsid w:val="00FB01D8"/>
    <w:rPr>
      <w:rFonts w:ascii="SimSun" w:eastAsia="SimSun" w:hAnsi="SimSun" w:cs="Times New Roman"/>
      <w:b/>
      <w:bCs/>
      <w:sz w:val="36"/>
      <w:szCs w:val="36"/>
      <w:lang w:eastAsia="zh-CN"/>
    </w:rPr>
  </w:style>
  <w:style w:type="character" w:customStyle="1" w:styleId="3Char">
    <w:name w:val="عنوان 3 Char"/>
    <w:basedOn w:val="a0"/>
    <w:link w:val="3"/>
    <w:semiHidden/>
    <w:rsid w:val="00FB01D8"/>
    <w:rPr>
      <w:rFonts w:ascii="SimSun" w:eastAsia="SimSun" w:hAnsi="SimSun" w:cs="Times New Roman"/>
      <w:b/>
      <w:bCs/>
      <w:sz w:val="27"/>
      <w:szCs w:val="27"/>
      <w:lang w:eastAsia="zh-CN"/>
    </w:rPr>
  </w:style>
  <w:style w:type="numbering" w:customStyle="1" w:styleId="NoList1">
    <w:name w:val="No List1"/>
    <w:next w:val="a2"/>
    <w:uiPriority w:val="99"/>
    <w:semiHidden/>
    <w:unhideWhenUsed/>
    <w:rsid w:val="00FB01D8"/>
  </w:style>
  <w:style w:type="character" w:customStyle="1" w:styleId="FollowedHyperlink1">
    <w:name w:val="FollowedHyperlink1"/>
    <w:basedOn w:val="a0"/>
    <w:uiPriority w:val="99"/>
    <w:semiHidden/>
    <w:unhideWhenUsed/>
    <w:rsid w:val="00FB01D8"/>
    <w:rPr>
      <w:color w:val="954F72"/>
      <w:u w:val="single"/>
    </w:rPr>
  </w:style>
  <w:style w:type="paragraph" w:customStyle="1" w:styleId="msonormal0">
    <w:name w:val="msonormal"/>
    <w:qFormat/>
    <w:rsid w:val="00FB01D8"/>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a3">
    <w:name w:val="Normal (Web)"/>
    <w:semiHidden/>
    <w:unhideWhenUsed/>
    <w:qFormat/>
    <w:rsid w:val="00FB01D8"/>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Default">
    <w:name w:val="Default"/>
    <w:qFormat/>
    <w:rsid w:val="00FB01D8"/>
    <w:pPr>
      <w:autoSpaceDE w:val="0"/>
      <w:autoSpaceDN w:val="0"/>
      <w:adjustRightInd w:val="0"/>
      <w:spacing w:after="0" w:line="240" w:lineRule="auto"/>
    </w:pPr>
    <w:rPr>
      <w:rFonts w:ascii="Times New Roman" w:eastAsia="Calibri" w:hAnsi="Times New Roman" w:cs="Times New Roman"/>
      <w:color w:val="000000"/>
      <w:sz w:val="24"/>
      <w:szCs w:val="24"/>
      <w14:ligatures w14:val="standardContextual"/>
    </w:rPr>
  </w:style>
  <w:style w:type="paragraph" w:customStyle="1" w:styleId="p1">
    <w:name w:val="p1"/>
    <w:basedOn w:val="a"/>
    <w:qFormat/>
    <w:rsid w:val="00FB01D8"/>
    <w:pPr>
      <w:spacing w:after="0" w:line="240" w:lineRule="auto"/>
    </w:pPr>
    <w:rPr>
      <w:rFonts w:ascii="Helvetica" w:eastAsia="DengXian" w:hAnsi="Helvetica" w:cs="Times New Roman"/>
      <w:sz w:val="18"/>
      <w:szCs w:val="18"/>
      <w:lang w:eastAsia="en-GB"/>
    </w:rPr>
  </w:style>
  <w:style w:type="table" w:styleId="a4">
    <w:name w:val="Table Grid"/>
    <w:basedOn w:val="a1"/>
    <w:uiPriority w:val="39"/>
    <w:qFormat/>
    <w:rsid w:val="00FB01D8"/>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sid w:val="00FB01D8"/>
    <w:rPr>
      <w:b/>
      <w:bCs/>
    </w:rPr>
  </w:style>
  <w:style w:type="character" w:styleId="a6">
    <w:name w:val="FollowedHyperlink"/>
    <w:basedOn w:val="a0"/>
    <w:uiPriority w:val="99"/>
    <w:semiHidden/>
    <w:unhideWhenUsed/>
    <w:rsid w:val="00FB01D8"/>
    <w:rPr>
      <w:color w:val="954F72" w:themeColor="followedHyperlink"/>
      <w:u w:val="single"/>
    </w:rPr>
  </w:style>
  <w:style w:type="paragraph" w:styleId="a7">
    <w:name w:val="List Paragraph"/>
    <w:basedOn w:val="a"/>
    <w:uiPriority w:val="34"/>
    <w:qFormat/>
    <w:rsid w:val="00B859B6"/>
    <w:pPr>
      <w:ind w:left="720"/>
      <w:contextualSpacing/>
    </w:pPr>
  </w:style>
  <w:style w:type="paragraph" w:styleId="a8">
    <w:name w:val="header"/>
    <w:basedOn w:val="a"/>
    <w:link w:val="Char"/>
    <w:uiPriority w:val="99"/>
    <w:unhideWhenUsed/>
    <w:rsid w:val="00E86566"/>
    <w:pPr>
      <w:tabs>
        <w:tab w:val="center" w:pos="4680"/>
        <w:tab w:val="right" w:pos="9360"/>
      </w:tabs>
      <w:spacing w:after="0" w:line="240" w:lineRule="auto"/>
    </w:pPr>
  </w:style>
  <w:style w:type="character" w:customStyle="1" w:styleId="Char">
    <w:name w:val="رأس الصفحة Char"/>
    <w:basedOn w:val="a0"/>
    <w:link w:val="a8"/>
    <w:uiPriority w:val="99"/>
    <w:rsid w:val="00E86566"/>
  </w:style>
  <w:style w:type="paragraph" w:styleId="a9">
    <w:name w:val="footer"/>
    <w:basedOn w:val="a"/>
    <w:link w:val="Char0"/>
    <w:uiPriority w:val="99"/>
    <w:unhideWhenUsed/>
    <w:rsid w:val="00E86566"/>
    <w:pPr>
      <w:tabs>
        <w:tab w:val="center" w:pos="4680"/>
        <w:tab w:val="right" w:pos="9360"/>
      </w:tabs>
      <w:spacing w:after="0" w:line="240" w:lineRule="auto"/>
    </w:pPr>
  </w:style>
  <w:style w:type="character" w:customStyle="1" w:styleId="Char0">
    <w:name w:val="تذييل الصفحة Char"/>
    <w:basedOn w:val="a0"/>
    <w:link w:val="a9"/>
    <w:uiPriority w:val="99"/>
    <w:rsid w:val="00E86566"/>
  </w:style>
  <w:style w:type="paragraph" w:styleId="aa">
    <w:name w:val="Balloon Text"/>
    <w:basedOn w:val="a"/>
    <w:link w:val="Char1"/>
    <w:uiPriority w:val="99"/>
    <w:semiHidden/>
    <w:unhideWhenUsed/>
    <w:rsid w:val="00820F8F"/>
    <w:pPr>
      <w:spacing w:after="0" w:line="240" w:lineRule="auto"/>
    </w:pPr>
    <w:rPr>
      <w:rFonts w:ascii="Tahoma" w:hAnsi="Tahoma" w:cs="Tahoma"/>
      <w:sz w:val="16"/>
      <w:szCs w:val="16"/>
    </w:rPr>
  </w:style>
  <w:style w:type="character" w:customStyle="1" w:styleId="Char1">
    <w:name w:val="نص في بالون Char"/>
    <w:basedOn w:val="a0"/>
    <w:link w:val="aa"/>
    <w:uiPriority w:val="99"/>
    <w:semiHidden/>
    <w:rsid w:val="00820F8F"/>
    <w:rPr>
      <w:rFonts w:ascii="Tahoma" w:hAnsi="Tahoma" w:cs="Tahoma"/>
      <w:sz w:val="16"/>
      <w:szCs w:val="16"/>
    </w:rPr>
  </w:style>
  <w:style w:type="character" w:styleId="ab">
    <w:name w:val="annotation reference"/>
    <w:basedOn w:val="a0"/>
    <w:uiPriority w:val="99"/>
    <w:semiHidden/>
    <w:unhideWhenUsed/>
    <w:rsid w:val="00820F8F"/>
    <w:rPr>
      <w:sz w:val="16"/>
      <w:szCs w:val="16"/>
    </w:rPr>
  </w:style>
  <w:style w:type="paragraph" w:styleId="ac">
    <w:name w:val="annotation text"/>
    <w:basedOn w:val="a"/>
    <w:link w:val="Char2"/>
    <w:uiPriority w:val="99"/>
    <w:semiHidden/>
    <w:unhideWhenUsed/>
    <w:rsid w:val="00820F8F"/>
    <w:pPr>
      <w:spacing w:line="240" w:lineRule="auto"/>
    </w:pPr>
    <w:rPr>
      <w:sz w:val="20"/>
      <w:szCs w:val="20"/>
    </w:rPr>
  </w:style>
  <w:style w:type="character" w:customStyle="1" w:styleId="Char2">
    <w:name w:val="نص تعليق Char"/>
    <w:basedOn w:val="a0"/>
    <w:link w:val="ac"/>
    <w:uiPriority w:val="99"/>
    <w:semiHidden/>
    <w:rsid w:val="00820F8F"/>
    <w:rPr>
      <w:sz w:val="20"/>
      <w:szCs w:val="20"/>
    </w:rPr>
  </w:style>
  <w:style w:type="paragraph" w:styleId="ad">
    <w:name w:val="annotation subject"/>
    <w:basedOn w:val="ac"/>
    <w:next w:val="ac"/>
    <w:link w:val="Char3"/>
    <w:uiPriority w:val="99"/>
    <w:semiHidden/>
    <w:unhideWhenUsed/>
    <w:rsid w:val="00820F8F"/>
    <w:rPr>
      <w:b/>
      <w:bCs/>
    </w:rPr>
  </w:style>
  <w:style w:type="character" w:customStyle="1" w:styleId="Char3">
    <w:name w:val="موضوع تعليق Char"/>
    <w:basedOn w:val="Char2"/>
    <w:link w:val="ad"/>
    <w:uiPriority w:val="99"/>
    <w:semiHidden/>
    <w:rsid w:val="00820F8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next w:val="a"/>
    <w:link w:val="1Char"/>
    <w:qFormat/>
    <w:rsid w:val="00FB01D8"/>
    <w:pPr>
      <w:spacing w:before="100" w:beforeAutospacing="1" w:after="100" w:afterAutospacing="1" w:line="240" w:lineRule="auto"/>
      <w:outlineLvl w:val="0"/>
    </w:pPr>
    <w:rPr>
      <w:rFonts w:ascii="SimSun" w:eastAsia="SimSun" w:hAnsi="SimSun" w:cs="Times New Roman"/>
      <w:b/>
      <w:bCs/>
      <w:kern w:val="44"/>
      <w:sz w:val="48"/>
      <w:szCs w:val="48"/>
      <w:lang w:eastAsia="zh-CN"/>
    </w:rPr>
  </w:style>
  <w:style w:type="paragraph" w:styleId="2">
    <w:name w:val="heading 2"/>
    <w:next w:val="a"/>
    <w:link w:val="2Char"/>
    <w:semiHidden/>
    <w:unhideWhenUsed/>
    <w:qFormat/>
    <w:rsid w:val="00FB01D8"/>
    <w:pPr>
      <w:spacing w:before="100" w:beforeAutospacing="1" w:after="100" w:afterAutospacing="1" w:line="240" w:lineRule="auto"/>
      <w:outlineLvl w:val="1"/>
    </w:pPr>
    <w:rPr>
      <w:rFonts w:ascii="SimSun" w:eastAsia="SimSun" w:hAnsi="SimSun" w:cs="Times New Roman"/>
      <w:b/>
      <w:bCs/>
      <w:sz w:val="36"/>
      <w:szCs w:val="36"/>
      <w:lang w:eastAsia="zh-CN"/>
    </w:rPr>
  </w:style>
  <w:style w:type="paragraph" w:styleId="3">
    <w:name w:val="heading 3"/>
    <w:next w:val="a"/>
    <w:link w:val="3Char"/>
    <w:semiHidden/>
    <w:unhideWhenUsed/>
    <w:qFormat/>
    <w:rsid w:val="00FB01D8"/>
    <w:pPr>
      <w:spacing w:before="100" w:beforeAutospacing="1" w:after="100" w:afterAutospacing="1" w:line="240" w:lineRule="auto"/>
      <w:outlineLvl w:val="2"/>
    </w:pPr>
    <w:rPr>
      <w:rFonts w:ascii="SimSun" w:eastAsia="SimSun" w:hAnsi="SimSun" w:cs="Times New Roman"/>
      <w:b/>
      <w:bCs/>
      <w:sz w:val="27"/>
      <w:szCs w:val="27"/>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nhideWhenUsed/>
    <w:rsid w:val="00B260EE"/>
    <w:rPr>
      <w:color w:val="0563C1" w:themeColor="hyperlink"/>
      <w:u w:val="single"/>
    </w:rPr>
  </w:style>
  <w:style w:type="character" w:customStyle="1" w:styleId="UnresolvedMention">
    <w:name w:val="Unresolved Mention"/>
    <w:basedOn w:val="a0"/>
    <w:uiPriority w:val="99"/>
    <w:semiHidden/>
    <w:unhideWhenUsed/>
    <w:rsid w:val="00B260EE"/>
    <w:rPr>
      <w:color w:val="605E5C"/>
      <w:shd w:val="clear" w:color="auto" w:fill="E1DFDD"/>
    </w:rPr>
  </w:style>
  <w:style w:type="character" w:customStyle="1" w:styleId="1Char">
    <w:name w:val="عنوان 1 Char"/>
    <w:basedOn w:val="a0"/>
    <w:link w:val="1"/>
    <w:rsid w:val="00FB01D8"/>
    <w:rPr>
      <w:rFonts w:ascii="SimSun" w:eastAsia="SimSun" w:hAnsi="SimSun" w:cs="Times New Roman"/>
      <w:b/>
      <w:bCs/>
      <w:kern w:val="44"/>
      <w:sz w:val="48"/>
      <w:szCs w:val="48"/>
      <w:lang w:eastAsia="zh-CN"/>
    </w:rPr>
  </w:style>
  <w:style w:type="character" w:customStyle="1" w:styleId="2Char">
    <w:name w:val="عنوان 2 Char"/>
    <w:basedOn w:val="a0"/>
    <w:link w:val="2"/>
    <w:semiHidden/>
    <w:rsid w:val="00FB01D8"/>
    <w:rPr>
      <w:rFonts w:ascii="SimSun" w:eastAsia="SimSun" w:hAnsi="SimSun" w:cs="Times New Roman"/>
      <w:b/>
      <w:bCs/>
      <w:sz w:val="36"/>
      <w:szCs w:val="36"/>
      <w:lang w:eastAsia="zh-CN"/>
    </w:rPr>
  </w:style>
  <w:style w:type="character" w:customStyle="1" w:styleId="3Char">
    <w:name w:val="عنوان 3 Char"/>
    <w:basedOn w:val="a0"/>
    <w:link w:val="3"/>
    <w:semiHidden/>
    <w:rsid w:val="00FB01D8"/>
    <w:rPr>
      <w:rFonts w:ascii="SimSun" w:eastAsia="SimSun" w:hAnsi="SimSun" w:cs="Times New Roman"/>
      <w:b/>
      <w:bCs/>
      <w:sz w:val="27"/>
      <w:szCs w:val="27"/>
      <w:lang w:eastAsia="zh-CN"/>
    </w:rPr>
  </w:style>
  <w:style w:type="numbering" w:customStyle="1" w:styleId="NoList1">
    <w:name w:val="No List1"/>
    <w:next w:val="a2"/>
    <w:uiPriority w:val="99"/>
    <w:semiHidden/>
    <w:unhideWhenUsed/>
    <w:rsid w:val="00FB01D8"/>
  </w:style>
  <w:style w:type="character" w:customStyle="1" w:styleId="FollowedHyperlink1">
    <w:name w:val="FollowedHyperlink1"/>
    <w:basedOn w:val="a0"/>
    <w:uiPriority w:val="99"/>
    <w:semiHidden/>
    <w:unhideWhenUsed/>
    <w:rsid w:val="00FB01D8"/>
    <w:rPr>
      <w:color w:val="954F72"/>
      <w:u w:val="single"/>
    </w:rPr>
  </w:style>
  <w:style w:type="paragraph" w:customStyle="1" w:styleId="msonormal0">
    <w:name w:val="msonormal"/>
    <w:qFormat/>
    <w:rsid w:val="00FB01D8"/>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a3">
    <w:name w:val="Normal (Web)"/>
    <w:semiHidden/>
    <w:unhideWhenUsed/>
    <w:qFormat/>
    <w:rsid w:val="00FB01D8"/>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Default">
    <w:name w:val="Default"/>
    <w:qFormat/>
    <w:rsid w:val="00FB01D8"/>
    <w:pPr>
      <w:autoSpaceDE w:val="0"/>
      <w:autoSpaceDN w:val="0"/>
      <w:adjustRightInd w:val="0"/>
      <w:spacing w:after="0" w:line="240" w:lineRule="auto"/>
    </w:pPr>
    <w:rPr>
      <w:rFonts w:ascii="Times New Roman" w:eastAsia="Calibri" w:hAnsi="Times New Roman" w:cs="Times New Roman"/>
      <w:color w:val="000000"/>
      <w:sz w:val="24"/>
      <w:szCs w:val="24"/>
      <w14:ligatures w14:val="standardContextual"/>
    </w:rPr>
  </w:style>
  <w:style w:type="paragraph" w:customStyle="1" w:styleId="p1">
    <w:name w:val="p1"/>
    <w:basedOn w:val="a"/>
    <w:qFormat/>
    <w:rsid w:val="00FB01D8"/>
    <w:pPr>
      <w:spacing w:after="0" w:line="240" w:lineRule="auto"/>
    </w:pPr>
    <w:rPr>
      <w:rFonts w:ascii="Helvetica" w:eastAsia="DengXian" w:hAnsi="Helvetica" w:cs="Times New Roman"/>
      <w:sz w:val="18"/>
      <w:szCs w:val="18"/>
      <w:lang w:eastAsia="en-GB"/>
    </w:rPr>
  </w:style>
  <w:style w:type="table" w:styleId="a4">
    <w:name w:val="Table Grid"/>
    <w:basedOn w:val="a1"/>
    <w:uiPriority w:val="39"/>
    <w:qFormat/>
    <w:rsid w:val="00FB01D8"/>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sid w:val="00FB01D8"/>
    <w:rPr>
      <w:b/>
      <w:bCs/>
    </w:rPr>
  </w:style>
  <w:style w:type="character" w:styleId="a6">
    <w:name w:val="FollowedHyperlink"/>
    <w:basedOn w:val="a0"/>
    <w:uiPriority w:val="99"/>
    <w:semiHidden/>
    <w:unhideWhenUsed/>
    <w:rsid w:val="00FB01D8"/>
    <w:rPr>
      <w:color w:val="954F72" w:themeColor="followedHyperlink"/>
      <w:u w:val="single"/>
    </w:rPr>
  </w:style>
  <w:style w:type="paragraph" w:styleId="a7">
    <w:name w:val="List Paragraph"/>
    <w:basedOn w:val="a"/>
    <w:uiPriority w:val="34"/>
    <w:qFormat/>
    <w:rsid w:val="00B859B6"/>
    <w:pPr>
      <w:ind w:left="720"/>
      <w:contextualSpacing/>
    </w:pPr>
  </w:style>
  <w:style w:type="paragraph" w:styleId="a8">
    <w:name w:val="header"/>
    <w:basedOn w:val="a"/>
    <w:link w:val="Char"/>
    <w:uiPriority w:val="99"/>
    <w:unhideWhenUsed/>
    <w:rsid w:val="00E86566"/>
    <w:pPr>
      <w:tabs>
        <w:tab w:val="center" w:pos="4680"/>
        <w:tab w:val="right" w:pos="9360"/>
      </w:tabs>
      <w:spacing w:after="0" w:line="240" w:lineRule="auto"/>
    </w:pPr>
  </w:style>
  <w:style w:type="character" w:customStyle="1" w:styleId="Char">
    <w:name w:val="رأس الصفحة Char"/>
    <w:basedOn w:val="a0"/>
    <w:link w:val="a8"/>
    <w:uiPriority w:val="99"/>
    <w:rsid w:val="00E86566"/>
  </w:style>
  <w:style w:type="paragraph" w:styleId="a9">
    <w:name w:val="footer"/>
    <w:basedOn w:val="a"/>
    <w:link w:val="Char0"/>
    <w:uiPriority w:val="99"/>
    <w:unhideWhenUsed/>
    <w:rsid w:val="00E86566"/>
    <w:pPr>
      <w:tabs>
        <w:tab w:val="center" w:pos="4680"/>
        <w:tab w:val="right" w:pos="9360"/>
      </w:tabs>
      <w:spacing w:after="0" w:line="240" w:lineRule="auto"/>
    </w:pPr>
  </w:style>
  <w:style w:type="character" w:customStyle="1" w:styleId="Char0">
    <w:name w:val="تذييل الصفحة Char"/>
    <w:basedOn w:val="a0"/>
    <w:link w:val="a9"/>
    <w:uiPriority w:val="99"/>
    <w:rsid w:val="00E86566"/>
  </w:style>
  <w:style w:type="paragraph" w:styleId="aa">
    <w:name w:val="Balloon Text"/>
    <w:basedOn w:val="a"/>
    <w:link w:val="Char1"/>
    <w:uiPriority w:val="99"/>
    <w:semiHidden/>
    <w:unhideWhenUsed/>
    <w:rsid w:val="00820F8F"/>
    <w:pPr>
      <w:spacing w:after="0" w:line="240" w:lineRule="auto"/>
    </w:pPr>
    <w:rPr>
      <w:rFonts w:ascii="Tahoma" w:hAnsi="Tahoma" w:cs="Tahoma"/>
      <w:sz w:val="16"/>
      <w:szCs w:val="16"/>
    </w:rPr>
  </w:style>
  <w:style w:type="character" w:customStyle="1" w:styleId="Char1">
    <w:name w:val="نص في بالون Char"/>
    <w:basedOn w:val="a0"/>
    <w:link w:val="aa"/>
    <w:uiPriority w:val="99"/>
    <w:semiHidden/>
    <w:rsid w:val="00820F8F"/>
    <w:rPr>
      <w:rFonts w:ascii="Tahoma" w:hAnsi="Tahoma" w:cs="Tahoma"/>
      <w:sz w:val="16"/>
      <w:szCs w:val="16"/>
    </w:rPr>
  </w:style>
  <w:style w:type="character" w:styleId="ab">
    <w:name w:val="annotation reference"/>
    <w:basedOn w:val="a0"/>
    <w:uiPriority w:val="99"/>
    <w:semiHidden/>
    <w:unhideWhenUsed/>
    <w:rsid w:val="00820F8F"/>
    <w:rPr>
      <w:sz w:val="16"/>
      <w:szCs w:val="16"/>
    </w:rPr>
  </w:style>
  <w:style w:type="paragraph" w:styleId="ac">
    <w:name w:val="annotation text"/>
    <w:basedOn w:val="a"/>
    <w:link w:val="Char2"/>
    <w:uiPriority w:val="99"/>
    <w:semiHidden/>
    <w:unhideWhenUsed/>
    <w:rsid w:val="00820F8F"/>
    <w:pPr>
      <w:spacing w:line="240" w:lineRule="auto"/>
    </w:pPr>
    <w:rPr>
      <w:sz w:val="20"/>
      <w:szCs w:val="20"/>
    </w:rPr>
  </w:style>
  <w:style w:type="character" w:customStyle="1" w:styleId="Char2">
    <w:name w:val="نص تعليق Char"/>
    <w:basedOn w:val="a0"/>
    <w:link w:val="ac"/>
    <w:uiPriority w:val="99"/>
    <w:semiHidden/>
    <w:rsid w:val="00820F8F"/>
    <w:rPr>
      <w:sz w:val="20"/>
      <w:szCs w:val="20"/>
    </w:rPr>
  </w:style>
  <w:style w:type="paragraph" w:styleId="ad">
    <w:name w:val="annotation subject"/>
    <w:basedOn w:val="ac"/>
    <w:next w:val="ac"/>
    <w:link w:val="Char3"/>
    <w:uiPriority w:val="99"/>
    <w:semiHidden/>
    <w:unhideWhenUsed/>
    <w:rsid w:val="00820F8F"/>
    <w:rPr>
      <w:b/>
      <w:bCs/>
    </w:rPr>
  </w:style>
  <w:style w:type="character" w:customStyle="1" w:styleId="Char3">
    <w:name w:val="موضوع تعليق Char"/>
    <w:basedOn w:val="Char2"/>
    <w:link w:val="ad"/>
    <w:uiPriority w:val="99"/>
    <w:semiHidden/>
    <w:rsid w:val="00820F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553593">
      <w:bodyDiv w:val="1"/>
      <w:marLeft w:val="0"/>
      <w:marRight w:val="0"/>
      <w:marTop w:val="0"/>
      <w:marBottom w:val="0"/>
      <w:divBdr>
        <w:top w:val="none" w:sz="0" w:space="0" w:color="auto"/>
        <w:left w:val="none" w:sz="0" w:space="0" w:color="auto"/>
        <w:bottom w:val="none" w:sz="0" w:space="0" w:color="auto"/>
        <w:right w:val="none" w:sz="0" w:space="0" w:color="auto"/>
      </w:divBdr>
    </w:div>
    <w:div w:id="1511749343">
      <w:bodyDiv w:val="1"/>
      <w:marLeft w:val="0"/>
      <w:marRight w:val="0"/>
      <w:marTop w:val="0"/>
      <w:marBottom w:val="0"/>
      <w:divBdr>
        <w:top w:val="none" w:sz="0" w:space="0" w:color="auto"/>
        <w:left w:val="none" w:sz="0" w:space="0" w:color="auto"/>
        <w:bottom w:val="none" w:sz="0" w:space="0" w:color="auto"/>
        <w:right w:val="none" w:sz="0" w:space="0" w:color="auto"/>
      </w:divBdr>
    </w:div>
    <w:div w:id="1997954588">
      <w:bodyDiv w:val="1"/>
      <w:marLeft w:val="0"/>
      <w:marRight w:val="0"/>
      <w:marTop w:val="0"/>
      <w:marBottom w:val="0"/>
      <w:divBdr>
        <w:top w:val="none" w:sz="0" w:space="0" w:color="auto"/>
        <w:left w:val="none" w:sz="0" w:space="0" w:color="auto"/>
        <w:bottom w:val="none" w:sz="0" w:space="0" w:color="auto"/>
        <w:right w:val="none" w:sz="0" w:space="0" w:color="auto"/>
      </w:divBdr>
    </w:div>
    <w:div w:id="203406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14</Pages>
  <Words>4383</Words>
  <Characters>24987</Characters>
  <Application>Microsoft Office Word</Application>
  <DocSecurity>0</DocSecurity>
  <Lines>208</Lines>
  <Paragraphs>58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Fyneface Amadi</dc:creator>
  <cp:keywords/>
  <dc:description/>
  <cp:lastModifiedBy>AL@manar</cp:lastModifiedBy>
  <cp:revision>72</cp:revision>
  <dcterms:created xsi:type="dcterms:W3CDTF">2025-12-03T10:29:00Z</dcterms:created>
  <dcterms:modified xsi:type="dcterms:W3CDTF">2025-12-12T18:13:00Z</dcterms:modified>
</cp:coreProperties>
</file>