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5C294" w14:textId="120E2E99" w:rsidR="00B61E02" w:rsidRDefault="00B61E02" w:rsidP="00B61E02">
      <w:pPr>
        <w:spacing w:before="120" w:after="120" w:line="240" w:lineRule="auto"/>
        <w:rPr>
          <w:rFonts w:ascii="Arial" w:hAnsi="Arial" w:cs="Arial"/>
          <w:b/>
          <w:bCs/>
          <w:sz w:val="32"/>
          <w:szCs w:val="32"/>
          <w:u w:val="single"/>
          <w:lang w:val="en-GB"/>
        </w:rPr>
      </w:pPr>
      <w:bookmarkStart w:id="0" w:name="_Hlk214556325"/>
      <w:bookmarkStart w:id="1" w:name="_Hlk198713495"/>
      <w:bookmarkEnd w:id="0"/>
      <w:r w:rsidRPr="00B61E02">
        <w:rPr>
          <w:rFonts w:ascii="Arial" w:hAnsi="Arial" w:cs="Arial"/>
          <w:b/>
          <w:bCs/>
          <w:sz w:val="32"/>
          <w:szCs w:val="32"/>
          <w:u w:val="single"/>
          <w:lang w:val="en-GB"/>
        </w:rPr>
        <w:t>Original Research Article</w:t>
      </w:r>
    </w:p>
    <w:p w14:paraId="4B5D80B4" w14:textId="77777777" w:rsidR="00B61E02" w:rsidRPr="00B61E02" w:rsidRDefault="00B61E02" w:rsidP="00B61E02">
      <w:pPr>
        <w:spacing w:before="120" w:after="120" w:line="240" w:lineRule="auto"/>
        <w:rPr>
          <w:rFonts w:ascii="Arial" w:hAnsi="Arial" w:cs="Arial"/>
          <w:b/>
          <w:bCs/>
          <w:sz w:val="32"/>
          <w:szCs w:val="32"/>
          <w:u w:val="single"/>
          <w:lang w:val="en-GB"/>
        </w:rPr>
      </w:pPr>
    </w:p>
    <w:p w14:paraId="2EDDBDCE" w14:textId="7A0C98FB" w:rsidR="0024775A" w:rsidRPr="0002115B" w:rsidRDefault="0002115B" w:rsidP="0002115B">
      <w:pPr>
        <w:spacing w:before="120" w:after="120" w:line="240" w:lineRule="auto"/>
        <w:jc w:val="right"/>
        <w:rPr>
          <w:rFonts w:ascii="Arial" w:hAnsi="Arial" w:cs="Arial"/>
          <w:b/>
          <w:bCs/>
          <w:sz w:val="36"/>
          <w:szCs w:val="36"/>
          <w:lang w:val="en-GB"/>
        </w:rPr>
      </w:pPr>
      <w:r w:rsidRPr="0002115B">
        <w:rPr>
          <w:rFonts w:ascii="Arial" w:hAnsi="Arial" w:cs="Arial"/>
          <w:b/>
          <w:bCs/>
          <w:sz w:val="36"/>
          <w:szCs w:val="36"/>
          <w:lang w:val="en-GB"/>
        </w:rPr>
        <w:t xml:space="preserve">Assessment of Herbicide Contamination </w:t>
      </w:r>
      <w:r w:rsidR="004B1C13">
        <w:rPr>
          <w:rFonts w:ascii="Arial" w:hAnsi="Arial" w:cs="Arial"/>
          <w:b/>
          <w:bCs/>
          <w:sz w:val="36"/>
          <w:szCs w:val="36"/>
          <w:lang w:val="en-GB"/>
        </w:rPr>
        <w:t>of</w:t>
      </w:r>
      <w:r w:rsidRPr="0002115B">
        <w:rPr>
          <w:rFonts w:ascii="Arial" w:hAnsi="Arial" w:cs="Arial"/>
          <w:b/>
          <w:bCs/>
          <w:sz w:val="36"/>
          <w:szCs w:val="36"/>
          <w:lang w:val="en-GB"/>
        </w:rPr>
        <w:t xml:space="preserve"> Surface Waters: Levels, Compliance, and Risks in Cereal-Growing Areas of Western Burkina Faso</w:t>
      </w:r>
    </w:p>
    <w:p w14:paraId="58331911" w14:textId="77777777" w:rsidR="002A0F6E" w:rsidRDefault="002A0F6E" w:rsidP="0002115B">
      <w:pPr>
        <w:spacing w:before="120" w:after="120" w:line="240" w:lineRule="auto"/>
        <w:jc w:val="right"/>
        <w:rPr>
          <w:rFonts w:ascii="Arial" w:hAnsi="Arial" w:cs="Arial"/>
          <w:b/>
          <w:bCs/>
          <w:i/>
          <w:iCs/>
          <w:sz w:val="24"/>
          <w:szCs w:val="24"/>
          <w:lang w:val="en-GB"/>
        </w:rPr>
      </w:pPr>
    </w:p>
    <w:p w14:paraId="6B895BC8" w14:textId="2E1E6711" w:rsidR="00B61E02" w:rsidRPr="009D11D9" w:rsidRDefault="00B61E02" w:rsidP="00A66776">
      <w:pPr>
        <w:spacing w:before="120" w:after="120" w:line="240" w:lineRule="auto"/>
        <w:jc w:val="right"/>
        <w:rPr>
          <w:rFonts w:ascii="Arial" w:hAnsi="Arial" w:cs="Arial"/>
          <w:sz w:val="20"/>
          <w:szCs w:val="20"/>
          <w:lang w:val="en-GB"/>
        </w:rPr>
      </w:pPr>
    </w:p>
    <w:p w14:paraId="5662B3A9" w14:textId="23EE6274" w:rsidR="00AB2FCD" w:rsidRPr="009C2C56" w:rsidRDefault="009D77BA" w:rsidP="009C2C56">
      <w:pPr>
        <w:spacing w:before="120" w:after="120" w:line="240" w:lineRule="auto"/>
        <w:rPr>
          <w:rFonts w:ascii="Arial" w:hAnsi="Arial" w:cs="Arial"/>
          <w:b/>
          <w:bCs/>
          <w:lang w:val="en-GB"/>
        </w:rPr>
      </w:pPr>
      <w:r w:rsidRPr="009C2C56">
        <w:rPr>
          <w:rFonts w:ascii="Arial" w:hAnsi="Arial" w:cs="Arial"/>
          <w:b/>
          <w:bCs/>
          <w:lang w:val="en-GB"/>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436D8A" w:rsidRPr="002D4C9F" w14:paraId="17EA3908" w14:textId="77777777" w:rsidTr="002302E3">
        <w:tc>
          <w:tcPr>
            <w:tcW w:w="9062" w:type="dxa"/>
            <w:shd w:val="clear" w:color="auto" w:fill="F2F2F2"/>
          </w:tcPr>
          <w:p w14:paraId="0F96A36D" w14:textId="77777777" w:rsidR="002302E3" w:rsidRPr="002302E3" w:rsidRDefault="002302E3" w:rsidP="002302E3">
            <w:pPr>
              <w:pStyle w:val="Body"/>
              <w:spacing w:after="0"/>
              <w:rPr>
                <w:rFonts w:ascii="Arial" w:eastAsia="Calibri" w:hAnsi="Arial" w:cs="Arial"/>
                <w:lang w:val="en-GB"/>
              </w:rPr>
            </w:pPr>
            <w:r w:rsidRPr="002302E3">
              <w:rPr>
                <w:rFonts w:ascii="Arial" w:eastAsia="Calibri" w:hAnsi="Arial" w:cs="Arial"/>
                <w:b/>
                <w:bCs/>
                <w:lang w:val="en-GB"/>
              </w:rPr>
              <w:t>Aims:</w:t>
            </w:r>
            <w:r w:rsidRPr="002302E3">
              <w:rPr>
                <w:rFonts w:ascii="Arial" w:eastAsia="Calibri" w:hAnsi="Arial" w:cs="Arial"/>
                <w:lang w:val="en-GB"/>
              </w:rPr>
              <w:t xml:space="preserve"> This study aimed to assess the level of contamination of surface waters by herbicides used in cereal-growing areas of western Burkina Faso, and to evaluate the compliance of measured concentrations with international guideline values, as well as the associated environmental and potential health risks.</w:t>
            </w:r>
          </w:p>
          <w:p w14:paraId="2108573A" w14:textId="77777777" w:rsidR="002302E3" w:rsidRPr="002302E3" w:rsidRDefault="002302E3" w:rsidP="002302E3">
            <w:pPr>
              <w:pStyle w:val="Body"/>
              <w:spacing w:after="0"/>
              <w:rPr>
                <w:rFonts w:ascii="Arial" w:eastAsia="Calibri" w:hAnsi="Arial" w:cs="Arial"/>
                <w:lang w:val="en-GB"/>
              </w:rPr>
            </w:pPr>
            <w:r w:rsidRPr="002302E3">
              <w:rPr>
                <w:rFonts w:ascii="Arial" w:eastAsia="Calibri" w:hAnsi="Arial" w:cs="Arial"/>
                <w:b/>
                <w:bCs/>
                <w:lang w:val="en-GB"/>
              </w:rPr>
              <w:t>Study Design:</w:t>
            </w:r>
            <w:r w:rsidRPr="002302E3">
              <w:rPr>
                <w:rFonts w:ascii="Arial" w:eastAsia="Calibri" w:hAnsi="Arial" w:cs="Arial"/>
                <w:lang w:val="en-GB"/>
              </w:rPr>
              <w:t xml:space="preserve"> Cross-sectional field study combining spatially distributed sampling of surface waters with multi-residue chemical analysis of selected herbicides.</w:t>
            </w:r>
          </w:p>
          <w:p w14:paraId="5807229D" w14:textId="77777777" w:rsidR="002302E3" w:rsidRPr="002302E3" w:rsidRDefault="002302E3" w:rsidP="002302E3">
            <w:pPr>
              <w:pStyle w:val="Body"/>
              <w:spacing w:after="0"/>
              <w:rPr>
                <w:rFonts w:ascii="Arial" w:eastAsia="Calibri" w:hAnsi="Arial" w:cs="Arial"/>
                <w:lang w:val="en-GB"/>
              </w:rPr>
            </w:pPr>
            <w:r w:rsidRPr="002302E3">
              <w:rPr>
                <w:rFonts w:ascii="Arial" w:eastAsia="Calibri" w:hAnsi="Arial" w:cs="Arial"/>
                <w:b/>
                <w:bCs/>
                <w:lang w:val="en-GB"/>
              </w:rPr>
              <w:t>Place and Duration of Study:</w:t>
            </w:r>
            <w:r w:rsidRPr="002302E3">
              <w:rPr>
                <w:rFonts w:ascii="Arial" w:eastAsia="Calibri" w:hAnsi="Arial" w:cs="Arial"/>
                <w:lang w:val="en-GB"/>
              </w:rPr>
              <w:t xml:space="preserve"> The study was carried out in twelve localities located in four regions of western Burkina Faso (Hauts-</w:t>
            </w:r>
            <w:proofErr w:type="spellStart"/>
            <w:r w:rsidRPr="002302E3">
              <w:rPr>
                <w:rFonts w:ascii="Arial" w:eastAsia="Calibri" w:hAnsi="Arial" w:cs="Arial"/>
                <w:lang w:val="en-GB"/>
              </w:rPr>
              <w:t>Bassins</w:t>
            </w:r>
            <w:proofErr w:type="spellEnd"/>
            <w:r w:rsidRPr="002302E3">
              <w:rPr>
                <w:rFonts w:ascii="Arial" w:eastAsia="Calibri" w:hAnsi="Arial" w:cs="Arial"/>
                <w:lang w:val="en-GB"/>
              </w:rPr>
              <w:t xml:space="preserve">, Boucle du </w:t>
            </w:r>
            <w:proofErr w:type="spellStart"/>
            <w:r w:rsidRPr="002302E3">
              <w:rPr>
                <w:rFonts w:ascii="Arial" w:eastAsia="Calibri" w:hAnsi="Arial" w:cs="Arial"/>
                <w:lang w:val="en-GB"/>
              </w:rPr>
              <w:t>Mouhoun</w:t>
            </w:r>
            <w:proofErr w:type="spellEnd"/>
            <w:r w:rsidRPr="002302E3">
              <w:rPr>
                <w:rFonts w:ascii="Arial" w:eastAsia="Calibri" w:hAnsi="Arial" w:cs="Arial"/>
                <w:lang w:val="en-GB"/>
              </w:rPr>
              <w:t>, Sud-Ouest and Cascades). Two sampling campaigns were conducted in August and November 2020, and herbicide analyses were performed at the National Agency for Food, Environmental, Occupational and Health Product Safety (ANSSEAT), Ouagadougou, Burkina Faso.</w:t>
            </w:r>
          </w:p>
          <w:p w14:paraId="24C7B302" w14:textId="77777777" w:rsidR="002302E3" w:rsidRPr="002302E3" w:rsidRDefault="002302E3" w:rsidP="002302E3">
            <w:pPr>
              <w:pStyle w:val="Body"/>
              <w:spacing w:after="0"/>
              <w:rPr>
                <w:rFonts w:ascii="Arial" w:eastAsia="Calibri" w:hAnsi="Arial" w:cs="Arial"/>
                <w:lang w:val="en-GB"/>
              </w:rPr>
            </w:pPr>
            <w:r w:rsidRPr="002302E3">
              <w:rPr>
                <w:rFonts w:ascii="Arial" w:eastAsia="Calibri" w:hAnsi="Arial" w:cs="Arial"/>
                <w:b/>
                <w:bCs/>
                <w:lang w:val="en-GB"/>
              </w:rPr>
              <w:t>Methodology:</w:t>
            </w:r>
            <w:r w:rsidRPr="002302E3">
              <w:rPr>
                <w:rFonts w:ascii="Arial" w:eastAsia="Calibri" w:hAnsi="Arial" w:cs="Arial"/>
                <w:lang w:val="en-GB"/>
              </w:rPr>
              <w:t xml:space="preserve"> In each locality, five cereal fields were selected. Surface water samples were collected inside fields or within approximately 100 m of the fields, in small water bodies directly influenced by agricultural practices. Water samples from each field were combined to obtain a composite sample, and, at the locality scale, field composites were again homogenised to produce a single composite sample per locality and per sampling phase. Thirteen herbicidal active ingredients were selected from a previously documented list of 25 molecules commonly used in cereal production. Residues were extracted using an adapted </w:t>
            </w:r>
            <w:proofErr w:type="spellStart"/>
            <w:r w:rsidRPr="002302E3">
              <w:rPr>
                <w:rFonts w:ascii="Arial" w:eastAsia="Calibri" w:hAnsi="Arial" w:cs="Arial"/>
                <w:lang w:val="en-GB"/>
              </w:rPr>
              <w:t>QuEChERS</w:t>
            </w:r>
            <w:proofErr w:type="spellEnd"/>
            <w:r w:rsidRPr="002302E3">
              <w:rPr>
                <w:rFonts w:ascii="Arial" w:eastAsia="Calibri" w:hAnsi="Arial" w:cs="Arial"/>
                <w:lang w:val="en-GB"/>
              </w:rPr>
              <w:t xml:space="preserve"> method, purified, concentrated and quantified by high-performance liquid chromatography with UV detection (HPLC–UV). Measured concentrations were compared with guideline values from the World Health Organization (WHO) and maximum admissible concentrations defined in the European Drinking Water Directive 2020/2184.</w:t>
            </w:r>
          </w:p>
          <w:p w14:paraId="1C2B22A1" w14:textId="77777777" w:rsidR="002302E3" w:rsidRPr="002302E3" w:rsidRDefault="002302E3" w:rsidP="002302E3">
            <w:pPr>
              <w:pStyle w:val="Body"/>
              <w:spacing w:after="0"/>
              <w:rPr>
                <w:rFonts w:ascii="Arial" w:eastAsia="Calibri" w:hAnsi="Arial" w:cs="Arial"/>
                <w:lang w:val="en-GB"/>
              </w:rPr>
            </w:pPr>
            <w:r w:rsidRPr="002302E3">
              <w:rPr>
                <w:rFonts w:ascii="Arial" w:eastAsia="Calibri" w:hAnsi="Arial" w:cs="Arial"/>
                <w:b/>
                <w:bCs/>
                <w:lang w:val="en-GB"/>
              </w:rPr>
              <w:t>Results:</w:t>
            </w:r>
            <w:r w:rsidRPr="002302E3">
              <w:rPr>
                <w:rFonts w:ascii="Arial" w:eastAsia="Calibri" w:hAnsi="Arial" w:cs="Arial"/>
                <w:lang w:val="en-GB"/>
              </w:rPr>
              <w:t xml:space="preserve"> Herbicide residues were detected in most localities during both sampling periods, revealing widespread contamination of surface waters. In phase 1, corresponding to the peak period of herbicide use, almost all targeted substances were detected, with concentrations ranging from 0.013 µg/L for atrazine (Dano) to 1484.90 µg/L for </w:t>
            </w:r>
            <w:proofErr w:type="spellStart"/>
            <w:r w:rsidRPr="002302E3">
              <w:rPr>
                <w:rFonts w:ascii="Arial" w:eastAsia="Calibri" w:hAnsi="Arial" w:cs="Arial"/>
                <w:lang w:val="en-GB"/>
              </w:rPr>
              <w:t>nicosulfuron</w:t>
            </w:r>
            <w:proofErr w:type="spellEnd"/>
            <w:r w:rsidRPr="002302E3">
              <w:rPr>
                <w:rFonts w:ascii="Arial" w:eastAsia="Calibri" w:hAnsi="Arial" w:cs="Arial"/>
                <w:lang w:val="en-GB"/>
              </w:rPr>
              <w:t xml:space="preserve"> (</w:t>
            </w:r>
            <w:proofErr w:type="spellStart"/>
            <w:r w:rsidRPr="002302E3">
              <w:rPr>
                <w:rFonts w:ascii="Arial" w:eastAsia="Calibri" w:hAnsi="Arial" w:cs="Arial"/>
                <w:lang w:val="en-GB"/>
              </w:rPr>
              <w:t>Safané</w:t>
            </w:r>
            <w:proofErr w:type="spellEnd"/>
            <w:r w:rsidRPr="002302E3">
              <w:rPr>
                <w:rFonts w:ascii="Arial" w:eastAsia="Calibri" w:hAnsi="Arial" w:cs="Arial"/>
                <w:lang w:val="en-GB"/>
              </w:rPr>
              <w:t xml:space="preserve">). In phase 2, conducted at the end of the rainy season, concentrations varied from 0.0103 µg/L for metolachlor (Douna) to 1531.68 µg/L for </w:t>
            </w:r>
            <w:proofErr w:type="spellStart"/>
            <w:r w:rsidRPr="002302E3">
              <w:rPr>
                <w:rFonts w:ascii="Arial" w:eastAsia="Calibri" w:hAnsi="Arial" w:cs="Arial"/>
                <w:lang w:val="en-GB"/>
              </w:rPr>
              <w:t>mesotrione</w:t>
            </w:r>
            <w:proofErr w:type="spellEnd"/>
            <w:r w:rsidRPr="002302E3">
              <w:rPr>
                <w:rFonts w:ascii="Arial" w:eastAsia="Calibri" w:hAnsi="Arial" w:cs="Arial"/>
                <w:lang w:val="en-GB"/>
              </w:rPr>
              <w:t xml:space="preserve"> (</w:t>
            </w:r>
            <w:proofErr w:type="spellStart"/>
            <w:r w:rsidRPr="002302E3">
              <w:rPr>
                <w:rFonts w:ascii="Arial" w:eastAsia="Calibri" w:hAnsi="Arial" w:cs="Arial"/>
                <w:lang w:val="en-GB"/>
              </w:rPr>
              <w:t>Kankalaba</w:t>
            </w:r>
            <w:proofErr w:type="spellEnd"/>
            <w:r w:rsidRPr="002302E3">
              <w:rPr>
                <w:rFonts w:ascii="Arial" w:eastAsia="Calibri" w:hAnsi="Arial" w:cs="Arial"/>
                <w:lang w:val="en-GB"/>
              </w:rPr>
              <w:t xml:space="preserve">). Between phases, some molecules (such as atrazine, </w:t>
            </w:r>
            <w:proofErr w:type="spellStart"/>
            <w:r w:rsidRPr="002302E3">
              <w:rPr>
                <w:rFonts w:ascii="Arial" w:eastAsia="Calibri" w:hAnsi="Arial" w:cs="Arial"/>
                <w:lang w:val="en-GB"/>
              </w:rPr>
              <w:t>bensulfuron</w:t>
            </w:r>
            <w:proofErr w:type="spellEnd"/>
            <w:r w:rsidRPr="002302E3">
              <w:rPr>
                <w:rFonts w:ascii="Arial" w:eastAsia="Calibri" w:hAnsi="Arial" w:cs="Arial"/>
                <w:lang w:val="en-GB"/>
              </w:rPr>
              <w:t xml:space="preserve">-methyl and </w:t>
            </w:r>
            <w:proofErr w:type="spellStart"/>
            <w:r w:rsidRPr="002302E3">
              <w:rPr>
                <w:rFonts w:ascii="Arial" w:eastAsia="Calibri" w:hAnsi="Arial" w:cs="Arial"/>
                <w:lang w:val="en-GB"/>
              </w:rPr>
              <w:t>haloxyfop</w:t>
            </w:r>
            <w:proofErr w:type="spellEnd"/>
            <w:r w:rsidRPr="002302E3">
              <w:rPr>
                <w:rFonts w:ascii="Arial" w:eastAsia="Calibri" w:hAnsi="Arial" w:cs="Arial"/>
                <w:lang w:val="en-GB"/>
              </w:rPr>
              <w:t>-R-methyl) disappeared, while others, including terbuthylazine, showed marked increases, and metolachlor, absent in phase 1, appeared in several localities in phase 2. For more than 90% of the measurements, individual herbicide concentrations exceeded the European limit of 0.1 µg/L for a single pesticide in drinking water, and several concentrations also surpassed WHO guideline values, indicating a high ecotoxicological risk for aquatic organisms and raising concerns for rural populations using untreated surface waters.</w:t>
            </w:r>
          </w:p>
          <w:p w14:paraId="7026B492" w14:textId="0AAC7C36" w:rsidR="00436D8A" w:rsidRPr="002302E3" w:rsidRDefault="002302E3" w:rsidP="002302E3">
            <w:pPr>
              <w:pStyle w:val="Body"/>
              <w:spacing w:after="0"/>
              <w:rPr>
                <w:rFonts w:ascii="Arial" w:eastAsia="Calibri" w:hAnsi="Arial" w:cs="Arial"/>
                <w:lang w:val="en-GB"/>
              </w:rPr>
            </w:pPr>
            <w:r w:rsidRPr="002302E3">
              <w:rPr>
                <w:rFonts w:ascii="Arial" w:eastAsia="Calibri" w:hAnsi="Arial" w:cs="Arial"/>
                <w:b/>
                <w:bCs/>
                <w:lang w:val="en-GB"/>
              </w:rPr>
              <w:t>Conclusion:</w:t>
            </w:r>
            <w:r w:rsidRPr="002302E3">
              <w:rPr>
                <w:rFonts w:ascii="Arial" w:eastAsia="Calibri" w:hAnsi="Arial" w:cs="Arial"/>
                <w:lang w:val="en-GB"/>
              </w:rPr>
              <w:t xml:space="preserve"> Surface waters in cereal-growing areas of western Burkina Faso are heavily and persistently contaminated by herbicides, with concentrations frequently exceeding international guideline values. These findings underline the urgent need to strengthen water quality monitoring, to promote integrated and more rational pesticide management, and to raise awareness among farmers and local communities about the risks associated with herbicide misuse in cereal-based agroecosystems.</w:t>
            </w:r>
          </w:p>
        </w:tc>
      </w:tr>
    </w:tbl>
    <w:p w14:paraId="654A9D6E" w14:textId="77777777" w:rsidR="002302E3" w:rsidRDefault="002302E3" w:rsidP="002302E3">
      <w:pPr>
        <w:pStyle w:val="Body"/>
        <w:spacing w:after="0"/>
        <w:rPr>
          <w:rFonts w:ascii="Arial" w:eastAsia="Calibri" w:hAnsi="Arial" w:cs="Arial"/>
          <w:b/>
          <w:bCs/>
          <w:lang w:val="en-GB"/>
        </w:rPr>
      </w:pPr>
    </w:p>
    <w:p w14:paraId="1625CFC1" w14:textId="439FD211" w:rsidR="002302E3" w:rsidRPr="002302E3" w:rsidRDefault="002302E3" w:rsidP="002302E3">
      <w:pPr>
        <w:pStyle w:val="Body"/>
        <w:spacing w:after="0"/>
        <w:rPr>
          <w:rFonts w:ascii="Arial" w:eastAsia="Calibri" w:hAnsi="Arial" w:cs="Arial"/>
          <w:lang w:val="en-GB"/>
        </w:rPr>
      </w:pPr>
      <w:r w:rsidRPr="002302E3">
        <w:rPr>
          <w:rFonts w:ascii="Arial" w:eastAsia="Calibri" w:hAnsi="Arial" w:cs="Arial"/>
          <w:lang w:val="en-GB"/>
        </w:rPr>
        <w:t>Keywords: herbicides; cereal crops; surface water contamination; ecotoxicological risk; Burkina Faso</w:t>
      </w:r>
    </w:p>
    <w:p w14:paraId="2E611952"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t>1. INTRODUCTION</w:t>
      </w:r>
    </w:p>
    <w:p w14:paraId="4CC21F2E" w14:textId="3665D6A8" w:rsidR="0073550A" w:rsidRPr="0073550A" w:rsidRDefault="0073550A" w:rsidP="00CD5B9B">
      <w:pPr>
        <w:spacing w:after="0" w:line="240" w:lineRule="auto"/>
        <w:jc w:val="both"/>
        <w:rPr>
          <w:rFonts w:ascii="Arial" w:hAnsi="Arial" w:cs="Arial"/>
          <w:sz w:val="20"/>
          <w:szCs w:val="20"/>
          <w:lang w:val="en-GB"/>
        </w:rPr>
      </w:pPr>
      <w:r w:rsidRPr="0073550A">
        <w:rPr>
          <w:rFonts w:ascii="Arial" w:hAnsi="Arial" w:cs="Arial"/>
          <w:sz w:val="20"/>
          <w:szCs w:val="20"/>
          <w:lang w:val="en-GB"/>
        </w:rPr>
        <w:t xml:space="preserve">In the cereal-growing areas of western Burkina Faso, the massive use of herbicides for weed control has become a common practice. Most of these products are applied directly to the soil and represent </w:t>
      </w:r>
      <w:r w:rsidRPr="0073550A">
        <w:rPr>
          <w:rFonts w:ascii="Arial" w:hAnsi="Arial" w:cs="Arial"/>
          <w:sz w:val="20"/>
          <w:szCs w:val="20"/>
          <w:lang w:val="en-GB"/>
        </w:rPr>
        <w:lastRenderedPageBreak/>
        <w:t xml:space="preserve">the class of pesticides most widely used in intensive agriculture. While they contribute to securing yields and reducing labour constraints, their excessive and often inappropriate use raises increasing concern about their impacts on the environment and human </w:t>
      </w:r>
      <w:r w:rsidRPr="00FC5676">
        <w:rPr>
          <w:rFonts w:ascii="Arial" w:hAnsi="Arial" w:cs="Arial"/>
          <w:sz w:val="20"/>
          <w:szCs w:val="20"/>
          <w:lang w:val="en-GB"/>
        </w:rPr>
        <w:t xml:space="preserve">health </w:t>
      </w:r>
      <w:r w:rsidR="00E10940" w:rsidRPr="00FC5676">
        <w:rPr>
          <w:rFonts w:ascii="Arial" w:hAnsi="Arial" w:cs="Arial"/>
          <w:sz w:val="20"/>
          <w:szCs w:val="20"/>
          <w:lang w:val="en-GB"/>
        </w:rPr>
        <w:fldChar w:fldCharType="begin"/>
      </w:r>
      <w:r w:rsidR="004A43B1">
        <w:rPr>
          <w:rFonts w:ascii="Arial" w:hAnsi="Arial" w:cs="Arial"/>
          <w:sz w:val="20"/>
          <w:szCs w:val="20"/>
          <w:lang w:val="en-GB"/>
        </w:rPr>
        <w:instrText xml:space="preserve"> ADDIN ZOTERO_ITEM CSL_CITATION {"citationID":"al2p210aod","properties":{"formattedCitation":"\\uldash{(Ba\\uc0\\u263{}maga et al., 2024; De Souza et al., 2020)}","plainCitation":"(Baćmaga et al., 2024; De Souza et al., 2020)","dontUpdate":true,"noteIndex":0},"citationItems":[{"id":2914,"uris":["http://zotero.org/users/5723659/items/DJ6W3VFG"],"itemData":{"id":2914,"type":"article-journal","container-title":"Process Safety and Environmental Protection","DOI":"10.1016/j.psep.2019.12.035","ISSN":"09575820","journalAbbreviation":"Process Safety and Environmental Protection","language":"en","page":"22-37","source":"DOI.org (Crossref)","title":"Occurrence, impacts and general aspects of pesticides in surface water: A review","title-short":"Occurrence, impacts and general aspects of pesticides in surface water","volume":"135","author":[{"family":"De Souza","given":"Renata Mariane"},{"family":"Seibert","given":"Daiana"},{"family":"Quesada","given":"Heloise Beatriz"},{"family":"De Jesus Bassetti","given":"Fátima"},{"family":"Fagundes-Klen","given":"Márcia Regina"},{"family":"Bergamasco","given":"Rosângela"}],"issued":{"date-parts":[["2020"]]}}},{"id":2919,"uris":["http://zotero.org/users/5723659/items/CQPSVYV7"],"itemData":{"id":2919,"type":"article-journal","abstract":"One of the guiding principles of the sustainable use of herbicides is their targeted action exclusively against weeds, consisting of blocking photosynthesis and synthesis of amino acids and growth regulators. Herbicides are major elements of plant production, indispensable to the functioning of modern agriculture. Nevertheless, their influence on all elements of the natural environment needs to be continuously controlled. This review article summarizes research addressing the effects of herbicides on the natural environment and the changes they trigger therein. Herbicides, applied to protect crops against weed infestation, are usually mixtures of various active substances; hence, it is generally difficult to analyze their impact on the environment and organisms. Nonetheless, an attempt was made in this review to discuss the effects of selected herbicides on individual elements of the natural environment (water, soil, and air) and organisms (humans, animals, plants, and microorganisms). In addition, the article presents examples of the biodegradation of selected herbicides and mechanisms of their degradation by bacteria and fungi. Based on this information, it can be concluded that the uncontrolled use of herbicides has led to adverse effects on non-target organisms, as documented in the scientific literature. However, further research on the environmental effects of these chemicals is needed address the missing knowledge on this subject.","container-title":"Molecules","DOI":"10.3390/molecules29245965","ISSN":"1420-3049","issue":"24","journalAbbreviation":"Molecules","language":"en","license":"https://creativecommons.org/licenses/by/4.0/","page":"5965","source":"DOI.org (Crossref)","title":"Environmental Implication of Herbicide Use","volume":"29","author":[{"family":"Baćmaga","given":"Małgorzata"},{"family":"Wyszkowska","given":"Jadwiga"},{"family":"Kucharski","given":"Jan"}],"issued":{"date-parts":[["2024"]]}}}],"schema":"https://github.com/citation-style-language/schema/raw/master/csl-citation.json"} </w:instrText>
      </w:r>
      <w:r w:rsidR="00E10940" w:rsidRPr="00FC5676">
        <w:rPr>
          <w:rFonts w:ascii="Arial" w:hAnsi="Arial" w:cs="Arial"/>
          <w:sz w:val="20"/>
          <w:szCs w:val="20"/>
          <w:lang w:val="en-GB"/>
        </w:rPr>
        <w:fldChar w:fldCharType="separate"/>
      </w:r>
      <w:r w:rsidR="001F50E5" w:rsidRPr="00FC5676">
        <w:rPr>
          <w:rFonts w:ascii="Arial" w:hAnsi="Arial" w:cs="Arial"/>
          <w:sz w:val="20"/>
          <w:lang w:val="en-GB"/>
        </w:rPr>
        <w:t>(</w:t>
      </w:r>
      <w:r w:rsidR="00FC5676" w:rsidRPr="00FC5676">
        <w:rPr>
          <w:rFonts w:ascii="Arial" w:hAnsi="Arial" w:cs="Arial"/>
          <w:sz w:val="20"/>
          <w:lang w:val="en-GB"/>
        </w:rPr>
        <w:t xml:space="preserve">De Souza </w:t>
      </w:r>
      <w:r w:rsidR="00FC5676" w:rsidRPr="000A75C2">
        <w:rPr>
          <w:rFonts w:ascii="Arial" w:hAnsi="Arial" w:cs="Arial"/>
          <w:i/>
          <w:iCs/>
          <w:sz w:val="20"/>
          <w:highlight w:val="yellow"/>
          <w:lang w:val="en-GB"/>
        </w:rPr>
        <w:t>et al</w:t>
      </w:r>
      <w:r w:rsidR="00FC5676" w:rsidRPr="000A75C2">
        <w:rPr>
          <w:rFonts w:ascii="Arial" w:hAnsi="Arial" w:cs="Arial"/>
          <w:sz w:val="20"/>
          <w:highlight w:val="yellow"/>
          <w:lang w:val="en-GB"/>
        </w:rPr>
        <w:t>.</w:t>
      </w:r>
      <w:r w:rsidR="00FC5676" w:rsidRPr="00FC5676">
        <w:rPr>
          <w:rFonts w:ascii="Arial" w:hAnsi="Arial" w:cs="Arial"/>
          <w:sz w:val="20"/>
          <w:lang w:val="en-GB"/>
        </w:rPr>
        <w:t xml:space="preserve">, 2020; </w:t>
      </w:r>
      <w:r w:rsidR="001F50E5" w:rsidRPr="00FC5676">
        <w:rPr>
          <w:rFonts w:ascii="Arial" w:hAnsi="Arial" w:cs="Arial"/>
          <w:sz w:val="20"/>
          <w:lang w:val="en-GB"/>
        </w:rPr>
        <w:t>Baćmaga et al., 2024)</w:t>
      </w:r>
      <w:r w:rsidR="00E10940" w:rsidRPr="00FC5676">
        <w:rPr>
          <w:rFonts w:ascii="Arial" w:hAnsi="Arial" w:cs="Arial"/>
          <w:sz w:val="20"/>
          <w:szCs w:val="20"/>
          <w:lang w:val="en-GB"/>
        </w:rPr>
        <w:fldChar w:fldCharType="end"/>
      </w:r>
      <w:r w:rsidRPr="0073550A">
        <w:rPr>
          <w:rFonts w:ascii="Arial" w:hAnsi="Arial" w:cs="Arial"/>
          <w:sz w:val="20"/>
          <w:szCs w:val="20"/>
          <w:lang w:val="en-GB"/>
        </w:rPr>
        <w:t>.</w:t>
      </w:r>
      <w:r w:rsidR="00CD5B9B">
        <w:rPr>
          <w:rFonts w:ascii="Arial" w:hAnsi="Arial" w:cs="Arial"/>
          <w:sz w:val="20"/>
          <w:szCs w:val="20"/>
          <w:lang w:val="en-GB"/>
        </w:rPr>
        <w:t xml:space="preserve"> </w:t>
      </w:r>
      <w:r w:rsidRPr="0073550A">
        <w:rPr>
          <w:rFonts w:ascii="Arial" w:hAnsi="Arial" w:cs="Arial"/>
          <w:sz w:val="20"/>
          <w:szCs w:val="20"/>
          <w:lang w:val="en-GB"/>
        </w:rPr>
        <w:t xml:space="preserve">The intensification of herbicide </w:t>
      </w:r>
      <w:r w:rsidR="007F54A0">
        <w:rPr>
          <w:rFonts w:ascii="Arial" w:hAnsi="Arial" w:cs="Arial"/>
          <w:sz w:val="20"/>
          <w:szCs w:val="20"/>
          <w:lang w:val="en-GB"/>
        </w:rPr>
        <w:t>used</w:t>
      </w:r>
      <w:r w:rsidRPr="0073550A">
        <w:rPr>
          <w:rFonts w:ascii="Arial" w:hAnsi="Arial" w:cs="Arial"/>
          <w:sz w:val="20"/>
          <w:szCs w:val="20"/>
          <w:lang w:val="en-GB"/>
        </w:rPr>
        <w:t>, combined with the emergence of weeds</w:t>
      </w:r>
      <w:r w:rsidR="007F54A0">
        <w:rPr>
          <w:rFonts w:ascii="Arial" w:hAnsi="Arial" w:cs="Arial"/>
          <w:sz w:val="20"/>
          <w:szCs w:val="20"/>
          <w:lang w:val="en-GB"/>
        </w:rPr>
        <w:t xml:space="preserve"> resistant to them</w:t>
      </w:r>
      <w:r w:rsidRPr="0073550A">
        <w:rPr>
          <w:rFonts w:ascii="Arial" w:hAnsi="Arial" w:cs="Arial"/>
          <w:sz w:val="20"/>
          <w:szCs w:val="20"/>
          <w:lang w:val="en-GB"/>
        </w:rPr>
        <w:t xml:space="preserve">, often leads to increased application rates and a higher number of treatments per season, thereby amplifying pressure on agroecosystems </w:t>
      </w:r>
      <w:r w:rsidR="00E10940">
        <w:rPr>
          <w:rFonts w:ascii="Arial" w:hAnsi="Arial" w:cs="Arial"/>
          <w:sz w:val="20"/>
          <w:szCs w:val="20"/>
          <w:lang w:val="en-GB"/>
        </w:rPr>
        <w:fldChar w:fldCharType="begin"/>
      </w:r>
      <w:r w:rsidR="004A43B1">
        <w:rPr>
          <w:rFonts w:ascii="Arial" w:hAnsi="Arial" w:cs="Arial"/>
          <w:sz w:val="20"/>
          <w:szCs w:val="20"/>
          <w:lang w:val="en-GB"/>
        </w:rPr>
        <w:instrText xml:space="preserve"> ADDIN ZOTERO_ITEM CSL_CITATION {"citationID":"whYkgrsl","properties":{"formattedCitation":"(Ghanizadeh &amp; Harrington, 2021; Moss et al., 2019)","plainCitation":"(Ghanizadeh &amp; Harrington, 2021; Moss et al., 2019)","dontUpdate":true,"noteIndex":0},"citationItems":[{"id":2954,"uris":["http://zotero.org/users/5723659/items/4DSD8X7D"],"itemData":{"id":2954,"type":"article-journal","container-title":"Crop Protection","DOI":"10.1016/j.cropro.2018.09.005","ISSN":"02612194","journalAbbreviation":"Crop Protection","language":"en","page":"13-19","source":"DOI.org (Crossref)","title":"A herbicide resistance risk matrix","volume":"115","author":[{"family":"Moss","given":"Stephen"},{"family":"Ulber","given":"Lena"},{"family":"Hoed","given":"Ingrid Den"}],"issued":{"date-parts":[["2019"]]}}},{"id":2912,"uris":["http://zotero.org/users/5723659/items/ZEE4GRGT"],"itemData":{"id":2912,"type":"article-journal","container-title":"New Zealand Journal of Agricultural Research","DOI":"10.1080/00288233.2019.1705863","ISSN":"0028-8233, 1175-8775","issue":"4","journalAbbreviation":"New Zealand Journal of Agricultural Research","language":"en","page":"471-482","source":"DOI.org (Crossref)","title":"Herbicide resistant weeds in New Zealand: state of knowledge","title-short":"Herbicide resistant weeds in New Zealand","volume":"64","author":[{"family":"Ghanizadeh","given":"Hossein"},{"family":"Harrington","given":"Kerry C."}],"issued":{"date-parts":[["2021"]]}}}],"schema":"https://github.com/citation-style-language/schema/raw/master/csl-citation.json"} </w:instrText>
      </w:r>
      <w:r w:rsidR="00E10940">
        <w:rPr>
          <w:rFonts w:ascii="Arial" w:hAnsi="Arial" w:cs="Arial"/>
          <w:sz w:val="20"/>
          <w:szCs w:val="20"/>
          <w:lang w:val="en-GB"/>
        </w:rPr>
        <w:fldChar w:fldCharType="separate"/>
      </w:r>
      <w:r w:rsidR="000E707F" w:rsidRPr="000E707F">
        <w:rPr>
          <w:rFonts w:ascii="Arial" w:hAnsi="Arial" w:cs="Arial"/>
          <w:sz w:val="20"/>
          <w:lang w:val="en-GB"/>
        </w:rPr>
        <w:t>(</w:t>
      </w:r>
      <w:r w:rsidR="00FC5676" w:rsidRPr="000E707F">
        <w:rPr>
          <w:rFonts w:ascii="Arial" w:hAnsi="Arial" w:cs="Arial"/>
          <w:sz w:val="20"/>
          <w:lang w:val="en-GB"/>
        </w:rPr>
        <w:t xml:space="preserve">Moss </w:t>
      </w:r>
      <w:r w:rsidR="00FC5676" w:rsidRPr="000A75C2">
        <w:rPr>
          <w:rFonts w:ascii="Arial" w:hAnsi="Arial" w:cs="Arial"/>
          <w:i/>
          <w:iCs/>
          <w:sz w:val="20"/>
          <w:highlight w:val="yellow"/>
          <w:lang w:val="en-GB"/>
        </w:rPr>
        <w:t>et al</w:t>
      </w:r>
      <w:r w:rsidR="00FC5676" w:rsidRPr="000E707F">
        <w:rPr>
          <w:rFonts w:ascii="Arial" w:hAnsi="Arial" w:cs="Arial"/>
          <w:sz w:val="20"/>
          <w:lang w:val="en-GB"/>
        </w:rPr>
        <w:t>., 2019</w:t>
      </w:r>
      <w:r w:rsidR="00FC5676">
        <w:rPr>
          <w:rFonts w:ascii="Arial" w:hAnsi="Arial" w:cs="Arial"/>
          <w:sz w:val="20"/>
          <w:lang w:val="en-GB"/>
        </w:rPr>
        <w:t xml:space="preserve">; </w:t>
      </w:r>
      <w:r w:rsidR="000E707F" w:rsidRPr="000E707F">
        <w:rPr>
          <w:rFonts w:ascii="Arial" w:hAnsi="Arial" w:cs="Arial"/>
          <w:sz w:val="20"/>
          <w:lang w:val="en-GB"/>
        </w:rPr>
        <w:t>Ghanizadeh &amp; Harrington, 2021)</w:t>
      </w:r>
      <w:r w:rsidR="00E10940">
        <w:rPr>
          <w:rFonts w:ascii="Arial" w:hAnsi="Arial" w:cs="Arial"/>
          <w:sz w:val="20"/>
          <w:szCs w:val="20"/>
          <w:lang w:val="en-GB"/>
        </w:rPr>
        <w:fldChar w:fldCharType="end"/>
      </w:r>
      <w:r w:rsidRPr="0073550A">
        <w:rPr>
          <w:rFonts w:ascii="Arial" w:hAnsi="Arial" w:cs="Arial"/>
          <w:sz w:val="20"/>
          <w:szCs w:val="20"/>
          <w:lang w:val="en-GB"/>
        </w:rPr>
        <w:t xml:space="preserve">. This pressure is expressed through contamination of soils and waters, especially small </w:t>
      </w:r>
      <w:r w:rsidR="007F54A0">
        <w:rPr>
          <w:rFonts w:ascii="Arial" w:hAnsi="Arial" w:cs="Arial"/>
          <w:sz w:val="20"/>
          <w:szCs w:val="20"/>
          <w:lang w:val="en-GB"/>
        </w:rPr>
        <w:t xml:space="preserve">bodies of </w:t>
      </w:r>
      <w:r w:rsidRPr="0073550A">
        <w:rPr>
          <w:rFonts w:ascii="Arial" w:hAnsi="Arial" w:cs="Arial"/>
          <w:sz w:val="20"/>
          <w:szCs w:val="20"/>
          <w:lang w:val="en-GB"/>
        </w:rPr>
        <w:t xml:space="preserve">water that play a central role in agricultural landscapes and in domestic uses by rural communities </w:t>
      </w:r>
      <w:r w:rsidR="00E10940" w:rsidRPr="000A75C2">
        <w:rPr>
          <w:rFonts w:ascii="Arial" w:hAnsi="Arial" w:cs="Arial"/>
          <w:b/>
          <w:bCs/>
          <w:sz w:val="20"/>
          <w:szCs w:val="20"/>
          <w:highlight w:val="yellow"/>
          <w:lang w:val="en-GB"/>
        </w:rPr>
        <w:fldChar w:fldCharType="begin"/>
      </w:r>
      <w:r w:rsidR="000E707F" w:rsidRPr="000A75C2">
        <w:rPr>
          <w:rFonts w:ascii="Arial" w:hAnsi="Arial" w:cs="Arial"/>
          <w:b/>
          <w:bCs/>
          <w:sz w:val="20"/>
          <w:szCs w:val="20"/>
          <w:highlight w:val="yellow"/>
          <w:lang w:val="en-GB"/>
        </w:rPr>
        <w:instrText xml:space="preserve"> ADDIN ZOTERO_ITEM CSL_CITATION {"citationID":"Me2sW8sf","properties":{"formattedCitation":"(De Souza et al., 2020)","plainCitation":"(De Souza et al., 2020)","noteIndex":0},"citationItems":[{"id":2914,"uris":["http://zotero.org/users/5723659/items/DJ6W3VFG"],"itemData":{"id":2914,"type":"article-journal","container-title":"Process Safety and Environmental Protection","DOI":"10.1016/j.psep.2019.12.035","ISSN":"09575820","journalAbbreviation":"Process Safety and Environmental Protection","language":"en","page":"22-37","source":"DOI.org (Crossref)","title":"Occurrence, impacts and general aspects of pesticides in surface water: A review","title-short":"Occurrence, impacts and general aspects of pesticides in surface water","volume":"135","author":[{"family":"De Souza","given":"Renata Mariane"},{"family":"Seibert","given":"Daiana"},{"family":"Quesada","given":"Heloise Beatriz"},{"family":"De Jesus Bassetti","given":"Fátima"},{"family":"Fagundes-Klen","given":"Márcia Regina"},{"family":"Bergamasco","given":"Rosângela"}],"issued":{"date-parts":[["2020"]]}}}],"schema":"https://github.com/citation-style-language/schema/raw/master/csl-citation.json"} </w:instrText>
      </w:r>
      <w:r w:rsidR="00E10940" w:rsidRPr="000A75C2">
        <w:rPr>
          <w:rFonts w:ascii="Arial" w:hAnsi="Arial" w:cs="Arial"/>
          <w:b/>
          <w:bCs/>
          <w:sz w:val="20"/>
          <w:szCs w:val="20"/>
          <w:highlight w:val="yellow"/>
          <w:lang w:val="en-GB"/>
        </w:rPr>
        <w:fldChar w:fldCharType="separate"/>
      </w:r>
      <w:r w:rsidR="000E707F" w:rsidRPr="000A75C2">
        <w:rPr>
          <w:rFonts w:ascii="Arial" w:hAnsi="Arial" w:cs="Arial"/>
          <w:b/>
          <w:bCs/>
          <w:sz w:val="20"/>
          <w:highlight w:val="yellow"/>
          <w:lang w:val="en-GB"/>
        </w:rPr>
        <w:t xml:space="preserve">(De Souza </w:t>
      </w:r>
      <w:r w:rsidR="000E707F" w:rsidRPr="000A75C2">
        <w:rPr>
          <w:rFonts w:ascii="Arial" w:hAnsi="Arial" w:cs="Arial"/>
          <w:b/>
          <w:bCs/>
          <w:i/>
          <w:iCs/>
          <w:sz w:val="20"/>
          <w:highlight w:val="yellow"/>
          <w:lang w:val="en-GB"/>
        </w:rPr>
        <w:t>et al</w:t>
      </w:r>
      <w:r w:rsidR="000E707F" w:rsidRPr="000A75C2">
        <w:rPr>
          <w:rFonts w:ascii="Arial" w:hAnsi="Arial" w:cs="Arial"/>
          <w:b/>
          <w:bCs/>
          <w:sz w:val="20"/>
          <w:highlight w:val="yellow"/>
          <w:lang w:val="en-GB"/>
        </w:rPr>
        <w:t>., 2020)</w:t>
      </w:r>
      <w:r w:rsidR="00E10940" w:rsidRPr="000A75C2">
        <w:rPr>
          <w:rFonts w:ascii="Arial" w:hAnsi="Arial" w:cs="Arial"/>
          <w:b/>
          <w:bCs/>
          <w:sz w:val="20"/>
          <w:szCs w:val="20"/>
          <w:highlight w:val="yellow"/>
          <w:lang w:val="en-GB"/>
        </w:rPr>
        <w:fldChar w:fldCharType="end"/>
      </w:r>
      <w:r w:rsidRPr="000A75C2">
        <w:rPr>
          <w:rFonts w:ascii="Arial" w:hAnsi="Arial" w:cs="Arial"/>
          <w:b/>
          <w:bCs/>
          <w:sz w:val="20"/>
          <w:szCs w:val="20"/>
          <w:highlight w:val="yellow"/>
          <w:lang w:val="en-GB"/>
        </w:rPr>
        <w:t>.</w:t>
      </w:r>
      <w:r w:rsidRPr="000A75C2">
        <w:rPr>
          <w:rFonts w:ascii="Arial" w:hAnsi="Arial" w:cs="Arial"/>
          <w:b/>
          <w:bCs/>
          <w:sz w:val="20"/>
          <w:szCs w:val="20"/>
          <w:lang w:val="en-GB"/>
        </w:rPr>
        <w:t xml:space="preserve"> </w:t>
      </w:r>
      <w:r w:rsidR="000A75C2" w:rsidRPr="000A75C2">
        <w:rPr>
          <w:rFonts w:ascii="Arial" w:hAnsi="Arial" w:cs="Arial"/>
          <w:b/>
          <w:bCs/>
          <w:sz w:val="20"/>
          <w:szCs w:val="20"/>
          <w:lang w:val="en-GB"/>
        </w:rPr>
        <w:t xml:space="preserve"> </w:t>
      </w:r>
      <w:r w:rsidRPr="0073550A">
        <w:rPr>
          <w:rFonts w:ascii="Arial" w:hAnsi="Arial" w:cs="Arial"/>
          <w:sz w:val="20"/>
          <w:szCs w:val="20"/>
          <w:lang w:val="en-GB"/>
        </w:rPr>
        <w:t xml:space="preserve">Herbicide residues may persist, be transported over long distances and accumulate in environmental compartments, thus contributing to chronic exposure of non-target organisms. In addition, the role of agricultural pesticides, including herbicides, in selecting resistance in disease vectors has been documented in several contexts </w:t>
      </w:r>
      <w:r w:rsidR="004135E9">
        <w:rPr>
          <w:rFonts w:ascii="Arial" w:hAnsi="Arial" w:cs="Arial"/>
          <w:sz w:val="20"/>
          <w:szCs w:val="20"/>
          <w:lang w:val="en-GB"/>
        </w:rPr>
        <w:fldChar w:fldCharType="begin"/>
      </w:r>
      <w:r w:rsidR="004A43B1">
        <w:rPr>
          <w:rFonts w:ascii="Arial" w:hAnsi="Arial" w:cs="Arial"/>
          <w:sz w:val="20"/>
          <w:szCs w:val="20"/>
          <w:lang w:val="en-GB"/>
        </w:rPr>
        <w:instrText xml:space="preserve"> ADDIN ZOTERO_ITEM CSL_CITATION {"citationID":"cUpwrIKx","properties":{"formattedCitation":"(Namountougou et al., 2019; Sadia et al., 2024; Urio et al., 2022)","plainCitation":"(Namountougou et al., 2019; Sadia et al., 2024; Urio et al., 2022)","dontUpdate":true,"noteIndex":0},"citationItems":[{"id":2904,"uris":["http://zotero.org/users/5723659/items/ZQ7BHT2W"],"itemData":{"id":2904,"type":"article-journal","container-title":"Acta Tropica","DOI":"10.1016/j.actatropica.2019.105054","ISSN":"0001706X","journalAbbreviation":"Acta Tropica","language":"en","page":"105054","source":"DOI.org (Crossref)","title":"Insecticide resistance mechanisms in Anopheles gambiae complex populations from Burkina Faso, West Africa","volume":"197","author":[{"family":"Namountougou","given":"Moussa"},{"family":"Soma","given":"Dieudonné Diloma"},{"family":"Kientega","given":"Mahamadi"},{"family":"Balboné","given":"Mahamoudou"},{"family":"Kaboré","given":"Didier P. Alexandre"},{"family":"Drabo","given":"Samuel Fogné"},{"family":"Coulibaly","given":"Ahmed Y."},{"family":"Fournet","given":"Florence"},{"family":"Baldet","given":"Thierry"},{"family":"Diabaté","given":"Abdoulaye"},{"family":"Dabiré","given":"Roch Kounbobr"},{"family":"Gnankiné","given":"Olivier"}],"issued":{"date-parts":[["2019"]]}}},{"id":2922,"uris":["http://zotero.org/users/5723659/items/Q5AQ99DD"],"itemData":{"id":2922,"type":"article-journal","abstract":"Abstract\n            \n              Background\n              Agricultural pesticides may exert strong selection pressures on malaria vectors during the aquatic life stages and may contribute to resistance in adult mosquitoes. This could reduce the performance of key vector control interventions such as indoor-residual spraying and insecticide-treated nets. The aim of this study was to investigate effects of agrochemicals on susceptibility and fitness of the malaria vectors across farming areas in Tanzania.\n            \n            \n              Methods\n              \n                An exploratory mixed-methods study was conducted to assess pesticide use in four villages (V1–V4) in south-eastern Tanzania.\n                Anopheles\n                 \n                gambiae\n                (s.l.) larvae were collected from agricultural fields in the same villages and their emergent adults examined for insecticide susceptibility, egg-laying and wing lengths (as proxy for body size). These tests were repeated using two groups of laboratory-reared \n                An. arabiensis\n                , one of which was pre-exposed for 48 h to sub-lethal aquatic doses of agricultural pesticides found in the villages.\n              \n            \n            \n              Results\n              Farmers lacked awareness about the linkages between the public health and agriculture sectors but were interested in being more informed. Agrochemical usage was reported as extensive in V1, V2 and V3 but minimal in V4. Similarly, mosquitoes from V1 to V3 but not V4 were resistant to pyrethroids and either pirimiphos-methyl or bendiocarb, or both. Adding the synergist piperonyl butoxide restored potency of the pyrethroids. Pre-exposure of laboratory-reared mosquitoes to pesticides during aquatic stages did not affect insecticide susceptibility in emergent adults of the same filial generation. There was also no effect on fecundity, except after pre-exposure to organophosphates, which were associated with fewer eggs and smaller mosquitoes. Wild mosquitoes were smaller than laboratory-reared ones, but fecundity was similar.\n            \n            \n              Conclusions\n              Safeguarding the potential of insecticide-based interventions requires improved understanding of how agricultural pesticides influence important life cycle processes and transmission potential of mosquito vectors. In this study, susceptibility of mosquitoes to public health insecticides was lower in villages reporting frequent use of pesticides compared to villages with little or no pesticide use. Variations in the fitness parameters, fecundity and wing length marginally reflected the differences in exposure to agrochemicals and should be investigated further. Pesticide use may exert additional life cycle constraints on mosquito vectors, but this likely occurs after multi-generational exposures.\n            \n            \n              Graphical Abstract","container-title":"Parasites &amp; Vectors","DOI":"10.1186/s13071-022-05318-3","ISSN":"1756-3305","issue":"1","journalAbbreviation":"Parasites Vectors","language":"en","page":"213","source":"DOI.org (Crossref)","title":"Effects of agricultural pesticides on the susceptibility and fitness of malaria vectors in rural south-eastern Tanzania","volume":"15","author":[{"family":"Urio","given":"Naomi H."},{"family":"Pinda","given":"Polius G."},{"family":"Ngonzi","given":"Amos J."},{"family":"Muyaga","given":"Letus L."},{"family":"Msugupakulya","given":"Betwel J."},{"family":"Finda","given":"Marceline"},{"family":"Matanila","given":"Godfrey S."},{"family":"Mponzi","given":"Winifrida"},{"family":"Ngowo","given":"Halfan S."},{"family":"Kahamba","given":"Najat F."},{"family":"Nkya","given":"Theresia E."},{"family":"Okumu","given":"Fredros O."}],"issued":{"date-parts":[["2022"]]}}},{"id":2924,"uris":["http://zotero.org/users/5723659/items/7RV3J2TH"],"itemData":{"id":2924,"type":"article-journal","abstract":"Abstract\n            \n              Background\n              \n                There are several indications that pesticides used in agriculture contribute to the emergence and spread of resistance of mosquitoes to vector control insecticides. However, the impact of such an indirect selection pressure has rarely been quantified and the molecular mechanisms involved are still poorly characterized. In this context, experimental selection with different agrochemical mixtures was conducted in\n                Anopheles gambiae\n                . The multi-generational impact of agrochemicals on insecticide resistance was evaluated by phenotypic and molecular approaches.\n              \n            \n            \n              Methods\n              \n                Mosquito larvae were selected for 30 generations with three different agrochemical mixtures containing (i) insecticides, (ii) non-insecticides compounds, and (iii) both insecticide and non-insecticide compounds. Every five generations, the resistance of adults to deltamethrin and bendiocarb was monitored using bioassays. The frequencies of the\n                kdr\n                (L995F) and\n                ace1\n                (G119S) target-site mutations were monitored every 10 generations. RNAseq was performed on all lines at generation 30 in order to identify gene transcription level variations and polymorphisms associated with each selection regime.\n              \n            \n            \n              Results\n              \n                Larval selection with agrochemical mixtures did not affect bendiocarb resistance and did not select for\n                ace1\n                mutation. Contrastingly, an increased deltamethrin resistance was observed in the three selected lines. Such increased resistance was not majorly associated with the presence of\n                kdr\n                L995F mutation in selected lines. RNA-seq identified 63 candidate resistance genes over-transcribed in at least one selected line. These include genes coding for detoxification enzymes or cuticular proteins previously associated with insecticide resistance, and other genes potentially associated with chemical stress response. Combining an allele frequency filtering with a Bayesian FST-based genome scan allowed to identify genes under selection across multiple genomic loci, supporting a multigenic adaptive response to agrochemical mixtures.\n              \n            \n            \n              Conclusion\n              \n                This study supports the role of agrochemical contaminants as a significant larval selection pressure favouring insecticide resistance in malaria vectors. Such selection pressures likely impact\n                kdr\n                mutations and detoxification enzymes, but also more generalist mechanisms such as cuticle resistance, which could potentially lead to cross-tolerance to unrelated insecticide compounds. Such indirect effect of global landscape pollution on mosquito resistance to public health insecticides deserves further attention since it can affect the nature and dynamics of resistance alleles circulating in malaria vectors and impact the efficacy of control vector strategies.","container-title":"Malaria Journal","DOI":"10.1186/s12936-023-04791-0","ISSN":"1475-2875","issue":"1","journalAbbreviation":"Malar J","language":"en","page":"69","source":"DOI.org (Crossref)","title":"The impact of agrochemical pollutant mixtures on the selection of insecticide resistance in the malaria vector Anopheles gambiae: insights from experimental evolution and transcriptomics","title-short":"The impact of agrochemical pollutant mixtures on the selection of insecticide resistance in the malaria vector Anopheles gambiae","volume":"23","author":[{"family":"Sadia","given":"Christabelle G."},{"family":"Bonneville","given":"Jean-Marc"},{"family":"Zoh","given":"Marius G."},{"family":"Fodjo","given":"Behi K."},{"family":"Kouadio","given":"France-Paraudie A."},{"family":"Oyou","given":"Sebastien K."},{"family":"Koudou","given":"Benjamin G."},{"family":"Adepo-Gourene","given":"Beatrice A."},{"family":"Reynaud","given":"Stephane"},{"family":"David","given":"Jean-Philippe"},{"family":"Mouahamadou","given":"Chouaibou S."}],"issued":{"date-parts":[["2024"]]}}}],"schema":"https://github.com/citation-style-language/schema/raw/master/csl-citation.json"} </w:instrText>
      </w:r>
      <w:r w:rsidR="004135E9">
        <w:rPr>
          <w:rFonts w:ascii="Arial" w:hAnsi="Arial" w:cs="Arial"/>
          <w:sz w:val="20"/>
          <w:szCs w:val="20"/>
          <w:lang w:val="en-GB"/>
        </w:rPr>
        <w:fldChar w:fldCharType="separate"/>
      </w:r>
      <w:r w:rsidR="000E707F" w:rsidRPr="000E707F">
        <w:rPr>
          <w:rFonts w:ascii="Arial" w:hAnsi="Arial" w:cs="Arial"/>
          <w:sz w:val="20"/>
          <w:lang w:val="en-GB"/>
        </w:rPr>
        <w:t xml:space="preserve">(Namountougou </w:t>
      </w:r>
      <w:r w:rsidR="000E707F" w:rsidRPr="000A75C2">
        <w:rPr>
          <w:rFonts w:ascii="Arial" w:hAnsi="Arial" w:cs="Arial"/>
          <w:i/>
          <w:iCs/>
          <w:sz w:val="20"/>
          <w:highlight w:val="yellow"/>
          <w:lang w:val="en-GB"/>
        </w:rPr>
        <w:t>et al</w:t>
      </w:r>
      <w:r w:rsidR="000E707F" w:rsidRPr="000A75C2">
        <w:rPr>
          <w:rFonts w:ascii="Arial" w:hAnsi="Arial" w:cs="Arial"/>
          <w:i/>
          <w:iCs/>
          <w:sz w:val="20"/>
          <w:lang w:val="en-GB"/>
        </w:rPr>
        <w:t>.</w:t>
      </w:r>
      <w:r w:rsidR="000E707F" w:rsidRPr="000E707F">
        <w:rPr>
          <w:rFonts w:ascii="Arial" w:hAnsi="Arial" w:cs="Arial"/>
          <w:sz w:val="20"/>
          <w:lang w:val="en-GB"/>
        </w:rPr>
        <w:t xml:space="preserve">, 2019; </w:t>
      </w:r>
      <w:r w:rsidR="00FC5676" w:rsidRPr="000E707F">
        <w:rPr>
          <w:rFonts w:ascii="Arial" w:hAnsi="Arial" w:cs="Arial"/>
          <w:sz w:val="20"/>
          <w:lang w:val="en-GB"/>
        </w:rPr>
        <w:t>Urio et al., 2022</w:t>
      </w:r>
      <w:r w:rsidR="00FC5676">
        <w:rPr>
          <w:rFonts w:ascii="Arial" w:hAnsi="Arial" w:cs="Arial"/>
          <w:sz w:val="20"/>
          <w:lang w:val="en-GB"/>
        </w:rPr>
        <w:t xml:space="preserve">; </w:t>
      </w:r>
      <w:r w:rsidR="000E707F" w:rsidRPr="000E707F">
        <w:rPr>
          <w:rFonts w:ascii="Arial" w:hAnsi="Arial" w:cs="Arial"/>
          <w:sz w:val="20"/>
          <w:lang w:val="en-GB"/>
        </w:rPr>
        <w:t xml:space="preserve">Sadia </w:t>
      </w:r>
      <w:r w:rsidR="000E707F" w:rsidRPr="000A75C2">
        <w:rPr>
          <w:rFonts w:ascii="Arial" w:hAnsi="Arial" w:cs="Arial"/>
          <w:i/>
          <w:iCs/>
          <w:sz w:val="20"/>
          <w:highlight w:val="yellow"/>
          <w:lang w:val="en-GB"/>
        </w:rPr>
        <w:t>et al.</w:t>
      </w:r>
      <w:r w:rsidR="000E707F" w:rsidRPr="000E707F">
        <w:rPr>
          <w:rFonts w:ascii="Arial" w:hAnsi="Arial" w:cs="Arial"/>
          <w:sz w:val="20"/>
          <w:lang w:val="en-GB"/>
        </w:rPr>
        <w:t>, 2024)</w:t>
      </w:r>
      <w:r w:rsidR="004135E9">
        <w:rPr>
          <w:rFonts w:ascii="Arial" w:hAnsi="Arial" w:cs="Arial"/>
          <w:sz w:val="20"/>
          <w:szCs w:val="20"/>
          <w:lang w:val="en-GB"/>
        </w:rPr>
        <w:fldChar w:fldCharType="end"/>
      </w:r>
      <w:r w:rsidRPr="0073550A">
        <w:rPr>
          <w:rFonts w:ascii="Arial" w:hAnsi="Arial" w:cs="Arial"/>
          <w:sz w:val="20"/>
          <w:szCs w:val="20"/>
          <w:lang w:val="en-GB"/>
        </w:rPr>
        <w:t>, highlighting the broader implications of diffuse pesticide pollution.</w:t>
      </w:r>
      <w:r w:rsidR="00CD5B9B">
        <w:rPr>
          <w:rFonts w:ascii="Arial" w:hAnsi="Arial" w:cs="Arial"/>
          <w:sz w:val="20"/>
          <w:szCs w:val="20"/>
          <w:lang w:val="en-GB"/>
        </w:rPr>
        <w:t xml:space="preserve"> </w:t>
      </w:r>
      <w:r w:rsidRPr="0073550A">
        <w:rPr>
          <w:rFonts w:ascii="Arial" w:hAnsi="Arial" w:cs="Arial"/>
          <w:sz w:val="20"/>
          <w:szCs w:val="20"/>
          <w:lang w:val="en-GB"/>
        </w:rPr>
        <w:t xml:space="preserve">At the global scale, numerous studies have reported the presence of herbicide residues in aquatic environments, often at concentrations above ecotoxicological thresholds </w:t>
      </w:r>
      <w:r w:rsidR="004135E9">
        <w:rPr>
          <w:rFonts w:ascii="Arial" w:hAnsi="Arial" w:cs="Arial"/>
          <w:sz w:val="20"/>
          <w:szCs w:val="20"/>
          <w:lang w:val="en-GB"/>
        </w:rPr>
        <w:fldChar w:fldCharType="begin"/>
      </w:r>
      <w:r w:rsidR="004A43B1">
        <w:rPr>
          <w:rFonts w:ascii="Arial" w:hAnsi="Arial" w:cs="Arial"/>
          <w:sz w:val="20"/>
          <w:szCs w:val="20"/>
          <w:lang w:val="en-GB"/>
        </w:rPr>
        <w:instrText xml:space="preserve"> ADDIN ZOTERO_ITEM CSL_CITATION {"citationID":"K9OPiLnO","properties":{"formattedCitation":"(Schwientek et al., 2024; Stackpoole et al., 2021)","plainCitation":"(Schwientek et al., 2024; Stackpoole et al., 2021)","dontUpdate":true,"noteIndex":0},"citationItems":[{"id":2902,"uris":["http://zotero.org/users/5723659/items/IHH8DK8W"],"itemData":{"id":2902,"type":"article-journal","container-title":"Science of The Total Environment","DOI":"10.1016/j.scitotenv.2021.147147","ISSN":"00489697","journalAbbreviation":"Science of The Total Environment","language":"en","page":"147147","source":"DOI.org (Crossref)","title":"Pesticides in US Rivers: Regional differences in use, occurrence, and environmental toxicity, 2013 to 2017","title-short":"Pesticides in US Rivers","volume":"787","author":[{"family":"Stackpoole","given":"Sarah M."},{"family":"Shoda","given":"Megan E."},{"family":"Medalie","given":"Laura"},{"family":"Stone","given":"Wesley W."}],"issued":{"date-parts":[["2021"]]}}},{"id":2956,"uris":["http://zotero.org/users/5723659/items/ZZ2UNMPH"],"itemData":{"id":2956,"type":"article-journal","container-title":"Water Research","DOI":"10.1016/j.watres.2024.122140","ISSN":"00431354","journalAbbreviation":"Water Research","language":"en","page":"122140","source":"DOI.org (Crossref)","title":"Glyphosate contamination in European rivers not from herbicide application?","volume":"263","author":[{"family":"Schwientek","given":"M."},{"family":"Rügner","given":"H."},{"family":"Haderlein","given":"S.B."},{"family":"Schulz","given":"W."},{"family":"Wimmer","given":"B."},{"family":"Engelbart","given":"L."},{"family":"Bieger","given":"S."},{"family":"Huhn","given":"C."}],"issued":{"date-parts":[["2024"]]}}}],"schema":"https://github.com/citation-style-language/schema/raw/master/csl-citation.json"} </w:instrText>
      </w:r>
      <w:r w:rsidR="004135E9">
        <w:rPr>
          <w:rFonts w:ascii="Arial" w:hAnsi="Arial" w:cs="Arial"/>
          <w:sz w:val="20"/>
          <w:szCs w:val="20"/>
          <w:lang w:val="en-GB"/>
        </w:rPr>
        <w:fldChar w:fldCharType="separate"/>
      </w:r>
      <w:r w:rsidR="000E707F" w:rsidRPr="000E707F">
        <w:rPr>
          <w:rFonts w:ascii="Arial" w:hAnsi="Arial" w:cs="Arial"/>
          <w:sz w:val="20"/>
          <w:lang w:val="en-GB"/>
        </w:rPr>
        <w:t>(</w:t>
      </w:r>
      <w:r w:rsidR="00C93B6D" w:rsidRPr="00C93B6D">
        <w:rPr>
          <w:rFonts w:ascii="Arial" w:hAnsi="Arial" w:cs="Arial"/>
          <w:sz w:val="20"/>
          <w:lang w:val="en-GB"/>
        </w:rPr>
        <w:t xml:space="preserve"> </w:t>
      </w:r>
      <w:r w:rsidR="00C93B6D" w:rsidRPr="000E707F">
        <w:rPr>
          <w:rFonts w:ascii="Arial" w:hAnsi="Arial" w:cs="Arial"/>
          <w:sz w:val="20"/>
          <w:lang w:val="en-GB"/>
        </w:rPr>
        <w:t>Stackpoole</w:t>
      </w:r>
      <w:r w:rsidR="00C93B6D" w:rsidRPr="000A75C2">
        <w:rPr>
          <w:rFonts w:ascii="Arial" w:hAnsi="Arial" w:cs="Arial"/>
          <w:i/>
          <w:iCs/>
          <w:sz w:val="20"/>
          <w:lang w:val="en-GB"/>
        </w:rPr>
        <w:t xml:space="preserve"> </w:t>
      </w:r>
      <w:r w:rsidR="00C93B6D" w:rsidRPr="000A75C2">
        <w:rPr>
          <w:rFonts w:ascii="Arial" w:hAnsi="Arial" w:cs="Arial"/>
          <w:i/>
          <w:iCs/>
          <w:sz w:val="20"/>
          <w:highlight w:val="yellow"/>
          <w:lang w:val="en-GB"/>
        </w:rPr>
        <w:t>et al.</w:t>
      </w:r>
      <w:r w:rsidR="00C93B6D" w:rsidRPr="000E707F">
        <w:rPr>
          <w:rFonts w:ascii="Arial" w:hAnsi="Arial" w:cs="Arial"/>
          <w:sz w:val="20"/>
          <w:lang w:val="en-GB"/>
        </w:rPr>
        <w:t>, 2021</w:t>
      </w:r>
      <w:r w:rsidR="00C93B6D">
        <w:rPr>
          <w:rFonts w:ascii="Arial" w:hAnsi="Arial" w:cs="Arial"/>
          <w:sz w:val="20"/>
          <w:lang w:val="en-GB"/>
        </w:rPr>
        <w:t xml:space="preserve">; </w:t>
      </w:r>
      <w:r w:rsidR="000E707F" w:rsidRPr="000E707F">
        <w:rPr>
          <w:rFonts w:ascii="Arial" w:hAnsi="Arial" w:cs="Arial"/>
          <w:sz w:val="20"/>
          <w:lang w:val="en-GB"/>
        </w:rPr>
        <w:t xml:space="preserve">Schwientek </w:t>
      </w:r>
      <w:r w:rsidR="000E707F" w:rsidRPr="000A75C2">
        <w:rPr>
          <w:rFonts w:ascii="Arial" w:hAnsi="Arial" w:cs="Arial"/>
          <w:i/>
          <w:iCs/>
          <w:sz w:val="20"/>
          <w:highlight w:val="yellow"/>
          <w:lang w:val="en-GB"/>
        </w:rPr>
        <w:t>et al</w:t>
      </w:r>
      <w:r w:rsidR="000E707F" w:rsidRPr="000E707F">
        <w:rPr>
          <w:rFonts w:ascii="Arial" w:hAnsi="Arial" w:cs="Arial"/>
          <w:sz w:val="20"/>
          <w:lang w:val="en-GB"/>
        </w:rPr>
        <w:t>., 2024)</w:t>
      </w:r>
      <w:r w:rsidR="004135E9">
        <w:rPr>
          <w:rFonts w:ascii="Arial" w:hAnsi="Arial" w:cs="Arial"/>
          <w:sz w:val="20"/>
          <w:szCs w:val="20"/>
          <w:lang w:val="en-GB"/>
        </w:rPr>
        <w:fldChar w:fldCharType="end"/>
      </w:r>
      <w:r w:rsidRPr="0073550A">
        <w:rPr>
          <w:rFonts w:ascii="Arial" w:hAnsi="Arial" w:cs="Arial"/>
          <w:sz w:val="20"/>
          <w:szCs w:val="20"/>
          <w:lang w:val="en-GB"/>
        </w:rPr>
        <w:t xml:space="preserve">. Small bodies </w:t>
      </w:r>
      <w:r w:rsidR="007F54A0">
        <w:rPr>
          <w:rFonts w:ascii="Arial" w:hAnsi="Arial" w:cs="Arial"/>
          <w:sz w:val="20"/>
          <w:szCs w:val="20"/>
          <w:lang w:val="en-GB"/>
        </w:rPr>
        <w:t xml:space="preserve">of </w:t>
      </w:r>
      <w:r w:rsidR="007F54A0" w:rsidRPr="0073550A">
        <w:rPr>
          <w:rFonts w:ascii="Arial" w:hAnsi="Arial" w:cs="Arial"/>
          <w:sz w:val="20"/>
          <w:szCs w:val="20"/>
          <w:lang w:val="en-GB"/>
        </w:rPr>
        <w:t xml:space="preserve">water </w:t>
      </w:r>
      <w:r w:rsidRPr="0073550A">
        <w:rPr>
          <w:rFonts w:ascii="Arial" w:hAnsi="Arial" w:cs="Arial"/>
          <w:sz w:val="20"/>
          <w:szCs w:val="20"/>
          <w:lang w:val="en-GB"/>
        </w:rPr>
        <w:t xml:space="preserve">such as ponds, reservoirs and drainage channels are particularly vulnerable because of their low dilution capacity and their strong exposure to runoff and drift from surrounding fields </w:t>
      </w:r>
      <w:r w:rsidR="004135E9">
        <w:rPr>
          <w:rFonts w:ascii="Arial" w:hAnsi="Arial" w:cs="Arial"/>
          <w:sz w:val="20"/>
          <w:szCs w:val="20"/>
          <w:lang w:val="en-GB"/>
        </w:rPr>
        <w:fldChar w:fldCharType="begin"/>
      </w:r>
      <w:r w:rsidR="000E707F">
        <w:rPr>
          <w:rFonts w:ascii="Arial" w:hAnsi="Arial" w:cs="Arial"/>
          <w:sz w:val="20"/>
          <w:szCs w:val="20"/>
          <w:lang w:val="en-GB"/>
        </w:rPr>
        <w:instrText xml:space="preserve"> ADDIN ZOTERO_ITEM CSL_CITATION {"citationID":"JTT9AWUF","properties":{"formattedCitation":"(Lorenz et al., 2025)","plainCitation":"(Lorenz et al., 2025)","noteIndex":0},"citationItems":[{"id":2926,"uris":["http://zotero.org/users/5723659/items/C6PA75MH"],"itemData":{"id":2926,"type":"article-journal","container-title":"Science of The Total Environment","DOI":"10.1016/j.scitotenv.2025.179250","ISSN":"00489697","journalAbbreviation":"Science of The Total Environment","language":"en","page":"179250","source":"DOI.org (Crossref)","title":"Pesticide contamination of small standing water bodies in the agricultural landscape of northeast Germany","volume":"975","author":[{"family":"Lorenz","given":"Stefan"},{"family":"Trau","given":"Fee Nanett"},{"family":"Ruf","given":"Lena C."},{"family":"Meinikmann","given":"Karin"},{"family":"Fisch","given":"Kathrin"},{"family":"Stähler","given":"Matthias"},{"family":"Schenke","given":"Detlef"},{"family":"Blevins","given":"Holly Lyon"},{"family":"Heinz","given":"Marlen"}],"issued":{"date-parts":[["2025"]]}}}],"schema":"https://github.com/citation-style-language/schema/raw/master/csl-citation.json"} </w:instrText>
      </w:r>
      <w:r w:rsidR="004135E9">
        <w:rPr>
          <w:rFonts w:ascii="Arial" w:hAnsi="Arial" w:cs="Arial"/>
          <w:sz w:val="20"/>
          <w:szCs w:val="20"/>
          <w:lang w:val="en-GB"/>
        </w:rPr>
        <w:fldChar w:fldCharType="separate"/>
      </w:r>
      <w:r w:rsidR="000E707F" w:rsidRPr="000E707F">
        <w:rPr>
          <w:rFonts w:ascii="Arial" w:hAnsi="Arial" w:cs="Arial"/>
          <w:sz w:val="20"/>
          <w:lang w:val="en-GB"/>
        </w:rPr>
        <w:t xml:space="preserve">(Lorenz </w:t>
      </w:r>
      <w:r w:rsidR="000E707F" w:rsidRPr="000A75C2">
        <w:rPr>
          <w:rFonts w:ascii="Arial" w:hAnsi="Arial" w:cs="Arial"/>
          <w:i/>
          <w:iCs/>
          <w:sz w:val="20"/>
          <w:highlight w:val="yellow"/>
          <w:lang w:val="en-GB"/>
        </w:rPr>
        <w:t>et al.</w:t>
      </w:r>
      <w:r w:rsidR="000E707F" w:rsidRPr="000E707F">
        <w:rPr>
          <w:rFonts w:ascii="Arial" w:hAnsi="Arial" w:cs="Arial"/>
          <w:sz w:val="20"/>
          <w:lang w:val="en-GB"/>
        </w:rPr>
        <w:t>, 2025)</w:t>
      </w:r>
      <w:r w:rsidR="004135E9">
        <w:rPr>
          <w:rFonts w:ascii="Arial" w:hAnsi="Arial" w:cs="Arial"/>
          <w:sz w:val="20"/>
          <w:szCs w:val="20"/>
          <w:lang w:val="en-GB"/>
        </w:rPr>
        <w:fldChar w:fldCharType="end"/>
      </w:r>
      <w:r w:rsidRPr="0073550A">
        <w:rPr>
          <w:rFonts w:ascii="Arial" w:hAnsi="Arial" w:cs="Arial"/>
          <w:sz w:val="20"/>
          <w:szCs w:val="20"/>
          <w:lang w:val="en-GB"/>
        </w:rPr>
        <w:t xml:space="preserve">. Contamination of these ecosystems can disrupt aquatic food webs, alter reproduction and growth of sensitive species and, in some cases, favour the emergence of biological resistance in target or non-target organisms </w:t>
      </w:r>
      <w:r w:rsidR="004135E9">
        <w:rPr>
          <w:rFonts w:ascii="Arial" w:hAnsi="Arial" w:cs="Arial"/>
          <w:sz w:val="20"/>
          <w:szCs w:val="20"/>
          <w:lang w:val="en-GB"/>
        </w:rPr>
        <w:fldChar w:fldCharType="begin"/>
      </w:r>
      <w:r w:rsidR="000E707F">
        <w:rPr>
          <w:rFonts w:ascii="Arial" w:hAnsi="Arial" w:cs="Arial"/>
          <w:sz w:val="20"/>
          <w:szCs w:val="20"/>
          <w:lang w:val="en-GB"/>
        </w:rPr>
        <w:instrText xml:space="preserve"> ADDIN ZOTERO_ITEM CSL_CITATION {"citationID":"R0umtxNF","properties":{"formattedCitation":"(Pinheiro et al., 2023)","plainCitation":"(Pinheiro et al., 2023)","noteIndex":0},"citationItems":[{"id":2903,"uris":["http://zotero.org/users/5723659/items/GMIT896L"],"itemData":{"id":2903,"type":"article-journal","container-title":"Environmental Science and Pollution Research","DOI":"10.1007/s11356-023-30198-0","ISSN":"1614-7499","issue":"52","journalAbbreviation":"Environ Sci Pollut Res","language":"en","page":"111850-111870","source":"DOI.org (Crossref)","title":"Herbicides may threaten advances in biological control of diseases and pests","volume":"30","author":[{"family":"Pinheiro","given":"Rodrigo Almeida"},{"family":"Duque","given":"Tayna Sousa"},{"family":"Barroso","given":"Gabriela Madureira"},{"family":"Soares","given":"Marcus Alvarenga"},{"family":"Cabral","given":"Cassia Michelle"},{"family":"Zanuncio","given":"José Cola"},{"family":"Dos Santos","given":"José Barbosa"}],"issued":{"date-parts":[["2023"]]}}}],"schema":"https://github.com/citation-style-language/schema/raw/master/csl-citation.json"} </w:instrText>
      </w:r>
      <w:r w:rsidR="004135E9">
        <w:rPr>
          <w:rFonts w:ascii="Arial" w:hAnsi="Arial" w:cs="Arial"/>
          <w:sz w:val="20"/>
          <w:szCs w:val="20"/>
          <w:lang w:val="en-GB"/>
        </w:rPr>
        <w:fldChar w:fldCharType="separate"/>
      </w:r>
      <w:r w:rsidR="000E707F" w:rsidRPr="000E707F">
        <w:rPr>
          <w:rFonts w:ascii="Arial" w:hAnsi="Arial" w:cs="Arial"/>
          <w:sz w:val="20"/>
          <w:lang w:val="en-GB"/>
        </w:rPr>
        <w:t xml:space="preserve">(Pinheiro </w:t>
      </w:r>
      <w:r w:rsidR="000E707F" w:rsidRPr="000A75C2">
        <w:rPr>
          <w:rFonts w:ascii="Arial" w:hAnsi="Arial" w:cs="Arial"/>
          <w:i/>
          <w:iCs/>
          <w:sz w:val="20"/>
          <w:highlight w:val="yellow"/>
          <w:lang w:val="en-GB"/>
        </w:rPr>
        <w:t>et al.</w:t>
      </w:r>
      <w:r w:rsidR="000E707F" w:rsidRPr="000E707F">
        <w:rPr>
          <w:rFonts w:ascii="Arial" w:hAnsi="Arial" w:cs="Arial"/>
          <w:sz w:val="20"/>
          <w:lang w:val="en-GB"/>
        </w:rPr>
        <w:t>, 2023)</w:t>
      </w:r>
      <w:r w:rsidR="004135E9">
        <w:rPr>
          <w:rFonts w:ascii="Arial" w:hAnsi="Arial" w:cs="Arial"/>
          <w:sz w:val="20"/>
          <w:szCs w:val="20"/>
          <w:lang w:val="en-GB"/>
        </w:rPr>
        <w:fldChar w:fldCharType="end"/>
      </w:r>
      <w:r w:rsidRPr="0073550A">
        <w:rPr>
          <w:rFonts w:ascii="Arial" w:hAnsi="Arial" w:cs="Arial"/>
          <w:sz w:val="20"/>
          <w:szCs w:val="20"/>
          <w:lang w:val="en-GB"/>
        </w:rPr>
        <w:t>.</w:t>
      </w:r>
    </w:p>
    <w:p w14:paraId="17843C3D" w14:textId="3A29816D" w:rsidR="0073550A" w:rsidRPr="00DF13DF" w:rsidRDefault="0073550A" w:rsidP="00CD5B9B">
      <w:pPr>
        <w:spacing w:after="0" w:line="240" w:lineRule="auto"/>
        <w:jc w:val="both"/>
        <w:rPr>
          <w:rFonts w:ascii="Arial" w:hAnsi="Arial" w:cs="Arial"/>
          <w:sz w:val="20"/>
          <w:szCs w:val="20"/>
          <w:lang w:val="en-GB"/>
        </w:rPr>
      </w:pPr>
      <w:r w:rsidRPr="0073550A">
        <w:rPr>
          <w:rFonts w:ascii="Arial" w:hAnsi="Arial" w:cs="Arial"/>
          <w:sz w:val="20"/>
          <w:szCs w:val="20"/>
          <w:lang w:val="en-GB"/>
        </w:rPr>
        <w:t xml:space="preserve">In West Africa, and Burkina Faso in particular, several studies have confirmed the recurrent presence of pesticides such as glyphosate, chlorpyrifos and dieldrin in surface waters, sometimes at concentrations exceeding maximum residue limits or environmental quality standards </w:t>
      </w:r>
      <w:r w:rsidR="004135E9">
        <w:rPr>
          <w:rFonts w:ascii="Arial" w:hAnsi="Arial" w:cs="Arial"/>
          <w:sz w:val="20"/>
          <w:szCs w:val="20"/>
          <w:lang w:val="en-GB"/>
        </w:rPr>
        <w:fldChar w:fldCharType="begin"/>
      </w:r>
      <w:r w:rsidR="000E707F">
        <w:rPr>
          <w:rFonts w:ascii="Arial" w:hAnsi="Arial" w:cs="Arial"/>
          <w:sz w:val="20"/>
          <w:szCs w:val="20"/>
          <w:lang w:val="en-GB"/>
        </w:rPr>
        <w:instrText xml:space="preserve"> ADDIN ZOTERO_ITEM CSL_CITATION {"citationID":"354HL4Hy","properties":{"formattedCitation":"(Lehmann et al., 2017; S\\uc0\\u233{}r\\uc0\\u233{} et al., 2025)","plainCitation":"(Lehmann et al., 2017; Séré et al., 2025)","noteIndex":0},"citationItems":[{"id":2960,"uris":["http://zotero.org/users/5723659/items/ZTB8ELLW"],"itemData":{"id":2960,"type":"article-journal","container-title":"Science of The Total Environment","DOI":"10.1016/j.scitotenv.2017.05.285","ISSN":"00489697","journalAbbreviation":"Science of The Total Environment","language":"en","page":"1208-1216","source":"DOI.org (Crossref)","title":"Dietary risk assessment of pesticides from vegetables and drinking water in gardening areas in Burkina Faso","volume":"601-602","author":[{"family":"Lehmann","given":"Edouard"},{"family":"Turrero","given":"Nuria"},{"family":"Kolia","given":"Marius"},{"family":"Konaté","given":"Yacouba"},{"family":"De Alencastro","given":"Luiz Felippe"}],"issued":{"date-parts":[["2017"]]}}},{"id":2946,"uris":["http://zotero.org/users/5723659/items/7EJTTUQA"],"itemData":{"id":2946,"type":"article-journal","container-title":"Revue Africaine d’Environnement et d’Agriculture Durable","issue":"1","page":"45-56","title":"Contamination des eaux de surface par les pesticides dans la région de Bama (Burkina Faso)","volume":"12","author":[{"family":"Séré","given":"G"},{"family":"Sawadogo","given":"R"},{"family":"Nacoulma","given":"BMI"}],"issued":{"date-parts":[["2025"]]}}}],"schema":"https://github.com/citation-style-language/schema/raw/master/csl-citation.json"} </w:instrText>
      </w:r>
      <w:r w:rsidR="004135E9">
        <w:rPr>
          <w:rFonts w:ascii="Arial" w:hAnsi="Arial" w:cs="Arial"/>
          <w:sz w:val="20"/>
          <w:szCs w:val="20"/>
          <w:lang w:val="en-GB"/>
        </w:rPr>
        <w:fldChar w:fldCharType="separate"/>
      </w:r>
      <w:r w:rsidR="000E707F" w:rsidRPr="000E707F">
        <w:rPr>
          <w:rFonts w:ascii="Arial" w:hAnsi="Arial" w:cs="Arial"/>
          <w:sz w:val="20"/>
          <w:lang w:val="en-GB"/>
        </w:rPr>
        <w:t xml:space="preserve">(Lehmann </w:t>
      </w:r>
      <w:r w:rsidR="000E707F" w:rsidRPr="000A75C2">
        <w:rPr>
          <w:rFonts w:ascii="Arial" w:hAnsi="Arial" w:cs="Arial"/>
          <w:i/>
          <w:iCs/>
          <w:sz w:val="20"/>
          <w:highlight w:val="yellow"/>
          <w:lang w:val="en-GB"/>
        </w:rPr>
        <w:t>et al.,</w:t>
      </w:r>
      <w:r w:rsidR="000E707F" w:rsidRPr="000E707F">
        <w:rPr>
          <w:rFonts w:ascii="Arial" w:hAnsi="Arial" w:cs="Arial"/>
          <w:sz w:val="20"/>
          <w:lang w:val="en-GB"/>
        </w:rPr>
        <w:t xml:space="preserve"> 2017; Séré </w:t>
      </w:r>
      <w:r w:rsidR="000E707F" w:rsidRPr="000A75C2">
        <w:rPr>
          <w:rFonts w:ascii="Arial" w:hAnsi="Arial" w:cs="Arial"/>
          <w:i/>
          <w:iCs/>
          <w:sz w:val="20"/>
          <w:highlight w:val="yellow"/>
          <w:lang w:val="en-GB"/>
        </w:rPr>
        <w:t>et al.,</w:t>
      </w:r>
      <w:r w:rsidR="000E707F" w:rsidRPr="000E707F">
        <w:rPr>
          <w:rFonts w:ascii="Arial" w:hAnsi="Arial" w:cs="Arial"/>
          <w:sz w:val="20"/>
          <w:lang w:val="en-GB"/>
        </w:rPr>
        <w:t xml:space="preserve"> 2025)</w:t>
      </w:r>
      <w:r w:rsidR="004135E9">
        <w:rPr>
          <w:rFonts w:ascii="Arial" w:hAnsi="Arial" w:cs="Arial"/>
          <w:sz w:val="20"/>
          <w:szCs w:val="20"/>
          <w:lang w:val="en-GB"/>
        </w:rPr>
        <w:fldChar w:fldCharType="end"/>
      </w:r>
      <w:r w:rsidRPr="0073550A">
        <w:rPr>
          <w:rFonts w:ascii="Arial" w:hAnsi="Arial" w:cs="Arial"/>
          <w:sz w:val="20"/>
          <w:szCs w:val="20"/>
          <w:lang w:val="en-GB"/>
        </w:rPr>
        <w:t xml:space="preserve">. In the Bama </w:t>
      </w:r>
      <w:r w:rsidR="00DF34C4">
        <w:rPr>
          <w:rFonts w:ascii="Arial" w:hAnsi="Arial" w:cs="Arial"/>
          <w:sz w:val="20"/>
          <w:szCs w:val="20"/>
          <w:lang w:val="en-GB"/>
        </w:rPr>
        <w:t>locality</w:t>
      </w:r>
      <w:r w:rsidRPr="0073550A">
        <w:rPr>
          <w:rFonts w:ascii="Arial" w:hAnsi="Arial" w:cs="Arial"/>
          <w:sz w:val="20"/>
          <w:szCs w:val="20"/>
          <w:lang w:val="en-GB"/>
        </w:rPr>
        <w:t xml:space="preserve">, contamination levels reported in local water bodies exceed environmental safety thresholds, with consequences both for human health and for aquatic biodiversity </w:t>
      </w:r>
      <w:r w:rsidR="004135E9" w:rsidRPr="000A75C2">
        <w:rPr>
          <w:rFonts w:ascii="Arial" w:hAnsi="Arial" w:cs="Arial"/>
          <w:sz w:val="20"/>
          <w:szCs w:val="20"/>
          <w:highlight w:val="yellow"/>
          <w:lang w:val="en-GB"/>
        </w:rPr>
        <w:fldChar w:fldCharType="begin"/>
      </w:r>
      <w:r w:rsidR="000E707F" w:rsidRPr="000A75C2">
        <w:rPr>
          <w:rFonts w:ascii="Arial" w:hAnsi="Arial" w:cs="Arial"/>
          <w:sz w:val="20"/>
          <w:szCs w:val="20"/>
          <w:highlight w:val="yellow"/>
          <w:lang w:val="en-GB"/>
        </w:rPr>
        <w:instrText xml:space="preserve"> ADDIN ZOTERO_ITEM CSL_CITATION {"citationID":"CN4XZzJh","properties":{"formattedCitation":"(S\\uc0\\u233{}r\\uc0\\u233{} et al., 2025)","plainCitation":"(Séré et al., 2025)","noteIndex":0},"citationItems":[{"id":2946,"uris":["http://zotero.org/users/5723659/items/7EJTTUQA"],"itemData":{"id":2946,"type":"article-journal","container-title":"Revue Africaine d’Environnement et d’Agriculture Durable","issue":"1","page":"45-56","title":"Contamination des eaux de surface par les pesticides dans la région de Bama (Burkina Faso)","volume":"12","author":[{"family":"Séré","given":"G"},{"family":"Sawadogo","given":"R"},{"family":"Nacoulma","given":"BMI"}],"issued":{"date-parts":[["2025"]]}}}],"schema":"https://github.com/citation-style-language/schema/raw/master/csl-citation.json"} </w:instrText>
      </w:r>
      <w:r w:rsidR="004135E9" w:rsidRPr="000A75C2">
        <w:rPr>
          <w:rFonts w:ascii="Arial" w:hAnsi="Arial" w:cs="Arial"/>
          <w:sz w:val="20"/>
          <w:szCs w:val="20"/>
          <w:highlight w:val="yellow"/>
          <w:lang w:val="en-GB"/>
        </w:rPr>
        <w:fldChar w:fldCharType="separate"/>
      </w:r>
      <w:r w:rsidR="000E707F" w:rsidRPr="000A75C2">
        <w:rPr>
          <w:rFonts w:ascii="Arial" w:hAnsi="Arial" w:cs="Arial"/>
          <w:sz w:val="20"/>
          <w:highlight w:val="yellow"/>
          <w:lang w:val="en-GB"/>
        </w:rPr>
        <w:t xml:space="preserve">(Séré </w:t>
      </w:r>
      <w:r w:rsidR="000E707F" w:rsidRPr="000A75C2">
        <w:rPr>
          <w:rFonts w:ascii="Arial" w:hAnsi="Arial" w:cs="Arial"/>
          <w:i/>
          <w:iCs/>
          <w:sz w:val="20"/>
          <w:highlight w:val="yellow"/>
          <w:lang w:val="en-GB"/>
        </w:rPr>
        <w:t>et al.,</w:t>
      </w:r>
      <w:r w:rsidR="000E707F" w:rsidRPr="000A75C2">
        <w:rPr>
          <w:rFonts w:ascii="Arial" w:hAnsi="Arial" w:cs="Arial"/>
          <w:sz w:val="20"/>
          <w:highlight w:val="yellow"/>
          <w:lang w:val="en-GB"/>
        </w:rPr>
        <w:t xml:space="preserve"> 2025)</w:t>
      </w:r>
      <w:r w:rsidR="004135E9" w:rsidRPr="000A75C2">
        <w:rPr>
          <w:rFonts w:ascii="Arial" w:hAnsi="Arial" w:cs="Arial"/>
          <w:sz w:val="20"/>
          <w:szCs w:val="20"/>
          <w:highlight w:val="yellow"/>
          <w:lang w:val="en-GB"/>
        </w:rPr>
        <w:fldChar w:fldCharType="end"/>
      </w:r>
      <w:r w:rsidRPr="000A75C2">
        <w:rPr>
          <w:rFonts w:ascii="Arial" w:hAnsi="Arial" w:cs="Arial"/>
          <w:sz w:val="20"/>
          <w:szCs w:val="20"/>
          <w:highlight w:val="yellow"/>
          <w:lang w:val="en-GB"/>
        </w:rPr>
        <w:t>.</w:t>
      </w:r>
      <w:r w:rsidR="000A75C2">
        <w:rPr>
          <w:rFonts w:ascii="Arial" w:hAnsi="Arial" w:cs="Arial"/>
          <w:sz w:val="20"/>
          <w:szCs w:val="20"/>
          <w:lang w:val="en-GB"/>
        </w:rPr>
        <w:t xml:space="preserve"> </w:t>
      </w:r>
      <w:r w:rsidRPr="0073550A">
        <w:rPr>
          <w:rFonts w:ascii="Arial" w:hAnsi="Arial" w:cs="Arial"/>
          <w:sz w:val="20"/>
          <w:szCs w:val="20"/>
          <w:lang w:val="en-GB"/>
        </w:rPr>
        <w:t xml:space="preserve">However, few investigations have focused specifically on large cereal production areas, where application conditions and proximity of fields to water bodies favour diffuse and persistent pollution. Depending on the physicochemical properties of the molecules and the characteristics of soils and landscapes, it has been estimated that up to 99.7% of applied herbicides may reach the environment </w:t>
      </w:r>
      <w:r w:rsidR="004135E9">
        <w:rPr>
          <w:rFonts w:ascii="Arial" w:hAnsi="Arial" w:cs="Arial"/>
          <w:sz w:val="20"/>
          <w:szCs w:val="20"/>
          <w:lang w:val="en-GB"/>
        </w:rPr>
        <w:fldChar w:fldCharType="begin"/>
      </w:r>
      <w:r w:rsidR="004A43B1">
        <w:rPr>
          <w:rFonts w:ascii="Arial" w:hAnsi="Arial" w:cs="Arial"/>
          <w:sz w:val="20"/>
          <w:szCs w:val="20"/>
          <w:lang w:val="en-GB"/>
        </w:rPr>
        <w:instrText xml:space="preserve"> ADDIN ZOTERO_ITEM CSL_CITATION {"citationID":"RHDFTJ0R","properties":{"formattedCitation":"(Leu et al., 2004; van der Werf, 1997)","plainCitation":"(Leu et al., 2004; van der Werf, 1997)","dontUpdate":true,"noteIndex":0},"citationItems":[{"id":2949,"uris":["http://zotero.org/users/5723659/items/KQDN6ZSN"],"itemData":{"id":2949,"type":"article-journal","container-title":"Courrier de l’environnement de l’INRA","issue":"31","page":"5–22","title":"Evaluer l'impact des pesticides sur l'environnement","author":[{"family":"Werf","given":"HMG","non-dropping-particle":"van der"}],"issued":{"date-parts":[["1997"]]}}},{"id":2907,"uris":["http://zotero.org/users/5723659/items/4NKV3H9L"],"itemData":{"id":2907,"type":"article-journal","container-title":"Environmental Science &amp; Technology","DOI":"10.1021/es0499602","ISSN":"0013-936X, 1520-5851","issue":"14","journalAbbreviation":"Environ. Sci. Technol.","language":"en","page":"3827-3834","source":"DOI.org (Crossref)","title":"Simultaneous Assessment of Sources, Processes, and Factors Influencing Herbicide Losses to Surface Waters in a Small Agricultural Catchment","volume":"38","author":[{"family":"Leu","given":"Christian"},{"family":"Singer","given":"Heinz"},{"family":"Stamm","given":"Christian"},{"family":"Müller","given":"Stephan R."},{"family":"Schwarzenbach","given":"René P."}],"issued":{"date-parts":[["2004"]]}}}],"schema":"https://github.com/citation-style-language/schema/raw/master/csl-citation.json"} </w:instrText>
      </w:r>
      <w:r w:rsidR="004135E9">
        <w:rPr>
          <w:rFonts w:ascii="Arial" w:hAnsi="Arial" w:cs="Arial"/>
          <w:sz w:val="20"/>
          <w:szCs w:val="20"/>
          <w:lang w:val="en-GB"/>
        </w:rPr>
        <w:fldChar w:fldCharType="separate"/>
      </w:r>
      <w:r w:rsidR="000E707F" w:rsidRPr="000E707F">
        <w:rPr>
          <w:rFonts w:ascii="Arial" w:hAnsi="Arial" w:cs="Arial"/>
          <w:sz w:val="20"/>
          <w:lang w:val="en-GB"/>
        </w:rPr>
        <w:t>(</w:t>
      </w:r>
      <w:r w:rsidR="00C93B6D" w:rsidRPr="000E707F">
        <w:rPr>
          <w:rFonts w:ascii="Arial" w:hAnsi="Arial" w:cs="Arial"/>
          <w:sz w:val="20"/>
          <w:lang w:val="en-GB"/>
        </w:rPr>
        <w:t>van der Werf, 1997</w:t>
      </w:r>
      <w:r w:rsidR="00C93B6D">
        <w:rPr>
          <w:rFonts w:ascii="Arial" w:hAnsi="Arial" w:cs="Arial"/>
          <w:sz w:val="20"/>
          <w:lang w:val="en-GB"/>
        </w:rPr>
        <w:t xml:space="preserve">; </w:t>
      </w:r>
      <w:r w:rsidR="000E707F" w:rsidRPr="000E707F">
        <w:rPr>
          <w:rFonts w:ascii="Arial" w:hAnsi="Arial" w:cs="Arial"/>
          <w:sz w:val="20"/>
          <w:lang w:val="en-GB"/>
        </w:rPr>
        <w:t>Leu</w:t>
      </w:r>
      <w:r w:rsidR="000E707F" w:rsidRPr="000A75C2">
        <w:rPr>
          <w:rFonts w:ascii="Arial" w:hAnsi="Arial" w:cs="Arial"/>
          <w:i/>
          <w:iCs/>
          <w:sz w:val="20"/>
          <w:lang w:val="en-GB"/>
        </w:rPr>
        <w:t xml:space="preserve"> </w:t>
      </w:r>
      <w:r w:rsidR="000E707F" w:rsidRPr="000A75C2">
        <w:rPr>
          <w:rFonts w:ascii="Arial" w:hAnsi="Arial" w:cs="Arial"/>
          <w:i/>
          <w:iCs/>
          <w:sz w:val="20"/>
          <w:highlight w:val="yellow"/>
          <w:lang w:val="en-GB"/>
        </w:rPr>
        <w:t>et al</w:t>
      </w:r>
      <w:r w:rsidR="000E707F" w:rsidRPr="000E707F">
        <w:rPr>
          <w:rFonts w:ascii="Arial" w:hAnsi="Arial" w:cs="Arial"/>
          <w:sz w:val="20"/>
          <w:lang w:val="en-GB"/>
        </w:rPr>
        <w:t>., 2004)</w:t>
      </w:r>
      <w:r w:rsidR="004135E9">
        <w:rPr>
          <w:rFonts w:ascii="Arial" w:hAnsi="Arial" w:cs="Arial"/>
          <w:sz w:val="20"/>
          <w:szCs w:val="20"/>
          <w:lang w:val="en-GB"/>
        </w:rPr>
        <w:fldChar w:fldCharType="end"/>
      </w:r>
      <w:r w:rsidRPr="0073550A">
        <w:rPr>
          <w:rFonts w:ascii="Arial" w:hAnsi="Arial" w:cs="Arial"/>
          <w:sz w:val="20"/>
          <w:szCs w:val="20"/>
          <w:lang w:val="en-GB"/>
        </w:rPr>
        <w:t>.</w:t>
      </w:r>
      <w:r w:rsidR="00CD5B9B">
        <w:rPr>
          <w:rFonts w:ascii="Arial" w:hAnsi="Arial" w:cs="Arial"/>
          <w:sz w:val="20"/>
          <w:szCs w:val="20"/>
          <w:lang w:val="en-GB"/>
        </w:rPr>
        <w:t xml:space="preserve"> </w:t>
      </w:r>
      <w:r w:rsidRPr="0073550A">
        <w:rPr>
          <w:rFonts w:ascii="Arial" w:hAnsi="Arial" w:cs="Arial"/>
          <w:sz w:val="20"/>
          <w:szCs w:val="20"/>
          <w:lang w:val="en-GB"/>
        </w:rPr>
        <w:t xml:space="preserve">In the context of Burkina Faso, such contamination raises both environmental and socio-economic challenges. Surface waters are widely used for irrigation, livestock watering and, in some cases, human consumption, directly exposing rural populations to hazards associated with pesticide residues </w:t>
      </w:r>
      <w:r w:rsidR="0005399C">
        <w:rPr>
          <w:rFonts w:ascii="Arial" w:hAnsi="Arial" w:cs="Arial"/>
          <w:sz w:val="20"/>
          <w:szCs w:val="20"/>
          <w:lang w:val="en-GB"/>
        </w:rPr>
        <w:fldChar w:fldCharType="begin"/>
      </w:r>
      <w:r w:rsidR="000E707F">
        <w:rPr>
          <w:rFonts w:ascii="Arial" w:hAnsi="Arial" w:cs="Arial"/>
          <w:sz w:val="20"/>
          <w:szCs w:val="20"/>
          <w:lang w:val="en-GB"/>
        </w:rPr>
        <w:instrText xml:space="preserve"> ADDIN ZOTERO_ITEM CSL_CITATION {"citationID":"6NJEQGKO","properties":{"formattedCitation":"(Elfikrie et al., 2020)","plainCitation":"(Elfikrie et al., 2020)","noteIndex":0},"citationItems":[{"id":2913,"uris":["http://zotero.org/users/5723659/items/9HPPTTF3"],"itemData":{"id":2913,"type":"article-journal","container-title":"Science of The Total Environment","DOI":"10.1016/j.scitotenv.2020.136540","ISSN":"00489697","journalAbbreviation":"Science of The Total Environment","language":"en","page":"136540","source":"DOI.org (Crossref)","title":"Occurrence of pesticides in surface water, pesticides removal efficiency in drinking water treatment plant and potential health risk to consumers in Tengi River Basin, Malaysia","volume":"712","author":[{"family":"Elfikrie","given":"Nurulizani"},{"family":"Ho","given":"Yu Bin"},{"family":"Zaidon","given":"Siti Zulfa"},{"family":"Juahir","given":"Hafizan"},{"family":"Tan","given":"Eugenie Sin Sing"}],"issued":{"date-parts":[["2020"]]}}}],"schema":"https://github.com/citation-style-language/schema/raw/master/csl-citation.json"} </w:instrText>
      </w:r>
      <w:r w:rsidR="0005399C">
        <w:rPr>
          <w:rFonts w:ascii="Arial" w:hAnsi="Arial" w:cs="Arial"/>
          <w:sz w:val="20"/>
          <w:szCs w:val="20"/>
          <w:lang w:val="en-GB"/>
        </w:rPr>
        <w:fldChar w:fldCharType="separate"/>
      </w:r>
      <w:r w:rsidR="000E707F" w:rsidRPr="000E707F">
        <w:rPr>
          <w:rFonts w:ascii="Arial" w:hAnsi="Arial" w:cs="Arial"/>
          <w:sz w:val="20"/>
          <w:lang w:val="en-GB"/>
        </w:rPr>
        <w:t xml:space="preserve">(Elfikrie </w:t>
      </w:r>
      <w:r w:rsidR="000E707F" w:rsidRPr="000A75C2">
        <w:rPr>
          <w:rFonts w:ascii="Arial" w:hAnsi="Arial" w:cs="Arial"/>
          <w:i/>
          <w:iCs/>
          <w:sz w:val="20"/>
          <w:highlight w:val="yellow"/>
          <w:lang w:val="en-GB"/>
        </w:rPr>
        <w:t>et al</w:t>
      </w:r>
      <w:r w:rsidR="000E707F" w:rsidRPr="000E707F">
        <w:rPr>
          <w:rFonts w:ascii="Arial" w:hAnsi="Arial" w:cs="Arial"/>
          <w:sz w:val="20"/>
          <w:lang w:val="en-GB"/>
        </w:rPr>
        <w:t>., 2020)</w:t>
      </w:r>
      <w:r w:rsidR="0005399C">
        <w:rPr>
          <w:rFonts w:ascii="Arial" w:hAnsi="Arial" w:cs="Arial"/>
          <w:sz w:val="20"/>
          <w:szCs w:val="20"/>
          <w:lang w:val="en-GB"/>
        </w:rPr>
        <w:fldChar w:fldCharType="end"/>
      </w:r>
      <w:r w:rsidRPr="0073550A">
        <w:rPr>
          <w:rFonts w:ascii="Arial" w:hAnsi="Arial" w:cs="Arial"/>
          <w:sz w:val="20"/>
          <w:szCs w:val="20"/>
          <w:lang w:val="en-GB"/>
        </w:rPr>
        <w:t xml:space="preserve">. Degradation of water quality may also affect fisheries, livestock and related agricultural activities, thereby threatening the livelihoods of local communities </w:t>
      </w:r>
      <w:r w:rsidR="0005399C">
        <w:rPr>
          <w:rFonts w:ascii="Arial" w:hAnsi="Arial" w:cs="Arial"/>
          <w:sz w:val="20"/>
          <w:szCs w:val="20"/>
          <w:lang w:val="en-GB"/>
        </w:rPr>
        <w:fldChar w:fldCharType="begin"/>
      </w:r>
      <w:r w:rsidR="004A43B1">
        <w:rPr>
          <w:rFonts w:ascii="Arial" w:hAnsi="Arial" w:cs="Arial"/>
          <w:sz w:val="20"/>
          <w:szCs w:val="20"/>
          <w:lang w:val="en-GB"/>
        </w:rPr>
        <w:instrText xml:space="preserve"> ADDIN ZOTERO_ITEM CSL_CITATION {"citationID":"rdYVIKsk","properties":{"formattedCitation":"(Ba\\uc0\\u263{}maga et al., 2024; Bayili et al., 2019)","plainCitation":"(Baćmaga et al., 2024; Bayili et al., 2019)","dontUpdate":true,"noteIndex":0},"citationItems":[{"id":2915,"uris":["http://zotero.org/users/5723659/items/FD3BI3Z5"],"itemData":{"id":2915,"type":"article-journal","container-title":"Journal of Experimental Biology and Agricultural Sciences","DOI":"10.18006/2019.7(6).554.568","ISSN":"23208694","issue":"6","journalAbbreviation":"JEBAS","page":"554-568","source":"DOI.org (Crossref)","title":"Characterization of pesticides and practices of cotton producers and pesticides sellers in the cotton zone of Bala’s Hippopotamus Pond Biosphere of Burkina Faso","volume":"7","author":[{"family":"Bayili","given":"Bazoma"},{"family":"Ouedraogo","given":"Richard"},{"family":"Ilboudo","given":"Sylvain"},{"family":"Pooda","given":"Lamine"},{"family":"Bonkoungou","given":"Macaire"},{"family":"Bationo","given":"Jean Fidèle"},{"family":"Ouedraogo","given":"Jean Bosco"},{"family":"Ouedraogo","given":"Georges Anicet"}],"issued":{"date-parts":[["2019"]]}}},{"id":2919,"uris":["http://zotero.org/users/5723659/items/CQPSVYV7"],"itemData":{"id":2919,"type":"article-journal","abstract":"One of the guiding principles of the sustainable use of herbicides is their targeted action exclusively against weeds, consisting of blocking photosynthesis and synthesis of amino acids and growth regulators. Herbicides are major elements of plant production, indispensable to the functioning of modern agriculture. Nevertheless, their influence on all elements of the natural environment needs to be continuously controlled. This review article summarizes research addressing the effects of herbicides on the natural environment and the changes they trigger therein. Herbicides, applied to protect crops against weed infestation, are usually mixtures of various active substances; hence, it is generally difficult to analyze their impact on the environment and organisms. Nonetheless, an attempt was made in this review to discuss the effects of selected herbicides on individual elements of the natural environment (water, soil, and air) and organisms (humans, animals, plants, and microorganisms). In addition, the article presents examples of the biodegradation of selected herbicides and mechanisms of their degradation by bacteria and fungi. Based on this information, it can be concluded that the uncontrolled use of herbicides has led to adverse effects on non-target organisms, as documented in the scientific literature. However, further research on the environmental effects of these chemicals is needed address the missing knowledge on this subject.","container-title":"Molecules","DOI":"10.3390/molecules29245965","ISSN":"1420-3049","issue":"24","journalAbbreviation":"Molecules","language":"en","license":"https://creativecommons.org/licenses/by/4.0/","page":"5965","source":"DOI.org (Crossref)","title":"Environmental Implication of Herbicide Use","volume":"29","author":[{"family":"Baćmaga","given":"Małgorzata"},{"family":"Wyszkowska","given":"Jadwiga"},{"family":"Kucharski","given":"Jan"}],"issued":{"date-parts":[["2024"]]}}}],"schema":"https://github.com/citation-style-language/schema/raw/master/csl-citation.json"} </w:instrText>
      </w:r>
      <w:r w:rsidR="0005399C">
        <w:rPr>
          <w:rFonts w:ascii="Arial" w:hAnsi="Arial" w:cs="Arial"/>
          <w:sz w:val="20"/>
          <w:szCs w:val="20"/>
          <w:lang w:val="en-GB"/>
        </w:rPr>
        <w:fldChar w:fldCharType="separate"/>
      </w:r>
      <w:r w:rsidR="000E707F" w:rsidRPr="000E707F">
        <w:rPr>
          <w:rFonts w:ascii="Arial" w:hAnsi="Arial" w:cs="Arial"/>
          <w:sz w:val="20"/>
          <w:lang w:val="en-GB"/>
        </w:rPr>
        <w:t>(</w:t>
      </w:r>
      <w:r w:rsidR="00C93B6D" w:rsidRPr="00C93B6D">
        <w:rPr>
          <w:rFonts w:ascii="Arial" w:hAnsi="Arial" w:cs="Arial"/>
          <w:sz w:val="20"/>
          <w:lang w:val="en-GB"/>
        </w:rPr>
        <w:t xml:space="preserve"> </w:t>
      </w:r>
      <w:r w:rsidR="00C93B6D" w:rsidRPr="000E707F">
        <w:rPr>
          <w:rFonts w:ascii="Arial" w:hAnsi="Arial" w:cs="Arial"/>
          <w:sz w:val="20"/>
          <w:lang w:val="en-GB"/>
        </w:rPr>
        <w:t xml:space="preserve">Bayili </w:t>
      </w:r>
      <w:r w:rsidR="00C93B6D" w:rsidRPr="000A75C2">
        <w:rPr>
          <w:rFonts w:ascii="Arial" w:hAnsi="Arial" w:cs="Arial"/>
          <w:i/>
          <w:iCs/>
          <w:sz w:val="20"/>
          <w:highlight w:val="yellow"/>
          <w:lang w:val="en-GB"/>
        </w:rPr>
        <w:t>et al.</w:t>
      </w:r>
      <w:r w:rsidR="00C93B6D" w:rsidRPr="000E707F">
        <w:rPr>
          <w:rFonts w:ascii="Arial" w:hAnsi="Arial" w:cs="Arial"/>
          <w:sz w:val="20"/>
          <w:lang w:val="en-GB"/>
        </w:rPr>
        <w:t>, 2019</w:t>
      </w:r>
      <w:r w:rsidR="00C93B6D">
        <w:rPr>
          <w:rFonts w:ascii="Arial" w:hAnsi="Arial" w:cs="Arial"/>
          <w:sz w:val="20"/>
          <w:lang w:val="en-GB"/>
        </w:rPr>
        <w:t xml:space="preserve">; </w:t>
      </w:r>
      <w:r w:rsidR="000E707F" w:rsidRPr="000E707F">
        <w:rPr>
          <w:rFonts w:ascii="Arial" w:hAnsi="Arial" w:cs="Arial"/>
          <w:sz w:val="20"/>
          <w:lang w:val="en-GB"/>
        </w:rPr>
        <w:t xml:space="preserve">Baćmaga </w:t>
      </w:r>
      <w:r w:rsidR="000E707F" w:rsidRPr="000A75C2">
        <w:rPr>
          <w:rFonts w:ascii="Arial" w:hAnsi="Arial" w:cs="Arial"/>
          <w:i/>
          <w:iCs/>
          <w:sz w:val="20"/>
          <w:highlight w:val="yellow"/>
          <w:lang w:val="en-GB"/>
        </w:rPr>
        <w:t>et al.,</w:t>
      </w:r>
      <w:r w:rsidR="000E707F" w:rsidRPr="000E707F">
        <w:rPr>
          <w:rFonts w:ascii="Arial" w:hAnsi="Arial" w:cs="Arial"/>
          <w:sz w:val="20"/>
          <w:lang w:val="en-GB"/>
        </w:rPr>
        <w:t xml:space="preserve"> 2024)</w:t>
      </w:r>
      <w:r w:rsidR="0005399C">
        <w:rPr>
          <w:rFonts w:ascii="Arial" w:hAnsi="Arial" w:cs="Arial"/>
          <w:sz w:val="20"/>
          <w:szCs w:val="20"/>
          <w:lang w:val="en-GB"/>
        </w:rPr>
        <w:fldChar w:fldCharType="end"/>
      </w:r>
      <w:r w:rsidRPr="00DF13DF">
        <w:rPr>
          <w:rFonts w:ascii="Arial" w:hAnsi="Arial" w:cs="Arial"/>
          <w:sz w:val="20"/>
          <w:szCs w:val="20"/>
          <w:lang w:val="en-GB"/>
        </w:rPr>
        <w:t>.</w:t>
      </w:r>
    </w:p>
    <w:p w14:paraId="435127A2" w14:textId="1D11C833" w:rsidR="0005399C" w:rsidRDefault="0073550A" w:rsidP="00CD5B9B">
      <w:pPr>
        <w:spacing w:after="0" w:line="240" w:lineRule="auto"/>
        <w:jc w:val="both"/>
        <w:rPr>
          <w:rFonts w:ascii="Arial" w:hAnsi="Arial" w:cs="Arial"/>
          <w:sz w:val="20"/>
          <w:szCs w:val="20"/>
          <w:lang w:val="en-GB"/>
        </w:rPr>
      </w:pPr>
      <w:r w:rsidRPr="0073550A">
        <w:rPr>
          <w:rFonts w:ascii="Arial" w:hAnsi="Arial" w:cs="Arial"/>
          <w:sz w:val="20"/>
          <w:szCs w:val="20"/>
          <w:lang w:val="en-GB"/>
        </w:rPr>
        <w:t xml:space="preserve">This study therefore aims to assess the level of herbicide contamination in surface waters within cereal-growing areas of western Burkina Faso. By combining chromatographic analyses of water samples collected during two key periods of the rainy season with comparison to international guideline values, the work seeks to characterise the magnitude of contamination and to identify priority molecules and localities for risk management. The findings are intended to support more sustainable pesticide management policies and </w:t>
      </w:r>
      <w:r w:rsidR="007F54A0">
        <w:rPr>
          <w:rFonts w:ascii="Arial" w:hAnsi="Arial" w:cs="Arial"/>
          <w:sz w:val="20"/>
          <w:szCs w:val="20"/>
          <w:lang w:val="en-GB"/>
        </w:rPr>
        <w:t xml:space="preserve">farmers </w:t>
      </w:r>
      <w:r w:rsidRPr="0073550A">
        <w:rPr>
          <w:rFonts w:ascii="Arial" w:hAnsi="Arial" w:cs="Arial"/>
          <w:sz w:val="20"/>
          <w:szCs w:val="20"/>
          <w:lang w:val="en-GB"/>
        </w:rPr>
        <w:t>practices in these cereal-based agroecosystems.</w:t>
      </w:r>
    </w:p>
    <w:p w14:paraId="00C2C838"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t>2. MATERIALS AND METHODS</w:t>
      </w:r>
    </w:p>
    <w:p w14:paraId="3027805D"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t>2.1 Study Area and Setting</w:t>
      </w:r>
    </w:p>
    <w:p w14:paraId="016C7F25" w14:textId="330DF3B4" w:rsidR="0073550A" w:rsidRPr="003F7AB1" w:rsidRDefault="0073550A" w:rsidP="0073550A">
      <w:pPr>
        <w:spacing w:before="120" w:after="120" w:line="240" w:lineRule="auto"/>
        <w:jc w:val="both"/>
        <w:rPr>
          <w:rFonts w:ascii="Arial" w:hAnsi="Arial" w:cs="Arial"/>
          <w:sz w:val="20"/>
          <w:szCs w:val="20"/>
          <w:lang w:val="en-GB"/>
        </w:rPr>
      </w:pPr>
      <w:r w:rsidRPr="0073550A">
        <w:rPr>
          <w:rFonts w:ascii="Arial" w:hAnsi="Arial" w:cs="Arial"/>
          <w:sz w:val="20"/>
          <w:szCs w:val="20"/>
          <w:lang w:val="en-GB"/>
        </w:rPr>
        <w:t>The study was conducted in four regions of western Burkina Faso: Hauts-</w:t>
      </w:r>
      <w:proofErr w:type="spellStart"/>
      <w:r w:rsidRPr="0073550A">
        <w:rPr>
          <w:rFonts w:ascii="Arial" w:hAnsi="Arial" w:cs="Arial"/>
          <w:sz w:val="20"/>
          <w:szCs w:val="20"/>
          <w:lang w:val="en-GB"/>
        </w:rPr>
        <w:t>Bassins</w:t>
      </w:r>
      <w:proofErr w:type="spellEnd"/>
      <w:r w:rsidRPr="0073550A">
        <w:rPr>
          <w:rFonts w:ascii="Arial" w:hAnsi="Arial" w:cs="Arial"/>
          <w:sz w:val="20"/>
          <w:szCs w:val="20"/>
          <w:lang w:val="en-GB"/>
        </w:rPr>
        <w:t xml:space="preserve">, Boucle du </w:t>
      </w:r>
      <w:proofErr w:type="spellStart"/>
      <w:r w:rsidRPr="0073550A">
        <w:rPr>
          <w:rFonts w:ascii="Arial" w:hAnsi="Arial" w:cs="Arial"/>
          <w:sz w:val="20"/>
          <w:szCs w:val="20"/>
          <w:lang w:val="en-GB"/>
        </w:rPr>
        <w:t>Mouhoun</w:t>
      </w:r>
      <w:proofErr w:type="spellEnd"/>
      <w:r w:rsidRPr="0073550A">
        <w:rPr>
          <w:rFonts w:ascii="Arial" w:hAnsi="Arial" w:cs="Arial"/>
          <w:sz w:val="20"/>
          <w:szCs w:val="20"/>
          <w:lang w:val="en-GB"/>
        </w:rPr>
        <w:t>, Sud-Ouest and Cascades</w:t>
      </w:r>
      <w:r w:rsidR="003F7AB1" w:rsidRPr="003F7AB1">
        <w:rPr>
          <w:rFonts w:ascii="Arial" w:hAnsi="Arial" w:cs="Arial"/>
          <w:sz w:val="20"/>
          <w:szCs w:val="20"/>
          <w:lang w:val="en-GB"/>
        </w:rPr>
        <w:t xml:space="preserve"> </w:t>
      </w:r>
      <w:r w:rsidR="003F7AB1" w:rsidRPr="00EF743B">
        <w:rPr>
          <w:rFonts w:ascii="Arial" w:hAnsi="Arial" w:cs="Arial"/>
          <w:sz w:val="20"/>
          <w:szCs w:val="20"/>
          <w:lang w:val="en-GB"/>
        </w:rPr>
        <w:t>(Fig. 1)</w:t>
      </w:r>
      <w:r w:rsidRPr="00EF743B">
        <w:rPr>
          <w:rFonts w:ascii="Arial" w:hAnsi="Arial" w:cs="Arial"/>
          <w:sz w:val="20"/>
          <w:szCs w:val="20"/>
          <w:lang w:val="en-GB"/>
        </w:rPr>
        <w:t>.</w:t>
      </w:r>
      <w:r w:rsidRPr="0073550A">
        <w:rPr>
          <w:rFonts w:ascii="Arial" w:hAnsi="Arial" w:cs="Arial"/>
          <w:sz w:val="20"/>
          <w:szCs w:val="20"/>
          <w:lang w:val="en-GB"/>
        </w:rPr>
        <w:t xml:space="preserve"> In each of these regions, several cereal-growing localities were selected based on their accessibility, the presence of small </w:t>
      </w:r>
      <w:r w:rsidR="007F54A0">
        <w:rPr>
          <w:rFonts w:ascii="Arial" w:hAnsi="Arial" w:cs="Arial"/>
          <w:sz w:val="20"/>
          <w:szCs w:val="20"/>
          <w:lang w:val="en-GB"/>
        </w:rPr>
        <w:t xml:space="preserve">bodies of </w:t>
      </w:r>
      <w:r w:rsidRPr="0073550A">
        <w:rPr>
          <w:rFonts w:ascii="Arial" w:hAnsi="Arial" w:cs="Arial"/>
          <w:sz w:val="20"/>
          <w:szCs w:val="20"/>
          <w:lang w:val="en-GB"/>
        </w:rPr>
        <w:t>water in or near fields, the importance of cereal-based production systems and the availability of basic logistical facilities. In total, twelve localities were retained for sampling.</w:t>
      </w:r>
      <w:r w:rsidR="003F7AB1">
        <w:rPr>
          <w:rFonts w:ascii="Arial" w:hAnsi="Arial" w:cs="Arial"/>
          <w:sz w:val="20"/>
          <w:szCs w:val="20"/>
          <w:lang w:val="en-GB"/>
        </w:rPr>
        <w:t xml:space="preserve"> </w:t>
      </w:r>
      <w:r w:rsidRPr="0073550A">
        <w:rPr>
          <w:rFonts w:ascii="Arial" w:hAnsi="Arial" w:cs="Arial"/>
          <w:sz w:val="20"/>
          <w:szCs w:val="20"/>
          <w:lang w:val="en-GB"/>
        </w:rPr>
        <w:t>The climate in this part of the country is tropical, with a rainy season roughly from May/June to October and a dry season from November to April. Cereal production (mainly maize, sorghum and millet) is associated with intensive use of pre- and post-emergence herbicides</w:t>
      </w:r>
      <w:r w:rsidR="00E14D26">
        <w:rPr>
          <w:rFonts w:ascii="Arial" w:hAnsi="Arial" w:cs="Arial"/>
          <w:sz w:val="20"/>
          <w:szCs w:val="20"/>
          <w:lang w:val="en-GB"/>
        </w:rPr>
        <w:t xml:space="preserve"> </w:t>
      </w:r>
      <w:r w:rsidR="00E14D26">
        <w:rPr>
          <w:rFonts w:ascii="Arial" w:hAnsi="Arial" w:cs="Arial"/>
          <w:sz w:val="20"/>
          <w:szCs w:val="20"/>
          <w:lang w:val="en-GB"/>
        </w:rPr>
        <w:fldChar w:fldCharType="begin"/>
      </w:r>
      <w:r w:rsidR="00EB05AA">
        <w:rPr>
          <w:rFonts w:ascii="Arial" w:hAnsi="Arial" w:cs="Arial"/>
          <w:sz w:val="20"/>
          <w:szCs w:val="20"/>
          <w:lang w:val="en-GB"/>
        </w:rPr>
        <w:instrText xml:space="preserve"> ADDIN ZOTERO_ITEM CSL_CITATION {"citationID":"LomyewEh","properties":{"formattedCitation":"(Toe et al., 2013)","plainCitation":"(Toe et al., 2013)","noteIndex":0},"citationItems":[{"id":2899,"uris":["http://zotero.org/users/5723659/items/3UHC42I2"],"itemData":{"id":2899,"type":"article-journal","abstract":"ABSTRACT\n            Epidemiologic data related to agricultural pesticide poisoning cases in Burkina Faso were collected. The study was carried out using retrospective (from January 2002 to June 2010) surveys conducted among farmers and healthcare centers. One hundred and fiftythree (153) pest control products were recorded during the survey and 56 active ingredients were identified. Out of the 153 pest control products, 49 (i.e. 32%) were authorized for sale in Burkina Faso. The main risk factors are socio-demographic characteristics of farmers, their low education level, and some attitudes and practices on using agricultural pesticides. Pesticide poisonings are relatively frequent and their management was not always efficacious. Actions are needed to reduce pesticide poisoning as a global public health problem and to improve management of pesticide poisoning. To this purpose, advanced investigations should be carried out over a longer period of time to complement the present pilot study","container-title":"Interdisciplinary Toxicology","DOI":"10.2478/intox-2013-0027","ISSN":"1337-9569, 1337-6853","issue":"4","page":"185-191","source":"DOI.org (Crossref)","title":"Pilot study on agricultural pesticide poisoning in Burkina Faso","volume":"6","author":[{"family":"Toe","given":"Adama M."},{"family":"Ouedraogo","given":"Mustapha"},{"family":"Ouedraogo","given":"Richard"},{"family":"Ilboudo","given":"Sylvain"},{"family":"Guissou","given":"Pierre I."}],"issued":{"date-parts":[["2013"]]}}}],"schema":"https://github.com/citation-style-language/schema/raw/master/csl-citation.json"} </w:instrText>
      </w:r>
      <w:r w:rsidR="00E14D26">
        <w:rPr>
          <w:rFonts w:ascii="Arial" w:hAnsi="Arial" w:cs="Arial"/>
          <w:sz w:val="20"/>
          <w:szCs w:val="20"/>
          <w:lang w:val="en-GB"/>
        </w:rPr>
        <w:fldChar w:fldCharType="separate"/>
      </w:r>
      <w:r w:rsidR="00EB05AA" w:rsidRPr="00EB05AA">
        <w:rPr>
          <w:rFonts w:ascii="Arial" w:hAnsi="Arial" w:cs="Arial"/>
          <w:sz w:val="20"/>
          <w:lang w:val="en-GB"/>
        </w:rPr>
        <w:t xml:space="preserve">(Toe </w:t>
      </w:r>
      <w:r w:rsidR="00EB05AA" w:rsidRPr="000A75C2">
        <w:rPr>
          <w:rFonts w:ascii="Arial" w:hAnsi="Arial" w:cs="Arial"/>
          <w:i/>
          <w:iCs/>
          <w:sz w:val="20"/>
          <w:highlight w:val="yellow"/>
          <w:lang w:val="en-GB"/>
        </w:rPr>
        <w:t>et al</w:t>
      </w:r>
      <w:r w:rsidR="00EB05AA" w:rsidRPr="00EB05AA">
        <w:rPr>
          <w:rFonts w:ascii="Arial" w:hAnsi="Arial" w:cs="Arial"/>
          <w:sz w:val="20"/>
          <w:lang w:val="en-GB"/>
        </w:rPr>
        <w:t>., 2013)</w:t>
      </w:r>
      <w:r w:rsidR="00E14D26">
        <w:rPr>
          <w:rFonts w:ascii="Arial" w:hAnsi="Arial" w:cs="Arial"/>
          <w:sz w:val="20"/>
          <w:szCs w:val="20"/>
          <w:lang w:val="en-GB"/>
        </w:rPr>
        <w:fldChar w:fldCharType="end"/>
      </w:r>
      <w:r w:rsidRPr="0073550A">
        <w:rPr>
          <w:rFonts w:ascii="Arial" w:hAnsi="Arial" w:cs="Arial"/>
          <w:sz w:val="20"/>
          <w:szCs w:val="20"/>
          <w:lang w:val="en-GB"/>
        </w:rPr>
        <w:t xml:space="preserve">. The water resources considered in this study were small </w:t>
      </w:r>
      <w:r w:rsidR="0036731A">
        <w:rPr>
          <w:rFonts w:ascii="Arial" w:hAnsi="Arial" w:cs="Arial"/>
          <w:sz w:val="20"/>
          <w:szCs w:val="20"/>
          <w:lang w:val="en-GB"/>
        </w:rPr>
        <w:t xml:space="preserve">bodies of </w:t>
      </w:r>
      <w:r w:rsidRPr="0073550A">
        <w:rPr>
          <w:rFonts w:ascii="Arial" w:hAnsi="Arial" w:cs="Arial"/>
          <w:sz w:val="20"/>
          <w:szCs w:val="20"/>
          <w:lang w:val="en-GB"/>
        </w:rPr>
        <w:t>water (ponds, backwaters, small reservoirs and channels) located in, or within about 100 m of, cereal fields, and therefore directly influenced by agricultural practices.</w:t>
      </w:r>
      <w:r w:rsidR="003F7AB1">
        <w:rPr>
          <w:rFonts w:ascii="Arial" w:hAnsi="Arial" w:cs="Arial"/>
          <w:sz w:val="20"/>
          <w:szCs w:val="20"/>
          <w:lang w:val="en-GB"/>
        </w:rPr>
        <w:t xml:space="preserve"> </w:t>
      </w:r>
      <w:r w:rsidRPr="0073550A">
        <w:rPr>
          <w:rFonts w:ascii="Arial" w:hAnsi="Arial" w:cs="Arial"/>
          <w:sz w:val="20"/>
          <w:szCs w:val="20"/>
          <w:lang w:val="en-GB"/>
        </w:rPr>
        <w:t>All chemical analyses of herbicide residues in the water samples were carried out at the National Agency for Food, Environmental, Occupational and Health Product Safety (ANSSEAT) in Ouagadougou, Burkina Faso.</w:t>
      </w:r>
    </w:p>
    <w:p w14:paraId="0EA9751C" w14:textId="40D7A647" w:rsidR="008A7486" w:rsidRPr="00EF743B" w:rsidRDefault="00EF743B" w:rsidP="008A7486">
      <w:pPr>
        <w:spacing w:before="120" w:after="120" w:line="240" w:lineRule="auto"/>
        <w:jc w:val="center"/>
        <w:rPr>
          <w:rFonts w:ascii="Arial" w:hAnsi="Arial" w:cs="Arial"/>
          <w:sz w:val="24"/>
          <w:szCs w:val="24"/>
          <w:lang w:val="en-GB"/>
        </w:rPr>
      </w:pPr>
      <w:r>
        <w:rPr>
          <w:rFonts w:ascii="Arial" w:hAnsi="Arial" w:cs="Arial"/>
          <w:noProof/>
          <w:sz w:val="24"/>
          <w:szCs w:val="24"/>
          <w:lang w:val="en-GB"/>
        </w:rPr>
        <w:lastRenderedPageBreak/>
        <w:drawing>
          <wp:inline distT="0" distB="0" distL="0" distR="0" wp14:anchorId="0E0486D6" wp14:editId="5BA0B59E">
            <wp:extent cx="4875695" cy="2757240"/>
            <wp:effectExtent l="0" t="0" r="1270" b="5080"/>
            <wp:docPr id="114356872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2268" cy="2777922"/>
                    </a:xfrm>
                    <a:prstGeom prst="rect">
                      <a:avLst/>
                    </a:prstGeom>
                    <a:noFill/>
                  </pic:spPr>
                </pic:pic>
              </a:graphicData>
            </a:graphic>
          </wp:inline>
        </w:drawing>
      </w:r>
    </w:p>
    <w:p w14:paraId="6228B309" w14:textId="5CC66599" w:rsidR="008A7486" w:rsidRPr="0073550A" w:rsidRDefault="008A7486" w:rsidP="00A012EB">
      <w:pPr>
        <w:spacing w:before="120" w:after="120" w:line="240" w:lineRule="auto"/>
        <w:jc w:val="both"/>
        <w:rPr>
          <w:rFonts w:ascii="Arial" w:hAnsi="Arial" w:cs="Arial"/>
          <w:b/>
          <w:bCs/>
          <w:sz w:val="20"/>
          <w:szCs w:val="20"/>
          <w:lang w:val="en-GB"/>
        </w:rPr>
      </w:pPr>
      <w:r w:rsidRPr="00EF743B">
        <w:rPr>
          <w:rFonts w:ascii="Arial" w:hAnsi="Arial" w:cs="Arial"/>
          <w:b/>
          <w:bCs/>
          <w:sz w:val="20"/>
          <w:szCs w:val="20"/>
          <w:lang w:val="en-GB"/>
        </w:rPr>
        <w:t xml:space="preserve">Fig. 1. </w:t>
      </w:r>
      <w:r w:rsidR="0036731A">
        <w:rPr>
          <w:rFonts w:ascii="Arial" w:hAnsi="Arial" w:cs="Arial"/>
          <w:b/>
          <w:bCs/>
          <w:sz w:val="20"/>
          <w:szCs w:val="20"/>
          <w:lang w:val="en-GB"/>
        </w:rPr>
        <w:t>S</w:t>
      </w:r>
      <w:r w:rsidRPr="00EF743B">
        <w:rPr>
          <w:rFonts w:ascii="Arial" w:hAnsi="Arial" w:cs="Arial"/>
          <w:b/>
          <w:bCs/>
          <w:sz w:val="20"/>
          <w:szCs w:val="20"/>
          <w:lang w:val="en-GB"/>
        </w:rPr>
        <w:t>tudy area showing the sampling localities in the four cereal-growing regions of western Burkina Faso.</w:t>
      </w:r>
    </w:p>
    <w:p w14:paraId="3A565D59"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t>2.2 Water Sampling</w:t>
      </w:r>
    </w:p>
    <w:p w14:paraId="1E47EDEF" w14:textId="502CB84D" w:rsidR="0073550A" w:rsidRPr="0073550A" w:rsidRDefault="0073550A" w:rsidP="0073550A">
      <w:pPr>
        <w:spacing w:before="120" w:after="120" w:line="240" w:lineRule="auto"/>
        <w:jc w:val="both"/>
        <w:rPr>
          <w:rFonts w:ascii="Arial" w:hAnsi="Arial" w:cs="Arial"/>
          <w:sz w:val="20"/>
          <w:szCs w:val="20"/>
          <w:lang w:val="en-GB"/>
        </w:rPr>
      </w:pPr>
      <w:r w:rsidRPr="0073550A">
        <w:rPr>
          <w:rFonts w:ascii="Arial" w:hAnsi="Arial" w:cs="Arial"/>
          <w:sz w:val="20"/>
          <w:szCs w:val="20"/>
          <w:lang w:val="en-GB"/>
        </w:rPr>
        <w:t xml:space="preserve">Water sampling was carried out in two </w:t>
      </w:r>
      <w:proofErr w:type="gramStart"/>
      <w:r w:rsidR="0036731A">
        <w:rPr>
          <w:rFonts w:ascii="Arial" w:hAnsi="Arial" w:cs="Arial"/>
          <w:sz w:val="20"/>
          <w:szCs w:val="20"/>
          <w:lang w:val="en-GB"/>
        </w:rPr>
        <w:t>round</w:t>
      </w:r>
      <w:proofErr w:type="gramEnd"/>
      <w:r w:rsidR="0036731A" w:rsidRPr="0073550A">
        <w:rPr>
          <w:rFonts w:ascii="Arial" w:hAnsi="Arial" w:cs="Arial"/>
          <w:sz w:val="20"/>
          <w:szCs w:val="20"/>
          <w:lang w:val="en-GB"/>
        </w:rPr>
        <w:t xml:space="preserve"> </w:t>
      </w:r>
      <w:r w:rsidRPr="0073550A">
        <w:rPr>
          <w:rFonts w:ascii="Arial" w:hAnsi="Arial" w:cs="Arial"/>
          <w:sz w:val="20"/>
          <w:szCs w:val="20"/>
          <w:lang w:val="en-GB"/>
        </w:rPr>
        <w:t>during the 2020 rainy season:</w:t>
      </w:r>
    </w:p>
    <w:p w14:paraId="487FBD85" w14:textId="77777777" w:rsidR="0073550A" w:rsidRPr="00577B31" w:rsidRDefault="0073550A" w:rsidP="00577B31">
      <w:pPr>
        <w:pStyle w:val="ListParagraph"/>
        <w:numPr>
          <w:ilvl w:val="0"/>
          <w:numId w:val="25"/>
        </w:numPr>
        <w:spacing w:before="120" w:after="120" w:line="240" w:lineRule="auto"/>
        <w:jc w:val="both"/>
        <w:rPr>
          <w:rFonts w:ascii="Arial" w:hAnsi="Arial" w:cs="Arial"/>
          <w:sz w:val="20"/>
          <w:szCs w:val="20"/>
          <w:lang w:val="en-GB"/>
        </w:rPr>
      </w:pPr>
      <w:r w:rsidRPr="00577B31">
        <w:rPr>
          <w:rFonts w:ascii="Arial" w:hAnsi="Arial" w:cs="Arial"/>
          <w:sz w:val="20"/>
          <w:szCs w:val="20"/>
          <w:lang w:val="en-GB"/>
        </w:rPr>
        <w:t>Phase 1 (P1): second half of August 2020, corresponding to the peak period of herbicide use;</w:t>
      </w:r>
    </w:p>
    <w:p w14:paraId="67966D08" w14:textId="77777777" w:rsidR="0073550A" w:rsidRPr="00577B31" w:rsidRDefault="0073550A" w:rsidP="00577B31">
      <w:pPr>
        <w:pStyle w:val="ListParagraph"/>
        <w:numPr>
          <w:ilvl w:val="0"/>
          <w:numId w:val="25"/>
        </w:numPr>
        <w:spacing w:before="120" w:after="120" w:line="240" w:lineRule="auto"/>
        <w:jc w:val="both"/>
        <w:rPr>
          <w:rFonts w:ascii="Arial" w:hAnsi="Arial" w:cs="Arial"/>
          <w:sz w:val="20"/>
          <w:szCs w:val="20"/>
          <w:lang w:val="en-GB"/>
        </w:rPr>
      </w:pPr>
      <w:r w:rsidRPr="00577B31">
        <w:rPr>
          <w:rFonts w:ascii="Arial" w:hAnsi="Arial" w:cs="Arial"/>
          <w:sz w:val="20"/>
          <w:szCs w:val="20"/>
          <w:lang w:val="en-GB"/>
        </w:rPr>
        <w:t>Phase 2 (P2): mid-November 2020, at the end of the rainy season.</w:t>
      </w:r>
    </w:p>
    <w:p w14:paraId="5317763A" w14:textId="71DE84E9" w:rsidR="0073550A" w:rsidRPr="0073550A" w:rsidRDefault="0073550A" w:rsidP="0073550A">
      <w:pPr>
        <w:spacing w:before="120" w:after="120" w:line="240" w:lineRule="auto"/>
        <w:jc w:val="both"/>
        <w:rPr>
          <w:rFonts w:ascii="Arial" w:hAnsi="Arial" w:cs="Arial"/>
          <w:sz w:val="20"/>
          <w:szCs w:val="20"/>
          <w:lang w:val="en-GB"/>
        </w:rPr>
      </w:pPr>
      <w:r w:rsidRPr="0073550A">
        <w:rPr>
          <w:rFonts w:ascii="Arial" w:hAnsi="Arial" w:cs="Arial"/>
          <w:sz w:val="20"/>
          <w:szCs w:val="20"/>
          <w:lang w:val="en-GB"/>
        </w:rPr>
        <w:t>In each of the twelve localities, five cereal fields were selected. Within each field, surface water was collected either inside the plot or within approximately 100 m of the plot boundary, in small water bodies (pools, depressions, channels) that receive runoff and drainage water from the cultivated areas.</w:t>
      </w:r>
      <w:r w:rsidR="00DF34C4">
        <w:rPr>
          <w:rFonts w:ascii="Arial" w:hAnsi="Arial" w:cs="Arial"/>
          <w:sz w:val="20"/>
          <w:szCs w:val="20"/>
          <w:lang w:val="en-GB"/>
        </w:rPr>
        <w:t xml:space="preserve"> </w:t>
      </w:r>
      <w:r w:rsidRPr="0073550A">
        <w:rPr>
          <w:rFonts w:ascii="Arial" w:hAnsi="Arial" w:cs="Arial"/>
          <w:sz w:val="20"/>
          <w:szCs w:val="20"/>
          <w:lang w:val="en-GB"/>
        </w:rPr>
        <w:t>For each field, several grab samples were collected at different points of the water body and combined to obtain a 500 mL composite sample in a polyethylene bottle. The pH of each composite sample was measured on site. Bottles were labelled and wrapped in aluminium foil, which was then sealed with adhesive tape and marked with an indelible marker to protect the contents from light. Samples were transported to the laboratory</w:t>
      </w:r>
      <w:r w:rsidR="0036731A">
        <w:rPr>
          <w:rFonts w:ascii="Arial" w:hAnsi="Arial" w:cs="Arial"/>
          <w:sz w:val="20"/>
          <w:szCs w:val="20"/>
          <w:lang w:val="en-GB"/>
        </w:rPr>
        <w:t xml:space="preserve"> inside cool boxes</w:t>
      </w:r>
      <w:r w:rsidRPr="0073550A">
        <w:rPr>
          <w:rFonts w:ascii="Arial" w:hAnsi="Arial" w:cs="Arial"/>
          <w:sz w:val="20"/>
          <w:szCs w:val="20"/>
          <w:lang w:val="en-GB"/>
        </w:rPr>
        <w:t>.</w:t>
      </w:r>
      <w:r w:rsidR="00DF34C4">
        <w:rPr>
          <w:rFonts w:ascii="Arial" w:hAnsi="Arial" w:cs="Arial"/>
          <w:sz w:val="20"/>
          <w:szCs w:val="20"/>
          <w:lang w:val="en-GB"/>
        </w:rPr>
        <w:t xml:space="preserve"> </w:t>
      </w:r>
      <w:r w:rsidRPr="0073550A">
        <w:rPr>
          <w:rFonts w:ascii="Arial" w:hAnsi="Arial" w:cs="Arial"/>
          <w:sz w:val="20"/>
          <w:szCs w:val="20"/>
          <w:lang w:val="en-GB"/>
        </w:rPr>
        <w:t xml:space="preserve">For each locality and each sampling phase, the five composite samples (one per field) were homogenised again in the laboratory to obtain a single composite sample per locality and per phase, which was used for </w:t>
      </w:r>
      <w:r w:rsidR="0036731A">
        <w:rPr>
          <w:rFonts w:ascii="Arial" w:hAnsi="Arial" w:cs="Arial"/>
          <w:sz w:val="20"/>
          <w:szCs w:val="20"/>
          <w:lang w:val="en-GB"/>
        </w:rPr>
        <w:t>chemical</w:t>
      </w:r>
      <w:r w:rsidR="0036731A" w:rsidRPr="0073550A">
        <w:rPr>
          <w:rFonts w:ascii="Arial" w:hAnsi="Arial" w:cs="Arial"/>
          <w:sz w:val="20"/>
          <w:szCs w:val="20"/>
          <w:lang w:val="en-GB"/>
        </w:rPr>
        <w:t xml:space="preserve"> </w:t>
      </w:r>
      <w:r w:rsidRPr="0073550A">
        <w:rPr>
          <w:rFonts w:ascii="Arial" w:hAnsi="Arial" w:cs="Arial"/>
          <w:sz w:val="20"/>
          <w:szCs w:val="20"/>
          <w:lang w:val="en-GB"/>
        </w:rPr>
        <w:t>analysis.</w:t>
      </w:r>
    </w:p>
    <w:p w14:paraId="461F830F"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t>2.3 Herbicide Residue Analysis</w:t>
      </w:r>
    </w:p>
    <w:p w14:paraId="41F3B72F" w14:textId="77777777" w:rsidR="0073550A" w:rsidRPr="0073550A" w:rsidRDefault="0073550A" w:rsidP="009C2C56">
      <w:pPr>
        <w:spacing w:before="120" w:after="120" w:line="240" w:lineRule="auto"/>
        <w:rPr>
          <w:rFonts w:ascii="Arial" w:hAnsi="Arial" w:cs="Arial"/>
          <w:b/>
          <w:bCs/>
          <w:sz w:val="20"/>
          <w:szCs w:val="20"/>
          <w:lang w:val="en-GB"/>
        </w:rPr>
      </w:pPr>
      <w:r w:rsidRPr="0073550A">
        <w:rPr>
          <w:rFonts w:ascii="Arial" w:hAnsi="Arial" w:cs="Arial"/>
          <w:b/>
          <w:bCs/>
          <w:sz w:val="20"/>
          <w:szCs w:val="20"/>
          <w:lang w:val="en-GB"/>
        </w:rPr>
        <w:t>2.3.1 Selection of Target Herbicides</w:t>
      </w:r>
    </w:p>
    <w:p w14:paraId="76144FB2" w14:textId="51BD66E9" w:rsidR="0073550A" w:rsidRPr="00EF757D" w:rsidRDefault="0073550A" w:rsidP="0073550A">
      <w:pPr>
        <w:spacing w:before="120" w:after="120" w:line="240" w:lineRule="auto"/>
        <w:jc w:val="both"/>
        <w:rPr>
          <w:rFonts w:ascii="Arial" w:hAnsi="Arial" w:cs="Arial"/>
          <w:sz w:val="20"/>
          <w:szCs w:val="20"/>
          <w:lang w:val="en-GB"/>
        </w:rPr>
      </w:pPr>
      <w:r w:rsidRPr="0073550A">
        <w:rPr>
          <w:rFonts w:ascii="Arial" w:hAnsi="Arial" w:cs="Arial"/>
          <w:sz w:val="20"/>
          <w:szCs w:val="20"/>
          <w:lang w:val="en-GB"/>
        </w:rPr>
        <w:t>The herbicidal active substances analysed were selected from a previous survey on herbicide use in cereal-based agroecosystems in western Burkina Faso</w:t>
      </w:r>
      <w:r w:rsidR="00D85F23">
        <w:rPr>
          <w:rFonts w:ascii="Arial" w:hAnsi="Arial" w:cs="Arial"/>
          <w:sz w:val="20"/>
          <w:szCs w:val="20"/>
          <w:lang w:val="en-GB"/>
        </w:rPr>
        <w:t xml:space="preserve"> </w:t>
      </w:r>
      <w:r w:rsidR="00D85F23">
        <w:rPr>
          <w:rFonts w:ascii="Arial" w:hAnsi="Arial" w:cs="Arial"/>
          <w:sz w:val="20"/>
          <w:szCs w:val="20"/>
          <w:lang w:val="en-GB"/>
        </w:rPr>
        <w:fldChar w:fldCharType="begin"/>
      </w:r>
      <w:r w:rsidR="000E707F">
        <w:rPr>
          <w:rFonts w:ascii="Arial" w:hAnsi="Arial" w:cs="Arial"/>
          <w:sz w:val="20"/>
          <w:szCs w:val="20"/>
          <w:lang w:val="en-GB"/>
        </w:rPr>
        <w:instrText xml:space="preserve"> ADDIN ZOTERO_ITEM CSL_CITATION {"citationID":"tYT0XZlO","properties":{"formattedCitation":"(Bayili et al., 2024)","plainCitation":"(Bayili et al., 2024)","noteIndex":0},"citationItems":[{"id":2917,"uris":["http://zotero.org/users/5723659/items/5UTQ3RXZ"],"itemData":{"id":2917,"type":"article-journal","abstract":"The use of pesticides often leads to environmental contamination above acceptable levels. The level of contamination is related to poor pesticide application practices, in addition to the properties of pesticides and soil characteristics. The primary objective of this study was to characterize herbicides and their application practices in cereal crops in the regions of Hauts-Bassins, Sud-Ouest, Cascades, and Boucle du Mouhoun in Burkina Faso. A semi-structured questionnaire was used to collect and extract data from 617 cereal farmers in the four regions. During the survey, the identified herbicides were characterized using pesticide property databases. The survey shows that most cereal farmers in the regions are illiterate (58.18%) and have not received any training in pesticide use (84.28%). Only a small percentage of farmers (1.3%) consult technical services for the selection of herbicides to be used. The survey also revealed that 60% of farmers leave empty herbicide containers in the wild, 39.93% use water sources to clean sprayers, and 17.83% use them to prepare the spray mixture. A total of 25 active ingredients were identified in 117 commercial herbicide products with a total use of 8100 litres and 280 kg. Of the listed herbicides, 45.37% were not approved by the Sahel Pesticide Committee (CSP). Among the non-approved herbicides, 27.78% contained paraquat, atrazine, and acetochlor, which the CSP bans. The study shows that farmers do not follow good practices when using herbicides, which can contaminate different environmental compartments and cause harmful effects to non-target organisms.","container-title":"Journal of Experimental Biology and Agricultural Sciences","DOI":"10.18006/2024.12(2).248.256","ISSN":"2320-8694","issue":"2","journalAbbreviation":"J Exp Bio &amp; Ag Sci","page":"248-256","source":"DOI.org (Crossref)","title":"Characterization of herbicide use practices in cereal agroecosystems in western Burkina Faso","volume":"12","author":[{"family":"Bayili","given":"Bazoma"},{"family":"Koursangama","given":"Bernard"},{"family":"Bayili","given":"Koama"},{"family":"Dipina Ki","given":"Hyacinthe"},{"family":"Sow","given":"Bazoumana"},{"family":"Bilgo","given":"Etienne"},{"family":"Kinda","given":"Abdoul Aziz"},{"family":"Bazongo","given":"Tédébouaouga"},{"family":"Ouattara","given":"Abdoulaye"},{"family":"Dabire","given":"Roch Kounbobr"},{"family":"Diabate","given":"Abdoulaye"}],"issued":{"date-parts":[["2024"]]}}}],"schema":"https://github.com/citation-style-language/schema/raw/master/csl-citation.json"} </w:instrText>
      </w:r>
      <w:r w:rsidR="00D85F23">
        <w:rPr>
          <w:rFonts w:ascii="Arial" w:hAnsi="Arial" w:cs="Arial"/>
          <w:sz w:val="20"/>
          <w:szCs w:val="20"/>
          <w:lang w:val="en-GB"/>
        </w:rPr>
        <w:fldChar w:fldCharType="separate"/>
      </w:r>
      <w:r w:rsidR="000E707F" w:rsidRPr="000E707F">
        <w:rPr>
          <w:rFonts w:ascii="Arial" w:hAnsi="Arial" w:cs="Arial"/>
          <w:sz w:val="20"/>
          <w:lang w:val="en-GB"/>
        </w:rPr>
        <w:t>(Bayili et al., 2024)</w:t>
      </w:r>
      <w:r w:rsidR="00D85F23">
        <w:rPr>
          <w:rFonts w:ascii="Arial" w:hAnsi="Arial" w:cs="Arial"/>
          <w:sz w:val="20"/>
          <w:szCs w:val="20"/>
          <w:lang w:val="en-GB"/>
        </w:rPr>
        <w:fldChar w:fldCharType="end"/>
      </w:r>
      <w:r w:rsidRPr="0073550A">
        <w:rPr>
          <w:rFonts w:ascii="Arial" w:hAnsi="Arial" w:cs="Arial"/>
          <w:sz w:val="20"/>
          <w:szCs w:val="20"/>
          <w:lang w:val="en-GB"/>
        </w:rPr>
        <w:t>, which documented 25 active ingredients commonly applied in cereal production. From this list, 13 molecules for which analytical standards were available at ANSSEAT were retained.</w:t>
      </w:r>
      <w:r w:rsidR="00EF757D">
        <w:rPr>
          <w:rFonts w:ascii="Arial" w:hAnsi="Arial" w:cs="Arial"/>
          <w:sz w:val="20"/>
          <w:szCs w:val="20"/>
          <w:lang w:val="en-GB"/>
        </w:rPr>
        <w:t xml:space="preserve"> </w:t>
      </w:r>
      <w:r w:rsidRPr="0073550A">
        <w:rPr>
          <w:rFonts w:ascii="Arial" w:hAnsi="Arial" w:cs="Arial"/>
          <w:sz w:val="20"/>
          <w:szCs w:val="20"/>
          <w:lang w:val="en-GB"/>
        </w:rPr>
        <w:t xml:space="preserve">These 13 substances were: atrazine, terbuthylazine, metolachlor, pendimethalin, 2,4-D, diuron, </w:t>
      </w:r>
      <w:proofErr w:type="spellStart"/>
      <w:r w:rsidRPr="0073550A">
        <w:rPr>
          <w:rFonts w:ascii="Arial" w:hAnsi="Arial" w:cs="Arial"/>
          <w:sz w:val="20"/>
          <w:szCs w:val="20"/>
          <w:lang w:val="en-GB"/>
        </w:rPr>
        <w:t>mesotrione</w:t>
      </w:r>
      <w:proofErr w:type="spellEnd"/>
      <w:r w:rsidRPr="0073550A">
        <w:rPr>
          <w:rFonts w:ascii="Arial" w:hAnsi="Arial" w:cs="Arial"/>
          <w:sz w:val="20"/>
          <w:szCs w:val="20"/>
          <w:lang w:val="en-GB"/>
        </w:rPr>
        <w:t xml:space="preserve">, </w:t>
      </w:r>
      <w:proofErr w:type="spellStart"/>
      <w:r w:rsidRPr="0073550A">
        <w:rPr>
          <w:rFonts w:ascii="Arial" w:hAnsi="Arial" w:cs="Arial"/>
          <w:sz w:val="20"/>
          <w:szCs w:val="20"/>
          <w:lang w:val="en-GB"/>
        </w:rPr>
        <w:t>nicosulfuron</w:t>
      </w:r>
      <w:proofErr w:type="spellEnd"/>
      <w:r w:rsidRPr="0073550A">
        <w:rPr>
          <w:rFonts w:ascii="Arial" w:hAnsi="Arial" w:cs="Arial"/>
          <w:sz w:val="20"/>
          <w:szCs w:val="20"/>
          <w:lang w:val="en-GB"/>
        </w:rPr>
        <w:t xml:space="preserve">, </w:t>
      </w:r>
      <w:proofErr w:type="spellStart"/>
      <w:r w:rsidRPr="0073550A">
        <w:rPr>
          <w:rFonts w:ascii="Arial" w:hAnsi="Arial" w:cs="Arial"/>
          <w:sz w:val="20"/>
          <w:szCs w:val="20"/>
          <w:lang w:val="en-GB"/>
        </w:rPr>
        <w:t>bensulfuron</w:t>
      </w:r>
      <w:proofErr w:type="spellEnd"/>
      <w:r w:rsidRPr="0073550A">
        <w:rPr>
          <w:rFonts w:ascii="Arial" w:hAnsi="Arial" w:cs="Arial"/>
          <w:sz w:val="20"/>
          <w:szCs w:val="20"/>
          <w:lang w:val="en-GB"/>
        </w:rPr>
        <w:t xml:space="preserve">-methyl, </w:t>
      </w:r>
      <w:proofErr w:type="spellStart"/>
      <w:r w:rsidRPr="0073550A">
        <w:rPr>
          <w:rFonts w:ascii="Arial" w:hAnsi="Arial" w:cs="Arial"/>
          <w:sz w:val="20"/>
          <w:szCs w:val="20"/>
          <w:lang w:val="en-GB"/>
        </w:rPr>
        <w:t>haloxyfop</w:t>
      </w:r>
      <w:proofErr w:type="spellEnd"/>
      <w:r w:rsidRPr="0073550A">
        <w:rPr>
          <w:rFonts w:ascii="Arial" w:hAnsi="Arial" w:cs="Arial"/>
          <w:sz w:val="20"/>
          <w:szCs w:val="20"/>
          <w:lang w:val="en-GB"/>
        </w:rPr>
        <w:t xml:space="preserve">-R-methyl, </w:t>
      </w:r>
      <w:proofErr w:type="spellStart"/>
      <w:r w:rsidRPr="0073550A">
        <w:rPr>
          <w:rFonts w:ascii="Arial" w:hAnsi="Arial" w:cs="Arial"/>
          <w:sz w:val="20"/>
          <w:szCs w:val="20"/>
          <w:lang w:val="en-GB"/>
        </w:rPr>
        <w:t>prometryn</w:t>
      </w:r>
      <w:proofErr w:type="spellEnd"/>
      <w:r w:rsidRPr="0073550A">
        <w:rPr>
          <w:rFonts w:ascii="Arial" w:hAnsi="Arial" w:cs="Arial"/>
          <w:sz w:val="20"/>
          <w:szCs w:val="20"/>
          <w:lang w:val="en-GB"/>
        </w:rPr>
        <w:t xml:space="preserve">, </w:t>
      </w:r>
      <w:proofErr w:type="spellStart"/>
      <w:r w:rsidRPr="0073550A">
        <w:rPr>
          <w:rFonts w:ascii="Arial" w:hAnsi="Arial" w:cs="Arial"/>
          <w:sz w:val="20"/>
          <w:szCs w:val="20"/>
          <w:lang w:val="en-GB"/>
        </w:rPr>
        <w:t>emamectin</w:t>
      </w:r>
      <w:proofErr w:type="spellEnd"/>
      <w:r w:rsidRPr="0073550A">
        <w:rPr>
          <w:rFonts w:ascii="Arial" w:hAnsi="Arial" w:cs="Arial"/>
          <w:sz w:val="20"/>
          <w:szCs w:val="20"/>
          <w:lang w:val="en-GB"/>
        </w:rPr>
        <w:t xml:space="preserve"> benzoate and </w:t>
      </w:r>
      <w:proofErr w:type="spellStart"/>
      <w:r w:rsidRPr="0073550A">
        <w:rPr>
          <w:rFonts w:ascii="Arial" w:hAnsi="Arial" w:cs="Arial"/>
          <w:sz w:val="20"/>
          <w:szCs w:val="20"/>
          <w:lang w:val="en-GB"/>
        </w:rPr>
        <w:t>bispyribac</w:t>
      </w:r>
      <w:proofErr w:type="spellEnd"/>
      <w:r w:rsidRPr="0073550A">
        <w:rPr>
          <w:rFonts w:ascii="Arial" w:hAnsi="Arial" w:cs="Arial"/>
          <w:sz w:val="20"/>
          <w:szCs w:val="20"/>
          <w:lang w:val="en-GB"/>
        </w:rPr>
        <w:t>-sodium.</w:t>
      </w:r>
      <w:r w:rsidR="00EF757D">
        <w:rPr>
          <w:rFonts w:ascii="Arial" w:hAnsi="Arial" w:cs="Arial"/>
          <w:sz w:val="20"/>
          <w:szCs w:val="20"/>
          <w:lang w:val="en-GB"/>
        </w:rPr>
        <w:t xml:space="preserve"> </w:t>
      </w:r>
      <w:r w:rsidRPr="0073550A">
        <w:rPr>
          <w:rFonts w:ascii="Arial" w:hAnsi="Arial" w:cs="Arial"/>
          <w:sz w:val="20"/>
          <w:szCs w:val="20"/>
          <w:lang w:val="en-GB"/>
        </w:rPr>
        <w:t xml:space="preserve">For each compound, the maximum admissible concentration (MAC) in drinking water was </w:t>
      </w:r>
      <w:r w:rsidR="0036731A">
        <w:rPr>
          <w:rFonts w:ascii="Arial" w:hAnsi="Arial" w:cs="Arial"/>
          <w:sz w:val="20"/>
          <w:szCs w:val="20"/>
          <w:lang w:val="en-GB"/>
        </w:rPr>
        <w:t xml:space="preserve">recorded in </w:t>
      </w:r>
      <w:r w:rsidRPr="0073550A">
        <w:rPr>
          <w:rFonts w:ascii="Arial" w:hAnsi="Arial" w:cs="Arial"/>
          <w:sz w:val="20"/>
          <w:szCs w:val="20"/>
          <w:lang w:val="en-GB"/>
        </w:rPr>
        <w:t xml:space="preserve">the European Drinking Water Directive 2020/2184 </w:t>
      </w:r>
      <w:r w:rsidR="002B5803" w:rsidRPr="002B5803">
        <w:rPr>
          <w:rFonts w:ascii="Arial" w:hAnsi="Arial" w:cs="Arial"/>
          <w:sz w:val="20"/>
          <w:szCs w:val="20"/>
          <w:highlight w:val="yellow"/>
          <w:lang w:val="en-GB"/>
        </w:rPr>
        <w:fldChar w:fldCharType="begin"/>
      </w:r>
      <w:r w:rsidR="000E707F">
        <w:rPr>
          <w:rFonts w:ascii="Arial" w:hAnsi="Arial" w:cs="Arial"/>
          <w:sz w:val="20"/>
          <w:szCs w:val="20"/>
          <w:highlight w:val="yellow"/>
          <w:lang w:val="en-GB"/>
        </w:rPr>
        <w:instrText xml:space="preserve"> ADDIN ZOTERO_ITEM CSL_CITATION {"citationID":"9YJRjXLY","properties":{"formattedCitation":"(Union Europ\\uc0\\u233{}enne, 2020)","plainCitation":"(Union Européenne, 2020)","noteIndex":0},"citationItems":[{"id":2952,"uris":["http://zotero.org/users/5723659/items/TNBXBSJ3"],"itemData":{"id":2952,"type":"article-newspaper","container-title":"Journal officiel de l’Union européenne","page":"1-62","section":"L 435/1","title":"Directive (UE) 2020/2184 du Parlement européen et du Conseil du 16 décembre 2020 relative à la qualité des eaux destinées à la consommation humaine (refonte) (Texte présentant de l’intérêt pour l’EEE)","author":[{"family":"Union Européenne","given":""}],"issued":{"date-parts":[["2020"]]}}}],"schema":"https://github.com/citation-style-language/schema/raw/master/csl-citation.json"} </w:instrText>
      </w:r>
      <w:r w:rsidR="002B5803" w:rsidRPr="002B5803">
        <w:rPr>
          <w:rFonts w:ascii="Arial" w:hAnsi="Arial" w:cs="Arial"/>
          <w:sz w:val="20"/>
          <w:szCs w:val="20"/>
          <w:highlight w:val="yellow"/>
          <w:lang w:val="en-GB"/>
        </w:rPr>
        <w:fldChar w:fldCharType="separate"/>
      </w:r>
      <w:r w:rsidR="000E707F" w:rsidRPr="000E707F">
        <w:rPr>
          <w:rFonts w:ascii="Arial" w:hAnsi="Arial" w:cs="Arial"/>
          <w:sz w:val="20"/>
          <w:lang w:val="en-GB"/>
        </w:rPr>
        <w:t>(Union Européenne, 2020)</w:t>
      </w:r>
      <w:r w:rsidR="002B5803" w:rsidRPr="002B5803">
        <w:rPr>
          <w:rFonts w:ascii="Arial" w:hAnsi="Arial" w:cs="Arial"/>
          <w:sz w:val="20"/>
          <w:szCs w:val="20"/>
          <w:highlight w:val="yellow"/>
          <w:lang w:val="en-GB"/>
        </w:rPr>
        <w:fldChar w:fldCharType="end"/>
      </w:r>
      <w:r w:rsidR="002B5803">
        <w:rPr>
          <w:rFonts w:ascii="Arial" w:hAnsi="Arial" w:cs="Arial"/>
          <w:sz w:val="20"/>
          <w:szCs w:val="20"/>
          <w:lang w:val="en-GB"/>
        </w:rPr>
        <w:t xml:space="preserve"> </w:t>
      </w:r>
      <w:r w:rsidRPr="0073550A">
        <w:rPr>
          <w:rFonts w:ascii="Arial" w:hAnsi="Arial" w:cs="Arial"/>
          <w:sz w:val="20"/>
          <w:szCs w:val="20"/>
          <w:lang w:val="en-GB"/>
        </w:rPr>
        <w:t>and the</w:t>
      </w:r>
      <w:r w:rsidR="0036731A">
        <w:rPr>
          <w:rFonts w:ascii="Arial" w:hAnsi="Arial" w:cs="Arial"/>
          <w:sz w:val="20"/>
          <w:szCs w:val="20"/>
          <w:lang w:val="en-GB"/>
        </w:rPr>
        <w:t xml:space="preserve"> WHO </w:t>
      </w:r>
      <w:r w:rsidR="0036731A" w:rsidRPr="0073550A">
        <w:rPr>
          <w:rFonts w:ascii="Arial" w:hAnsi="Arial" w:cs="Arial"/>
          <w:sz w:val="20"/>
          <w:szCs w:val="20"/>
          <w:lang w:val="en-GB"/>
        </w:rPr>
        <w:t>guidelines</w:t>
      </w:r>
      <w:r w:rsidR="0036731A">
        <w:rPr>
          <w:rFonts w:ascii="Arial" w:hAnsi="Arial" w:cs="Arial"/>
          <w:sz w:val="20"/>
          <w:szCs w:val="20"/>
          <w:lang w:val="en-GB"/>
        </w:rPr>
        <w:t xml:space="preserve"> </w:t>
      </w:r>
      <w:r w:rsidRPr="0073550A">
        <w:rPr>
          <w:rFonts w:ascii="Arial" w:hAnsi="Arial" w:cs="Arial"/>
          <w:sz w:val="20"/>
          <w:szCs w:val="20"/>
          <w:lang w:val="en-GB"/>
        </w:rPr>
        <w:t xml:space="preserve"> </w:t>
      </w:r>
      <w:r w:rsidR="0036731A">
        <w:rPr>
          <w:rFonts w:ascii="Arial" w:hAnsi="Arial" w:cs="Arial"/>
          <w:sz w:val="20"/>
          <w:szCs w:val="20"/>
          <w:lang w:val="en-GB"/>
        </w:rPr>
        <w:t>(</w:t>
      </w:r>
      <w:r w:rsidR="002B5803">
        <w:rPr>
          <w:rFonts w:ascii="Arial" w:hAnsi="Arial" w:cs="Arial"/>
          <w:sz w:val="20"/>
          <w:szCs w:val="20"/>
          <w:lang w:val="en-GB"/>
        </w:rPr>
        <w:fldChar w:fldCharType="begin"/>
      </w:r>
      <w:r w:rsidR="004A43B1">
        <w:rPr>
          <w:rFonts w:ascii="Arial" w:hAnsi="Arial" w:cs="Arial"/>
          <w:sz w:val="20"/>
          <w:szCs w:val="20"/>
          <w:lang w:val="en-GB"/>
        </w:rPr>
        <w:instrText xml:space="preserve"> ADDIN ZOTERO_ITEM CSL_CITATION {"citationID":"XJtGEBn8","properties":{"formattedCitation":"(WHO, 2017)","plainCitation":"(WHO, 2017)","dontUpdate":true,"noteIndex":0},"citationItems":[{"id":2944,"uris":["http://zotero.org/users/5723659/items/YR2L8MDM"],"itemData":{"id":2944,"type":"book","abstract":"This fourth edition incorporating the first addendum, of the World Health Organization's Guidelines for Drinking-water Quality builds on over 50 years of guidance by WHO on drinking-water quality, which has formed an authoritative basis for the setting of national regulations and standards for water safety in support of public health. It is the product of significant revisions to clarify and elaborate on ways of implementing its recommendations of contextual hazard identification and risk management, through the establishment of health-based targets, catchment-to-consumer water safety plans and independent surveillance. It reflects the renewed focus on primary prevention. Significant additional guidance on good practice is presented, incorporating changes introduced by the first and second addenda to the third edition. Emerging water management issues are comprehensively addressed for a range of circumstances, from household water treatment and safe storage and the bulk supply of water over long distances to the potential implications of climate change. Additional risk assessments are presented for a number of new chemical and microbial hazards and applied to a suite of pesticides used for public health purposes. Existing reviews on chemicals and waterborne pathogens have been revised to account for new scientific information. The chapter on radiological aspects of drinking-water quality has been comprehensively updated. Even more than the previous edition, this new edition incorporating the first addendum, emphasizes achievable practices and the formulation of sound regulations, applicable to low-income, middle-income and industrialized countries alike, that aim to prevent a potential health crisis caused by the consumption of unsafe drinking-water, against the backdrop of rapid urbanization, water scarcity and climate change","edition":"Fourth edition incorporating the first addendum","event-place":"Geneva","ISBN":"978-92-4-154995-0","language":"eng","number-of-pages":"1","publisher":"World Health Organization","publisher-place":"Geneva","source":"K10plus ISBN","title":"Guidelines for drinking-water quality","editor":[{"literal":"WHO"}],"issued":{"date-parts":[["2017"]]}}}],"schema":"https://github.com/citation-style-language/schema/raw/master/csl-citation.json"} </w:instrText>
      </w:r>
      <w:r w:rsidR="002B5803">
        <w:rPr>
          <w:rFonts w:ascii="Arial" w:hAnsi="Arial" w:cs="Arial"/>
          <w:sz w:val="20"/>
          <w:szCs w:val="20"/>
          <w:lang w:val="en-GB"/>
        </w:rPr>
        <w:fldChar w:fldCharType="separate"/>
      </w:r>
      <w:r w:rsidR="000E707F" w:rsidRPr="006B2574">
        <w:rPr>
          <w:rFonts w:ascii="Arial" w:hAnsi="Arial" w:cs="Arial"/>
          <w:sz w:val="20"/>
          <w:lang w:val="en-GB"/>
        </w:rPr>
        <w:t>WHO</w:t>
      </w:r>
      <w:r w:rsidR="0036731A">
        <w:rPr>
          <w:rFonts w:ascii="Arial" w:hAnsi="Arial" w:cs="Arial"/>
          <w:sz w:val="20"/>
          <w:lang w:val="en-GB"/>
        </w:rPr>
        <w:t>,</w:t>
      </w:r>
      <w:r w:rsidR="000E707F" w:rsidRPr="006B2574">
        <w:rPr>
          <w:rFonts w:ascii="Arial" w:hAnsi="Arial" w:cs="Arial"/>
          <w:sz w:val="20"/>
          <w:lang w:val="en-GB"/>
        </w:rPr>
        <w:t xml:space="preserve"> 2017)</w:t>
      </w:r>
      <w:r w:rsidR="002B5803">
        <w:rPr>
          <w:rFonts w:ascii="Arial" w:hAnsi="Arial" w:cs="Arial"/>
          <w:sz w:val="20"/>
          <w:szCs w:val="20"/>
          <w:lang w:val="en-GB"/>
        </w:rPr>
        <w:fldChar w:fldCharType="end"/>
      </w:r>
      <w:r w:rsidRPr="0073550A">
        <w:rPr>
          <w:rFonts w:ascii="Arial" w:hAnsi="Arial" w:cs="Arial"/>
          <w:sz w:val="20"/>
          <w:szCs w:val="20"/>
          <w:lang w:val="en-GB"/>
        </w:rPr>
        <w:t>. These values are presented in Table 1, which served as a reference framework for compliance assessment.</w:t>
      </w:r>
    </w:p>
    <w:p w14:paraId="06BEA85E" w14:textId="2FDEBEA8" w:rsidR="00577B31" w:rsidRPr="00EF757D" w:rsidRDefault="00577B31" w:rsidP="00A012EB">
      <w:pPr>
        <w:pStyle w:val="Heading2"/>
        <w:spacing w:line="240" w:lineRule="auto"/>
        <w:jc w:val="both"/>
        <w:rPr>
          <w:rFonts w:ascii="Arial" w:hAnsi="Arial" w:cs="Arial"/>
          <w:b/>
          <w:bCs/>
          <w:color w:val="auto"/>
          <w:sz w:val="20"/>
          <w:szCs w:val="20"/>
          <w:lang w:val="en-GB"/>
        </w:rPr>
      </w:pPr>
      <w:r w:rsidRPr="00EF757D">
        <w:rPr>
          <w:rFonts w:ascii="Arial" w:hAnsi="Arial" w:cs="Arial"/>
          <w:b/>
          <w:bCs/>
          <w:color w:val="auto"/>
          <w:sz w:val="20"/>
          <w:szCs w:val="20"/>
          <w:lang w:val="en-GB"/>
        </w:rPr>
        <w:t>Table 1. Maximum admissible concentrations (MAC) of the investigated active substances in drinking water</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2095"/>
        <w:gridCol w:w="1276"/>
        <w:gridCol w:w="2329"/>
      </w:tblGrid>
      <w:tr w:rsidR="00C26EE6" w:rsidRPr="00EF757D" w14:paraId="3A70D3C3" w14:textId="77777777" w:rsidTr="00EF75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5B4DDD76" w14:textId="0CBC1018" w:rsidR="00577B31" w:rsidRPr="00EF757D" w:rsidRDefault="00577B31" w:rsidP="0032542B">
            <w:pPr>
              <w:spacing w:line="240" w:lineRule="auto"/>
              <w:jc w:val="center"/>
              <w:rPr>
                <w:rFonts w:ascii="Arial" w:hAnsi="Arial" w:cs="Arial"/>
                <w:b w:val="0"/>
                <w:bCs w:val="0"/>
                <w:sz w:val="20"/>
                <w:szCs w:val="20"/>
              </w:rPr>
            </w:pPr>
            <w:r w:rsidRPr="00EF757D">
              <w:rPr>
                <w:rFonts w:ascii="Arial" w:hAnsi="Arial" w:cs="Arial"/>
                <w:sz w:val="20"/>
                <w:szCs w:val="20"/>
              </w:rPr>
              <w:t>Active substances</w:t>
            </w:r>
          </w:p>
        </w:tc>
        <w:tc>
          <w:tcPr>
            <w:tcW w:w="0" w:type="auto"/>
            <w:tcBorders>
              <w:top w:val="single" w:sz="4" w:space="0" w:color="auto"/>
              <w:bottom w:val="single" w:sz="4" w:space="0" w:color="auto"/>
            </w:tcBorders>
          </w:tcPr>
          <w:p w14:paraId="5535E45D" w14:textId="4EAA02A6" w:rsidR="00577B31" w:rsidRPr="00EF757D" w:rsidRDefault="0032542B" w:rsidP="0032542B">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F757D">
              <w:rPr>
                <w:rFonts w:ascii="Arial" w:hAnsi="Arial" w:cs="Arial"/>
                <w:sz w:val="20"/>
                <w:szCs w:val="20"/>
              </w:rPr>
              <w:t>MAC (µg/L)</w:t>
            </w:r>
          </w:p>
        </w:tc>
        <w:tc>
          <w:tcPr>
            <w:tcW w:w="0" w:type="auto"/>
            <w:tcBorders>
              <w:top w:val="single" w:sz="4" w:space="0" w:color="auto"/>
              <w:bottom w:val="single" w:sz="4" w:space="0" w:color="auto"/>
            </w:tcBorders>
          </w:tcPr>
          <w:p w14:paraId="0F869E3A" w14:textId="456DD0D7" w:rsidR="00577B31" w:rsidRPr="00EF757D" w:rsidRDefault="0032542B" w:rsidP="0032542B">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roofErr w:type="spellStart"/>
            <w:r w:rsidRPr="00EF757D">
              <w:rPr>
                <w:rFonts w:ascii="Arial" w:hAnsi="Arial" w:cs="Arial"/>
                <w:sz w:val="20"/>
                <w:szCs w:val="20"/>
              </w:rPr>
              <w:t>References</w:t>
            </w:r>
            <w:proofErr w:type="spellEnd"/>
          </w:p>
        </w:tc>
      </w:tr>
      <w:tr w:rsidR="00C26EE6" w:rsidRPr="00EF757D" w14:paraId="1EAF7962" w14:textId="77777777" w:rsidTr="00EF7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one" w:sz="0" w:space="0" w:color="auto"/>
            </w:tcBorders>
          </w:tcPr>
          <w:p w14:paraId="1578BEA1" w14:textId="77777777" w:rsidR="00577B31" w:rsidRPr="00EF757D" w:rsidRDefault="00577B31" w:rsidP="0032542B">
            <w:pPr>
              <w:spacing w:line="240" w:lineRule="auto"/>
              <w:rPr>
                <w:rFonts w:ascii="Arial" w:hAnsi="Arial" w:cs="Arial"/>
                <w:b w:val="0"/>
                <w:bCs w:val="0"/>
                <w:sz w:val="20"/>
                <w:szCs w:val="20"/>
              </w:rPr>
            </w:pPr>
            <w:r w:rsidRPr="00EF757D">
              <w:rPr>
                <w:rFonts w:ascii="Arial" w:hAnsi="Arial" w:cs="Arial"/>
                <w:b w:val="0"/>
                <w:bCs w:val="0"/>
                <w:sz w:val="20"/>
                <w:szCs w:val="20"/>
              </w:rPr>
              <w:t>Atrazine</w:t>
            </w:r>
          </w:p>
        </w:tc>
        <w:tc>
          <w:tcPr>
            <w:tcW w:w="0" w:type="auto"/>
            <w:tcBorders>
              <w:top w:val="single" w:sz="4" w:space="0" w:color="auto"/>
              <w:bottom w:val="none" w:sz="0" w:space="0" w:color="auto"/>
            </w:tcBorders>
          </w:tcPr>
          <w:p w14:paraId="5435D159" w14:textId="77777777" w:rsidR="00577B31" w:rsidRPr="00EF757D" w:rsidRDefault="00577B31" w:rsidP="0032542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100</w:t>
            </w:r>
          </w:p>
        </w:tc>
        <w:tc>
          <w:tcPr>
            <w:tcW w:w="0" w:type="auto"/>
            <w:tcBorders>
              <w:top w:val="single" w:sz="4" w:space="0" w:color="auto"/>
              <w:bottom w:val="none" w:sz="0" w:space="0" w:color="auto"/>
            </w:tcBorders>
          </w:tcPr>
          <w:p w14:paraId="2FAD1947" w14:textId="565B779F" w:rsidR="00577B31" w:rsidRPr="00EF757D" w:rsidRDefault="0032542B" w:rsidP="0032542B">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WHO</w:t>
            </w:r>
            <w:r w:rsidR="00577B31" w:rsidRPr="00EF757D">
              <w:rPr>
                <w:rFonts w:ascii="Arial" w:hAnsi="Arial" w:cs="Arial"/>
                <w:sz w:val="20"/>
                <w:szCs w:val="20"/>
              </w:rPr>
              <w:t>, 2017</w:t>
            </w:r>
          </w:p>
        </w:tc>
      </w:tr>
      <w:tr w:rsidR="00C26EE6" w:rsidRPr="00EF757D" w14:paraId="6D2EAFAD" w14:textId="77777777" w:rsidTr="00EF757D">
        <w:tc>
          <w:tcPr>
            <w:cnfStyle w:val="001000000000" w:firstRow="0" w:lastRow="0" w:firstColumn="1" w:lastColumn="0" w:oddVBand="0" w:evenVBand="0" w:oddHBand="0" w:evenHBand="0" w:firstRowFirstColumn="0" w:firstRowLastColumn="0" w:lastRowFirstColumn="0" w:lastRowLastColumn="0"/>
            <w:tcW w:w="0" w:type="auto"/>
          </w:tcPr>
          <w:p w14:paraId="4CD06E1B" w14:textId="77777777" w:rsidR="00577B31" w:rsidRPr="00EF757D" w:rsidRDefault="00577B31" w:rsidP="0032542B">
            <w:pPr>
              <w:spacing w:line="240" w:lineRule="auto"/>
              <w:rPr>
                <w:rFonts w:ascii="Arial" w:hAnsi="Arial" w:cs="Arial"/>
                <w:b w:val="0"/>
                <w:bCs w:val="0"/>
                <w:sz w:val="20"/>
                <w:szCs w:val="20"/>
              </w:rPr>
            </w:pPr>
            <w:r w:rsidRPr="00EF757D">
              <w:rPr>
                <w:rFonts w:ascii="Arial" w:hAnsi="Arial" w:cs="Arial"/>
                <w:b w:val="0"/>
                <w:bCs w:val="0"/>
                <w:sz w:val="20"/>
                <w:szCs w:val="20"/>
              </w:rPr>
              <w:t>Terbuthylazine</w:t>
            </w:r>
          </w:p>
        </w:tc>
        <w:tc>
          <w:tcPr>
            <w:tcW w:w="0" w:type="auto"/>
          </w:tcPr>
          <w:p w14:paraId="731CE2EA" w14:textId="77777777" w:rsidR="00577B31" w:rsidRPr="00EF757D" w:rsidRDefault="00577B31" w:rsidP="0032542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7</w:t>
            </w:r>
          </w:p>
        </w:tc>
        <w:tc>
          <w:tcPr>
            <w:tcW w:w="0" w:type="auto"/>
          </w:tcPr>
          <w:p w14:paraId="363A146F" w14:textId="0AB2C0E0" w:rsidR="00577B31" w:rsidRPr="00EF757D" w:rsidRDefault="0032542B" w:rsidP="0032542B">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WHO</w:t>
            </w:r>
            <w:r w:rsidR="00577B31" w:rsidRPr="00EF757D">
              <w:rPr>
                <w:rFonts w:ascii="Arial" w:hAnsi="Arial" w:cs="Arial"/>
                <w:sz w:val="20"/>
                <w:szCs w:val="20"/>
              </w:rPr>
              <w:t>, 2017</w:t>
            </w:r>
          </w:p>
        </w:tc>
      </w:tr>
      <w:tr w:rsidR="00C26EE6" w:rsidRPr="00EF757D" w14:paraId="4763D597" w14:textId="77777777" w:rsidTr="00EF7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33167962" w14:textId="7CDEAF9A" w:rsidR="00577B31" w:rsidRPr="00EF757D" w:rsidRDefault="00577B31" w:rsidP="0032542B">
            <w:pPr>
              <w:spacing w:line="240" w:lineRule="auto"/>
              <w:rPr>
                <w:rFonts w:ascii="Arial" w:hAnsi="Arial" w:cs="Arial"/>
                <w:b w:val="0"/>
                <w:bCs w:val="0"/>
                <w:sz w:val="20"/>
                <w:szCs w:val="20"/>
              </w:rPr>
            </w:pPr>
            <w:proofErr w:type="spellStart"/>
            <w:r w:rsidRPr="00EF757D">
              <w:rPr>
                <w:rFonts w:ascii="Arial" w:hAnsi="Arial" w:cs="Arial"/>
                <w:b w:val="0"/>
                <w:bCs w:val="0"/>
                <w:sz w:val="20"/>
                <w:szCs w:val="20"/>
              </w:rPr>
              <w:t>M</w:t>
            </w:r>
            <w:r w:rsidR="0032542B" w:rsidRPr="00EF757D">
              <w:rPr>
                <w:rFonts w:ascii="Arial" w:hAnsi="Arial" w:cs="Arial"/>
                <w:b w:val="0"/>
                <w:bCs w:val="0"/>
                <w:sz w:val="20"/>
                <w:szCs w:val="20"/>
              </w:rPr>
              <w:t>e</w:t>
            </w:r>
            <w:r w:rsidRPr="00EF757D">
              <w:rPr>
                <w:rFonts w:ascii="Arial" w:hAnsi="Arial" w:cs="Arial"/>
                <w:b w:val="0"/>
                <w:bCs w:val="0"/>
                <w:sz w:val="20"/>
                <w:szCs w:val="20"/>
              </w:rPr>
              <w:t>tolachlor</w:t>
            </w:r>
            <w:proofErr w:type="spellEnd"/>
          </w:p>
        </w:tc>
        <w:tc>
          <w:tcPr>
            <w:tcW w:w="0" w:type="auto"/>
            <w:tcBorders>
              <w:top w:val="none" w:sz="0" w:space="0" w:color="auto"/>
              <w:bottom w:val="none" w:sz="0" w:space="0" w:color="auto"/>
            </w:tcBorders>
          </w:tcPr>
          <w:p w14:paraId="003B700F" w14:textId="77777777" w:rsidR="00577B31" w:rsidRPr="00EF757D" w:rsidRDefault="00577B31" w:rsidP="0032542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10</w:t>
            </w:r>
          </w:p>
        </w:tc>
        <w:tc>
          <w:tcPr>
            <w:tcW w:w="0" w:type="auto"/>
            <w:tcBorders>
              <w:top w:val="none" w:sz="0" w:space="0" w:color="auto"/>
              <w:bottom w:val="none" w:sz="0" w:space="0" w:color="auto"/>
            </w:tcBorders>
          </w:tcPr>
          <w:p w14:paraId="03469F8F" w14:textId="76247CC3" w:rsidR="00577B31" w:rsidRPr="00EF757D" w:rsidRDefault="0032542B" w:rsidP="0032542B">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WHO</w:t>
            </w:r>
            <w:r w:rsidR="00577B31" w:rsidRPr="00EF757D">
              <w:rPr>
                <w:rFonts w:ascii="Arial" w:hAnsi="Arial" w:cs="Arial"/>
                <w:sz w:val="20"/>
                <w:szCs w:val="20"/>
              </w:rPr>
              <w:t>, 2017</w:t>
            </w:r>
          </w:p>
        </w:tc>
      </w:tr>
      <w:tr w:rsidR="00C26EE6" w:rsidRPr="00EF757D" w14:paraId="368A4C64" w14:textId="77777777" w:rsidTr="00EF757D">
        <w:tc>
          <w:tcPr>
            <w:cnfStyle w:val="001000000000" w:firstRow="0" w:lastRow="0" w:firstColumn="1" w:lastColumn="0" w:oddVBand="0" w:evenVBand="0" w:oddHBand="0" w:evenHBand="0" w:firstRowFirstColumn="0" w:firstRowLastColumn="0" w:lastRowFirstColumn="0" w:lastRowLastColumn="0"/>
            <w:tcW w:w="0" w:type="auto"/>
          </w:tcPr>
          <w:p w14:paraId="5C05E340" w14:textId="536CE2EE" w:rsidR="00577B31" w:rsidRPr="00EF757D" w:rsidRDefault="00577B31" w:rsidP="0032542B">
            <w:pPr>
              <w:spacing w:line="240" w:lineRule="auto"/>
              <w:rPr>
                <w:rFonts w:ascii="Arial" w:hAnsi="Arial" w:cs="Arial"/>
                <w:b w:val="0"/>
                <w:bCs w:val="0"/>
                <w:sz w:val="20"/>
                <w:szCs w:val="20"/>
              </w:rPr>
            </w:pPr>
            <w:proofErr w:type="spellStart"/>
            <w:r w:rsidRPr="00EF757D">
              <w:rPr>
                <w:rFonts w:ascii="Arial" w:hAnsi="Arial" w:cs="Arial"/>
                <w:b w:val="0"/>
                <w:bCs w:val="0"/>
                <w:sz w:val="20"/>
                <w:szCs w:val="20"/>
              </w:rPr>
              <w:t>Pendim</w:t>
            </w:r>
            <w:r w:rsidR="0032542B" w:rsidRPr="00EF757D">
              <w:rPr>
                <w:rFonts w:ascii="Arial" w:hAnsi="Arial" w:cs="Arial"/>
                <w:b w:val="0"/>
                <w:bCs w:val="0"/>
                <w:sz w:val="20"/>
                <w:szCs w:val="20"/>
              </w:rPr>
              <w:t>e</w:t>
            </w:r>
            <w:r w:rsidRPr="00EF757D">
              <w:rPr>
                <w:rFonts w:ascii="Arial" w:hAnsi="Arial" w:cs="Arial"/>
                <w:b w:val="0"/>
                <w:bCs w:val="0"/>
                <w:sz w:val="20"/>
                <w:szCs w:val="20"/>
              </w:rPr>
              <w:t>thaline</w:t>
            </w:r>
            <w:proofErr w:type="spellEnd"/>
          </w:p>
        </w:tc>
        <w:tc>
          <w:tcPr>
            <w:tcW w:w="0" w:type="auto"/>
          </w:tcPr>
          <w:p w14:paraId="68EBED42" w14:textId="77777777" w:rsidR="00577B31" w:rsidRPr="00EF757D" w:rsidRDefault="00577B31" w:rsidP="0032542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20</w:t>
            </w:r>
          </w:p>
        </w:tc>
        <w:tc>
          <w:tcPr>
            <w:tcW w:w="0" w:type="auto"/>
          </w:tcPr>
          <w:p w14:paraId="3DF9E31B" w14:textId="734ED147" w:rsidR="00577B31" w:rsidRPr="00EF757D" w:rsidRDefault="0032542B" w:rsidP="0032542B">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WHO</w:t>
            </w:r>
            <w:r w:rsidR="00577B31" w:rsidRPr="00EF757D">
              <w:rPr>
                <w:rFonts w:ascii="Arial" w:hAnsi="Arial" w:cs="Arial"/>
                <w:sz w:val="20"/>
                <w:szCs w:val="20"/>
              </w:rPr>
              <w:t>, 2017</w:t>
            </w:r>
          </w:p>
        </w:tc>
      </w:tr>
      <w:tr w:rsidR="00C26EE6" w:rsidRPr="00EF757D" w14:paraId="2BFA2D27" w14:textId="77777777" w:rsidTr="00EF7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72A15A0A" w14:textId="77777777" w:rsidR="00577B31" w:rsidRPr="00EF757D" w:rsidRDefault="00577B31" w:rsidP="0032542B">
            <w:pPr>
              <w:spacing w:line="240" w:lineRule="auto"/>
              <w:rPr>
                <w:rFonts w:ascii="Arial" w:hAnsi="Arial" w:cs="Arial"/>
                <w:b w:val="0"/>
                <w:bCs w:val="0"/>
                <w:sz w:val="20"/>
                <w:szCs w:val="20"/>
              </w:rPr>
            </w:pPr>
            <w:r w:rsidRPr="00EF757D">
              <w:rPr>
                <w:rFonts w:ascii="Arial" w:hAnsi="Arial" w:cs="Arial"/>
                <w:b w:val="0"/>
                <w:bCs w:val="0"/>
                <w:sz w:val="20"/>
                <w:szCs w:val="20"/>
              </w:rPr>
              <w:t>2,4-D</w:t>
            </w:r>
          </w:p>
        </w:tc>
        <w:tc>
          <w:tcPr>
            <w:tcW w:w="0" w:type="auto"/>
            <w:tcBorders>
              <w:top w:val="none" w:sz="0" w:space="0" w:color="auto"/>
              <w:bottom w:val="none" w:sz="0" w:space="0" w:color="auto"/>
            </w:tcBorders>
          </w:tcPr>
          <w:p w14:paraId="330816F0" w14:textId="77777777" w:rsidR="00577B31" w:rsidRPr="00EF757D" w:rsidRDefault="00577B31" w:rsidP="0032542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30</w:t>
            </w:r>
          </w:p>
        </w:tc>
        <w:tc>
          <w:tcPr>
            <w:tcW w:w="0" w:type="auto"/>
            <w:tcBorders>
              <w:top w:val="none" w:sz="0" w:space="0" w:color="auto"/>
              <w:bottom w:val="none" w:sz="0" w:space="0" w:color="auto"/>
            </w:tcBorders>
          </w:tcPr>
          <w:p w14:paraId="5864BED7" w14:textId="18EBC945" w:rsidR="00577B31" w:rsidRPr="00EF757D" w:rsidRDefault="0032542B" w:rsidP="0032542B">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WHO</w:t>
            </w:r>
            <w:r w:rsidR="00577B31" w:rsidRPr="00EF757D">
              <w:rPr>
                <w:rFonts w:ascii="Arial" w:hAnsi="Arial" w:cs="Arial"/>
                <w:sz w:val="20"/>
                <w:szCs w:val="20"/>
              </w:rPr>
              <w:t>, 2017</w:t>
            </w:r>
          </w:p>
        </w:tc>
      </w:tr>
      <w:tr w:rsidR="00C26EE6" w:rsidRPr="00EF757D" w14:paraId="22324EB3" w14:textId="77777777" w:rsidTr="00EF757D">
        <w:tc>
          <w:tcPr>
            <w:cnfStyle w:val="001000000000" w:firstRow="0" w:lastRow="0" w:firstColumn="1" w:lastColumn="0" w:oddVBand="0" w:evenVBand="0" w:oddHBand="0" w:evenHBand="0" w:firstRowFirstColumn="0" w:firstRowLastColumn="0" w:lastRowFirstColumn="0" w:lastRowLastColumn="0"/>
            <w:tcW w:w="0" w:type="auto"/>
          </w:tcPr>
          <w:p w14:paraId="37A2EBFD" w14:textId="77777777" w:rsidR="00577B31" w:rsidRPr="00EF757D" w:rsidRDefault="00577B31" w:rsidP="0032542B">
            <w:pPr>
              <w:spacing w:line="240" w:lineRule="auto"/>
              <w:rPr>
                <w:rFonts w:ascii="Arial" w:hAnsi="Arial" w:cs="Arial"/>
                <w:b w:val="0"/>
                <w:bCs w:val="0"/>
                <w:sz w:val="20"/>
                <w:szCs w:val="20"/>
              </w:rPr>
            </w:pPr>
            <w:r w:rsidRPr="00EF757D">
              <w:rPr>
                <w:rFonts w:ascii="Arial" w:hAnsi="Arial" w:cs="Arial"/>
                <w:b w:val="0"/>
                <w:bCs w:val="0"/>
                <w:sz w:val="20"/>
                <w:szCs w:val="20"/>
              </w:rPr>
              <w:lastRenderedPageBreak/>
              <w:t>Diuron</w:t>
            </w:r>
          </w:p>
        </w:tc>
        <w:tc>
          <w:tcPr>
            <w:tcW w:w="0" w:type="auto"/>
          </w:tcPr>
          <w:p w14:paraId="004412F2" w14:textId="6901A437" w:rsidR="00577B31" w:rsidRPr="00EF757D" w:rsidRDefault="00577B31" w:rsidP="0032542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0</w:t>
            </w:r>
            <w:r w:rsidR="0032542B" w:rsidRPr="00EF757D">
              <w:rPr>
                <w:rFonts w:ascii="Arial" w:hAnsi="Arial" w:cs="Arial"/>
                <w:sz w:val="20"/>
                <w:szCs w:val="20"/>
              </w:rPr>
              <w:t>.</w:t>
            </w:r>
            <w:r w:rsidRPr="00EF757D">
              <w:rPr>
                <w:rFonts w:ascii="Arial" w:hAnsi="Arial" w:cs="Arial"/>
                <w:sz w:val="20"/>
                <w:szCs w:val="20"/>
              </w:rPr>
              <w:t>10</w:t>
            </w:r>
          </w:p>
        </w:tc>
        <w:tc>
          <w:tcPr>
            <w:tcW w:w="0" w:type="auto"/>
          </w:tcPr>
          <w:p w14:paraId="4E976CB6" w14:textId="77777777" w:rsidR="00577B31" w:rsidRPr="00EF757D" w:rsidRDefault="00577B31" w:rsidP="0032542B">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UE Directive 2020/2184</w:t>
            </w:r>
          </w:p>
        </w:tc>
      </w:tr>
      <w:tr w:rsidR="00C26EE6" w:rsidRPr="00EF757D" w14:paraId="23983357" w14:textId="77777777" w:rsidTr="00EF7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7F01DCF3" w14:textId="7F449A31" w:rsidR="00577B31" w:rsidRPr="00EF757D" w:rsidRDefault="00577B31" w:rsidP="0032542B">
            <w:pPr>
              <w:spacing w:line="240" w:lineRule="auto"/>
              <w:rPr>
                <w:rFonts w:ascii="Arial" w:hAnsi="Arial" w:cs="Arial"/>
                <w:b w:val="0"/>
                <w:bCs w:val="0"/>
                <w:sz w:val="20"/>
                <w:szCs w:val="20"/>
              </w:rPr>
            </w:pPr>
            <w:proofErr w:type="spellStart"/>
            <w:r w:rsidRPr="00EF757D">
              <w:rPr>
                <w:rFonts w:ascii="Arial" w:hAnsi="Arial" w:cs="Arial"/>
                <w:b w:val="0"/>
                <w:bCs w:val="0"/>
                <w:sz w:val="20"/>
                <w:szCs w:val="20"/>
              </w:rPr>
              <w:t>M</w:t>
            </w:r>
            <w:r w:rsidR="0032542B" w:rsidRPr="00EF757D">
              <w:rPr>
                <w:rFonts w:ascii="Arial" w:hAnsi="Arial" w:cs="Arial"/>
                <w:b w:val="0"/>
                <w:bCs w:val="0"/>
                <w:sz w:val="20"/>
                <w:szCs w:val="20"/>
              </w:rPr>
              <w:t>e</w:t>
            </w:r>
            <w:r w:rsidRPr="00EF757D">
              <w:rPr>
                <w:rFonts w:ascii="Arial" w:hAnsi="Arial" w:cs="Arial"/>
                <w:b w:val="0"/>
                <w:bCs w:val="0"/>
                <w:sz w:val="20"/>
                <w:szCs w:val="20"/>
              </w:rPr>
              <w:t>sotrione</w:t>
            </w:r>
            <w:proofErr w:type="spellEnd"/>
          </w:p>
        </w:tc>
        <w:tc>
          <w:tcPr>
            <w:tcW w:w="0" w:type="auto"/>
            <w:tcBorders>
              <w:top w:val="none" w:sz="0" w:space="0" w:color="auto"/>
              <w:bottom w:val="none" w:sz="0" w:space="0" w:color="auto"/>
            </w:tcBorders>
          </w:tcPr>
          <w:p w14:paraId="058651C3" w14:textId="1D9B3FD2" w:rsidR="00577B31" w:rsidRPr="00EF757D" w:rsidRDefault="00577B31" w:rsidP="0032542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0</w:t>
            </w:r>
            <w:r w:rsidR="0032542B" w:rsidRPr="00EF757D">
              <w:rPr>
                <w:rFonts w:ascii="Arial" w:hAnsi="Arial" w:cs="Arial"/>
                <w:sz w:val="20"/>
                <w:szCs w:val="20"/>
              </w:rPr>
              <w:t>.</w:t>
            </w:r>
            <w:r w:rsidRPr="00EF757D">
              <w:rPr>
                <w:rFonts w:ascii="Arial" w:hAnsi="Arial" w:cs="Arial"/>
                <w:sz w:val="20"/>
                <w:szCs w:val="20"/>
              </w:rPr>
              <w:t>10</w:t>
            </w:r>
          </w:p>
        </w:tc>
        <w:tc>
          <w:tcPr>
            <w:tcW w:w="0" w:type="auto"/>
            <w:tcBorders>
              <w:top w:val="none" w:sz="0" w:space="0" w:color="auto"/>
              <w:bottom w:val="none" w:sz="0" w:space="0" w:color="auto"/>
            </w:tcBorders>
          </w:tcPr>
          <w:p w14:paraId="0CFB6682" w14:textId="77777777" w:rsidR="00577B31" w:rsidRPr="00EF757D" w:rsidRDefault="00577B31" w:rsidP="0032542B">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UE Directive 2020/2184</w:t>
            </w:r>
          </w:p>
        </w:tc>
      </w:tr>
      <w:tr w:rsidR="00C26EE6" w:rsidRPr="00EF757D" w14:paraId="04012088" w14:textId="77777777" w:rsidTr="00EF757D">
        <w:tc>
          <w:tcPr>
            <w:cnfStyle w:val="001000000000" w:firstRow="0" w:lastRow="0" w:firstColumn="1" w:lastColumn="0" w:oddVBand="0" w:evenVBand="0" w:oddHBand="0" w:evenHBand="0" w:firstRowFirstColumn="0" w:firstRowLastColumn="0" w:lastRowFirstColumn="0" w:lastRowLastColumn="0"/>
            <w:tcW w:w="0" w:type="auto"/>
          </w:tcPr>
          <w:p w14:paraId="20F6473B" w14:textId="77777777" w:rsidR="00577B31" w:rsidRPr="00EF757D" w:rsidRDefault="00577B31" w:rsidP="0032542B">
            <w:pPr>
              <w:spacing w:line="240" w:lineRule="auto"/>
              <w:rPr>
                <w:rFonts w:ascii="Arial" w:hAnsi="Arial" w:cs="Arial"/>
                <w:b w:val="0"/>
                <w:bCs w:val="0"/>
                <w:sz w:val="20"/>
                <w:szCs w:val="20"/>
              </w:rPr>
            </w:pPr>
            <w:r w:rsidRPr="00EF757D">
              <w:rPr>
                <w:rFonts w:ascii="Arial" w:hAnsi="Arial" w:cs="Arial"/>
                <w:b w:val="0"/>
                <w:bCs w:val="0"/>
                <w:sz w:val="20"/>
                <w:szCs w:val="20"/>
              </w:rPr>
              <w:t>Nicosulfuron</w:t>
            </w:r>
          </w:p>
        </w:tc>
        <w:tc>
          <w:tcPr>
            <w:tcW w:w="0" w:type="auto"/>
          </w:tcPr>
          <w:p w14:paraId="231765DF" w14:textId="69D97E46" w:rsidR="00577B31" w:rsidRPr="00EF757D" w:rsidRDefault="00577B31" w:rsidP="0032542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0</w:t>
            </w:r>
            <w:r w:rsidR="0032542B" w:rsidRPr="00EF757D">
              <w:rPr>
                <w:rFonts w:ascii="Arial" w:hAnsi="Arial" w:cs="Arial"/>
                <w:sz w:val="20"/>
                <w:szCs w:val="20"/>
              </w:rPr>
              <w:t>.</w:t>
            </w:r>
            <w:r w:rsidRPr="00EF757D">
              <w:rPr>
                <w:rFonts w:ascii="Arial" w:hAnsi="Arial" w:cs="Arial"/>
                <w:sz w:val="20"/>
                <w:szCs w:val="20"/>
              </w:rPr>
              <w:t>10</w:t>
            </w:r>
          </w:p>
        </w:tc>
        <w:tc>
          <w:tcPr>
            <w:tcW w:w="0" w:type="auto"/>
          </w:tcPr>
          <w:p w14:paraId="53ABE1C5" w14:textId="77777777" w:rsidR="00577B31" w:rsidRPr="00EF757D" w:rsidRDefault="00577B31" w:rsidP="0032542B">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UE Directive 2020/2184</w:t>
            </w:r>
          </w:p>
        </w:tc>
      </w:tr>
      <w:tr w:rsidR="00C26EE6" w:rsidRPr="00EF757D" w14:paraId="45389CE6" w14:textId="77777777" w:rsidTr="00EF7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3A49AC57" w14:textId="1C98B0EB" w:rsidR="00577B31" w:rsidRPr="00EF757D" w:rsidRDefault="00577B31" w:rsidP="0032542B">
            <w:pPr>
              <w:spacing w:line="240" w:lineRule="auto"/>
              <w:rPr>
                <w:rFonts w:ascii="Arial" w:hAnsi="Arial" w:cs="Arial"/>
                <w:b w:val="0"/>
                <w:bCs w:val="0"/>
                <w:sz w:val="20"/>
                <w:szCs w:val="20"/>
              </w:rPr>
            </w:pPr>
            <w:proofErr w:type="spellStart"/>
            <w:r w:rsidRPr="00EF757D">
              <w:rPr>
                <w:rFonts w:ascii="Arial" w:hAnsi="Arial" w:cs="Arial"/>
                <w:b w:val="0"/>
                <w:bCs w:val="0"/>
                <w:sz w:val="20"/>
                <w:szCs w:val="20"/>
              </w:rPr>
              <w:t>Bensulfuron-m</w:t>
            </w:r>
            <w:r w:rsidR="00C26EE6" w:rsidRPr="00EF757D">
              <w:rPr>
                <w:rFonts w:ascii="Arial" w:hAnsi="Arial" w:cs="Arial"/>
                <w:b w:val="0"/>
                <w:bCs w:val="0"/>
                <w:sz w:val="20"/>
                <w:szCs w:val="20"/>
              </w:rPr>
              <w:t>e</w:t>
            </w:r>
            <w:r w:rsidRPr="00EF757D">
              <w:rPr>
                <w:rFonts w:ascii="Arial" w:hAnsi="Arial" w:cs="Arial"/>
                <w:b w:val="0"/>
                <w:bCs w:val="0"/>
                <w:sz w:val="20"/>
                <w:szCs w:val="20"/>
              </w:rPr>
              <w:t>thyl</w:t>
            </w:r>
            <w:proofErr w:type="spellEnd"/>
          </w:p>
        </w:tc>
        <w:tc>
          <w:tcPr>
            <w:tcW w:w="0" w:type="auto"/>
            <w:tcBorders>
              <w:top w:val="none" w:sz="0" w:space="0" w:color="auto"/>
              <w:bottom w:val="none" w:sz="0" w:space="0" w:color="auto"/>
            </w:tcBorders>
          </w:tcPr>
          <w:p w14:paraId="37656284" w14:textId="5D9E1413" w:rsidR="00577B31" w:rsidRPr="00EF757D" w:rsidRDefault="00577B31" w:rsidP="0032542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0</w:t>
            </w:r>
            <w:r w:rsidR="0032542B" w:rsidRPr="00EF757D">
              <w:rPr>
                <w:rFonts w:ascii="Arial" w:hAnsi="Arial" w:cs="Arial"/>
                <w:sz w:val="20"/>
                <w:szCs w:val="20"/>
              </w:rPr>
              <w:t>.</w:t>
            </w:r>
            <w:r w:rsidRPr="00EF757D">
              <w:rPr>
                <w:rFonts w:ascii="Arial" w:hAnsi="Arial" w:cs="Arial"/>
                <w:sz w:val="20"/>
                <w:szCs w:val="20"/>
              </w:rPr>
              <w:t>10</w:t>
            </w:r>
          </w:p>
        </w:tc>
        <w:tc>
          <w:tcPr>
            <w:tcW w:w="0" w:type="auto"/>
            <w:tcBorders>
              <w:top w:val="none" w:sz="0" w:space="0" w:color="auto"/>
              <w:bottom w:val="none" w:sz="0" w:space="0" w:color="auto"/>
            </w:tcBorders>
          </w:tcPr>
          <w:p w14:paraId="478144C9" w14:textId="77777777" w:rsidR="00577B31" w:rsidRPr="00EF757D" w:rsidRDefault="00577B31" w:rsidP="0032542B">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UE Directive 2020/2184</w:t>
            </w:r>
          </w:p>
        </w:tc>
      </w:tr>
      <w:tr w:rsidR="00C26EE6" w:rsidRPr="00EF757D" w14:paraId="16D2C0B7" w14:textId="77777777" w:rsidTr="00EF757D">
        <w:tc>
          <w:tcPr>
            <w:cnfStyle w:val="001000000000" w:firstRow="0" w:lastRow="0" w:firstColumn="1" w:lastColumn="0" w:oddVBand="0" w:evenVBand="0" w:oddHBand="0" w:evenHBand="0" w:firstRowFirstColumn="0" w:firstRowLastColumn="0" w:lastRowFirstColumn="0" w:lastRowLastColumn="0"/>
            <w:tcW w:w="0" w:type="auto"/>
          </w:tcPr>
          <w:p w14:paraId="27E80124" w14:textId="63C33A3F" w:rsidR="00577B31" w:rsidRPr="00EF757D" w:rsidRDefault="00577B31" w:rsidP="0032542B">
            <w:pPr>
              <w:spacing w:line="240" w:lineRule="auto"/>
              <w:rPr>
                <w:rFonts w:ascii="Arial" w:hAnsi="Arial" w:cs="Arial"/>
                <w:b w:val="0"/>
                <w:bCs w:val="0"/>
                <w:sz w:val="20"/>
                <w:szCs w:val="20"/>
              </w:rPr>
            </w:pPr>
            <w:r w:rsidRPr="00EF757D">
              <w:rPr>
                <w:rFonts w:ascii="Arial" w:hAnsi="Arial" w:cs="Arial"/>
                <w:b w:val="0"/>
                <w:bCs w:val="0"/>
                <w:sz w:val="20"/>
                <w:szCs w:val="20"/>
              </w:rPr>
              <w:t>Haloxyfop-R-</w:t>
            </w:r>
            <w:proofErr w:type="spellStart"/>
            <w:r w:rsidRPr="00EF757D">
              <w:rPr>
                <w:rFonts w:ascii="Arial" w:hAnsi="Arial" w:cs="Arial"/>
                <w:b w:val="0"/>
                <w:bCs w:val="0"/>
                <w:sz w:val="20"/>
                <w:szCs w:val="20"/>
              </w:rPr>
              <w:t>m</w:t>
            </w:r>
            <w:r w:rsidR="00C26EE6" w:rsidRPr="00EF757D">
              <w:rPr>
                <w:rFonts w:ascii="Arial" w:hAnsi="Arial" w:cs="Arial"/>
                <w:b w:val="0"/>
                <w:bCs w:val="0"/>
                <w:sz w:val="20"/>
                <w:szCs w:val="20"/>
              </w:rPr>
              <w:t>e</w:t>
            </w:r>
            <w:r w:rsidRPr="00EF757D">
              <w:rPr>
                <w:rFonts w:ascii="Arial" w:hAnsi="Arial" w:cs="Arial"/>
                <w:b w:val="0"/>
                <w:bCs w:val="0"/>
                <w:sz w:val="20"/>
                <w:szCs w:val="20"/>
              </w:rPr>
              <w:t>thyl</w:t>
            </w:r>
            <w:proofErr w:type="spellEnd"/>
          </w:p>
        </w:tc>
        <w:tc>
          <w:tcPr>
            <w:tcW w:w="0" w:type="auto"/>
          </w:tcPr>
          <w:p w14:paraId="0A8096E7" w14:textId="5AE5D12F" w:rsidR="00577B31" w:rsidRPr="00EF757D" w:rsidRDefault="00577B31" w:rsidP="0032542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0</w:t>
            </w:r>
            <w:r w:rsidR="0032542B" w:rsidRPr="00EF757D">
              <w:rPr>
                <w:rFonts w:ascii="Arial" w:hAnsi="Arial" w:cs="Arial"/>
                <w:sz w:val="20"/>
                <w:szCs w:val="20"/>
              </w:rPr>
              <w:t>.</w:t>
            </w:r>
            <w:r w:rsidRPr="00EF757D">
              <w:rPr>
                <w:rFonts w:ascii="Arial" w:hAnsi="Arial" w:cs="Arial"/>
                <w:sz w:val="20"/>
                <w:szCs w:val="20"/>
              </w:rPr>
              <w:t>10</w:t>
            </w:r>
          </w:p>
        </w:tc>
        <w:tc>
          <w:tcPr>
            <w:tcW w:w="0" w:type="auto"/>
          </w:tcPr>
          <w:p w14:paraId="0229C0B6" w14:textId="77777777" w:rsidR="00577B31" w:rsidRPr="00EF757D" w:rsidRDefault="00577B31" w:rsidP="0032542B">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UE Directive 2020/2184</w:t>
            </w:r>
          </w:p>
        </w:tc>
      </w:tr>
      <w:tr w:rsidR="00C26EE6" w:rsidRPr="00EF757D" w14:paraId="7E2AE447" w14:textId="77777777" w:rsidTr="00EF7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2E37E19C" w14:textId="2FD233CE" w:rsidR="00577B31" w:rsidRPr="00EF757D" w:rsidRDefault="00577B31" w:rsidP="0032542B">
            <w:pPr>
              <w:spacing w:line="240" w:lineRule="auto"/>
              <w:rPr>
                <w:rFonts w:ascii="Arial" w:hAnsi="Arial" w:cs="Arial"/>
                <w:b w:val="0"/>
                <w:bCs w:val="0"/>
                <w:sz w:val="20"/>
                <w:szCs w:val="20"/>
              </w:rPr>
            </w:pPr>
            <w:proofErr w:type="spellStart"/>
            <w:r w:rsidRPr="00EF757D">
              <w:rPr>
                <w:rFonts w:ascii="Arial" w:hAnsi="Arial" w:cs="Arial"/>
                <w:b w:val="0"/>
                <w:bCs w:val="0"/>
                <w:sz w:val="20"/>
                <w:szCs w:val="20"/>
              </w:rPr>
              <w:t>Prom</w:t>
            </w:r>
            <w:r w:rsidR="00C26EE6" w:rsidRPr="00EF757D">
              <w:rPr>
                <w:rFonts w:ascii="Arial" w:hAnsi="Arial" w:cs="Arial"/>
                <w:b w:val="0"/>
                <w:bCs w:val="0"/>
                <w:sz w:val="20"/>
                <w:szCs w:val="20"/>
              </w:rPr>
              <w:t>e</w:t>
            </w:r>
            <w:r w:rsidRPr="00EF757D">
              <w:rPr>
                <w:rFonts w:ascii="Arial" w:hAnsi="Arial" w:cs="Arial"/>
                <w:b w:val="0"/>
                <w:bCs w:val="0"/>
                <w:sz w:val="20"/>
                <w:szCs w:val="20"/>
              </w:rPr>
              <w:t>tryn</w:t>
            </w:r>
            <w:proofErr w:type="spellEnd"/>
          </w:p>
        </w:tc>
        <w:tc>
          <w:tcPr>
            <w:tcW w:w="0" w:type="auto"/>
            <w:tcBorders>
              <w:top w:val="none" w:sz="0" w:space="0" w:color="auto"/>
              <w:bottom w:val="none" w:sz="0" w:space="0" w:color="auto"/>
            </w:tcBorders>
          </w:tcPr>
          <w:p w14:paraId="30D6DFD6" w14:textId="17D26CC4" w:rsidR="00577B31" w:rsidRPr="00EF757D" w:rsidRDefault="00577B31" w:rsidP="0032542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0</w:t>
            </w:r>
            <w:r w:rsidR="0032542B" w:rsidRPr="00EF757D">
              <w:rPr>
                <w:rFonts w:ascii="Arial" w:hAnsi="Arial" w:cs="Arial"/>
                <w:sz w:val="20"/>
                <w:szCs w:val="20"/>
              </w:rPr>
              <w:t>.</w:t>
            </w:r>
            <w:r w:rsidRPr="00EF757D">
              <w:rPr>
                <w:rFonts w:ascii="Arial" w:hAnsi="Arial" w:cs="Arial"/>
                <w:sz w:val="20"/>
                <w:szCs w:val="20"/>
              </w:rPr>
              <w:t>10</w:t>
            </w:r>
          </w:p>
        </w:tc>
        <w:tc>
          <w:tcPr>
            <w:tcW w:w="0" w:type="auto"/>
            <w:tcBorders>
              <w:top w:val="none" w:sz="0" w:space="0" w:color="auto"/>
              <w:bottom w:val="none" w:sz="0" w:space="0" w:color="auto"/>
            </w:tcBorders>
          </w:tcPr>
          <w:p w14:paraId="3E55D721" w14:textId="77777777" w:rsidR="00577B31" w:rsidRPr="00EF757D" w:rsidRDefault="00577B31" w:rsidP="0032542B">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UE Directive 2020/2184</w:t>
            </w:r>
          </w:p>
        </w:tc>
      </w:tr>
      <w:tr w:rsidR="00C26EE6" w:rsidRPr="00EF757D" w14:paraId="275D733B" w14:textId="77777777" w:rsidTr="00EF757D">
        <w:tc>
          <w:tcPr>
            <w:cnfStyle w:val="001000000000" w:firstRow="0" w:lastRow="0" w:firstColumn="1" w:lastColumn="0" w:oddVBand="0" w:evenVBand="0" w:oddHBand="0" w:evenHBand="0" w:firstRowFirstColumn="0" w:firstRowLastColumn="0" w:lastRowFirstColumn="0" w:lastRowLastColumn="0"/>
            <w:tcW w:w="0" w:type="auto"/>
          </w:tcPr>
          <w:p w14:paraId="4E846915" w14:textId="4BF5EEAA" w:rsidR="00577B31" w:rsidRPr="00EF757D" w:rsidRDefault="00577B31" w:rsidP="0032542B">
            <w:pPr>
              <w:spacing w:line="240" w:lineRule="auto"/>
              <w:rPr>
                <w:rFonts w:ascii="Arial" w:hAnsi="Arial" w:cs="Arial"/>
                <w:b w:val="0"/>
                <w:bCs w:val="0"/>
                <w:sz w:val="20"/>
                <w:szCs w:val="20"/>
              </w:rPr>
            </w:pPr>
            <w:proofErr w:type="spellStart"/>
            <w:r w:rsidRPr="00EF757D">
              <w:rPr>
                <w:rFonts w:ascii="Arial" w:hAnsi="Arial" w:cs="Arial"/>
                <w:b w:val="0"/>
                <w:bCs w:val="0"/>
                <w:sz w:val="20"/>
                <w:szCs w:val="20"/>
              </w:rPr>
              <w:t>Emamectin</w:t>
            </w:r>
            <w:proofErr w:type="spellEnd"/>
            <w:r w:rsidRPr="00EF757D">
              <w:rPr>
                <w:rFonts w:ascii="Arial" w:hAnsi="Arial" w:cs="Arial"/>
                <w:b w:val="0"/>
                <w:bCs w:val="0"/>
                <w:sz w:val="20"/>
                <w:szCs w:val="20"/>
              </w:rPr>
              <w:t xml:space="preserve"> benzoate</w:t>
            </w:r>
          </w:p>
        </w:tc>
        <w:tc>
          <w:tcPr>
            <w:tcW w:w="0" w:type="auto"/>
          </w:tcPr>
          <w:p w14:paraId="48C03D0B" w14:textId="21F88A6D" w:rsidR="00577B31" w:rsidRPr="00EF757D" w:rsidRDefault="00577B31" w:rsidP="0032542B">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0</w:t>
            </w:r>
            <w:r w:rsidR="0032542B" w:rsidRPr="00EF757D">
              <w:rPr>
                <w:rFonts w:ascii="Arial" w:hAnsi="Arial" w:cs="Arial"/>
                <w:sz w:val="20"/>
                <w:szCs w:val="20"/>
              </w:rPr>
              <w:t>.</w:t>
            </w:r>
            <w:r w:rsidRPr="00EF757D">
              <w:rPr>
                <w:rFonts w:ascii="Arial" w:hAnsi="Arial" w:cs="Arial"/>
                <w:sz w:val="20"/>
                <w:szCs w:val="20"/>
              </w:rPr>
              <w:t>10</w:t>
            </w:r>
          </w:p>
        </w:tc>
        <w:tc>
          <w:tcPr>
            <w:tcW w:w="0" w:type="auto"/>
          </w:tcPr>
          <w:p w14:paraId="11F2B6DA" w14:textId="77777777" w:rsidR="00577B31" w:rsidRPr="00EF757D" w:rsidRDefault="00577B31" w:rsidP="0032542B">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57D">
              <w:rPr>
                <w:rFonts w:ascii="Arial" w:hAnsi="Arial" w:cs="Arial"/>
                <w:sz w:val="20"/>
                <w:szCs w:val="20"/>
              </w:rPr>
              <w:t>UE Directive 2020/2184</w:t>
            </w:r>
          </w:p>
        </w:tc>
      </w:tr>
      <w:tr w:rsidR="00C26EE6" w:rsidRPr="00EF757D" w14:paraId="29264AA1" w14:textId="77777777" w:rsidTr="00EF7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single" w:sz="4" w:space="0" w:color="auto"/>
            </w:tcBorders>
          </w:tcPr>
          <w:p w14:paraId="471A7473" w14:textId="77777777" w:rsidR="00577B31" w:rsidRPr="00EF757D" w:rsidRDefault="00577B31" w:rsidP="0032542B">
            <w:pPr>
              <w:spacing w:line="240" w:lineRule="auto"/>
              <w:rPr>
                <w:rFonts w:ascii="Arial" w:hAnsi="Arial" w:cs="Arial"/>
                <w:b w:val="0"/>
                <w:bCs w:val="0"/>
                <w:sz w:val="20"/>
                <w:szCs w:val="20"/>
              </w:rPr>
            </w:pPr>
            <w:proofErr w:type="spellStart"/>
            <w:r w:rsidRPr="00EF757D">
              <w:rPr>
                <w:rFonts w:ascii="Arial" w:hAnsi="Arial" w:cs="Arial"/>
                <w:b w:val="0"/>
                <w:bCs w:val="0"/>
                <w:sz w:val="20"/>
                <w:szCs w:val="20"/>
              </w:rPr>
              <w:t>Bispyribac</w:t>
            </w:r>
            <w:proofErr w:type="spellEnd"/>
            <w:r w:rsidRPr="00EF757D">
              <w:rPr>
                <w:rFonts w:ascii="Arial" w:hAnsi="Arial" w:cs="Arial"/>
                <w:b w:val="0"/>
                <w:bCs w:val="0"/>
                <w:sz w:val="20"/>
                <w:szCs w:val="20"/>
              </w:rPr>
              <w:t>-sodium</w:t>
            </w:r>
          </w:p>
        </w:tc>
        <w:tc>
          <w:tcPr>
            <w:tcW w:w="0" w:type="auto"/>
            <w:tcBorders>
              <w:top w:val="none" w:sz="0" w:space="0" w:color="auto"/>
              <w:bottom w:val="single" w:sz="4" w:space="0" w:color="auto"/>
            </w:tcBorders>
          </w:tcPr>
          <w:p w14:paraId="5CF24DB2" w14:textId="7122F51B" w:rsidR="00577B31" w:rsidRPr="00EF757D" w:rsidRDefault="00577B31" w:rsidP="0032542B">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0</w:t>
            </w:r>
            <w:r w:rsidR="0032542B" w:rsidRPr="00EF757D">
              <w:rPr>
                <w:rFonts w:ascii="Arial" w:hAnsi="Arial" w:cs="Arial"/>
                <w:sz w:val="20"/>
                <w:szCs w:val="20"/>
              </w:rPr>
              <w:t>.</w:t>
            </w:r>
            <w:r w:rsidRPr="00EF757D">
              <w:rPr>
                <w:rFonts w:ascii="Arial" w:hAnsi="Arial" w:cs="Arial"/>
                <w:sz w:val="20"/>
                <w:szCs w:val="20"/>
              </w:rPr>
              <w:t>10</w:t>
            </w:r>
          </w:p>
        </w:tc>
        <w:tc>
          <w:tcPr>
            <w:tcW w:w="0" w:type="auto"/>
            <w:tcBorders>
              <w:top w:val="none" w:sz="0" w:space="0" w:color="auto"/>
              <w:bottom w:val="single" w:sz="4" w:space="0" w:color="auto"/>
            </w:tcBorders>
          </w:tcPr>
          <w:p w14:paraId="569B9169" w14:textId="77777777" w:rsidR="00577B31" w:rsidRPr="00EF757D" w:rsidRDefault="00577B31" w:rsidP="0032542B">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57D">
              <w:rPr>
                <w:rFonts w:ascii="Arial" w:hAnsi="Arial" w:cs="Arial"/>
                <w:sz w:val="20"/>
                <w:szCs w:val="20"/>
              </w:rPr>
              <w:t>UE Directive 2020/2184</w:t>
            </w:r>
          </w:p>
        </w:tc>
      </w:tr>
    </w:tbl>
    <w:p w14:paraId="42411837" w14:textId="77777777" w:rsidR="0032542B" w:rsidRPr="0032542B" w:rsidRDefault="0032542B" w:rsidP="0032542B">
      <w:pPr>
        <w:spacing w:before="120" w:after="120" w:line="240" w:lineRule="auto"/>
        <w:jc w:val="both"/>
        <w:rPr>
          <w:rFonts w:ascii="Arial" w:hAnsi="Arial" w:cs="Arial"/>
          <w:sz w:val="20"/>
          <w:szCs w:val="20"/>
          <w:lang w:val="en-GB"/>
        </w:rPr>
      </w:pPr>
      <w:r w:rsidRPr="0032542B">
        <w:rPr>
          <w:rFonts w:ascii="Arial" w:hAnsi="Arial" w:cs="Arial"/>
          <w:i/>
          <w:iCs/>
          <w:sz w:val="20"/>
          <w:szCs w:val="20"/>
          <w:lang w:val="en-GB"/>
        </w:rPr>
        <w:t>Source: EU Directive 2020/2184; WHO, 2017.</w:t>
      </w:r>
      <w:r w:rsidRPr="0032542B">
        <w:rPr>
          <w:rFonts w:ascii="Arial" w:hAnsi="Arial" w:cs="Arial"/>
          <w:sz w:val="20"/>
          <w:szCs w:val="20"/>
          <w:lang w:val="en-GB"/>
        </w:rPr>
        <w:t xml:space="preserve"> </w:t>
      </w:r>
    </w:p>
    <w:p w14:paraId="04426710" w14:textId="77777777" w:rsidR="0073550A" w:rsidRPr="0073550A" w:rsidRDefault="0073550A" w:rsidP="009C2C56">
      <w:pPr>
        <w:spacing w:before="120" w:after="120" w:line="240" w:lineRule="auto"/>
        <w:rPr>
          <w:rFonts w:ascii="Arial" w:hAnsi="Arial" w:cs="Arial"/>
          <w:b/>
          <w:bCs/>
          <w:sz w:val="20"/>
          <w:szCs w:val="20"/>
          <w:lang w:val="en-GB"/>
        </w:rPr>
      </w:pPr>
      <w:r w:rsidRPr="0073550A">
        <w:rPr>
          <w:rFonts w:ascii="Arial" w:hAnsi="Arial" w:cs="Arial"/>
          <w:b/>
          <w:bCs/>
          <w:sz w:val="20"/>
          <w:szCs w:val="20"/>
          <w:lang w:val="en-GB"/>
        </w:rPr>
        <w:t>2.3.2 Preparation of Analytical Standards</w:t>
      </w:r>
    </w:p>
    <w:p w14:paraId="65C54D8D" w14:textId="4A650DDE" w:rsidR="0073550A" w:rsidRPr="0073550A" w:rsidRDefault="0073550A" w:rsidP="0073550A">
      <w:pPr>
        <w:spacing w:before="120" w:after="120" w:line="240" w:lineRule="auto"/>
        <w:jc w:val="both"/>
        <w:rPr>
          <w:rFonts w:ascii="Arial" w:hAnsi="Arial" w:cs="Arial"/>
          <w:sz w:val="20"/>
          <w:szCs w:val="20"/>
          <w:lang w:val="en-GB"/>
        </w:rPr>
      </w:pPr>
      <w:r w:rsidRPr="0073550A">
        <w:rPr>
          <w:rFonts w:ascii="Arial" w:hAnsi="Arial" w:cs="Arial"/>
          <w:sz w:val="20"/>
          <w:szCs w:val="20"/>
          <w:lang w:val="en-GB"/>
        </w:rPr>
        <w:t>An external calibration method was used. For each active substance, 25 mg of analytical standard (purity ≥ 99.9%) were weighed into a 25 mL volumetric flask and brought to volume with HPLC-grade acetonitrile. The mixture was vigorously shaken and homogenised by ultrasonication, yielding stock solutions at 1000 mg/L (1000 ppm).</w:t>
      </w:r>
      <w:r w:rsidR="002B5803" w:rsidRPr="002B5803">
        <w:rPr>
          <w:rFonts w:ascii="Arial" w:hAnsi="Arial" w:cs="Arial"/>
          <w:sz w:val="20"/>
          <w:szCs w:val="20"/>
          <w:lang w:val="en-GB"/>
        </w:rPr>
        <w:t xml:space="preserve"> </w:t>
      </w:r>
      <w:r w:rsidRPr="0073550A">
        <w:rPr>
          <w:rFonts w:ascii="Arial" w:hAnsi="Arial" w:cs="Arial"/>
          <w:sz w:val="20"/>
          <w:szCs w:val="20"/>
          <w:lang w:val="en-GB"/>
        </w:rPr>
        <w:t>From each stock solution, six secondary standard solutions were prepared at concentrations of 5, 2.5, 1.25, 0.625, 0.3125 and 0.15625 mg/L (ppm). These solutions were injected into the HPLC system, and calibration curves (peak area as a function of concentration) were constructed using the six calibration points for each herbicide.</w:t>
      </w:r>
    </w:p>
    <w:p w14:paraId="5D3D084B" w14:textId="77777777" w:rsidR="0073550A" w:rsidRPr="0073550A" w:rsidRDefault="0073550A" w:rsidP="009C2C56">
      <w:pPr>
        <w:spacing w:before="120" w:after="120" w:line="240" w:lineRule="auto"/>
        <w:rPr>
          <w:rFonts w:ascii="Arial" w:hAnsi="Arial" w:cs="Arial"/>
          <w:b/>
          <w:bCs/>
          <w:sz w:val="20"/>
          <w:szCs w:val="20"/>
          <w:lang w:val="en-GB"/>
        </w:rPr>
      </w:pPr>
      <w:r w:rsidRPr="0073550A">
        <w:rPr>
          <w:rFonts w:ascii="Arial" w:hAnsi="Arial" w:cs="Arial"/>
          <w:b/>
          <w:bCs/>
          <w:sz w:val="20"/>
          <w:szCs w:val="20"/>
          <w:lang w:val="en-GB"/>
        </w:rPr>
        <w:t>2.3.3 Extraction (</w:t>
      </w:r>
      <w:proofErr w:type="spellStart"/>
      <w:r w:rsidRPr="0073550A">
        <w:rPr>
          <w:rFonts w:ascii="Arial" w:hAnsi="Arial" w:cs="Arial"/>
          <w:b/>
          <w:bCs/>
          <w:sz w:val="20"/>
          <w:szCs w:val="20"/>
          <w:lang w:val="en-GB"/>
        </w:rPr>
        <w:t>QuEChERS</w:t>
      </w:r>
      <w:proofErr w:type="spellEnd"/>
      <w:r w:rsidRPr="0073550A">
        <w:rPr>
          <w:rFonts w:ascii="Arial" w:hAnsi="Arial" w:cs="Arial"/>
          <w:b/>
          <w:bCs/>
          <w:sz w:val="20"/>
          <w:szCs w:val="20"/>
          <w:lang w:val="en-GB"/>
        </w:rPr>
        <w:t xml:space="preserve"> Method)</w:t>
      </w:r>
    </w:p>
    <w:p w14:paraId="69281317" w14:textId="2C7E7F72" w:rsidR="0073550A" w:rsidRPr="0073550A" w:rsidRDefault="0073550A" w:rsidP="0073550A">
      <w:pPr>
        <w:spacing w:before="120" w:after="120" w:line="240" w:lineRule="auto"/>
        <w:jc w:val="both"/>
        <w:rPr>
          <w:rFonts w:ascii="Arial" w:hAnsi="Arial" w:cs="Arial"/>
          <w:sz w:val="20"/>
          <w:szCs w:val="20"/>
          <w:lang w:val="en-GB"/>
        </w:rPr>
      </w:pPr>
      <w:r w:rsidRPr="0073550A">
        <w:rPr>
          <w:rFonts w:ascii="Arial" w:hAnsi="Arial" w:cs="Arial"/>
          <w:sz w:val="20"/>
          <w:szCs w:val="20"/>
          <w:lang w:val="en-GB"/>
        </w:rPr>
        <w:t xml:space="preserve">The extraction procedure was adapted from the </w:t>
      </w:r>
      <w:proofErr w:type="spellStart"/>
      <w:r w:rsidRPr="0073550A">
        <w:rPr>
          <w:rFonts w:ascii="Arial" w:hAnsi="Arial" w:cs="Arial"/>
          <w:sz w:val="20"/>
          <w:szCs w:val="20"/>
          <w:lang w:val="en-GB"/>
        </w:rPr>
        <w:t>QuEChERS</w:t>
      </w:r>
      <w:proofErr w:type="spellEnd"/>
      <w:r w:rsidRPr="0073550A">
        <w:rPr>
          <w:rFonts w:ascii="Arial" w:hAnsi="Arial" w:cs="Arial"/>
          <w:sz w:val="20"/>
          <w:szCs w:val="20"/>
          <w:lang w:val="en-GB"/>
        </w:rPr>
        <w:t xml:space="preserve"> (Quick, Easy, Cheap, Effective, Rugged and Safe) method described by</w:t>
      </w:r>
      <w:r w:rsidRPr="002712AB">
        <w:rPr>
          <w:rFonts w:ascii="Arial" w:hAnsi="Arial" w:cs="Arial"/>
          <w:sz w:val="20"/>
          <w:szCs w:val="20"/>
          <w:lang w:val="en-GB"/>
        </w:rPr>
        <w:t xml:space="preserve"> </w:t>
      </w:r>
      <w:r w:rsidR="00EB05AA">
        <w:rPr>
          <w:rFonts w:ascii="Arial" w:hAnsi="Arial" w:cs="Arial"/>
          <w:sz w:val="20"/>
          <w:szCs w:val="20"/>
        </w:rPr>
        <w:fldChar w:fldCharType="begin"/>
      </w:r>
      <w:r w:rsidR="004A43B1">
        <w:rPr>
          <w:rFonts w:ascii="Arial" w:hAnsi="Arial" w:cs="Arial"/>
          <w:sz w:val="20"/>
          <w:szCs w:val="20"/>
          <w:lang w:val="en-GB"/>
        </w:rPr>
        <w:instrText xml:space="preserve"> ADDIN ZOTERO_ITEM CSL_CITATION {"citationID":"XO2Zinu4","properties":{"formattedCitation":"(Anastassiades et al., 2003)","plainCitation":"(Anastassiades et al., 2003)","dontUpdate":true,"noteIndex":0},"citationItems":[{"id":2921,"uris":["http://zotero.org/users/5723659/items/PPR7DQIT"],"itemData":{"id":2921,"type":"article-journal","abstract":"Abstract\n            A simple, fast, and inexpensive method for the determination of pesticide residues in fruits and vegetables is introduced. The procedure involves initial single-phase extraction of 10 g sample with 10 mL acetonitrile, followed by liquid–liquid partitioning formed by addition of 4 g anhydrous MgSO4 plus 1 g NaCl. Removal of residual water and cleanup are performed simultaneously by using a rapid procedure called dispersive solid-phase extraction (dispersive-SPE), in which 150 mg anhydrous MgSO4 and 25 mg primary secondary amine (PSA) sorbent are simply mixed with 1 mL acetonitrile extract. The dispersive-SPE with PSA effectively removes many polar matrix components, such as organic acids, certain polar pigments, and sugars, to some extent from the food extracts. Gas chromatography/mass spectrometry (GC/MS) is then used for quantitative and confirmatory analysis of GC-amenable pesticides. Recoveries between 85 and 101% (mostly &amp;gt;95%) and repeatabilities typically &amp;lt;5% have been achieved for a wide range of fortified pesticides, including very polar and basic compounds such as methamidophos, acephate, omethoate, imazalil, and thiabendazole. Using this method, a single chemist can prepare a batch of 6 previously chopped samples in &amp;lt;30 min with approximately $1 (U.S.) of materials per sample.","container-title":"Journal of AOAC International","DOI":"10.1093/jaoac/86.2.412","ISSN":"1060-3271, 1944-7922","issue":"2","language":"en","license":"https://academic.oup.com/journals/pages/open_access/funder_policies/chorus/standard_publication_model","page":"412-431","source":"DOI.org (Crossref)","title":"Fast and Easy Multiresidue Method Employing Acetonitrile Extraction/Partitioning and “Dispersive Solid-Phase Extraction” for the Determination of Pesticide Residues in Produce","volume":"86","author":[{"family":"Anastassiades","given":"Michelangelo"},{"family":"Lehotay","given":"Steven J"},{"family":"Štajnbaher","given":"Darinka"},{"family":"Schenck","given":"Frank J"}],"issued":{"date-parts":[["2003"]]}}}],"schema":"https://github.com/citation-style-language/schema/raw/master/csl-citation.json"} </w:instrText>
      </w:r>
      <w:r w:rsidR="00EB05AA">
        <w:rPr>
          <w:rFonts w:ascii="Arial" w:hAnsi="Arial" w:cs="Arial"/>
          <w:sz w:val="20"/>
          <w:szCs w:val="20"/>
        </w:rPr>
        <w:fldChar w:fldCharType="separate"/>
      </w:r>
      <w:r w:rsidR="00EB05AA" w:rsidRPr="002712AB">
        <w:rPr>
          <w:rFonts w:ascii="Arial" w:hAnsi="Arial" w:cs="Arial"/>
          <w:sz w:val="20"/>
          <w:lang w:val="en-GB"/>
        </w:rPr>
        <w:t xml:space="preserve">Anastassiades et al. </w:t>
      </w:r>
      <w:r w:rsidR="002712AB" w:rsidRPr="002712AB">
        <w:rPr>
          <w:rFonts w:ascii="Arial" w:hAnsi="Arial" w:cs="Arial"/>
          <w:sz w:val="20"/>
          <w:lang w:val="en-GB"/>
        </w:rPr>
        <w:t>(</w:t>
      </w:r>
      <w:r w:rsidR="00EB05AA" w:rsidRPr="002712AB">
        <w:rPr>
          <w:rFonts w:ascii="Arial" w:hAnsi="Arial" w:cs="Arial"/>
          <w:sz w:val="20"/>
          <w:lang w:val="en-GB"/>
        </w:rPr>
        <w:t>2003)</w:t>
      </w:r>
      <w:r w:rsidR="00EB05AA">
        <w:rPr>
          <w:rFonts w:ascii="Arial" w:hAnsi="Arial" w:cs="Arial"/>
          <w:sz w:val="20"/>
          <w:szCs w:val="20"/>
        </w:rPr>
        <w:fldChar w:fldCharType="end"/>
      </w:r>
      <w:r w:rsidR="00EB05AA" w:rsidRPr="002712AB">
        <w:rPr>
          <w:rFonts w:ascii="Arial" w:hAnsi="Arial" w:cs="Arial"/>
          <w:sz w:val="20"/>
          <w:szCs w:val="20"/>
          <w:lang w:val="en-GB"/>
        </w:rPr>
        <w:t xml:space="preserve"> </w:t>
      </w:r>
      <w:r w:rsidRPr="002712AB">
        <w:rPr>
          <w:rFonts w:ascii="Arial" w:hAnsi="Arial" w:cs="Arial"/>
          <w:sz w:val="20"/>
          <w:szCs w:val="20"/>
          <w:lang w:val="en-GB"/>
        </w:rPr>
        <w:t xml:space="preserve">and </w:t>
      </w:r>
      <w:r w:rsidR="00E14D26">
        <w:rPr>
          <w:rFonts w:ascii="Arial" w:hAnsi="Arial" w:cs="Arial"/>
          <w:sz w:val="20"/>
          <w:szCs w:val="20"/>
          <w:lang w:val="en-GB"/>
        </w:rPr>
        <w:fldChar w:fldCharType="begin"/>
      </w:r>
      <w:r w:rsidR="004A43B1">
        <w:rPr>
          <w:rFonts w:ascii="Arial" w:hAnsi="Arial" w:cs="Arial"/>
          <w:sz w:val="20"/>
          <w:szCs w:val="20"/>
          <w:lang w:val="en-GB"/>
        </w:rPr>
        <w:instrText xml:space="preserve"> ADDIN ZOTERO_ITEM CSL_CITATION {"citationID":"v8QXUAIJ","properties":{"formattedCitation":"(Beaumont, 2012)","plainCitation":"(Beaumont, 2012)","dontUpdate":true,"noteIndex":0},"citationItems":[{"id":2942,"uris":["http://zotero.org/users/5723659/items/BF4QWFPW"],"itemData":{"id":2942,"type":"document","title":"Application de la méthodologie Quechers sur l’extraction des pesticides et des polybromodiphényléthers (PBDE) dans les sédiments Evaluation préliminaire - Rapport AQUAREF 2012 - 69p","author":[{"family":"Beaumont","given":"Jérôme"}],"issued":{"date-parts":[["2012"]]}}}],"schema":"https://github.com/citation-style-language/schema/raw/master/csl-citation.json"} </w:instrText>
      </w:r>
      <w:r w:rsidR="00E14D26">
        <w:rPr>
          <w:rFonts w:ascii="Arial" w:hAnsi="Arial" w:cs="Arial"/>
          <w:sz w:val="20"/>
          <w:szCs w:val="20"/>
          <w:lang w:val="en-GB"/>
        </w:rPr>
        <w:fldChar w:fldCharType="separate"/>
      </w:r>
      <w:r w:rsidR="000E707F" w:rsidRPr="002712AB">
        <w:rPr>
          <w:rFonts w:ascii="Arial" w:hAnsi="Arial" w:cs="Arial"/>
          <w:sz w:val="20"/>
          <w:lang w:val="en-GB"/>
        </w:rPr>
        <w:t xml:space="preserve">Beaumont, </w:t>
      </w:r>
      <w:r w:rsidR="002712AB" w:rsidRPr="002712AB">
        <w:rPr>
          <w:rFonts w:ascii="Arial" w:hAnsi="Arial" w:cs="Arial"/>
          <w:sz w:val="20"/>
          <w:lang w:val="en-GB"/>
        </w:rPr>
        <w:t>(</w:t>
      </w:r>
      <w:r w:rsidR="000E707F" w:rsidRPr="002712AB">
        <w:rPr>
          <w:rFonts w:ascii="Arial" w:hAnsi="Arial" w:cs="Arial"/>
          <w:sz w:val="20"/>
          <w:lang w:val="en-GB"/>
        </w:rPr>
        <w:t>2012)</w:t>
      </w:r>
      <w:r w:rsidR="00E14D26">
        <w:rPr>
          <w:rFonts w:ascii="Arial" w:hAnsi="Arial" w:cs="Arial"/>
          <w:sz w:val="20"/>
          <w:szCs w:val="20"/>
          <w:lang w:val="en-GB"/>
        </w:rPr>
        <w:fldChar w:fldCharType="end"/>
      </w:r>
      <w:r w:rsidRPr="002712AB">
        <w:rPr>
          <w:rFonts w:ascii="Arial" w:hAnsi="Arial" w:cs="Arial"/>
          <w:sz w:val="20"/>
          <w:szCs w:val="20"/>
          <w:lang w:val="en-GB"/>
        </w:rPr>
        <w:t>, corresponding to the AOAC Official Method 2007.01.</w:t>
      </w:r>
      <w:r w:rsidR="002B5803" w:rsidRPr="002712AB">
        <w:rPr>
          <w:rFonts w:ascii="Arial" w:hAnsi="Arial" w:cs="Arial"/>
          <w:sz w:val="20"/>
          <w:szCs w:val="20"/>
          <w:lang w:val="en-GB"/>
        </w:rPr>
        <w:t xml:space="preserve"> </w:t>
      </w:r>
      <w:r w:rsidRPr="0073550A">
        <w:rPr>
          <w:rFonts w:ascii="Arial" w:hAnsi="Arial" w:cs="Arial"/>
          <w:sz w:val="20"/>
          <w:szCs w:val="20"/>
          <w:lang w:val="en-GB"/>
        </w:rPr>
        <w:t xml:space="preserve">A commercial extraction salt mixture was used, containing 1 g trisodium citrate dihydrate, 0.5 g disodium hydrogen citrate sesquihydrate, 1 g sodium chloride (NaCl) and 4 g anhydrous magnesium </w:t>
      </w:r>
      <w:proofErr w:type="spellStart"/>
      <w:r w:rsidRPr="0073550A">
        <w:rPr>
          <w:rFonts w:ascii="Arial" w:hAnsi="Arial" w:cs="Arial"/>
          <w:sz w:val="20"/>
          <w:szCs w:val="20"/>
          <w:lang w:val="en-GB"/>
        </w:rPr>
        <w:t>sulfate</w:t>
      </w:r>
      <w:proofErr w:type="spellEnd"/>
      <w:r w:rsidRPr="0073550A">
        <w:rPr>
          <w:rFonts w:ascii="Arial" w:hAnsi="Arial" w:cs="Arial"/>
          <w:sz w:val="20"/>
          <w:szCs w:val="20"/>
          <w:lang w:val="en-GB"/>
        </w:rPr>
        <w:t xml:space="preserve"> (MgSO</w:t>
      </w:r>
      <w:r w:rsidR="002B5803" w:rsidRPr="0047779A">
        <w:rPr>
          <w:rFonts w:ascii="Cambria Math" w:hAnsi="Cambria Math" w:cs="Cambria Math"/>
          <w:sz w:val="20"/>
          <w:szCs w:val="20"/>
          <w:vertAlign w:val="subscript"/>
          <w:lang w:val="en-GB"/>
        </w:rPr>
        <w:t>4</w:t>
      </w:r>
      <w:r w:rsidRPr="0073550A">
        <w:rPr>
          <w:rFonts w:ascii="Arial" w:hAnsi="Arial" w:cs="Arial"/>
          <w:sz w:val="20"/>
          <w:szCs w:val="20"/>
          <w:lang w:val="en-GB"/>
        </w:rPr>
        <w:t xml:space="preserve">). For clean-up, a second mixture containing 0.15 g primary–secondary amine (PSA) and 0.9 g </w:t>
      </w:r>
      <w:proofErr w:type="spellStart"/>
      <w:r w:rsidRPr="0073550A">
        <w:rPr>
          <w:rFonts w:ascii="Arial" w:hAnsi="Arial" w:cs="Arial"/>
          <w:sz w:val="20"/>
          <w:szCs w:val="20"/>
          <w:lang w:val="en-GB"/>
        </w:rPr>
        <w:t>MgSO</w:t>
      </w:r>
      <w:proofErr w:type="spellEnd"/>
      <w:r w:rsidRPr="0073550A">
        <w:rPr>
          <w:rFonts w:ascii="Cambria Math" w:hAnsi="Cambria Math" w:cs="Cambria Math"/>
          <w:sz w:val="20"/>
          <w:szCs w:val="20"/>
          <w:lang w:val="en-GB"/>
        </w:rPr>
        <w:t>₄</w:t>
      </w:r>
      <w:r w:rsidRPr="0073550A">
        <w:rPr>
          <w:rFonts w:ascii="Arial" w:hAnsi="Arial" w:cs="Arial"/>
          <w:sz w:val="20"/>
          <w:szCs w:val="20"/>
          <w:lang w:val="en-GB"/>
        </w:rPr>
        <w:t xml:space="preserve"> was used.</w:t>
      </w:r>
      <w:r w:rsidR="002B5803" w:rsidRPr="0047779A">
        <w:rPr>
          <w:rFonts w:ascii="Arial" w:hAnsi="Arial" w:cs="Arial"/>
          <w:sz w:val="20"/>
          <w:szCs w:val="20"/>
          <w:lang w:val="en-GB"/>
        </w:rPr>
        <w:t xml:space="preserve"> </w:t>
      </w:r>
      <w:r w:rsidRPr="0073550A">
        <w:rPr>
          <w:rFonts w:ascii="Arial" w:hAnsi="Arial" w:cs="Arial"/>
          <w:sz w:val="20"/>
          <w:szCs w:val="20"/>
          <w:lang w:val="en-GB"/>
        </w:rPr>
        <w:t xml:space="preserve">Aliquots of 10 mL of each water sample were transferred into 50 mL polypropylene centrifuge tubes. A liquid–liquid extraction was carried out by adding 10 mL dichloromethane and the </w:t>
      </w:r>
      <w:proofErr w:type="spellStart"/>
      <w:r w:rsidRPr="0073550A">
        <w:rPr>
          <w:rFonts w:ascii="Arial" w:hAnsi="Arial" w:cs="Arial"/>
          <w:sz w:val="20"/>
          <w:szCs w:val="20"/>
          <w:lang w:val="en-GB"/>
        </w:rPr>
        <w:t>QuEChERS</w:t>
      </w:r>
      <w:proofErr w:type="spellEnd"/>
      <w:r w:rsidRPr="0073550A">
        <w:rPr>
          <w:rFonts w:ascii="Arial" w:hAnsi="Arial" w:cs="Arial"/>
          <w:sz w:val="20"/>
          <w:szCs w:val="20"/>
          <w:lang w:val="en-GB"/>
        </w:rPr>
        <w:t xml:space="preserve"> extraction salt mixture. Tubes were shaken vigorously on a vortex mixer for 1 minute and then centrifuged at 3000 rpm for 5 minutes.</w:t>
      </w:r>
    </w:p>
    <w:p w14:paraId="417153A4" w14:textId="77777777" w:rsidR="0073550A" w:rsidRPr="0073550A" w:rsidRDefault="0073550A" w:rsidP="009C2C56">
      <w:pPr>
        <w:spacing w:before="120" w:after="120" w:line="240" w:lineRule="auto"/>
        <w:rPr>
          <w:rFonts w:ascii="Arial" w:hAnsi="Arial" w:cs="Arial"/>
          <w:b/>
          <w:bCs/>
          <w:sz w:val="20"/>
          <w:szCs w:val="20"/>
          <w:lang w:val="en-GB"/>
        </w:rPr>
      </w:pPr>
      <w:r w:rsidRPr="0073550A">
        <w:rPr>
          <w:rFonts w:ascii="Arial" w:hAnsi="Arial" w:cs="Arial"/>
          <w:b/>
          <w:bCs/>
          <w:sz w:val="20"/>
          <w:szCs w:val="20"/>
          <w:lang w:val="en-GB"/>
        </w:rPr>
        <w:t>2.3.4 Clean-up and Concentration</w:t>
      </w:r>
    </w:p>
    <w:p w14:paraId="7BE8C3C9" w14:textId="3205E339" w:rsidR="0073550A" w:rsidRPr="0073550A" w:rsidRDefault="0073550A" w:rsidP="0073550A">
      <w:pPr>
        <w:spacing w:before="120" w:after="120" w:line="240" w:lineRule="auto"/>
        <w:jc w:val="both"/>
        <w:rPr>
          <w:rFonts w:ascii="Arial" w:hAnsi="Arial" w:cs="Arial"/>
          <w:sz w:val="20"/>
          <w:szCs w:val="20"/>
          <w:lang w:val="en-GB"/>
        </w:rPr>
      </w:pPr>
      <w:r w:rsidRPr="0073550A">
        <w:rPr>
          <w:rFonts w:ascii="Arial" w:hAnsi="Arial" w:cs="Arial"/>
          <w:sz w:val="20"/>
          <w:szCs w:val="20"/>
          <w:lang w:val="en-GB"/>
        </w:rPr>
        <w:t xml:space="preserve">For clean-up, 10 mL of the organic supernatant were transferred into 15 mL centrifuge tubes containing the PSA + </w:t>
      </w:r>
      <w:proofErr w:type="spellStart"/>
      <w:r w:rsidRPr="0073550A">
        <w:rPr>
          <w:rFonts w:ascii="Arial" w:hAnsi="Arial" w:cs="Arial"/>
          <w:sz w:val="20"/>
          <w:szCs w:val="20"/>
          <w:lang w:val="en-GB"/>
        </w:rPr>
        <w:t>MgSO</w:t>
      </w:r>
      <w:proofErr w:type="spellEnd"/>
      <w:r w:rsidRPr="0073550A">
        <w:rPr>
          <w:rFonts w:ascii="Cambria Math" w:hAnsi="Cambria Math" w:cs="Cambria Math"/>
          <w:sz w:val="20"/>
          <w:szCs w:val="20"/>
          <w:lang w:val="en-GB"/>
        </w:rPr>
        <w:t>₄</w:t>
      </w:r>
      <w:r w:rsidRPr="0073550A">
        <w:rPr>
          <w:rFonts w:ascii="Arial" w:hAnsi="Arial" w:cs="Arial"/>
          <w:sz w:val="20"/>
          <w:szCs w:val="20"/>
          <w:lang w:val="en-GB"/>
        </w:rPr>
        <w:t xml:space="preserve"> mixture. The tubes were shaken vigorously for 1 minute and centrifuged at 3000 rpm for 5 minutes.</w:t>
      </w:r>
      <w:r w:rsidR="0047779A" w:rsidRPr="0047779A">
        <w:rPr>
          <w:rFonts w:ascii="Arial" w:hAnsi="Arial" w:cs="Arial"/>
          <w:sz w:val="20"/>
          <w:szCs w:val="20"/>
          <w:lang w:val="en-GB"/>
        </w:rPr>
        <w:t xml:space="preserve"> </w:t>
      </w:r>
      <w:r w:rsidRPr="0073550A">
        <w:rPr>
          <w:rFonts w:ascii="Arial" w:hAnsi="Arial" w:cs="Arial"/>
          <w:sz w:val="20"/>
          <w:szCs w:val="20"/>
          <w:lang w:val="en-GB"/>
        </w:rPr>
        <w:t>For concentration, a 5 mL aliquot of the purified organic phase was placed in a haemolysis tube and evaporated to dryness under a gentle stream of nitrogen. The dry residue was then reconstituted with 50 µL of HPLC-grade acetonitrile, transferred into vials and stored at low temperature until HPLC analysis.</w:t>
      </w:r>
    </w:p>
    <w:p w14:paraId="2BABF360" w14:textId="77777777" w:rsidR="0073550A" w:rsidRPr="0073550A" w:rsidRDefault="0073550A" w:rsidP="009C2C56">
      <w:pPr>
        <w:spacing w:before="120" w:after="120" w:line="240" w:lineRule="auto"/>
        <w:rPr>
          <w:rFonts w:ascii="Arial" w:hAnsi="Arial" w:cs="Arial"/>
          <w:b/>
          <w:bCs/>
          <w:sz w:val="20"/>
          <w:szCs w:val="20"/>
          <w:lang w:val="en-GB"/>
        </w:rPr>
      </w:pPr>
      <w:r w:rsidRPr="0073550A">
        <w:rPr>
          <w:rFonts w:ascii="Arial" w:hAnsi="Arial" w:cs="Arial"/>
          <w:b/>
          <w:bCs/>
          <w:sz w:val="20"/>
          <w:szCs w:val="20"/>
          <w:lang w:val="en-GB"/>
        </w:rPr>
        <w:t>2.3.5 Chromatographic Conditions</w:t>
      </w:r>
    </w:p>
    <w:p w14:paraId="16D314E7" w14:textId="02383B3B" w:rsidR="0073550A" w:rsidRPr="0073550A" w:rsidRDefault="0073550A" w:rsidP="0073550A">
      <w:pPr>
        <w:spacing w:before="120" w:after="120" w:line="240" w:lineRule="auto"/>
        <w:jc w:val="both"/>
        <w:rPr>
          <w:rFonts w:ascii="Arial" w:hAnsi="Arial" w:cs="Arial"/>
          <w:sz w:val="20"/>
          <w:szCs w:val="20"/>
          <w:lang w:val="en-GB"/>
        </w:rPr>
      </w:pPr>
      <w:r w:rsidRPr="0073550A">
        <w:rPr>
          <w:rFonts w:ascii="Arial" w:hAnsi="Arial" w:cs="Arial"/>
          <w:sz w:val="20"/>
          <w:szCs w:val="20"/>
          <w:lang w:val="en-GB"/>
        </w:rPr>
        <w:t xml:space="preserve">Herbicide residues were quantified using an HP 1100 series HPLC system (Hewlett-Packard) equipped with four solvent pumps, a diode-array UV detector (DAD) and an automatic injector, controlled by </w:t>
      </w:r>
      <w:proofErr w:type="spellStart"/>
      <w:r w:rsidRPr="0073550A">
        <w:rPr>
          <w:rFonts w:ascii="Arial" w:hAnsi="Arial" w:cs="Arial"/>
          <w:sz w:val="20"/>
          <w:szCs w:val="20"/>
          <w:lang w:val="en-GB"/>
        </w:rPr>
        <w:t>ChemStation</w:t>
      </w:r>
      <w:proofErr w:type="spellEnd"/>
      <w:r w:rsidRPr="0073550A">
        <w:rPr>
          <w:rFonts w:ascii="Arial" w:hAnsi="Arial" w:cs="Arial"/>
          <w:sz w:val="20"/>
          <w:szCs w:val="20"/>
          <w:lang w:val="en-GB"/>
        </w:rPr>
        <w:t xml:space="preserve"> software for data acquisition and processing.</w:t>
      </w:r>
      <w:r w:rsidR="00E14D26" w:rsidRPr="00E14D26">
        <w:rPr>
          <w:rFonts w:ascii="Arial" w:hAnsi="Arial" w:cs="Arial"/>
          <w:sz w:val="20"/>
          <w:szCs w:val="20"/>
          <w:lang w:val="en-GB"/>
        </w:rPr>
        <w:t xml:space="preserve"> </w:t>
      </w:r>
      <w:r w:rsidRPr="0073550A">
        <w:rPr>
          <w:rFonts w:ascii="Arial" w:hAnsi="Arial" w:cs="Arial"/>
          <w:sz w:val="20"/>
          <w:szCs w:val="20"/>
          <w:lang w:val="en-GB"/>
        </w:rPr>
        <w:t>The injection volume was 10 µL. Separation was achieved on a ZORBAX® C18 reverse-phase column (4.6 × 250 mm) maintained at 34°C. The mobile phase consisted of a mixture of acetonitrile and water in equal volumes, delivered in isocratic mode at a flow rate of 1 mL·min</w:t>
      </w:r>
      <w:r w:rsidRPr="0073550A">
        <w:rPr>
          <w:rFonts w:ascii="Cambria Math" w:hAnsi="Cambria Math" w:cs="Cambria Math"/>
          <w:sz w:val="20"/>
          <w:szCs w:val="20"/>
          <w:lang w:val="en-GB"/>
        </w:rPr>
        <w:t>⁻</w:t>
      </w:r>
      <w:r w:rsidRPr="0073550A">
        <w:rPr>
          <w:rFonts w:ascii="Arial" w:hAnsi="Arial" w:cs="Arial"/>
          <w:sz w:val="20"/>
          <w:szCs w:val="20"/>
          <w:lang w:val="en-GB"/>
        </w:rPr>
        <w:t>¹.</w:t>
      </w:r>
      <w:r w:rsidR="00E14D26" w:rsidRPr="00E14D26">
        <w:rPr>
          <w:rFonts w:ascii="Arial" w:hAnsi="Arial" w:cs="Arial"/>
          <w:sz w:val="20"/>
          <w:szCs w:val="20"/>
          <w:lang w:val="en-GB"/>
        </w:rPr>
        <w:t xml:space="preserve"> </w:t>
      </w:r>
      <w:r w:rsidRPr="0073550A">
        <w:rPr>
          <w:rFonts w:ascii="Arial" w:hAnsi="Arial" w:cs="Arial"/>
          <w:sz w:val="20"/>
          <w:szCs w:val="20"/>
          <w:lang w:val="en-GB"/>
        </w:rPr>
        <w:t>Chromatographic peaks were identified based on their retention times and confirmed by comparing their UV spectra with those of the corresponding standards. Quantification was then performed using the calibration curves specific to each substance.</w:t>
      </w:r>
    </w:p>
    <w:p w14:paraId="3AD59A6A"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t>2.4 Calculation of Herbicide Concentrations</w:t>
      </w:r>
    </w:p>
    <w:p w14:paraId="6516E51C" w14:textId="77777777" w:rsidR="003B0155" w:rsidRDefault="003B0155" w:rsidP="003B0155">
      <w:pPr>
        <w:spacing w:before="120" w:after="120" w:line="240" w:lineRule="auto"/>
        <w:jc w:val="both"/>
        <w:rPr>
          <w:rFonts w:ascii="Arial" w:hAnsi="Arial" w:cs="Arial"/>
          <w:sz w:val="20"/>
          <w:szCs w:val="20"/>
          <w:lang w:val="en-GB"/>
        </w:rPr>
      </w:pPr>
      <w:r w:rsidRPr="003B0155">
        <w:rPr>
          <w:rFonts w:ascii="Arial" w:hAnsi="Arial" w:cs="Arial"/>
          <w:sz w:val="20"/>
          <w:szCs w:val="20"/>
          <w:lang w:val="en-GB"/>
        </w:rPr>
        <w:t>The extraction and concentration procedures yielded an overall concentration factor (</w:t>
      </w:r>
      <w:r w:rsidRPr="003B0155">
        <w:rPr>
          <w:rFonts w:ascii="Arial" w:hAnsi="Arial" w:cs="Arial"/>
          <w:b/>
          <w:bCs/>
          <w:sz w:val="20"/>
          <w:szCs w:val="20"/>
          <w:lang w:val="en-GB"/>
        </w:rPr>
        <w:t>f</w:t>
      </w:r>
      <w:r w:rsidRPr="003B0155">
        <w:rPr>
          <w:rFonts w:ascii="Arial" w:hAnsi="Arial" w:cs="Arial"/>
          <w:sz w:val="20"/>
          <w:szCs w:val="20"/>
          <w:lang w:val="en-GB"/>
        </w:rPr>
        <w:t>) of 100. The concentration of each herbicide in the original water sample (</w:t>
      </w:r>
      <w:r w:rsidRPr="003B0155">
        <w:rPr>
          <w:rFonts w:ascii="Arial" w:hAnsi="Arial" w:cs="Arial"/>
          <w:b/>
          <w:bCs/>
          <w:sz w:val="20"/>
          <w:szCs w:val="20"/>
          <w:lang w:val="en-GB"/>
        </w:rPr>
        <w:t>T</w:t>
      </w:r>
      <w:r w:rsidRPr="003B0155">
        <w:rPr>
          <w:rFonts w:ascii="Arial" w:hAnsi="Arial" w:cs="Arial"/>
          <w:sz w:val="20"/>
          <w:szCs w:val="20"/>
          <w:lang w:val="en-GB"/>
        </w:rPr>
        <w:t>, µg/L) was derived from the concentration measured by HPLC in the final extract (</w:t>
      </w:r>
      <w:r w:rsidRPr="003B0155">
        <w:rPr>
          <w:rFonts w:ascii="Arial" w:hAnsi="Arial" w:cs="Arial"/>
          <w:b/>
          <w:bCs/>
          <w:sz w:val="20"/>
          <w:szCs w:val="20"/>
          <w:lang w:val="en-GB"/>
        </w:rPr>
        <w:t>Tm</w:t>
      </w:r>
      <w:r w:rsidRPr="003B0155">
        <w:rPr>
          <w:rFonts w:ascii="Arial" w:hAnsi="Arial" w:cs="Arial"/>
          <w:sz w:val="20"/>
          <w:szCs w:val="20"/>
          <w:lang w:val="en-GB"/>
        </w:rPr>
        <w:t>, µg/µL) according to:</w:t>
      </w:r>
    </w:p>
    <w:p w14:paraId="1537381E" w14:textId="1B0C83DF" w:rsidR="003B0155" w:rsidRPr="003B0155" w:rsidRDefault="003B0155" w:rsidP="003B0155">
      <w:pPr>
        <w:spacing w:before="120" w:after="120" w:line="240" w:lineRule="auto"/>
        <w:jc w:val="both"/>
        <w:rPr>
          <w:rFonts w:ascii="Cambria Math" w:eastAsia="Calibri" w:hAnsi="Cambria Math" w:cs="Arial"/>
          <w:b/>
          <w:i/>
          <w:iCs/>
          <w:sz w:val="20"/>
          <w:szCs w:val="20"/>
        </w:rPr>
      </w:pPr>
      <m:oMathPara>
        <m:oMath>
          <m:r>
            <m:rPr>
              <m:sty m:val="bi"/>
            </m:rPr>
            <w:rPr>
              <w:rFonts w:ascii="Cambria Math" w:eastAsia="Calibri" w:hAnsi="Cambria Math" w:cs="Arial"/>
              <w:sz w:val="20"/>
              <w:szCs w:val="20"/>
            </w:rPr>
            <m:t xml:space="preserve">T </m:t>
          </m:r>
          <m:r>
            <m:rPr>
              <m:sty m:val="bi"/>
            </m:rPr>
            <w:rPr>
              <w:rFonts w:ascii="Cambria Math" w:hAnsi="Cambria Math" w:cs="Arial"/>
              <w:sz w:val="20"/>
              <w:szCs w:val="20"/>
              <w:lang w:val="en-GB"/>
            </w:rPr>
            <m:t>(μg/L)</m:t>
          </m:r>
          <m:r>
            <m:rPr>
              <m:sty m:val="bi"/>
            </m:rPr>
            <w:rPr>
              <w:rFonts w:ascii="Cambria Math" w:eastAsia="Calibri" w:hAnsi="Cambria Math" w:cs="Arial"/>
              <w:sz w:val="20"/>
              <w:szCs w:val="20"/>
            </w:rPr>
            <m:t>=</m:t>
          </m:r>
          <m:f>
            <m:fPr>
              <m:ctrlPr>
                <w:rPr>
                  <w:rFonts w:ascii="Cambria Math" w:eastAsia="Calibri" w:hAnsi="Cambria Math" w:cs="Arial"/>
                  <w:b/>
                  <w:i/>
                  <w:iCs/>
                  <w:sz w:val="20"/>
                  <w:szCs w:val="20"/>
                </w:rPr>
              </m:ctrlPr>
            </m:fPr>
            <m:num>
              <m:r>
                <m:rPr>
                  <m:sty m:val="bi"/>
                </m:rPr>
                <w:rPr>
                  <w:rFonts w:ascii="Cambria Math" w:eastAsia="Calibri" w:hAnsi="Cambria Math" w:cs="Arial"/>
                  <w:sz w:val="20"/>
                  <w:szCs w:val="20"/>
                </w:rPr>
                <m:t>Tm × f×Vs</m:t>
              </m:r>
            </m:num>
            <m:den>
              <m:r>
                <m:rPr>
                  <m:sty m:val="bi"/>
                </m:rPr>
                <w:rPr>
                  <w:rFonts w:ascii="Cambria Math" w:eastAsia="Calibri" w:hAnsi="Cambria Math" w:cs="Arial"/>
                  <w:sz w:val="20"/>
                  <w:szCs w:val="20"/>
                </w:rPr>
                <m:t>PE</m:t>
              </m:r>
            </m:den>
          </m:f>
          <m:r>
            <m:rPr>
              <m:sty m:val="bi"/>
            </m:rPr>
            <w:rPr>
              <w:rFonts w:ascii="Cambria Math" w:eastAsia="Calibri" w:hAnsi="Cambria Math" w:cs="Arial"/>
              <w:sz w:val="20"/>
              <w:szCs w:val="20"/>
            </w:rPr>
            <m:t>×1000</m:t>
          </m:r>
        </m:oMath>
      </m:oMathPara>
    </w:p>
    <w:p w14:paraId="1D97D9A5" w14:textId="77777777" w:rsidR="003B0155" w:rsidRPr="003B0155" w:rsidRDefault="003B0155" w:rsidP="003B0155">
      <w:pPr>
        <w:spacing w:before="120" w:after="120" w:line="240" w:lineRule="auto"/>
        <w:jc w:val="both"/>
        <w:rPr>
          <w:rFonts w:ascii="Arial" w:hAnsi="Arial" w:cs="Arial"/>
          <w:sz w:val="20"/>
          <w:szCs w:val="20"/>
          <w:lang w:val="en-GB"/>
        </w:rPr>
      </w:pPr>
      <w:r w:rsidRPr="003B0155">
        <w:rPr>
          <w:rFonts w:ascii="Arial" w:hAnsi="Arial" w:cs="Arial"/>
          <w:sz w:val="20"/>
          <w:szCs w:val="20"/>
          <w:lang w:val="en-GB"/>
        </w:rPr>
        <w:t xml:space="preserve">where </w:t>
      </w:r>
      <w:r w:rsidRPr="003B0155">
        <w:rPr>
          <w:rFonts w:ascii="Arial" w:hAnsi="Arial" w:cs="Arial"/>
          <w:b/>
          <w:bCs/>
          <w:sz w:val="20"/>
          <w:szCs w:val="20"/>
          <w:lang w:val="en-GB"/>
        </w:rPr>
        <w:t>f</w:t>
      </w:r>
      <w:r w:rsidRPr="003B0155">
        <w:rPr>
          <w:rFonts w:ascii="Arial" w:hAnsi="Arial" w:cs="Arial"/>
          <w:sz w:val="20"/>
          <w:szCs w:val="20"/>
          <w:lang w:val="en-GB"/>
        </w:rPr>
        <w:t xml:space="preserve"> is the concentration factor (f = 100), </w:t>
      </w:r>
      <w:r w:rsidRPr="003B0155">
        <w:rPr>
          <w:rFonts w:ascii="Arial" w:hAnsi="Arial" w:cs="Arial"/>
          <w:b/>
          <w:bCs/>
          <w:sz w:val="20"/>
          <w:szCs w:val="20"/>
          <w:lang w:val="en-GB"/>
        </w:rPr>
        <w:t>Vs</w:t>
      </w:r>
      <w:r w:rsidRPr="003B0155">
        <w:rPr>
          <w:rFonts w:ascii="Arial" w:hAnsi="Arial" w:cs="Arial"/>
          <w:sz w:val="20"/>
          <w:szCs w:val="20"/>
          <w:lang w:val="en-GB"/>
        </w:rPr>
        <w:t xml:space="preserve"> is the extraction solvent volume (10 mL), </w:t>
      </w:r>
      <w:r w:rsidRPr="003B0155">
        <w:rPr>
          <w:rFonts w:ascii="Arial" w:hAnsi="Arial" w:cs="Arial"/>
          <w:b/>
          <w:bCs/>
          <w:sz w:val="20"/>
          <w:szCs w:val="20"/>
          <w:lang w:val="en-GB"/>
        </w:rPr>
        <w:t>PE</w:t>
      </w:r>
      <w:r w:rsidRPr="003B0155">
        <w:rPr>
          <w:rFonts w:ascii="Arial" w:hAnsi="Arial" w:cs="Arial"/>
          <w:sz w:val="20"/>
          <w:szCs w:val="20"/>
          <w:lang w:val="en-GB"/>
        </w:rPr>
        <w:t xml:space="preserve"> is the extracted water volume (10 mL), and </w:t>
      </w:r>
      <w:r w:rsidRPr="003B0155">
        <w:rPr>
          <w:rFonts w:ascii="Arial" w:hAnsi="Arial" w:cs="Arial"/>
          <w:b/>
          <w:bCs/>
          <w:sz w:val="20"/>
          <w:szCs w:val="20"/>
          <w:lang w:val="en-GB"/>
        </w:rPr>
        <w:t>1000</w:t>
      </w:r>
      <w:r w:rsidRPr="003B0155">
        <w:rPr>
          <w:rFonts w:ascii="Arial" w:hAnsi="Arial" w:cs="Arial"/>
          <w:sz w:val="20"/>
          <w:szCs w:val="20"/>
          <w:lang w:val="en-GB"/>
        </w:rPr>
        <w:t xml:space="preserve"> is the unit conversion factor from µg/mL to µg/L.</w:t>
      </w:r>
    </w:p>
    <w:p w14:paraId="65855D2A" w14:textId="77777777" w:rsidR="003B0155" w:rsidRDefault="003B0155" w:rsidP="003B0155">
      <w:pPr>
        <w:spacing w:before="120" w:after="120" w:line="240" w:lineRule="auto"/>
        <w:jc w:val="both"/>
        <w:rPr>
          <w:rFonts w:ascii="Arial" w:hAnsi="Arial" w:cs="Arial"/>
          <w:sz w:val="20"/>
          <w:szCs w:val="20"/>
          <w:lang w:val="en-GB"/>
        </w:rPr>
      </w:pPr>
      <w:r w:rsidRPr="003B0155">
        <w:rPr>
          <w:rFonts w:ascii="Arial" w:hAnsi="Arial" w:cs="Arial"/>
          <w:sz w:val="20"/>
          <w:szCs w:val="20"/>
          <w:lang w:val="en-GB"/>
        </w:rPr>
        <w:t xml:space="preserve">Since </w:t>
      </w:r>
      <w:r w:rsidRPr="003B0155">
        <w:rPr>
          <w:rFonts w:ascii="Arial" w:hAnsi="Arial" w:cs="Arial"/>
          <w:b/>
          <w:bCs/>
          <w:sz w:val="20"/>
          <w:szCs w:val="20"/>
          <w:lang w:val="en-GB"/>
        </w:rPr>
        <w:t>Vs = PE = 10 mL</w:t>
      </w:r>
      <w:r w:rsidRPr="003B0155">
        <w:rPr>
          <w:rFonts w:ascii="Arial" w:hAnsi="Arial" w:cs="Arial"/>
          <w:sz w:val="20"/>
          <w:szCs w:val="20"/>
          <w:lang w:val="en-GB"/>
        </w:rPr>
        <w:t>, the equation simplifies to:</w:t>
      </w:r>
    </w:p>
    <w:p w14:paraId="70ACDA9D" w14:textId="3C1AE8EA" w:rsidR="00FF3A3E" w:rsidRPr="003B0155" w:rsidRDefault="00FF3A3E" w:rsidP="00FF3A3E">
      <w:pPr>
        <w:spacing w:before="120" w:after="120" w:line="240" w:lineRule="auto"/>
        <w:jc w:val="both"/>
        <w:rPr>
          <w:rFonts w:ascii="Cambria Math" w:eastAsia="Calibri" w:hAnsi="Cambria Math" w:cs="Arial"/>
          <w:b/>
          <w:i/>
          <w:iCs/>
          <w:sz w:val="20"/>
          <w:szCs w:val="20"/>
        </w:rPr>
      </w:pPr>
      <m:oMathPara>
        <m:oMath>
          <m:r>
            <m:rPr>
              <m:sty m:val="bi"/>
            </m:rPr>
            <w:rPr>
              <w:rFonts w:ascii="Cambria Math" w:eastAsia="Calibri" w:hAnsi="Cambria Math" w:cs="Arial"/>
              <w:sz w:val="20"/>
              <w:szCs w:val="20"/>
            </w:rPr>
            <w:lastRenderedPageBreak/>
            <m:t xml:space="preserve">T </m:t>
          </m:r>
          <m:d>
            <m:dPr>
              <m:ctrlPr>
                <w:rPr>
                  <w:rFonts w:ascii="Cambria Math" w:hAnsi="Cambria Math" w:cs="Arial"/>
                  <w:b/>
                  <w:i/>
                  <w:iCs/>
                  <w:sz w:val="20"/>
                  <w:szCs w:val="20"/>
                  <w:lang w:val="en-GB"/>
                </w:rPr>
              </m:ctrlPr>
            </m:dPr>
            <m:e>
              <m:f>
                <m:fPr>
                  <m:ctrlPr>
                    <w:rPr>
                      <w:rFonts w:ascii="Cambria Math" w:hAnsi="Cambria Math" w:cs="Arial"/>
                      <w:b/>
                      <w:i/>
                      <w:iCs/>
                      <w:sz w:val="20"/>
                      <w:szCs w:val="20"/>
                      <w:lang w:val="en-GB"/>
                    </w:rPr>
                  </m:ctrlPr>
                </m:fPr>
                <m:num>
                  <m:r>
                    <m:rPr>
                      <m:sty m:val="bi"/>
                    </m:rPr>
                    <w:rPr>
                      <w:rFonts w:ascii="Cambria Math" w:hAnsi="Cambria Math" w:cs="Arial"/>
                      <w:sz w:val="20"/>
                      <w:szCs w:val="20"/>
                      <w:lang w:val="en-GB"/>
                    </w:rPr>
                    <m:t>μg</m:t>
                  </m:r>
                </m:num>
                <m:den>
                  <m:r>
                    <m:rPr>
                      <m:sty m:val="bi"/>
                    </m:rPr>
                    <w:rPr>
                      <w:rFonts w:ascii="Cambria Math" w:hAnsi="Cambria Math" w:cs="Arial"/>
                      <w:sz w:val="20"/>
                      <w:szCs w:val="20"/>
                      <w:lang w:val="en-GB"/>
                    </w:rPr>
                    <m:t>L</m:t>
                  </m:r>
                </m:den>
              </m:f>
            </m:e>
          </m:d>
          <m:r>
            <m:rPr>
              <m:sty m:val="bi"/>
            </m:rPr>
            <w:rPr>
              <w:rFonts w:ascii="Cambria Math" w:eastAsia="Calibri" w:hAnsi="Cambria Math" w:cs="Arial"/>
              <w:sz w:val="20"/>
              <w:szCs w:val="20"/>
            </w:rPr>
            <m:t>=Tm × f×1000= Tm×100 000</m:t>
          </m:r>
        </m:oMath>
      </m:oMathPara>
    </w:p>
    <w:p w14:paraId="3EEA4CB0" w14:textId="16B95BA4" w:rsidR="00436D8A" w:rsidRDefault="003B0155" w:rsidP="00B50CC5">
      <w:pPr>
        <w:spacing w:before="120" w:after="120" w:line="240" w:lineRule="auto"/>
        <w:jc w:val="both"/>
        <w:rPr>
          <w:rFonts w:ascii="Arial" w:hAnsi="Arial" w:cs="Arial"/>
          <w:sz w:val="20"/>
          <w:szCs w:val="20"/>
          <w:lang w:val="en-GB"/>
        </w:rPr>
      </w:pPr>
      <w:r w:rsidRPr="003B0155">
        <w:rPr>
          <w:rFonts w:ascii="Arial" w:hAnsi="Arial" w:cs="Arial"/>
          <w:sz w:val="20"/>
          <w:szCs w:val="20"/>
          <w:lang w:val="en-GB"/>
        </w:rPr>
        <w:t>All herbicide concentrations reported in this study were calculated using this relationship.</w:t>
      </w:r>
    </w:p>
    <w:p w14:paraId="2F952D43"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t>3. RESULTS AND DISCUSSION</w:t>
      </w:r>
    </w:p>
    <w:p w14:paraId="08F63EFB"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t>3.1 Occurrence and levels of herbicide residues in surface waters</w:t>
      </w:r>
    </w:p>
    <w:p w14:paraId="2FCDF41C" w14:textId="0494D2B7" w:rsidR="0073550A" w:rsidRPr="001F3FA8" w:rsidRDefault="0073550A" w:rsidP="0073550A">
      <w:pPr>
        <w:spacing w:before="120" w:after="120" w:line="240" w:lineRule="auto"/>
        <w:jc w:val="both"/>
        <w:rPr>
          <w:rFonts w:ascii="Arial" w:hAnsi="Arial" w:cs="Arial"/>
          <w:sz w:val="20"/>
          <w:szCs w:val="20"/>
        </w:rPr>
      </w:pPr>
      <w:r w:rsidRPr="0073550A">
        <w:rPr>
          <w:rFonts w:ascii="Arial" w:hAnsi="Arial" w:cs="Arial"/>
          <w:sz w:val="20"/>
          <w:szCs w:val="20"/>
          <w:lang w:val="en-GB"/>
        </w:rPr>
        <w:t>The results of herbicide analyses in surface water samples from the twelve localities and the two sampling phases (P1 and P2) are presented in Table 2. Overall, the thirteen targeted herbicidal active substances were diversely detected and quantified across the sites, reflecting heterogeneous contamination patterns in space and time.</w:t>
      </w:r>
      <w:r w:rsidR="00EF30E4">
        <w:rPr>
          <w:rFonts w:ascii="Arial" w:hAnsi="Arial" w:cs="Arial"/>
          <w:sz w:val="20"/>
          <w:szCs w:val="20"/>
          <w:lang w:val="en-GB"/>
        </w:rPr>
        <w:t xml:space="preserve"> </w:t>
      </w:r>
      <w:r w:rsidRPr="0073550A">
        <w:rPr>
          <w:rFonts w:ascii="Arial" w:hAnsi="Arial" w:cs="Arial"/>
          <w:sz w:val="20"/>
          <w:szCs w:val="20"/>
          <w:lang w:val="en-GB"/>
        </w:rPr>
        <w:t xml:space="preserve">Across all localities and both phases, residue concentrations ranged from 0.013 µg/L for atrazine at Dano (Sud-Ouest region) to 1531.68 µg/L for </w:t>
      </w:r>
      <w:proofErr w:type="spellStart"/>
      <w:r w:rsidRPr="0073550A">
        <w:rPr>
          <w:rFonts w:ascii="Arial" w:hAnsi="Arial" w:cs="Arial"/>
          <w:sz w:val="20"/>
          <w:szCs w:val="20"/>
          <w:lang w:val="en-GB"/>
        </w:rPr>
        <w:t>mesotrione</w:t>
      </w:r>
      <w:proofErr w:type="spellEnd"/>
      <w:r w:rsidRPr="0073550A">
        <w:rPr>
          <w:rFonts w:ascii="Arial" w:hAnsi="Arial" w:cs="Arial"/>
          <w:sz w:val="20"/>
          <w:szCs w:val="20"/>
          <w:lang w:val="en-GB"/>
        </w:rPr>
        <w:t xml:space="preserve"> at </w:t>
      </w:r>
      <w:proofErr w:type="spellStart"/>
      <w:r w:rsidRPr="0073550A">
        <w:rPr>
          <w:rFonts w:ascii="Arial" w:hAnsi="Arial" w:cs="Arial"/>
          <w:sz w:val="20"/>
          <w:szCs w:val="20"/>
          <w:lang w:val="en-GB"/>
        </w:rPr>
        <w:t>Kankalaba</w:t>
      </w:r>
      <w:proofErr w:type="spellEnd"/>
      <w:r w:rsidRPr="0073550A">
        <w:rPr>
          <w:rFonts w:ascii="Arial" w:hAnsi="Arial" w:cs="Arial"/>
          <w:sz w:val="20"/>
          <w:szCs w:val="20"/>
          <w:lang w:val="en-GB"/>
        </w:rPr>
        <w:t xml:space="preserve"> (Hauts-</w:t>
      </w:r>
      <w:proofErr w:type="spellStart"/>
      <w:r w:rsidRPr="0073550A">
        <w:rPr>
          <w:rFonts w:ascii="Arial" w:hAnsi="Arial" w:cs="Arial"/>
          <w:sz w:val="20"/>
          <w:szCs w:val="20"/>
          <w:lang w:val="en-GB"/>
        </w:rPr>
        <w:t>Bassins</w:t>
      </w:r>
      <w:proofErr w:type="spellEnd"/>
      <w:r w:rsidRPr="0073550A">
        <w:rPr>
          <w:rFonts w:ascii="Arial" w:hAnsi="Arial" w:cs="Arial"/>
          <w:sz w:val="20"/>
          <w:szCs w:val="20"/>
          <w:lang w:val="en-GB"/>
        </w:rPr>
        <w:t xml:space="preserve"> region). Maximum concentrations for phase 1 (P1) reached 1484.90 µg/L for </w:t>
      </w:r>
      <w:proofErr w:type="spellStart"/>
      <w:r w:rsidRPr="0073550A">
        <w:rPr>
          <w:rFonts w:ascii="Arial" w:hAnsi="Arial" w:cs="Arial"/>
          <w:sz w:val="20"/>
          <w:szCs w:val="20"/>
          <w:lang w:val="en-GB"/>
        </w:rPr>
        <w:t>nicosulfuron</w:t>
      </w:r>
      <w:proofErr w:type="spellEnd"/>
      <w:r w:rsidRPr="0073550A">
        <w:rPr>
          <w:rFonts w:ascii="Arial" w:hAnsi="Arial" w:cs="Arial"/>
          <w:sz w:val="20"/>
          <w:szCs w:val="20"/>
          <w:lang w:val="en-GB"/>
        </w:rPr>
        <w:t xml:space="preserve"> at </w:t>
      </w:r>
      <w:proofErr w:type="spellStart"/>
      <w:r w:rsidRPr="0073550A">
        <w:rPr>
          <w:rFonts w:ascii="Arial" w:hAnsi="Arial" w:cs="Arial"/>
          <w:sz w:val="20"/>
          <w:szCs w:val="20"/>
          <w:lang w:val="en-GB"/>
        </w:rPr>
        <w:t>Safané</w:t>
      </w:r>
      <w:proofErr w:type="spellEnd"/>
      <w:r w:rsidRPr="0073550A">
        <w:rPr>
          <w:rFonts w:ascii="Arial" w:hAnsi="Arial" w:cs="Arial"/>
          <w:sz w:val="20"/>
          <w:szCs w:val="20"/>
          <w:lang w:val="en-GB"/>
        </w:rPr>
        <w:t xml:space="preserve">, whereas in phase 2 (P2), the highest value was 1531.68 µg/L for </w:t>
      </w:r>
      <w:proofErr w:type="spellStart"/>
      <w:r w:rsidRPr="0073550A">
        <w:rPr>
          <w:rFonts w:ascii="Arial" w:hAnsi="Arial" w:cs="Arial"/>
          <w:sz w:val="20"/>
          <w:szCs w:val="20"/>
          <w:lang w:val="en-GB"/>
        </w:rPr>
        <w:t>mesotrione</w:t>
      </w:r>
      <w:proofErr w:type="spellEnd"/>
      <w:r w:rsidRPr="0073550A">
        <w:rPr>
          <w:rFonts w:ascii="Arial" w:hAnsi="Arial" w:cs="Arial"/>
          <w:sz w:val="20"/>
          <w:szCs w:val="20"/>
          <w:lang w:val="en-GB"/>
        </w:rPr>
        <w:t xml:space="preserve"> at </w:t>
      </w:r>
      <w:proofErr w:type="spellStart"/>
      <w:r w:rsidRPr="0073550A">
        <w:rPr>
          <w:rFonts w:ascii="Arial" w:hAnsi="Arial" w:cs="Arial"/>
          <w:sz w:val="20"/>
          <w:szCs w:val="20"/>
          <w:lang w:val="en-GB"/>
        </w:rPr>
        <w:t>Kankalaba</w:t>
      </w:r>
      <w:proofErr w:type="spellEnd"/>
      <w:r w:rsidRPr="0073550A">
        <w:rPr>
          <w:rFonts w:ascii="Arial" w:hAnsi="Arial" w:cs="Arial"/>
          <w:sz w:val="20"/>
          <w:szCs w:val="20"/>
          <w:lang w:val="en-GB"/>
        </w:rPr>
        <w:t>.</w:t>
      </w:r>
      <w:r w:rsidR="00EF30E4">
        <w:rPr>
          <w:rFonts w:ascii="Arial" w:hAnsi="Arial" w:cs="Arial"/>
          <w:sz w:val="20"/>
          <w:szCs w:val="20"/>
          <w:lang w:val="en-GB"/>
        </w:rPr>
        <w:t xml:space="preserve"> </w:t>
      </w:r>
      <w:r w:rsidR="0036731A">
        <w:rPr>
          <w:rFonts w:ascii="Arial" w:hAnsi="Arial" w:cs="Arial"/>
          <w:sz w:val="20"/>
          <w:szCs w:val="20"/>
          <w:lang w:val="en-GB"/>
        </w:rPr>
        <w:t>A</w:t>
      </w:r>
      <w:r w:rsidRPr="0073550A">
        <w:rPr>
          <w:rFonts w:ascii="Arial" w:hAnsi="Arial" w:cs="Arial"/>
          <w:sz w:val="20"/>
          <w:szCs w:val="20"/>
          <w:lang w:val="en-GB"/>
        </w:rPr>
        <w:t xml:space="preserve">ll substances were </w:t>
      </w:r>
      <w:r w:rsidR="0036731A">
        <w:rPr>
          <w:rFonts w:ascii="Arial" w:hAnsi="Arial" w:cs="Arial"/>
          <w:sz w:val="20"/>
          <w:szCs w:val="20"/>
          <w:lang w:val="en-GB"/>
        </w:rPr>
        <w:t xml:space="preserve">not </w:t>
      </w:r>
      <w:r w:rsidRPr="0073550A">
        <w:rPr>
          <w:rFonts w:ascii="Arial" w:hAnsi="Arial" w:cs="Arial"/>
          <w:sz w:val="20"/>
          <w:szCs w:val="20"/>
          <w:lang w:val="en-GB"/>
        </w:rPr>
        <w:t xml:space="preserve">detected in every locality. </w:t>
      </w:r>
      <w:r w:rsidR="000A75C2">
        <w:rPr>
          <w:rFonts w:ascii="Arial" w:hAnsi="Arial" w:cs="Arial"/>
          <w:sz w:val="20"/>
          <w:szCs w:val="20"/>
          <w:lang w:val="en-GB"/>
        </w:rPr>
        <w:t>(</w:t>
      </w:r>
      <w:r w:rsidR="000A75C2" w:rsidRPr="000A75C2">
        <w:rPr>
          <w:rFonts w:ascii="Arial" w:hAnsi="Arial" w:cs="Arial"/>
          <w:sz w:val="20"/>
          <w:szCs w:val="20"/>
          <w:highlight w:val="yellow"/>
          <w:lang w:val="en-GB"/>
        </w:rPr>
        <w:t>Table -2</w:t>
      </w:r>
      <w:r w:rsidR="000A75C2">
        <w:rPr>
          <w:rFonts w:ascii="Arial" w:hAnsi="Arial" w:cs="Arial"/>
          <w:sz w:val="20"/>
          <w:szCs w:val="20"/>
          <w:lang w:val="en-GB"/>
        </w:rPr>
        <w:t xml:space="preserve">) </w:t>
      </w:r>
      <w:r w:rsidRPr="0073550A">
        <w:rPr>
          <w:rFonts w:ascii="Arial" w:hAnsi="Arial" w:cs="Arial"/>
          <w:sz w:val="20"/>
          <w:szCs w:val="20"/>
          <w:lang w:val="en-GB"/>
        </w:rPr>
        <w:t xml:space="preserve">Some molecules, such as </w:t>
      </w:r>
      <w:proofErr w:type="spellStart"/>
      <w:r w:rsidRPr="0073550A">
        <w:rPr>
          <w:rFonts w:ascii="Arial" w:hAnsi="Arial" w:cs="Arial"/>
          <w:sz w:val="20"/>
          <w:szCs w:val="20"/>
          <w:lang w:val="en-GB"/>
        </w:rPr>
        <w:t>mesotrione</w:t>
      </w:r>
      <w:proofErr w:type="spellEnd"/>
      <w:r w:rsidRPr="0073550A">
        <w:rPr>
          <w:rFonts w:ascii="Arial" w:hAnsi="Arial" w:cs="Arial"/>
          <w:sz w:val="20"/>
          <w:szCs w:val="20"/>
          <w:lang w:val="en-GB"/>
        </w:rPr>
        <w:t xml:space="preserve">, </w:t>
      </w:r>
      <w:proofErr w:type="spellStart"/>
      <w:r w:rsidRPr="0073550A">
        <w:rPr>
          <w:rFonts w:ascii="Arial" w:hAnsi="Arial" w:cs="Arial"/>
          <w:sz w:val="20"/>
          <w:szCs w:val="20"/>
          <w:lang w:val="en-GB"/>
        </w:rPr>
        <w:t>nicosulfuron</w:t>
      </w:r>
      <w:proofErr w:type="spellEnd"/>
      <w:r w:rsidRPr="0073550A">
        <w:rPr>
          <w:rFonts w:ascii="Arial" w:hAnsi="Arial" w:cs="Arial"/>
          <w:sz w:val="20"/>
          <w:szCs w:val="20"/>
          <w:lang w:val="en-GB"/>
        </w:rPr>
        <w:t xml:space="preserve"> or terbuthylazine, were found at high concentrations in a limited number of sites, while others occurred at lower levels but in more localities. </w:t>
      </w:r>
      <w:r w:rsidR="0036731A">
        <w:rPr>
          <w:rFonts w:ascii="Arial" w:hAnsi="Arial" w:cs="Arial"/>
          <w:sz w:val="20"/>
          <w:szCs w:val="20"/>
          <w:lang w:val="en-GB"/>
        </w:rPr>
        <w:t>C</w:t>
      </w:r>
      <w:r w:rsidRPr="0073550A">
        <w:rPr>
          <w:rFonts w:ascii="Arial" w:hAnsi="Arial" w:cs="Arial"/>
          <w:sz w:val="20"/>
          <w:szCs w:val="20"/>
          <w:lang w:val="en-GB"/>
        </w:rPr>
        <w:t xml:space="preserve">ertain localities, notably </w:t>
      </w:r>
      <w:proofErr w:type="spellStart"/>
      <w:r w:rsidRPr="0073550A">
        <w:rPr>
          <w:rFonts w:ascii="Arial" w:hAnsi="Arial" w:cs="Arial"/>
          <w:sz w:val="20"/>
          <w:szCs w:val="20"/>
          <w:lang w:val="en-GB"/>
        </w:rPr>
        <w:t>Ouarkoye</w:t>
      </w:r>
      <w:proofErr w:type="spellEnd"/>
      <w:r w:rsidRPr="0073550A">
        <w:rPr>
          <w:rFonts w:ascii="Arial" w:hAnsi="Arial" w:cs="Arial"/>
          <w:sz w:val="20"/>
          <w:szCs w:val="20"/>
          <w:lang w:val="en-GB"/>
        </w:rPr>
        <w:t xml:space="preserve"> and </w:t>
      </w:r>
      <w:proofErr w:type="spellStart"/>
      <w:r w:rsidRPr="0073550A">
        <w:rPr>
          <w:rFonts w:ascii="Arial" w:hAnsi="Arial" w:cs="Arial"/>
          <w:sz w:val="20"/>
          <w:szCs w:val="20"/>
          <w:lang w:val="en-GB"/>
        </w:rPr>
        <w:t>Safané</w:t>
      </w:r>
      <w:proofErr w:type="spellEnd"/>
      <w:r w:rsidRPr="0073550A">
        <w:rPr>
          <w:rFonts w:ascii="Arial" w:hAnsi="Arial" w:cs="Arial"/>
          <w:sz w:val="20"/>
          <w:szCs w:val="20"/>
          <w:lang w:val="en-GB"/>
        </w:rPr>
        <w:t xml:space="preserve"> (Boucle du </w:t>
      </w:r>
      <w:proofErr w:type="spellStart"/>
      <w:r w:rsidRPr="0073550A">
        <w:rPr>
          <w:rFonts w:ascii="Arial" w:hAnsi="Arial" w:cs="Arial"/>
          <w:sz w:val="20"/>
          <w:szCs w:val="20"/>
          <w:lang w:val="en-GB"/>
        </w:rPr>
        <w:t>Mouhoun</w:t>
      </w:r>
      <w:proofErr w:type="spellEnd"/>
      <w:r w:rsidRPr="0073550A">
        <w:rPr>
          <w:rFonts w:ascii="Arial" w:hAnsi="Arial" w:cs="Arial"/>
          <w:sz w:val="20"/>
          <w:szCs w:val="20"/>
          <w:lang w:val="en-GB"/>
        </w:rPr>
        <w:t xml:space="preserve"> region), did not show any measurable residues of the thirteen herbicides during the sampling period, indicating either limited use of these molecules or the influence of hydro-climatic and landscape factors favouring dilution and/or degradation.</w:t>
      </w:r>
      <w:r w:rsidR="00EF30E4">
        <w:rPr>
          <w:rFonts w:ascii="Arial" w:hAnsi="Arial" w:cs="Arial"/>
          <w:sz w:val="20"/>
          <w:szCs w:val="20"/>
          <w:lang w:val="en-GB"/>
        </w:rPr>
        <w:t xml:space="preserve"> </w:t>
      </w:r>
      <w:r w:rsidRPr="0073550A">
        <w:rPr>
          <w:rFonts w:ascii="Arial" w:hAnsi="Arial" w:cs="Arial"/>
          <w:sz w:val="20"/>
          <w:szCs w:val="20"/>
          <w:lang w:val="en-GB"/>
        </w:rPr>
        <w:t xml:space="preserve">These results confirm that small bodies </w:t>
      </w:r>
      <w:r w:rsidR="0036731A">
        <w:rPr>
          <w:rFonts w:ascii="Arial" w:hAnsi="Arial" w:cs="Arial"/>
          <w:sz w:val="20"/>
          <w:szCs w:val="20"/>
          <w:lang w:val="en-GB"/>
        </w:rPr>
        <w:t xml:space="preserve">of water </w:t>
      </w:r>
      <w:r w:rsidRPr="0073550A">
        <w:rPr>
          <w:rFonts w:ascii="Arial" w:hAnsi="Arial" w:cs="Arial"/>
          <w:sz w:val="20"/>
          <w:szCs w:val="20"/>
          <w:lang w:val="en-GB"/>
        </w:rPr>
        <w:t xml:space="preserve">located in cereal fields or in their immediate surroundings act as receptacles for herbicide inputs from agricultural plots, through runoff, drainage and possibly spray drift, as reported in other agroecosystems </w:t>
      </w:r>
      <w:r w:rsidR="001F3FA8">
        <w:rPr>
          <w:rFonts w:ascii="Arial" w:hAnsi="Arial" w:cs="Arial"/>
          <w:sz w:val="20"/>
          <w:szCs w:val="20"/>
          <w:lang w:val="en-GB"/>
        </w:rPr>
        <w:fldChar w:fldCharType="begin"/>
      </w:r>
      <w:r w:rsidR="004A43B1">
        <w:rPr>
          <w:rFonts w:ascii="Arial" w:hAnsi="Arial" w:cs="Arial"/>
          <w:sz w:val="20"/>
          <w:szCs w:val="20"/>
          <w:lang w:val="en-GB"/>
        </w:rPr>
        <w:instrText xml:space="preserve"> ADDIN ZOTERO_ITEM CSL_CITATION {"citationID":"A9dwZikm","properties":{"formattedCitation":"(De Souza et al., 2020; Lorenz et al., 2025; Stackpoole et al., 2021)","plainCitation":"(De Souza et al., 2020; Lorenz et al., 2025; Stackpoole et al., 2021)","dontUpdate":true,"noteIndex":0},"citationItems":[{"id":2914,"uris":["http://zotero.org/users/5723659/items/DJ6W3VFG"],"itemData":{"id":2914,"type":"article-journal","container-title":"Process Safety and Environmental Protection","DOI":"10.1016/j.psep.2019.12.035","ISSN":"09575820","journalAbbreviation":"Process Safety and Environmental Protection","language":"en","page":"22-37","source":"DOI.org (Crossref)","title":"Occurrence, impacts and general aspects of pesticides in surface water: A review","title-short":"Occurrence, impacts and general aspects of pesticides in surface water","volume":"135","author":[{"family":"De Souza","given":"Renata Mariane"},{"family":"Seibert","given":"Daiana"},{"family":"Quesada","given":"Heloise Beatriz"},{"family":"De Jesus Bassetti","given":"Fátima"},{"family":"Fagundes-Klen","given":"Márcia Regina"},{"family":"Bergamasco","given":"Rosângela"}],"issued":{"date-parts":[["2020"]]}}},{"id":2902,"uris":["http://zotero.org/users/5723659/items/IHH8DK8W"],"itemData":{"id":2902,"type":"article-journal","container-title":"Science of The Total Environment","DOI":"10.1016/j</w:instrText>
      </w:r>
      <w:r w:rsidR="004A43B1" w:rsidRPr="002D4C9F">
        <w:rPr>
          <w:rFonts w:ascii="Arial" w:hAnsi="Arial" w:cs="Arial"/>
          <w:sz w:val="20"/>
          <w:szCs w:val="20"/>
        </w:rPr>
        <w:instrText>.scitotenv.2021.147147","ISSN":"00489697","journalAbbreviation":"Science of The Total Environment","language</w:instrText>
      </w:r>
      <w:r w:rsidR="004A43B1" w:rsidRPr="004A43B1">
        <w:rPr>
          <w:rFonts w:ascii="Arial" w:hAnsi="Arial" w:cs="Arial"/>
          <w:sz w:val="20"/>
          <w:szCs w:val="20"/>
        </w:rPr>
        <w:instrText xml:space="preserve">":"en","page":"147147","source":"DOI.org (Crossref)","title":"Pesticides in US Rivers: Regional differences in use, occurrence, and environmental toxicity, 2013 to 2017","title-short":"Pesticides in US Rivers","volume":"787","author":[{"family":"Stackpoole","given":"Sarah M."},{"family":"Shoda","given":"Megan E."},{"family":"Medalie","given":"Laura"},{"family":"Stone","given":"Wesley W."}],"issued":{"date-parts":[["2021"]]}}},{"id":2926,"uris":["http://zotero.org/users/5723659/items/C6PA75MH"],"itemData":{"id":2926,"type":"article-journal","container-title":"Science of The Total Environment","DOI":"10.1016/j.scitotenv.2025.179250","ISSN":"00489697","journalAbbreviation":"Science of The Total Environment","language":"en","page":"179250","source":"DOI.org (Crossref)","title":"Pesticide contamination of small standing water bodies in the agricultural landscape of northeast Germany","volume":"975","author":[{"family":"Lorenz","given":"Stefan"},{"family":"Trau","given":"Fee Nanett"},{"family":"Ruf","given":"Lena C."},{"family":"Meinikmann","given":"Karin"},{"family":"Fisch","given":"Kathrin"},{"family":"Stähler","given":"Matthias"},{"family":"Schenke","given":"Detlef"},{"family":"Blevins","given":"Holly Lyon"},{"family":"Heinz","given":"Marlen"}],"issued":{"date-parts":[["2025"]]}}}],"schema":"https://github.com/citation-style-language/schema/raw/master/csl-citation.json"} </w:instrText>
      </w:r>
      <w:r w:rsidR="001F3FA8">
        <w:rPr>
          <w:rFonts w:ascii="Arial" w:hAnsi="Arial" w:cs="Arial"/>
          <w:sz w:val="20"/>
          <w:szCs w:val="20"/>
          <w:lang w:val="en-GB"/>
        </w:rPr>
        <w:fldChar w:fldCharType="separate"/>
      </w:r>
      <w:r w:rsidR="000E707F" w:rsidRPr="000E707F">
        <w:rPr>
          <w:rFonts w:ascii="Arial" w:hAnsi="Arial" w:cs="Arial"/>
          <w:sz w:val="20"/>
        </w:rPr>
        <w:t xml:space="preserve">(De Souza </w:t>
      </w:r>
      <w:r w:rsidR="000E707F" w:rsidRPr="000A75C2">
        <w:rPr>
          <w:rFonts w:ascii="Arial" w:hAnsi="Arial" w:cs="Arial"/>
          <w:i/>
          <w:iCs/>
          <w:sz w:val="20"/>
          <w:highlight w:val="yellow"/>
        </w:rPr>
        <w:t>et al.</w:t>
      </w:r>
      <w:r w:rsidR="000E707F" w:rsidRPr="000E707F">
        <w:rPr>
          <w:rFonts w:ascii="Arial" w:hAnsi="Arial" w:cs="Arial"/>
          <w:sz w:val="20"/>
        </w:rPr>
        <w:t xml:space="preserve">, 2020; </w:t>
      </w:r>
      <w:r w:rsidR="00BF1BBF" w:rsidRPr="000E707F">
        <w:rPr>
          <w:rFonts w:ascii="Arial" w:hAnsi="Arial" w:cs="Arial"/>
          <w:sz w:val="20"/>
        </w:rPr>
        <w:t xml:space="preserve">Stackpoole </w:t>
      </w:r>
      <w:r w:rsidR="00BF1BBF" w:rsidRPr="000A75C2">
        <w:rPr>
          <w:rFonts w:ascii="Arial" w:hAnsi="Arial" w:cs="Arial"/>
          <w:sz w:val="20"/>
          <w:highlight w:val="yellow"/>
        </w:rPr>
        <w:t>et al.,</w:t>
      </w:r>
      <w:r w:rsidR="00BF1BBF" w:rsidRPr="000E707F">
        <w:rPr>
          <w:rFonts w:ascii="Arial" w:hAnsi="Arial" w:cs="Arial"/>
          <w:sz w:val="20"/>
        </w:rPr>
        <w:t xml:space="preserve"> 2021</w:t>
      </w:r>
      <w:r w:rsidR="00BF1BBF">
        <w:rPr>
          <w:rFonts w:ascii="Arial" w:hAnsi="Arial" w:cs="Arial"/>
          <w:sz w:val="20"/>
        </w:rPr>
        <w:t xml:space="preserve">; </w:t>
      </w:r>
      <w:r w:rsidR="000E707F" w:rsidRPr="000A75C2">
        <w:rPr>
          <w:rFonts w:ascii="Arial" w:hAnsi="Arial" w:cs="Arial"/>
          <w:sz w:val="20"/>
          <w:highlight w:val="yellow"/>
        </w:rPr>
        <w:t xml:space="preserve">Lorenz </w:t>
      </w:r>
      <w:r w:rsidR="000E707F" w:rsidRPr="000A75C2">
        <w:rPr>
          <w:rFonts w:ascii="Arial" w:hAnsi="Arial" w:cs="Arial"/>
          <w:i/>
          <w:iCs/>
          <w:sz w:val="20"/>
          <w:highlight w:val="yellow"/>
        </w:rPr>
        <w:t>et al</w:t>
      </w:r>
      <w:r w:rsidR="000E707F" w:rsidRPr="000A75C2">
        <w:rPr>
          <w:rFonts w:ascii="Arial" w:hAnsi="Arial" w:cs="Arial"/>
          <w:sz w:val="20"/>
          <w:highlight w:val="yellow"/>
        </w:rPr>
        <w:t>., 2025)</w:t>
      </w:r>
      <w:r w:rsidR="001F3FA8">
        <w:rPr>
          <w:rFonts w:ascii="Arial" w:hAnsi="Arial" w:cs="Arial"/>
          <w:sz w:val="20"/>
          <w:szCs w:val="20"/>
          <w:lang w:val="en-GB"/>
        </w:rPr>
        <w:fldChar w:fldCharType="end"/>
      </w:r>
      <w:r w:rsidRPr="0073550A">
        <w:rPr>
          <w:rFonts w:ascii="Arial" w:hAnsi="Arial" w:cs="Arial"/>
          <w:sz w:val="20"/>
          <w:szCs w:val="20"/>
        </w:rPr>
        <w:t>.</w:t>
      </w:r>
    </w:p>
    <w:p w14:paraId="5CA6BBF9" w14:textId="77777777" w:rsidR="001F3FA8" w:rsidRPr="001F3FA8" w:rsidRDefault="001F3FA8" w:rsidP="0073550A">
      <w:pPr>
        <w:spacing w:before="120" w:after="120" w:line="240" w:lineRule="auto"/>
        <w:jc w:val="both"/>
        <w:rPr>
          <w:rFonts w:ascii="Arial" w:hAnsi="Arial" w:cs="Arial"/>
          <w:sz w:val="20"/>
          <w:szCs w:val="20"/>
        </w:rPr>
        <w:sectPr w:rsidR="001F3FA8" w:rsidRPr="001F3FA8" w:rsidSect="00D54BE1">
          <w:headerReference w:type="even" r:id="rId9"/>
          <w:headerReference w:type="default" r:id="rId10"/>
          <w:footerReference w:type="default" r:id="rId11"/>
          <w:headerReference w:type="first" r:id="rId12"/>
          <w:type w:val="continuous"/>
          <w:pgSz w:w="11906" w:h="16838"/>
          <w:pgMar w:top="1417" w:right="1417" w:bottom="1417" w:left="1417" w:header="708" w:footer="708" w:gutter="0"/>
          <w:cols w:space="708"/>
          <w:docGrid w:linePitch="360"/>
        </w:sectPr>
      </w:pPr>
    </w:p>
    <w:p w14:paraId="50AECBB9" w14:textId="13A394EA" w:rsidR="001F3FA8" w:rsidRPr="00A012EB" w:rsidRDefault="000D0098" w:rsidP="00A012EB">
      <w:pPr>
        <w:spacing w:line="240" w:lineRule="auto"/>
        <w:jc w:val="both"/>
        <w:rPr>
          <w:rFonts w:ascii="Arial" w:hAnsi="Arial" w:cs="Arial"/>
          <w:b/>
          <w:bCs/>
          <w:sz w:val="20"/>
          <w:szCs w:val="20"/>
          <w:lang w:val="en-GB"/>
        </w:rPr>
      </w:pPr>
      <w:r w:rsidRPr="00A012EB">
        <w:rPr>
          <w:rFonts w:ascii="Arial" w:hAnsi="Arial" w:cs="Arial"/>
          <w:b/>
          <w:bCs/>
          <w:sz w:val="20"/>
          <w:szCs w:val="20"/>
          <w:lang w:val="en-GB"/>
        </w:rPr>
        <w:lastRenderedPageBreak/>
        <w:t xml:space="preserve">Table 2. Herbicide concentrations (µg/L) of the 13 </w:t>
      </w:r>
      <w:proofErr w:type="spellStart"/>
      <w:r w:rsidRPr="00A012EB">
        <w:rPr>
          <w:rFonts w:ascii="Arial" w:hAnsi="Arial" w:cs="Arial"/>
          <w:b/>
          <w:bCs/>
          <w:sz w:val="20"/>
          <w:szCs w:val="20"/>
          <w:lang w:val="en-GB"/>
        </w:rPr>
        <w:t>analyzed</w:t>
      </w:r>
      <w:proofErr w:type="spellEnd"/>
      <w:r w:rsidRPr="00A012EB">
        <w:rPr>
          <w:rFonts w:ascii="Arial" w:hAnsi="Arial" w:cs="Arial"/>
          <w:b/>
          <w:bCs/>
          <w:sz w:val="20"/>
          <w:szCs w:val="20"/>
          <w:lang w:val="en-GB"/>
        </w:rPr>
        <w:t xml:space="preserve"> compounds in surface-water samples from the 12 localities during the two sampling phases (P1 and P2)</w:t>
      </w:r>
    </w:p>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55"/>
        <w:gridCol w:w="546"/>
        <w:gridCol w:w="965"/>
        <w:gridCol w:w="569"/>
        <w:gridCol w:w="657"/>
        <w:gridCol w:w="474"/>
        <w:gridCol w:w="474"/>
        <w:gridCol w:w="569"/>
        <w:gridCol w:w="569"/>
        <w:gridCol w:w="380"/>
        <w:gridCol w:w="686"/>
        <w:gridCol w:w="474"/>
        <w:gridCol w:w="383"/>
        <w:gridCol w:w="569"/>
        <w:gridCol w:w="569"/>
        <w:gridCol w:w="660"/>
        <w:gridCol w:w="259"/>
        <w:gridCol w:w="474"/>
        <w:gridCol w:w="569"/>
        <w:gridCol w:w="712"/>
        <w:gridCol w:w="383"/>
        <w:gridCol w:w="497"/>
        <w:gridCol w:w="397"/>
        <w:gridCol w:w="574"/>
        <w:gridCol w:w="546"/>
      </w:tblGrid>
      <w:tr w:rsidR="00E9637A" w:rsidRPr="000D0098" w14:paraId="45EF2FE3" w14:textId="77777777" w:rsidTr="00822E07">
        <w:trPr>
          <w:trHeight w:val="539"/>
        </w:trPr>
        <w:tc>
          <w:tcPr>
            <w:tcW w:w="474" w:type="pct"/>
            <w:vAlign w:val="center"/>
          </w:tcPr>
          <w:p w14:paraId="5CCA5C16" w14:textId="11443E41" w:rsidR="001F3FA8" w:rsidRPr="005D2075" w:rsidRDefault="0086328E" w:rsidP="005D2075">
            <w:pPr>
              <w:spacing w:before="40" w:after="40" w:line="240" w:lineRule="auto"/>
              <w:jc w:val="right"/>
              <w:rPr>
                <w:rFonts w:ascii="Arial" w:eastAsia="Calibri" w:hAnsi="Arial" w:cs="Arial"/>
                <w:b/>
                <w:bCs/>
                <w:sz w:val="20"/>
                <w:szCs w:val="20"/>
              </w:rPr>
            </w:pPr>
            <w:proofErr w:type="spellStart"/>
            <w:r w:rsidRPr="005D2075">
              <w:rPr>
                <w:rFonts w:ascii="Arial" w:eastAsia="Calibri" w:hAnsi="Arial" w:cs="Arial"/>
                <w:b/>
                <w:bCs/>
                <w:sz w:val="20"/>
                <w:szCs w:val="20"/>
              </w:rPr>
              <w:t>Localities</w:t>
            </w:r>
            <w:proofErr w:type="spellEnd"/>
          </w:p>
        </w:tc>
        <w:tc>
          <w:tcPr>
            <w:tcW w:w="527" w:type="pct"/>
            <w:gridSpan w:val="2"/>
            <w:vAlign w:val="center"/>
          </w:tcPr>
          <w:p w14:paraId="5A3B96B3" w14:textId="77777777" w:rsidR="001F3FA8" w:rsidRPr="000D0098" w:rsidRDefault="001F3FA8" w:rsidP="00822E07">
            <w:pPr>
              <w:spacing w:before="40" w:after="40" w:line="240" w:lineRule="auto"/>
              <w:jc w:val="center"/>
              <w:rPr>
                <w:rFonts w:ascii="Arial" w:eastAsia="Calibri" w:hAnsi="Arial" w:cs="Arial"/>
                <w:b/>
                <w:bCs/>
                <w:sz w:val="16"/>
                <w:szCs w:val="16"/>
              </w:rPr>
            </w:pPr>
            <w:proofErr w:type="spellStart"/>
            <w:r w:rsidRPr="000D0098">
              <w:rPr>
                <w:rFonts w:ascii="Arial" w:eastAsia="Calibri" w:hAnsi="Arial" w:cs="Arial"/>
                <w:b/>
                <w:bCs/>
                <w:sz w:val="16"/>
                <w:szCs w:val="16"/>
              </w:rPr>
              <w:t>Douna</w:t>
            </w:r>
            <w:proofErr w:type="spellEnd"/>
          </w:p>
        </w:tc>
        <w:tc>
          <w:tcPr>
            <w:tcW w:w="429" w:type="pct"/>
            <w:gridSpan w:val="2"/>
            <w:vAlign w:val="center"/>
          </w:tcPr>
          <w:p w14:paraId="3B1141A5" w14:textId="77777777" w:rsidR="001F3FA8" w:rsidRPr="000D0098" w:rsidRDefault="001F3FA8" w:rsidP="00822E07">
            <w:pPr>
              <w:spacing w:before="40" w:after="40" w:line="240" w:lineRule="auto"/>
              <w:jc w:val="center"/>
              <w:rPr>
                <w:rFonts w:ascii="Arial" w:eastAsia="Calibri" w:hAnsi="Arial" w:cs="Arial"/>
                <w:b/>
                <w:bCs/>
                <w:sz w:val="16"/>
                <w:szCs w:val="16"/>
              </w:rPr>
            </w:pPr>
            <w:r w:rsidRPr="000D0098">
              <w:rPr>
                <w:rFonts w:ascii="Arial" w:eastAsia="Calibri" w:hAnsi="Arial" w:cs="Arial"/>
                <w:b/>
                <w:bCs/>
                <w:sz w:val="16"/>
                <w:szCs w:val="16"/>
              </w:rPr>
              <w:t>Kankalaba</w:t>
            </w:r>
          </w:p>
        </w:tc>
        <w:tc>
          <w:tcPr>
            <w:tcW w:w="332" w:type="pct"/>
            <w:gridSpan w:val="2"/>
            <w:vAlign w:val="center"/>
          </w:tcPr>
          <w:p w14:paraId="20103102" w14:textId="77777777" w:rsidR="001F3FA8" w:rsidRPr="000D0098" w:rsidRDefault="001F3FA8" w:rsidP="00822E07">
            <w:pPr>
              <w:spacing w:before="40" w:after="40" w:line="240" w:lineRule="auto"/>
              <w:jc w:val="center"/>
              <w:rPr>
                <w:rFonts w:ascii="Arial" w:eastAsia="Calibri" w:hAnsi="Arial" w:cs="Arial"/>
                <w:b/>
                <w:bCs/>
                <w:sz w:val="16"/>
                <w:szCs w:val="16"/>
              </w:rPr>
            </w:pPr>
            <w:r w:rsidRPr="000D0098">
              <w:rPr>
                <w:rFonts w:ascii="Arial" w:eastAsia="Calibri" w:hAnsi="Arial" w:cs="Arial"/>
                <w:b/>
                <w:bCs/>
                <w:sz w:val="16"/>
                <w:szCs w:val="16"/>
              </w:rPr>
              <w:t>Loumana</w:t>
            </w:r>
          </w:p>
        </w:tc>
        <w:tc>
          <w:tcPr>
            <w:tcW w:w="398" w:type="pct"/>
            <w:gridSpan w:val="2"/>
            <w:vAlign w:val="center"/>
          </w:tcPr>
          <w:p w14:paraId="2834D9F1" w14:textId="77777777" w:rsidR="001F3FA8" w:rsidRPr="000D0098" w:rsidRDefault="001F3FA8" w:rsidP="00822E07">
            <w:pPr>
              <w:spacing w:before="40" w:after="40" w:line="240" w:lineRule="auto"/>
              <w:jc w:val="center"/>
              <w:rPr>
                <w:rFonts w:ascii="Arial" w:eastAsia="Calibri" w:hAnsi="Arial" w:cs="Arial"/>
                <w:b/>
                <w:bCs/>
                <w:sz w:val="16"/>
                <w:szCs w:val="16"/>
              </w:rPr>
            </w:pPr>
            <w:r w:rsidRPr="000D0098">
              <w:rPr>
                <w:rFonts w:ascii="Arial" w:eastAsia="Calibri" w:hAnsi="Arial" w:cs="Arial"/>
                <w:b/>
                <w:bCs/>
                <w:sz w:val="16"/>
                <w:szCs w:val="16"/>
              </w:rPr>
              <w:t>Koumbia</w:t>
            </w:r>
          </w:p>
        </w:tc>
        <w:tc>
          <w:tcPr>
            <w:tcW w:w="373" w:type="pct"/>
            <w:gridSpan w:val="2"/>
            <w:vAlign w:val="center"/>
          </w:tcPr>
          <w:p w14:paraId="0E99BF95" w14:textId="77777777" w:rsidR="001F3FA8" w:rsidRPr="000D0098" w:rsidRDefault="001F3FA8" w:rsidP="00822E07">
            <w:pPr>
              <w:spacing w:before="40" w:after="40" w:line="240" w:lineRule="auto"/>
              <w:jc w:val="center"/>
              <w:rPr>
                <w:rFonts w:ascii="Arial" w:eastAsia="Calibri" w:hAnsi="Arial" w:cs="Arial"/>
                <w:b/>
                <w:bCs/>
                <w:sz w:val="16"/>
                <w:szCs w:val="16"/>
              </w:rPr>
            </w:pPr>
            <w:r w:rsidRPr="000D0098">
              <w:rPr>
                <w:rFonts w:ascii="Arial" w:eastAsia="Calibri" w:hAnsi="Arial" w:cs="Arial"/>
                <w:b/>
                <w:bCs/>
                <w:sz w:val="16"/>
                <w:szCs w:val="16"/>
              </w:rPr>
              <w:t>Founzan</w:t>
            </w:r>
          </w:p>
        </w:tc>
        <w:tc>
          <w:tcPr>
            <w:tcW w:w="300" w:type="pct"/>
            <w:gridSpan w:val="2"/>
            <w:vAlign w:val="center"/>
          </w:tcPr>
          <w:p w14:paraId="3B57601E" w14:textId="77777777" w:rsidR="001F3FA8" w:rsidRPr="000D0098" w:rsidRDefault="001F3FA8" w:rsidP="00822E07">
            <w:pPr>
              <w:spacing w:before="40" w:after="40" w:line="240" w:lineRule="auto"/>
              <w:jc w:val="center"/>
              <w:rPr>
                <w:rFonts w:ascii="Arial" w:eastAsia="Calibri" w:hAnsi="Arial" w:cs="Arial"/>
                <w:b/>
                <w:bCs/>
                <w:sz w:val="16"/>
                <w:szCs w:val="16"/>
              </w:rPr>
            </w:pPr>
            <w:r w:rsidRPr="000D0098">
              <w:rPr>
                <w:rFonts w:ascii="Arial" w:eastAsia="Calibri" w:hAnsi="Arial" w:cs="Arial"/>
                <w:b/>
                <w:bCs/>
                <w:sz w:val="16"/>
                <w:szCs w:val="16"/>
              </w:rPr>
              <w:t>Banzon</w:t>
            </w:r>
          </w:p>
        </w:tc>
        <w:tc>
          <w:tcPr>
            <w:tcW w:w="398" w:type="pct"/>
            <w:gridSpan w:val="2"/>
            <w:vAlign w:val="center"/>
          </w:tcPr>
          <w:p w14:paraId="220F2017" w14:textId="77777777" w:rsidR="001F3FA8" w:rsidRPr="000D0098" w:rsidRDefault="001F3FA8" w:rsidP="00822E07">
            <w:pPr>
              <w:spacing w:before="40" w:after="40" w:line="240" w:lineRule="auto"/>
              <w:jc w:val="center"/>
              <w:rPr>
                <w:rFonts w:ascii="Arial" w:eastAsia="Calibri" w:hAnsi="Arial" w:cs="Arial"/>
                <w:b/>
                <w:bCs/>
                <w:sz w:val="16"/>
                <w:szCs w:val="16"/>
              </w:rPr>
            </w:pPr>
            <w:r w:rsidRPr="000D0098">
              <w:rPr>
                <w:rFonts w:ascii="Arial" w:eastAsia="Calibri" w:hAnsi="Arial" w:cs="Arial"/>
                <w:b/>
                <w:bCs/>
                <w:sz w:val="16"/>
                <w:szCs w:val="16"/>
              </w:rPr>
              <w:t>Ouarkoye</w:t>
            </w:r>
          </w:p>
        </w:tc>
        <w:tc>
          <w:tcPr>
            <w:tcW w:w="321" w:type="pct"/>
            <w:gridSpan w:val="2"/>
            <w:vAlign w:val="center"/>
          </w:tcPr>
          <w:p w14:paraId="394EC6E2" w14:textId="77777777" w:rsidR="001F3FA8" w:rsidRPr="000D0098" w:rsidRDefault="001F3FA8" w:rsidP="00822E07">
            <w:pPr>
              <w:spacing w:before="40" w:after="40" w:line="240" w:lineRule="auto"/>
              <w:jc w:val="center"/>
              <w:rPr>
                <w:rFonts w:ascii="Arial" w:eastAsia="Calibri" w:hAnsi="Arial" w:cs="Arial"/>
                <w:b/>
                <w:bCs/>
                <w:sz w:val="16"/>
                <w:szCs w:val="16"/>
              </w:rPr>
            </w:pPr>
            <w:r w:rsidRPr="000D0098">
              <w:rPr>
                <w:rFonts w:ascii="Arial" w:eastAsia="Calibri" w:hAnsi="Arial" w:cs="Arial"/>
                <w:b/>
                <w:bCs/>
                <w:sz w:val="16"/>
                <w:szCs w:val="16"/>
              </w:rPr>
              <w:t>Safané</w:t>
            </w:r>
          </w:p>
        </w:tc>
        <w:tc>
          <w:tcPr>
            <w:tcW w:w="365" w:type="pct"/>
            <w:gridSpan w:val="2"/>
            <w:vAlign w:val="center"/>
          </w:tcPr>
          <w:p w14:paraId="1E308C3E" w14:textId="77777777" w:rsidR="001F3FA8" w:rsidRPr="000D0098" w:rsidRDefault="001F3FA8" w:rsidP="00822E07">
            <w:pPr>
              <w:spacing w:before="40" w:after="40" w:line="240" w:lineRule="auto"/>
              <w:jc w:val="center"/>
              <w:rPr>
                <w:rFonts w:ascii="Arial" w:eastAsia="Calibri" w:hAnsi="Arial" w:cs="Arial"/>
                <w:b/>
                <w:bCs/>
                <w:sz w:val="16"/>
                <w:szCs w:val="16"/>
              </w:rPr>
            </w:pPr>
            <w:proofErr w:type="spellStart"/>
            <w:r w:rsidRPr="000D0098">
              <w:rPr>
                <w:rFonts w:ascii="Arial" w:eastAsia="Calibri" w:hAnsi="Arial" w:cs="Arial"/>
                <w:b/>
                <w:bCs/>
                <w:sz w:val="16"/>
                <w:szCs w:val="16"/>
              </w:rPr>
              <w:t>Fara</w:t>
            </w:r>
            <w:proofErr w:type="spellEnd"/>
          </w:p>
        </w:tc>
        <w:tc>
          <w:tcPr>
            <w:tcW w:w="383" w:type="pct"/>
            <w:gridSpan w:val="2"/>
            <w:vAlign w:val="center"/>
          </w:tcPr>
          <w:p w14:paraId="4780EC95" w14:textId="77777777" w:rsidR="001F3FA8" w:rsidRPr="000D0098" w:rsidRDefault="001F3FA8" w:rsidP="00822E07">
            <w:pPr>
              <w:spacing w:before="40" w:after="40" w:line="240" w:lineRule="auto"/>
              <w:jc w:val="center"/>
              <w:rPr>
                <w:rFonts w:ascii="Arial" w:eastAsia="Calibri" w:hAnsi="Arial" w:cs="Arial"/>
                <w:b/>
                <w:bCs/>
                <w:sz w:val="16"/>
                <w:szCs w:val="16"/>
              </w:rPr>
            </w:pPr>
            <w:r w:rsidRPr="000D0098">
              <w:rPr>
                <w:rFonts w:ascii="Arial" w:eastAsia="Calibri" w:hAnsi="Arial" w:cs="Arial"/>
                <w:b/>
                <w:bCs/>
                <w:sz w:val="16"/>
                <w:szCs w:val="16"/>
              </w:rPr>
              <w:t>Dano</w:t>
            </w:r>
          </w:p>
        </w:tc>
        <w:tc>
          <w:tcPr>
            <w:tcW w:w="313" w:type="pct"/>
            <w:gridSpan w:val="2"/>
            <w:vAlign w:val="center"/>
          </w:tcPr>
          <w:p w14:paraId="3800E39A" w14:textId="77777777" w:rsidR="001F3FA8" w:rsidRPr="000D0098" w:rsidRDefault="001F3FA8" w:rsidP="00822E07">
            <w:pPr>
              <w:spacing w:before="40" w:after="40" w:line="240" w:lineRule="auto"/>
              <w:jc w:val="center"/>
              <w:rPr>
                <w:rFonts w:ascii="Arial" w:eastAsia="Calibri" w:hAnsi="Arial" w:cs="Arial"/>
                <w:b/>
                <w:bCs/>
                <w:sz w:val="16"/>
                <w:szCs w:val="16"/>
              </w:rPr>
            </w:pPr>
            <w:r w:rsidRPr="000D0098">
              <w:rPr>
                <w:rFonts w:ascii="Arial" w:eastAsia="Calibri" w:hAnsi="Arial" w:cs="Arial"/>
                <w:b/>
                <w:bCs/>
                <w:sz w:val="16"/>
                <w:szCs w:val="16"/>
              </w:rPr>
              <w:t>Diébougou</w:t>
            </w:r>
          </w:p>
        </w:tc>
        <w:tc>
          <w:tcPr>
            <w:tcW w:w="388" w:type="pct"/>
            <w:gridSpan w:val="2"/>
            <w:vAlign w:val="center"/>
          </w:tcPr>
          <w:p w14:paraId="15284BC3" w14:textId="77777777" w:rsidR="001F3FA8" w:rsidRPr="000D0098" w:rsidRDefault="001F3FA8" w:rsidP="00822E07">
            <w:pPr>
              <w:spacing w:before="40" w:after="40" w:line="240" w:lineRule="auto"/>
              <w:jc w:val="center"/>
              <w:rPr>
                <w:rFonts w:ascii="Arial" w:eastAsia="Calibri" w:hAnsi="Arial" w:cs="Arial"/>
                <w:b/>
                <w:bCs/>
                <w:sz w:val="16"/>
                <w:szCs w:val="16"/>
              </w:rPr>
            </w:pPr>
            <w:r w:rsidRPr="000D0098">
              <w:rPr>
                <w:rFonts w:ascii="Arial" w:eastAsia="Calibri" w:hAnsi="Arial" w:cs="Arial"/>
                <w:b/>
                <w:bCs/>
                <w:sz w:val="16"/>
                <w:szCs w:val="16"/>
              </w:rPr>
              <w:t xml:space="preserve">Bouroum </w:t>
            </w:r>
            <w:proofErr w:type="spellStart"/>
            <w:r w:rsidRPr="000D0098">
              <w:rPr>
                <w:rFonts w:ascii="Arial" w:eastAsia="Calibri" w:hAnsi="Arial" w:cs="Arial"/>
                <w:b/>
                <w:bCs/>
                <w:sz w:val="16"/>
                <w:szCs w:val="16"/>
              </w:rPr>
              <w:t>Bouroum</w:t>
            </w:r>
            <w:proofErr w:type="spellEnd"/>
          </w:p>
        </w:tc>
      </w:tr>
      <w:tr w:rsidR="00E9637A" w:rsidRPr="000D0098" w14:paraId="3FAE090C" w14:textId="77777777" w:rsidTr="00822E07">
        <w:trPr>
          <w:trHeight w:val="539"/>
        </w:trPr>
        <w:tc>
          <w:tcPr>
            <w:tcW w:w="474" w:type="pct"/>
            <w:vAlign w:val="center"/>
          </w:tcPr>
          <w:p w14:paraId="040CEC36" w14:textId="3907748D" w:rsidR="001F3FA8" w:rsidRPr="005D2075" w:rsidRDefault="0086328E" w:rsidP="005D2075">
            <w:pPr>
              <w:spacing w:before="40" w:after="40" w:line="240" w:lineRule="auto"/>
              <w:rPr>
                <w:rFonts w:ascii="Arial" w:eastAsia="Calibri" w:hAnsi="Arial" w:cs="Arial"/>
                <w:b/>
                <w:bCs/>
                <w:sz w:val="20"/>
                <w:szCs w:val="20"/>
              </w:rPr>
            </w:pPr>
            <w:proofErr w:type="spellStart"/>
            <w:r w:rsidRPr="005D2075">
              <w:rPr>
                <w:rFonts w:ascii="Arial" w:eastAsia="Calibri" w:hAnsi="Arial" w:cs="Arial"/>
                <w:b/>
                <w:bCs/>
                <w:sz w:val="20"/>
                <w:szCs w:val="20"/>
              </w:rPr>
              <w:t>Molecules</w:t>
            </w:r>
            <w:proofErr w:type="spellEnd"/>
          </w:p>
        </w:tc>
        <w:tc>
          <w:tcPr>
            <w:tcW w:w="189" w:type="pct"/>
            <w:vAlign w:val="center"/>
          </w:tcPr>
          <w:p w14:paraId="7ECE97CC"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337" w:type="pct"/>
            <w:vAlign w:val="center"/>
          </w:tcPr>
          <w:p w14:paraId="56A2788D"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c>
          <w:tcPr>
            <w:tcW w:w="199" w:type="pct"/>
            <w:vAlign w:val="center"/>
          </w:tcPr>
          <w:p w14:paraId="31F79469"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230" w:type="pct"/>
            <w:vAlign w:val="center"/>
          </w:tcPr>
          <w:p w14:paraId="02055C29"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c>
          <w:tcPr>
            <w:tcW w:w="166" w:type="pct"/>
            <w:vAlign w:val="center"/>
          </w:tcPr>
          <w:p w14:paraId="22AD4678"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166" w:type="pct"/>
            <w:vAlign w:val="center"/>
          </w:tcPr>
          <w:p w14:paraId="6C753E90"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c>
          <w:tcPr>
            <w:tcW w:w="199" w:type="pct"/>
            <w:vAlign w:val="center"/>
          </w:tcPr>
          <w:p w14:paraId="68EE0A67"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199" w:type="pct"/>
            <w:vAlign w:val="center"/>
          </w:tcPr>
          <w:p w14:paraId="0F12076F"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c>
          <w:tcPr>
            <w:tcW w:w="133" w:type="pct"/>
            <w:vAlign w:val="center"/>
          </w:tcPr>
          <w:p w14:paraId="41B3E406"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240" w:type="pct"/>
            <w:vAlign w:val="center"/>
          </w:tcPr>
          <w:p w14:paraId="2D3F8496"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c>
          <w:tcPr>
            <w:tcW w:w="166" w:type="pct"/>
            <w:vAlign w:val="center"/>
          </w:tcPr>
          <w:p w14:paraId="78CE3020"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134" w:type="pct"/>
            <w:vAlign w:val="center"/>
          </w:tcPr>
          <w:p w14:paraId="19194053"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c>
          <w:tcPr>
            <w:tcW w:w="199" w:type="pct"/>
            <w:vAlign w:val="center"/>
          </w:tcPr>
          <w:p w14:paraId="78C57E00"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199" w:type="pct"/>
            <w:vAlign w:val="center"/>
          </w:tcPr>
          <w:p w14:paraId="4B7FBBA3"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c>
          <w:tcPr>
            <w:tcW w:w="231" w:type="pct"/>
            <w:vAlign w:val="center"/>
          </w:tcPr>
          <w:p w14:paraId="7E4E3CF2"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90" w:type="pct"/>
            <w:vAlign w:val="center"/>
          </w:tcPr>
          <w:p w14:paraId="1A84FCDD"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c>
          <w:tcPr>
            <w:tcW w:w="166" w:type="pct"/>
            <w:vAlign w:val="center"/>
          </w:tcPr>
          <w:p w14:paraId="7AE561F4"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199" w:type="pct"/>
            <w:vAlign w:val="center"/>
          </w:tcPr>
          <w:p w14:paraId="4CEBCC45"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c>
          <w:tcPr>
            <w:tcW w:w="249" w:type="pct"/>
            <w:vAlign w:val="center"/>
          </w:tcPr>
          <w:p w14:paraId="0D084C02"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134" w:type="pct"/>
            <w:vAlign w:val="center"/>
          </w:tcPr>
          <w:p w14:paraId="1258B382"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c>
          <w:tcPr>
            <w:tcW w:w="174" w:type="pct"/>
            <w:vAlign w:val="center"/>
          </w:tcPr>
          <w:p w14:paraId="6FEB4057"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139" w:type="pct"/>
            <w:vAlign w:val="center"/>
          </w:tcPr>
          <w:p w14:paraId="2F1039B3"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c>
          <w:tcPr>
            <w:tcW w:w="201" w:type="pct"/>
            <w:vAlign w:val="center"/>
          </w:tcPr>
          <w:p w14:paraId="1C8257AE"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P1</w:t>
            </w:r>
          </w:p>
        </w:tc>
        <w:tc>
          <w:tcPr>
            <w:tcW w:w="187" w:type="pct"/>
            <w:vAlign w:val="center"/>
          </w:tcPr>
          <w:p w14:paraId="4F6A64E8" w14:textId="77777777" w:rsidR="001F3FA8" w:rsidRPr="000D0098" w:rsidRDefault="001F3FA8" w:rsidP="00822E07">
            <w:pPr>
              <w:spacing w:before="40" w:after="40" w:line="240" w:lineRule="auto"/>
              <w:jc w:val="center"/>
              <w:rPr>
                <w:rFonts w:ascii="Arial" w:eastAsia="Calibri" w:hAnsi="Arial" w:cs="Arial"/>
                <w:i/>
                <w:iCs/>
                <w:sz w:val="16"/>
                <w:szCs w:val="16"/>
              </w:rPr>
            </w:pPr>
            <w:r w:rsidRPr="000D0098">
              <w:rPr>
                <w:rFonts w:ascii="Arial" w:eastAsia="Calibri" w:hAnsi="Arial" w:cs="Arial"/>
                <w:i/>
                <w:iCs/>
                <w:sz w:val="16"/>
                <w:szCs w:val="16"/>
              </w:rPr>
              <w:t>P2</w:t>
            </w:r>
          </w:p>
        </w:tc>
      </w:tr>
      <w:tr w:rsidR="00822E07" w:rsidRPr="000D0098" w14:paraId="3734886D" w14:textId="77777777" w:rsidTr="00822E07">
        <w:trPr>
          <w:trHeight w:val="57"/>
        </w:trPr>
        <w:tc>
          <w:tcPr>
            <w:tcW w:w="474" w:type="pct"/>
            <w:vAlign w:val="center"/>
            <w:hideMark/>
          </w:tcPr>
          <w:p w14:paraId="129DF95D" w14:textId="77777777" w:rsidR="00822E07" w:rsidRPr="000D0098" w:rsidRDefault="00822E07" w:rsidP="00822E07">
            <w:pPr>
              <w:spacing w:before="40" w:after="40" w:line="240" w:lineRule="auto"/>
              <w:rPr>
                <w:rFonts w:ascii="Arial" w:eastAsia="Calibri" w:hAnsi="Arial" w:cs="Arial"/>
                <w:b/>
                <w:bCs/>
                <w:sz w:val="16"/>
                <w:szCs w:val="16"/>
              </w:rPr>
            </w:pPr>
            <w:r w:rsidRPr="000D0098">
              <w:rPr>
                <w:rFonts w:ascii="Arial" w:eastAsia="Calibri" w:hAnsi="Arial" w:cs="Arial"/>
                <w:b/>
                <w:bCs/>
                <w:sz w:val="16"/>
                <w:szCs w:val="16"/>
              </w:rPr>
              <w:t>Atrazine</w:t>
            </w:r>
          </w:p>
        </w:tc>
        <w:tc>
          <w:tcPr>
            <w:tcW w:w="189" w:type="pct"/>
            <w:noWrap/>
            <w:vAlign w:val="center"/>
          </w:tcPr>
          <w:p w14:paraId="51741CC1" w14:textId="7D475A42"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337" w:type="pct"/>
            <w:vAlign w:val="center"/>
          </w:tcPr>
          <w:p w14:paraId="6E800C40" w14:textId="577D8807"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199" w:type="pct"/>
            <w:noWrap/>
            <w:vAlign w:val="center"/>
          </w:tcPr>
          <w:p w14:paraId="4162E1EB" w14:textId="0F44B897"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230" w:type="pct"/>
            <w:vAlign w:val="center"/>
          </w:tcPr>
          <w:p w14:paraId="0981D927" w14:textId="178094AC"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55746C68" w14:textId="0084AC3B"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vAlign w:val="center"/>
          </w:tcPr>
          <w:p w14:paraId="6E6FB74E" w14:textId="1BC7C6FF"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4ED83042" w14:textId="142F4B3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vAlign w:val="center"/>
          </w:tcPr>
          <w:p w14:paraId="56C036CE" w14:textId="533102D8"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3" w:type="pct"/>
            <w:noWrap/>
            <w:vAlign w:val="center"/>
          </w:tcPr>
          <w:p w14:paraId="27036D15" w14:textId="7159ACB0"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40" w:type="pct"/>
            <w:vAlign w:val="center"/>
          </w:tcPr>
          <w:p w14:paraId="497C75DA" w14:textId="0976F6F9"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46C20104" w14:textId="4B12896F"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4" w:type="pct"/>
            <w:vAlign w:val="center"/>
          </w:tcPr>
          <w:p w14:paraId="1BADC19C" w14:textId="41F081E7"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73E93843" w14:textId="23A319CF"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vAlign w:val="center"/>
          </w:tcPr>
          <w:p w14:paraId="55206431" w14:textId="31DA8E29"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31" w:type="pct"/>
            <w:noWrap/>
            <w:vAlign w:val="center"/>
          </w:tcPr>
          <w:p w14:paraId="56B07D66" w14:textId="65FE3E92"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0</w:t>
            </w:r>
            <w:r>
              <w:rPr>
                <w:rFonts w:ascii="Arial" w:eastAsia="Calibri" w:hAnsi="Arial" w:cs="Arial"/>
                <w:sz w:val="16"/>
                <w:szCs w:val="16"/>
              </w:rPr>
              <w:t>.</w:t>
            </w:r>
            <w:r w:rsidRPr="000D0098">
              <w:rPr>
                <w:rFonts w:ascii="Arial" w:eastAsia="Calibri" w:hAnsi="Arial" w:cs="Arial"/>
                <w:sz w:val="16"/>
                <w:szCs w:val="16"/>
              </w:rPr>
              <w:t>02</w:t>
            </w:r>
          </w:p>
        </w:tc>
        <w:tc>
          <w:tcPr>
            <w:tcW w:w="90" w:type="pct"/>
            <w:vAlign w:val="center"/>
          </w:tcPr>
          <w:p w14:paraId="4BC7847A" w14:textId="3AA4B275"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40320EAB" w14:textId="2E3A2BEE"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99" w:type="pct"/>
            <w:vAlign w:val="center"/>
          </w:tcPr>
          <w:p w14:paraId="5B69817F" w14:textId="3740C56C"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249" w:type="pct"/>
            <w:noWrap/>
            <w:vAlign w:val="center"/>
          </w:tcPr>
          <w:p w14:paraId="7999DAFF" w14:textId="328E13CA"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0</w:t>
            </w:r>
            <w:r>
              <w:rPr>
                <w:rFonts w:ascii="Arial" w:eastAsia="Calibri" w:hAnsi="Arial" w:cs="Arial"/>
                <w:sz w:val="16"/>
                <w:szCs w:val="16"/>
              </w:rPr>
              <w:t>.</w:t>
            </w:r>
            <w:r w:rsidRPr="000D0098">
              <w:rPr>
                <w:rFonts w:ascii="Arial" w:eastAsia="Calibri" w:hAnsi="Arial" w:cs="Arial"/>
                <w:sz w:val="16"/>
                <w:szCs w:val="16"/>
              </w:rPr>
              <w:t>013</w:t>
            </w:r>
          </w:p>
        </w:tc>
        <w:tc>
          <w:tcPr>
            <w:tcW w:w="134" w:type="pct"/>
            <w:vAlign w:val="center"/>
          </w:tcPr>
          <w:p w14:paraId="1E735E20" w14:textId="52F563BB"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74" w:type="pct"/>
            <w:noWrap/>
            <w:vAlign w:val="center"/>
          </w:tcPr>
          <w:p w14:paraId="4AEEC445" w14:textId="52F550E0"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0</w:t>
            </w:r>
            <w:r>
              <w:rPr>
                <w:rFonts w:ascii="Arial" w:eastAsia="Calibri" w:hAnsi="Arial" w:cs="Arial"/>
                <w:sz w:val="16"/>
                <w:szCs w:val="16"/>
              </w:rPr>
              <w:t>.</w:t>
            </w:r>
            <w:r w:rsidRPr="000D0098">
              <w:rPr>
                <w:rFonts w:ascii="Arial" w:eastAsia="Calibri" w:hAnsi="Arial" w:cs="Arial"/>
                <w:sz w:val="16"/>
                <w:szCs w:val="16"/>
              </w:rPr>
              <w:t>08</w:t>
            </w:r>
          </w:p>
        </w:tc>
        <w:tc>
          <w:tcPr>
            <w:tcW w:w="139" w:type="pct"/>
            <w:vAlign w:val="center"/>
          </w:tcPr>
          <w:p w14:paraId="44EC7251" w14:textId="6A04014C" w:rsidR="00822E07" w:rsidRPr="00CC156E" w:rsidRDefault="00822E07" w:rsidP="00822E07">
            <w:pPr>
              <w:spacing w:before="40" w:after="40" w:line="240" w:lineRule="auto"/>
              <w:jc w:val="center"/>
              <w:rPr>
                <w:rFonts w:ascii="Arial" w:eastAsia="Calibri" w:hAnsi="Arial" w:cs="Arial"/>
                <w:i/>
                <w:iCs/>
                <w:sz w:val="16"/>
                <w:szCs w:val="16"/>
              </w:rPr>
            </w:pPr>
            <w:r w:rsidRPr="00CC156E">
              <w:rPr>
                <w:rFonts w:ascii="Arial" w:eastAsia="Calibri" w:hAnsi="Arial" w:cs="Arial"/>
                <w:i/>
                <w:iCs/>
                <w:sz w:val="14"/>
                <w:szCs w:val="14"/>
              </w:rPr>
              <w:t>ND</w:t>
            </w:r>
          </w:p>
        </w:tc>
        <w:tc>
          <w:tcPr>
            <w:tcW w:w="201" w:type="pct"/>
            <w:noWrap/>
            <w:vAlign w:val="center"/>
          </w:tcPr>
          <w:p w14:paraId="3DEA72CE" w14:textId="40B6F098"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0</w:t>
            </w:r>
            <w:r>
              <w:rPr>
                <w:rFonts w:ascii="Arial" w:eastAsia="Calibri" w:hAnsi="Arial" w:cs="Arial"/>
                <w:sz w:val="16"/>
                <w:szCs w:val="16"/>
              </w:rPr>
              <w:t>.</w:t>
            </w:r>
            <w:r w:rsidRPr="000D0098">
              <w:rPr>
                <w:rFonts w:ascii="Arial" w:eastAsia="Calibri" w:hAnsi="Arial" w:cs="Arial"/>
                <w:sz w:val="16"/>
                <w:szCs w:val="16"/>
              </w:rPr>
              <w:t>02</w:t>
            </w:r>
          </w:p>
        </w:tc>
        <w:tc>
          <w:tcPr>
            <w:tcW w:w="187" w:type="pct"/>
            <w:vAlign w:val="center"/>
          </w:tcPr>
          <w:p w14:paraId="66431975" w14:textId="532AFD36"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r>
      <w:tr w:rsidR="00822E07" w:rsidRPr="000D0098" w14:paraId="7828285C" w14:textId="77777777" w:rsidTr="00822E07">
        <w:trPr>
          <w:trHeight w:val="57"/>
        </w:trPr>
        <w:tc>
          <w:tcPr>
            <w:tcW w:w="474" w:type="pct"/>
            <w:vAlign w:val="center"/>
            <w:hideMark/>
          </w:tcPr>
          <w:p w14:paraId="75629F27" w14:textId="77777777" w:rsidR="00822E07" w:rsidRPr="000D0098" w:rsidRDefault="00822E07" w:rsidP="00822E07">
            <w:pPr>
              <w:spacing w:before="40" w:after="40" w:line="240" w:lineRule="auto"/>
              <w:rPr>
                <w:rFonts w:ascii="Arial" w:eastAsia="Calibri" w:hAnsi="Arial" w:cs="Arial"/>
                <w:b/>
                <w:bCs/>
                <w:sz w:val="16"/>
                <w:szCs w:val="16"/>
              </w:rPr>
            </w:pPr>
            <w:r w:rsidRPr="000D0098">
              <w:rPr>
                <w:rFonts w:ascii="Arial" w:eastAsia="Calibri" w:hAnsi="Arial" w:cs="Arial"/>
                <w:b/>
                <w:bCs/>
                <w:sz w:val="16"/>
                <w:szCs w:val="16"/>
              </w:rPr>
              <w:t>Diuron</w:t>
            </w:r>
          </w:p>
        </w:tc>
        <w:tc>
          <w:tcPr>
            <w:tcW w:w="189" w:type="pct"/>
            <w:noWrap/>
            <w:vAlign w:val="center"/>
          </w:tcPr>
          <w:p w14:paraId="63808809" w14:textId="06C5CAB5"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337" w:type="pct"/>
            <w:vAlign w:val="center"/>
          </w:tcPr>
          <w:p w14:paraId="54EFBEA0" w14:textId="05D85F9F"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199" w:type="pct"/>
            <w:noWrap/>
            <w:vAlign w:val="center"/>
          </w:tcPr>
          <w:p w14:paraId="0C70D58C" w14:textId="5A6A292F"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230" w:type="pct"/>
            <w:vAlign w:val="center"/>
          </w:tcPr>
          <w:p w14:paraId="5FBD1208" w14:textId="3AD43B43"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7369A341" w14:textId="7CD0039C"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vAlign w:val="center"/>
          </w:tcPr>
          <w:p w14:paraId="36A8F976" w14:textId="5A29D9FC"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0B76FFA8" w14:textId="75662266"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vAlign w:val="center"/>
          </w:tcPr>
          <w:p w14:paraId="6F3A9710" w14:textId="1A470544"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3" w:type="pct"/>
            <w:noWrap/>
            <w:vAlign w:val="center"/>
          </w:tcPr>
          <w:p w14:paraId="35C22225" w14:textId="1842C909"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40" w:type="pct"/>
            <w:vAlign w:val="center"/>
          </w:tcPr>
          <w:p w14:paraId="73A4BD7B" w14:textId="33ED6CA6"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120601EF" w14:textId="212F528C"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4" w:type="pct"/>
            <w:vAlign w:val="center"/>
          </w:tcPr>
          <w:p w14:paraId="0B84F72F" w14:textId="42B451C3"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070B72E3" w14:textId="4321DE29"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vAlign w:val="center"/>
          </w:tcPr>
          <w:p w14:paraId="5D431367" w14:textId="288C9350"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31" w:type="pct"/>
            <w:noWrap/>
            <w:vAlign w:val="center"/>
          </w:tcPr>
          <w:p w14:paraId="714C454F" w14:textId="76B0F4C1"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90" w:type="pct"/>
            <w:vAlign w:val="center"/>
          </w:tcPr>
          <w:p w14:paraId="160BE150" w14:textId="544740A6"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60CF660B" w14:textId="08B40ABA"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99" w:type="pct"/>
            <w:vAlign w:val="center"/>
          </w:tcPr>
          <w:p w14:paraId="0F8AA5BE" w14:textId="4AE28372"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249" w:type="pct"/>
            <w:noWrap/>
            <w:vAlign w:val="center"/>
          </w:tcPr>
          <w:p w14:paraId="55051328" w14:textId="72F1AAF9"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34" w:type="pct"/>
            <w:vAlign w:val="center"/>
          </w:tcPr>
          <w:p w14:paraId="3EBCDB05" w14:textId="2AFFE8E8"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74" w:type="pct"/>
            <w:noWrap/>
            <w:vAlign w:val="center"/>
          </w:tcPr>
          <w:p w14:paraId="6E2B2176" w14:textId="58B03B0B" w:rsidR="00822E07" w:rsidRPr="00CC156E" w:rsidRDefault="00822E07" w:rsidP="00822E07">
            <w:pPr>
              <w:spacing w:before="40" w:after="40" w:line="240" w:lineRule="auto"/>
              <w:jc w:val="center"/>
              <w:rPr>
                <w:rFonts w:ascii="Arial" w:eastAsia="Calibri" w:hAnsi="Arial" w:cs="Arial"/>
                <w:i/>
                <w:iCs/>
                <w:sz w:val="16"/>
                <w:szCs w:val="16"/>
              </w:rPr>
            </w:pPr>
            <w:r w:rsidRPr="00CC156E">
              <w:rPr>
                <w:rFonts w:ascii="Arial" w:eastAsia="Calibri" w:hAnsi="Arial" w:cs="Arial"/>
                <w:i/>
                <w:iCs/>
                <w:sz w:val="14"/>
                <w:szCs w:val="14"/>
              </w:rPr>
              <w:t>ND</w:t>
            </w:r>
          </w:p>
        </w:tc>
        <w:tc>
          <w:tcPr>
            <w:tcW w:w="139" w:type="pct"/>
            <w:vAlign w:val="center"/>
          </w:tcPr>
          <w:p w14:paraId="07AF931F" w14:textId="02EC399E"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3</w:t>
            </w:r>
            <w:r>
              <w:rPr>
                <w:rFonts w:ascii="Arial" w:eastAsia="Calibri" w:hAnsi="Arial" w:cs="Arial"/>
                <w:sz w:val="16"/>
                <w:szCs w:val="16"/>
              </w:rPr>
              <w:t>.</w:t>
            </w:r>
            <w:r w:rsidRPr="000D0098">
              <w:rPr>
                <w:rFonts w:ascii="Arial" w:eastAsia="Calibri" w:hAnsi="Arial" w:cs="Arial"/>
                <w:sz w:val="16"/>
                <w:szCs w:val="16"/>
              </w:rPr>
              <w:t>67</w:t>
            </w:r>
          </w:p>
        </w:tc>
        <w:tc>
          <w:tcPr>
            <w:tcW w:w="201" w:type="pct"/>
            <w:noWrap/>
            <w:vAlign w:val="center"/>
          </w:tcPr>
          <w:p w14:paraId="75ABCB6C" w14:textId="3211C318"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0</w:t>
            </w:r>
            <w:r>
              <w:rPr>
                <w:rFonts w:ascii="Arial" w:eastAsia="Calibri" w:hAnsi="Arial" w:cs="Arial"/>
                <w:sz w:val="16"/>
                <w:szCs w:val="16"/>
              </w:rPr>
              <w:t>.</w:t>
            </w:r>
            <w:r w:rsidRPr="000D0098">
              <w:rPr>
                <w:rFonts w:ascii="Arial" w:eastAsia="Calibri" w:hAnsi="Arial" w:cs="Arial"/>
                <w:sz w:val="16"/>
                <w:szCs w:val="16"/>
              </w:rPr>
              <w:t>25</w:t>
            </w:r>
          </w:p>
        </w:tc>
        <w:tc>
          <w:tcPr>
            <w:tcW w:w="187" w:type="pct"/>
            <w:vAlign w:val="center"/>
          </w:tcPr>
          <w:p w14:paraId="5AA7F328" w14:textId="27945E73"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9</w:t>
            </w:r>
            <w:r>
              <w:rPr>
                <w:rFonts w:ascii="Arial" w:eastAsia="Calibri" w:hAnsi="Arial" w:cs="Arial"/>
                <w:sz w:val="16"/>
                <w:szCs w:val="16"/>
              </w:rPr>
              <w:t>.</w:t>
            </w:r>
            <w:r w:rsidRPr="000D0098">
              <w:rPr>
                <w:rFonts w:ascii="Arial" w:eastAsia="Calibri" w:hAnsi="Arial" w:cs="Arial"/>
                <w:sz w:val="16"/>
                <w:szCs w:val="16"/>
              </w:rPr>
              <w:t>48</w:t>
            </w:r>
          </w:p>
        </w:tc>
      </w:tr>
      <w:tr w:rsidR="00822E07" w:rsidRPr="000D0098" w14:paraId="3A5D00C2" w14:textId="77777777" w:rsidTr="00822E07">
        <w:trPr>
          <w:trHeight w:val="93"/>
        </w:trPr>
        <w:tc>
          <w:tcPr>
            <w:tcW w:w="474" w:type="pct"/>
            <w:vAlign w:val="center"/>
            <w:hideMark/>
          </w:tcPr>
          <w:p w14:paraId="37A141AA" w14:textId="69A31180" w:rsidR="00822E07" w:rsidRPr="000D0098" w:rsidRDefault="00822E07" w:rsidP="00822E07">
            <w:pPr>
              <w:spacing w:before="40" w:after="40" w:line="240" w:lineRule="auto"/>
              <w:rPr>
                <w:rFonts w:ascii="Arial" w:eastAsia="Calibri" w:hAnsi="Arial" w:cs="Arial"/>
                <w:b/>
                <w:bCs/>
                <w:sz w:val="16"/>
                <w:szCs w:val="16"/>
              </w:rPr>
            </w:pPr>
            <w:proofErr w:type="spellStart"/>
            <w:r w:rsidRPr="000D0098">
              <w:rPr>
                <w:rFonts w:ascii="Arial" w:eastAsia="Calibri" w:hAnsi="Arial" w:cs="Arial"/>
                <w:b/>
                <w:bCs/>
                <w:sz w:val="16"/>
                <w:szCs w:val="16"/>
              </w:rPr>
              <w:t>Bensulfuron-m</w:t>
            </w:r>
            <w:r>
              <w:rPr>
                <w:rFonts w:ascii="Arial" w:eastAsia="Calibri" w:hAnsi="Arial" w:cs="Arial"/>
                <w:b/>
                <w:bCs/>
                <w:sz w:val="16"/>
                <w:szCs w:val="16"/>
              </w:rPr>
              <w:t>e</w:t>
            </w:r>
            <w:r w:rsidRPr="000D0098">
              <w:rPr>
                <w:rFonts w:ascii="Arial" w:eastAsia="Calibri" w:hAnsi="Arial" w:cs="Arial"/>
                <w:b/>
                <w:bCs/>
                <w:sz w:val="16"/>
                <w:szCs w:val="16"/>
              </w:rPr>
              <w:t>thyl</w:t>
            </w:r>
            <w:proofErr w:type="spellEnd"/>
          </w:p>
        </w:tc>
        <w:tc>
          <w:tcPr>
            <w:tcW w:w="189" w:type="pct"/>
            <w:noWrap/>
            <w:vAlign w:val="center"/>
          </w:tcPr>
          <w:p w14:paraId="4060F47E" w14:textId="6D44A183"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337" w:type="pct"/>
            <w:vAlign w:val="center"/>
          </w:tcPr>
          <w:p w14:paraId="62906887" w14:textId="58D8F987"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199" w:type="pct"/>
            <w:noWrap/>
            <w:vAlign w:val="center"/>
          </w:tcPr>
          <w:p w14:paraId="5906EC51" w14:textId="6E2EACA3"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15</w:t>
            </w:r>
            <w:r>
              <w:rPr>
                <w:rFonts w:ascii="Arial" w:eastAsia="Calibri" w:hAnsi="Arial" w:cs="Arial"/>
                <w:sz w:val="16"/>
                <w:szCs w:val="16"/>
              </w:rPr>
              <w:t>.</w:t>
            </w:r>
            <w:r w:rsidRPr="000D0098">
              <w:rPr>
                <w:rFonts w:ascii="Arial" w:eastAsia="Calibri" w:hAnsi="Arial" w:cs="Arial"/>
                <w:sz w:val="16"/>
                <w:szCs w:val="16"/>
              </w:rPr>
              <w:t>88</w:t>
            </w:r>
          </w:p>
        </w:tc>
        <w:tc>
          <w:tcPr>
            <w:tcW w:w="230" w:type="pct"/>
            <w:vAlign w:val="center"/>
          </w:tcPr>
          <w:p w14:paraId="79A4C121" w14:textId="7AF25CB1"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409209CC" w14:textId="46E4DD64"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0</w:t>
            </w:r>
            <w:r>
              <w:rPr>
                <w:rFonts w:ascii="Arial" w:eastAsia="Calibri" w:hAnsi="Arial" w:cs="Arial"/>
                <w:sz w:val="16"/>
                <w:szCs w:val="16"/>
              </w:rPr>
              <w:t>.</w:t>
            </w:r>
            <w:r w:rsidRPr="000D0098">
              <w:rPr>
                <w:rFonts w:ascii="Arial" w:eastAsia="Calibri" w:hAnsi="Arial" w:cs="Arial"/>
                <w:sz w:val="16"/>
                <w:szCs w:val="16"/>
              </w:rPr>
              <w:t>55</w:t>
            </w:r>
          </w:p>
        </w:tc>
        <w:tc>
          <w:tcPr>
            <w:tcW w:w="166" w:type="pct"/>
            <w:vAlign w:val="center"/>
          </w:tcPr>
          <w:p w14:paraId="3D8EA5DC" w14:textId="129C7EFA"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247DBF17" w14:textId="6A428895"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vAlign w:val="center"/>
          </w:tcPr>
          <w:p w14:paraId="0718AADA" w14:textId="31A1D1A7"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3" w:type="pct"/>
            <w:noWrap/>
            <w:vAlign w:val="center"/>
          </w:tcPr>
          <w:p w14:paraId="585F2A56" w14:textId="000A1744"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6</w:t>
            </w:r>
            <w:r>
              <w:rPr>
                <w:rFonts w:ascii="Arial" w:eastAsia="Calibri" w:hAnsi="Arial" w:cs="Arial"/>
                <w:sz w:val="16"/>
                <w:szCs w:val="16"/>
              </w:rPr>
              <w:t>.</w:t>
            </w:r>
            <w:r w:rsidRPr="000D0098">
              <w:rPr>
                <w:rFonts w:ascii="Arial" w:eastAsia="Calibri" w:hAnsi="Arial" w:cs="Arial"/>
                <w:sz w:val="16"/>
                <w:szCs w:val="16"/>
              </w:rPr>
              <w:t>55</w:t>
            </w:r>
          </w:p>
        </w:tc>
        <w:tc>
          <w:tcPr>
            <w:tcW w:w="240" w:type="pct"/>
            <w:vAlign w:val="center"/>
          </w:tcPr>
          <w:p w14:paraId="55E80779" w14:textId="366DED01"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66" w:type="pct"/>
            <w:noWrap/>
            <w:vAlign w:val="center"/>
          </w:tcPr>
          <w:p w14:paraId="41738BD1" w14:textId="27A350A9"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20</w:t>
            </w:r>
            <w:r>
              <w:rPr>
                <w:rFonts w:ascii="Arial" w:eastAsia="Calibri" w:hAnsi="Arial" w:cs="Arial"/>
                <w:sz w:val="16"/>
                <w:szCs w:val="16"/>
              </w:rPr>
              <w:t>.</w:t>
            </w:r>
            <w:r w:rsidRPr="000D0098">
              <w:rPr>
                <w:rFonts w:ascii="Arial" w:eastAsia="Calibri" w:hAnsi="Arial" w:cs="Arial"/>
                <w:sz w:val="16"/>
                <w:szCs w:val="16"/>
              </w:rPr>
              <w:t>79</w:t>
            </w:r>
          </w:p>
        </w:tc>
        <w:tc>
          <w:tcPr>
            <w:tcW w:w="134" w:type="pct"/>
            <w:vAlign w:val="center"/>
          </w:tcPr>
          <w:p w14:paraId="08C7A91F" w14:textId="1AB16D53"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99" w:type="pct"/>
            <w:noWrap/>
            <w:vAlign w:val="center"/>
          </w:tcPr>
          <w:p w14:paraId="6EAFB5B8" w14:textId="7ADD7412"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11</w:t>
            </w:r>
            <w:r>
              <w:rPr>
                <w:rFonts w:ascii="Arial" w:eastAsia="Calibri" w:hAnsi="Arial" w:cs="Arial"/>
                <w:sz w:val="16"/>
                <w:szCs w:val="16"/>
              </w:rPr>
              <w:t>.</w:t>
            </w:r>
            <w:r w:rsidRPr="000D0098">
              <w:rPr>
                <w:rFonts w:ascii="Arial" w:eastAsia="Calibri" w:hAnsi="Arial" w:cs="Arial"/>
                <w:sz w:val="16"/>
                <w:szCs w:val="16"/>
              </w:rPr>
              <w:t>29</w:t>
            </w:r>
          </w:p>
        </w:tc>
        <w:tc>
          <w:tcPr>
            <w:tcW w:w="199" w:type="pct"/>
            <w:vAlign w:val="center"/>
          </w:tcPr>
          <w:p w14:paraId="65DB3B2B" w14:textId="33FC246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31" w:type="pct"/>
            <w:noWrap/>
            <w:vAlign w:val="center"/>
          </w:tcPr>
          <w:p w14:paraId="2679CD0B" w14:textId="2D3C41CB"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0</w:t>
            </w:r>
            <w:r>
              <w:rPr>
                <w:rFonts w:ascii="Arial" w:eastAsia="Calibri" w:hAnsi="Arial" w:cs="Arial"/>
                <w:sz w:val="16"/>
                <w:szCs w:val="16"/>
              </w:rPr>
              <w:t>.</w:t>
            </w:r>
            <w:r w:rsidRPr="000D0098">
              <w:rPr>
                <w:rFonts w:ascii="Arial" w:eastAsia="Calibri" w:hAnsi="Arial" w:cs="Arial"/>
                <w:sz w:val="16"/>
                <w:szCs w:val="16"/>
              </w:rPr>
              <w:t>98</w:t>
            </w:r>
          </w:p>
        </w:tc>
        <w:tc>
          <w:tcPr>
            <w:tcW w:w="90" w:type="pct"/>
            <w:vAlign w:val="center"/>
          </w:tcPr>
          <w:p w14:paraId="29BBF278" w14:textId="4C87F3A0"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2A51A669" w14:textId="46274121"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8</w:t>
            </w:r>
            <w:r>
              <w:rPr>
                <w:rFonts w:ascii="Arial" w:eastAsia="Calibri" w:hAnsi="Arial" w:cs="Arial"/>
                <w:sz w:val="16"/>
                <w:szCs w:val="16"/>
              </w:rPr>
              <w:t>.</w:t>
            </w:r>
            <w:r w:rsidRPr="000D0098">
              <w:rPr>
                <w:rFonts w:ascii="Arial" w:eastAsia="Calibri" w:hAnsi="Arial" w:cs="Arial"/>
                <w:sz w:val="16"/>
                <w:szCs w:val="16"/>
              </w:rPr>
              <w:t>14</w:t>
            </w:r>
          </w:p>
        </w:tc>
        <w:tc>
          <w:tcPr>
            <w:tcW w:w="199" w:type="pct"/>
            <w:vAlign w:val="center"/>
          </w:tcPr>
          <w:p w14:paraId="1969C232" w14:textId="6ED983A1"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249" w:type="pct"/>
            <w:noWrap/>
            <w:vAlign w:val="center"/>
          </w:tcPr>
          <w:p w14:paraId="094BA68C" w14:textId="22E20AE6"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19</w:t>
            </w:r>
            <w:r>
              <w:rPr>
                <w:rFonts w:ascii="Arial" w:eastAsia="Calibri" w:hAnsi="Arial" w:cs="Arial"/>
                <w:sz w:val="16"/>
                <w:szCs w:val="16"/>
              </w:rPr>
              <w:t>.</w:t>
            </w:r>
            <w:r w:rsidRPr="000D0098">
              <w:rPr>
                <w:rFonts w:ascii="Arial" w:eastAsia="Calibri" w:hAnsi="Arial" w:cs="Arial"/>
                <w:sz w:val="16"/>
                <w:szCs w:val="16"/>
              </w:rPr>
              <w:t>01</w:t>
            </w:r>
          </w:p>
        </w:tc>
        <w:tc>
          <w:tcPr>
            <w:tcW w:w="134" w:type="pct"/>
            <w:vAlign w:val="center"/>
          </w:tcPr>
          <w:p w14:paraId="36410D0C" w14:textId="3696DC4E"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74" w:type="pct"/>
            <w:noWrap/>
            <w:vAlign w:val="center"/>
          </w:tcPr>
          <w:p w14:paraId="789E4412" w14:textId="7BD5F87F" w:rsidR="00822E07" w:rsidRPr="00CC156E" w:rsidRDefault="00822E07" w:rsidP="00822E07">
            <w:pPr>
              <w:spacing w:before="40" w:after="40" w:line="240" w:lineRule="auto"/>
              <w:jc w:val="center"/>
              <w:rPr>
                <w:rFonts w:ascii="Arial" w:eastAsia="Calibri" w:hAnsi="Arial" w:cs="Arial"/>
                <w:i/>
                <w:iCs/>
                <w:sz w:val="16"/>
                <w:szCs w:val="16"/>
              </w:rPr>
            </w:pPr>
            <w:r w:rsidRPr="00CC156E">
              <w:rPr>
                <w:rFonts w:ascii="Arial" w:eastAsia="Calibri" w:hAnsi="Arial" w:cs="Arial"/>
                <w:i/>
                <w:iCs/>
                <w:sz w:val="14"/>
                <w:szCs w:val="14"/>
              </w:rPr>
              <w:t>ND</w:t>
            </w:r>
          </w:p>
        </w:tc>
        <w:tc>
          <w:tcPr>
            <w:tcW w:w="139" w:type="pct"/>
            <w:vAlign w:val="center"/>
          </w:tcPr>
          <w:p w14:paraId="6AA66803" w14:textId="3B6B1520" w:rsidR="00822E07" w:rsidRPr="00CC156E" w:rsidRDefault="00822E07" w:rsidP="00822E07">
            <w:pPr>
              <w:spacing w:before="40" w:after="40" w:line="240" w:lineRule="auto"/>
              <w:jc w:val="center"/>
              <w:rPr>
                <w:rFonts w:ascii="Arial" w:eastAsia="Calibri" w:hAnsi="Arial" w:cs="Arial"/>
                <w:i/>
                <w:iCs/>
                <w:sz w:val="16"/>
                <w:szCs w:val="16"/>
              </w:rPr>
            </w:pPr>
            <w:r w:rsidRPr="00CC156E">
              <w:rPr>
                <w:rFonts w:ascii="Arial" w:eastAsia="Calibri" w:hAnsi="Arial" w:cs="Arial"/>
                <w:i/>
                <w:iCs/>
                <w:sz w:val="14"/>
                <w:szCs w:val="14"/>
              </w:rPr>
              <w:t>ND</w:t>
            </w:r>
          </w:p>
        </w:tc>
        <w:tc>
          <w:tcPr>
            <w:tcW w:w="201" w:type="pct"/>
            <w:noWrap/>
            <w:vAlign w:val="center"/>
          </w:tcPr>
          <w:p w14:paraId="0CF13680" w14:textId="48478345"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7</w:t>
            </w:r>
            <w:r>
              <w:rPr>
                <w:rFonts w:ascii="Arial" w:eastAsia="Calibri" w:hAnsi="Arial" w:cs="Arial"/>
                <w:sz w:val="16"/>
                <w:szCs w:val="16"/>
              </w:rPr>
              <w:t>.</w:t>
            </w:r>
            <w:r w:rsidRPr="000D0098">
              <w:rPr>
                <w:rFonts w:ascii="Arial" w:eastAsia="Calibri" w:hAnsi="Arial" w:cs="Arial"/>
                <w:sz w:val="16"/>
                <w:szCs w:val="16"/>
              </w:rPr>
              <w:t>44</w:t>
            </w:r>
          </w:p>
        </w:tc>
        <w:tc>
          <w:tcPr>
            <w:tcW w:w="187" w:type="pct"/>
            <w:vAlign w:val="center"/>
          </w:tcPr>
          <w:p w14:paraId="1CC48632" w14:textId="44248149"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r>
      <w:tr w:rsidR="00822E07" w:rsidRPr="000D0098" w14:paraId="2372365E" w14:textId="77777777" w:rsidTr="00822E07">
        <w:trPr>
          <w:trHeight w:val="57"/>
        </w:trPr>
        <w:tc>
          <w:tcPr>
            <w:tcW w:w="474" w:type="pct"/>
            <w:vAlign w:val="center"/>
            <w:hideMark/>
          </w:tcPr>
          <w:p w14:paraId="1CF2EF17" w14:textId="77777777" w:rsidR="00822E07" w:rsidRPr="000D0098" w:rsidRDefault="00822E07" w:rsidP="00822E07">
            <w:pPr>
              <w:spacing w:before="40" w:after="40" w:line="240" w:lineRule="auto"/>
              <w:rPr>
                <w:rFonts w:ascii="Arial" w:eastAsia="Calibri" w:hAnsi="Arial" w:cs="Arial"/>
                <w:b/>
                <w:bCs/>
                <w:sz w:val="16"/>
                <w:szCs w:val="16"/>
              </w:rPr>
            </w:pPr>
            <w:r w:rsidRPr="000D0098">
              <w:rPr>
                <w:rFonts w:ascii="Arial" w:eastAsia="Calibri" w:hAnsi="Arial" w:cs="Arial"/>
                <w:b/>
                <w:bCs/>
                <w:sz w:val="16"/>
                <w:szCs w:val="16"/>
              </w:rPr>
              <w:t>Terbuthylazine</w:t>
            </w:r>
          </w:p>
        </w:tc>
        <w:tc>
          <w:tcPr>
            <w:tcW w:w="189" w:type="pct"/>
            <w:noWrap/>
            <w:vAlign w:val="center"/>
          </w:tcPr>
          <w:p w14:paraId="2ECB0C50" w14:textId="1CFFEAAB"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17</w:t>
            </w:r>
            <w:r>
              <w:rPr>
                <w:rFonts w:ascii="Arial" w:eastAsia="Calibri" w:hAnsi="Arial" w:cs="Arial"/>
                <w:sz w:val="16"/>
                <w:szCs w:val="16"/>
              </w:rPr>
              <w:t>.</w:t>
            </w:r>
            <w:r w:rsidRPr="000D0098">
              <w:rPr>
                <w:rFonts w:ascii="Arial" w:eastAsia="Calibri" w:hAnsi="Arial" w:cs="Arial"/>
                <w:sz w:val="16"/>
                <w:szCs w:val="16"/>
              </w:rPr>
              <w:t>84</w:t>
            </w:r>
          </w:p>
        </w:tc>
        <w:tc>
          <w:tcPr>
            <w:tcW w:w="337" w:type="pct"/>
            <w:vAlign w:val="center"/>
          </w:tcPr>
          <w:p w14:paraId="3EA4336D" w14:textId="16E994AD"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199" w:type="pct"/>
            <w:noWrap/>
            <w:vAlign w:val="center"/>
          </w:tcPr>
          <w:p w14:paraId="3C55B8AF" w14:textId="3F955D98"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230" w:type="pct"/>
            <w:vAlign w:val="center"/>
          </w:tcPr>
          <w:p w14:paraId="3F9AF47B" w14:textId="3EDAECF5"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36A1E388" w14:textId="1C60C8AE"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18</w:t>
            </w:r>
            <w:r>
              <w:rPr>
                <w:rFonts w:ascii="Arial" w:eastAsia="Calibri" w:hAnsi="Arial" w:cs="Arial"/>
                <w:sz w:val="16"/>
                <w:szCs w:val="16"/>
              </w:rPr>
              <w:t>.</w:t>
            </w:r>
            <w:r w:rsidRPr="000D0098">
              <w:rPr>
                <w:rFonts w:ascii="Arial" w:eastAsia="Calibri" w:hAnsi="Arial" w:cs="Arial"/>
                <w:sz w:val="16"/>
                <w:szCs w:val="16"/>
              </w:rPr>
              <w:t>01</w:t>
            </w:r>
          </w:p>
        </w:tc>
        <w:tc>
          <w:tcPr>
            <w:tcW w:w="166" w:type="pct"/>
            <w:vAlign w:val="center"/>
          </w:tcPr>
          <w:p w14:paraId="7BA2B1DE" w14:textId="763C148A"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64</w:t>
            </w:r>
            <w:r>
              <w:rPr>
                <w:rFonts w:ascii="Arial" w:eastAsia="Calibri" w:hAnsi="Arial" w:cs="Arial"/>
                <w:sz w:val="16"/>
                <w:szCs w:val="16"/>
              </w:rPr>
              <w:t>.</w:t>
            </w:r>
            <w:r w:rsidRPr="000D0098">
              <w:rPr>
                <w:rFonts w:ascii="Arial" w:eastAsia="Calibri" w:hAnsi="Arial" w:cs="Arial"/>
                <w:sz w:val="16"/>
                <w:szCs w:val="16"/>
              </w:rPr>
              <w:t>66</w:t>
            </w:r>
          </w:p>
        </w:tc>
        <w:tc>
          <w:tcPr>
            <w:tcW w:w="199" w:type="pct"/>
            <w:noWrap/>
            <w:vAlign w:val="center"/>
          </w:tcPr>
          <w:p w14:paraId="2B8E8D35" w14:textId="157E9AC4"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99" w:type="pct"/>
            <w:vAlign w:val="center"/>
          </w:tcPr>
          <w:p w14:paraId="16CBF1F7" w14:textId="3767681D"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127</w:t>
            </w:r>
            <w:r>
              <w:rPr>
                <w:rFonts w:ascii="Arial" w:eastAsia="Calibri" w:hAnsi="Arial" w:cs="Arial"/>
                <w:sz w:val="16"/>
                <w:szCs w:val="16"/>
              </w:rPr>
              <w:t>.</w:t>
            </w:r>
            <w:r w:rsidRPr="000D0098">
              <w:rPr>
                <w:rFonts w:ascii="Arial" w:eastAsia="Calibri" w:hAnsi="Arial" w:cs="Arial"/>
                <w:sz w:val="16"/>
                <w:szCs w:val="16"/>
              </w:rPr>
              <w:t>22</w:t>
            </w:r>
          </w:p>
        </w:tc>
        <w:tc>
          <w:tcPr>
            <w:tcW w:w="133" w:type="pct"/>
            <w:noWrap/>
            <w:vAlign w:val="center"/>
          </w:tcPr>
          <w:p w14:paraId="290E3DB0" w14:textId="31C5FCFF"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40" w:type="pct"/>
            <w:vAlign w:val="center"/>
          </w:tcPr>
          <w:p w14:paraId="2261622E" w14:textId="59638158"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17</w:t>
            </w:r>
            <w:r>
              <w:rPr>
                <w:rFonts w:ascii="Arial" w:eastAsia="Calibri" w:hAnsi="Arial" w:cs="Arial"/>
                <w:sz w:val="16"/>
                <w:szCs w:val="16"/>
              </w:rPr>
              <w:t>.</w:t>
            </w:r>
            <w:r w:rsidRPr="000D0098">
              <w:rPr>
                <w:rFonts w:ascii="Arial" w:eastAsia="Calibri" w:hAnsi="Arial" w:cs="Arial"/>
                <w:sz w:val="16"/>
                <w:szCs w:val="16"/>
              </w:rPr>
              <w:t>55</w:t>
            </w:r>
          </w:p>
        </w:tc>
        <w:tc>
          <w:tcPr>
            <w:tcW w:w="166" w:type="pct"/>
            <w:noWrap/>
            <w:vAlign w:val="center"/>
          </w:tcPr>
          <w:p w14:paraId="0D003F01" w14:textId="03819D42"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10</w:t>
            </w:r>
            <w:r>
              <w:rPr>
                <w:rFonts w:ascii="Arial" w:eastAsia="Calibri" w:hAnsi="Arial" w:cs="Arial"/>
                <w:sz w:val="16"/>
                <w:szCs w:val="16"/>
              </w:rPr>
              <w:t>.</w:t>
            </w:r>
            <w:r w:rsidRPr="000D0098">
              <w:rPr>
                <w:rFonts w:ascii="Arial" w:eastAsia="Calibri" w:hAnsi="Arial" w:cs="Arial"/>
                <w:sz w:val="16"/>
                <w:szCs w:val="16"/>
              </w:rPr>
              <w:t>22</w:t>
            </w:r>
          </w:p>
        </w:tc>
        <w:tc>
          <w:tcPr>
            <w:tcW w:w="134" w:type="pct"/>
            <w:vAlign w:val="center"/>
          </w:tcPr>
          <w:p w14:paraId="5D7DB6FE" w14:textId="6D594D61"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7</w:t>
            </w:r>
            <w:r>
              <w:rPr>
                <w:rFonts w:ascii="Arial" w:eastAsia="Calibri" w:hAnsi="Arial" w:cs="Arial"/>
                <w:sz w:val="16"/>
                <w:szCs w:val="16"/>
              </w:rPr>
              <w:t>.</w:t>
            </w:r>
            <w:r w:rsidRPr="000D0098">
              <w:rPr>
                <w:rFonts w:ascii="Arial" w:eastAsia="Calibri" w:hAnsi="Arial" w:cs="Arial"/>
                <w:sz w:val="16"/>
                <w:szCs w:val="16"/>
              </w:rPr>
              <w:t>73</w:t>
            </w:r>
          </w:p>
        </w:tc>
        <w:tc>
          <w:tcPr>
            <w:tcW w:w="199" w:type="pct"/>
            <w:noWrap/>
            <w:vAlign w:val="center"/>
          </w:tcPr>
          <w:p w14:paraId="3AE21FDE" w14:textId="483CF837"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49</w:t>
            </w:r>
            <w:r>
              <w:rPr>
                <w:rFonts w:ascii="Arial" w:eastAsia="Calibri" w:hAnsi="Arial" w:cs="Arial"/>
                <w:sz w:val="16"/>
                <w:szCs w:val="16"/>
              </w:rPr>
              <w:t>.</w:t>
            </w:r>
            <w:r w:rsidRPr="000D0098">
              <w:rPr>
                <w:rFonts w:ascii="Arial" w:eastAsia="Calibri" w:hAnsi="Arial" w:cs="Arial"/>
                <w:sz w:val="16"/>
                <w:szCs w:val="16"/>
              </w:rPr>
              <w:t>82</w:t>
            </w:r>
          </w:p>
        </w:tc>
        <w:tc>
          <w:tcPr>
            <w:tcW w:w="199" w:type="pct"/>
            <w:vAlign w:val="center"/>
          </w:tcPr>
          <w:p w14:paraId="0FED4937" w14:textId="6B0E448F"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31" w:type="pct"/>
            <w:noWrap/>
            <w:vAlign w:val="center"/>
          </w:tcPr>
          <w:p w14:paraId="1D1E73FC" w14:textId="61A5515B"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15</w:t>
            </w:r>
            <w:r>
              <w:rPr>
                <w:rFonts w:ascii="Arial" w:eastAsia="Calibri" w:hAnsi="Arial" w:cs="Arial"/>
                <w:sz w:val="16"/>
                <w:szCs w:val="16"/>
              </w:rPr>
              <w:t>.</w:t>
            </w:r>
            <w:r w:rsidRPr="000D0098">
              <w:rPr>
                <w:rFonts w:ascii="Arial" w:eastAsia="Calibri" w:hAnsi="Arial" w:cs="Arial"/>
                <w:sz w:val="16"/>
                <w:szCs w:val="16"/>
              </w:rPr>
              <w:t>19</w:t>
            </w:r>
          </w:p>
        </w:tc>
        <w:tc>
          <w:tcPr>
            <w:tcW w:w="90" w:type="pct"/>
            <w:vAlign w:val="center"/>
          </w:tcPr>
          <w:p w14:paraId="34545C72" w14:textId="169A1A5E"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236B4959" w14:textId="68CD3789"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99" w:type="pct"/>
            <w:vAlign w:val="center"/>
          </w:tcPr>
          <w:p w14:paraId="65E99D31" w14:textId="299BA1D0"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249" w:type="pct"/>
            <w:noWrap/>
            <w:vAlign w:val="center"/>
          </w:tcPr>
          <w:p w14:paraId="4E40540A" w14:textId="77BA294A"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34" w:type="pct"/>
            <w:vAlign w:val="center"/>
          </w:tcPr>
          <w:p w14:paraId="14E4EB69" w14:textId="548E75E0"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74" w:type="pct"/>
            <w:noWrap/>
            <w:vAlign w:val="center"/>
          </w:tcPr>
          <w:p w14:paraId="2D27E493" w14:textId="5AAB28BB" w:rsidR="00822E07" w:rsidRPr="00CC156E" w:rsidRDefault="00822E07" w:rsidP="00822E07">
            <w:pPr>
              <w:spacing w:before="40" w:after="40" w:line="240" w:lineRule="auto"/>
              <w:jc w:val="center"/>
              <w:rPr>
                <w:rFonts w:ascii="Arial" w:eastAsia="Calibri" w:hAnsi="Arial" w:cs="Arial"/>
                <w:i/>
                <w:iCs/>
                <w:sz w:val="16"/>
                <w:szCs w:val="16"/>
              </w:rPr>
            </w:pPr>
            <w:r w:rsidRPr="00CC156E">
              <w:rPr>
                <w:rFonts w:ascii="Arial" w:eastAsia="Calibri" w:hAnsi="Arial" w:cs="Arial"/>
                <w:i/>
                <w:iCs/>
                <w:sz w:val="14"/>
                <w:szCs w:val="14"/>
              </w:rPr>
              <w:t>ND</w:t>
            </w:r>
          </w:p>
        </w:tc>
        <w:tc>
          <w:tcPr>
            <w:tcW w:w="139" w:type="pct"/>
            <w:vAlign w:val="center"/>
          </w:tcPr>
          <w:p w14:paraId="6E78B58A" w14:textId="46D77701"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8</w:t>
            </w:r>
            <w:r>
              <w:rPr>
                <w:rFonts w:ascii="Arial" w:eastAsia="Calibri" w:hAnsi="Arial" w:cs="Arial"/>
                <w:sz w:val="16"/>
                <w:szCs w:val="16"/>
              </w:rPr>
              <w:t>.</w:t>
            </w:r>
            <w:r w:rsidRPr="000D0098">
              <w:rPr>
                <w:rFonts w:ascii="Arial" w:eastAsia="Calibri" w:hAnsi="Arial" w:cs="Arial"/>
                <w:sz w:val="16"/>
                <w:szCs w:val="16"/>
              </w:rPr>
              <w:t>57</w:t>
            </w:r>
          </w:p>
        </w:tc>
        <w:tc>
          <w:tcPr>
            <w:tcW w:w="201" w:type="pct"/>
            <w:noWrap/>
            <w:vAlign w:val="center"/>
          </w:tcPr>
          <w:p w14:paraId="27D95CAE" w14:textId="0C71672E"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c>
          <w:tcPr>
            <w:tcW w:w="187" w:type="pct"/>
            <w:vAlign w:val="center"/>
          </w:tcPr>
          <w:p w14:paraId="58C54844" w14:textId="4780936D"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r>
      <w:tr w:rsidR="00822E07" w:rsidRPr="000D0098" w14:paraId="34BC765C" w14:textId="77777777" w:rsidTr="00822E07">
        <w:trPr>
          <w:trHeight w:val="57"/>
        </w:trPr>
        <w:tc>
          <w:tcPr>
            <w:tcW w:w="474" w:type="pct"/>
            <w:vAlign w:val="center"/>
          </w:tcPr>
          <w:p w14:paraId="6F9C6992" w14:textId="4B18A90B" w:rsidR="00822E07" w:rsidRPr="000D0098" w:rsidRDefault="00822E07" w:rsidP="00822E07">
            <w:pPr>
              <w:spacing w:before="40" w:after="40" w:line="240" w:lineRule="auto"/>
              <w:rPr>
                <w:rFonts w:ascii="Arial" w:eastAsia="Calibri" w:hAnsi="Arial" w:cs="Arial"/>
                <w:b/>
                <w:bCs/>
                <w:sz w:val="16"/>
                <w:szCs w:val="16"/>
              </w:rPr>
            </w:pPr>
            <w:r w:rsidRPr="000D0098">
              <w:rPr>
                <w:rFonts w:ascii="Arial" w:eastAsia="Calibri" w:hAnsi="Arial" w:cs="Arial"/>
                <w:b/>
                <w:bCs/>
                <w:sz w:val="16"/>
                <w:szCs w:val="16"/>
              </w:rPr>
              <w:t>Haloxyfop-R-</w:t>
            </w:r>
            <w:proofErr w:type="spellStart"/>
            <w:r w:rsidRPr="000D0098">
              <w:rPr>
                <w:rFonts w:ascii="Arial" w:eastAsia="Calibri" w:hAnsi="Arial" w:cs="Arial"/>
                <w:b/>
                <w:bCs/>
                <w:sz w:val="16"/>
                <w:szCs w:val="16"/>
              </w:rPr>
              <w:t>m</w:t>
            </w:r>
            <w:r>
              <w:rPr>
                <w:rFonts w:ascii="Arial" w:eastAsia="Calibri" w:hAnsi="Arial" w:cs="Arial"/>
                <w:b/>
                <w:bCs/>
                <w:sz w:val="16"/>
                <w:szCs w:val="16"/>
              </w:rPr>
              <w:t>ie</w:t>
            </w:r>
            <w:r w:rsidRPr="000D0098">
              <w:rPr>
                <w:rFonts w:ascii="Arial" w:eastAsia="Calibri" w:hAnsi="Arial" w:cs="Arial"/>
                <w:b/>
                <w:bCs/>
                <w:sz w:val="16"/>
                <w:szCs w:val="16"/>
              </w:rPr>
              <w:t>thyl</w:t>
            </w:r>
            <w:proofErr w:type="spellEnd"/>
          </w:p>
        </w:tc>
        <w:tc>
          <w:tcPr>
            <w:tcW w:w="189" w:type="pct"/>
            <w:noWrap/>
            <w:vAlign w:val="center"/>
          </w:tcPr>
          <w:p w14:paraId="5E8AF36F" w14:textId="4B7793EE"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9</w:t>
            </w:r>
            <w:r>
              <w:rPr>
                <w:rFonts w:ascii="Arial" w:eastAsia="Calibri" w:hAnsi="Arial" w:cs="Arial"/>
                <w:sz w:val="16"/>
                <w:szCs w:val="16"/>
              </w:rPr>
              <w:t>.</w:t>
            </w:r>
            <w:r w:rsidRPr="000D0098">
              <w:rPr>
                <w:rFonts w:ascii="Arial" w:eastAsia="Calibri" w:hAnsi="Arial" w:cs="Arial"/>
                <w:sz w:val="16"/>
                <w:szCs w:val="16"/>
              </w:rPr>
              <w:t>17</w:t>
            </w:r>
          </w:p>
        </w:tc>
        <w:tc>
          <w:tcPr>
            <w:tcW w:w="337" w:type="pct"/>
            <w:vAlign w:val="center"/>
          </w:tcPr>
          <w:p w14:paraId="13A9CAA9" w14:textId="19F96227"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199" w:type="pct"/>
            <w:noWrap/>
            <w:vAlign w:val="center"/>
          </w:tcPr>
          <w:p w14:paraId="73D066FF" w14:textId="5011B060"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4</w:t>
            </w:r>
            <w:r>
              <w:rPr>
                <w:rFonts w:ascii="Arial" w:eastAsia="Calibri" w:hAnsi="Arial" w:cs="Arial"/>
                <w:sz w:val="16"/>
                <w:szCs w:val="16"/>
              </w:rPr>
              <w:t>.</w:t>
            </w:r>
            <w:r w:rsidRPr="000D0098">
              <w:rPr>
                <w:rFonts w:ascii="Arial" w:eastAsia="Calibri" w:hAnsi="Arial" w:cs="Arial"/>
                <w:sz w:val="16"/>
                <w:szCs w:val="16"/>
              </w:rPr>
              <w:t>40</w:t>
            </w:r>
          </w:p>
        </w:tc>
        <w:tc>
          <w:tcPr>
            <w:tcW w:w="230" w:type="pct"/>
            <w:vAlign w:val="center"/>
          </w:tcPr>
          <w:p w14:paraId="1D0C27EB" w14:textId="6FC15A2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76642FC5" w14:textId="2F822DE0"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2</w:t>
            </w:r>
            <w:r>
              <w:rPr>
                <w:rFonts w:ascii="Arial" w:eastAsia="Calibri" w:hAnsi="Arial" w:cs="Arial"/>
                <w:sz w:val="16"/>
                <w:szCs w:val="16"/>
              </w:rPr>
              <w:t>.</w:t>
            </w:r>
            <w:r w:rsidRPr="000D0098">
              <w:rPr>
                <w:rFonts w:ascii="Arial" w:eastAsia="Calibri" w:hAnsi="Arial" w:cs="Arial"/>
                <w:sz w:val="16"/>
                <w:szCs w:val="16"/>
              </w:rPr>
              <w:t>80</w:t>
            </w:r>
          </w:p>
        </w:tc>
        <w:tc>
          <w:tcPr>
            <w:tcW w:w="166" w:type="pct"/>
            <w:vAlign w:val="center"/>
          </w:tcPr>
          <w:p w14:paraId="7C898AC1" w14:textId="528BDEB6"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439D076C" w14:textId="428CFCB3"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w:t>
            </w:r>
            <w:r>
              <w:rPr>
                <w:rFonts w:ascii="Arial" w:eastAsia="Calibri" w:hAnsi="Arial" w:cs="Arial"/>
                <w:sz w:val="16"/>
                <w:szCs w:val="16"/>
              </w:rPr>
              <w:t>.</w:t>
            </w:r>
            <w:r w:rsidRPr="000D0098">
              <w:rPr>
                <w:rFonts w:ascii="Arial" w:eastAsia="Calibri" w:hAnsi="Arial" w:cs="Arial"/>
                <w:sz w:val="16"/>
                <w:szCs w:val="16"/>
              </w:rPr>
              <w:t>46</w:t>
            </w:r>
          </w:p>
        </w:tc>
        <w:tc>
          <w:tcPr>
            <w:tcW w:w="199" w:type="pct"/>
            <w:vAlign w:val="center"/>
          </w:tcPr>
          <w:p w14:paraId="7A329711" w14:textId="18BE6B79"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3" w:type="pct"/>
            <w:noWrap/>
            <w:vAlign w:val="center"/>
          </w:tcPr>
          <w:p w14:paraId="01DA6968" w14:textId="7DECA4D1"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3</w:t>
            </w:r>
            <w:r>
              <w:rPr>
                <w:rFonts w:ascii="Arial" w:eastAsia="Calibri" w:hAnsi="Arial" w:cs="Arial"/>
                <w:sz w:val="16"/>
                <w:szCs w:val="16"/>
              </w:rPr>
              <w:t>.</w:t>
            </w:r>
            <w:r w:rsidRPr="000D0098">
              <w:rPr>
                <w:rFonts w:ascii="Arial" w:eastAsia="Calibri" w:hAnsi="Arial" w:cs="Arial"/>
                <w:sz w:val="16"/>
                <w:szCs w:val="16"/>
              </w:rPr>
              <w:t>78</w:t>
            </w:r>
          </w:p>
        </w:tc>
        <w:tc>
          <w:tcPr>
            <w:tcW w:w="240" w:type="pct"/>
            <w:vAlign w:val="center"/>
          </w:tcPr>
          <w:p w14:paraId="330A6292" w14:textId="749C82E2"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30743FD4" w14:textId="6133B645"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2</w:t>
            </w:r>
            <w:r>
              <w:rPr>
                <w:rFonts w:ascii="Arial" w:eastAsia="Calibri" w:hAnsi="Arial" w:cs="Arial"/>
                <w:sz w:val="16"/>
                <w:szCs w:val="16"/>
              </w:rPr>
              <w:t>.</w:t>
            </w:r>
            <w:r w:rsidRPr="000D0098">
              <w:rPr>
                <w:rFonts w:ascii="Arial" w:eastAsia="Calibri" w:hAnsi="Arial" w:cs="Arial"/>
                <w:sz w:val="16"/>
                <w:szCs w:val="16"/>
              </w:rPr>
              <w:t>49</w:t>
            </w:r>
          </w:p>
        </w:tc>
        <w:tc>
          <w:tcPr>
            <w:tcW w:w="134" w:type="pct"/>
            <w:vAlign w:val="center"/>
          </w:tcPr>
          <w:p w14:paraId="76C168C0" w14:textId="1C517253"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74DC8B8D" w14:textId="58A06128"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3</w:t>
            </w:r>
            <w:r>
              <w:rPr>
                <w:rFonts w:ascii="Arial" w:eastAsia="Calibri" w:hAnsi="Arial" w:cs="Arial"/>
                <w:sz w:val="16"/>
                <w:szCs w:val="16"/>
              </w:rPr>
              <w:t>.</w:t>
            </w:r>
            <w:r w:rsidRPr="000D0098">
              <w:rPr>
                <w:rFonts w:ascii="Arial" w:eastAsia="Calibri" w:hAnsi="Arial" w:cs="Arial"/>
                <w:sz w:val="16"/>
                <w:szCs w:val="16"/>
              </w:rPr>
              <w:t>16</w:t>
            </w:r>
          </w:p>
        </w:tc>
        <w:tc>
          <w:tcPr>
            <w:tcW w:w="199" w:type="pct"/>
            <w:vAlign w:val="center"/>
          </w:tcPr>
          <w:p w14:paraId="4BE29F87" w14:textId="1D690F6C"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31" w:type="pct"/>
            <w:noWrap/>
            <w:vAlign w:val="center"/>
          </w:tcPr>
          <w:p w14:paraId="500EC8E5" w14:textId="0DCC34CF"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23</w:t>
            </w:r>
            <w:r>
              <w:rPr>
                <w:rFonts w:ascii="Arial" w:eastAsia="Calibri" w:hAnsi="Arial" w:cs="Arial"/>
                <w:sz w:val="16"/>
                <w:szCs w:val="16"/>
              </w:rPr>
              <w:t>.</w:t>
            </w:r>
            <w:r w:rsidRPr="000D0098">
              <w:rPr>
                <w:rFonts w:ascii="Arial" w:eastAsia="Calibri" w:hAnsi="Arial" w:cs="Arial"/>
                <w:sz w:val="16"/>
                <w:szCs w:val="16"/>
              </w:rPr>
              <w:t>27</w:t>
            </w:r>
          </w:p>
        </w:tc>
        <w:tc>
          <w:tcPr>
            <w:tcW w:w="90" w:type="pct"/>
            <w:vAlign w:val="center"/>
          </w:tcPr>
          <w:p w14:paraId="623DE4A3" w14:textId="30F24870"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7B792D2F" w14:textId="23D870D7"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99" w:type="pct"/>
            <w:vAlign w:val="center"/>
          </w:tcPr>
          <w:p w14:paraId="72C75A75" w14:textId="529B78CF"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249" w:type="pct"/>
            <w:noWrap/>
            <w:vAlign w:val="center"/>
          </w:tcPr>
          <w:p w14:paraId="64E63A68" w14:textId="3BCEF2B8"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34" w:type="pct"/>
            <w:vAlign w:val="center"/>
          </w:tcPr>
          <w:p w14:paraId="6F5B8404" w14:textId="784CEE89"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74" w:type="pct"/>
            <w:noWrap/>
            <w:vAlign w:val="center"/>
          </w:tcPr>
          <w:p w14:paraId="24E47E4C" w14:textId="73466CDD" w:rsidR="00822E07" w:rsidRPr="00CC156E" w:rsidRDefault="00822E07" w:rsidP="00822E07">
            <w:pPr>
              <w:spacing w:before="40" w:after="40" w:line="240" w:lineRule="auto"/>
              <w:jc w:val="center"/>
              <w:rPr>
                <w:rFonts w:ascii="Arial" w:eastAsia="Calibri" w:hAnsi="Arial" w:cs="Arial"/>
                <w:i/>
                <w:iCs/>
                <w:sz w:val="16"/>
                <w:szCs w:val="16"/>
              </w:rPr>
            </w:pPr>
            <w:r w:rsidRPr="00CC156E">
              <w:rPr>
                <w:rFonts w:ascii="Arial" w:eastAsia="Calibri" w:hAnsi="Arial" w:cs="Arial"/>
                <w:i/>
                <w:iCs/>
                <w:sz w:val="14"/>
                <w:szCs w:val="14"/>
              </w:rPr>
              <w:t>ND</w:t>
            </w:r>
          </w:p>
        </w:tc>
        <w:tc>
          <w:tcPr>
            <w:tcW w:w="139" w:type="pct"/>
            <w:vAlign w:val="center"/>
          </w:tcPr>
          <w:p w14:paraId="6CCDF25D" w14:textId="01DEE68A"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c>
          <w:tcPr>
            <w:tcW w:w="201" w:type="pct"/>
            <w:noWrap/>
            <w:vAlign w:val="center"/>
          </w:tcPr>
          <w:p w14:paraId="33D7C1F0" w14:textId="759002CF"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c>
          <w:tcPr>
            <w:tcW w:w="187" w:type="pct"/>
            <w:vAlign w:val="center"/>
          </w:tcPr>
          <w:p w14:paraId="7737DA3E" w14:textId="2AA4A87F"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r>
      <w:tr w:rsidR="00822E07" w:rsidRPr="000D0098" w14:paraId="6F3F2E00" w14:textId="77777777" w:rsidTr="00822E07">
        <w:trPr>
          <w:trHeight w:val="57"/>
        </w:trPr>
        <w:tc>
          <w:tcPr>
            <w:tcW w:w="474" w:type="pct"/>
            <w:vAlign w:val="center"/>
          </w:tcPr>
          <w:p w14:paraId="3D156863" w14:textId="148DA6F6" w:rsidR="00822E07" w:rsidRPr="000D0098" w:rsidRDefault="00822E07" w:rsidP="00822E07">
            <w:pPr>
              <w:spacing w:before="40" w:after="40" w:line="240" w:lineRule="auto"/>
              <w:rPr>
                <w:rFonts w:ascii="Arial" w:eastAsia="Calibri" w:hAnsi="Arial" w:cs="Arial"/>
                <w:b/>
                <w:bCs/>
                <w:sz w:val="16"/>
                <w:szCs w:val="16"/>
              </w:rPr>
            </w:pPr>
            <w:proofErr w:type="spellStart"/>
            <w:r w:rsidRPr="000D0098">
              <w:rPr>
                <w:rFonts w:ascii="Arial" w:eastAsia="Calibri" w:hAnsi="Arial" w:cs="Arial"/>
                <w:b/>
                <w:bCs/>
                <w:sz w:val="16"/>
                <w:szCs w:val="16"/>
              </w:rPr>
              <w:t>M</w:t>
            </w:r>
            <w:r>
              <w:rPr>
                <w:rFonts w:ascii="Arial" w:eastAsia="Calibri" w:hAnsi="Arial" w:cs="Arial"/>
                <w:b/>
                <w:bCs/>
                <w:sz w:val="16"/>
                <w:szCs w:val="16"/>
              </w:rPr>
              <w:t>e</w:t>
            </w:r>
            <w:r w:rsidRPr="000D0098">
              <w:rPr>
                <w:rFonts w:ascii="Arial" w:eastAsia="Calibri" w:hAnsi="Arial" w:cs="Arial"/>
                <w:b/>
                <w:bCs/>
                <w:sz w:val="16"/>
                <w:szCs w:val="16"/>
              </w:rPr>
              <w:t>sotrione</w:t>
            </w:r>
            <w:proofErr w:type="spellEnd"/>
          </w:p>
        </w:tc>
        <w:tc>
          <w:tcPr>
            <w:tcW w:w="189" w:type="pct"/>
            <w:noWrap/>
            <w:vAlign w:val="center"/>
          </w:tcPr>
          <w:p w14:paraId="795263F2" w14:textId="649CFBF0"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163</w:t>
            </w:r>
            <w:r>
              <w:rPr>
                <w:rFonts w:ascii="Arial" w:eastAsia="Calibri" w:hAnsi="Arial" w:cs="Arial"/>
                <w:sz w:val="16"/>
                <w:szCs w:val="16"/>
              </w:rPr>
              <w:t>.</w:t>
            </w:r>
            <w:r w:rsidRPr="000D0098">
              <w:rPr>
                <w:rFonts w:ascii="Arial" w:eastAsia="Calibri" w:hAnsi="Arial" w:cs="Arial"/>
                <w:sz w:val="16"/>
                <w:szCs w:val="16"/>
              </w:rPr>
              <w:t>70</w:t>
            </w:r>
          </w:p>
        </w:tc>
        <w:tc>
          <w:tcPr>
            <w:tcW w:w="337" w:type="pct"/>
            <w:vAlign w:val="center"/>
          </w:tcPr>
          <w:p w14:paraId="68D12DC7" w14:textId="7600DE7F"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w:t>
            </w:r>
            <w:r>
              <w:rPr>
                <w:rFonts w:ascii="Arial" w:eastAsia="Calibri" w:hAnsi="Arial" w:cs="Arial"/>
                <w:sz w:val="16"/>
                <w:szCs w:val="16"/>
              </w:rPr>
              <w:t>.</w:t>
            </w:r>
            <w:r w:rsidRPr="000D0098">
              <w:rPr>
                <w:rFonts w:ascii="Arial" w:eastAsia="Calibri" w:hAnsi="Arial" w:cs="Arial"/>
                <w:sz w:val="16"/>
                <w:szCs w:val="16"/>
              </w:rPr>
              <w:t>19</w:t>
            </w:r>
          </w:p>
        </w:tc>
        <w:tc>
          <w:tcPr>
            <w:tcW w:w="199" w:type="pct"/>
            <w:noWrap/>
            <w:vAlign w:val="center"/>
          </w:tcPr>
          <w:p w14:paraId="3BD616AA" w14:textId="3CFBCC51"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912</w:t>
            </w:r>
            <w:r>
              <w:rPr>
                <w:rFonts w:ascii="Arial" w:eastAsia="Calibri" w:hAnsi="Arial" w:cs="Arial"/>
                <w:sz w:val="16"/>
                <w:szCs w:val="16"/>
              </w:rPr>
              <w:t>.</w:t>
            </w:r>
            <w:r w:rsidRPr="000D0098">
              <w:rPr>
                <w:rFonts w:ascii="Arial" w:eastAsia="Calibri" w:hAnsi="Arial" w:cs="Arial"/>
                <w:sz w:val="16"/>
                <w:szCs w:val="16"/>
              </w:rPr>
              <w:t>39</w:t>
            </w:r>
          </w:p>
        </w:tc>
        <w:tc>
          <w:tcPr>
            <w:tcW w:w="230" w:type="pct"/>
            <w:vAlign w:val="center"/>
          </w:tcPr>
          <w:p w14:paraId="1F305CC3" w14:textId="18C4490E"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1531</w:t>
            </w:r>
            <w:r>
              <w:rPr>
                <w:rFonts w:ascii="Arial" w:eastAsia="Calibri" w:hAnsi="Arial" w:cs="Arial"/>
                <w:sz w:val="16"/>
                <w:szCs w:val="16"/>
              </w:rPr>
              <w:t>.</w:t>
            </w:r>
            <w:r w:rsidRPr="000D0098">
              <w:rPr>
                <w:rFonts w:ascii="Arial" w:eastAsia="Calibri" w:hAnsi="Arial" w:cs="Arial"/>
                <w:sz w:val="16"/>
                <w:szCs w:val="16"/>
              </w:rPr>
              <w:t>68</w:t>
            </w:r>
          </w:p>
        </w:tc>
        <w:tc>
          <w:tcPr>
            <w:tcW w:w="166" w:type="pct"/>
            <w:noWrap/>
            <w:vAlign w:val="center"/>
          </w:tcPr>
          <w:p w14:paraId="1D6378FD" w14:textId="154860DA"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vAlign w:val="center"/>
          </w:tcPr>
          <w:p w14:paraId="0C2534B7" w14:textId="5AEBD83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0A6409CE" w14:textId="49A9DAD3"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vAlign w:val="center"/>
          </w:tcPr>
          <w:p w14:paraId="3AD8D597" w14:textId="6CC7D1AB"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115</w:t>
            </w:r>
            <w:r>
              <w:rPr>
                <w:rFonts w:ascii="Arial" w:eastAsia="Calibri" w:hAnsi="Arial" w:cs="Arial"/>
                <w:sz w:val="16"/>
                <w:szCs w:val="16"/>
              </w:rPr>
              <w:t>.</w:t>
            </w:r>
            <w:r w:rsidRPr="000D0098">
              <w:rPr>
                <w:rFonts w:ascii="Arial" w:eastAsia="Calibri" w:hAnsi="Arial" w:cs="Arial"/>
                <w:sz w:val="16"/>
                <w:szCs w:val="16"/>
              </w:rPr>
              <w:t>03</w:t>
            </w:r>
          </w:p>
        </w:tc>
        <w:tc>
          <w:tcPr>
            <w:tcW w:w="133" w:type="pct"/>
            <w:noWrap/>
            <w:vAlign w:val="center"/>
          </w:tcPr>
          <w:p w14:paraId="2B86CCB6" w14:textId="13878D32"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40" w:type="pct"/>
            <w:vAlign w:val="center"/>
          </w:tcPr>
          <w:p w14:paraId="6D682733" w14:textId="3742CEA1"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w:t>
            </w:r>
            <w:r>
              <w:rPr>
                <w:rFonts w:ascii="Arial" w:eastAsia="Calibri" w:hAnsi="Arial" w:cs="Arial"/>
                <w:sz w:val="16"/>
                <w:szCs w:val="16"/>
              </w:rPr>
              <w:t>.</w:t>
            </w:r>
            <w:r w:rsidRPr="000D0098">
              <w:rPr>
                <w:rFonts w:ascii="Arial" w:eastAsia="Calibri" w:hAnsi="Arial" w:cs="Arial"/>
                <w:sz w:val="16"/>
                <w:szCs w:val="16"/>
              </w:rPr>
              <w:t>53</w:t>
            </w:r>
          </w:p>
        </w:tc>
        <w:tc>
          <w:tcPr>
            <w:tcW w:w="166" w:type="pct"/>
            <w:noWrap/>
            <w:vAlign w:val="center"/>
          </w:tcPr>
          <w:p w14:paraId="4FB4BB80" w14:textId="7661648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4" w:type="pct"/>
            <w:vAlign w:val="center"/>
          </w:tcPr>
          <w:p w14:paraId="6389ED99" w14:textId="7B9BA201"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3D6CE717" w14:textId="18EE964D"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983</w:t>
            </w:r>
            <w:r>
              <w:rPr>
                <w:rFonts w:ascii="Arial" w:eastAsia="Calibri" w:hAnsi="Arial" w:cs="Arial"/>
                <w:sz w:val="16"/>
                <w:szCs w:val="16"/>
              </w:rPr>
              <w:t>.</w:t>
            </w:r>
            <w:r w:rsidRPr="000D0098">
              <w:rPr>
                <w:rFonts w:ascii="Arial" w:eastAsia="Calibri" w:hAnsi="Arial" w:cs="Arial"/>
                <w:sz w:val="16"/>
                <w:szCs w:val="16"/>
              </w:rPr>
              <w:t>15</w:t>
            </w:r>
          </w:p>
        </w:tc>
        <w:tc>
          <w:tcPr>
            <w:tcW w:w="199" w:type="pct"/>
            <w:vAlign w:val="center"/>
          </w:tcPr>
          <w:p w14:paraId="15EA3566" w14:textId="4D9118C4"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209</w:t>
            </w:r>
            <w:r>
              <w:rPr>
                <w:rFonts w:ascii="Arial" w:eastAsia="Calibri" w:hAnsi="Arial" w:cs="Arial"/>
                <w:sz w:val="16"/>
                <w:szCs w:val="16"/>
              </w:rPr>
              <w:t>.</w:t>
            </w:r>
            <w:r w:rsidRPr="000D0098">
              <w:rPr>
                <w:rFonts w:ascii="Arial" w:eastAsia="Calibri" w:hAnsi="Arial" w:cs="Arial"/>
                <w:sz w:val="16"/>
                <w:szCs w:val="16"/>
              </w:rPr>
              <w:t>73</w:t>
            </w:r>
          </w:p>
        </w:tc>
        <w:tc>
          <w:tcPr>
            <w:tcW w:w="231" w:type="pct"/>
            <w:noWrap/>
            <w:vAlign w:val="center"/>
          </w:tcPr>
          <w:p w14:paraId="550F4DF0" w14:textId="7585EAD9"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90" w:type="pct"/>
            <w:vAlign w:val="center"/>
          </w:tcPr>
          <w:p w14:paraId="472DDFC1" w14:textId="59D1C4AE"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45EDDAB6" w14:textId="416DBB6D"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99" w:type="pct"/>
            <w:vAlign w:val="center"/>
          </w:tcPr>
          <w:p w14:paraId="50EC4BA9" w14:textId="274C859B"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135</w:t>
            </w:r>
            <w:r>
              <w:rPr>
                <w:rFonts w:ascii="Arial" w:eastAsia="Calibri" w:hAnsi="Arial" w:cs="Arial"/>
                <w:sz w:val="16"/>
                <w:szCs w:val="16"/>
              </w:rPr>
              <w:t>.</w:t>
            </w:r>
            <w:r w:rsidRPr="000D0098">
              <w:rPr>
                <w:rFonts w:ascii="Arial" w:eastAsia="Calibri" w:hAnsi="Arial" w:cs="Arial"/>
                <w:sz w:val="16"/>
                <w:szCs w:val="16"/>
              </w:rPr>
              <w:t>89</w:t>
            </w:r>
          </w:p>
        </w:tc>
        <w:tc>
          <w:tcPr>
            <w:tcW w:w="249" w:type="pct"/>
            <w:noWrap/>
            <w:vAlign w:val="center"/>
          </w:tcPr>
          <w:p w14:paraId="141F808B" w14:textId="0D4259FC"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34" w:type="pct"/>
            <w:vAlign w:val="center"/>
          </w:tcPr>
          <w:p w14:paraId="1793086D" w14:textId="3A67E7A5"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74" w:type="pct"/>
            <w:noWrap/>
            <w:vAlign w:val="center"/>
          </w:tcPr>
          <w:p w14:paraId="7EB6EC59" w14:textId="6FCB5FCE" w:rsidR="00822E07" w:rsidRPr="00CC156E" w:rsidRDefault="00822E07" w:rsidP="00822E07">
            <w:pPr>
              <w:spacing w:before="40" w:after="40" w:line="240" w:lineRule="auto"/>
              <w:jc w:val="center"/>
              <w:rPr>
                <w:rFonts w:ascii="Arial" w:eastAsia="Calibri" w:hAnsi="Arial" w:cs="Arial"/>
                <w:i/>
                <w:iCs/>
                <w:sz w:val="16"/>
                <w:szCs w:val="16"/>
              </w:rPr>
            </w:pPr>
            <w:r w:rsidRPr="00CC156E">
              <w:rPr>
                <w:rFonts w:ascii="Arial" w:eastAsia="Calibri" w:hAnsi="Arial" w:cs="Arial"/>
                <w:i/>
                <w:iCs/>
                <w:sz w:val="14"/>
                <w:szCs w:val="14"/>
              </w:rPr>
              <w:t>ND</w:t>
            </w:r>
          </w:p>
        </w:tc>
        <w:tc>
          <w:tcPr>
            <w:tcW w:w="139" w:type="pct"/>
            <w:vAlign w:val="center"/>
          </w:tcPr>
          <w:p w14:paraId="4A961FB9" w14:textId="5F3EDBFA"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c>
          <w:tcPr>
            <w:tcW w:w="201" w:type="pct"/>
            <w:noWrap/>
            <w:vAlign w:val="center"/>
          </w:tcPr>
          <w:p w14:paraId="7C4BCCC0" w14:textId="011A6249"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75</w:t>
            </w:r>
            <w:r>
              <w:rPr>
                <w:rFonts w:ascii="Arial" w:eastAsia="Calibri" w:hAnsi="Arial" w:cs="Arial"/>
                <w:sz w:val="16"/>
                <w:szCs w:val="16"/>
              </w:rPr>
              <w:t>.</w:t>
            </w:r>
            <w:r w:rsidRPr="000D0098">
              <w:rPr>
                <w:rFonts w:ascii="Arial" w:eastAsia="Calibri" w:hAnsi="Arial" w:cs="Arial"/>
                <w:sz w:val="16"/>
                <w:szCs w:val="16"/>
              </w:rPr>
              <w:t>19</w:t>
            </w:r>
          </w:p>
        </w:tc>
        <w:tc>
          <w:tcPr>
            <w:tcW w:w="187" w:type="pct"/>
            <w:vAlign w:val="center"/>
          </w:tcPr>
          <w:p w14:paraId="02FAEC12" w14:textId="09E0D932"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r>
      <w:tr w:rsidR="00822E07" w:rsidRPr="000D0098" w14:paraId="1584DC14" w14:textId="77777777" w:rsidTr="00822E07">
        <w:trPr>
          <w:trHeight w:val="57"/>
        </w:trPr>
        <w:tc>
          <w:tcPr>
            <w:tcW w:w="474" w:type="pct"/>
            <w:vAlign w:val="center"/>
          </w:tcPr>
          <w:p w14:paraId="65D4B06F" w14:textId="4AEAC16D" w:rsidR="00822E07" w:rsidRPr="000D0098" w:rsidRDefault="00822E07" w:rsidP="00822E07">
            <w:pPr>
              <w:spacing w:before="40" w:after="40" w:line="240" w:lineRule="auto"/>
              <w:rPr>
                <w:rFonts w:ascii="Arial" w:eastAsia="Calibri" w:hAnsi="Arial" w:cs="Arial"/>
                <w:b/>
                <w:bCs/>
                <w:sz w:val="16"/>
                <w:szCs w:val="16"/>
              </w:rPr>
            </w:pPr>
            <w:proofErr w:type="spellStart"/>
            <w:r w:rsidRPr="000D0098">
              <w:rPr>
                <w:rFonts w:ascii="Arial" w:eastAsia="Calibri" w:hAnsi="Arial" w:cs="Arial"/>
                <w:b/>
                <w:bCs/>
                <w:sz w:val="16"/>
                <w:szCs w:val="16"/>
              </w:rPr>
              <w:t>Pendim</w:t>
            </w:r>
            <w:r>
              <w:rPr>
                <w:rFonts w:ascii="Arial" w:eastAsia="Calibri" w:hAnsi="Arial" w:cs="Arial"/>
                <w:b/>
                <w:bCs/>
                <w:sz w:val="16"/>
                <w:szCs w:val="16"/>
              </w:rPr>
              <w:t>e</w:t>
            </w:r>
            <w:r w:rsidRPr="000D0098">
              <w:rPr>
                <w:rFonts w:ascii="Arial" w:eastAsia="Calibri" w:hAnsi="Arial" w:cs="Arial"/>
                <w:b/>
                <w:bCs/>
                <w:sz w:val="16"/>
                <w:szCs w:val="16"/>
              </w:rPr>
              <w:t>thalin</w:t>
            </w:r>
            <w:proofErr w:type="spellEnd"/>
          </w:p>
        </w:tc>
        <w:tc>
          <w:tcPr>
            <w:tcW w:w="189" w:type="pct"/>
            <w:noWrap/>
            <w:vAlign w:val="center"/>
          </w:tcPr>
          <w:p w14:paraId="2B817B9A" w14:textId="64BBDA13"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4</w:t>
            </w:r>
            <w:r>
              <w:rPr>
                <w:rFonts w:ascii="Arial" w:eastAsia="Calibri" w:hAnsi="Arial" w:cs="Arial"/>
                <w:sz w:val="16"/>
                <w:szCs w:val="16"/>
              </w:rPr>
              <w:t>.</w:t>
            </w:r>
            <w:r w:rsidRPr="000D0098">
              <w:rPr>
                <w:rFonts w:ascii="Arial" w:eastAsia="Calibri" w:hAnsi="Arial" w:cs="Arial"/>
                <w:sz w:val="16"/>
                <w:szCs w:val="16"/>
              </w:rPr>
              <w:t>15</w:t>
            </w:r>
          </w:p>
        </w:tc>
        <w:tc>
          <w:tcPr>
            <w:tcW w:w="337" w:type="pct"/>
            <w:vAlign w:val="center"/>
          </w:tcPr>
          <w:p w14:paraId="216F7E4A" w14:textId="1D251C92"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199" w:type="pct"/>
            <w:noWrap/>
            <w:vAlign w:val="center"/>
          </w:tcPr>
          <w:p w14:paraId="4D4CB154" w14:textId="211F98DF"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62</w:t>
            </w:r>
            <w:r>
              <w:rPr>
                <w:rFonts w:ascii="Arial" w:eastAsia="Calibri" w:hAnsi="Arial" w:cs="Arial"/>
                <w:sz w:val="16"/>
                <w:szCs w:val="16"/>
              </w:rPr>
              <w:t>.</w:t>
            </w:r>
            <w:r w:rsidRPr="000D0098">
              <w:rPr>
                <w:rFonts w:ascii="Arial" w:eastAsia="Calibri" w:hAnsi="Arial" w:cs="Arial"/>
                <w:sz w:val="16"/>
                <w:szCs w:val="16"/>
              </w:rPr>
              <w:t>53</w:t>
            </w:r>
          </w:p>
        </w:tc>
        <w:tc>
          <w:tcPr>
            <w:tcW w:w="230" w:type="pct"/>
            <w:vAlign w:val="center"/>
          </w:tcPr>
          <w:p w14:paraId="123BB232" w14:textId="17F23D14"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172FD101" w14:textId="58063D63"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6</w:t>
            </w:r>
            <w:r>
              <w:rPr>
                <w:rFonts w:ascii="Arial" w:eastAsia="Calibri" w:hAnsi="Arial" w:cs="Arial"/>
                <w:sz w:val="16"/>
                <w:szCs w:val="16"/>
              </w:rPr>
              <w:t>.</w:t>
            </w:r>
            <w:r w:rsidRPr="000D0098">
              <w:rPr>
                <w:rFonts w:ascii="Arial" w:eastAsia="Calibri" w:hAnsi="Arial" w:cs="Arial"/>
                <w:sz w:val="16"/>
                <w:szCs w:val="16"/>
              </w:rPr>
              <w:t>63</w:t>
            </w:r>
          </w:p>
        </w:tc>
        <w:tc>
          <w:tcPr>
            <w:tcW w:w="166" w:type="pct"/>
            <w:vAlign w:val="center"/>
          </w:tcPr>
          <w:p w14:paraId="2071C69E" w14:textId="24D37A1F"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47DD582A" w14:textId="143C9BCF"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vAlign w:val="center"/>
          </w:tcPr>
          <w:p w14:paraId="118C2903" w14:textId="5C2DC909"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3" w:type="pct"/>
            <w:noWrap/>
            <w:vAlign w:val="center"/>
          </w:tcPr>
          <w:p w14:paraId="490E2531" w14:textId="7FBC6059"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6</w:t>
            </w:r>
            <w:r>
              <w:rPr>
                <w:rFonts w:ascii="Arial" w:eastAsia="Calibri" w:hAnsi="Arial" w:cs="Arial"/>
                <w:sz w:val="16"/>
                <w:szCs w:val="16"/>
              </w:rPr>
              <w:t>.</w:t>
            </w:r>
            <w:r w:rsidRPr="000D0098">
              <w:rPr>
                <w:rFonts w:ascii="Arial" w:eastAsia="Calibri" w:hAnsi="Arial" w:cs="Arial"/>
                <w:sz w:val="16"/>
                <w:szCs w:val="16"/>
              </w:rPr>
              <w:t>33</w:t>
            </w:r>
          </w:p>
        </w:tc>
        <w:tc>
          <w:tcPr>
            <w:tcW w:w="240" w:type="pct"/>
            <w:vAlign w:val="center"/>
          </w:tcPr>
          <w:p w14:paraId="3EB59F1E" w14:textId="33561EA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58A62554" w14:textId="2CDF0A04"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7</w:t>
            </w:r>
            <w:r>
              <w:rPr>
                <w:rFonts w:ascii="Arial" w:eastAsia="Calibri" w:hAnsi="Arial" w:cs="Arial"/>
                <w:sz w:val="16"/>
                <w:szCs w:val="16"/>
              </w:rPr>
              <w:t>.</w:t>
            </w:r>
            <w:r w:rsidRPr="000D0098">
              <w:rPr>
                <w:rFonts w:ascii="Arial" w:eastAsia="Calibri" w:hAnsi="Arial" w:cs="Arial"/>
                <w:sz w:val="16"/>
                <w:szCs w:val="16"/>
              </w:rPr>
              <w:t>71</w:t>
            </w:r>
          </w:p>
        </w:tc>
        <w:tc>
          <w:tcPr>
            <w:tcW w:w="134" w:type="pct"/>
            <w:vAlign w:val="center"/>
          </w:tcPr>
          <w:p w14:paraId="78F2E2C6" w14:textId="45F2403B"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0</w:t>
            </w:r>
            <w:r>
              <w:rPr>
                <w:rFonts w:ascii="Arial" w:eastAsia="Calibri" w:hAnsi="Arial" w:cs="Arial"/>
                <w:sz w:val="16"/>
                <w:szCs w:val="16"/>
              </w:rPr>
              <w:t>.</w:t>
            </w:r>
            <w:r w:rsidRPr="000D0098">
              <w:rPr>
                <w:rFonts w:ascii="Arial" w:eastAsia="Calibri" w:hAnsi="Arial" w:cs="Arial"/>
                <w:sz w:val="16"/>
                <w:szCs w:val="16"/>
              </w:rPr>
              <w:t>67</w:t>
            </w:r>
          </w:p>
        </w:tc>
        <w:tc>
          <w:tcPr>
            <w:tcW w:w="199" w:type="pct"/>
            <w:noWrap/>
            <w:vAlign w:val="center"/>
          </w:tcPr>
          <w:p w14:paraId="18F2CF47" w14:textId="2D73A34E"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9</w:t>
            </w:r>
            <w:r>
              <w:rPr>
                <w:rFonts w:ascii="Arial" w:eastAsia="Calibri" w:hAnsi="Arial" w:cs="Arial"/>
                <w:sz w:val="16"/>
                <w:szCs w:val="16"/>
              </w:rPr>
              <w:t>.</w:t>
            </w:r>
            <w:r w:rsidRPr="000D0098">
              <w:rPr>
                <w:rFonts w:ascii="Arial" w:eastAsia="Calibri" w:hAnsi="Arial" w:cs="Arial"/>
                <w:sz w:val="16"/>
                <w:szCs w:val="16"/>
              </w:rPr>
              <w:t>53</w:t>
            </w:r>
          </w:p>
        </w:tc>
        <w:tc>
          <w:tcPr>
            <w:tcW w:w="199" w:type="pct"/>
            <w:vAlign w:val="center"/>
          </w:tcPr>
          <w:p w14:paraId="36068852" w14:textId="01221FBB"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31" w:type="pct"/>
            <w:noWrap/>
            <w:vAlign w:val="center"/>
          </w:tcPr>
          <w:p w14:paraId="33A88E1A" w14:textId="2D8F7128"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90" w:type="pct"/>
            <w:vAlign w:val="center"/>
          </w:tcPr>
          <w:p w14:paraId="64604CE4" w14:textId="5F7338C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5D72B1AD" w14:textId="29BC1DD7"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99" w:type="pct"/>
            <w:vAlign w:val="center"/>
          </w:tcPr>
          <w:p w14:paraId="14171470" w14:textId="48D98C86"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249" w:type="pct"/>
            <w:noWrap/>
            <w:vAlign w:val="center"/>
          </w:tcPr>
          <w:p w14:paraId="5477D751" w14:textId="4582C38E"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34" w:type="pct"/>
            <w:vAlign w:val="center"/>
          </w:tcPr>
          <w:p w14:paraId="148C14F9" w14:textId="3F2E71BE"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74" w:type="pct"/>
            <w:noWrap/>
            <w:vAlign w:val="center"/>
          </w:tcPr>
          <w:p w14:paraId="5D0D4010" w14:textId="6827560C" w:rsidR="00822E07" w:rsidRPr="00CC156E" w:rsidRDefault="00822E07" w:rsidP="00822E07">
            <w:pPr>
              <w:spacing w:before="40" w:after="40" w:line="240" w:lineRule="auto"/>
              <w:jc w:val="center"/>
              <w:rPr>
                <w:rFonts w:ascii="Arial" w:eastAsia="Calibri" w:hAnsi="Arial" w:cs="Arial"/>
                <w:i/>
                <w:iCs/>
                <w:sz w:val="16"/>
                <w:szCs w:val="16"/>
              </w:rPr>
            </w:pPr>
            <w:r w:rsidRPr="00CC156E">
              <w:rPr>
                <w:rFonts w:ascii="Arial" w:eastAsia="Calibri" w:hAnsi="Arial" w:cs="Arial"/>
                <w:i/>
                <w:iCs/>
                <w:sz w:val="14"/>
                <w:szCs w:val="14"/>
              </w:rPr>
              <w:t>ND</w:t>
            </w:r>
          </w:p>
        </w:tc>
        <w:tc>
          <w:tcPr>
            <w:tcW w:w="139" w:type="pct"/>
            <w:vAlign w:val="center"/>
          </w:tcPr>
          <w:p w14:paraId="605F9B13" w14:textId="0989E73C"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c>
          <w:tcPr>
            <w:tcW w:w="201" w:type="pct"/>
            <w:noWrap/>
            <w:vAlign w:val="center"/>
          </w:tcPr>
          <w:p w14:paraId="4ECD0C02" w14:textId="6B233046"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3</w:t>
            </w:r>
            <w:r>
              <w:rPr>
                <w:rFonts w:ascii="Arial" w:eastAsia="Calibri" w:hAnsi="Arial" w:cs="Arial"/>
                <w:sz w:val="16"/>
                <w:szCs w:val="16"/>
              </w:rPr>
              <w:t>.</w:t>
            </w:r>
            <w:r w:rsidRPr="000D0098">
              <w:rPr>
                <w:rFonts w:ascii="Arial" w:eastAsia="Calibri" w:hAnsi="Arial" w:cs="Arial"/>
                <w:sz w:val="16"/>
                <w:szCs w:val="16"/>
              </w:rPr>
              <w:t>23</w:t>
            </w:r>
          </w:p>
        </w:tc>
        <w:tc>
          <w:tcPr>
            <w:tcW w:w="187" w:type="pct"/>
            <w:vAlign w:val="center"/>
          </w:tcPr>
          <w:p w14:paraId="2B5275FB" w14:textId="11F90A77"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r>
      <w:tr w:rsidR="00822E07" w:rsidRPr="000D0098" w14:paraId="78C2754C" w14:textId="77777777" w:rsidTr="00822E07">
        <w:trPr>
          <w:trHeight w:val="311"/>
        </w:trPr>
        <w:tc>
          <w:tcPr>
            <w:tcW w:w="474" w:type="pct"/>
            <w:vAlign w:val="center"/>
          </w:tcPr>
          <w:p w14:paraId="24FBA018" w14:textId="11E4E329" w:rsidR="00822E07" w:rsidRPr="007474B8" w:rsidRDefault="00822E07" w:rsidP="00822E07">
            <w:pPr>
              <w:spacing w:before="40" w:after="40" w:line="240" w:lineRule="auto"/>
              <w:rPr>
                <w:rFonts w:ascii="Arial" w:eastAsia="Calibri" w:hAnsi="Arial" w:cs="Arial"/>
                <w:b/>
                <w:bCs/>
                <w:sz w:val="16"/>
                <w:szCs w:val="16"/>
              </w:rPr>
            </w:pPr>
            <w:proofErr w:type="spellStart"/>
            <w:r w:rsidRPr="007474B8">
              <w:rPr>
                <w:rFonts w:ascii="Arial" w:eastAsia="Calibri" w:hAnsi="Arial" w:cs="Arial"/>
                <w:b/>
                <w:bCs/>
                <w:sz w:val="16"/>
                <w:szCs w:val="16"/>
              </w:rPr>
              <w:t>Metolachlor</w:t>
            </w:r>
            <w:proofErr w:type="spellEnd"/>
          </w:p>
        </w:tc>
        <w:tc>
          <w:tcPr>
            <w:tcW w:w="189" w:type="pct"/>
            <w:noWrap/>
            <w:vAlign w:val="center"/>
          </w:tcPr>
          <w:p w14:paraId="64396E5E" w14:textId="683F6802"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337" w:type="pct"/>
            <w:vAlign w:val="center"/>
          </w:tcPr>
          <w:p w14:paraId="0A4BE817" w14:textId="62858562"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1.03e−2</w:t>
            </w:r>
          </w:p>
        </w:tc>
        <w:tc>
          <w:tcPr>
            <w:tcW w:w="199" w:type="pct"/>
            <w:noWrap/>
            <w:vAlign w:val="center"/>
          </w:tcPr>
          <w:p w14:paraId="1D1368F7" w14:textId="603471A0"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230" w:type="pct"/>
            <w:vAlign w:val="center"/>
          </w:tcPr>
          <w:p w14:paraId="0CAE7E76" w14:textId="431DD79F"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66" w:type="pct"/>
            <w:noWrap/>
            <w:vAlign w:val="center"/>
          </w:tcPr>
          <w:p w14:paraId="1D362739" w14:textId="17F5A3B1"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66" w:type="pct"/>
            <w:vAlign w:val="center"/>
          </w:tcPr>
          <w:p w14:paraId="418B6B95" w14:textId="6000C88F"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99" w:type="pct"/>
            <w:noWrap/>
            <w:vAlign w:val="center"/>
          </w:tcPr>
          <w:p w14:paraId="1CAAFD9C" w14:textId="74320ECA"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99" w:type="pct"/>
            <w:vAlign w:val="center"/>
          </w:tcPr>
          <w:p w14:paraId="66D01246" w14:textId="0C9F2E1E"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0.82</w:t>
            </w:r>
          </w:p>
        </w:tc>
        <w:tc>
          <w:tcPr>
            <w:tcW w:w="133" w:type="pct"/>
            <w:noWrap/>
            <w:vAlign w:val="center"/>
          </w:tcPr>
          <w:p w14:paraId="575A0801" w14:textId="71934A0F"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240" w:type="pct"/>
            <w:vAlign w:val="center"/>
          </w:tcPr>
          <w:p w14:paraId="33F202E1" w14:textId="006BF458"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2.07e−2</w:t>
            </w:r>
          </w:p>
        </w:tc>
        <w:tc>
          <w:tcPr>
            <w:tcW w:w="166" w:type="pct"/>
            <w:noWrap/>
            <w:vAlign w:val="center"/>
          </w:tcPr>
          <w:p w14:paraId="66653685" w14:textId="508F38DD"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34" w:type="pct"/>
            <w:vAlign w:val="center"/>
          </w:tcPr>
          <w:p w14:paraId="53E982C7" w14:textId="2CDE512F"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0.76</w:t>
            </w:r>
          </w:p>
        </w:tc>
        <w:tc>
          <w:tcPr>
            <w:tcW w:w="199" w:type="pct"/>
            <w:noWrap/>
            <w:vAlign w:val="center"/>
          </w:tcPr>
          <w:p w14:paraId="404AECCD" w14:textId="3B167671"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99" w:type="pct"/>
            <w:vAlign w:val="center"/>
          </w:tcPr>
          <w:p w14:paraId="156B4C84" w14:textId="1527FD50"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231" w:type="pct"/>
            <w:noWrap/>
            <w:vAlign w:val="center"/>
          </w:tcPr>
          <w:p w14:paraId="506327D6" w14:textId="72F4DBC7"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90" w:type="pct"/>
            <w:vAlign w:val="center"/>
          </w:tcPr>
          <w:p w14:paraId="06FC2C50" w14:textId="6256F865"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66" w:type="pct"/>
            <w:noWrap/>
            <w:vAlign w:val="center"/>
          </w:tcPr>
          <w:p w14:paraId="133CBE4D" w14:textId="30D18165" w:rsidR="00822E07" w:rsidRPr="007474B8" w:rsidRDefault="00822E07" w:rsidP="00822E07">
            <w:pPr>
              <w:spacing w:before="40" w:after="40" w:line="240" w:lineRule="auto"/>
              <w:jc w:val="center"/>
              <w:rPr>
                <w:rFonts w:ascii="Arial" w:eastAsia="Calibri" w:hAnsi="Arial" w:cs="Arial"/>
                <w:i/>
                <w:iCs/>
                <w:sz w:val="16"/>
                <w:szCs w:val="16"/>
              </w:rPr>
            </w:pPr>
            <w:r w:rsidRPr="007474B8">
              <w:rPr>
                <w:rFonts w:ascii="Arial" w:eastAsia="Calibri" w:hAnsi="Arial" w:cs="Arial"/>
                <w:i/>
                <w:iCs/>
                <w:sz w:val="14"/>
                <w:szCs w:val="14"/>
              </w:rPr>
              <w:t>ND</w:t>
            </w:r>
          </w:p>
        </w:tc>
        <w:tc>
          <w:tcPr>
            <w:tcW w:w="199" w:type="pct"/>
            <w:vAlign w:val="center"/>
          </w:tcPr>
          <w:p w14:paraId="1C5D3D28" w14:textId="618BAC9A"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1.34</w:t>
            </w:r>
          </w:p>
        </w:tc>
        <w:tc>
          <w:tcPr>
            <w:tcW w:w="249" w:type="pct"/>
            <w:noWrap/>
            <w:vAlign w:val="center"/>
          </w:tcPr>
          <w:p w14:paraId="3FFFEF50" w14:textId="44950277" w:rsidR="00822E07" w:rsidRPr="007474B8" w:rsidRDefault="00822E07" w:rsidP="00822E07">
            <w:pPr>
              <w:spacing w:before="40" w:after="40" w:line="240" w:lineRule="auto"/>
              <w:jc w:val="center"/>
              <w:rPr>
                <w:rFonts w:ascii="Arial" w:eastAsia="Calibri" w:hAnsi="Arial" w:cs="Arial"/>
                <w:i/>
                <w:iCs/>
                <w:sz w:val="16"/>
                <w:szCs w:val="16"/>
              </w:rPr>
            </w:pPr>
            <w:r w:rsidRPr="007474B8">
              <w:rPr>
                <w:rFonts w:ascii="Arial" w:eastAsia="Calibri" w:hAnsi="Arial" w:cs="Arial"/>
                <w:i/>
                <w:iCs/>
                <w:sz w:val="14"/>
                <w:szCs w:val="14"/>
              </w:rPr>
              <w:t>ND</w:t>
            </w:r>
          </w:p>
        </w:tc>
        <w:tc>
          <w:tcPr>
            <w:tcW w:w="134" w:type="pct"/>
            <w:vAlign w:val="center"/>
          </w:tcPr>
          <w:p w14:paraId="588CAA5A" w14:textId="1ED6783F"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1.09</w:t>
            </w:r>
          </w:p>
        </w:tc>
        <w:tc>
          <w:tcPr>
            <w:tcW w:w="174" w:type="pct"/>
            <w:noWrap/>
            <w:vAlign w:val="center"/>
          </w:tcPr>
          <w:p w14:paraId="277013D1" w14:textId="481D0012" w:rsidR="00822E07" w:rsidRPr="007474B8" w:rsidRDefault="00822E07" w:rsidP="00822E07">
            <w:pPr>
              <w:spacing w:before="40" w:after="40" w:line="240" w:lineRule="auto"/>
              <w:jc w:val="center"/>
              <w:rPr>
                <w:rFonts w:ascii="Arial" w:eastAsia="Calibri" w:hAnsi="Arial" w:cs="Arial"/>
                <w:i/>
                <w:iCs/>
                <w:sz w:val="16"/>
                <w:szCs w:val="16"/>
              </w:rPr>
            </w:pPr>
            <w:r w:rsidRPr="007474B8">
              <w:rPr>
                <w:rFonts w:ascii="Arial" w:eastAsia="Calibri" w:hAnsi="Arial" w:cs="Arial"/>
                <w:i/>
                <w:iCs/>
                <w:sz w:val="14"/>
                <w:szCs w:val="14"/>
              </w:rPr>
              <w:t>ND</w:t>
            </w:r>
          </w:p>
        </w:tc>
        <w:tc>
          <w:tcPr>
            <w:tcW w:w="139" w:type="pct"/>
            <w:vAlign w:val="center"/>
          </w:tcPr>
          <w:p w14:paraId="11B4F998" w14:textId="552EAA15"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0.79</w:t>
            </w:r>
          </w:p>
        </w:tc>
        <w:tc>
          <w:tcPr>
            <w:tcW w:w="201" w:type="pct"/>
            <w:noWrap/>
            <w:vAlign w:val="center"/>
          </w:tcPr>
          <w:p w14:paraId="66D7E654" w14:textId="72D54F31" w:rsidR="00822E07" w:rsidRPr="007474B8" w:rsidRDefault="00822E07" w:rsidP="00822E07">
            <w:pPr>
              <w:spacing w:before="40" w:after="40" w:line="240" w:lineRule="auto"/>
              <w:jc w:val="center"/>
              <w:rPr>
                <w:rFonts w:ascii="Arial" w:eastAsia="Calibri" w:hAnsi="Arial" w:cs="Arial"/>
                <w:i/>
                <w:iCs/>
                <w:sz w:val="16"/>
                <w:szCs w:val="16"/>
              </w:rPr>
            </w:pPr>
            <w:r w:rsidRPr="007474B8">
              <w:rPr>
                <w:rFonts w:ascii="Arial" w:eastAsia="Calibri" w:hAnsi="Arial" w:cs="Arial"/>
                <w:i/>
                <w:iCs/>
                <w:sz w:val="14"/>
                <w:szCs w:val="14"/>
              </w:rPr>
              <w:t>ND</w:t>
            </w:r>
          </w:p>
        </w:tc>
        <w:tc>
          <w:tcPr>
            <w:tcW w:w="187" w:type="pct"/>
            <w:vAlign w:val="center"/>
          </w:tcPr>
          <w:p w14:paraId="03AC0181" w14:textId="1A132CA8" w:rsidR="00822E07" w:rsidRPr="001B58C7" w:rsidRDefault="00822E07" w:rsidP="00822E07">
            <w:pPr>
              <w:spacing w:before="40" w:after="40" w:line="240" w:lineRule="auto"/>
              <w:jc w:val="center"/>
              <w:rPr>
                <w:rFonts w:ascii="Arial" w:eastAsia="Calibri" w:hAnsi="Arial" w:cs="Arial"/>
                <w:i/>
                <w:iCs/>
                <w:sz w:val="16"/>
                <w:szCs w:val="16"/>
              </w:rPr>
            </w:pPr>
            <w:r w:rsidRPr="007474B8">
              <w:rPr>
                <w:rFonts w:ascii="Arial" w:eastAsia="Calibri" w:hAnsi="Arial" w:cs="Arial"/>
                <w:i/>
                <w:iCs/>
                <w:sz w:val="14"/>
                <w:szCs w:val="14"/>
              </w:rPr>
              <w:t>ND</w:t>
            </w:r>
          </w:p>
        </w:tc>
      </w:tr>
      <w:tr w:rsidR="00822E07" w:rsidRPr="000D0098" w14:paraId="6177E822" w14:textId="77777777" w:rsidTr="00822E07">
        <w:trPr>
          <w:trHeight w:val="311"/>
        </w:trPr>
        <w:tc>
          <w:tcPr>
            <w:tcW w:w="474" w:type="pct"/>
            <w:vAlign w:val="center"/>
          </w:tcPr>
          <w:p w14:paraId="571AD0BB" w14:textId="77777777" w:rsidR="00822E07" w:rsidRPr="007474B8" w:rsidRDefault="00822E07" w:rsidP="00822E07">
            <w:pPr>
              <w:spacing w:before="40" w:after="40" w:line="240" w:lineRule="auto"/>
              <w:rPr>
                <w:rFonts w:ascii="Arial" w:eastAsia="Calibri" w:hAnsi="Arial" w:cs="Arial"/>
                <w:b/>
                <w:bCs/>
                <w:sz w:val="16"/>
                <w:szCs w:val="16"/>
              </w:rPr>
            </w:pPr>
            <w:r w:rsidRPr="007474B8">
              <w:rPr>
                <w:rFonts w:ascii="Arial" w:eastAsia="Calibri" w:hAnsi="Arial" w:cs="Arial"/>
                <w:b/>
                <w:bCs/>
                <w:sz w:val="16"/>
                <w:szCs w:val="16"/>
              </w:rPr>
              <w:t>2,4-D</w:t>
            </w:r>
          </w:p>
        </w:tc>
        <w:tc>
          <w:tcPr>
            <w:tcW w:w="189" w:type="pct"/>
            <w:noWrap/>
            <w:vAlign w:val="center"/>
          </w:tcPr>
          <w:p w14:paraId="3AC673F8" w14:textId="5F26A2C6"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337" w:type="pct"/>
            <w:vAlign w:val="center"/>
          </w:tcPr>
          <w:p w14:paraId="6A5BC95B" w14:textId="07797EFC"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99" w:type="pct"/>
            <w:noWrap/>
            <w:vAlign w:val="center"/>
          </w:tcPr>
          <w:p w14:paraId="5E48A736" w14:textId="1503B56A"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2.67</w:t>
            </w:r>
          </w:p>
        </w:tc>
        <w:tc>
          <w:tcPr>
            <w:tcW w:w="230" w:type="pct"/>
            <w:vAlign w:val="center"/>
          </w:tcPr>
          <w:p w14:paraId="2443A5D3" w14:textId="73B5FF87"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1.26</w:t>
            </w:r>
          </w:p>
        </w:tc>
        <w:tc>
          <w:tcPr>
            <w:tcW w:w="166" w:type="pct"/>
            <w:noWrap/>
            <w:vAlign w:val="center"/>
          </w:tcPr>
          <w:p w14:paraId="523D5602" w14:textId="45956F5A"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66" w:type="pct"/>
            <w:vAlign w:val="center"/>
          </w:tcPr>
          <w:p w14:paraId="16197A13" w14:textId="191AF2DD"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99" w:type="pct"/>
            <w:noWrap/>
            <w:vAlign w:val="center"/>
          </w:tcPr>
          <w:p w14:paraId="6A6CDB3B" w14:textId="21A28B7D"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96.99</w:t>
            </w:r>
          </w:p>
        </w:tc>
        <w:tc>
          <w:tcPr>
            <w:tcW w:w="199" w:type="pct"/>
            <w:vAlign w:val="center"/>
          </w:tcPr>
          <w:p w14:paraId="6D234657" w14:textId="66A11E8F"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33" w:type="pct"/>
            <w:noWrap/>
            <w:vAlign w:val="center"/>
          </w:tcPr>
          <w:p w14:paraId="7D4E649F" w14:textId="3A8D1690"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240" w:type="pct"/>
            <w:vAlign w:val="center"/>
          </w:tcPr>
          <w:p w14:paraId="4377330E" w14:textId="0A999A8E"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1.82</w:t>
            </w:r>
          </w:p>
        </w:tc>
        <w:tc>
          <w:tcPr>
            <w:tcW w:w="166" w:type="pct"/>
            <w:noWrap/>
            <w:vAlign w:val="center"/>
          </w:tcPr>
          <w:p w14:paraId="4EEE6D56" w14:textId="21854C15"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34" w:type="pct"/>
            <w:vAlign w:val="center"/>
          </w:tcPr>
          <w:p w14:paraId="2BE5607F" w14:textId="31B62421"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99" w:type="pct"/>
            <w:noWrap/>
            <w:vAlign w:val="center"/>
          </w:tcPr>
          <w:p w14:paraId="19B3C354" w14:textId="67CAB2CD"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99" w:type="pct"/>
            <w:vAlign w:val="center"/>
          </w:tcPr>
          <w:p w14:paraId="2059232B" w14:textId="3A2D9844"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231" w:type="pct"/>
            <w:noWrap/>
            <w:vAlign w:val="center"/>
          </w:tcPr>
          <w:p w14:paraId="16A6DE33" w14:textId="36A04FBD"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90" w:type="pct"/>
            <w:vAlign w:val="center"/>
          </w:tcPr>
          <w:p w14:paraId="1AA6F923" w14:textId="3D84386C" w:rsidR="00822E07" w:rsidRPr="007474B8" w:rsidRDefault="00822E07" w:rsidP="00822E07">
            <w:pPr>
              <w:spacing w:before="40" w:after="40" w:line="240" w:lineRule="auto"/>
              <w:jc w:val="center"/>
              <w:rPr>
                <w:rFonts w:ascii="Arial" w:eastAsia="Calibri" w:hAnsi="Arial" w:cs="Arial"/>
                <w:i/>
                <w:iCs/>
                <w:sz w:val="14"/>
                <w:szCs w:val="14"/>
              </w:rPr>
            </w:pPr>
            <w:r w:rsidRPr="007474B8">
              <w:rPr>
                <w:rFonts w:ascii="Arial" w:eastAsia="Calibri" w:hAnsi="Arial" w:cs="Arial"/>
                <w:i/>
                <w:iCs/>
                <w:sz w:val="14"/>
                <w:szCs w:val="14"/>
              </w:rPr>
              <w:t>ND</w:t>
            </w:r>
          </w:p>
        </w:tc>
        <w:tc>
          <w:tcPr>
            <w:tcW w:w="166" w:type="pct"/>
            <w:noWrap/>
            <w:vAlign w:val="center"/>
          </w:tcPr>
          <w:p w14:paraId="12B06672" w14:textId="705DD3AF" w:rsidR="00822E07" w:rsidRPr="007474B8" w:rsidRDefault="00822E07" w:rsidP="00822E07">
            <w:pPr>
              <w:spacing w:before="40" w:after="40" w:line="240" w:lineRule="auto"/>
              <w:jc w:val="center"/>
              <w:rPr>
                <w:rFonts w:ascii="Arial" w:eastAsia="Calibri" w:hAnsi="Arial" w:cs="Arial"/>
                <w:i/>
                <w:iCs/>
                <w:sz w:val="16"/>
                <w:szCs w:val="16"/>
              </w:rPr>
            </w:pPr>
            <w:r w:rsidRPr="007474B8">
              <w:rPr>
                <w:rFonts w:ascii="Arial" w:eastAsia="Calibri" w:hAnsi="Arial" w:cs="Arial"/>
                <w:i/>
                <w:iCs/>
                <w:sz w:val="14"/>
                <w:szCs w:val="14"/>
              </w:rPr>
              <w:t>ND</w:t>
            </w:r>
          </w:p>
        </w:tc>
        <w:tc>
          <w:tcPr>
            <w:tcW w:w="199" w:type="pct"/>
            <w:vAlign w:val="center"/>
          </w:tcPr>
          <w:p w14:paraId="1456D5C5" w14:textId="14460CCC" w:rsidR="00822E07" w:rsidRPr="007474B8" w:rsidRDefault="00822E07" w:rsidP="00822E07">
            <w:pPr>
              <w:spacing w:before="40" w:after="40" w:line="240" w:lineRule="auto"/>
              <w:jc w:val="center"/>
              <w:rPr>
                <w:rFonts w:ascii="Arial" w:eastAsia="Calibri" w:hAnsi="Arial" w:cs="Arial"/>
                <w:i/>
                <w:iCs/>
                <w:sz w:val="16"/>
                <w:szCs w:val="16"/>
              </w:rPr>
            </w:pPr>
            <w:r w:rsidRPr="007474B8">
              <w:rPr>
                <w:rFonts w:ascii="Arial" w:eastAsia="Calibri" w:hAnsi="Arial" w:cs="Arial"/>
                <w:i/>
                <w:iCs/>
                <w:sz w:val="14"/>
                <w:szCs w:val="14"/>
              </w:rPr>
              <w:t>ND</w:t>
            </w:r>
          </w:p>
        </w:tc>
        <w:tc>
          <w:tcPr>
            <w:tcW w:w="249" w:type="pct"/>
            <w:noWrap/>
            <w:vAlign w:val="center"/>
          </w:tcPr>
          <w:p w14:paraId="62539C70" w14:textId="76996573"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7.52e−2</w:t>
            </w:r>
          </w:p>
        </w:tc>
        <w:tc>
          <w:tcPr>
            <w:tcW w:w="134" w:type="pct"/>
            <w:vAlign w:val="center"/>
          </w:tcPr>
          <w:p w14:paraId="3CA56588" w14:textId="0C9C1289" w:rsidR="00822E07" w:rsidRPr="007474B8" w:rsidRDefault="00822E07" w:rsidP="00822E07">
            <w:pPr>
              <w:spacing w:before="40" w:after="40" w:line="240" w:lineRule="auto"/>
              <w:jc w:val="center"/>
              <w:rPr>
                <w:rFonts w:ascii="Arial" w:eastAsia="Calibri" w:hAnsi="Arial" w:cs="Arial"/>
                <w:i/>
                <w:iCs/>
                <w:sz w:val="16"/>
                <w:szCs w:val="16"/>
              </w:rPr>
            </w:pPr>
            <w:r w:rsidRPr="007474B8">
              <w:rPr>
                <w:rFonts w:ascii="Arial" w:eastAsia="Calibri" w:hAnsi="Arial" w:cs="Arial"/>
                <w:i/>
                <w:iCs/>
                <w:sz w:val="14"/>
                <w:szCs w:val="14"/>
              </w:rPr>
              <w:t>ND</w:t>
            </w:r>
          </w:p>
        </w:tc>
        <w:tc>
          <w:tcPr>
            <w:tcW w:w="174" w:type="pct"/>
            <w:noWrap/>
            <w:vAlign w:val="center"/>
          </w:tcPr>
          <w:p w14:paraId="3034DB03" w14:textId="19F3E56B"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4.17</w:t>
            </w:r>
          </w:p>
        </w:tc>
        <w:tc>
          <w:tcPr>
            <w:tcW w:w="139" w:type="pct"/>
            <w:vAlign w:val="center"/>
          </w:tcPr>
          <w:p w14:paraId="76C2DC4D" w14:textId="7CE213C2" w:rsidR="00822E07" w:rsidRPr="007474B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0.47</w:t>
            </w:r>
          </w:p>
        </w:tc>
        <w:tc>
          <w:tcPr>
            <w:tcW w:w="201" w:type="pct"/>
            <w:noWrap/>
            <w:vAlign w:val="center"/>
          </w:tcPr>
          <w:p w14:paraId="2C8A6A7D" w14:textId="7C4C0DC6" w:rsidR="00822E07" w:rsidRPr="007474B8" w:rsidRDefault="00822E07" w:rsidP="00822E07">
            <w:pPr>
              <w:spacing w:before="40" w:after="40" w:line="240" w:lineRule="auto"/>
              <w:jc w:val="center"/>
              <w:rPr>
                <w:rFonts w:ascii="Arial" w:eastAsia="Calibri" w:hAnsi="Arial" w:cs="Arial"/>
                <w:i/>
                <w:iCs/>
                <w:sz w:val="16"/>
                <w:szCs w:val="16"/>
              </w:rPr>
            </w:pPr>
            <w:r w:rsidRPr="007474B8">
              <w:rPr>
                <w:rFonts w:ascii="Arial" w:eastAsia="Calibri" w:hAnsi="Arial" w:cs="Arial"/>
                <w:i/>
                <w:iCs/>
                <w:sz w:val="14"/>
                <w:szCs w:val="14"/>
              </w:rPr>
              <w:t>ND</w:t>
            </w:r>
          </w:p>
        </w:tc>
        <w:tc>
          <w:tcPr>
            <w:tcW w:w="187" w:type="pct"/>
            <w:vAlign w:val="center"/>
          </w:tcPr>
          <w:p w14:paraId="55240245" w14:textId="27E672AC" w:rsidR="00822E07" w:rsidRPr="000D0098" w:rsidRDefault="00822E07" w:rsidP="00822E07">
            <w:pPr>
              <w:spacing w:before="40" w:after="40" w:line="240" w:lineRule="auto"/>
              <w:jc w:val="center"/>
              <w:rPr>
                <w:rFonts w:ascii="Arial" w:eastAsia="Calibri" w:hAnsi="Arial" w:cs="Arial"/>
                <w:sz w:val="16"/>
                <w:szCs w:val="16"/>
              </w:rPr>
            </w:pPr>
            <w:r w:rsidRPr="007474B8">
              <w:rPr>
                <w:rFonts w:ascii="Arial" w:eastAsia="Calibri" w:hAnsi="Arial" w:cs="Arial"/>
                <w:sz w:val="16"/>
                <w:szCs w:val="16"/>
              </w:rPr>
              <w:t>4.49</w:t>
            </w:r>
          </w:p>
        </w:tc>
      </w:tr>
      <w:tr w:rsidR="00822E07" w:rsidRPr="000D0098" w14:paraId="3BFE41A4" w14:textId="77777777" w:rsidTr="00822E07">
        <w:trPr>
          <w:trHeight w:val="311"/>
        </w:trPr>
        <w:tc>
          <w:tcPr>
            <w:tcW w:w="474" w:type="pct"/>
            <w:vAlign w:val="center"/>
          </w:tcPr>
          <w:p w14:paraId="50113CBD" w14:textId="77777777" w:rsidR="00822E07" w:rsidRPr="000D0098" w:rsidRDefault="00822E07" w:rsidP="00822E07">
            <w:pPr>
              <w:spacing w:before="40" w:after="40" w:line="240" w:lineRule="auto"/>
              <w:rPr>
                <w:rFonts w:ascii="Arial" w:eastAsia="Calibri" w:hAnsi="Arial" w:cs="Arial"/>
                <w:b/>
                <w:bCs/>
                <w:sz w:val="16"/>
                <w:szCs w:val="16"/>
              </w:rPr>
            </w:pPr>
            <w:r w:rsidRPr="000D0098">
              <w:rPr>
                <w:rFonts w:ascii="Arial" w:eastAsia="Calibri" w:hAnsi="Arial" w:cs="Arial"/>
                <w:b/>
                <w:bCs/>
                <w:sz w:val="16"/>
                <w:szCs w:val="16"/>
              </w:rPr>
              <w:t>Nicosulfuron</w:t>
            </w:r>
          </w:p>
        </w:tc>
        <w:tc>
          <w:tcPr>
            <w:tcW w:w="189" w:type="pct"/>
            <w:noWrap/>
            <w:vAlign w:val="center"/>
          </w:tcPr>
          <w:p w14:paraId="4053F713" w14:textId="34E979F8"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95</w:t>
            </w:r>
            <w:r>
              <w:rPr>
                <w:rFonts w:ascii="Arial" w:eastAsia="Calibri" w:hAnsi="Arial" w:cs="Arial"/>
                <w:sz w:val="16"/>
                <w:szCs w:val="16"/>
              </w:rPr>
              <w:t>.</w:t>
            </w:r>
            <w:r w:rsidRPr="000D0098">
              <w:rPr>
                <w:rFonts w:ascii="Arial" w:eastAsia="Calibri" w:hAnsi="Arial" w:cs="Arial"/>
                <w:sz w:val="16"/>
                <w:szCs w:val="16"/>
              </w:rPr>
              <w:t>29</w:t>
            </w:r>
          </w:p>
        </w:tc>
        <w:tc>
          <w:tcPr>
            <w:tcW w:w="337" w:type="pct"/>
            <w:vAlign w:val="center"/>
          </w:tcPr>
          <w:p w14:paraId="703A7AA0" w14:textId="5B0943D7"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199" w:type="pct"/>
            <w:noWrap/>
            <w:vAlign w:val="center"/>
          </w:tcPr>
          <w:p w14:paraId="0E7F4D74" w14:textId="6A522121"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230" w:type="pct"/>
            <w:vAlign w:val="center"/>
          </w:tcPr>
          <w:p w14:paraId="44CB2266" w14:textId="2F003D57"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3FF372EE" w14:textId="10DDB66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vAlign w:val="center"/>
          </w:tcPr>
          <w:p w14:paraId="798CE00F" w14:textId="39E3C4C1"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2C7CAA38" w14:textId="46DD5073"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147</w:t>
            </w:r>
            <w:r>
              <w:rPr>
                <w:rFonts w:ascii="Arial" w:eastAsia="Calibri" w:hAnsi="Arial" w:cs="Arial"/>
                <w:sz w:val="16"/>
                <w:szCs w:val="16"/>
              </w:rPr>
              <w:t>.</w:t>
            </w:r>
            <w:r w:rsidRPr="000D0098">
              <w:rPr>
                <w:rFonts w:ascii="Arial" w:eastAsia="Calibri" w:hAnsi="Arial" w:cs="Arial"/>
                <w:sz w:val="16"/>
                <w:szCs w:val="16"/>
              </w:rPr>
              <w:t>84</w:t>
            </w:r>
          </w:p>
        </w:tc>
        <w:tc>
          <w:tcPr>
            <w:tcW w:w="199" w:type="pct"/>
            <w:vAlign w:val="center"/>
          </w:tcPr>
          <w:p w14:paraId="459AE91B" w14:textId="4E1E3671"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3" w:type="pct"/>
            <w:noWrap/>
            <w:vAlign w:val="center"/>
          </w:tcPr>
          <w:p w14:paraId="62ED8494" w14:textId="51A7688E"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40" w:type="pct"/>
            <w:vAlign w:val="center"/>
          </w:tcPr>
          <w:p w14:paraId="4D03FE74" w14:textId="1E8E2C2A"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1120</w:t>
            </w:r>
            <w:r>
              <w:rPr>
                <w:rFonts w:ascii="Arial" w:eastAsia="Calibri" w:hAnsi="Arial" w:cs="Arial"/>
                <w:sz w:val="16"/>
                <w:szCs w:val="16"/>
              </w:rPr>
              <w:t>.</w:t>
            </w:r>
            <w:r w:rsidRPr="000D0098">
              <w:rPr>
                <w:rFonts w:ascii="Arial" w:eastAsia="Calibri" w:hAnsi="Arial" w:cs="Arial"/>
                <w:sz w:val="16"/>
                <w:szCs w:val="16"/>
              </w:rPr>
              <w:t>68</w:t>
            </w:r>
          </w:p>
        </w:tc>
        <w:tc>
          <w:tcPr>
            <w:tcW w:w="166" w:type="pct"/>
            <w:noWrap/>
            <w:vAlign w:val="center"/>
          </w:tcPr>
          <w:p w14:paraId="2D457611" w14:textId="11C47449"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4" w:type="pct"/>
            <w:vAlign w:val="center"/>
          </w:tcPr>
          <w:p w14:paraId="5CCF406B" w14:textId="3394E4D9"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15E72556" w14:textId="663A55EF"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vAlign w:val="center"/>
          </w:tcPr>
          <w:p w14:paraId="5F900D43" w14:textId="02374282"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31" w:type="pct"/>
            <w:noWrap/>
            <w:vAlign w:val="center"/>
          </w:tcPr>
          <w:p w14:paraId="3459A5F2" w14:textId="5CC0971F"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1484</w:t>
            </w:r>
            <w:r>
              <w:rPr>
                <w:rFonts w:ascii="Arial" w:eastAsia="Calibri" w:hAnsi="Arial" w:cs="Arial"/>
                <w:sz w:val="16"/>
                <w:szCs w:val="16"/>
              </w:rPr>
              <w:t>.</w:t>
            </w:r>
            <w:r w:rsidRPr="000D0098">
              <w:rPr>
                <w:rFonts w:ascii="Arial" w:eastAsia="Calibri" w:hAnsi="Arial" w:cs="Arial"/>
                <w:sz w:val="16"/>
                <w:szCs w:val="16"/>
              </w:rPr>
              <w:t>90</w:t>
            </w:r>
          </w:p>
        </w:tc>
        <w:tc>
          <w:tcPr>
            <w:tcW w:w="90" w:type="pct"/>
            <w:vAlign w:val="center"/>
          </w:tcPr>
          <w:p w14:paraId="6E401040" w14:textId="14755922"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2ABC5133" w14:textId="5A8ED22A"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99" w:type="pct"/>
            <w:vAlign w:val="center"/>
          </w:tcPr>
          <w:p w14:paraId="1583E560" w14:textId="5E65BD4F"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249" w:type="pct"/>
            <w:noWrap/>
            <w:vAlign w:val="center"/>
          </w:tcPr>
          <w:p w14:paraId="0003512C" w14:textId="65495E09"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34" w:type="pct"/>
            <w:vAlign w:val="center"/>
          </w:tcPr>
          <w:p w14:paraId="1A4DA86E" w14:textId="5A7FBDC0"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74" w:type="pct"/>
            <w:noWrap/>
            <w:vAlign w:val="center"/>
          </w:tcPr>
          <w:p w14:paraId="30433438" w14:textId="3CB4FAAF" w:rsidR="00822E07" w:rsidRPr="00CC156E" w:rsidRDefault="00822E07" w:rsidP="00822E07">
            <w:pPr>
              <w:spacing w:before="40" w:after="40" w:line="240" w:lineRule="auto"/>
              <w:jc w:val="center"/>
              <w:rPr>
                <w:rFonts w:ascii="Arial" w:eastAsia="Calibri" w:hAnsi="Arial" w:cs="Arial"/>
                <w:i/>
                <w:iCs/>
                <w:sz w:val="16"/>
                <w:szCs w:val="16"/>
              </w:rPr>
            </w:pPr>
            <w:r w:rsidRPr="00CC156E">
              <w:rPr>
                <w:rFonts w:ascii="Arial" w:eastAsia="Calibri" w:hAnsi="Arial" w:cs="Arial"/>
                <w:i/>
                <w:iCs/>
                <w:sz w:val="14"/>
                <w:szCs w:val="14"/>
              </w:rPr>
              <w:t>ND</w:t>
            </w:r>
          </w:p>
        </w:tc>
        <w:tc>
          <w:tcPr>
            <w:tcW w:w="139" w:type="pct"/>
            <w:vAlign w:val="center"/>
          </w:tcPr>
          <w:p w14:paraId="1D3708BF" w14:textId="081D0512"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c>
          <w:tcPr>
            <w:tcW w:w="201" w:type="pct"/>
            <w:noWrap/>
            <w:vAlign w:val="center"/>
          </w:tcPr>
          <w:p w14:paraId="635752A6" w14:textId="0CB95241"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c>
          <w:tcPr>
            <w:tcW w:w="187" w:type="pct"/>
            <w:vAlign w:val="center"/>
          </w:tcPr>
          <w:p w14:paraId="280AA8E6" w14:textId="3477434F"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733</w:t>
            </w:r>
            <w:r>
              <w:rPr>
                <w:rFonts w:ascii="Arial" w:eastAsia="Calibri" w:hAnsi="Arial" w:cs="Arial"/>
                <w:sz w:val="16"/>
                <w:szCs w:val="16"/>
              </w:rPr>
              <w:t>.</w:t>
            </w:r>
            <w:r w:rsidRPr="000D0098">
              <w:rPr>
                <w:rFonts w:ascii="Arial" w:eastAsia="Calibri" w:hAnsi="Arial" w:cs="Arial"/>
                <w:sz w:val="16"/>
                <w:szCs w:val="16"/>
              </w:rPr>
              <w:t>14</w:t>
            </w:r>
          </w:p>
        </w:tc>
      </w:tr>
      <w:tr w:rsidR="00822E07" w:rsidRPr="000D0098" w14:paraId="559DF25B" w14:textId="77777777" w:rsidTr="00822E07">
        <w:trPr>
          <w:trHeight w:val="311"/>
        </w:trPr>
        <w:tc>
          <w:tcPr>
            <w:tcW w:w="474" w:type="pct"/>
            <w:vAlign w:val="center"/>
          </w:tcPr>
          <w:p w14:paraId="2429125D" w14:textId="26757A12" w:rsidR="00822E07" w:rsidRPr="000D0098" w:rsidRDefault="00822E07" w:rsidP="00822E07">
            <w:pPr>
              <w:spacing w:before="40" w:after="40" w:line="240" w:lineRule="auto"/>
              <w:rPr>
                <w:rFonts w:ascii="Arial" w:eastAsia="Calibri" w:hAnsi="Arial" w:cs="Arial"/>
                <w:b/>
                <w:bCs/>
                <w:sz w:val="16"/>
                <w:szCs w:val="16"/>
              </w:rPr>
            </w:pPr>
            <w:proofErr w:type="spellStart"/>
            <w:r w:rsidRPr="000D0098">
              <w:rPr>
                <w:rFonts w:ascii="Arial" w:eastAsia="Calibri" w:hAnsi="Arial" w:cs="Arial"/>
                <w:b/>
                <w:bCs/>
                <w:sz w:val="16"/>
                <w:szCs w:val="16"/>
              </w:rPr>
              <w:t>Prom</w:t>
            </w:r>
            <w:r>
              <w:rPr>
                <w:rFonts w:ascii="Arial" w:eastAsia="Calibri" w:hAnsi="Arial" w:cs="Arial"/>
                <w:b/>
                <w:bCs/>
                <w:sz w:val="16"/>
                <w:szCs w:val="16"/>
              </w:rPr>
              <w:t>e</w:t>
            </w:r>
            <w:r w:rsidRPr="000D0098">
              <w:rPr>
                <w:rFonts w:ascii="Arial" w:eastAsia="Calibri" w:hAnsi="Arial" w:cs="Arial"/>
                <w:b/>
                <w:bCs/>
                <w:sz w:val="16"/>
                <w:szCs w:val="16"/>
              </w:rPr>
              <w:t>tryn</w:t>
            </w:r>
            <w:proofErr w:type="spellEnd"/>
          </w:p>
        </w:tc>
        <w:tc>
          <w:tcPr>
            <w:tcW w:w="189" w:type="pct"/>
            <w:noWrap/>
            <w:vAlign w:val="center"/>
          </w:tcPr>
          <w:p w14:paraId="56B22ED5" w14:textId="1B13BC2C"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337" w:type="pct"/>
            <w:vAlign w:val="center"/>
          </w:tcPr>
          <w:p w14:paraId="0CBB924D" w14:textId="0D7C7516"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199" w:type="pct"/>
            <w:noWrap/>
            <w:vAlign w:val="center"/>
          </w:tcPr>
          <w:p w14:paraId="12E83D30" w14:textId="6BCDD603"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230" w:type="pct"/>
            <w:vAlign w:val="center"/>
          </w:tcPr>
          <w:p w14:paraId="72800A2A" w14:textId="373DF3A5"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3512E226" w14:textId="24AC2833"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vAlign w:val="center"/>
          </w:tcPr>
          <w:p w14:paraId="307A8D12" w14:textId="71FFE9F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6882A708" w14:textId="35337528"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2</w:t>
            </w:r>
            <w:r>
              <w:rPr>
                <w:rFonts w:ascii="Arial" w:eastAsia="Calibri" w:hAnsi="Arial" w:cs="Arial"/>
                <w:sz w:val="16"/>
                <w:szCs w:val="16"/>
              </w:rPr>
              <w:t>.</w:t>
            </w:r>
            <w:r w:rsidRPr="000D0098">
              <w:rPr>
                <w:rFonts w:ascii="Arial" w:eastAsia="Calibri" w:hAnsi="Arial" w:cs="Arial"/>
                <w:sz w:val="16"/>
                <w:szCs w:val="16"/>
              </w:rPr>
              <w:t>00</w:t>
            </w:r>
          </w:p>
        </w:tc>
        <w:tc>
          <w:tcPr>
            <w:tcW w:w="199" w:type="pct"/>
            <w:vAlign w:val="center"/>
          </w:tcPr>
          <w:p w14:paraId="774EC049" w14:textId="781B7127"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3" w:type="pct"/>
            <w:noWrap/>
            <w:vAlign w:val="center"/>
          </w:tcPr>
          <w:p w14:paraId="23339D51" w14:textId="1E62EC0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40" w:type="pct"/>
            <w:vAlign w:val="center"/>
          </w:tcPr>
          <w:p w14:paraId="0E26FC61" w14:textId="28D2C0B1"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08ACC173" w14:textId="38ADBFE7"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4" w:type="pct"/>
            <w:vAlign w:val="center"/>
          </w:tcPr>
          <w:p w14:paraId="668612B2" w14:textId="2DBC70CA"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w:t>
            </w:r>
            <w:r>
              <w:rPr>
                <w:rFonts w:ascii="Arial" w:eastAsia="Calibri" w:hAnsi="Arial" w:cs="Arial"/>
                <w:sz w:val="16"/>
                <w:szCs w:val="16"/>
              </w:rPr>
              <w:t>.</w:t>
            </w:r>
            <w:r w:rsidRPr="000D0098">
              <w:rPr>
                <w:rFonts w:ascii="Arial" w:eastAsia="Calibri" w:hAnsi="Arial" w:cs="Arial"/>
                <w:sz w:val="16"/>
                <w:szCs w:val="16"/>
              </w:rPr>
              <w:t>46</w:t>
            </w:r>
          </w:p>
        </w:tc>
        <w:tc>
          <w:tcPr>
            <w:tcW w:w="199" w:type="pct"/>
            <w:noWrap/>
            <w:vAlign w:val="center"/>
          </w:tcPr>
          <w:p w14:paraId="4088202A" w14:textId="66FFAE81"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vAlign w:val="center"/>
          </w:tcPr>
          <w:p w14:paraId="4146BB82" w14:textId="1CFF3046"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31" w:type="pct"/>
            <w:noWrap/>
            <w:vAlign w:val="center"/>
          </w:tcPr>
          <w:p w14:paraId="5194324F" w14:textId="343F7165"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w:t>
            </w:r>
            <w:r>
              <w:rPr>
                <w:rFonts w:ascii="Arial" w:eastAsia="Calibri" w:hAnsi="Arial" w:cs="Arial"/>
                <w:sz w:val="16"/>
                <w:szCs w:val="16"/>
              </w:rPr>
              <w:t>.</w:t>
            </w:r>
            <w:r w:rsidRPr="000D0098">
              <w:rPr>
                <w:rFonts w:ascii="Arial" w:eastAsia="Calibri" w:hAnsi="Arial" w:cs="Arial"/>
                <w:sz w:val="16"/>
                <w:szCs w:val="16"/>
              </w:rPr>
              <w:t>08</w:t>
            </w:r>
          </w:p>
        </w:tc>
        <w:tc>
          <w:tcPr>
            <w:tcW w:w="90" w:type="pct"/>
            <w:vAlign w:val="center"/>
          </w:tcPr>
          <w:p w14:paraId="3D5AD080" w14:textId="74E93548"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5FFD8322" w14:textId="34217D2F"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99" w:type="pct"/>
            <w:vAlign w:val="center"/>
          </w:tcPr>
          <w:p w14:paraId="1B9C97E1" w14:textId="588CED57"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8</w:t>
            </w:r>
            <w:r>
              <w:rPr>
                <w:rFonts w:ascii="Arial" w:eastAsia="Calibri" w:hAnsi="Arial" w:cs="Arial"/>
                <w:sz w:val="16"/>
                <w:szCs w:val="16"/>
              </w:rPr>
              <w:t>.</w:t>
            </w:r>
            <w:r w:rsidRPr="000D0098">
              <w:rPr>
                <w:rFonts w:ascii="Arial" w:eastAsia="Calibri" w:hAnsi="Arial" w:cs="Arial"/>
                <w:sz w:val="16"/>
                <w:szCs w:val="16"/>
              </w:rPr>
              <w:t>71</w:t>
            </w:r>
          </w:p>
        </w:tc>
        <w:tc>
          <w:tcPr>
            <w:tcW w:w="249" w:type="pct"/>
            <w:noWrap/>
            <w:vAlign w:val="center"/>
          </w:tcPr>
          <w:p w14:paraId="617B551F" w14:textId="38D5A1E7"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0</w:t>
            </w:r>
            <w:r>
              <w:rPr>
                <w:rFonts w:ascii="Arial" w:eastAsia="Calibri" w:hAnsi="Arial" w:cs="Arial"/>
                <w:sz w:val="16"/>
                <w:szCs w:val="16"/>
              </w:rPr>
              <w:t>.</w:t>
            </w:r>
            <w:r w:rsidRPr="000D0098">
              <w:rPr>
                <w:rFonts w:ascii="Arial" w:eastAsia="Calibri" w:hAnsi="Arial" w:cs="Arial"/>
                <w:sz w:val="16"/>
                <w:szCs w:val="16"/>
              </w:rPr>
              <w:t>80</w:t>
            </w:r>
          </w:p>
        </w:tc>
        <w:tc>
          <w:tcPr>
            <w:tcW w:w="134" w:type="pct"/>
            <w:vAlign w:val="center"/>
          </w:tcPr>
          <w:p w14:paraId="537D83EA" w14:textId="719F607D"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74" w:type="pct"/>
            <w:noWrap/>
            <w:vAlign w:val="center"/>
          </w:tcPr>
          <w:p w14:paraId="113A994D" w14:textId="127A3D4B"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w:t>
            </w:r>
            <w:r>
              <w:rPr>
                <w:rFonts w:ascii="Arial" w:eastAsia="Calibri" w:hAnsi="Arial" w:cs="Arial"/>
                <w:sz w:val="16"/>
                <w:szCs w:val="16"/>
              </w:rPr>
              <w:t>.</w:t>
            </w:r>
            <w:r w:rsidRPr="000D0098">
              <w:rPr>
                <w:rFonts w:ascii="Arial" w:eastAsia="Calibri" w:hAnsi="Arial" w:cs="Arial"/>
                <w:sz w:val="16"/>
                <w:szCs w:val="16"/>
              </w:rPr>
              <w:t>80</w:t>
            </w:r>
          </w:p>
        </w:tc>
        <w:tc>
          <w:tcPr>
            <w:tcW w:w="139" w:type="pct"/>
            <w:vAlign w:val="center"/>
          </w:tcPr>
          <w:p w14:paraId="1017EB07" w14:textId="418DCBBE"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2</w:t>
            </w:r>
            <w:r>
              <w:rPr>
                <w:rFonts w:ascii="Arial" w:eastAsia="Calibri" w:hAnsi="Arial" w:cs="Arial"/>
                <w:sz w:val="16"/>
                <w:szCs w:val="16"/>
              </w:rPr>
              <w:t>.</w:t>
            </w:r>
            <w:r w:rsidRPr="000D0098">
              <w:rPr>
                <w:rFonts w:ascii="Arial" w:eastAsia="Calibri" w:hAnsi="Arial" w:cs="Arial"/>
                <w:sz w:val="16"/>
                <w:szCs w:val="16"/>
              </w:rPr>
              <w:t>69</w:t>
            </w:r>
          </w:p>
        </w:tc>
        <w:tc>
          <w:tcPr>
            <w:tcW w:w="201" w:type="pct"/>
            <w:noWrap/>
            <w:vAlign w:val="center"/>
          </w:tcPr>
          <w:p w14:paraId="00A02D09" w14:textId="3C953BB0"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c>
          <w:tcPr>
            <w:tcW w:w="187" w:type="pct"/>
            <w:vAlign w:val="center"/>
          </w:tcPr>
          <w:p w14:paraId="1BEC5C4F" w14:textId="656BD07E"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r>
      <w:tr w:rsidR="00822E07" w:rsidRPr="000D0098" w14:paraId="17953DF9" w14:textId="77777777" w:rsidTr="00822E07">
        <w:trPr>
          <w:trHeight w:val="311"/>
        </w:trPr>
        <w:tc>
          <w:tcPr>
            <w:tcW w:w="474" w:type="pct"/>
            <w:vAlign w:val="center"/>
          </w:tcPr>
          <w:p w14:paraId="2767601E" w14:textId="77777777" w:rsidR="00822E07" w:rsidRPr="000D0098" w:rsidRDefault="00822E07" w:rsidP="00822E07">
            <w:pPr>
              <w:spacing w:before="40" w:after="40" w:line="240" w:lineRule="auto"/>
              <w:rPr>
                <w:rFonts w:ascii="Arial" w:eastAsia="Calibri" w:hAnsi="Arial" w:cs="Arial"/>
                <w:b/>
                <w:bCs/>
                <w:sz w:val="16"/>
                <w:szCs w:val="16"/>
              </w:rPr>
            </w:pPr>
            <w:proofErr w:type="spellStart"/>
            <w:r w:rsidRPr="000D0098">
              <w:rPr>
                <w:rFonts w:ascii="Arial" w:eastAsia="Calibri" w:hAnsi="Arial" w:cs="Arial"/>
                <w:b/>
                <w:bCs/>
                <w:sz w:val="16"/>
                <w:szCs w:val="16"/>
              </w:rPr>
              <w:t>Emamectin</w:t>
            </w:r>
            <w:proofErr w:type="spellEnd"/>
            <w:r w:rsidRPr="000D0098">
              <w:rPr>
                <w:rFonts w:ascii="Arial" w:eastAsia="Calibri" w:hAnsi="Arial" w:cs="Arial"/>
                <w:b/>
                <w:bCs/>
                <w:sz w:val="16"/>
                <w:szCs w:val="16"/>
              </w:rPr>
              <w:t xml:space="preserve"> benzoate</w:t>
            </w:r>
          </w:p>
        </w:tc>
        <w:tc>
          <w:tcPr>
            <w:tcW w:w="189" w:type="pct"/>
            <w:noWrap/>
            <w:vAlign w:val="center"/>
          </w:tcPr>
          <w:p w14:paraId="43DF32F8" w14:textId="5665D11A"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337" w:type="pct"/>
            <w:vAlign w:val="center"/>
          </w:tcPr>
          <w:p w14:paraId="64B3264A" w14:textId="0618B2C4"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14</w:t>
            </w:r>
            <w:r>
              <w:rPr>
                <w:rFonts w:ascii="Arial" w:eastAsia="Calibri" w:hAnsi="Arial" w:cs="Arial"/>
                <w:sz w:val="16"/>
                <w:szCs w:val="16"/>
              </w:rPr>
              <w:t>.</w:t>
            </w:r>
            <w:r w:rsidRPr="000D0098">
              <w:rPr>
                <w:rFonts w:ascii="Arial" w:eastAsia="Calibri" w:hAnsi="Arial" w:cs="Arial"/>
                <w:sz w:val="16"/>
                <w:szCs w:val="16"/>
              </w:rPr>
              <w:t>27</w:t>
            </w:r>
          </w:p>
        </w:tc>
        <w:tc>
          <w:tcPr>
            <w:tcW w:w="199" w:type="pct"/>
            <w:noWrap/>
            <w:vAlign w:val="center"/>
          </w:tcPr>
          <w:p w14:paraId="47D0C8B0" w14:textId="7C959830"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50</w:t>
            </w:r>
            <w:r>
              <w:rPr>
                <w:rFonts w:ascii="Arial" w:eastAsia="Calibri" w:hAnsi="Arial" w:cs="Arial"/>
                <w:sz w:val="16"/>
                <w:szCs w:val="16"/>
              </w:rPr>
              <w:t>.</w:t>
            </w:r>
            <w:r w:rsidRPr="000D0098">
              <w:rPr>
                <w:rFonts w:ascii="Arial" w:eastAsia="Calibri" w:hAnsi="Arial" w:cs="Arial"/>
                <w:sz w:val="16"/>
                <w:szCs w:val="16"/>
              </w:rPr>
              <w:t>00</w:t>
            </w:r>
          </w:p>
        </w:tc>
        <w:tc>
          <w:tcPr>
            <w:tcW w:w="230" w:type="pct"/>
            <w:vAlign w:val="center"/>
          </w:tcPr>
          <w:p w14:paraId="2FAFDFAE" w14:textId="5EB8CDE4"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0924E497" w14:textId="4D3CB053"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12</w:t>
            </w:r>
            <w:r>
              <w:rPr>
                <w:rFonts w:ascii="Arial" w:eastAsia="Calibri" w:hAnsi="Arial" w:cs="Arial"/>
                <w:sz w:val="16"/>
                <w:szCs w:val="16"/>
              </w:rPr>
              <w:t>.</w:t>
            </w:r>
            <w:r w:rsidRPr="000D0098">
              <w:rPr>
                <w:rFonts w:ascii="Arial" w:eastAsia="Calibri" w:hAnsi="Arial" w:cs="Arial"/>
                <w:sz w:val="16"/>
                <w:szCs w:val="16"/>
              </w:rPr>
              <w:t>00</w:t>
            </w:r>
          </w:p>
        </w:tc>
        <w:tc>
          <w:tcPr>
            <w:tcW w:w="166" w:type="pct"/>
            <w:vAlign w:val="center"/>
          </w:tcPr>
          <w:p w14:paraId="6762282E" w14:textId="01C092D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3BAC56CF" w14:textId="0D7968F9"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23</w:t>
            </w:r>
            <w:r>
              <w:rPr>
                <w:rFonts w:ascii="Arial" w:eastAsia="Calibri" w:hAnsi="Arial" w:cs="Arial"/>
                <w:sz w:val="16"/>
                <w:szCs w:val="16"/>
              </w:rPr>
              <w:t>.</w:t>
            </w:r>
            <w:r w:rsidRPr="000D0098">
              <w:rPr>
                <w:rFonts w:ascii="Arial" w:eastAsia="Calibri" w:hAnsi="Arial" w:cs="Arial"/>
                <w:sz w:val="16"/>
                <w:szCs w:val="16"/>
              </w:rPr>
              <w:t>21</w:t>
            </w:r>
          </w:p>
        </w:tc>
        <w:tc>
          <w:tcPr>
            <w:tcW w:w="199" w:type="pct"/>
            <w:vAlign w:val="center"/>
          </w:tcPr>
          <w:p w14:paraId="5D8B24D4" w14:textId="3C0B2FD1"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19</w:t>
            </w:r>
            <w:r>
              <w:rPr>
                <w:rFonts w:ascii="Arial" w:eastAsia="Calibri" w:hAnsi="Arial" w:cs="Arial"/>
                <w:sz w:val="16"/>
                <w:szCs w:val="16"/>
              </w:rPr>
              <w:t>.</w:t>
            </w:r>
            <w:r w:rsidRPr="000D0098">
              <w:rPr>
                <w:rFonts w:ascii="Arial" w:eastAsia="Calibri" w:hAnsi="Arial" w:cs="Arial"/>
                <w:sz w:val="16"/>
                <w:szCs w:val="16"/>
              </w:rPr>
              <w:t>12</w:t>
            </w:r>
          </w:p>
        </w:tc>
        <w:tc>
          <w:tcPr>
            <w:tcW w:w="133" w:type="pct"/>
            <w:noWrap/>
            <w:vAlign w:val="center"/>
          </w:tcPr>
          <w:p w14:paraId="3E10CCDB" w14:textId="540667BE"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40" w:type="pct"/>
            <w:vAlign w:val="center"/>
          </w:tcPr>
          <w:p w14:paraId="258FC05B" w14:textId="38371101"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16D331E3" w14:textId="45F8B92C"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16</w:t>
            </w:r>
            <w:r>
              <w:rPr>
                <w:rFonts w:ascii="Arial" w:eastAsia="Calibri" w:hAnsi="Arial" w:cs="Arial"/>
                <w:sz w:val="16"/>
                <w:szCs w:val="16"/>
              </w:rPr>
              <w:t>.</w:t>
            </w:r>
            <w:r w:rsidRPr="000D0098">
              <w:rPr>
                <w:rFonts w:ascii="Arial" w:eastAsia="Calibri" w:hAnsi="Arial" w:cs="Arial"/>
                <w:sz w:val="16"/>
                <w:szCs w:val="16"/>
              </w:rPr>
              <w:t>04</w:t>
            </w:r>
          </w:p>
        </w:tc>
        <w:tc>
          <w:tcPr>
            <w:tcW w:w="134" w:type="pct"/>
            <w:vAlign w:val="center"/>
          </w:tcPr>
          <w:p w14:paraId="3F2D883D" w14:textId="3DB8A24F"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50D05D88" w14:textId="41C7221A"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21</w:t>
            </w:r>
            <w:r>
              <w:rPr>
                <w:rFonts w:ascii="Arial" w:eastAsia="Calibri" w:hAnsi="Arial" w:cs="Arial"/>
                <w:sz w:val="16"/>
                <w:szCs w:val="16"/>
              </w:rPr>
              <w:t>.</w:t>
            </w:r>
            <w:r w:rsidRPr="000D0098">
              <w:rPr>
                <w:rFonts w:ascii="Arial" w:eastAsia="Calibri" w:hAnsi="Arial" w:cs="Arial"/>
                <w:sz w:val="16"/>
                <w:szCs w:val="16"/>
              </w:rPr>
              <w:t>19</w:t>
            </w:r>
          </w:p>
        </w:tc>
        <w:tc>
          <w:tcPr>
            <w:tcW w:w="199" w:type="pct"/>
            <w:vAlign w:val="center"/>
          </w:tcPr>
          <w:p w14:paraId="64A10E49" w14:textId="04EBA602"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31" w:type="pct"/>
            <w:noWrap/>
            <w:vAlign w:val="center"/>
          </w:tcPr>
          <w:p w14:paraId="11ADE53B" w14:textId="2F22A667"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90" w:type="pct"/>
            <w:vAlign w:val="center"/>
          </w:tcPr>
          <w:p w14:paraId="573FD2B0" w14:textId="31ADF362"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46828400" w14:textId="267FC887"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39</w:t>
            </w:r>
            <w:r>
              <w:rPr>
                <w:rFonts w:ascii="Arial" w:eastAsia="Calibri" w:hAnsi="Arial" w:cs="Arial"/>
                <w:sz w:val="16"/>
                <w:szCs w:val="16"/>
              </w:rPr>
              <w:t>.</w:t>
            </w:r>
            <w:r w:rsidRPr="000D0098">
              <w:rPr>
                <w:rFonts w:ascii="Arial" w:eastAsia="Calibri" w:hAnsi="Arial" w:cs="Arial"/>
                <w:sz w:val="16"/>
                <w:szCs w:val="16"/>
              </w:rPr>
              <w:t>88</w:t>
            </w:r>
          </w:p>
        </w:tc>
        <w:tc>
          <w:tcPr>
            <w:tcW w:w="199" w:type="pct"/>
            <w:vAlign w:val="center"/>
          </w:tcPr>
          <w:p w14:paraId="180EDA94" w14:textId="2144C058"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249" w:type="pct"/>
            <w:noWrap/>
            <w:vAlign w:val="center"/>
          </w:tcPr>
          <w:p w14:paraId="0CE42CCC" w14:textId="145F90FE"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34" w:type="pct"/>
            <w:vAlign w:val="center"/>
          </w:tcPr>
          <w:p w14:paraId="28973719" w14:textId="0A459147"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74" w:type="pct"/>
            <w:noWrap/>
            <w:vAlign w:val="center"/>
          </w:tcPr>
          <w:p w14:paraId="4C297B45" w14:textId="46FEA30A"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33</w:t>
            </w:r>
            <w:r>
              <w:rPr>
                <w:rFonts w:ascii="Arial" w:eastAsia="Calibri" w:hAnsi="Arial" w:cs="Arial"/>
                <w:sz w:val="16"/>
                <w:szCs w:val="16"/>
              </w:rPr>
              <w:t>.</w:t>
            </w:r>
            <w:r w:rsidRPr="000D0098">
              <w:rPr>
                <w:rFonts w:ascii="Arial" w:eastAsia="Calibri" w:hAnsi="Arial" w:cs="Arial"/>
                <w:sz w:val="16"/>
                <w:szCs w:val="16"/>
              </w:rPr>
              <w:t>52</w:t>
            </w:r>
          </w:p>
        </w:tc>
        <w:tc>
          <w:tcPr>
            <w:tcW w:w="139" w:type="pct"/>
            <w:vAlign w:val="center"/>
          </w:tcPr>
          <w:p w14:paraId="6E6AE0F4" w14:textId="4AF5B467"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c>
          <w:tcPr>
            <w:tcW w:w="201" w:type="pct"/>
            <w:noWrap/>
            <w:vAlign w:val="center"/>
          </w:tcPr>
          <w:p w14:paraId="1544D725" w14:textId="5504D75C"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4</w:t>
            </w:r>
            <w:r>
              <w:rPr>
                <w:rFonts w:ascii="Arial" w:eastAsia="Calibri" w:hAnsi="Arial" w:cs="Arial"/>
                <w:sz w:val="16"/>
                <w:szCs w:val="16"/>
              </w:rPr>
              <w:t>.</w:t>
            </w:r>
            <w:r w:rsidRPr="000D0098">
              <w:rPr>
                <w:rFonts w:ascii="Arial" w:eastAsia="Calibri" w:hAnsi="Arial" w:cs="Arial"/>
                <w:sz w:val="16"/>
                <w:szCs w:val="16"/>
              </w:rPr>
              <w:t>62</w:t>
            </w:r>
          </w:p>
        </w:tc>
        <w:tc>
          <w:tcPr>
            <w:tcW w:w="187" w:type="pct"/>
            <w:vAlign w:val="center"/>
          </w:tcPr>
          <w:p w14:paraId="0CFE6C81" w14:textId="54BC3430"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13</w:t>
            </w:r>
            <w:r>
              <w:rPr>
                <w:rFonts w:ascii="Arial" w:eastAsia="Calibri" w:hAnsi="Arial" w:cs="Arial"/>
                <w:sz w:val="16"/>
                <w:szCs w:val="16"/>
              </w:rPr>
              <w:t>.</w:t>
            </w:r>
            <w:r w:rsidRPr="000D0098">
              <w:rPr>
                <w:rFonts w:ascii="Arial" w:eastAsia="Calibri" w:hAnsi="Arial" w:cs="Arial"/>
                <w:sz w:val="16"/>
                <w:szCs w:val="16"/>
              </w:rPr>
              <w:t>16</w:t>
            </w:r>
          </w:p>
        </w:tc>
      </w:tr>
      <w:tr w:rsidR="00822E07" w:rsidRPr="000D0098" w14:paraId="61B8CBC9" w14:textId="77777777" w:rsidTr="00822E07">
        <w:trPr>
          <w:trHeight w:val="311"/>
        </w:trPr>
        <w:tc>
          <w:tcPr>
            <w:tcW w:w="474" w:type="pct"/>
            <w:vAlign w:val="center"/>
          </w:tcPr>
          <w:p w14:paraId="53773A45" w14:textId="77777777" w:rsidR="00822E07" w:rsidRPr="000D0098" w:rsidRDefault="00822E07" w:rsidP="00822E07">
            <w:pPr>
              <w:spacing w:before="40" w:after="40" w:line="240" w:lineRule="auto"/>
              <w:rPr>
                <w:rFonts w:ascii="Arial" w:eastAsia="Calibri" w:hAnsi="Arial" w:cs="Arial"/>
                <w:b/>
                <w:bCs/>
                <w:sz w:val="16"/>
                <w:szCs w:val="16"/>
              </w:rPr>
            </w:pPr>
            <w:proofErr w:type="spellStart"/>
            <w:r w:rsidRPr="000D0098">
              <w:rPr>
                <w:rFonts w:ascii="Arial" w:eastAsia="Calibri" w:hAnsi="Arial" w:cs="Arial"/>
                <w:b/>
                <w:bCs/>
                <w:sz w:val="16"/>
                <w:szCs w:val="16"/>
              </w:rPr>
              <w:t>Byspiribac</w:t>
            </w:r>
            <w:proofErr w:type="spellEnd"/>
            <w:r w:rsidRPr="000D0098">
              <w:rPr>
                <w:rFonts w:ascii="Arial" w:eastAsia="Calibri" w:hAnsi="Arial" w:cs="Arial"/>
                <w:b/>
                <w:bCs/>
                <w:sz w:val="16"/>
                <w:szCs w:val="16"/>
              </w:rPr>
              <w:t>-sodium</w:t>
            </w:r>
          </w:p>
        </w:tc>
        <w:tc>
          <w:tcPr>
            <w:tcW w:w="189" w:type="pct"/>
            <w:noWrap/>
            <w:vAlign w:val="center"/>
          </w:tcPr>
          <w:p w14:paraId="2003477A" w14:textId="3C1395C7"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337" w:type="pct"/>
            <w:vAlign w:val="center"/>
          </w:tcPr>
          <w:p w14:paraId="38D9E811" w14:textId="2A2A83EB"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199" w:type="pct"/>
            <w:noWrap/>
            <w:vAlign w:val="center"/>
          </w:tcPr>
          <w:p w14:paraId="1AA8985D" w14:textId="3EC37480" w:rsidR="00822E07" w:rsidRPr="00822E07" w:rsidRDefault="00822E07" w:rsidP="00822E07">
            <w:pPr>
              <w:spacing w:before="40" w:after="40" w:line="240" w:lineRule="auto"/>
              <w:jc w:val="center"/>
              <w:rPr>
                <w:rFonts w:ascii="Arial" w:eastAsia="Calibri" w:hAnsi="Arial" w:cs="Arial"/>
                <w:i/>
                <w:iCs/>
                <w:sz w:val="14"/>
                <w:szCs w:val="14"/>
              </w:rPr>
            </w:pPr>
            <w:r w:rsidRPr="00822E07">
              <w:rPr>
                <w:rFonts w:ascii="Arial" w:eastAsia="Calibri" w:hAnsi="Arial" w:cs="Arial"/>
                <w:i/>
                <w:iCs/>
                <w:sz w:val="14"/>
                <w:szCs w:val="14"/>
              </w:rPr>
              <w:t>ND</w:t>
            </w:r>
          </w:p>
        </w:tc>
        <w:tc>
          <w:tcPr>
            <w:tcW w:w="230" w:type="pct"/>
            <w:vAlign w:val="center"/>
          </w:tcPr>
          <w:p w14:paraId="50E9E680" w14:textId="59ABEFBE"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1</w:t>
            </w:r>
            <w:r>
              <w:rPr>
                <w:rFonts w:ascii="Arial" w:eastAsia="Calibri" w:hAnsi="Arial" w:cs="Arial"/>
                <w:sz w:val="16"/>
                <w:szCs w:val="16"/>
              </w:rPr>
              <w:t>.</w:t>
            </w:r>
            <w:r w:rsidRPr="000D0098">
              <w:rPr>
                <w:rFonts w:ascii="Arial" w:eastAsia="Calibri" w:hAnsi="Arial" w:cs="Arial"/>
                <w:sz w:val="16"/>
                <w:szCs w:val="16"/>
              </w:rPr>
              <w:t>03</w:t>
            </w:r>
          </w:p>
        </w:tc>
        <w:tc>
          <w:tcPr>
            <w:tcW w:w="166" w:type="pct"/>
            <w:noWrap/>
            <w:vAlign w:val="center"/>
          </w:tcPr>
          <w:p w14:paraId="383C979D" w14:textId="6BE578BE"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vAlign w:val="center"/>
          </w:tcPr>
          <w:p w14:paraId="07913715" w14:textId="53CED6D1"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68FADA52" w14:textId="136CCFBB" w:rsidR="00822E07" w:rsidRPr="000D0098" w:rsidRDefault="00822E07" w:rsidP="00822E07">
            <w:pPr>
              <w:spacing w:before="40" w:after="40" w:line="240" w:lineRule="auto"/>
              <w:jc w:val="center"/>
              <w:rPr>
                <w:rFonts w:ascii="Arial" w:eastAsia="Calibri" w:hAnsi="Arial" w:cs="Arial"/>
                <w:sz w:val="16"/>
                <w:szCs w:val="16"/>
              </w:rPr>
            </w:pPr>
            <w:r w:rsidRPr="000D0098">
              <w:rPr>
                <w:rFonts w:ascii="Arial" w:eastAsia="Calibri" w:hAnsi="Arial" w:cs="Arial"/>
                <w:sz w:val="16"/>
                <w:szCs w:val="16"/>
              </w:rPr>
              <w:t>2</w:t>
            </w:r>
            <w:r>
              <w:rPr>
                <w:rFonts w:ascii="Arial" w:eastAsia="Calibri" w:hAnsi="Arial" w:cs="Arial"/>
                <w:sz w:val="16"/>
                <w:szCs w:val="16"/>
              </w:rPr>
              <w:t>.</w:t>
            </w:r>
            <w:r w:rsidRPr="000D0098">
              <w:rPr>
                <w:rFonts w:ascii="Arial" w:eastAsia="Calibri" w:hAnsi="Arial" w:cs="Arial"/>
                <w:sz w:val="16"/>
                <w:szCs w:val="16"/>
              </w:rPr>
              <w:t>44</w:t>
            </w:r>
          </w:p>
        </w:tc>
        <w:tc>
          <w:tcPr>
            <w:tcW w:w="199" w:type="pct"/>
            <w:vAlign w:val="center"/>
          </w:tcPr>
          <w:p w14:paraId="7A9676BE" w14:textId="5DF2B648"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33" w:type="pct"/>
            <w:noWrap/>
            <w:vAlign w:val="center"/>
          </w:tcPr>
          <w:p w14:paraId="795659FF" w14:textId="14C6C6A2"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40" w:type="pct"/>
            <w:vAlign w:val="center"/>
          </w:tcPr>
          <w:p w14:paraId="00C778F6" w14:textId="339430E0"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7F782970" w14:textId="45943133"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34" w:type="pct"/>
            <w:vAlign w:val="center"/>
          </w:tcPr>
          <w:p w14:paraId="3FDAB71C" w14:textId="6F37910E"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noWrap/>
            <w:vAlign w:val="center"/>
          </w:tcPr>
          <w:p w14:paraId="44AF7122" w14:textId="4C93ACD0"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99" w:type="pct"/>
            <w:vAlign w:val="center"/>
          </w:tcPr>
          <w:p w14:paraId="1993F587" w14:textId="5F4C4429"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231" w:type="pct"/>
            <w:noWrap/>
            <w:vAlign w:val="center"/>
          </w:tcPr>
          <w:p w14:paraId="5C3EFD27" w14:textId="5F569A1A"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90" w:type="pct"/>
            <w:vAlign w:val="center"/>
          </w:tcPr>
          <w:p w14:paraId="7782BB73" w14:textId="795EC38D" w:rsidR="00822E07" w:rsidRPr="0065229D" w:rsidRDefault="00822E07" w:rsidP="00822E07">
            <w:pPr>
              <w:spacing w:before="40" w:after="40" w:line="240" w:lineRule="auto"/>
              <w:jc w:val="center"/>
              <w:rPr>
                <w:rFonts w:ascii="Arial" w:eastAsia="Calibri" w:hAnsi="Arial" w:cs="Arial"/>
                <w:i/>
                <w:iCs/>
                <w:sz w:val="14"/>
                <w:szCs w:val="14"/>
              </w:rPr>
            </w:pPr>
            <w:r w:rsidRPr="0065229D">
              <w:rPr>
                <w:rFonts w:ascii="Arial" w:eastAsia="Calibri" w:hAnsi="Arial" w:cs="Arial"/>
                <w:i/>
                <w:iCs/>
                <w:sz w:val="14"/>
                <w:szCs w:val="14"/>
              </w:rPr>
              <w:t>ND</w:t>
            </w:r>
          </w:p>
        </w:tc>
        <w:tc>
          <w:tcPr>
            <w:tcW w:w="166" w:type="pct"/>
            <w:noWrap/>
            <w:vAlign w:val="center"/>
          </w:tcPr>
          <w:p w14:paraId="6D5E1566" w14:textId="6ED9E8CC"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99" w:type="pct"/>
            <w:vAlign w:val="center"/>
          </w:tcPr>
          <w:p w14:paraId="4D67D62D" w14:textId="6593C3A9"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249" w:type="pct"/>
            <w:noWrap/>
            <w:vAlign w:val="center"/>
          </w:tcPr>
          <w:p w14:paraId="23905A62" w14:textId="314A10FA"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34" w:type="pct"/>
            <w:vAlign w:val="center"/>
          </w:tcPr>
          <w:p w14:paraId="73E839DD" w14:textId="29E2F9A1" w:rsidR="00822E07" w:rsidRPr="0065229D" w:rsidRDefault="00822E07" w:rsidP="00822E07">
            <w:pPr>
              <w:spacing w:before="40" w:after="40" w:line="240" w:lineRule="auto"/>
              <w:jc w:val="center"/>
              <w:rPr>
                <w:rFonts w:ascii="Arial" w:eastAsia="Calibri" w:hAnsi="Arial" w:cs="Arial"/>
                <w:i/>
                <w:iCs/>
                <w:sz w:val="16"/>
                <w:szCs w:val="16"/>
              </w:rPr>
            </w:pPr>
            <w:r w:rsidRPr="0065229D">
              <w:rPr>
                <w:rFonts w:ascii="Arial" w:eastAsia="Calibri" w:hAnsi="Arial" w:cs="Arial"/>
                <w:i/>
                <w:iCs/>
                <w:sz w:val="14"/>
                <w:szCs w:val="14"/>
              </w:rPr>
              <w:t>ND</w:t>
            </w:r>
          </w:p>
        </w:tc>
        <w:tc>
          <w:tcPr>
            <w:tcW w:w="174" w:type="pct"/>
            <w:noWrap/>
            <w:vAlign w:val="center"/>
          </w:tcPr>
          <w:p w14:paraId="2F00D271" w14:textId="31C191D2" w:rsidR="00822E07" w:rsidRPr="00CC156E" w:rsidRDefault="00822E07" w:rsidP="00822E07">
            <w:pPr>
              <w:spacing w:before="40" w:after="40" w:line="240" w:lineRule="auto"/>
              <w:jc w:val="center"/>
              <w:rPr>
                <w:rFonts w:ascii="Arial" w:eastAsia="Calibri" w:hAnsi="Arial" w:cs="Arial"/>
                <w:i/>
                <w:iCs/>
                <w:sz w:val="16"/>
                <w:szCs w:val="16"/>
              </w:rPr>
            </w:pPr>
            <w:r w:rsidRPr="00CC156E">
              <w:rPr>
                <w:rFonts w:ascii="Arial" w:eastAsia="Calibri" w:hAnsi="Arial" w:cs="Arial"/>
                <w:i/>
                <w:iCs/>
                <w:sz w:val="14"/>
                <w:szCs w:val="14"/>
              </w:rPr>
              <w:t>ND</w:t>
            </w:r>
          </w:p>
        </w:tc>
        <w:tc>
          <w:tcPr>
            <w:tcW w:w="139" w:type="pct"/>
            <w:vAlign w:val="center"/>
          </w:tcPr>
          <w:p w14:paraId="4D95F5F8" w14:textId="4F16A41D"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c>
          <w:tcPr>
            <w:tcW w:w="201" w:type="pct"/>
            <w:noWrap/>
            <w:vAlign w:val="center"/>
          </w:tcPr>
          <w:p w14:paraId="0D09F86C" w14:textId="09574DD2"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c>
          <w:tcPr>
            <w:tcW w:w="187" w:type="pct"/>
            <w:vAlign w:val="center"/>
          </w:tcPr>
          <w:p w14:paraId="528C0C18" w14:textId="75513745" w:rsidR="00822E07" w:rsidRPr="001B58C7" w:rsidRDefault="00822E07" w:rsidP="00822E07">
            <w:pPr>
              <w:spacing w:before="40" w:after="40" w:line="240" w:lineRule="auto"/>
              <w:jc w:val="center"/>
              <w:rPr>
                <w:rFonts w:ascii="Arial" w:eastAsia="Calibri" w:hAnsi="Arial" w:cs="Arial"/>
                <w:i/>
                <w:iCs/>
                <w:sz w:val="16"/>
                <w:szCs w:val="16"/>
              </w:rPr>
            </w:pPr>
            <w:r w:rsidRPr="001B58C7">
              <w:rPr>
                <w:rFonts w:ascii="Arial" w:eastAsia="Calibri" w:hAnsi="Arial" w:cs="Arial"/>
                <w:i/>
                <w:iCs/>
                <w:sz w:val="14"/>
                <w:szCs w:val="14"/>
              </w:rPr>
              <w:t>ND</w:t>
            </w:r>
          </w:p>
        </w:tc>
      </w:tr>
    </w:tbl>
    <w:p w14:paraId="77F20032" w14:textId="4B1B5743" w:rsidR="001F3FA8" w:rsidRPr="00155855" w:rsidRDefault="0086328E" w:rsidP="001F3FA8">
      <w:pPr>
        <w:tabs>
          <w:tab w:val="left" w:pos="7131"/>
        </w:tabs>
        <w:spacing w:line="240" w:lineRule="auto"/>
        <w:rPr>
          <w:rFonts w:ascii="Arial" w:hAnsi="Arial" w:cs="Arial"/>
          <w:sz w:val="18"/>
          <w:szCs w:val="18"/>
          <w:lang w:val="en-GB"/>
        </w:rPr>
        <w:sectPr w:rsidR="001F3FA8" w:rsidRPr="00155855" w:rsidSect="00D54BE1">
          <w:type w:val="continuous"/>
          <w:pgSz w:w="16838" w:h="11906" w:orient="landscape"/>
          <w:pgMar w:top="1417" w:right="1417" w:bottom="1417" w:left="1417" w:header="709" w:footer="709" w:gutter="0"/>
          <w:cols w:space="708"/>
          <w:docGrid w:linePitch="360"/>
        </w:sectPr>
      </w:pPr>
      <w:r w:rsidRPr="00822E07">
        <w:rPr>
          <w:rFonts w:ascii="Arial" w:hAnsi="Arial" w:cs="Arial"/>
          <w:i/>
          <w:iCs/>
          <w:sz w:val="18"/>
          <w:szCs w:val="18"/>
          <w:lang w:val="en-GB"/>
        </w:rPr>
        <w:t>ND</w:t>
      </w:r>
      <w:r w:rsidRPr="00155855">
        <w:rPr>
          <w:rFonts w:ascii="Arial" w:hAnsi="Arial" w:cs="Arial"/>
          <w:sz w:val="18"/>
          <w:szCs w:val="18"/>
          <w:lang w:val="en-GB"/>
        </w:rPr>
        <w:t xml:space="preserve"> = Not Detected</w:t>
      </w:r>
    </w:p>
    <w:p w14:paraId="0B1AA659"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lastRenderedPageBreak/>
        <w:t>3.2 Temporal patterns between sampling phases</w:t>
      </w:r>
    </w:p>
    <w:p w14:paraId="365D0117" w14:textId="256DD577" w:rsidR="0073550A" w:rsidRPr="00F66CD9" w:rsidRDefault="0073550A" w:rsidP="005D60A9">
      <w:pPr>
        <w:spacing w:after="0" w:line="240" w:lineRule="auto"/>
        <w:jc w:val="both"/>
        <w:rPr>
          <w:rFonts w:ascii="Arial" w:hAnsi="Arial" w:cs="Arial"/>
          <w:sz w:val="20"/>
          <w:szCs w:val="20"/>
          <w:lang w:val="en-GB"/>
        </w:rPr>
      </w:pPr>
      <w:r w:rsidRPr="00F66CD9">
        <w:rPr>
          <w:rFonts w:ascii="Arial" w:hAnsi="Arial" w:cs="Arial"/>
          <w:sz w:val="20"/>
          <w:szCs w:val="20"/>
          <w:lang w:val="en-GB"/>
        </w:rPr>
        <w:t>The comparison of concentrations between phases P1 (peak period of herbicide applications) and P2 (end of rainy season) revealed contrasting temporal trends among the different molecules and localities.</w:t>
      </w:r>
      <w:r w:rsidR="00CD4EFE" w:rsidRPr="00F66CD9">
        <w:rPr>
          <w:rFonts w:ascii="Arial" w:hAnsi="Arial" w:cs="Arial"/>
          <w:sz w:val="20"/>
          <w:szCs w:val="20"/>
          <w:lang w:val="en-GB"/>
        </w:rPr>
        <w:t xml:space="preserve"> </w:t>
      </w:r>
      <w:r w:rsidRPr="00F66CD9">
        <w:rPr>
          <w:rFonts w:ascii="Arial" w:hAnsi="Arial" w:cs="Arial"/>
          <w:sz w:val="20"/>
          <w:szCs w:val="20"/>
          <w:lang w:val="en-GB"/>
        </w:rPr>
        <w:t xml:space="preserve">In several localities, seven molecules </w:t>
      </w:r>
      <w:r w:rsidR="005D3FB4">
        <w:rPr>
          <w:rFonts w:ascii="Arial" w:hAnsi="Arial" w:cs="Arial"/>
          <w:sz w:val="20"/>
          <w:szCs w:val="20"/>
          <w:lang w:val="en-GB"/>
        </w:rPr>
        <w:t xml:space="preserve">concentration </w:t>
      </w:r>
      <w:r w:rsidRPr="00F66CD9">
        <w:rPr>
          <w:rFonts w:ascii="Arial" w:hAnsi="Arial" w:cs="Arial"/>
          <w:sz w:val="20"/>
          <w:szCs w:val="20"/>
          <w:lang w:val="en-GB"/>
        </w:rPr>
        <w:t xml:space="preserve">showed clear decreases between P1 and P2, reflecting progressive dissipation through degradation, sorption or dilution processes. For example, </w:t>
      </w:r>
      <w:proofErr w:type="spellStart"/>
      <w:r w:rsidRPr="00F66CD9">
        <w:rPr>
          <w:rFonts w:ascii="Arial" w:hAnsi="Arial" w:cs="Arial"/>
          <w:sz w:val="20"/>
          <w:szCs w:val="20"/>
          <w:lang w:val="en-GB"/>
        </w:rPr>
        <w:t>nicosulfuron</w:t>
      </w:r>
      <w:proofErr w:type="spellEnd"/>
      <w:r w:rsidRPr="00F66CD9">
        <w:rPr>
          <w:rFonts w:ascii="Arial" w:hAnsi="Arial" w:cs="Arial"/>
          <w:sz w:val="20"/>
          <w:szCs w:val="20"/>
          <w:lang w:val="en-GB"/>
        </w:rPr>
        <w:t xml:space="preserve"> concentrations decreased:</w:t>
      </w:r>
      <w:r w:rsidR="00F66CD9" w:rsidRPr="00F66CD9">
        <w:rPr>
          <w:rFonts w:ascii="Arial" w:hAnsi="Arial" w:cs="Arial"/>
          <w:sz w:val="20"/>
          <w:szCs w:val="20"/>
          <w:lang w:val="en-GB"/>
        </w:rPr>
        <w:t xml:space="preserve"> </w:t>
      </w:r>
      <w:r w:rsidRPr="00F66CD9">
        <w:rPr>
          <w:rFonts w:ascii="Arial" w:hAnsi="Arial" w:cs="Arial"/>
          <w:sz w:val="20"/>
          <w:szCs w:val="20"/>
          <w:lang w:val="en-GB"/>
        </w:rPr>
        <w:t xml:space="preserve">from 36.89 to 1.86 µg/L at </w:t>
      </w:r>
      <w:proofErr w:type="spellStart"/>
      <w:r w:rsidRPr="00F66CD9">
        <w:rPr>
          <w:rFonts w:ascii="Arial" w:hAnsi="Arial" w:cs="Arial"/>
          <w:sz w:val="20"/>
          <w:szCs w:val="20"/>
          <w:lang w:val="en-GB"/>
        </w:rPr>
        <w:t>Diébougou</w:t>
      </w:r>
      <w:proofErr w:type="spellEnd"/>
      <w:r w:rsidRPr="00F66CD9">
        <w:rPr>
          <w:rFonts w:ascii="Arial" w:hAnsi="Arial" w:cs="Arial"/>
          <w:sz w:val="20"/>
          <w:szCs w:val="20"/>
          <w:lang w:val="en-GB"/>
        </w:rPr>
        <w:t>,</w:t>
      </w:r>
      <w:r w:rsidR="00F66CD9" w:rsidRPr="00F66CD9">
        <w:rPr>
          <w:rFonts w:ascii="Arial" w:hAnsi="Arial" w:cs="Arial"/>
          <w:sz w:val="20"/>
          <w:szCs w:val="20"/>
          <w:lang w:val="en-GB"/>
        </w:rPr>
        <w:t xml:space="preserve"> </w:t>
      </w:r>
      <w:r w:rsidRPr="00F66CD9">
        <w:rPr>
          <w:rFonts w:ascii="Arial" w:hAnsi="Arial" w:cs="Arial"/>
          <w:sz w:val="20"/>
          <w:szCs w:val="20"/>
          <w:lang w:val="en-GB"/>
        </w:rPr>
        <w:t xml:space="preserve">and from 2.67 to 1.26 µg/L at </w:t>
      </w:r>
      <w:proofErr w:type="spellStart"/>
      <w:r w:rsidRPr="00F66CD9">
        <w:rPr>
          <w:rFonts w:ascii="Arial" w:hAnsi="Arial" w:cs="Arial"/>
          <w:sz w:val="20"/>
          <w:szCs w:val="20"/>
          <w:lang w:val="en-GB"/>
        </w:rPr>
        <w:t>Kankalaba</w:t>
      </w:r>
      <w:proofErr w:type="spellEnd"/>
      <w:r w:rsidRPr="00F66CD9">
        <w:rPr>
          <w:rFonts w:ascii="Arial" w:hAnsi="Arial" w:cs="Arial"/>
          <w:sz w:val="20"/>
          <w:szCs w:val="20"/>
          <w:lang w:val="en-GB"/>
        </w:rPr>
        <w:t>.</w:t>
      </w:r>
      <w:r w:rsidR="004A27BF">
        <w:rPr>
          <w:rFonts w:ascii="Arial" w:hAnsi="Arial" w:cs="Arial"/>
          <w:sz w:val="20"/>
          <w:szCs w:val="20"/>
          <w:lang w:val="en-GB"/>
        </w:rPr>
        <w:t xml:space="preserve"> </w:t>
      </w:r>
      <w:r w:rsidRPr="00F66CD9">
        <w:rPr>
          <w:rFonts w:ascii="Arial" w:hAnsi="Arial" w:cs="Arial"/>
          <w:sz w:val="20"/>
          <w:szCs w:val="20"/>
          <w:lang w:val="en-GB"/>
        </w:rPr>
        <w:t xml:space="preserve">At </w:t>
      </w:r>
      <w:proofErr w:type="spellStart"/>
      <w:r w:rsidRPr="00F66CD9">
        <w:rPr>
          <w:rFonts w:ascii="Arial" w:hAnsi="Arial" w:cs="Arial"/>
          <w:sz w:val="20"/>
          <w:szCs w:val="20"/>
          <w:lang w:val="en-GB"/>
        </w:rPr>
        <w:t>Diébougou</w:t>
      </w:r>
      <w:proofErr w:type="spellEnd"/>
      <w:r w:rsidRPr="00F66CD9">
        <w:rPr>
          <w:rFonts w:ascii="Arial" w:hAnsi="Arial" w:cs="Arial"/>
          <w:sz w:val="20"/>
          <w:szCs w:val="20"/>
          <w:lang w:val="en-GB"/>
        </w:rPr>
        <w:t xml:space="preserve">, terbuthylazine decreased from 10.22 to 7.73 µg/L, and pendimethalin from 7.71 to 0.67 µg/L. For 2,4-D, concentrations </w:t>
      </w:r>
      <w:r w:rsidR="005D3FB4" w:rsidRPr="00F66CD9">
        <w:rPr>
          <w:rFonts w:ascii="Arial" w:hAnsi="Arial" w:cs="Arial"/>
          <w:sz w:val="20"/>
          <w:szCs w:val="20"/>
          <w:lang w:val="en-GB"/>
        </w:rPr>
        <w:t>decreased</w:t>
      </w:r>
      <w:r w:rsidRPr="00F66CD9">
        <w:rPr>
          <w:rFonts w:ascii="Arial" w:hAnsi="Arial" w:cs="Arial"/>
          <w:sz w:val="20"/>
          <w:szCs w:val="20"/>
          <w:lang w:val="en-GB"/>
        </w:rPr>
        <w:t xml:space="preserve"> from 14.77 to 7.75 µg/L at </w:t>
      </w:r>
      <w:proofErr w:type="spellStart"/>
      <w:r w:rsidRPr="00F66CD9">
        <w:rPr>
          <w:rFonts w:ascii="Arial" w:hAnsi="Arial" w:cs="Arial"/>
          <w:sz w:val="20"/>
          <w:szCs w:val="20"/>
          <w:lang w:val="en-GB"/>
        </w:rPr>
        <w:t>Kankalaba</w:t>
      </w:r>
      <w:proofErr w:type="spellEnd"/>
      <w:r w:rsidRPr="00F66CD9">
        <w:rPr>
          <w:rFonts w:ascii="Arial" w:hAnsi="Arial" w:cs="Arial"/>
          <w:sz w:val="20"/>
          <w:szCs w:val="20"/>
          <w:lang w:val="en-GB"/>
        </w:rPr>
        <w:t xml:space="preserve"> and from 23.21 to 19.12 µg/L at </w:t>
      </w:r>
      <w:proofErr w:type="spellStart"/>
      <w:r w:rsidRPr="00F66CD9">
        <w:rPr>
          <w:rFonts w:ascii="Arial" w:hAnsi="Arial" w:cs="Arial"/>
          <w:sz w:val="20"/>
          <w:szCs w:val="20"/>
          <w:lang w:val="en-GB"/>
        </w:rPr>
        <w:t>Koumbia</w:t>
      </w:r>
      <w:proofErr w:type="spellEnd"/>
      <w:r w:rsidRPr="00F66CD9">
        <w:rPr>
          <w:rFonts w:ascii="Arial" w:hAnsi="Arial" w:cs="Arial"/>
          <w:sz w:val="20"/>
          <w:szCs w:val="20"/>
          <w:lang w:val="en-GB"/>
        </w:rPr>
        <w:t xml:space="preserve">. These decreases are consistent with the known dissipation pathways of these herbicides in aquatic environments and with the reduction of direct inputs as the rainy season ends </w:t>
      </w:r>
      <w:r w:rsidR="00F66CD9">
        <w:rPr>
          <w:rFonts w:ascii="Arial" w:hAnsi="Arial" w:cs="Arial"/>
          <w:sz w:val="20"/>
          <w:szCs w:val="20"/>
          <w:lang w:val="en-GB"/>
        </w:rPr>
        <w:fldChar w:fldCharType="begin"/>
      </w:r>
      <w:r w:rsidR="000E707F">
        <w:rPr>
          <w:rFonts w:ascii="Arial" w:hAnsi="Arial" w:cs="Arial"/>
          <w:sz w:val="20"/>
          <w:szCs w:val="20"/>
          <w:lang w:val="en-GB"/>
        </w:rPr>
        <w:instrText xml:space="preserve"> ADDIN ZOTERO_ITEM CSL_CITATION {"citationID":"i6oxIUQM","properties":{"formattedCitation":"(Calvet, 2005; Stipi\\uc0\\u269{}evi\\uc0\\u263{} et al., 2015)","plainCitation":"(Calvet, 2005; Stipičević et al., 2015)","noteIndex":0},"citationItems":[{"id":2953,"uris":["http://zotero.org/users/5723659/items/KDKGR97B"],"itemData":{"id":2953,"type":"book","edition":"France Agricole Editions","event-place":"Paris","ISBN":"2-85557-119-7","language":"Français","number-of-pages":"637","publisher-place":"Paris","title":"Les pesticides dans le sol: conséquences agronomiques et environnementales","author":[{"family":"Calvet","given":"Raoul"}],"issued":{"date-parts":[["2005"]]}}},{"id":2964,"uris":["http://zotero.org/users/5723659/items/7GCLZZT4"],"itemData":{"id":2964,"type":"article-journal","container-title":"Geoderma","DOI":"10.1016/j.geoderma.2015.06.018","ISSN":"00167061","journalAbbreviation":"Geoderma","language":"en","page":"300-309","source":"DOI.org (Crossref)","title":"Distribution of terbuthylazine and atrazine residues in crop-cultivated soil: The effect of herbicide application rate on herbicide persistence","title-short":"Distribution of terbuthylazine and atrazine residues in crop-cultivated soil","volume":"259-260","author":[{"family":"Stipičević","given":"Sanja"},{"family":"Galzina","given":"Natalija"},{"family":"Udiković-Kolić","given":"Nikolina"},{"family":"Jurina","given":"Tamara"},{"family":"Mendaš","given":"Gordana"},{"family":"Dvoršćak","given":"Marija"},{"family":"Petrić","given":"Ines"},{"family":"Barić","given":"Klara"},{"family":"Drevenkar","given":"Vlasta"}],"issued":{"date-parts":[["2015"]]}}}],"schema":"https://github.com/citation-style-language/schema/raw/master/csl-citation.json"} </w:instrText>
      </w:r>
      <w:r w:rsidR="00F66CD9">
        <w:rPr>
          <w:rFonts w:ascii="Arial" w:hAnsi="Arial" w:cs="Arial"/>
          <w:sz w:val="20"/>
          <w:szCs w:val="20"/>
          <w:lang w:val="en-GB"/>
        </w:rPr>
        <w:fldChar w:fldCharType="separate"/>
      </w:r>
      <w:r w:rsidR="000E707F" w:rsidRPr="000E707F">
        <w:rPr>
          <w:rFonts w:ascii="Arial" w:hAnsi="Arial" w:cs="Arial"/>
          <w:sz w:val="20"/>
          <w:lang w:val="en-GB"/>
        </w:rPr>
        <w:t>(Calvet, 2005; Stipičević et al., 2015)</w:t>
      </w:r>
      <w:r w:rsidR="00F66CD9">
        <w:rPr>
          <w:rFonts w:ascii="Arial" w:hAnsi="Arial" w:cs="Arial"/>
          <w:sz w:val="20"/>
          <w:szCs w:val="20"/>
          <w:lang w:val="en-GB"/>
        </w:rPr>
        <w:fldChar w:fldCharType="end"/>
      </w:r>
      <w:r w:rsidRPr="00F66CD9">
        <w:rPr>
          <w:rFonts w:ascii="Arial" w:hAnsi="Arial" w:cs="Arial"/>
          <w:sz w:val="20"/>
          <w:szCs w:val="20"/>
          <w:lang w:val="en-GB"/>
        </w:rPr>
        <w:t>.</w:t>
      </w:r>
      <w:r w:rsidR="004A27BF">
        <w:rPr>
          <w:rFonts w:ascii="Arial" w:hAnsi="Arial" w:cs="Arial"/>
          <w:sz w:val="20"/>
          <w:szCs w:val="20"/>
          <w:lang w:val="en-GB"/>
        </w:rPr>
        <w:t xml:space="preserve"> </w:t>
      </w:r>
      <w:r w:rsidRPr="00F66CD9">
        <w:rPr>
          <w:rFonts w:ascii="Arial" w:hAnsi="Arial" w:cs="Arial"/>
          <w:sz w:val="20"/>
          <w:szCs w:val="20"/>
          <w:lang w:val="en-GB"/>
        </w:rPr>
        <w:t xml:space="preserve">In contrast, other substances increased between P1 and P2, suggesting additional inputs later in the season, remobilisation from soils and sediments, or delayed transport via runoff. For example, at </w:t>
      </w:r>
      <w:proofErr w:type="spellStart"/>
      <w:r w:rsidRPr="00F66CD9">
        <w:rPr>
          <w:rFonts w:ascii="Arial" w:hAnsi="Arial" w:cs="Arial"/>
          <w:sz w:val="20"/>
          <w:szCs w:val="20"/>
          <w:lang w:val="en-GB"/>
        </w:rPr>
        <w:t>Diébougou</w:t>
      </w:r>
      <w:proofErr w:type="spellEnd"/>
      <w:r w:rsidRPr="00F66CD9">
        <w:rPr>
          <w:rFonts w:ascii="Arial" w:hAnsi="Arial" w:cs="Arial"/>
          <w:sz w:val="20"/>
          <w:szCs w:val="20"/>
          <w:lang w:val="en-GB"/>
        </w:rPr>
        <w:t>:</w:t>
      </w:r>
      <w:r w:rsidR="00F66CD9" w:rsidRPr="00F66CD9">
        <w:rPr>
          <w:rFonts w:ascii="Arial" w:hAnsi="Arial" w:cs="Arial"/>
          <w:sz w:val="20"/>
          <w:szCs w:val="20"/>
          <w:lang w:val="en-GB"/>
        </w:rPr>
        <w:t xml:space="preserve"> </w:t>
      </w:r>
      <w:r w:rsidRPr="00F66CD9">
        <w:rPr>
          <w:rFonts w:ascii="Arial" w:hAnsi="Arial" w:cs="Arial"/>
          <w:sz w:val="20"/>
          <w:szCs w:val="20"/>
          <w:lang w:val="en-GB"/>
        </w:rPr>
        <w:t>diuron increased from 0.25 to 9.48 µg/L,</w:t>
      </w:r>
      <w:r w:rsidR="00F66CD9" w:rsidRPr="00F66CD9">
        <w:rPr>
          <w:rFonts w:ascii="Arial" w:hAnsi="Arial" w:cs="Arial"/>
          <w:sz w:val="20"/>
          <w:szCs w:val="20"/>
          <w:lang w:val="en-GB"/>
        </w:rPr>
        <w:t xml:space="preserve"> </w:t>
      </w:r>
      <w:r w:rsidRPr="00F66CD9">
        <w:rPr>
          <w:rFonts w:ascii="Arial" w:hAnsi="Arial" w:cs="Arial"/>
          <w:sz w:val="20"/>
          <w:szCs w:val="20"/>
          <w:lang w:val="en-GB"/>
        </w:rPr>
        <w:t xml:space="preserve">and </w:t>
      </w:r>
      <w:proofErr w:type="spellStart"/>
      <w:r w:rsidRPr="00F66CD9">
        <w:rPr>
          <w:rFonts w:ascii="Arial" w:hAnsi="Arial" w:cs="Arial"/>
          <w:sz w:val="20"/>
          <w:szCs w:val="20"/>
          <w:lang w:val="en-GB"/>
        </w:rPr>
        <w:t>mesotrione</w:t>
      </w:r>
      <w:proofErr w:type="spellEnd"/>
      <w:r w:rsidRPr="00F66CD9">
        <w:rPr>
          <w:rFonts w:ascii="Arial" w:hAnsi="Arial" w:cs="Arial"/>
          <w:sz w:val="20"/>
          <w:szCs w:val="20"/>
          <w:lang w:val="en-GB"/>
        </w:rPr>
        <w:t xml:space="preserve"> from 83.69 to 265.16 µg/L.</w:t>
      </w:r>
      <w:r w:rsidR="004A27BF">
        <w:rPr>
          <w:rFonts w:ascii="Arial" w:hAnsi="Arial" w:cs="Arial"/>
          <w:sz w:val="20"/>
          <w:szCs w:val="20"/>
          <w:lang w:val="en-GB"/>
        </w:rPr>
        <w:t xml:space="preserve"> </w:t>
      </w:r>
      <w:r w:rsidRPr="00F66CD9">
        <w:rPr>
          <w:rFonts w:ascii="Arial" w:hAnsi="Arial" w:cs="Arial"/>
          <w:sz w:val="20"/>
          <w:szCs w:val="20"/>
          <w:lang w:val="en-GB"/>
        </w:rPr>
        <w:t xml:space="preserve">At </w:t>
      </w:r>
      <w:proofErr w:type="spellStart"/>
      <w:r w:rsidRPr="00F66CD9">
        <w:rPr>
          <w:rFonts w:ascii="Arial" w:hAnsi="Arial" w:cs="Arial"/>
          <w:sz w:val="20"/>
          <w:szCs w:val="20"/>
          <w:lang w:val="en-GB"/>
        </w:rPr>
        <w:t>Kankalaba</w:t>
      </w:r>
      <w:proofErr w:type="spellEnd"/>
      <w:r w:rsidRPr="00F66CD9">
        <w:rPr>
          <w:rFonts w:ascii="Arial" w:hAnsi="Arial" w:cs="Arial"/>
          <w:sz w:val="20"/>
          <w:szCs w:val="20"/>
          <w:lang w:val="en-GB"/>
        </w:rPr>
        <w:t xml:space="preserve">, 2,4-D increased from 4.62 to 13.16 µg/L, and </w:t>
      </w:r>
      <w:proofErr w:type="spellStart"/>
      <w:r w:rsidRPr="00F66CD9">
        <w:rPr>
          <w:rFonts w:ascii="Arial" w:hAnsi="Arial" w:cs="Arial"/>
          <w:sz w:val="20"/>
          <w:szCs w:val="20"/>
          <w:lang w:val="en-GB"/>
        </w:rPr>
        <w:t>bispyribac</w:t>
      </w:r>
      <w:proofErr w:type="spellEnd"/>
      <w:r w:rsidRPr="00F66CD9">
        <w:rPr>
          <w:rFonts w:ascii="Arial" w:hAnsi="Arial" w:cs="Arial"/>
          <w:sz w:val="20"/>
          <w:szCs w:val="20"/>
          <w:lang w:val="en-GB"/>
        </w:rPr>
        <w:t xml:space="preserve">-sodium from 1.80 to 2.69 µg/L. At </w:t>
      </w:r>
      <w:proofErr w:type="spellStart"/>
      <w:r w:rsidRPr="00F66CD9">
        <w:rPr>
          <w:rFonts w:ascii="Arial" w:hAnsi="Arial" w:cs="Arial"/>
          <w:sz w:val="20"/>
          <w:szCs w:val="20"/>
          <w:lang w:val="en-GB"/>
        </w:rPr>
        <w:t>Loumana</w:t>
      </w:r>
      <w:proofErr w:type="spellEnd"/>
      <w:r w:rsidRPr="00F66CD9">
        <w:rPr>
          <w:rFonts w:ascii="Arial" w:hAnsi="Arial" w:cs="Arial"/>
          <w:sz w:val="20"/>
          <w:szCs w:val="20"/>
          <w:lang w:val="en-GB"/>
        </w:rPr>
        <w:t xml:space="preserve">, terbuthylazine rose from 18.01 to 64.66 µg/L, while at </w:t>
      </w:r>
      <w:proofErr w:type="spellStart"/>
      <w:r w:rsidRPr="00F66CD9">
        <w:rPr>
          <w:rFonts w:ascii="Arial" w:hAnsi="Arial" w:cs="Arial"/>
          <w:sz w:val="20"/>
          <w:szCs w:val="20"/>
          <w:lang w:val="en-GB"/>
        </w:rPr>
        <w:t>Kankalaba</w:t>
      </w:r>
      <w:proofErr w:type="spellEnd"/>
      <w:r w:rsidRPr="00F66CD9">
        <w:rPr>
          <w:rFonts w:ascii="Arial" w:hAnsi="Arial" w:cs="Arial"/>
          <w:sz w:val="20"/>
          <w:szCs w:val="20"/>
          <w:lang w:val="en-GB"/>
        </w:rPr>
        <w:t xml:space="preserve">, </w:t>
      </w:r>
      <w:proofErr w:type="spellStart"/>
      <w:r w:rsidRPr="00F66CD9">
        <w:rPr>
          <w:rFonts w:ascii="Arial" w:hAnsi="Arial" w:cs="Arial"/>
          <w:sz w:val="20"/>
          <w:szCs w:val="20"/>
          <w:lang w:val="en-GB"/>
        </w:rPr>
        <w:t>mesotrione</w:t>
      </w:r>
      <w:proofErr w:type="spellEnd"/>
      <w:r w:rsidRPr="00F66CD9">
        <w:rPr>
          <w:rFonts w:ascii="Arial" w:hAnsi="Arial" w:cs="Arial"/>
          <w:sz w:val="20"/>
          <w:szCs w:val="20"/>
          <w:lang w:val="en-GB"/>
        </w:rPr>
        <w:t xml:space="preserve"> increased dramatically from 912.39 to 1531.68 µg/L between P1 and P2.</w:t>
      </w:r>
      <w:r w:rsidR="004A27BF">
        <w:rPr>
          <w:rFonts w:ascii="Arial" w:hAnsi="Arial" w:cs="Arial"/>
          <w:sz w:val="20"/>
          <w:szCs w:val="20"/>
          <w:lang w:val="en-GB"/>
        </w:rPr>
        <w:t xml:space="preserve"> </w:t>
      </w:r>
      <w:r w:rsidRPr="00F66CD9">
        <w:rPr>
          <w:rFonts w:ascii="Arial" w:hAnsi="Arial" w:cs="Arial"/>
          <w:sz w:val="20"/>
          <w:szCs w:val="20"/>
          <w:lang w:val="en-GB"/>
        </w:rPr>
        <w:t xml:space="preserve">Moreover, metolachlor was detected only during P2, which is compatible with delayed application schedules or later transport from fields to water bodies. Such temporal dynamics illustrate the complexity of herbicide transfer and persistence under Sahelian conditions, where rainfall variability, soil characteristics and agricultural practices interact </w:t>
      </w:r>
      <w:r w:rsidR="009F3D50">
        <w:rPr>
          <w:rFonts w:ascii="Arial" w:hAnsi="Arial" w:cs="Arial"/>
          <w:sz w:val="20"/>
          <w:szCs w:val="20"/>
          <w:lang w:val="en-GB"/>
        </w:rPr>
        <w:fldChar w:fldCharType="begin"/>
      </w:r>
      <w:r w:rsidR="000E707F">
        <w:rPr>
          <w:rFonts w:ascii="Arial" w:hAnsi="Arial" w:cs="Arial"/>
          <w:sz w:val="20"/>
          <w:szCs w:val="20"/>
          <w:lang w:val="en-GB"/>
        </w:rPr>
        <w:instrText xml:space="preserve"> ADDIN ZOTERO_ITEM CSL_CITATION {"citationID":"O17K8CiS","properties":{"formattedCitation":"(Lehmann et al., 2017; Lorenz et al., 2025)","plainCitation":"(Lehmann et al., 2017; Lorenz et al., 2025)","noteIndex":0},"citationItems":[{"id":2960,"uris":["http://zotero.org/users/5723659/items/ZTB8ELLW"],"itemData":{"id":2960,"type":"article-journal","container-title":"Science of The Total Environment","DOI":"10.1016/j.scitotenv.2017.05.285","ISSN":"00489697","journalAbbreviation":"Science of The Total Environment","language":"en","page":"1208-1216","source":"DOI.org (Crossref)","title":"Dietary risk assessment of pesticides from vegetables and drinking water in gardening areas in Burkina Faso","volume":"601-602","author":[{"family":"Lehmann","given":"Edouard"},{"family":"Turrero","given":"Nuria"},{"family":"Kolia","given":"Marius"},{"family":"Konaté","given":"Yacouba"},{"family":"De Alencastro","given":"Luiz Felippe"}],"issued":{"date-parts":[["2017"]]}}},{"id":2926,"uris":["http://zotero.org/users/5723659/items/C6PA75MH"],"itemData":{"id":2926,"type":"article-journal","container-title":"Science of The Total Environment","DOI":"10.1016/j.scitotenv.2025.179250","ISSN":"00489697","journalAbbreviation":"Science of The Total Environment","language":"en","page":"179250","source":"DOI.org (Crossref)","title":"Pesticide contamination of small standing water bodies in the agricultural landscape of northeast Germany","volume":"975","author":[{"family":"Lorenz","given":"Stefan"},{"family":"Trau","given":"Fee Nanett"},{"family":"Ruf","given":"Lena C."},{"family":"Meinikmann","given":"Karin"},{"family":"Fisch","given":"Kathrin"},{"family":"Stähler","given":"Matthias"},{"family":"Schenke","given":"Detlef"},{"family":"Blevins","given":"Holly Lyon"},{"family":"Heinz","given":"Marlen"}],"issued":{"date-parts":[["2025"]]}}}],"schema":"https://github.com/citation-style-language/schema/raw/master/csl-citation.json"} </w:instrText>
      </w:r>
      <w:r w:rsidR="009F3D50">
        <w:rPr>
          <w:rFonts w:ascii="Arial" w:hAnsi="Arial" w:cs="Arial"/>
          <w:sz w:val="20"/>
          <w:szCs w:val="20"/>
          <w:lang w:val="en-GB"/>
        </w:rPr>
        <w:fldChar w:fldCharType="separate"/>
      </w:r>
      <w:r w:rsidR="000E707F" w:rsidRPr="000E707F">
        <w:rPr>
          <w:rFonts w:ascii="Arial" w:hAnsi="Arial" w:cs="Arial"/>
          <w:sz w:val="20"/>
          <w:lang w:val="en-GB"/>
        </w:rPr>
        <w:t xml:space="preserve">(Lehmann </w:t>
      </w:r>
      <w:r w:rsidR="000E707F" w:rsidRPr="000A75C2">
        <w:rPr>
          <w:rFonts w:ascii="Arial" w:hAnsi="Arial" w:cs="Arial"/>
          <w:i/>
          <w:iCs/>
          <w:sz w:val="20"/>
          <w:highlight w:val="yellow"/>
          <w:lang w:val="en-GB"/>
        </w:rPr>
        <w:t>et al.</w:t>
      </w:r>
      <w:r w:rsidR="000E707F" w:rsidRPr="000E707F">
        <w:rPr>
          <w:rFonts w:ascii="Arial" w:hAnsi="Arial" w:cs="Arial"/>
          <w:sz w:val="20"/>
          <w:lang w:val="en-GB"/>
        </w:rPr>
        <w:t xml:space="preserve">, 2017; </w:t>
      </w:r>
      <w:r w:rsidR="000E707F" w:rsidRPr="000A75C2">
        <w:rPr>
          <w:rFonts w:ascii="Arial" w:hAnsi="Arial" w:cs="Arial"/>
          <w:sz w:val="20"/>
          <w:highlight w:val="yellow"/>
          <w:lang w:val="en-GB"/>
        </w:rPr>
        <w:t xml:space="preserve">Lorenz </w:t>
      </w:r>
      <w:r w:rsidR="000E707F" w:rsidRPr="006E60DE">
        <w:rPr>
          <w:rFonts w:ascii="Arial" w:hAnsi="Arial" w:cs="Arial"/>
          <w:i/>
          <w:iCs/>
          <w:sz w:val="20"/>
          <w:highlight w:val="yellow"/>
          <w:lang w:val="en-GB"/>
        </w:rPr>
        <w:t>et al</w:t>
      </w:r>
      <w:r w:rsidR="000E707F" w:rsidRPr="000A75C2">
        <w:rPr>
          <w:rFonts w:ascii="Arial" w:hAnsi="Arial" w:cs="Arial"/>
          <w:sz w:val="20"/>
          <w:lang w:val="en-GB"/>
        </w:rPr>
        <w:t>.</w:t>
      </w:r>
      <w:r w:rsidR="000E707F" w:rsidRPr="000A75C2">
        <w:rPr>
          <w:rFonts w:ascii="Arial" w:hAnsi="Arial" w:cs="Arial"/>
          <w:sz w:val="20"/>
          <w:highlight w:val="yellow"/>
          <w:lang w:val="en-GB"/>
        </w:rPr>
        <w:t>, 2025)</w:t>
      </w:r>
      <w:r w:rsidR="009F3D50">
        <w:rPr>
          <w:rFonts w:ascii="Arial" w:hAnsi="Arial" w:cs="Arial"/>
          <w:sz w:val="20"/>
          <w:szCs w:val="20"/>
          <w:lang w:val="en-GB"/>
        </w:rPr>
        <w:fldChar w:fldCharType="end"/>
      </w:r>
      <w:r w:rsidRPr="00F66CD9">
        <w:rPr>
          <w:rFonts w:ascii="Arial" w:hAnsi="Arial" w:cs="Arial"/>
          <w:sz w:val="20"/>
          <w:szCs w:val="20"/>
          <w:lang w:val="en-GB"/>
        </w:rPr>
        <w:t>.</w:t>
      </w:r>
    </w:p>
    <w:p w14:paraId="28FF932B"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t>3.3 Compliance with guideline values and implications for water quality</w:t>
      </w:r>
    </w:p>
    <w:p w14:paraId="48AC17E7" w14:textId="0F71DA2C" w:rsidR="0073550A" w:rsidRPr="005E494A" w:rsidRDefault="0073550A" w:rsidP="005E494A">
      <w:pPr>
        <w:spacing w:after="0" w:line="240" w:lineRule="auto"/>
        <w:jc w:val="both"/>
        <w:rPr>
          <w:rFonts w:ascii="Arial" w:hAnsi="Arial" w:cs="Arial"/>
          <w:sz w:val="20"/>
          <w:szCs w:val="20"/>
        </w:rPr>
      </w:pPr>
      <w:r w:rsidRPr="005E494A">
        <w:rPr>
          <w:rFonts w:ascii="Arial" w:hAnsi="Arial" w:cs="Arial"/>
          <w:sz w:val="20"/>
          <w:szCs w:val="20"/>
          <w:lang w:val="en-GB"/>
        </w:rPr>
        <w:t xml:space="preserve">The measured concentrations were compared with maximum admissible concentrations (MAC) for drinking water, taken from WHO guidelines </w:t>
      </w:r>
      <w:r w:rsidR="00B401CD" w:rsidRPr="005E494A">
        <w:rPr>
          <w:rFonts w:ascii="Arial" w:hAnsi="Arial" w:cs="Arial"/>
          <w:sz w:val="20"/>
          <w:szCs w:val="20"/>
          <w:lang w:val="en-GB"/>
        </w:rPr>
        <w:fldChar w:fldCharType="begin"/>
      </w:r>
      <w:r w:rsidR="000E707F" w:rsidRPr="005E494A">
        <w:rPr>
          <w:rFonts w:ascii="Arial" w:hAnsi="Arial" w:cs="Arial"/>
          <w:sz w:val="20"/>
          <w:szCs w:val="20"/>
          <w:lang w:val="en-GB"/>
        </w:rPr>
        <w:instrText xml:space="preserve"> ADDIN ZOTERO_ITEM CSL_CITATION {"citationID":"omsmB94X","properties":{"formattedCitation":"(WHO, 2017)","plainCitation":"(WHO, 2017)","noteIndex":0},"citationItems":[{"id":2944,"uris":["http://zotero.org/users/5723659/items/YR2L8MDM"],"itemData":{"id":2944,"type":"book","abstract":"This fourth edition incorporating the first addendum, of the World Health Organization's Guidelines for Drinking-water Quality builds on over 50 years of guidance by WHO on drinking-water quality, which has formed an authoritative basis for the setting of national regulations and standards for water safety in support of public health. It is the product of significant revisions to clarify and elaborate on ways of implementing its recommendations of contextual hazard identification and risk management, through the establishment of health-based targets, catchment-to-consumer water safety plans and independent surveillance. It reflects the renewed focus on primary prevention. Significant additional guidance on good practice is presented, incorporating changes introduced by the first and second addenda to the third edition. Emerging water management issues are comprehensively addressed for a range of circumstances, from household water treatment and safe storage and the bulk supply of water over long distances to the potential implications of climate change. Additional risk assessments are presented for a number of new chemical and microbial hazards and applied to a suite of pesticides used for public health purposes. Existing reviews on chemicals and waterborne pathogens have been revised to account for new scientific information. The chapter on radiological aspects of drinking-water quality has been comprehensively updated. Even more than the previous edition, this new edition incorporating the first addendum, emphasizes achievable practices and the formulation of sound regulations, applicable to low-income, middle-income and industrialized countries alike, that aim to prevent a potential health crisis caused by the consumption of unsafe drinking-water, against the backdrop of rapid urbanization, water scarcity and climate change","edition":"Fourth edition incorporating the first addendum","event-place":"Geneva","ISBN":"978-92-4-154995-0","language":"eng","number-of-pages":"1","publisher":"World Health Organization","publisher-place":"Geneva","source":"K10plus ISBN","title":"Guidelines for drinking-water quality","editor":[{"literal":"WHO"}],"issued":{"date-parts":[["2017"]]}}}],"schema":"https://github.com/citation-style-language/schema/raw/master/csl-citation.json"} </w:instrText>
      </w:r>
      <w:r w:rsidR="00B401CD" w:rsidRPr="005E494A">
        <w:rPr>
          <w:rFonts w:ascii="Arial" w:hAnsi="Arial" w:cs="Arial"/>
          <w:sz w:val="20"/>
          <w:szCs w:val="20"/>
          <w:lang w:val="en-GB"/>
        </w:rPr>
        <w:fldChar w:fldCharType="separate"/>
      </w:r>
      <w:r w:rsidR="000E707F" w:rsidRPr="005E494A">
        <w:rPr>
          <w:rFonts w:ascii="Arial" w:hAnsi="Arial" w:cs="Arial"/>
          <w:sz w:val="20"/>
          <w:lang w:val="en-GB"/>
        </w:rPr>
        <w:t>(WHO, 2017)</w:t>
      </w:r>
      <w:r w:rsidR="00B401CD" w:rsidRPr="005E494A">
        <w:rPr>
          <w:rFonts w:ascii="Arial" w:hAnsi="Arial" w:cs="Arial"/>
          <w:sz w:val="20"/>
          <w:szCs w:val="20"/>
          <w:lang w:val="en-GB"/>
        </w:rPr>
        <w:fldChar w:fldCharType="end"/>
      </w:r>
      <w:r w:rsidR="00B401CD" w:rsidRPr="005E494A">
        <w:rPr>
          <w:rFonts w:ascii="Arial" w:hAnsi="Arial" w:cs="Arial"/>
          <w:sz w:val="20"/>
          <w:szCs w:val="20"/>
          <w:lang w:val="en-GB"/>
        </w:rPr>
        <w:t xml:space="preserve"> </w:t>
      </w:r>
      <w:r w:rsidRPr="005E494A">
        <w:rPr>
          <w:rFonts w:ascii="Arial" w:hAnsi="Arial" w:cs="Arial"/>
          <w:sz w:val="20"/>
          <w:szCs w:val="20"/>
          <w:lang w:val="en-GB"/>
        </w:rPr>
        <w:t>and the European Drinking Water Directive 2020/2184</w:t>
      </w:r>
      <w:r w:rsidR="00B401CD" w:rsidRPr="005E494A">
        <w:rPr>
          <w:rFonts w:ascii="Arial" w:hAnsi="Arial" w:cs="Arial"/>
          <w:sz w:val="20"/>
          <w:szCs w:val="20"/>
          <w:lang w:val="en-GB"/>
        </w:rPr>
        <w:t xml:space="preserve"> </w:t>
      </w:r>
      <w:r w:rsidR="00A875AC" w:rsidRPr="005E494A">
        <w:rPr>
          <w:rFonts w:ascii="Arial" w:hAnsi="Arial" w:cs="Arial"/>
          <w:sz w:val="20"/>
          <w:szCs w:val="20"/>
          <w:lang w:val="en-GB"/>
        </w:rPr>
        <w:fldChar w:fldCharType="begin"/>
      </w:r>
      <w:r w:rsidR="000E707F" w:rsidRPr="005E494A">
        <w:rPr>
          <w:rFonts w:ascii="Arial" w:hAnsi="Arial" w:cs="Arial"/>
          <w:sz w:val="20"/>
          <w:szCs w:val="20"/>
          <w:lang w:val="en-GB"/>
        </w:rPr>
        <w:instrText xml:space="preserve"> ADDIN ZOTERO_ITEM CSL_CITATION {"citationID":"tttYrcdl","properties":{"formattedCitation":"(Union Europ\\uc0\\u233{}enne, 2020)","plainCitation":"(Union Européenne, 2020)","noteIndex":0},"citationItems":[{"id":2952,"uris":["http://zotero.org/users/5723659/items/TNBXBSJ3"],"itemData":{"id":2952,"type":"article-newspaper","container-title":"Journal officiel de l’Union européenne","page":"1-62","section":"L 435/1","title":"Directive (UE) 2020/2184 du Parlement européen et du Conseil du 16 décembre 2020 relative à la qualité des eaux destinées à la consommation humaine (refonte) (Texte présentant de l’intérêt pour l’EEE)","author":[{"family":"Union Européenne","given":""}],"issued":{"date-parts":[["2020"]]}}}],"schema":"https://github.com/citation-style-language/schema/raw/master/csl-citation.json"} </w:instrText>
      </w:r>
      <w:r w:rsidR="00A875AC" w:rsidRPr="005E494A">
        <w:rPr>
          <w:rFonts w:ascii="Arial" w:hAnsi="Arial" w:cs="Arial"/>
          <w:sz w:val="20"/>
          <w:szCs w:val="20"/>
          <w:lang w:val="en-GB"/>
        </w:rPr>
        <w:fldChar w:fldCharType="separate"/>
      </w:r>
      <w:r w:rsidR="000E707F" w:rsidRPr="005E494A">
        <w:rPr>
          <w:rFonts w:ascii="Arial" w:hAnsi="Arial" w:cs="Arial"/>
          <w:sz w:val="20"/>
          <w:lang w:val="en-GB"/>
        </w:rPr>
        <w:t>(Union Européenne, 2020)</w:t>
      </w:r>
      <w:r w:rsidR="00A875AC" w:rsidRPr="005E494A">
        <w:rPr>
          <w:rFonts w:ascii="Arial" w:hAnsi="Arial" w:cs="Arial"/>
          <w:sz w:val="20"/>
          <w:szCs w:val="20"/>
          <w:lang w:val="en-GB"/>
        </w:rPr>
        <w:fldChar w:fldCharType="end"/>
      </w:r>
      <w:r w:rsidRPr="005E494A">
        <w:rPr>
          <w:rFonts w:ascii="Arial" w:hAnsi="Arial" w:cs="Arial"/>
          <w:sz w:val="20"/>
          <w:szCs w:val="20"/>
          <w:lang w:val="en-GB"/>
        </w:rPr>
        <w:t>. These references set a limit of 0.10 µg/L per individual pesticide and 0.50 µg/L for the sum of all pesticides in drinking water.</w:t>
      </w:r>
      <w:r w:rsidR="005E494A" w:rsidRPr="005E494A">
        <w:rPr>
          <w:rFonts w:ascii="Arial" w:hAnsi="Arial" w:cs="Arial"/>
          <w:sz w:val="20"/>
          <w:szCs w:val="20"/>
          <w:lang w:val="en-GB"/>
        </w:rPr>
        <w:t xml:space="preserve"> </w:t>
      </w:r>
      <w:r w:rsidRPr="005E494A">
        <w:rPr>
          <w:rFonts w:ascii="Arial" w:hAnsi="Arial" w:cs="Arial"/>
          <w:sz w:val="20"/>
          <w:szCs w:val="20"/>
          <w:lang w:val="en-GB"/>
        </w:rPr>
        <w:t>This comparison showed frequent and substantial exceedances of these thresholds. Only a very small proportion of measurements complied with the guideline values: compliance rates were on the order of 8.33% for the individual pesticide limit (0.10 µg/L) and 6.06% for the total pesticide limit (0.50 µg/L). In other words, more than 90% of the situations documented in this study correspond to herbicide levels above at least one of the reference values, indicating almost systematic contamination of surface waters.</w:t>
      </w:r>
      <w:r w:rsidR="003A0B98">
        <w:rPr>
          <w:rFonts w:ascii="Arial" w:hAnsi="Arial" w:cs="Arial"/>
          <w:sz w:val="20"/>
          <w:szCs w:val="20"/>
          <w:lang w:val="en-GB"/>
        </w:rPr>
        <w:t xml:space="preserve"> </w:t>
      </w:r>
      <w:r w:rsidRPr="005E494A">
        <w:rPr>
          <w:rFonts w:ascii="Arial" w:hAnsi="Arial" w:cs="Arial"/>
          <w:sz w:val="20"/>
          <w:szCs w:val="20"/>
          <w:lang w:val="en-GB"/>
        </w:rPr>
        <w:t xml:space="preserve">Among the most problematic molecules, triazines (atrazine, terbuthylazine) and diuron frequently exceeded guideline values by several orders of magnitude. For example, </w:t>
      </w:r>
      <w:proofErr w:type="spellStart"/>
      <w:r w:rsidRPr="005E494A">
        <w:rPr>
          <w:rFonts w:ascii="Arial" w:hAnsi="Arial" w:cs="Arial"/>
          <w:sz w:val="20"/>
          <w:szCs w:val="20"/>
          <w:lang w:val="en-GB"/>
        </w:rPr>
        <w:t>mesotrione</w:t>
      </w:r>
      <w:proofErr w:type="spellEnd"/>
      <w:r w:rsidRPr="005E494A">
        <w:rPr>
          <w:rFonts w:ascii="Arial" w:hAnsi="Arial" w:cs="Arial"/>
          <w:sz w:val="20"/>
          <w:szCs w:val="20"/>
          <w:lang w:val="en-GB"/>
        </w:rPr>
        <w:t xml:space="preserve"> reached 983.15 µg/L at </w:t>
      </w:r>
      <w:proofErr w:type="spellStart"/>
      <w:r w:rsidRPr="005E494A">
        <w:rPr>
          <w:rFonts w:ascii="Arial" w:hAnsi="Arial" w:cs="Arial"/>
          <w:sz w:val="20"/>
          <w:szCs w:val="20"/>
          <w:lang w:val="en-GB"/>
        </w:rPr>
        <w:t>Ouarkoye</w:t>
      </w:r>
      <w:proofErr w:type="spellEnd"/>
      <w:r w:rsidRPr="005E494A">
        <w:rPr>
          <w:rFonts w:ascii="Arial" w:hAnsi="Arial" w:cs="Arial"/>
          <w:sz w:val="20"/>
          <w:szCs w:val="20"/>
          <w:lang w:val="en-GB"/>
        </w:rPr>
        <w:t xml:space="preserve"> in P1, i.e. nearly 10,000 times higher than the 0.10 µg/L limit for individual pesticides. Such exceedances are particularly concerning in a Sahelian context characterised by water scarcity and by the frequent use of untreated surface waters for domestic and agricultural purposes by rural populations </w:t>
      </w:r>
      <w:r w:rsidR="005E494A" w:rsidRPr="005E494A">
        <w:rPr>
          <w:rFonts w:ascii="Arial" w:hAnsi="Arial" w:cs="Arial"/>
          <w:sz w:val="20"/>
          <w:szCs w:val="20"/>
          <w:lang w:val="en-GB"/>
        </w:rPr>
        <w:fldChar w:fldCharType="begin"/>
      </w:r>
      <w:r w:rsidR="005E494A" w:rsidRPr="005E494A">
        <w:rPr>
          <w:rFonts w:ascii="Arial" w:hAnsi="Arial" w:cs="Arial"/>
          <w:sz w:val="20"/>
          <w:szCs w:val="20"/>
          <w:lang w:val="en-GB"/>
        </w:rPr>
        <w:instrText xml:space="preserve"> ADDIN ZOTERO_ITEM CSL_CITATION {"citationID":"x5dZFfcJ","properties":{"formattedCitation":"(Bayili et al., 2019; Elfikrie et al., 2020; S\\uc0\\u233{}r\\uc0\\u233{} et al., 2025)","plainCitation":"(Bayili et al., 2019; Elfikrie et al., 2020; Séré et al., 2025)","noteIndex":0},"citationItems":[{"id":2915,"uris":["http://zotero.org/users/5723659/items/FD3BI3Z5"],"itemData":{"id":2915,"type":"article-journal","container-title":"Journal of Experimental Biology and Agricultural Sciences","DOI":"10.18006/2019.7(6).554.568","ISSN":"23208694","issue":"6","journalAbbreviation":"JEBAS","page":"554-568","source":"DOI.org (Crossref)","title":"Characterization of pesticides and practices of cotton producers and pesticides sellers in the cotton zone of Bala’s Hippopotamus Pond Biosphere of Burkina Faso","volume":"7","author":[{"family":"Bayili","given":"Bazoma"},{"family":"Ouedraogo","given":"Richard"},{"family":"Ilboudo","given":"Sylvain"},{"family":"Pooda","given":"Lamine"},{"family":"Bonkoungou","given":"Macaire"},{"family":"Bationo","given":"Jean Fidèle"},{</w:instrText>
      </w:r>
      <w:r w:rsidR="005E494A" w:rsidRPr="006B2574">
        <w:rPr>
          <w:rFonts w:ascii="Arial" w:hAnsi="Arial" w:cs="Arial"/>
          <w:sz w:val="20"/>
          <w:szCs w:val="20"/>
          <w:lang w:val="en-GB"/>
        </w:rPr>
        <w:instrText>"family":"Ouedraogo","given":"Jean Bosco"},{"family":"Ou</w:instrText>
      </w:r>
      <w:r w:rsidR="005E494A" w:rsidRPr="005E494A">
        <w:rPr>
          <w:rFonts w:ascii="Arial" w:hAnsi="Arial" w:cs="Arial"/>
          <w:sz w:val="20"/>
          <w:szCs w:val="20"/>
          <w:lang w:val="en-GB"/>
        </w:rPr>
        <w:instrText xml:space="preserve">edraogo","given":"Georges Anicet"}],"issued":{"date-parts":[["2019"]]}}},{"id":2913,"uris":["http://zotero.org/users/5723659/items/9HPPTTF3"],"itemData":{"id":2913,"type":"article-journal","container-title":"Science of The Total Environment","DOI":"10.1016/j.scitotenv.2020.136540","ISSN":"00489697","journalAbbreviation":"Science of The Total Environment","language":"en","page":"136540","source":"DOI.org (Crossref)","title":"Occurrence of pesticides in surface water, pesticides removal efficiency in drinking water treatment plant and potential health risk to consumers in Tengi River Basin, Malaysia","volume":"712","author":[{"family":"Elfikrie","given":"Nurulizani"},{"family":"Ho","given":"Yu Bin"},{"family":"Zaidon","given":"Siti Zulfa"},{"family":"Juahir","given":"Hafizan"},{"family":"Tan","given":"Eugenie Sin Sing"}],"issued":{"date-parts":[["2020"]]}}},{"id":2946,"uris":["http://zotero.org/users/5723659/items/7EJTTUQA"],"itemData":{"id":2946,"type":"article-journal","container-title":"Revue Africaine d’Environnement et d’Agriculture Durable","issue":"1","page":"45-56","title":"Contamination des eaux de surface par les pesticides dans la région de Bama (Burkina Faso)","volume":"12","author":[{"family":"Séré","given":"G"},{"family":"Sawadogo","given":"R"},{"family":"Nacoulma","given":"BMI"}],"issued":{"date-parts":[["2025"]]}}}],"schema":"https://github.com/citation-style-language/schema/raw/master/csl-citation.json"} </w:instrText>
      </w:r>
      <w:r w:rsidR="005E494A" w:rsidRPr="005E494A">
        <w:rPr>
          <w:rFonts w:ascii="Arial" w:hAnsi="Arial" w:cs="Arial"/>
          <w:sz w:val="20"/>
          <w:szCs w:val="20"/>
          <w:lang w:val="en-GB"/>
        </w:rPr>
        <w:fldChar w:fldCharType="separate"/>
      </w:r>
      <w:r w:rsidR="005E494A" w:rsidRPr="005E494A">
        <w:rPr>
          <w:rFonts w:ascii="Arial" w:hAnsi="Arial" w:cs="Arial"/>
          <w:sz w:val="20"/>
          <w:lang w:val="en-GB"/>
        </w:rPr>
        <w:t xml:space="preserve">(Bayili </w:t>
      </w:r>
      <w:r w:rsidR="005E494A" w:rsidRPr="006E60DE">
        <w:rPr>
          <w:rFonts w:ascii="Arial" w:hAnsi="Arial" w:cs="Arial"/>
          <w:i/>
          <w:iCs/>
          <w:sz w:val="20"/>
          <w:highlight w:val="yellow"/>
          <w:lang w:val="en-GB"/>
        </w:rPr>
        <w:t>et al.,</w:t>
      </w:r>
      <w:r w:rsidR="005E494A" w:rsidRPr="005E494A">
        <w:rPr>
          <w:rFonts w:ascii="Arial" w:hAnsi="Arial" w:cs="Arial"/>
          <w:sz w:val="20"/>
          <w:lang w:val="en-GB"/>
        </w:rPr>
        <w:t xml:space="preserve"> 2019; Elfikrie </w:t>
      </w:r>
      <w:r w:rsidR="005E494A" w:rsidRPr="006E60DE">
        <w:rPr>
          <w:rFonts w:ascii="Arial" w:hAnsi="Arial" w:cs="Arial"/>
          <w:i/>
          <w:iCs/>
          <w:sz w:val="20"/>
          <w:highlight w:val="yellow"/>
          <w:lang w:val="en-GB"/>
        </w:rPr>
        <w:t>et al.</w:t>
      </w:r>
      <w:r w:rsidR="005E494A" w:rsidRPr="005E494A">
        <w:rPr>
          <w:rFonts w:ascii="Arial" w:hAnsi="Arial" w:cs="Arial"/>
          <w:sz w:val="20"/>
          <w:lang w:val="en-GB"/>
        </w:rPr>
        <w:t xml:space="preserve">, 2020; Séré </w:t>
      </w:r>
      <w:r w:rsidR="005E494A" w:rsidRPr="006E60DE">
        <w:rPr>
          <w:rFonts w:ascii="Arial" w:hAnsi="Arial" w:cs="Arial"/>
          <w:i/>
          <w:iCs/>
          <w:sz w:val="20"/>
          <w:highlight w:val="yellow"/>
          <w:lang w:val="en-GB"/>
        </w:rPr>
        <w:t>et al.</w:t>
      </w:r>
      <w:r w:rsidR="005E494A" w:rsidRPr="005E494A">
        <w:rPr>
          <w:rFonts w:ascii="Arial" w:hAnsi="Arial" w:cs="Arial"/>
          <w:sz w:val="20"/>
          <w:lang w:val="en-GB"/>
        </w:rPr>
        <w:t>, 2025)</w:t>
      </w:r>
      <w:r w:rsidR="005E494A" w:rsidRPr="005E494A">
        <w:rPr>
          <w:rFonts w:ascii="Arial" w:hAnsi="Arial" w:cs="Arial"/>
          <w:sz w:val="20"/>
          <w:szCs w:val="20"/>
          <w:lang w:val="en-GB"/>
        </w:rPr>
        <w:fldChar w:fldCharType="end"/>
      </w:r>
      <w:r w:rsidRPr="005E494A">
        <w:rPr>
          <w:rFonts w:ascii="Arial" w:hAnsi="Arial" w:cs="Arial"/>
          <w:sz w:val="20"/>
          <w:szCs w:val="20"/>
          <w:lang w:val="en-GB"/>
        </w:rPr>
        <w:t>.</w:t>
      </w:r>
      <w:r w:rsidR="005E494A" w:rsidRPr="005E494A">
        <w:rPr>
          <w:rFonts w:ascii="Arial" w:hAnsi="Arial" w:cs="Arial"/>
          <w:sz w:val="20"/>
          <w:szCs w:val="20"/>
          <w:lang w:val="en-GB"/>
        </w:rPr>
        <w:t xml:space="preserve"> </w:t>
      </w:r>
      <w:r w:rsidRPr="005E494A">
        <w:rPr>
          <w:rFonts w:ascii="Arial" w:hAnsi="Arial" w:cs="Arial"/>
          <w:sz w:val="20"/>
          <w:szCs w:val="20"/>
          <w:lang w:val="en-GB"/>
        </w:rPr>
        <w:t xml:space="preserve">These observations are consistent with findings from other tropical and temperate regions, where intensive herbicide use in agriculture has been associated with widespread contamination of rivers, streams and ponds </w:t>
      </w:r>
      <w:r w:rsidR="005E494A" w:rsidRPr="005E494A">
        <w:rPr>
          <w:rFonts w:ascii="Arial" w:hAnsi="Arial" w:cs="Arial"/>
          <w:sz w:val="20"/>
          <w:szCs w:val="20"/>
          <w:lang w:val="en-GB"/>
        </w:rPr>
        <w:fldChar w:fldCharType="begin"/>
      </w:r>
      <w:r w:rsidR="004A43B1">
        <w:rPr>
          <w:rFonts w:ascii="Arial" w:hAnsi="Arial" w:cs="Arial"/>
          <w:sz w:val="20"/>
          <w:szCs w:val="20"/>
          <w:lang w:val="en-GB"/>
        </w:rPr>
        <w:instrText xml:space="preserve"> ADDIN ZOTERO_ITEM CSL_CITATION {"citationID":"IGGU1Own","properties":{"formattedCitation":"(De Souza et al., 2020; Schwientek et al., 2024; Stackpoole et al., 2021)","plainCitation":"(De Souza et al., 2020; Schwientek et al., 2024; Stackpoole et al., 2021)","dontUpdate":true,"noteIndex":0},"citationItems":[{"id":2914,"uris":["http://zotero.org/users/5723659/items/DJ6W3VFG"],"itemData":{"id":2914,"type":"article-journal","container-title":"Process Safety and Environmental Protection","DOI":"10.1016/j.psep.2019.12.035","ISSN":"09575820","journalAbbreviation":"Process Safety and Environmental Protection","language":"en","page":"22-37","source":"DOI.org (Crossref)","title":"Occurrence, impacts and general aspects of pesticides in surface water: A review","title-short":"Occurrence, impacts and general aspects of pesticides in surface water","volume":"135","author":[{"family":"De Souza","given":"Renata Mariane"},{"family":"Seibert","given":"Daiana"},{"family":"Quesada","given":"Heloise Beatriz"},{"family":"De Jesus Bassetti","given":"Fátima"},{"family":"Fagundes-Klen","given":"Márcia Regina"},{"family":"Bergamasco","given":"Rosângela"}],"issued":{"date-parts":[["2020"]]}}},{"id":2956,"uris":["http://zotero.org/users/57</w:instrText>
      </w:r>
      <w:r w:rsidR="004A43B1" w:rsidRPr="002D4C9F">
        <w:rPr>
          <w:rFonts w:ascii="Arial" w:hAnsi="Arial" w:cs="Arial"/>
          <w:sz w:val="20"/>
          <w:szCs w:val="20"/>
        </w:rPr>
        <w:instrText>23659/items/ZZ2UNMPH"],"itemData":{"id":2956,"type"</w:instrText>
      </w:r>
      <w:r w:rsidR="004A43B1" w:rsidRPr="004A43B1">
        <w:rPr>
          <w:rFonts w:ascii="Arial" w:hAnsi="Arial" w:cs="Arial"/>
          <w:sz w:val="20"/>
          <w:szCs w:val="20"/>
        </w:rPr>
        <w:instrText xml:space="preserve">:"article-journal","container-title":"Water Research","DOI":"10.1016/j.watres.2024.122140","ISSN":"00431354","journalAbbreviation":"Water Research","language":"en","page":"122140","source":"DOI.org (Crossref)","title":"Glyphosate contamination in European rivers not from herbicide application?","volume":"263","author":[{"family":"Schwientek","given":"M."},{"family":"Rügner","given":"H."},{"family":"Haderlein","given":"S.B."},{"family":"Schulz","given":"W."},{"family":"Wimmer","given":"B."},{"family":"Engelbart","given":"L."},{"family":"Bieger","given":"S."},{"family":"Huhn","given":"C."}],"issued":{"date-parts":[["2024"]]}}},{"id":2902,"uris":["http://zotero.org/users/5723659/items/IHH8DK8W"],"itemData":{"id":2902,"type":"article-journal","container-title":"Science of The Total Environment","DOI":"10.1016/j.scitotenv.2021.147147","ISSN":"00489697","journalAbbreviation":"Science of The Total Environment","language":"en","page":"147147","source":"DOI.org (Crossref)","title":"Pesticides in US Rivers: Regional differences in use, occurrence, and environmental toxicity, 2013 to 2017","title-short":"Pesticides in US Rivers","volume":"787","author":[{"family":"Stackpoole","given":"Sarah M."},{"family":"Shoda","given":"Megan E."},{"family":"Medalie","given":"Laura"},{"family":"Stone","given":"Wesley W."}],"issued":{"date-parts":[["2021"]]}}}],"schema":"https://github.com/citation-style-language/schema/raw/master/csl-citation.json"} </w:instrText>
      </w:r>
      <w:r w:rsidR="005E494A" w:rsidRPr="005E494A">
        <w:rPr>
          <w:rFonts w:ascii="Arial" w:hAnsi="Arial" w:cs="Arial"/>
          <w:sz w:val="20"/>
          <w:szCs w:val="20"/>
          <w:lang w:val="en-GB"/>
        </w:rPr>
        <w:fldChar w:fldCharType="separate"/>
      </w:r>
      <w:r w:rsidR="005E494A" w:rsidRPr="005E494A">
        <w:rPr>
          <w:rFonts w:ascii="Arial" w:hAnsi="Arial" w:cs="Arial"/>
          <w:sz w:val="20"/>
        </w:rPr>
        <w:t xml:space="preserve">(De Souza </w:t>
      </w:r>
      <w:r w:rsidR="005E494A" w:rsidRPr="006E60DE">
        <w:rPr>
          <w:rFonts w:ascii="Arial" w:hAnsi="Arial" w:cs="Arial"/>
          <w:i/>
          <w:iCs/>
          <w:sz w:val="20"/>
          <w:highlight w:val="yellow"/>
        </w:rPr>
        <w:t>et al.,</w:t>
      </w:r>
      <w:r w:rsidR="005E494A" w:rsidRPr="005E494A">
        <w:rPr>
          <w:rFonts w:ascii="Arial" w:hAnsi="Arial" w:cs="Arial"/>
          <w:sz w:val="20"/>
        </w:rPr>
        <w:t xml:space="preserve"> 2020; </w:t>
      </w:r>
      <w:r w:rsidR="00AE38A9" w:rsidRPr="005E494A">
        <w:rPr>
          <w:rFonts w:ascii="Arial" w:hAnsi="Arial" w:cs="Arial"/>
          <w:sz w:val="20"/>
        </w:rPr>
        <w:t xml:space="preserve">Stackpoole </w:t>
      </w:r>
      <w:r w:rsidR="00AE38A9" w:rsidRPr="006E60DE">
        <w:rPr>
          <w:rFonts w:ascii="Arial" w:hAnsi="Arial" w:cs="Arial"/>
          <w:i/>
          <w:iCs/>
          <w:sz w:val="20"/>
          <w:highlight w:val="yellow"/>
        </w:rPr>
        <w:t>et al</w:t>
      </w:r>
      <w:r w:rsidR="00AE38A9" w:rsidRPr="005E494A">
        <w:rPr>
          <w:rFonts w:ascii="Arial" w:hAnsi="Arial" w:cs="Arial"/>
          <w:sz w:val="20"/>
        </w:rPr>
        <w:t>., 2021</w:t>
      </w:r>
      <w:r w:rsidR="00AE38A9">
        <w:rPr>
          <w:rFonts w:ascii="Arial" w:hAnsi="Arial" w:cs="Arial"/>
          <w:sz w:val="20"/>
        </w:rPr>
        <w:t xml:space="preserve">; </w:t>
      </w:r>
      <w:r w:rsidR="005E494A" w:rsidRPr="005E494A">
        <w:rPr>
          <w:rFonts w:ascii="Arial" w:hAnsi="Arial" w:cs="Arial"/>
          <w:sz w:val="20"/>
        </w:rPr>
        <w:t xml:space="preserve">Schwientek </w:t>
      </w:r>
      <w:r w:rsidR="005E494A" w:rsidRPr="006E60DE">
        <w:rPr>
          <w:rFonts w:ascii="Arial" w:hAnsi="Arial" w:cs="Arial"/>
          <w:i/>
          <w:iCs/>
          <w:sz w:val="20"/>
          <w:highlight w:val="yellow"/>
        </w:rPr>
        <w:t>et al.,</w:t>
      </w:r>
      <w:r w:rsidR="005E494A" w:rsidRPr="005E494A">
        <w:rPr>
          <w:rFonts w:ascii="Arial" w:hAnsi="Arial" w:cs="Arial"/>
          <w:sz w:val="20"/>
        </w:rPr>
        <w:t xml:space="preserve"> 2024)</w:t>
      </w:r>
      <w:r w:rsidR="005E494A" w:rsidRPr="005E494A">
        <w:rPr>
          <w:rFonts w:ascii="Arial" w:hAnsi="Arial" w:cs="Arial"/>
          <w:sz w:val="20"/>
          <w:szCs w:val="20"/>
          <w:lang w:val="en-GB"/>
        </w:rPr>
        <w:fldChar w:fldCharType="end"/>
      </w:r>
      <w:r w:rsidRPr="005E494A">
        <w:rPr>
          <w:rFonts w:ascii="Arial" w:hAnsi="Arial" w:cs="Arial"/>
          <w:sz w:val="20"/>
          <w:szCs w:val="20"/>
        </w:rPr>
        <w:t>.</w:t>
      </w:r>
    </w:p>
    <w:p w14:paraId="0D1DE3B2"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t>3.4 Ecotoxicological risks for aquatic ecosystems</w:t>
      </w:r>
    </w:p>
    <w:p w14:paraId="54E19B76" w14:textId="5CBCF85D" w:rsidR="0073550A" w:rsidRPr="004F4189" w:rsidRDefault="0073550A" w:rsidP="004F4189">
      <w:pPr>
        <w:spacing w:after="0" w:line="240" w:lineRule="auto"/>
        <w:jc w:val="both"/>
        <w:rPr>
          <w:rFonts w:ascii="Arial" w:hAnsi="Arial" w:cs="Arial"/>
          <w:sz w:val="20"/>
          <w:szCs w:val="20"/>
          <w:lang w:val="en-GB"/>
        </w:rPr>
      </w:pPr>
      <w:r w:rsidRPr="004F4189">
        <w:rPr>
          <w:rFonts w:ascii="Arial" w:hAnsi="Arial" w:cs="Arial"/>
          <w:sz w:val="20"/>
          <w:szCs w:val="20"/>
          <w:lang w:val="en-GB"/>
        </w:rPr>
        <w:t>From an ecotoxicological perspective, the concentrations measured in this study may pose severe risks to aquatic organisms, particularly algae, macrophytes and invertebrates.</w:t>
      </w:r>
      <w:r w:rsidR="005E494A" w:rsidRPr="004F4189">
        <w:rPr>
          <w:rFonts w:ascii="Arial" w:hAnsi="Arial" w:cs="Arial"/>
          <w:sz w:val="20"/>
          <w:szCs w:val="20"/>
          <w:lang w:val="en-GB"/>
        </w:rPr>
        <w:t xml:space="preserve"> </w:t>
      </w:r>
      <w:r w:rsidRPr="004F4189">
        <w:rPr>
          <w:rFonts w:ascii="Arial" w:hAnsi="Arial" w:cs="Arial"/>
          <w:sz w:val="20"/>
          <w:szCs w:val="20"/>
          <w:lang w:val="en-GB"/>
        </w:rPr>
        <w:t xml:space="preserve">Triazines such as atrazine and terbuthylazine, as well as diuron, are known to inhibit photosynthesis by blocking electron transport in photosystem II. At concentrations far above environmental quality standards, these substances can strongly reduce primary productivity, alter phytoplankton and periphyton communities and consequently affect the entire aquatic food web </w:t>
      </w:r>
      <w:r w:rsidR="00D35242" w:rsidRPr="004F4189">
        <w:rPr>
          <w:rFonts w:ascii="Arial" w:hAnsi="Arial" w:cs="Arial"/>
          <w:sz w:val="20"/>
          <w:szCs w:val="20"/>
          <w:lang w:val="en-GB"/>
        </w:rPr>
        <w:fldChar w:fldCharType="begin"/>
      </w:r>
      <w:r w:rsidR="00D35242" w:rsidRPr="004F4189">
        <w:rPr>
          <w:rFonts w:ascii="Arial" w:hAnsi="Arial" w:cs="Arial"/>
          <w:sz w:val="20"/>
          <w:szCs w:val="20"/>
          <w:lang w:val="en-GB"/>
        </w:rPr>
        <w:instrText xml:space="preserve"> ADDIN ZOTERO_ITEM CSL_CITATION {"citationID":"l6UtADTX","properties":{"formattedCitation":"(De Souza et al., 2020; Pinheiro et al., 2023; US-EPA, 2023)","plainCitation":"(De Souza et al., 2020; Pinheiro et al., 2023; US-EPA, 2023)","noteIndex":0},"citationItems":[{"id":2914,"uris":["http://zotero.org/users/5723659/items/DJ6W3VFG"],"itemData":{"id":2914,"type":"article-journal","container-title":"Process Safety and Environmental Protection","DOI":"10.1016/j.psep.2019.12.035","ISSN":"09575820","journalAbbreviation":"Process Safety and Environmental Protection","language":"en","page":"22-37","source":"DOI.org (Crossref)","title":"Occurrence, impacts and general aspects of pesticides in surface water: A review","title-short":"Occurrence, impacts and general aspects of pesticides in surface water","volume":"135","author":[{"family":"De Souza","given":"Renata Mariane"},{"family":"Seibert","given":"Daiana"},{"family":"Quesada","given":"Heloise Beatriz"},{"family"</w:instrText>
      </w:r>
      <w:r w:rsidR="00D35242" w:rsidRPr="006B2574">
        <w:rPr>
          <w:rFonts w:ascii="Arial" w:hAnsi="Arial" w:cs="Arial"/>
          <w:sz w:val="20"/>
          <w:szCs w:val="20"/>
          <w:lang w:val="en-GB"/>
        </w:rPr>
        <w:instrText>:"De Jesus Bassetti","given":"Fátima"},</w:instrText>
      </w:r>
      <w:r w:rsidR="00D35242" w:rsidRPr="004F4189">
        <w:rPr>
          <w:rFonts w:ascii="Arial" w:hAnsi="Arial" w:cs="Arial"/>
          <w:sz w:val="20"/>
          <w:szCs w:val="20"/>
          <w:lang w:val="en-GB"/>
        </w:rPr>
        <w:instrText xml:space="preserve">{"family":"Fagundes-Klen","given":"Márcia Regina"},{"family":"Bergamasco","given":"Rosângela"}],"issued":{"date-parts":[["2020"]]}}},{"id":2903,"uris":["http://zotero.org/users/5723659/items/GMIT896L"],"itemData":{"id":2903,"type":"article-journal","container-title":"Environmental Science and Pollution Research","DOI":"10.1007/s11356-023-30198-0","ISSN":"1614-7499","issue":"52","journalAbbreviation":"Environ Sci Pollut Res","language":"en","page":"111850-111870","source":"DOI.org (Crossref)","title":"Herbicides may threaten advances in biological control of diseases and pests","volume":"30","author":[{"family":"Pinheiro","given":"Rodrigo Almeida"},{"family":"Duque","given":"Tayna Sousa"},{"family":"Barroso","given":"Gabriela Madureira"},{"family":"Soares","given":"Marcus Alvarenga"},{"family":"Cabral","given":"Cassia Michelle"},{"family":"Zanuncio","given":"José Cola"},{"family":"Dos Santos","given":"José Barbosa"}],"issued":{"date-parts":[["2023"]]}}},{"id":2950,"uris":["http://zotero.org/users/5723659/items/EH436TFV"],"itemData":{"id":2950,"type":"webpage","language":"16/12/2024","title":"Aquatic life benchmarks. United States Environmental Protection Agency (US-EPA)","URL":"https://www.epa.gov/pesticide-science-and-assessing-pesticide-risks/aquatic-life-benchmarks","author":[{"family":"US-EPA","given":""}],"issued":{"date-parts":[["2023"]]}}}],"schema":"https://github.com/citation-style-language/schema/raw/master/csl-citation.json"} </w:instrText>
      </w:r>
      <w:r w:rsidR="00D35242" w:rsidRPr="004F4189">
        <w:rPr>
          <w:rFonts w:ascii="Arial" w:hAnsi="Arial" w:cs="Arial"/>
          <w:sz w:val="20"/>
          <w:szCs w:val="20"/>
          <w:lang w:val="en-GB"/>
        </w:rPr>
        <w:fldChar w:fldCharType="separate"/>
      </w:r>
      <w:r w:rsidR="00D35242" w:rsidRPr="006E60DE">
        <w:rPr>
          <w:rFonts w:ascii="Arial" w:hAnsi="Arial" w:cs="Arial"/>
          <w:b/>
          <w:bCs/>
          <w:sz w:val="20"/>
          <w:highlight w:val="yellow"/>
          <w:lang w:val="en-GB"/>
        </w:rPr>
        <w:t xml:space="preserve">(De Souza </w:t>
      </w:r>
      <w:r w:rsidR="00D35242" w:rsidRPr="006E60DE">
        <w:rPr>
          <w:rFonts w:ascii="Arial" w:hAnsi="Arial" w:cs="Arial"/>
          <w:b/>
          <w:bCs/>
          <w:i/>
          <w:iCs/>
          <w:sz w:val="20"/>
          <w:highlight w:val="yellow"/>
          <w:lang w:val="en-GB"/>
        </w:rPr>
        <w:t>et al.,</w:t>
      </w:r>
      <w:r w:rsidR="00D35242" w:rsidRPr="006E60DE">
        <w:rPr>
          <w:rFonts w:ascii="Arial" w:hAnsi="Arial" w:cs="Arial"/>
          <w:b/>
          <w:bCs/>
          <w:sz w:val="20"/>
          <w:highlight w:val="yellow"/>
          <w:lang w:val="en-GB"/>
        </w:rPr>
        <w:t xml:space="preserve"> 2020</w:t>
      </w:r>
      <w:r w:rsidR="00D35242" w:rsidRPr="004F4189">
        <w:rPr>
          <w:rFonts w:ascii="Arial" w:hAnsi="Arial" w:cs="Arial"/>
          <w:sz w:val="20"/>
          <w:lang w:val="en-GB"/>
        </w:rPr>
        <w:t xml:space="preserve">; Pinheiro </w:t>
      </w:r>
      <w:r w:rsidR="00D35242" w:rsidRPr="006E60DE">
        <w:rPr>
          <w:rFonts w:ascii="Arial" w:hAnsi="Arial" w:cs="Arial"/>
          <w:i/>
          <w:iCs/>
          <w:sz w:val="20"/>
          <w:highlight w:val="yellow"/>
          <w:lang w:val="en-GB"/>
        </w:rPr>
        <w:t>et al.,</w:t>
      </w:r>
      <w:r w:rsidR="00D35242" w:rsidRPr="004F4189">
        <w:rPr>
          <w:rFonts w:ascii="Arial" w:hAnsi="Arial" w:cs="Arial"/>
          <w:sz w:val="20"/>
          <w:lang w:val="en-GB"/>
        </w:rPr>
        <w:t xml:space="preserve"> 2023; US-EPA, 2023)</w:t>
      </w:r>
      <w:r w:rsidR="00D35242" w:rsidRPr="004F4189">
        <w:rPr>
          <w:rFonts w:ascii="Arial" w:hAnsi="Arial" w:cs="Arial"/>
          <w:sz w:val="20"/>
          <w:szCs w:val="20"/>
          <w:lang w:val="en-GB"/>
        </w:rPr>
        <w:fldChar w:fldCharType="end"/>
      </w:r>
      <w:r w:rsidRPr="004F4189">
        <w:rPr>
          <w:rFonts w:ascii="Arial" w:hAnsi="Arial" w:cs="Arial"/>
          <w:sz w:val="20"/>
          <w:szCs w:val="20"/>
          <w:lang w:val="en-GB"/>
        </w:rPr>
        <w:t>.</w:t>
      </w:r>
      <w:r w:rsidR="00D35242" w:rsidRPr="004F4189">
        <w:rPr>
          <w:rFonts w:ascii="Arial" w:hAnsi="Arial" w:cs="Arial"/>
          <w:sz w:val="20"/>
          <w:szCs w:val="20"/>
          <w:lang w:val="en-GB"/>
        </w:rPr>
        <w:t xml:space="preserve"> </w:t>
      </w:r>
      <w:r w:rsidRPr="004F4189">
        <w:rPr>
          <w:rFonts w:ascii="Arial" w:hAnsi="Arial" w:cs="Arial"/>
          <w:sz w:val="20"/>
          <w:szCs w:val="20"/>
          <w:lang w:val="en-GB"/>
        </w:rPr>
        <w:t>Sulfonylurea herbicides (</w:t>
      </w:r>
      <w:proofErr w:type="spellStart"/>
      <w:r w:rsidRPr="004F4189">
        <w:rPr>
          <w:rFonts w:ascii="Arial" w:hAnsi="Arial" w:cs="Arial"/>
          <w:sz w:val="20"/>
          <w:szCs w:val="20"/>
          <w:lang w:val="en-GB"/>
        </w:rPr>
        <w:t>nicosulfuron</w:t>
      </w:r>
      <w:proofErr w:type="spellEnd"/>
      <w:r w:rsidRPr="004F4189">
        <w:rPr>
          <w:rFonts w:ascii="Arial" w:hAnsi="Arial" w:cs="Arial"/>
          <w:sz w:val="20"/>
          <w:szCs w:val="20"/>
          <w:lang w:val="en-GB"/>
        </w:rPr>
        <w:t xml:space="preserve">, </w:t>
      </w:r>
      <w:proofErr w:type="spellStart"/>
      <w:r w:rsidRPr="004F4189">
        <w:rPr>
          <w:rFonts w:ascii="Arial" w:hAnsi="Arial" w:cs="Arial"/>
          <w:sz w:val="20"/>
          <w:szCs w:val="20"/>
          <w:lang w:val="en-GB"/>
        </w:rPr>
        <w:t>bensulfuron</w:t>
      </w:r>
      <w:proofErr w:type="spellEnd"/>
      <w:r w:rsidRPr="004F4189">
        <w:rPr>
          <w:rFonts w:ascii="Arial" w:hAnsi="Arial" w:cs="Arial"/>
          <w:sz w:val="20"/>
          <w:szCs w:val="20"/>
          <w:lang w:val="en-GB"/>
        </w:rPr>
        <w:t xml:space="preserve">-methyl) also exhibit high toxicity at low concentrations for certain aquatic plants and algae, due to their mode of action on acetolactate synthase (ALS). Although used at relatively low application rates, their persistence and mobility may lead to chronic exposure of non-target organisms </w:t>
      </w:r>
      <w:r w:rsidR="00D35242" w:rsidRPr="004F4189">
        <w:rPr>
          <w:rFonts w:ascii="Arial" w:hAnsi="Arial" w:cs="Arial"/>
          <w:sz w:val="20"/>
          <w:szCs w:val="20"/>
          <w:lang w:val="en-GB"/>
        </w:rPr>
        <w:fldChar w:fldCharType="begin"/>
      </w:r>
      <w:r w:rsidR="00D35242" w:rsidRPr="004F4189">
        <w:rPr>
          <w:rFonts w:ascii="Arial" w:hAnsi="Arial" w:cs="Arial"/>
          <w:sz w:val="20"/>
          <w:szCs w:val="20"/>
          <w:lang w:val="en-GB"/>
        </w:rPr>
        <w:instrText xml:space="preserve"> ADDIN ZOTERO_ITEM CSL_CITATION {"citationID":"ILk7yUOr","properties":{"formattedCitation":"(Yang et al., 2023)","plainCitation":"(Yang et al., 2023)","noteIndex":0},"citationItems":[{"id":2898,"uris":["http://zotero.org/users/5723659/items/TFQ9JTMI"],"itemData":{"id":2898,"type":"article-journal","container-title":"Journal of Cleaner Production","DOI":"10.1016/j.jclepro.2023.136816","ISSN":"09596526","journalAbbreviation":"Journal of Cleaner Production","language":"en","page":"136816","source":"DOI.org (Crossref)","title":"Degradation of bensulfuron methyl by nitrogen/boron codoped biochar activated peroxydisulfate at lower temperature","volume":"402","author":[{"family":"Yang","given":"Yang"},{"family":"Kang","given":"Zhichao"},{"family":"Xu","given":"Guanghui"},{"family":"Wang","given":"Jian"},{"family":"Yu","given":"Yong"}],"issued":{"date-parts":[["2023"]]}}}],"schema":"https://github.com/citation-style-language/schema/raw/master/csl-citation.json"} </w:instrText>
      </w:r>
      <w:r w:rsidR="00D35242" w:rsidRPr="004F4189">
        <w:rPr>
          <w:rFonts w:ascii="Arial" w:hAnsi="Arial" w:cs="Arial"/>
          <w:sz w:val="20"/>
          <w:szCs w:val="20"/>
          <w:lang w:val="en-GB"/>
        </w:rPr>
        <w:fldChar w:fldCharType="separate"/>
      </w:r>
      <w:r w:rsidR="00D35242" w:rsidRPr="004F4189">
        <w:rPr>
          <w:rFonts w:ascii="Arial" w:hAnsi="Arial" w:cs="Arial"/>
          <w:sz w:val="20"/>
          <w:lang w:val="en-GB"/>
        </w:rPr>
        <w:t>(Yang</w:t>
      </w:r>
      <w:r w:rsidR="00D35242" w:rsidRPr="006E60DE">
        <w:rPr>
          <w:rFonts w:ascii="Arial" w:hAnsi="Arial" w:cs="Arial"/>
          <w:i/>
          <w:iCs/>
          <w:sz w:val="20"/>
          <w:lang w:val="en-GB"/>
        </w:rPr>
        <w:t xml:space="preserve"> </w:t>
      </w:r>
      <w:r w:rsidR="00D35242" w:rsidRPr="006E60DE">
        <w:rPr>
          <w:rFonts w:ascii="Arial" w:hAnsi="Arial" w:cs="Arial"/>
          <w:i/>
          <w:iCs/>
          <w:sz w:val="20"/>
          <w:highlight w:val="yellow"/>
          <w:lang w:val="en-GB"/>
        </w:rPr>
        <w:t>et al.</w:t>
      </w:r>
      <w:r w:rsidR="00D35242" w:rsidRPr="004F4189">
        <w:rPr>
          <w:rFonts w:ascii="Arial" w:hAnsi="Arial" w:cs="Arial"/>
          <w:sz w:val="20"/>
          <w:lang w:val="en-GB"/>
        </w:rPr>
        <w:t>, 2023)</w:t>
      </w:r>
      <w:r w:rsidR="00D35242" w:rsidRPr="004F4189">
        <w:rPr>
          <w:rFonts w:ascii="Arial" w:hAnsi="Arial" w:cs="Arial"/>
          <w:sz w:val="20"/>
          <w:szCs w:val="20"/>
          <w:lang w:val="en-GB"/>
        </w:rPr>
        <w:fldChar w:fldCharType="end"/>
      </w:r>
      <w:r w:rsidRPr="004F4189">
        <w:rPr>
          <w:rFonts w:ascii="Arial" w:hAnsi="Arial" w:cs="Arial"/>
          <w:sz w:val="20"/>
          <w:szCs w:val="20"/>
          <w:lang w:val="en-GB"/>
        </w:rPr>
        <w:t>.</w:t>
      </w:r>
      <w:r w:rsidR="003A0B98">
        <w:rPr>
          <w:rFonts w:ascii="Arial" w:hAnsi="Arial" w:cs="Arial"/>
          <w:sz w:val="20"/>
          <w:szCs w:val="20"/>
          <w:lang w:val="en-GB"/>
        </w:rPr>
        <w:t xml:space="preserve"> </w:t>
      </w:r>
      <w:r w:rsidRPr="004F4189">
        <w:rPr>
          <w:rFonts w:ascii="Arial" w:hAnsi="Arial" w:cs="Arial"/>
          <w:sz w:val="20"/>
          <w:szCs w:val="20"/>
          <w:lang w:val="en-GB"/>
        </w:rPr>
        <w:t xml:space="preserve">The behaviour of 2,4-D and pendimethalin differs: 2,4-D is generally considered to degrade relatively rapidly in aquatic media under favourable conditions, whereas pendimethalin can be more persistent, especially in sediments, with potential long-term impacts on benthic communities </w:t>
      </w:r>
      <w:r w:rsidR="00D35242" w:rsidRPr="004F4189">
        <w:rPr>
          <w:rFonts w:ascii="Arial" w:hAnsi="Arial" w:cs="Arial"/>
          <w:sz w:val="20"/>
          <w:szCs w:val="20"/>
          <w:lang w:val="en-GB"/>
        </w:rPr>
        <w:fldChar w:fldCharType="begin"/>
      </w:r>
      <w:r w:rsidR="00D35242" w:rsidRPr="004F4189">
        <w:rPr>
          <w:rFonts w:ascii="Arial" w:hAnsi="Arial" w:cs="Arial"/>
          <w:sz w:val="20"/>
          <w:szCs w:val="20"/>
          <w:lang w:val="en-GB"/>
        </w:rPr>
        <w:instrText xml:space="preserve"> ADDIN ZOTERO_ITEM CSL_CITATION {"citationID":"GHsSGjk9","properties":{"formattedCitation":"(Calvet, 2005; Le Person et al., 2016)","plainCitation":"(Calvet, 2005; Le Person et al., 2016)","noteIndex":0},"citationItems":[{"id":2953,"uris":["http://zotero.org/users/5723659/items/KDKGR97B"],"itemData":{"id":2953,"type":"book","edition":"France Agricole Editions","event-place":"Paris","ISBN":"2-85557-119-7","language":"Français","number-of-pages":"637","publisher-place":"Paris","title":"Les pesticides dans le sol: conséquences agronomiques et environnementales","author":[{"family":"Calvet","given":"Raoul"}],"issued":{"date-parts":[["2005"]]}}},{"id":2962,"uris":["http://zotero.org/users/5723659/items/H3QILHN4"],"itemData":{"id":2962,"type":"article-journal","container-title":"Journal of Photochemistry and Photobiology A: Chemistry","DOI":"10.1016/j.jphotochem.2015.09.010","ISSN":"10106030","journalAbbreviation":"Journal of Photochemistry and Photobiology A: Chemistry","language":"en","page":"76-86","source":"DOI.org (Crossref)","title":"The photo-degradation of mesotrione, a triketone herbicide, in the presence of Cu II ions","volume":"315","author":[{"family":"Le Person","given":"Annaïg"},{"family":"Siampiringue","given":"Marie"},{"family":"Sarakha","given":"Mohamed"},{"family":"Moncomble","given":"Aurélien"},{"family":"Cornard","given":"Jean-Paul"}],"issued":{"date-parts":[["2016"]]}}}],"schema":"https://github.com/citation-style-language/schema/raw/master/csl-citation.json"} </w:instrText>
      </w:r>
      <w:r w:rsidR="00D35242" w:rsidRPr="004F4189">
        <w:rPr>
          <w:rFonts w:ascii="Arial" w:hAnsi="Arial" w:cs="Arial"/>
          <w:sz w:val="20"/>
          <w:szCs w:val="20"/>
          <w:lang w:val="en-GB"/>
        </w:rPr>
        <w:fldChar w:fldCharType="separate"/>
      </w:r>
      <w:r w:rsidR="00D35242" w:rsidRPr="004F4189">
        <w:rPr>
          <w:rFonts w:ascii="Arial" w:hAnsi="Arial" w:cs="Arial"/>
          <w:sz w:val="20"/>
          <w:lang w:val="en-GB"/>
        </w:rPr>
        <w:t xml:space="preserve">(Calvet, 2005; Le Person </w:t>
      </w:r>
      <w:r w:rsidR="00D35242" w:rsidRPr="006E60DE">
        <w:rPr>
          <w:rFonts w:ascii="Arial" w:hAnsi="Arial" w:cs="Arial"/>
          <w:i/>
          <w:iCs/>
          <w:sz w:val="20"/>
          <w:highlight w:val="yellow"/>
          <w:lang w:val="en-GB"/>
        </w:rPr>
        <w:t>et al.,</w:t>
      </w:r>
      <w:r w:rsidR="00D35242" w:rsidRPr="004F4189">
        <w:rPr>
          <w:rFonts w:ascii="Arial" w:hAnsi="Arial" w:cs="Arial"/>
          <w:sz w:val="20"/>
          <w:lang w:val="en-GB"/>
        </w:rPr>
        <w:t xml:space="preserve"> 2016)</w:t>
      </w:r>
      <w:r w:rsidR="00D35242" w:rsidRPr="004F4189">
        <w:rPr>
          <w:rFonts w:ascii="Arial" w:hAnsi="Arial" w:cs="Arial"/>
          <w:sz w:val="20"/>
          <w:szCs w:val="20"/>
          <w:lang w:val="en-GB"/>
        </w:rPr>
        <w:fldChar w:fldCharType="end"/>
      </w:r>
      <w:r w:rsidRPr="004F4189">
        <w:rPr>
          <w:rFonts w:ascii="Arial" w:hAnsi="Arial" w:cs="Arial"/>
          <w:sz w:val="20"/>
          <w:szCs w:val="20"/>
          <w:lang w:val="en-GB"/>
        </w:rPr>
        <w:t xml:space="preserve">. Other compounds, such as </w:t>
      </w:r>
      <w:proofErr w:type="spellStart"/>
      <w:r w:rsidRPr="004F4189">
        <w:rPr>
          <w:rFonts w:ascii="Arial" w:hAnsi="Arial" w:cs="Arial"/>
          <w:sz w:val="20"/>
          <w:szCs w:val="20"/>
          <w:lang w:val="en-GB"/>
        </w:rPr>
        <w:t>mesotrione</w:t>
      </w:r>
      <w:proofErr w:type="spellEnd"/>
      <w:r w:rsidRPr="004F4189">
        <w:rPr>
          <w:rFonts w:ascii="Arial" w:hAnsi="Arial" w:cs="Arial"/>
          <w:sz w:val="20"/>
          <w:szCs w:val="20"/>
          <w:lang w:val="en-GB"/>
        </w:rPr>
        <w:t xml:space="preserve"> or </w:t>
      </w:r>
      <w:proofErr w:type="spellStart"/>
      <w:r w:rsidRPr="004F4189">
        <w:rPr>
          <w:rFonts w:ascii="Arial" w:hAnsi="Arial" w:cs="Arial"/>
          <w:sz w:val="20"/>
          <w:szCs w:val="20"/>
          <w:lang w:val="en-GB"/>
        </w:rPr>
        <w:t>bispyribac</w:t>
      </w:r>
      <w:proofErr w:type="spellEnd"/>
      <w:r w:rsidRPr="004F4189">
        <w:rPr>
          <w:rFonts w:ascii="Arial" w:hAnsi="Arial" w:cs="Arial"/>
          <w:sz w:val="20"/>
          <w:szCs w:val="20"/>
          <w:lang w:val="en-GB"/>
        </w:rPr>
        <w:t xml:space="preserve">-sodium, have been associated with effects on aquatic plants and microbial communities when present at elevated levels </w:t>
      </w:r>
      <w:r w:rsidR="00ED3656" w:rsidRPr="004F4189">
        <w:rPr>
          <w:rFonts w:ascii="Arial" w:hAnsi="Arial" w:cs="Arial"/>
          <w:sz w:val="20"/>
          <w:szCs w:val="20"/>
          <w:lang w:val="en-GB"/>
        </w:rPr>
        <w:fldChar w:fldCharType="begin"/>
      </w:r>
      <w:r w:rsidR="000E707F" w:rsidRPr="004F4189">
        <w:rPr>
          <w:rFonts w:ascii="Arial" w:hAnsi="Arial" w:cs="Arial"/>
          <w:sz w:val="20"/>
          <w:szCs w:val="20"/>
          <w:lang w:val="en-GB"/>
        </w:rPr>
        <w:instrText xml:space="preserve"> ADDIN ZOTERO_ITEM CSL_CITATION {"citationID":"pfDem3y6","properties":{"formattedCitation":"(Pinheiro et al., 2023)","plainCitation":"(Pinheiro et al., 2023)","noteIndex":0},"citationItems":[{"id":2903,"uris":["http://zotero.org/users/5723659/items/GMIT896L"],"itemData":{"id":2903,"type":"article-journal","container-title":"Environmental Science and Pollution Research","DOI":"10.1007/s11356-023-30198-0","ISSN":"1614-7499","issue":"52","journalAbbreviation":"Environ Sci Pollut Res","language":"en","page":"111850-111870","source":"DOI.org (Crossref)","title":"Herbicides may threaten advances in biological control of diseases and pests","volume":"30","author":[{"family":"Pinheiro","given":"Rodrigo Almeida"},{"family":"Duque","given":"Tayna Sousa"},{"family":"Barroso","given":"Gabriela Madureira"},{"family":"Soares","given":"Marcus Alvarenga"},{"family":"Cabral","given":"Cassia Michelle"},{"family":"Zanuncio","given":"José Cola"},{"family":"Dos Santos","given":"José Barbosa"}],"issued":{"date-parts":[["2023"]]}}}],"schema":"https://github.com/citation-style-language/schema/raw/master/csl-citation.json"} </w:instrText>
      </w:r>
      <w:r w:rsidR="00ED3656" w:rsidRPr="004F4189">
        <w:rPr>
          <w:rFonts w:ascii="Arial" w:hAnsi="Arial" w:cs="Arial"/>
          <w:sz w:val="20"/>
          <w:szCs w:val="20"/>
          <w:lang w:val="en-GB"/>
        </w:rPr>
        <w:fldChar w:fldCharType="separate"/>
      </w:r>
      <w:r w:rsidR="000E707F" w:rsidRPr="004F4189">
        <w:rPr>
          <w:rFonts w:ascii="Arial" w:hAnsi="Arial" w:cs="Arial"/>
          <w:sz w:val="20"/>
          <w:lang w:val="en-GB"/>
        </w:rPr>
        <w:t xml:space="preserve">(Pinheiro </w:t>
      </w:r>
      <w:r w:rsidR="000E707F" w:rsidRPr="006E60DE">
        <w:rPr>
          <w:rFonts w:ascii="Arial" w:hAnsi="Arial" w:cs="Arial"/>
          <w:i/>
          <w:iCs/>
          <w:sz w:val="20"/>
          <w:highlight w:val="yellow"/>
          <w:lang w:val="en-GB"/>
        </w:rPr>
        <w:t>et al.,</w:t>
      </w:r>
      <w:r w:rsidR="000E707F" w:rsidRPr="004F4189">
        <w:rPr>
          <w:rFonts w:ascii="Arial" w:hAnsi="Arial" w:cs="Arial"/>
          <w:sz w:val="20"/>
          <w:lang w:val="en-GB"/>
        </w:rPr>
        <w:t xml:space="preserve"> 2023)</w:t>
      </w:r>
      <w:r w:rsidR="00ED3656" w:rsidRPr="004F4189">
        <w:rPr>
          <w:rFonts w:ascii="Arial" w:hAnsi="Arial" w:cs="Arial"/>
          <w:sz w:val="20"/>
          <w:szCs w:val="20"/>
          <w:lang w:val="en-GB"/>
        </w:rPr>
        <w:fldChar w:fldCharType="end"/>
      </w:r>
      <w:r w:rsidRPr="004F4189">
        <w:rPr>
          <w:rFonts w:ascii="Arial" w:hAnsi="Arial" w:cs="Arial"/>
          <w:sz w:val="20"/>
          <w:szCs w:val="20"/>
          <w:lang w:val="en-GB"/>
        </w:rPr>
        <w:t>.</w:t>
      </w:r>
      <w:r w:rsidR="004F4189" w:rsidRPr="004F4189">
        <w:rPr>
          <w:rFonts w:ascii="Arial" w:hAnsi="Arial" w:cs="Arial"/>
          <w:sz w:val="20"/>
          <w:szCs w:val="20"/>
          <w:lang w:val="en-GB"/>
        </w:rPr>
        <w:t xml:space="preserve"> </w:t>
      </w:r>
      <w:r w:rsidRPr="004F4189">
        <w:rPr>
          <w:rFonts w:ascii="Arial" w:hAnsi="Arial" w:cs="Arial"/>
          <w:sz w:val="20"/>
          <w:szCs w:val="20"/>
          <w:lang w:val="en-GB"/>
        </w:rPr>
        <w:t xml:space="preserve">The very high concentrations of certain herbicides observed in this study (notably </w:t>
      </w:r>
      <w:proofErr w:type="spellStart"/>
      <w:r w:rsidRPr="004F4189">
        <w:rPr>
          <w:rFonts w:ascii="Arial" w:hAnsi="Arial" w:cs="Arial"/>
          <w:sz w:val="20"/>
          <w:szCs w:val="20"/>
          <w:lang w:val="en-GB"/>
        </w:rPr>
        <w:t>mesotrione</w:t>
      </w:r>
      <w:proofErr w:type="spellEnd"/>
      <w:r w:rsidRPr="004F4189">
        <w:rPr>
          <w:rFonts w:ascii="Arial" w:hAnsi="Arial" w:cs="Arial"/>
          <w:sz w:val="20"/>
          <w:szCs w:val="20"/>
          <w:lang w:val="en-GB"/>
        </w:rPr>
        <w:t xml:space="preserve">, </w:t>
      </w:r>
      <w:proofErr w:type="spellStart"/>
      <w:r w:rsidRPr="004F4189">
        <w:rPr>
          <w:rFonts w:ascii="Arial" w:hAnsi="Arial" w:cs="Arial"/>
          <w:sz w:val="20"/>
          <w:szCs w:val="20"/>
          <w:lang w:val="en-GB"/>
        </w:rPr>
        <w:t>nicosulfuron</w:t>
      </w:r>
      <w:proofErr w:type="spellEnd"/>
      <w:r w:rsidRPr="004F4189">
        <w:rPr>
          <w:rFonts w:ascii="Arial" w:hAnsi="Arial" w:cs="Arial"/>
          <w:sz w:val="20"/>
          <w:szCs w:val="20"/>
          <w:lang w:val="en-GB"/>
        </w:rPr>
        <w:t xml:space="preserve">, terbuthylazine and diuron) </w:t>
      </w:r>
      <w:r w:rsidRPr="004F4189">
        <w:rPr>
          <w:rFonts w:ascii="Arial" w:hAnsi="Arial" w:cs="Arial"/>
          <w:sz w:val="20"/>
          <w:szCs w:val="20"/>
          <w:lang w:val="en-GB"/>
        </w:rPr>
        <w:lastRenderedPageBreak/>
        <w:t>suggest a high probability of harmful effects on aquatic organisms, even when considering dilution and possible temporal fluctuations.</w:t>
      </w:r>
    </w:p>
    <w:p w14:paraId="6E15E018" w14:textId="77777777" w:rsidR="0073550A" w:rsidRPr="009C2C56" w:rsidRDefault="0073550A" w:rsidP="009C2C56">
      <w:pPr>
        <w:spacing w:before="120" w:after="120" w:line="240" w:lineRule="auto"/>
        <w:rPr>
          <w:rFonts w:ascii="Arial" w:hAnsi="Arial" w:cs="Arial"/>
          <w:b/>
          <w:bCs/>
          <w:lang w:val="en-GB"/>
        </w:rPr>
      </w:pPr>
      <w:r w:rsidRPr="009C2C56">
        <w:rPr>
          <w:rFonts w:ascii="Arial" w:hAnsi="Arial" w:cs="Arial"/>
          <w:b/>
          <w:bCs/>
          <w:lang w:val="en-GB"/>
        </w:rPr>
        <w:t>3.5 Dynamics of molecules and regulatory context</w:t>
      </w:r>
    </w:p>
    <w:p w14:paraId="17597980" w14:textId="37EFAB6B" w:rsidR="0073550A" w:rsidRPr="006F76B0" w:rsidRDefault="0073550A" w:rsidP="007118D3">
      <w:pPr>
        <w:spacing w:after="0" w:line="240" w:lineRule="auto"/>
        <w:jc w:val="both"/>
        <w:rPr>
          <w:rFonts w:ascii="Arial" w:hAnsi="Arial" w:cs="Arial"/>
          <w:sz w:val="20"/>
          <w:szCs w:val="20"/>
        </w:rPr>
      </w:pPr>
      <w:r w:rsidRPr="007118D3">
        <w:rPr>
          <w:rFonts w:ascii="Arial" w:hAnsi="Arial" w:cs="Arial"/>
          <w:sz w:val="20"/>
          <w:szCs w:val="20"/>
          <w:lang w:val="en-GB"/>
        </w:rPr>
        <w:t xml:space="preserve">The disappearance of some molecules between P1 and P2, such as atrazine and </w:t>
      </w:r>
      <w:proofErr w:type="spellStart"/>
      <w:r w:rsidRPr="007118D3">
        <w:rPr>
          <w:rFonts w:ascii="Arial" w:hAnsi="Arial" w:cs="Arial"/>
          <w:sz w:val="20"/>
          <w:szCs w:val="20"/>
          <w:lang w:val="en-GB"/>
        </w:rPr>
        <w:t>bensulfuron</w:t>
      </w:r>
      <w:proofErr w:type="spellEnd"/>
      <w:r w:rsidRPr="007118D3">
        <w:rPr>
          <w:rFonts w:ascii="Arial" w:hAnsi="Arial" w:cs="Arial"/>
          <w:sz w:val="20"/>
          <w:szCs w:val="20"/>
          <w:lang w:val="en-GB"/>
        </w:rPr>
        <w:t xml:space="preserve">-methyl, likely reflects relatively rapid degradation under local environmental conditions, influenced by temperature, sunlight and microbial activity </w:t>
      </w:r>
      <w:r w:rsidR="00ED3656" w:rsidRPr="007118D3">
        <w:rPr>
          <w:rFonts w:ascii="Arial" w:hAnsi="Arial" w:cs="Arial"/>
          <w:sz w:val="20"/>
          <w:szCs w:val="20"/>
          <w:lang w:val="en-GB"/>
        </w:rPr>
        <w:fldChar w:fldCharType="begin"/>
      </w:r>
      <w:r w:rsidR="000E707F" w:rsidRPr="007118D3">
        <w:rPr>
          <w:rFonts w:ascii="Arial" w:hAnsi="Arial" w:cs="Arial"/>
          <w:sz w:val="20"/>
          <w:szCs w:val="20"/>
          <w:lang w:val="en-GB"/>
        </w:rPr>
        <w:instrText xml:space="preserve"> ADDIN ZOTERO_ITEM CSL_CITATION {"citationID":"V6CxPWBi","properties":{"formattedCitation":"(Calvet, 2005; Lehmann et al., 2017)","plainCitation":"(Calvet, 2005; Lehmann et al., 2017)","noteIndex":0},"citationItems":[{"id":2953,"uris":["http://zotero.org/users/5723659/items/KDKGR97B"],"itemData":{"id":2953,"type":"book","edition":"France Agricole Editions","event-place":"Paris","ISBN":"2-85557-119-7","language":"Français","number-of-pages":"637","publisher-place":"Paris","title":"Les pesticides dans le sol: conséquences agronomiques et environnementales","author":[{"family":"Calvet","given":"Raoul"}],"issued":{"date-parts":[["2005"]]}}},{"id":2960,"uris":["http://zotero.org/users/5723659/items/ZTB8ELLW"],"itemData":{"id":2960,"type":"article-journal","container-title":"Science of The Total Environment","DOI":"10.1016/j.scitotenv.2017.05.285","ISSN":"00489697","journalAbbreviation":"Science of The Total Environment","language":"en","page":"1208-1216","source":"DOI.org (Crossref)","title":"Dietary risk assessment of pesticides from vegetables and drinking water in gardening areas in Burkina Faso","volume":"601-602","author":[{"family":"Lehmann","given":"Edouard"},{"family":"Turrero","given":"Nuria"},{"family":"Kolia","given":"Marius"},{"family":"Konaté","given":"Yacouba"},{"family":"De Alencastro","given":"Luiz Felippe"}],"issued":{"date-parts":[["2017"]]}}}],"schema":"https://github.com/citation-style-language/schema/raw/master/csl-citation.json"} </w:instrText>
      </w:r>
      <w:r w:rsidR="00ED3656" w:rsidRPr="007118D3">
        <w:rPr>
          <w:rFonts w:ascii="Arial" w:hAnsi="Arial" w:cs="Arial"/>
          <w:sz w:val="20"/>
          <w:szCs w:val="20"/>
          <w:lang w:val="en-GB"/>
        </w:rPr>
        <w:fldChar w:fldCharType="separate"/>
      </w:r>
      <w:r w:rsidR="000E707F" w:rsidRPr="007118D3">
        <w:rPr>
          <w:rFonts w:ascii="Arial" w:hAnsi="Arial" w:cs="Arial"/>
          <w:sz w:val="20"/>
          <w:lang w:val="en-GB"/>
        </w:rPr>
        <w:t xml:space="preserve">(Calvet, 2005; Lehmann </w:t>
      </w:r>
      <w:r w:rsidR="000E707F" w:rsidRPr="006E60DE">
        <w:rPr>
          <w:rFonts w:ascii="Arial" w:hAnsi="Arial" w:cs="Arial"/>
          <w:i/>
          <w:iCs/>
          <w:sz w:val="20"/>
          <w:highlight w:val="yellow"/>
          <w:lang w:val="en-GB"/>
        </w:rPr>
        <w:t>et al.,</w:t>
      </w:r>
      <w:r w:rsidR="000E707F" w:rsidRPr="007118D3">
        <w:rPr>
          <w:rFonts w:ascii="Arial" w:hAnsi="Arial" w:cs="Arial"/>
          <w:sz w:val="20"/>
          <w:lang w:val="en-GB"/>
        </w:rPr>
        <w:t xml:space="preserve"> 2017)</w:t>
      </w:r>
      <w:r w:rsidR="00ED3656" w:rsidRPr="007118D3">
        <w:rPr>
          <w:rFonts w:ascii="Arial" w:hAnsi="Arial" w:cs="Arial"/>
          <w:sz w:val="20"/>
          <w:szCs w:val="20"/>
          <w:lang w:val="en-GB"/>
        </w:rPr>
        <w:fldChar w:fldCharType="end"/>
      </w:r>
      <w:r w:rsidRPr="007118D3">
        <w:rPr>
          <w:rFonts w:ascii="Arial" w:hAnsi="Arial" w:cs="Arial"/>
          <w:sz w:val="20"/>
          <w:szCs w:val="20"/>
          <w:lang w:val="en-GB"/>
        </w:rPr>
        <w:t>. In contrast, the appearance or increase of diuron during P2 in some sites may result from delayed applications, remobilisation from soils or sediments during later rainfall events, or changes in farmers’ herbicide use strategies.</w:t>
      </w:r>
      <w:r w:rsidR="004F4189" w:rsidRPr="007118D3">
        <w:rPr>
          <w:rFonts w:ascii="Arial" w:hAnsi="Arial" w:cs="Arial"/>
          <w:sz w:val="20"/>
          <w:szCs w:val="20"/>
          <w:lang w:val="en-GB"/>
        </w:rPr>
        <w:t xml:space="preserve"> </w:t>
      </w:r>
      <w:r w:rsidRPr="007118D3">
        <w:rPr>
          <w:rFonts w:ascii="Arial" w:hAnsi="Arial" w:cs="Arial"/>
          <w:sz w:val="20"/>
          <w:szCs w:val="20"/>
          <w:lang w:val="en-GB"/>
        </w:rPr>
        <w:t xml:space="preserve">The regulatory context also plays a role. Atrazine, for example, is now banned in the countries of the Permanent Inter-State Committee for Drought Control in the Sahel </w:t>
      </w:r>
      <w:r w:rsidR="00ED3656" w:rsidRPr="007118D3">
        <w:rPr>
          <w:rFonts w:ascii="Arial" w:hAnsi="Arial" w:cs="Arial"/>
          <w:sz w:val="20"/>
          <w:szCs w:val="20"/>
          <w:lang w:val="en-GB"/>
        </w:rPr>
        <w:fldChar w:fldCharType="begin"/>
      </w:r>
      <w:r w:rsidR="007118D3" w:rsidRPr="007118D3">
        <w:rPr>
          <w:rFonts w:ascii="Arial" w:hAnsi="Arial" w:cs="Arial"/>
          <w:sz w:val="20"/>
          <w:szCs w:val="20"/>
          <w:lang w:val="en-GB"/>
        </w:rPr>
        <w:instrText xml:space="preserve"> ADDIN ZOTERO_ITEM CSL_CITATION {"citationID":"o2ZEO4f6","properties":{"formattedCitation":"(CILSS, 2015)","plainCitation":"(CILSS, 2015)","noteIndex":0},"citationItems":[{"id":2941,"uris":["http://zotero.org/users/5723659/items/4BS8JA56"],"itemData":{"id":2941,"type":"document","title":"Décision n°009/MAE-MC/2015 portant interdiction de l’atrazine. Comité permanent Inter-États de Lutte contre la Sécheresse dans le Sahel (CILSS)","author":[{"family":"CILSS","given":""}],"issued":{"date-parts":[["2015"]]}}}],"schema":"https://github.com/citation-style-language/schema/raw/master/csl-citation.json"} </w:instrText>
      </w:r>
      <w:r w:rsidR="00ED3656" w:rsidRPr="007118D3">
        <w:rPr>
          <w:rFonts w:ascii="Arial" w:hAnsi="Arial" w:cs="Arial"/>
          <w:sz w:val="20"/>
          <w:szCs w:val="20"/>
          <w:lang w:val="en-GB"/>
        </w:rPr>
        <w:fldChar w:fldCharType="separate"/>
      </w:r>
      <w:r w:rsidR="007118D3" w:rsidRPr="007118D3">
        <w:rPr>
          <w:rFonts w:ascii="Arial" w:hAnsi="Arial" w:cs="Arial"/>
          <w:sz w:val="20"/>
          <w:lang w:val="en-GB"/>
        </w:rPr>
        <w:t>(CILSS, 2015)</w:t>
      </w:r>
      <w:r w:rsidR="00ED3656" w:rsidRPr="007118D3">
        <w:rPr>
          <w:rFonts w:ascii="Arial" w:hAnsi="Arial" w:cs="Arial"/>
          <w:sz w:val="20"/>
          <w:szCs w:val="20"/>
          <w:lang w:val="en-GB"/>
        </w:rPr>
        <w:fldChar w:fldCharType="end"/>
      </w:r>
      <w:r w:rsidRPr="007118D3">
        <w:rPr>
          <w:rFonts w:ascii="Arial" w:hAnsi="Arial" w:cs="Arial"/>
          <w:sz w:val="20"/>
          <w:szCs w:val="20"/>
          <w:lang w:val="en-GB"/>
        </w:rPr>
        <w:t>. Its limited detection in the present study is therefore consistent with its withdrawal from the market, even though historical contamination cannot be excluded.</w:t>
      </w:r>
      <w:r w:rsidR="003A0B98">
        <w:rPr>
          <w:rFonts w:ascii="Arial" w:hAnsi="Arial" w:cs="Arial"/>
          <w:sz w:val="20"/>
          <w:szCs w:val="20"/>
          <w:lang w:val="en-GB"/>
        </w:rPr>
        <w:t xml:space="preserve"> </w:t>
      </w:r>
      <w:r w:rsidRPr="007118D3">
        <w:rPr>
          <w:rFonts w:ascii="Arial" w:hAnsi="Arial" w:cs="Arial"/>
          <w:sz w:val="20"/>
          <w:szCs w:val="20"/>
          <w:lang w:val="en-GB"/>
        </w:rPr>
        <w:t xml:space="preserve">For metolachlor, which appeared only in P2, previous work has highlighted issues related to its environmental fate and toxicity, leading to restrictions or tighter conditions of use in several jurisdictions </w:t>
      </w:r>
      <w:r w:rsidR="00ED3656" w:rsidRPr="007118D3">
        <w:rPr>
          <w:rFonts w:ascii="Arial" w:hAnsi="Arial" w:cs="Arial"/>
          <w:sz w:val="20"/>
          <w:szCs w:val="20"/>
          <w:lang w:val="en-GB"/>
        </w:rPr>
        <w:fldChar w:fldCharType="begin"/>
      </w:r>
      <w:r w:rsidR="007118D3" w:rsidRPr="007118D3">
        <w:rPr>
          <w:rFonts w:ascii="Arial" w:hAnsi="Arial" w:cs="Arial"/>
          <w:sz w:val="20"/>
          <w:szCs w:val="20"/>
          <w:lang w:val="en-GB"/>
        </w:rPr>
        <w:instrText xml:space="preserve"> ADDIN ZOTERO_ITEM CSL_CITATION {"citationID":"vd5zUtM8","properties":{"formattedCitation":"(US-EPA, 2009; Zemolin et al., 2014)","plainCitation":"(US-EPA, 2009; Zemolin et al., 2014)","noteIndex":0},"citationItems":[{"id":2951,"uris":["http://zotero.org/users/5723659/items/YUS7AXAJ"],"itemData":{"id":2951,"type":"webpage","title":"Reregistration eligibility decision (RED) for S-metolachlor. United States Environmental Protection Agency (US-EPA)","URL":"https://www.epa.gov/sites/default/files/2016-09/documents/s-metolachlor_red.pdf","author":[{"family":"US-EPA","given":""}],"accessed":{"date-parts":[["2014",12,3]]},"issued":{"date-parts":[["2009"]]}}},{"id":2965,"uris":["http://zotero.org/users/5723659/items/DT9IATMD"],"itemData":{"id":2965,"type":"article-journal","abstract":"S-metolachlor is a preemergent herbicide used for the control of annual grasses and small-seeded broadleaf weeds in more than 70 agricultural crops worldwide. Recently, Smetolachlor has been used to control imidazolinone-resistant red rice in rice-soybean rotation in lowland environments of the Southern Brazil. However, limited information concerning the environmental fate of S-metolachlor in lowland soil is available in the literature. Thus, this review was designed to describe the major transport and dissipation processes of Smetolachlor in attempting to improve weed management programs used in rice-soybean rotation and mitigate environmental contamination of lowland areas.\n          , \n            S-metolachlor é um herbicida pré-emergente utilizado mundialmente para controle de plantas daninhas em mais de 70 culturas agrícolas. Nos últimos anos, esse herbicida vem sendo usado para controlar arroz-vermelho resistente às imidazolinonas em áreas de rotação soja-arroz irrigado, em terras baixas no Sul do Brasil. No entanto, existem poucas informações consistentes sobre a dinâmica ambiental de S-metolachlor em terras baixas. Nesse contexto, esta revisão teve por objetivo descrever os principais processos de transporte e dissipação de Smetolachlor, visando otimizar o manejo de plantas daninhas na rotação soja-arroz irrigado e mitigar a contaminação ambiental de terras baixas.","container-title":"Planta Daninha","DOI":"10.1590/S0100-83582014000300022","ISSN":"0100-8358","issue":"3","journalAbbreviation":"Planta daninha","page":"655-664","source":"DOI.org (Crossref)","title":"Environmental fate of S-Metolachlor: a review","title-short":"Environmental fate of S-Metolachlor","volume":"32","author":[{"family":"Zemolin","given":"C.R."},{"family":"Avila","given":"L.A."},{"family":"Cassol","given":"G.V."},{"family":"Massey","given":"J.H."},{"family":"Camargo","given":"E.R."}],"issued":{"date-parts":[["2014"]]}}}],"schema":"https://github.com/citation-style-language/schema/raw/master/csl-citation.json"} </w:instrText>
      </w:r>
      <w:r w:rsidR="00ED3656" w:rsidRPr="007118D3">
        <w:rPr>
          <w:rFonts w:ascii="Arial" w:hAnsi="Arial" w:cs="Arial"/>
          <w:sz w:val="20"/>
          <w:szCs w:val="20"/>
          <w:lang w:val="en-GB"/>
        </w:rPr>
        <w:fldChar w:fldCharType="separate"/>
      </w:r>
      <w:r w:rsidR="007118D3" w:rsidRPr="007118D3">
        <w:rPr>
          <w:rFonts w:ascii="Arial" w:hAnsi="Arial" w:cs="Arial"/>
          <w:sz w:val="20"/>
          <w:lang w:val="en-GB"/>
        </w:rPr>
        <w:t xml:space="preserve">(US-EPA, 2009; Zemolin </w:t>
      </w:r>
      <w:r w:rsidR="007118D3" w:rsidRPr="006E60DE">
        <w:rPr>
          <w:rFonts w:ascii="Arial" w:hAnsi="Arial" w:cs="Arial"/>
          <w:i/>
          <w:iCs/>
          <w:sz w:val="20"/>
          <w:highlight w:val="yellow"/>
          <w:lang w:val="en-GB"/>
        </w:rPr>
        <w:t>et al.,</w:t>
      </w:r>
      <w:r w:rsidR="007118D3" w:rsidRPr="006E60DE">
        <w:rPr>
          <w:rFonts w:ascii="Arial" w:hAnsi="Arial" w:cs="Arial"/>
          <w:i/>
          <w:iCs/>
          <w:sz w:val="20"/>
          <w:lang w:val="en-GB"/>
        </w:rPr>
        <w:t xml:space="preserve"> </w:t>
      </w:r>
      <w:r w:rsidR="007118D3" w:rsidRPr="007118D3">
        <w:rPr>
          <w:rFonts w:ascii="Arial" w:hAnsi="Arial" w:cs="Arial"/>
          <w:sz w:val="20"/>
          <w:lang w:val="en-GB"/>
        </w:rPr>
        <w:t>2014)</w:t>
      </w:r>
      <w:r w:rsidR="00ED3656" w:rsidRPr="007118D3">
        <w:rPr>
          <w:rFonts w:ascii="Arial" w:hAnsi="Arial" w:cs="Arial"/>
          <w:sz w:val="20"/>
          <w:szCs w:val="20"/>
          <w:lang w:val="en-GB"/>
        </w:rPr>
        <w:fldChar w:fldCharType="end"/>
      </w:r>
      <w:r w:rsidRPr="007118D3">
        <w:rPr>
          <w:rFonts w:ascii="Arial" w:hAnsi="Arial" w:cs="Arial"/>
          <w:sz w:val="20"/>
          <w:szCs w:val="20"/>
          <w:lang w:val="en-GB"/>
        </w:rPr>
        <w:t>. In many cereal systems, metolachlor has been partially or totally replaced by other herbicides, which may explain its sporadic occurrence.</w:t>
      </w:r>
      <w:r w:rsidR="007118D3" w:rsidRPr="007118D3">
        <w:rPr>
          <w:rFonts w:ascii="Arial" w:hAnsi="Arial" w:cs="Arial"/>
          <w:sz w:val="20"/>
          <w:szCs w:val="20"/>
          <w:lang w:val="en-GB"/>
        </w:rPr>
        <w:t xml:space="preserve"> </w:t>
      </w:r>
      <w:r w:rsidRPr="007118D3">
        <w:rPr>
          <w:rFonts w:ascii="Arial" w:hAnsi="Arial" w:cs="Arial"/>
          <w:sz w:val="20"/>
          <w:szCs w:val="20"/>
          <w:lang w:val="en-GB"/>
        </w:rPr>
        <w:t xml:space="preserve">A major limitation of this study is the inability to quantify glyphosate and its metabolite AMPA, which are widely used in cereal production in Burkina Faso. This limitation is directly linked to the lack of suitable analytical methods in the local context for such polar and highly soluble compounds </w:t>
      </w:r>
      <w:r w:rsidR="00ED3656" w:rsidRPr="007118D3">
        <w:rPr>
          <w:rFonts w:ascii="Arial" w:hAnsi="Arial" w:cs="Arial"/>
          <w:sz w:val="20"/>
          <w:szCs w:val="20"/>
          <w:lang w:val="en-GB"/>
        </w:rPr>
        <w:fldChar w:fldCharType="begin"/>
      </w:r>
      <w:r w:rsidR="000E707F" w:rsidRPr="007118D3">
        <w:rPr>
          <w:rFonts w:ascii="Arial" w:hAnsi="Arial" w:cs="Arial"/>
          <w:sz w:val="20"/>
          <w:szCs w:val="20"/>
          <w:lang w:val="en-GB"/>
        </w:rPr>
        <w:instrText xml:space="preserve"> ADDIN ZOTERO_ITEM CSL_CITATION {"citationID":"AMgF7y3D","properties":{"formattedCitation":"(Kocadal et al., 2023)","plainCitation":"(Kocadal et al., 2023)","noteIndex":0},"citationItems":[{"id":2929,"uris":["http://zotero.org/users/5723659/items/W567DQTB"],"itemData":{"id":2929,"type":"article-journal","container-title":"Archives of Environmental Protection","DOI":"10.24425/aep.2022.142693","ISSN":"2083-4772, 2083-4810","language":"pl","source":"DOI.org (Crossref)","title":"A review on advances and perspectives of glyphosate determination: challenges and opportunities","title-short":"A review on advances and perspectives of glyphosate determination","URL":"https://journals.pan.pl/dlibra/publication/142693/edition/124079/content","author":[{"family":"Kocadal","given":"Kumsal"},{"family":"Alkas","given":"Fehmi Burak"},{"family":"Dilek","given":"Battal"},{"family":"Sahan","given":"Saygi"}],"accessed":{"date-parts":[["2025",9,22]]},"issued":{"date-parts":[["2023"]]}}}],"schema":"https://github.com/citation-style-language/schema/raw/master/csl-citation.json"} </w:instrText>
      </w:r>
      <w:r w:rsidR="00ED3656" w:rsidRPr="007118D3">
        <w:rPr>
          <w:rFonts w:ascii="Arial" w:hAnsi="Arial" w:cs="Arial"/>
          <w:sz w:val="20"/>
          <w:szCs w:val="20"/>
          <w:lang w:val="en-GB"/>
        </w:rPr>
        <w:fldChar w:fldCharType="separate"/>
      </w:r>
      <w:r w:rsidR="000E707F" w:rsidRPr="007118D3">
        <w:rPr>
          <w:rFonts w:ascii="Arial" w:hAnsi="Arial" w:cs="Arial"/>
          <w:sz w:val="20"/>
          <w:lang w:val="en-GB"/>
        </w:rPr>
        <w:t xml:space="preserve">(Kocadal </w:t>
      </w:r>
      <w:r w:rsidR="000E707F" w:rsidRPr="006E60DE">
        <w:rPr>
          <w:rFonts w:ascii="Arial" w:hAnsi="Arial" w:cs="Arial"/>
          <w:i/>
          <w:iCs/>
          <w:sz w:val="20"/>
          <w:highlight w:val="yellow"/>
          <w:lang w:val="en-GB"/>
        </w:rPr>
        <w:t>et al.,</w:t>
      </w:r>
      <w:r w:rsidR="000E707F" w:rsidRPr="007118D3">
        <w:rPr>
          <w:rFonts w:ascii="Arial" w:hAnsi="Arial" w:cs="Arial"/>
          <w:sz w:val="20"/>
          <w:lang w:val="en-GB"/>
        </w:rPr>
        <w:t xml:space="preserve"> 2023)</w:t>
      </w:r>
      <w:r w:rsidR="00ED3656" w:rsidRPr="007118D3">
        <w:rPr>
          <w:rFonts w:ascii="Arial" w:hAnsi="Arial" w:cs="Arial"/>
          <w:sz w:val="20"/>
          <w:szCs w:val="20"/>
          <w:lang w:val="en-GB"/>
        </w:rPr>
        <w:fldChar w:fldCharType="end"/>
      </w:r>
      <w:r w:rsidRPr="007118D3">
        <w:rPr>
          <w:rFonts w:ascii="Arial" w:hAnsi="Arial" w:cs="Arial"/>
          <w:sz w:val="20"/>
          <w:szCs w:val="20"/>
          <w:lang w:val="en-GB"/>
        </w:rPr>
        <w:t>. Consequently, the contamination levels reported here for the thirteen target herbicides probably underestimate the overall pesticide burden in surface waters.</w:t>
      </w:r>
      <w:r w:rsidR="007118D3" w:rsidRPr="007118D3">
        <w:rPr>
          <w:rFonts w:ascii="Arial" w:hAnsi="Arial" w:cs="Arial"/>
          <w:sz w:val="20"/>
          <w:szCs w:val="20"/>
          <w:lang w:val="en-GB"/>
        </w:rPr>
        <w:t xml:space="preserve"> </w:t>
      </w:r>
      <w:r w:rsidRPr="007118D3">
        <w:rPr>
          <w:rFonts w:ascii="Arial" w:hAnsi="Arial" w:cs="Arial"/>
          <w:sz w:val="20"/>
          <w:szCs w:val="20"/>
          <w:lang w:val="en-GB"/>
        </w:rPr>
        <w:t xml:space="preserve">The patterns observed in western Burkina Faso are in line with those reported in other West African and European contexts, where the combination of intensive herbicide use, hydrological variability and limited treatment of surface waters leads to recurrent exceedances of environmental quality standards </w:t>
      </w:r>
      <w:r w:rsidR="00ED3656" w:rsidRPr="007118D3">
        <w:rPr>
          <w:rFonts w:ascii="Arial" w:hAnsi="Arial" w:cs="Arial"/>
          <w:sz w:val="20"/>
          <w:szCs w:val="20"/>
          <w:lang w:val="en-GB"/>
        </w:rPr>
        <w:fldChar w:fldCharType="begin"/>
      </w:r>
      <w:r w:rsidR="004A43B1">
        <w:rPr>
          <w:rFonts w:ascii="Arial" w:hAnsi="Arial" w:cs="Arial"/>
          <w:sz w:val="20"/>
          <w:szCs w:val="20"/>
          <w:lang w:val="en-GB"/>
        </w:rPr>
        <w:instrText xml:space="preserve"> ADDIN ZOTERO_ITEM CSL_CITATION {"citationID":"OMTcnLY4","properties":{"formattedCitation":"(Dj\\uc0\\u233{}dj\\uc0\\u233{} et al., 2022; Lorenz et al., 2025; Schwientek et al., 2024)","plainCitation":"(Djédjé et al., 2022; Lorenz et al., 2025; Schwientek et al., 2024)","dontUpdate":true,"noteIndex":0},"citationItems":[{"id":2958,"uris":["http://zotero.org/users/5723659/items/6KVE99RW"],"itemData":{"id":2958,"type":"article-journal","abstract":"The objective of this study is to evaluate the impact of glyphosate and 2,4-D contamination in the water, sediments, organs (gills, liver and muscles) of Chrysichthys nigrodigitatus and the health of the population related to the consumption of this fish from the river at Guessabo. The analysis of the different samples was done using HPLC. The results showed that the annual concentrations of the active ingredients (glyphosate and 2,4-D) varied in the water from 1.26 to 1.65 µg L-1, and in the sediment from 0.06 to 0.23 mg.kg-1. The concentrations of these active ingredients in fish muscle ranged from 0.14 to 0.36 mg kg-1. The bioconcentration factors for fish organs range from 5994.1 to 14413.2 and the bioaccumulation factors range from 0.7 to 2.8. Then the highest hazard quotient (HQ) values related to fish contamination are ranked in the order of 0.044 for children and 0.018 for adults. In sum, consumers do not face major risks from 2,4-D and glyphosate when consuming Chrysichthys nigrodigitatus from the river at Guessabo. However, children under the age of eighteen do accumulate contaminants from the fish in this locality.","container-title":"World Journal of Advanced Research and Reviews","DOI":"10.30574/wjarr.2022.14.1.0298","ISSN":"25819615","issue":"1","journalAbbreviation":"World J. Adv. Res. Rev.","page":"212-222","source":"DOI.org (Crossref)","title":"Impact of Glyphosate and 2,4-D used in agriculture on the quality of Chrysichthys nigrodigitatus (Lacépède, 1803) from the Sassandra River in Guessabo (Côte D’ivoire)","volume":"14","author":[{"family":"Djédjé","given":"Gokou Jean Marie"},{"family":"Yapi","given":"Dopé Armel Cyrille"},{"family":"Tidou Epse Koné","given":"Abiba Sanogo"}],"issued":{"date-parts":[["2022"]]}}},{"id":2956,"uris":["http://zotero.org/users/5723659/items/ZZ2UNMPH"],"itemData":{"id":2956,"type":"article-journal","container-title":"Water Research","DOI":"10.1016/j.watres.2024.122140","ISSN":"00431354","journalAbbreviation":"Water Research","language":"en","page":"122140","source":"DOI.org (Crossref)","title":"Glyphosate contamination in European rivers not from herbicide application?","volume":"263","author":[{"family":"Schwientek","given":"M."},{"family":"Rügner","given":"H."},{"family":"Haderlein","given":"S.B."},{"family":"Schulz","given":"W."},{"family":"Wimmer","given":"B."},{"family":"Engelbart","given":"L."},{"family":"Bieger","given":"S."},{"family":"Huhn","given":"C."}],"issued":{"date-parts":[["2024"]]}}},{"id":2926,"uris":["http://zotero.org/users/5723659/items/C6PA75MH"],"itemData":{"id":2926,"type":"article-journal","container-title":"Science of The Total Environment","DOI":"10.1016/j.scitotenv.2025.179250","ISSN":"00489697","journalAbbreviation":"Science of The Total Environment","language":"en","page":"179250","source":"DOI.org (Crossref)","title":"Pesticide contamination of small standing water bodies in the agricultural landscape of northeast Germany","volume":"975","author":[{"family":"Lorenz","given":"Stefan"},{"family":"Trau","given":"Fee Nanett"},{"family":"Ruf","given":"Lena C."},{"family":"Meinikmann","given":"Karin"},{"family":"Fisch","given":"Kathrin"},{"family":"Stähler","given":"Matthias"},{"family":"Schenke","given":"Detlef"},{"family":"Blevins","given":"Holly Lyon"},{"family":"Heinz","given":"Marlen"}],"issued":{"date-parts":[["2025"]]}}}],"schema":"https://github.com/citation-style-language/schema/raw/master/csl-citation.json"} </w:instrText>
      </w:r>
      <w:r w:rsidR="00ED3656" w:rsidRPr="007118D3">
        <w:rPr>
          <w:rFonts w:ascii="Arial" w:hAnsi="Arial" w:cs="Arial"/>
          <w:sz w:val="20"/>
          <w:szCs w:val="20"/>
          <w:lang w:val="en-GB"/>
        </w:rPr>
        <w:fldChar w:fldCharType="separate"/>
      </w:r>
      <w:r w:rsidR="000E707F" w:rsidRPr="006F76B0">
        <w:rPr>
          <w:rFonts w:ascii="Arial" w:hAnsi="Arial" w:cs="Arial"/>
          <w:sz w:val="20"/>
        </w:rPr>
        <w:t xml:space="preserve">(Djédjé </w:t>
      </w:r>
      <w:r w:rsidR="000E707F" w:rsidRPr="006E60DE">
        <w:rPr>
          <w:rFonts w:ascii="Arial" w:hAnsi="Arial" w:cs="Arial"/>
          <w:i/>
          <w:iCs/>
          <w:sz w:val="20"/>
          <w:highlight w:val="yellow"/>
        </w:rPr>
        <w:t>et al.,</w:t>
      </w:r>
      <w:r w:rsidR="000E707F" w:rsidRPr="006F76B0">
        <w:rPr>
          <w:rFonts w:ascii="Arial" w:hAnsi="Arial" w:cs="Arial"/>
          <w:sz w:val="20"/>
        </w:rPr>
        <w:t xml:space="preserve"> 2022; </w:t>
      </w:r>
      <w:r w:rsidR="006F76B0" w:rsidRPr="006F76B0">
        <w:rPr>
          <w:rFonts w:ascii="Arial" w:hAnsi="Arial" w:cs="Arial"/>
          <w:sz w:val="20"/>
        </w:rPr>
        <w:t xml:space="preserve">Schwientek </w:t>
      </w:r>
      <w:r w:rsidR="006F76B0" w:rsidRPr="006E60DE">
        <w:rPr>
          <w:rFonts w:ascii="Arial" w:hAnsi="Arial" w:cs="Arial"/>
          <w:i/>
          <w:iCs/>
          <w:sz w:val="20"/>
          <w:highlight w:val="yellow"/>
        </w:rPr>
        <w:t>et al.,</w:t>
      </w:r>
      <w:r w:rsidR="006F76B0" w:rsidRPr="006E60DE">
        <w:rPr>
          <w:rFonts w:ascii="Arial" w:hAnsi="Arial" w:cs="Arial"/>
          <w:i/>
          <w:iCs/>
          <w:sz w:val="20"/>
        </w:rPr>
        <w:t xml:space="preserve"> </w:t>
      </w:r>
      <w:r w:rsidR="006F76B0" w:rsidRPr="006F76B0">
        <w:rPr>
          <w:rFonts w:ascii="Arial" w:hAnsi="Arial" w:cs="Arial"/>
          <w:sz w:val="20"/>
        </w:rPr>
        <w:t>2024</w:t>
      </w:r>
      <w:r w:rsidR="006F76B0">
        <w:rPr>
          <w:rFonts w:ascii="Arial" w:hAnsi="Arial" w:cs="Arial"/>
          <w:sz w:val="20"/>
        </w:rPr>
        <w:t xml:space="preserve">; </w:t>
      </w:r>
      <w:r w:rsidR="000E707F" w:rsidRPr="006F76B0">
        <w:rPr>
          <w:rFonts w:ascii="Arial" w:hAnsi="Arial" w:cs="Arial"/>
          <w:sz w:val="20"/>
        </w:rPr>
        <w:t xml:space="preserve">Lorenz </w:t>
      </w:r>
      <w:r w:rsidR="000E707F" w:rsidRPr="006E60DE">
        <w:rPr>
          <w:rFonts w:ascii="Arial" w:hAnsi="Arial" w:cs="Arial"/>
          <w:i/>
          <w:iCs/>
          <w:sz w:val="20"/>
          <w:highlight w:val="yellow"/>
        </w:rPr>
        <w:t>et al.,</w:t>
      </w:r>
      <w:r w:rsidR="000E707F" w:rsidRPr="006F76B0">
        <w:rPr>
          <w:rFonts w:ascii="Arial" w:hAnsi="Arial" w:cs="Arial"/>
          <w:sz w:val="20"/>
        </w:rPr>
        <w:t xml:space="preserve"> 2025)</w:t>
      </w:r>
      <w:r w:rsidR="00ED3656" w:rsidRPr="007118D3">
        <w:rPr>
          <w:rFonts w:ascii="Arial" w:hAnsi="Arial" w:cs="Arial"/>
          <w:sz w:val="20"/>
          <w:szCs w:val="20"/>
          <w:lang w:val="en-GB"/>
        </w:rPr>
        <w:fldChar w:fldCharType="end"/>
      </w:r>
      <w:r w:rsidRPr="006F76B0">
        <w:rPr>
          <w:rFonts w:ascii="Arial" w:hAnsi="Arial" w:cs="Arial"/>
          <w:sz w:val="20"/>
          <w:szCs w:val="20"/>
        </w:rPr>
        <w:t>.</w:t>
      </w:r>
    </w:p>
    <w:bookmarkEnd w:id="1"/>
    <w:p w14:paraId="7D2D8807" w14:textId="066ED378" w:rsidR="00C614E5" w:rsidRPr="006F76B0" w:rsidRDefault="00C614E5" w:rsidP="009C2C56">
      <w:pPr>
        <w:spacing w:before="120" w:after="120" w:line="240" w:lineRule="auto"/>
        <w:rPr>
          <w:rFonts w:ascii="Arial" w:hAnsi="Arial" w:cs="Arial"/>
          <w:b/>
          <w:bCs/>
        </w:rPr>
      </w:pPr>
      <w:r w:rsidRPr="006F76B0">
        <w:rPr>
          <w:rFonts w:ascii="Arial" w:hAnsi="Arial" w:cs="Arial"/>
          <w:b/>
          <w:bCs/>
        </w:rPr>
        <w:t>CONCLUSION</w:t>
      </w:r>
    </w:p>
    <w:p w14:paraId="606E76C6" w14:textId="4FF6A1F7" w:rsidR="00C614E5" w:rsidRPr="007118D3" w:rsidRDefault="00C614E5" w:rsidP="007118D3">
      <w:pPr>
        <w:spacing w:after="0" w:line="240" w:lineRule="auto"/>
        <w:jc w:val="both"/>
        <w:rPr>
          <w:rFonts w:ascii="Arial" w:hAnsi="Arial" w:cs="Arial"/>
          <w:sz w:val="20"/>
          <w:szCs w:val="20"/>
          <w:lang w:val="en-GB"/>
        </w:rPr>
      </w:pPr>
      <w:r w:rsidRPr="007118D3">
        <w:rPr>
          <w:rFonts w:ascii="Arial" w:hAnsi="Arial" w:cs="Arial"/>
          <w:sz w:val="20"/>
          <w:szCs w:val="20"/>
          <w:lang w:val="en-GB"/>
        </w:rPr>
        <w:t xml:space="preserve">This study, conducted in twelve localities of western Burkina Faso, reveals generalised and alarming contamination of surface waters by herbicides in cereal-growing areas. Among the thirteen targeted molecules, several were detected at very high concentrations, with maximum values reaching 1531.68 µg/L for </w:t>
      </w:r>
      <w:proofErr w:type="spellStart"/>
      <w:r w:rsidRPr="007118D3">
        <w:rPr>
          <w:rFonts w:ascii="Arial" w:hAnsi="Arial" w:cs="Arial"/>
          <w:sz w:val="20"/>
          <w:szCs w:val="20"/>
          <w:lang w:val="en-GB"/>
        </w:rPr>
        <w:t>mesotrione</w:t>
      </w:r>
      <w:proofErr w:type="spellEnd"/>
      <w:r w:rsidRPr="007118D3">
        <w:rPr>
          <w:rFonts w:ascii="Arial" w:hAnsi="Arial" w:cs="Arial"/>
          <w:sz w:val="20"/>
          <w:szCs w:val="20"/>
          <w:lang w:val="en-GB"/>
        </w:rPr>
        <w:t xml:space="preserve"> and 1484.90 µg/L for </w:t>
      </w:r>
      <w:proofErr w:type="spellStart"/>
      <w:r w:rsidRPr="007118D3">
        <w:rPr>
          <w:rFonts w:ascii="Arial" w:hAnsi="Arial" w:cs="Arial"/>
          <w:sz w:val="20"/>
          <w:szCs w:val="20"/>
          <w:lang w:val="en-GB"/>
        </w:rPr>
        <w:t>nicosulfuron</w:t>
      </w:r>
      <w:proofErr w:type="spellEnd"/>
      <w:r w:rsidRPr="007118D3">
        <w:rPr>
          <w:rFonts w:ascii="Arial" w:hAnsi="Arial" w:cs="Arial"/>
          <w:sz w:val="20"/>
          <w:szCs w:val="20"/>
          <w:lang w:val="en-GB"/>
        </w:rPr>
        <w:t>, far above international guideline values for drinking water.</w:t>
      </w:r>
      <w:r w:rsidR="007118D3">
        <w:rPr>
          <w:rFonts w:ascii="Arial" w:hAnsi="Arial" w:cs="Arial"/>
          <w:sz w:val="20"/>
          <w:szCs w:val="20"/>
          <w:lang w:val="en-GB"/>
        </w:rPr>
        <w:t xml:space="preserve"> </w:t>
      </w:r>
      <w:r w:rsidRPr="007118D3">
        <w:rPr>
          <w:rFonts w:ascii="Arial" w:hAnsi="Arial" w:cs="Arial"/>
          <w:sz w:val="20"/>
          <w:szCs w:val="20"/>
          <w:lang w:val="en-GB"/>
        </w:rPr>
        <w:t>The considerable spatial and temporal variability observed between localities and between the two sampling phases reflects the differentiated persistence of the molecules, the influence of agricultural practices (application dates, doses, combinations) and the role of hydrological conditions in controlling transfers to surface waters.</w:t>
      </w:r>
      <w:r w:rsidR="007118D3">
        <w:rPr>
          <w:rFonts w:ascii="Arial" w:hAnsi="Arial" w:cs="Arial"/>
          <w:sz w:val="20"/>
          <w:szCs w:val="20"/>
          <w:lang w:val="en-GB"/>
        </w:rPr>
        <w:t xml:space="preserve"> </w:t>
      </w:r>
      <w:r w:rsidRPr="007118D3">
        <w:rPr>
          <w:rFonts w:ascii="Arial" w:hAnsi="Arial" w:cs="Arial"/>
          <w:sz w:val="20"/>
          <w:szCs w:val="20"/>
          <w:lang w:val="en-GB"/>
        </w:rPr>
        <w:t>Given the frequent use of untreated surface waters in rural areas for domestic, agricultural and livestock purposes, these contamination levels represent a major environmental and potential health issue.</w:t>
      </w:r>
    </w:p>
    <w:p w14:paraId="08CF7980" w14:textId="77777777" w:rsidR="00C614E5" w:rsidRPr="007118D3" w:rsidRDefault="00C614E5" w:rsidP="007118D3">
      <w:pPr>
        <w:spacing w:after="0" w:line="240" w:lineRule="auto"/>
        <w:jc w:val="both"/>
        <w:rPr>
          <w:rFonts w:ascii="Arial" w:hAnsi="Arial" w:cs="Arial"/>
          <w:sz w:val="20"/>
          <w:szCs w:val="20"/>
          <w:lang w:val="en-GB"/>
        </w:rPr>
      </w:pPr>
      <w:r w:rsidRPr="007118D3">
        <w:rPr>
          <w:rFonts w:ascii="Arial" w:hAnsi="Arial" w:cs="Arial"/>
          <w:sz w:val="20"/>
          <w:szCs w:val="20"/>
          <w:lang w:val="en-GB"/>
        </w:rPr>
        <w:t>The results underline the urgent need to:</w:t>
      </w:r>
    </w:p>
    <w:p w14:paraId="1A74E8BD" w14:textId="1560E45F" w:rsidR="00C614E5" w:rsidRPr="007118D3" w:rsidRDefault="00C614E5" w:rsidP="007118D3">
      <w:pPr>
        <w:numPr>
          <w:ilvl w:val="0"/>
          <w:numId w:val="24"/>
        </w:numPr>
        <w:spacing w:after="0" w:line="240" w:lineRule="auto"/>
        <w:jc w:val="both"/>
        <w:rPr>
          <w:rFonts w:ascii="Arial" w:hAnsi="Arial" w:cs="Arial"/>
          <w:sz w:val="20"/>
          <w:szCs w:val="20"/>
          <w:lang w:val="en-GB"/>
        </w:rPr>
      </w:pPr>
      <w:r w:rsidRPr="007118D3">
        <w:rPr>
          <w:rFonts w:ascii="Arial" w:hAnsi="Arial" w:cs="Arial"/>
          <w:sz w:val="20"/>
          <w:szCs w:val="20"/>
          <w:lang w:val="en-GB"/>
        </w:rPr>
        <w:t>strengthen monitoring of pesticide residues in water resources</w:t>
      </w:r>
      <w:r w:rsidR="007118D3">
        <w:rPr>
          <w:rFonts w:ascii="Arial" w:hAnsi="Arial" w:cs="Arial"/>
          <w:sz w:val="20"/>
          <w:szCs w:val="20"/>
          <w:lang w:val="en-GB"/>
        </w:rPr>
        <w:t>;</w:t>
      </w:r>
    </w:p>
    <w:p w14:paraId="121147D8" w14:textId="6253B1B4" w:rsidR="00C614E5" w:rsidRPr="007118D3" w:rsidRDefault="00C614E5" w:rsidP="007118D3">
      <w:pPr>
        <w:numPr>
          <w:ilvl w:val="0"/>
          <w:numId w:val="24"/>
        </w:numPr>
        <w:spacing w:after="0" w:line="240" w:lineRule="auto"/>
        <w:jc w:val="both"/>
        <w:rPr>
          <w:rFonts w:ascii="Arial" w:hAnsi="Arial" w:cs="Arial"/>
          <w:sz w:val="20"/>
          <w:szCs w:val="20"/>
          <w:lang w:val="en-GB"/>
        </w:rPr>
      </w:pPr>
      <w:r w:rsidRPr="007118D3">
        <w:rPr>
          <w:rFonts w:ascii="Arial" w:hAnsi="Arial" w:cs="Arial"/>
          <w:sz w:val="20"/>
          <w:szCs w:val="20"/>
          <w:lang w:val="en-GB"/>
        </w:rPr>
        <w:t>promote integrated pesticide management, including the rational use of herbicides, adoption of good agricultural practices and alternative weed management strategies</w:t>
      </w:r>
      <w:r w:rsidR="007118D3">
        <w:rPr>
          <w:rFonts w:ascii="Arial" w:hAnsi="Arial" w:cs="Arial"/>
          <w:sz w:val="20"/>
          <w:szCs w:val="20"/>
          <w:lang w:val="en-GB"/>
        </w:rPr>
        <w:t>;</w:t>
      </w:r>
    </w:p>
    <w:p w14:paraId="3BFDF140" w14:textId="3FD5324A" w:rsidR="00C614E5" w:rsidRPr="007118D3" w:rsidRDefault="00C614E5" w:rsidP="007118D3">
      <w:pPr>
        <w:numPr>
          <w:ilvl w:val="0"/>
          <w:numId w:val="24"/>
        </w:numPr>
        <w:spacing w:after="0" w:line="240" w:lineRule="auto"/>
        <w:jc w:val="both"/>
        <w:rPr>
          <w:rFonts w:ascii="Arial" w:hAnsi="Arial" w:cs="Arial"/>
          <w:sz w:val="20"/>
          <w:szCs w:val="20"/>
          <w:lang w:val="en-GB"/>
        </w:rPr>
      </w:pPr>
      <w:r w:rsidRPr="007118D3">
        <w:rPr>
          <w:rFonts w:ascii="Arial" w:hAnsi="Arial" w:cs="Arial"/>
          <w:sz w:val="20"/>
          <w:szCs w:val="20"/>
          <w:lang w:val="en-GB"/>
        </w:rPr>
        <w:t>reinforce regulatory control over the marketing and use of herbicides, and</w:t>
      </w:r>
      <w:r w:rsidR="007118D3">
        <w:rPr>
          <w:rFonts w:ascii="Arial" w:hAnsi="Arial" w:cs="Arial"/>
          <w:sz w:val="20"/>
          <w:szCs w:val="20"/>
          <w:lang w:val="en-GB"/>
        </w:rPr>
        <w:t>;</w:t>
      </w:r>
    </w:p>
    <w:p w14:paraId="181CFE8B" w14:textId="77777777" w:rsidR="00C614E5" w:rsidRPr="007118D3" w:rsidRDefault="00C614E5" w:rsidP="007118D3">
      <w:pPr>
        <w:numPr>
          <w:ilvl w:val="0"/>
          <w:numId w:val="24"/>
        </w:numPr>
        <w:spacing w:after="0" w:line="240" w:lineRule="auto"/>
        <w:jc w:val="both"/>
        <w:rPr>
          <w:rFonts w:ascii="Arial" w:hAnsi="Arial" w:cs="Arial"/>
          <w:sz w:val="20"/>
          <w:szCs w:val="20"/>
          <w:lang w:val="en-GB"/>
        </w:rPr>
      </w:pPr>
      <w:r w:rsidRPr="007118D3">
        <w:rPr>
          <w:rFonts w:ascii="Arial" w:hAnsi="Arial" w:cs="Arial"/>
          <w:sz w:val="20"/>
          <w:szCs w:val="20"/>
          <w:lang w:val="en-GB"/>
        </w:rPr>
        <w:t>implement awareness-raising programmes for farmers and rural communities about the risks associated with intensive and sometimes inappropriate herbicide use.</w:t>
      </w:r>
    </w:p>
    <w:p w14:paraId="2B5DC941" w14:textId="77777777" w:rsidR="00C614E5" w:rsidRPr="007118D3" w:rsidRDefault="00C614E5" w:rsidP="007118D3">
      <w:pPr>
        <w:spacing w:after="0" w:line="240" w:lineRule="auto"/>
        <w:jc w:val="both"/>
        <w:rPr>
          <w:rFonts w:ascii="Arial" w:hAnsi="Arial" w:cs="Arial"/>
          <w:sz w:val="20"/>
          <w:szCs w:val="20"/>
          <w:lang w:val="en-GB"/>
        </w:rPr>
      </w:pPr>
      <w:r w:rsidRPr="007118D3">
        <w:rPr>
          <w:rFonts w:ascii="Arial" w:hAnsi="Arial" w:cs="Arial"/>
          <w:sz w:val="20"/>
          <w:szCs w:val="20"/>
          <w:lang w:val="en-GB"/>
        </w:rPr>
        <w:t>Such measures are essential to protect aquatic ecosystems, preserve water resources and contribute to more sustainable cereal production systems in western Burkina Faso.</w:t>
      </w:r>
    </w:p>
    <w:p w14:paraId="301E5D37" w14:textId="77777777" w:rsidR="00D54BE1" w:rsidRDefault="00D54BE1" w:rsidP="007001FA">
      <w:pPr>
        <w:spacing w:before="120" w:after="120" w:line="240" w:lineRule="auto"/>
        <w:rPr>
          <w:rFonts w:ascii="Arial" w:hAnsi="Arial" w:cs="Arial"/>
          <w:b/>
          <w:bCs/>
          <w:lang w:val="en-GB"/>
        </w:rPr>
      </w:pPr>
    </w:p>
    <w:p w14:paraId="0481F502" w14:textId="55E0E783" w:rsidR="007001FA" w:rsidRPr="007001FA" w:rsidRDefault="007001FA" w:rsidP="007001FA">
      <w:pPr>
        <w:spacing w:before="120" w:after="120" w:line="240" w:lineRule="auto"/>
        <w:rPr>
          <w:rFonts w:ascii="Arial" w:hAnsi="Arial" w:cs="Arial"/>
          <w:b/>
          <w:bCs/>
          <w:lang w:val="en-GB"/>
        </w:rPr>
      </w:pPr>
      <w:r w:rsidRPr="00EF743B">
        <w:rPr>
          <w:rFonts w:ascii="Arial" w:hAnsi="Arial" w:cs="Arial"/>
          <w:b/>
          <w:bCs/>
          <w:lang w:val="en-GB"/>
        </w:rPr>
        <w:t>DISCLAIMER (ARTIFICIAL INTELLIGENCE)</w:t>
      </w:r>
      <w:r w:rsidRPr="007001FA">
        <w:rPr>
          <w:rFonts w:ascii="Arial" w:hAnsi="Arial" w:cs="Arial"/>
          <w:b/>
          <w:bCs/>
          <w:lang w:val="en-GB"/>
        </w:rPr>
        <w:t xml:space="preserve"> </w:t>
      </w:r>
    </w:p>
    <w:p w14:paraId="02A85B31" w14:textId="2D46F69A" w:rsidR="007001FA" w:rsidRPr="007A1D5A" w:rsidRDefault="007001FA" w:rsidP="007001FA">
      <w:pPr>
        <w:spacing w:before="120" w:after="120" w:line="240" w:lineRule="auto"/>
        <w:jc w:val="both"/>
        <w:rPr>
          <w:rFonts w:ascii="Arial" w:hAnsi="Arial" w:cs="Arial"/>
          <w:sz w:val="20"/>
          <w:szCs w:val="20"/>
          <w:lang w:val="en-GB"/>
        </w:rPr>
      </w:pPr>
      <w:r w:rsidRPr="007001FA">
        <w:rPr>
          <w:rFonts w:ascii="Arial" w:hAnsi="Arial" w:cs="Arial"/>
          <w:sz w:val="20"/>
          <w:szCs w:val="20"/>
          <w:lang w:val="en-GB"/>
        </w:rPr>
        <w:t>Authors hereby declare that NO generative AI technologies such as Large Language Models (ChatGPT, COPILOT, etc) and text-to-image generators have been used during writing or editing of this manuscript.</w:t>
      </w:r>
    </w:p>
    <w:p w14:paraId="389F648B" w14:textId="77777777" w:rsidR="00D54BE1" w:rsidRDefault="00D54BE1" w:rsidP="00955557">
      <w:pPr>
        <w:spacing w:before="120" w:after="120" w:line="240" w:lineRule="auto"/>
        <w:rPr>
          <w:rFonts w:ascii="Arial" w:hAnsi="Arial" w:cs="Arial"/>
          <w:b/>
          <w:bCs/>
          <w:lang w:val="en-GB"/>
        </w:rPr>
      </w:pPr>
    </w:p>
    <w:p w14:paraId="5434834D" w14:textId="5F64C9D2" w:rsidR="00C614E5" w:rsidRPr="00955557" w:rsidRDefault="00C614E5" w:rsidP="00955557">
      <w:pPr>
        <w:spacing w:before="120" w:after="120" w:line="240" w:lineRule="auto"/>
        <w:rPr>
          <w:rFonts w:ascii="Arial" w:hAnsi="Arial" w:cs="Arial"/>
          <w:b/>
          <w:bCs/>
          <w:lang w:val="en-GB"/>
        </w:rPr>
      </w:pPr>
      <w:r w:rsidRPr="00955557">
        <w:rPr>
          <w:rFonts w:ascii="Arial" w:hAnsi="Arial" w:cs="Arial"/>
          <w:b/>
          <w:bCs/>
          <w:lang w:val="en-GB"/>
        </w:rPr>
        <w:t>ETHICAL APPROVAL</w:t>
      </w:r>
    </w:p>
    <w:p w14:paraId="29941CAD" w14:textId="2C529195" w:rsidR="00934F79" w:rsidRDefault="00934F79" w:rsidP="00C614E5">
      <w:pPr>
        <w:spacing w:before="120" w:after="120" w:line="240" w:lineRule="auto"/>
        <w:jc w:val="both"/>
        <w:rPr>
          <w:rFonts w:ascii="Arial" w:hAnsi="Arial" w:cs="Arial"/>
          <w:sz w:val="20"/>
          <w:szCs w:val="20"/>
          <w:lang w:val="en-GB"/>
        </w:rPr>
      </w:pPr>
      <w:r w:rsidRPr="00934F79">
        <w:rPr>
          <w:rFonts w:ascii="Arial" w:hAnsi="Arial" w:cs="Arial"/>
          <w:sz w:val="20"/>
          <w:szCs w:val="20"/>
          <w:lang w:val="en-GB"/>
        </w:rPr>
        <w:t xml:space="preserve">The study protocol was reviewed and received a favourable opinion from the Institutional Ethics Committee for Health Sciences Research (CEIRES), Burkina Faso (Ref: A16-2020/CEIRES; registration No. 19-2020/CEIRES; Bobo-Dioulasso, 11 June 2020). The study involved only environmental sampling </w:t>
      </w:r>
      <w:r w:rsidRPr="00934F79">
        <w:rPr>
          <w:rFonts w:ascii="Arial" w:hAnsi="Arial" w:cs="Arial"/>
          <w:sz w:val="20"/>
          <w:szCs w:val="20"/>
          <w:lang w:val="en-GB"/>
        </w:rPr>
        <w:lastRenderedPageBreak/>
        <w:t>of surface waters and did not include human participants, animals, or the collection of identifiable personal data; therefore, informed consent was not applicable.</w:t>
      </w:r>
    </w:p>
    <w:p w14:paraId="0D318685" w14:textId="77777777" w:rsidR="00514E95" w:rsidRDefault="00514E95" w:rsidP="00C614E5">
      <w:pPr>
        <w:spacing w:before="120" w:after="120" w:line="240" w:lineRule="auto"/>
        <w:jc w:val="both"/>
        <w:rPr>
          <w:rFonts w:ascii="Arial" w:hAnsi="Arial" w:cs="Arial"/>
          <w:sz w:val="20"/>
          <w:szCs w:val="20"/>
          <w:lang w:val="en-GB"/>
        </w:rPr>
      </w:pPr>
    </w:p>
    <w:p w14:paraId="001A656E" w14:textId="77777777" w:rsidR="00514E95" w:rsidRPr="00514E95" w:rsidRDefault="00514E95" w:rsidP="00514E95">
      <w:pPr>
        <w:spacing w:before="120" w:after="120" w:line="240" w:lineRule="auto"/>
        <w:jc w:val="both"/>
        <w:rPr>
          <w:rFonts w:ascii="Arial" w:hAnsi="Arial" w:cs="Arial"/>
          <w:sz w:val="20"/>
          <w:szCs w:val="20"/>
          <w:lang w:val="en-GB"/>
        </w:rPr>
      </w:pPr>
      <w:r w:rsidRPr="00514E95">
        <w:rPr>
          <w:rFonts w:ascii="Arial" w:hAnsi="Arial" w:cs="Arial"/>
          <w:sz w:val="20"/>
          <w:szCs w:val="20"/>
          <w:lang w:val="en-GB"/>
        </w:rPr>
        <w:t>COMPETING INTERESTS DISCLAIMER:</w:t>
      </w:r>
    </w:p>
    <w:p w14:paraId="478F9B53" w14:textId="0FB1E370" w:rsidR="00514E95" w:rsidRDefault="00514E95" w:rsidP="00514E95">
      <w:pPr>
        <w:spacing w:before="120" w:after="120" w:line="240" w:lineRule="auto"/>
        <w:jc w:val="both"/>
        <w:rPr>
          <w:rFonts w:ascii="Arial" w:hAnsi="Arial" w:cs="Arial"/>
          <w:sz w:val="20"/>
          <w:szCs w:val="20"/>
          <w:lang w:val="en-GB"/>
        </w:rPr>
      </w:pPr>
      <w:r w:rsidRPr="00514E95">
        <w:rPr>
          <w:rFonts w:ascii="Arial" w:hAnsi="Arial" w:cs="Arial"/>
          <w:sz w:val="20"/>
          <w:szCs w:val="20"/>
          <w:lang w:val="en-GB"/>
        </w:rPr>
        <w:t>Authors have declared that they have no known competing financial interests OR non-financial interests OR personal relationships that could have appeared to influence the work reported in this paper.</w:t>
      </w:r>
    </w:p>
    <w:p w14:paraId="1FD0660B" w14:textId="77777777" w:rsidR="00514E95" w:rsidRDefault="00514E95" w:rsidP="00C614E5">
      <w:pPr>
        <w:spacing w:before="120" w:after="120" w:line="240" w:lineRule="auto"/>
        <w:jc w:val="both"/>
        <w:rPr>
          <w:rFonts w:ascii="Arial" w:hAnsi="Arial" w:cs="Arial"/>
          <w:sz w:val="20"/>
          <w:szCs w:val="20"/>
          <w:lang w:val="en-GB"/>
        </w:rPr>
      </w:pPr>
    </w:p>
    <w:p w14:paraId="64519D7A" w14:textId="77777777" w:rsidR="00514E95" w:rsidRDefault="00514E95" w:rsidP="00C614E5">
      <w:pPr>
        <w:spacing w:before="120" w:after="120" w:line="240" w:lineRule="auto"/>
        <w:jc w:val="both"/>
        <w:rPr>
          <w:rFonts w:ascii="Arial" w:hAnsi="Arial" w:cs="Arial"/>
          <w:sz w:val="20"/>
          <w:szCs w:val="20"/>
          <w:lang w:val="en-GB"/>
        </w:rPr>
      </w:pPr>
    </w:p>
    <w:p w14:paraId="7CC539E1" w14:textId="77777777" w:rsidR="00C614E5" w:rsidRPr="00955557" w:rsidRDefault="00C614E5" w:rsidP="00955557">
      <w:pPr>
        <w:spacing w:before="120" w:after="120" w:line="240" w:lineRule="auto"/>
        <w:rPr>
          <w:rFonts w:ascii="Arial" w:hAnsi="Arial" w:cs="Arial"/>
          <w:b/>
          <w:bCs/>
          <w:lang w:val="en-GB"/>
        </w:rPr>
      </w:pPr>
      <w:r w:rsidRPr="00955557">
        <w:rPr>
          <w:rFonts w:ascii="Arial" w:hAnsi="Arial" w:cs="Arial"/>
          <w:b/>
          <w:bCs/>
          <w:lang w:val="en-GB"/>
        </w:rPr>
        <w:t>REFERENCES</w:t>
      </w:r>
    </w:p>
    <w:p w14:paraId="36B6A2CB" w14:textId="77777777" w:rsidR="004A43B1" w:rsidRPr="004A43B1" w:rsidRDefault="00EF30E4" w:rsidP="004A43B1">
      <w:pPr>
        <w:pStyle w:val="Bibliography"/>
        <w:spacing w:line="240" w:lineRule="auto"/>
        <w:jc w:val="both"/>
        <w:rPr>
          <w:rFonts w:ascii="Arial" w:hAnsi="Arial" w:cs="Arial"/>
          <w:sz w:val="20"/>
          <w:lang w:val="en-GB"/>
        </w:rPr>
      </w:pPr>
      <w:r w:rsidRPr="00EF30E4">
        <w:rPr>
          <w:rFonts w:ascii="Arial" w:hAnsi="Arial" w:cs="Arial"/>
          <w:sz w:val="20"/>
          <w:szCs w:val="20"/>
        </w:rPr>
        <w:fldChar w:fldCharType="begin"/>
      </w:r>
      <w:r w:rsidR="004A43B1" w:rsidRPr="004A43B1">
        <w:rPr>
          <w:rFonts w:ascii="Arial" w:hAnsi="Arial" w:cs="Arial"/>
          <w:sz w:val="20"/>
          <w:szCs w:val="20"/>
          <w:lang w:val="en-GB"/>
        </w:rPr>
        <w:instrText xml:space="preserve"> ADDIN ZOTERO_BIBL {"uncited":[],"omitted":[],"custom":[]} CSL_BIBLIOGRAPHY </w:instrText>
      </w:r>
      <w:r w:rsidRPr="00EF30E4">
        <w:rPr>
          <w:rFonts w:ascii="Arial" w:hAnsi="Arial" w:cs="Arial"/>
          <w:sz w:val="20"/>
          <w:szCs w:val="20"/>
        </w:rPr>
        <w:fldChar w:fldCharType="separate"/>
      </w:r>
      <w:r w:rsidR="004A43B1" w:rsidRPr="004A43B1">
        <w:rPr>
          <w:rFonts w:ascii="Arial" w:hAnsi="Arial" w:cs="Arial"/>
          <w:sz w:val="20"/>
          <w:lang w:val="en-GB"/>
        </w:rPr>
        <w:t xml:space="preserve">Anastassiades, M., Lehotay, S. J., Štajnbaher, D., &amp; Schenck, F. J. (2003). Fast and Easy Multiresidue Method Employing Acetonitrile Extraction/Partitioning and “Dispersive Solid-Phase Extraction” for the Determination of Pesticide Residues in Produce. </w:t>
      </w:r>
      <w:r w:rsidR="004A43B1" w:rsidRPr="004A43B1">
        <w:rPr>
          <w:rFonts w:ascii="Arial" w:hAnsi="Arial" w:cs="Arial"/>
          <w:i/>
          <w:iCs/>
          <w:sz w:val="20"/>
          <w:lang w:val="en-GB"/>
        </w:rPr>
        <w:t>Journal of AOAC International</w:t>
      </w:r>
      <w:r w:rsidR="004A43B1" w:rsidRPr="004A43B1">
        <w:rPr>
          <w:rFonts w:ascii="Arial" w:hAnsi="Arial" w:cs="Arial"/>
          <w:sz w:val="20"/>
          <w:lang w:val="en-GB"/>
        </w:rPr>
        <w:t xml:space="preserve">, </w:t>
      </w:r>
      <w:r w:rsidR="004A43B1" w:rsidRPr="004A43B1">
        <w:rPr>
          <w:rFonts w:ascii="Arial" w:hAnsi="Arial" w:cs="Arial"/>
          <w:i/>
          <w:iCs/>
          <w:sz w:val="20"/>
          <w:lang w:val="en-GB"/>
        </w:rPr>
        <w:t>86</w:t>
      </w:r>
      <w:r w:rsidR="004A43B1" w:rsidRPr="004A43B1">
        <w:rPr>
          <w:rFonts w:ascii="Arial" w:hAnsi="Arial" w:cs="Arial"/>
          <w:sz w:val="20"/>
          <w:lang w:val="en-GB"/>
        </w:rPr>
        <w:t>(2), 412–431. https://doi.org/10.1093/jaoac/86.2.412</w:t>
      </w:r>
    </w:p>
    <w:p w14:paraId="17901865" w14:textId="1C22F265" w:rsidR="004A43B1" w:rsidRPr="002D4C9F" w:rsidRDefault="004A43B1" w:rsidP="004A43B1">
      <w:pPr>
        <w:pStyle w:val="Bibliography"/>
        <w:spacing w:line="240" w:lineRule="auto"/>
        <w:jc w:val="both"/>
        <w:rPr>
          <w:rFonts w:ascii="Arial" w:hAnsi="Arial" w:cs="Arial"/>
          <w:sz w:val="20"/>
          <w:lang w:val="pt-BR"/>
        </w:rPr>
      </w:pPr>
      <w:r w:rsidRPr="004A43B1">
        <w:rPr>
          <w:rFonts w:ascii="Arial" w:hAnsi="Arial" w:cs="Arial"/>
          <w:sz w:val="20"/>
          <w:lang w:val="en-GB"/>
        </w:rPr>
        <w:t xml:space="preserve">Baćmaga, M., Wyszkowska, J., &amp; Kucharski, J. (2024). Environmental Implication of Herbicide Use. </w:t>
      </w:r>
      <w:r w:rsidRPr="002D4C9F">
        <w:rPr>
          <w:rFonts w:ascii="Arial" w:hAnsi="Arial" w:cs="Arial"/>
          <w:i/>
          <w:iCs/>
          <w:sz w:val="20"/>
          <w:lang w:val="pt-BR"/>
        </w:rPr>
        <w:t>Molecules</w:t>
      </w:r>
      <w:r w:rsidRPr="002D4C9F">
        <w:rPr>
          <w:rFonts w:ascii="Arial" w:hAnsi="Arial" w:cs="Arial"/>
          <w:sz w:val="20"/>
          <w:lang w:val="pt-BR"/>
        </w:rPr>
        <w:t xml:space="preserve">, </w:t>
      </w:r>
      <w:r w:rsidRPr="002D4C9F">
        <w:rPr>
          <w:rFonts w:ascii="Arial" w:hAnsi="Arial" w:cs="Arial"/>
          <w:i/>
          <w:iCs/>
          <w:sz w:val="20"/>
          <w:lang w:val="pt-BR"/>
        </w:rPr>
        <w:t>29</w:t>
      </w:r>
      <w:r w:rsidRPr="002D4C9F">
        <w:rPr>
          <w:rFonts w:ascii="Arial" w:hAnsi="Arial" w:cs="Arial"/>
          <w:sz w:val="20"/>
          <w:lang w:val="pt-BR"/>
        </w:rPr>
        <w:t>(24), 5965. https://doi.org/10.3390/molecules29245965</w:t>
      </w:r>
    </w:p>
    <w:p w14:paraId="0E049B95" w14:textId="77777777" w:rsidR="004A43B1" w:rsidRPr="004A43B1" w:rsidRDefault="004A43B1" w:rsidP="004A43B1">
      <w:pPr>
        <w:pStyle w:val="Bibliography"/>
        <w:spacing w:line="240" w:lineRule="auto"/>
        <w:jc w:val="both"/>
        <w:rPr>
          <w:rFonts w:ascii="Arial" w:hAnsi="Arial" w:cs="Arial"/>
          <w:sz w:val="20"/>
          <w:lang w:val="en-GB"/>
        </w:rPr>
      </w:pPr>
      <w:r w:rsidRPr="006E60DE">
        <w:rPr>
          <w:rFonts w:ascii="Arial" w:hAnsi="Arial" w:cs="Arial"/>
          <w:sz w:val="20"/>
          <w:highlight w:val="yellow"/>
          <w:lang w:val="pt-BR"/>
        </w:rPr>
        <w:t xml:space="preserve">Bayili, B., Koursangama, B., Bayili, K., Dipina Ki, H., Sow, B., Bilgo, E., Kinda, A. A., Bazongo, T., Ouattara, A., Dabire, R. K., &amp; Diabate, A. (2024). </w:t>
      </w:r>
      <w:r w:rsidRPr="006E60DE">
        <w:rPr>
          <w:rFonts w:ascii="Arial" w:hAnsi="Arial" w:cs="Arial"/>
          <w:sz w:val="20"/>
          <w:highlight w:val="yellow"/>
          <w:lang w:val="en-GB"/>
        </w:rPr>
        <w:t xml:space="preserve">Characterization of herbicide use practices in cereal agroecosystems in western Burkina Faso. </w:t>
      </w:r>
      <w:r w:rsidRPr="006E60DE">
        <w:rPr>
          <w:rFonts w:ascii="Arial" w:hAnsi="Arial" w:cs="Arial"/>
          <w:i/>
          <w:iCs/>
          <w:sz w:val="20"/>
          <w:highlight w:val="yellow"/>
          <w:lang w:val="en-GB"/>
        </w:rPr>
        <w:t>Journal of Experimental Biology and Agricultural Sciences</w:t>
      </w:r>
      <w:r w:rsidRPr="006E60DE">
        <w:rPr>
          <w:rFonts w:ascii="Arial" w:hAnsi="Arial" w:cs="Arial"/>
          <w:sz w:val="20"/>
          <w:highlight w:val="yellow"/>
          <w:lang w:val="en-GB"/>
        </w:rPr>
        <w:t xml:space="preserve">, </w:t>
      </w:r>
      <w:r w:rsidRPr="006E60DE">
        <w:rPr>
          <w:rFonts w:ascii="Arial" w:hAnsi="Arial" w:cs="Arial"/>
          <w:i/>
          <w:iCs/>
          <w:sz w:val="20"/>
          <w:highlight w:val="yellow"/>
          <w:lang w:val="en-GB"/>
        </w:rPr>
        <w:t>12</w:t>
      </w:r>
      <w:r w:rsidRPr="006E60DE">
        <w:rPr>
          <w:rFonts w:ascii="Arial" w:hAnsi="Arial" w:cs="Arial"/>
          <w:sz w:val="20"/>
          <w:highlight w:val="yellow"/>
          <w:lang w:val="en-GB"/>
        </w:rPr>
        <w:t>(2), 248–256. https://doi.org/10.18006/2024.12(2).248.256</w:t>
      </w:r>
    </w:p>
    <w:p w14:paraId="61D16224" w14:textId="77777777" w:rsidR="004A43B1" w:rsidRPr="004A43B1" w:rsidRDefault="004A43B1" w:rsidP="004A43B1">
      <w:pPr>
        <w:pStyle w:val="Bibliography"/>
        <w:spacing w:line="240" w:lineRule="auto"/>
        <w:jc w:val="both"/>
        <w:rPr>
          <w:rFonts w:ascii="Arial" w:hAnsi="Arial" w:cs="Arial"/>
          <w:sz w:val="20"/>
          <w:lang w:val="en-GB"/>
        </w:rPr>
      </w:pPr>
      <w:r w:rsidRPr="002D4C9F">
        <w:rPr>
          <w:rFonts w:ascii="Arial" w:hAnsi="Arial" w:cs="Arial"/>
          <w:sz w:val="20"/>
          <w:lang w:val="pt-BR"/>
        </w:rPr>
        <w:t xml:space="preserve">Bayili, B., Ouedraogo, R., Ilboudo, S., Pooda, L., Bonkoungou, M., Bationo, J. F., Ouedraogo, J. B., &amp; Ouedraogo, G. A. (2019). </w:t>
      </w:r>
      <w:r w:rsidRPr="004A43B1">
        <w:rPr>
          <w:rFonts w:ascii="Arial" w:hAnsi="Arial" w:cs="Arial"/>
          <w:sz w:val="20"/>
          <w:lang w:val="en-GB"/>
        </w:rPr>
        <w:t xml:space="preserve">Characterization of pesticides and practices of cotton producers and pesticides sellers in the cotton zone of Bala’s Hippopotamus Pond Biosphere of Burkina Faso. </w:t>
      </w:r>
      <w:r w:rsidRPr="004A43B1">
        <w:rPr>
          <w:rFonts w:ascii="Arial" w:hAnsi="Arial" w:cs="Arial"/>
          <w:i/>
          <w:iCs/>
          <w:sz w:val="20"/>
          <w:lang w:val="en-GB"/>
        </w:rPr>
        <w:t>Journal of Experimental Biology and Agricultural Sciences</w:t>
      </w:r>
      <w:r w:rsidRPr="004A43B1">
        <w:rPr>
          <w:rFonts w:ascii="Arial" w:hAnsi="Arial" w:cs="Arial"/>
          <w:sz w:val="20"/>
          <w:lang w:val="en-GB"/>
        </w:rPr>
        <w:t xml:space="preserve">, </w:t>
      </w:r>
      <w:r w:rsidRPr="004A43B1">
        <w:rPr>
          <w:rFonts w:ascii="Arial" w:hAnsi="Arial" w:cs="Arial"/>
          <w:i/>
          <w:iCs/>
          <w:sz w:val="20"/>
          <w:lang w:val="en-GB"/>
        </w:rPr>
        <w:t>7</w:t>
      </w:r>
      <w:r w:rsidRPr="004A43B1">
        <w:rPr>
          <w:rFonts w:ascii="Arial" w:hAnsi="Arial" w:cs="Arial"/>
          <w:sz w:val="20"/>
          <w:lang w:val="en-GB"/>
        </w:rPr>
        <w:t>(6), 554–568. https://doi.org/10.18006/2019.7(6).554.568</w:t>
      </w:r>
    </w:p>
    <w:p w14:paraId="25806971" w14:textId="77777777" w:rsidR="002D4C9F" w:rsidRDefault="002D4C9F" w:rsidP="004A43B1">
      <w:pPr>
        <w:pStyle w:val="Bibliography"/>
        <w:spacing w:line="240" w:lineRule="auto"/>
        <w:jc w:val="both"/>
        <w:rPr>
          <w:rFonts w:ascii="Arial" w:hAnsi="Arial" w:cs="Arial"/>
          <w:sz w:val="20"/>
        </w:rPr>
      </w:pPr>
      <w:r w:rsidRPr="002D4C9F">
        <w:rPr>
          <w:rFonts w:ascii="Arial" w:hAnsi="Arial" w:cs="Arial"/>
          <w:sz w:val="20"/>
        </w:rPr>
        <w:t>Beaumont, J., Godin, S., Riem, N., &amp; Lestremau, F. (2012). Application de la méthodologie Quechers sur l’extraction des pesticides et des polybromodiphényléthers (PBDE) dans les sédiments Evaluation préliminaire—Rapport AQUAREF 2012—69p. Rapport AQUAREF.</w:t>
      </w:r>
    </w:p>
    <w:p w14:paraId="2B22AEBD" w14:textId="71DC24E5" w:rsidR="004A43B1" w:rsidRPr="004A43B1" w:rsidRDefault="004A43B1" w:rsidP="004A43B1">
      <w:pPr>
        <w:pStyle w:val="Bibliography"/>
        <w:spacing w:line="240" w:lineRule="auto"/>
        <w:jc w:val="both"/>
        <w:rPr>
          <w:rFonts w:ascii="Arial" w:hAnsi="Arial" w:cs="Arial"/>
          <w:sz w:val="20"/>
        </w:rPr>
      </w:pPr>
      <w:r w:rsidRPr="004A43B1">
        <w:rPr>
          <w:rFonts w:ascii="Arial" w:hAnsi="Arial" w:cs="Arial"/>
          <w:sz w:val="20"/>
        </w:rPr>
        <w:t xml:space="preserve">Calvet, R. (2005). </w:t>
      </w:r>
      <w:r w:rsidRPr="004A43B1">
        <w:rPr>
          <w:rFonts w:ascii="Arial" w:hAnsi="Arial" w:cs="Arial"/>
          <w:i/>
          <w:iCs/>
          <w:sz w:val="20"/>
        </w:rPr>
        <w:t>Les pesticides dans le sol: Conséquences agronomiques et environnementales</w:t>
      </w:r>
      <w:r w:rsidRPr="004A43B1">
        <w:rPr>
          <w:rFonts w:ascii="Arial" w:hAnsi="Arial" w:cs="Arial"/>
          <w:sz w:val="20"/>
        </w:rPr>
        <w:t xml:space="preserve"> (France Agricole Editions).</w:t>
      </w:r>
    </w:p>
    <w:p w14:paraId="6C9643DA" w14:textId="77777777" w:rsidR="004A43B1" w:rsidRPr="004A43B1" w:rsidRDefault="004A43B1" w:rsidP="004A43B1">
      <w:pPr>
        <w:pStyle w:val="Bibliography"/>
        <w:spacing w:line="240" w:lineRule="auto"/>
        <w:jc w:val="both"/>
        <w:rPr>
          <w:rFonts w:ascii="Arial" w:hAnsi="Arial" w:cs="Arial"/>
          <w:sz w:val="20"/>
        </w:rPr>
      </w:pPr>
      <w:r w:rsidRPr="004A43B1">
        <w:rPr>
          <w:rFonts w:ascii="Arial" w:hAnsi="Arial" w:cs="Arial"/>
          <w:sz w:val="20"/>
        </w:rPr>
        <w:t xml:space="preserve">CILSS. (2015). </w:t>
      </w:r>
      <w:r w:rsidRPr="004A43B1">
        <w:rPr>
          <w:rFonts w:ascii="Arial" w:hAnsi="Arial" w:cs="Arial"/>
          <w:i/>
          <w:iCs/>
          <w:sz w:val="20"/>
        </w:rPr>
        <w:t>Décision n°009/MAE-MC/2015 portant interdiction de l’atrazine. Comité permanent Inter-États de Lutte contre la Sécheresse dans le Sahel (CILSS)</w:t>
      </w:r>
      <w:r w:rsidRPr="004A43B1">
        <w:rPr>
          <w:rFonts w:ascii="Arial" w:hAnsi="Arial" w:cs="Arial"/>
          <w:sz w:val="20"/>
        </w:rPr>
        <w:t>.</w:t>
      </w:r>
    </w:p>
    <w:p w14:paraId="1577B456" w14:textId="77777777" w:rsidR="002D4C9F" w:rsidRDefault="002D4C9F" w:rsidP="004A43B1">
      <w:pPr>
        <w:pStyle w:val="Bibliography"/>
        <w:spacing w:line="240" w:lineRule="auto"/>
        <w:jc w:val="both"/>
        <w:rPr>
          <w:rFonts w:ascii="Arial" w:hAnsi="Arial" w:cs="Arial"/>
          <w:sz w:val="20"/>
          <w:lang w:val="en-IN"/>
        </w:rPr>
      </w:pPr>
      <w:r w:rsidRPr="002D4C9F">
        <w:rPr>
          <w:rFonts w:ascii="Arial" w:hAnsi="Arial" w:cs="Arial"/>
          <w:sz w:val="20"/>
          <w:lang w:val="pt-BR"/>
        </w:rPr>
        <w:t xml:space="preserve">De Souza, R. M., Seibert, D., Quesada, H. B., De Jesus Bassetti, F., Fagundes-Klen, M. R., &amp; Bergamasco, R. (2020). </w:t>
      </w:r>
      <w:r w:rsidRPr="002D4C9F">
        <w:rPr>
          <w:rFonts w:ascii="Arial" w:hAnsi="Arial" w:cs="Arial"/>
          <w:sz w:val="20"/>
          <w:lang w:val="en-IN"/>
        </w:rPr>
        <w:t>Occurrence, impacts and general aspects of pesticides in surface water: A review. Process Safety and Environmental Protection, 135, 22–37. https://doi.org/10.1016/j.psep.2019.12.035</w:t>
      </w:r>
    </w:p>
    <w:p w14:paraId="5D06B0C4" w14:textId="77777777" w:rsidR="002D4C9F" w:rsidRDefault="002D4C9F" w:rsidP="004A43B1">
      <w:pPr>
        <w:pStyle w:val="Bibliography"/>
        <w:spacing w:line="240" w:lineRule="auto"/>
        <w:jc w:val="both"/>
        <w:rPr>
          <w:rFonts w:ascii="Arial" w:hAnsi="Arial" w:cs="Arial"/>
          <w:sz w:val="20"/>
          <w:lang w:val="en-GB"/>
        </w:rPr>
      </w:pPr>
      <w:r w:rsidRPr="002D4C9F">
        <w:rPr>
          <w:rFonts w:ascii="Arial" w:hAnsi="Arial" w:cs="Arial"/>
          <w:sz w:val="20"/>
          <w:lang w:val="en-GB"/>
        </w:rPr>
        <w:t>Djédjé, G. J. M., Kpan Kpan, K. G., Yapi, D. A. C., Kouamé, K. V., &amp; Tidou Epse Koné, A. S. (2022). Impact of Glyphosate and 2,4-D used in agriculture on the quality of Chrysichthys nigrodigitatus (Lacépède, 1803) from the Sassandra River in Guessabo (Côte D’ivoire). World Journal of Advanced Research and Reviews, 14(1), 212–222. https://doi.org/10.30574/wjarr.2022.14.1.0298</w:t>
      </w:r>
    </w:p>
    <w:p w14:paraId="1D863D71" w14:textId="77777777" w:rsidR="002D4C9F" w:rsidRDefault="002D4C9F" w:rsidP="004A43B1">
      <w:pPr>
        <w:pStyle w:val="Bibliography"/>
        <w:spacing w:line="240" w:lineRule="auto"/>
        <w:jc w:val="both"/>
        <w:rPr>
          <w:rFonts w:ascii="Arial" w:hAnsi="Arial" w:cs="Arial"/>
          <w:sz w:val="20"/>
          <w:lang w:val="en-GB"/>
        </w:rPr>
      </w:pPr>
      <w:r w:rsidRPr="002D4C9F">
        <w:rPr>
          <w:rFonts w:ascii="Arial" w:hAnsi="Arial" w:cs="Arial"/>
          <w:sz w:val="20"/>
          <w:lang w:val="en-GB"/>
        </w:rPr>
        <w:t>Elfikrie, N., Ho, Y. B., Zaidon, S. Z., Juahir, H., &amp; Tan, E. S. S. (2020). Occurrence of pesticides in surface water, pesticides removal efficiency in drinking water treatment plant and potential health risk to consumers in Tengi River Basin, Malaysia. Science of The Total Environment, 712, 136540. https://doi.org/10.1016/j.scitotenv.2020.136540</w:t>
      </w:r>
    </w:p>
    <w:p w14:paraId="6B09B98F" w14:textId="77777777" w:rsidR="002D4C9F" w:rsidRDefault="002D4C9F" w:rsidP="004A43B1">
      <w:pPr>
        <w:pStyle w:val="Bibliography"/>
        <w:spacing w:line="240" w:lineRule="auto"/>
        <w:jc w:val="both"/>
        <w:rPr>
          <w:rFonts w:ascii="Arial" w:hAnsi="Arial" w:cs="Arial"/>
          <w:sz w:val="20"/>
          <w:lang w:val="en-GB"/>
        </w:rPr>
      </w:pPr>
      <w:r w:rsidRPr="002D4C9F">
        <w:rPr>
          <w:rFonts w:ascii="Arial" w:hAnsi="Arial" w:cs="Arial"/>
          <w:sz w:val="20"/>
          <w:lang w:val="en-GB"/>
        </w:rPr>
        <w:t>Ghanizadeh, H., &amp; Harrington, K. C. (2021). Herbicide resistant weeds in New Zealand: State of knowledge. New Zealand Journal of Agricultural Research, 64(4), 471–482. https://doi.org/10.1080/00288233.2019.1705863</w:t>
      </w:r>
    </w:p>
    <w:p w14:paraId="46E93755" w14:textId="77777777" w:rsidR="002D4C9F" w:rsidRDefault="002D4C9F" w:rsidP="004A43B1">
      <w:pPr>
        <w:pStyle w:val="Bibliography"/>
        <w:spacing w:line="240" w:lineRule="auto"/>
        <w:jc w:val="both"/>
        <w:rPr>
          <w:rFonts w:ascii="Arial" w:hAnsi="Arial" w:cs="Arial"/>
          <w:sz w:val="20"/>
          <w:lang w:val="en-GB"/>
        </w:rPr>
      </w:pPr>
      <w:r w:rsidRPr="002D4C9F">
        <w:rPr>
          <w:rFonts w:ascii="Arial" w:hAnsi="Arial" w:cs="Arial"/>
          <w:sz w:val="20"/>
          <w:lang w:val="en-GB"/>
        </w:rPr>
        <w:t>Kocadal, K., Alkaş, F. B., Battal, D., &amp; Saygi, S. (2023). A review on advances and perspectives of glyphosate determination: Challenges and opportunities. Archives of Environmental Protection. https://doi.org/10.24425/aep.2022.142693</w:t>
      </w:r>
    </w:p>
    <w:p w14:paraId="3ED7BEEA" w14:textId="77777777" w:rsidR="002D4C9F" w:rsidRDefault="002D4C9F" w:rsidP="004A43B1">
      <w:pPr>
        <w:pStyle w:val="Bibliography"/>
        <w:spacing w:line="240" w:lineRule="auto"/>
        <w:jc w:val="both"/>
        <w:rPr>
          <w:rFonts w:ascii="Arial" w:hAnsi="Arial" w:cs="Arial"/>
          <w:sz w:val="20"/>
          <w:lang w:val="en-IN"/>
        </w:rPr>
      </w:pPr>
      <w:r w:rsidRPr="002D4C9F">
        <w:rPr>
          <w:rFonts w:ascii="Arial" w:hAnsi="Arial" w:cs="Arial"/>
          <w:sz w:val="20"/>
        </w:rPr>
        <w:t xml:space="preserve">Le Person, A., Siampiringue, M., Sarakha, M., Moncomble, A., &amp; Cornard, J.-P. (2016). </w:t>
      </w:r>
      <w:r w:rsidRPr="002D4C9F">
        <w:rPr>
          <w:rFonts w:ascii="Arial" w:hAnsi="Arial" w:cs="Arial"/>
          <w:sz w:val="20"/>
          <w:lang w:val="en-IN"/>
        </w:rPr>
        <w:t>The photo-degradation of mesotrione, a triketone herbicide, in the presence of Cu II ions. Journal of Photochemistry and Photobiology A: Chemistry, 315, 76–86. https://doi.org/10.1016/j.jphotochem.2015.09.010</w:t>
      </w:r>
    </w:p>
    <w:p w14:paraId="675186B4" w14:textId="77777777" w:rsidR="002D4C9F" w:rsidRDefault="002D4C9F" w:rsidP="004A43B1">
      <w:pPr>
        <w:pStyle w:val="Bibliography"/>
        <w:spacing w:line="240" w:lineRule="auto"/>
        <w:jc w:val="both"/>
        <w:rPr>
          <w:rFonts w:ascii="Arial" w:hAnsi="Arial" w:cs="Arial"/>
          <w:sz w:val="20"/>
          <w:lang w:val="en-IN"/>
        </w:rPr>
      </w:pPr>
      <w:r w:rsidRPr="002D4C9F">
        <w:rPr>
          <w:rFonts w:ascii="Arial" w:hAnsi="Arial" w:cs="Arial"/>
          <w:sz w:val="20"/>
          <w:lang w:val="pt-BR"/>
        </w:rPr>
        <w:t xml:space="preserve">Lehmann, E., Turrero, N., Kolia, M., Konaté, Y., &amp; De Alencastro, L. F. (2017). </w:t>
      </w:r>
      <w:r w:rsidRPr="002D4C9F">
        <w:rPr>
          <w:rFonts w:ascii="Arial" w:hAnsi="Arial" w:cs="Arial"/>
          <w:sz w:val="20"/>
          <w:lang w:val="en-IN"/>
        </w:rPr>
        <w:t xml:space="preserve">Dietary risk assessment of pesticides from vegetables and drinking water in gardening areas in Burkina Faso. Science </w:t>
      </w:r>
      <w:r w:rsidRPr="002D4C9F">
        <w:rPr>
          <w:rFonts w:ascii="Arial" w:hAnsi="Arial" w:cs="Arial"/>
          <w:sz w:val="20"/>
          <w:lang w:val="en-IN"/>
        </w:rPr>
        <w:lastRenderedPageBreak/>
        <w:t>of The Total Environment, 601–602, 1208–1216. https://doi.org/10.1016/j.scitotenv.2017.05.285</w:t>
      </w:r>
    </w:p>
    <w:p w14:paraId="16D53A27" w14:textId="77777777" w:rsidR="002D4C9F" w:rsidRDefault="002D4C9F" w:rsidP="004A43B1">
      <w:pPr>
        <w:pStyle w:val="Bibliography"/>
        <w:spacing w:line="240" w:lineRule="auto"/>
        <w:jc w:val="both"/>
        <w:rPr>
          <w:rFonts w:ascii="Arial" w:hAnsi="Arial" w:cs="Arial"/>
          <w:sz w:val="20"/>
          <w:lang w:val="en-GB"/>
        </w:rPr>
      </w:pPr>
      <w:r w:rsidRPr="002D4C9F">
        <w:rPr>
          <w:rFonts w:ascii="Arial" w:hAnsi="Arial" w:cs="Arial"/>
          <w:sz w:val="20"/>
          <w:lang w:val="en-GB"/>
        </w:rPr>
        <w:t>Leu, C., Singer, H., Stamm, C., Müller, S. R., &amp; Schwarzenbach, R. P. (2004). Simultaneous Assessment of Sources, Processes, and Factors Influencing Herbicide Losses to Surface Waters in a Small Agricultural Catchment. Environmental Science &amp; Technology https://doi.org/10.1021/es0499602</w:t>
      </w:r>
    </w:p>
    <w:p w14:paraId="3F23B329" w14:textId="77777777" w:rsidR="002D4C9F" w:rsidRDefault="002D4C9F" w:rsidP="004A43B1">
      <w:pPr>
        <w:pStyle w:val="Bibliography"/>
        <w:spacing w:line="240" w:lineRule="auto"/>
        <w:jc w:val="both"/>
        <w:rPr>
          <w:rFonts w:ascii="Arial" w:hAnsi="Arial" w:cs="Arial"/>
          <w:sz w:val="20"/>
          <w:lang w:val="en-GB"/>
        </w:rPr>
      </w:pPr>
      <w:r w:rsidRPr="002D4C9F">
        <w:rPr>
          <w:rFonts w:ascii="Arial" w:hAnsi="Arial" w:cs="Arial"/>
          <w:sz w:val="20"/>
          <w:lang w:val="en-GB"/>
        </w:rPr>
        <w:t>Lorenz, S., Trau, F. N., Ruf, L. C., Meinikmann, K., Fisch, K., Stähler, M., Schenke, D., Blevins, H. L., &amp; Heinz, M. (2025). Pesticide contamination of small standing water bodies in the agricultural landscape of northeast Germany. Science of The Total Environment, 975, 179250. https://doi.org/10.1016/j.scitotenv.2025.179250</w:t>
      </w:r>
    </w:p>
    <w:p w14:paraId="1701DE97" w14:textId="77777777" w:rsidR="002D4C9F" w:rsidRDefault="002D4C9F" w:rsidP="004A43B1">
      <w:pPr>
        <w:pStyle w:val="Bibliography"/>
        <w:spacing w:line="240" w:lineRule="auto"/>
        <w:jc w:val="both"/>
        <w:rPr>
          <w:rFonts w:ascii="Arial" w:hAnsi="Arial" w:cs="Arial"/>
          <w:sz w:val="20"/>
          <w:lang w:val="en-GB"/>
        </w:rPr>
      </w:pPr>
      <w:r w:rsidRPr="006E60DE">
        <w:rPr>
          <w:rFonts w:ascii="Arial" w:hAnsi="Arial" w:cs="Arial"/>
          <w:sz w:val="20"/>
          <w:highlight w:val="yellow"/>
          <w:lang w:val="en-GB"/>
        </w:rPr>
        <w:t>Moss, S., Ulber, L., &amp; Hoed, I. D. (2019). A herbicide resistance risk matrix. Crop Protection, 115, 13–19. https://doi.org/10.1016/j.cropro.2018.09.005</w:t>
      </w:r>
    </w:p>
    <w:p w14:paraId="373D3190" w14:textId="439DC7AC" w:rsidR="004A43B1" w:rsidRPr="002D4C9F" w:rsidRDefault="004A43B1" w:rsidP="004A43B1">
      <w:pPr>
        <w:pStyle w:val="Bibliography"/>
        <w:spacing w:line="240" w:lineRule="auto"/>
        <w:jc w:val="both"/>
        <w:rPr>
          <w:rFonts w:ascii="Arial" w:hAnsi="Arial" w:cs="Arial"/>
          <w:sz w:val="20"/>
          <w:lang w:val="pt-BR"/>
        </w:rPr>
      </w:pPr>
      <w:r w:rsidRPr="004A43B1">
        <w:rPr>
          <w:rFonts w:ascii="Arial" w:hAnsi="Arial" w:cs="Arial"/>
          <w:sz w:val="20"/>
          <w:lang w:val="en-GB"/>
        </w:rPr>
        <w:t xml:space="preserve">Namountougou, M., Soma, D. D., Kientega, M., Balboné, M., Kaboré, D. P. A., Drabo, S. F., Coulibaly, A. Y., Fournet, F., Baldet, T., Diabaté, A., Dabiré, R. K., &amp; Gnankiné, O. (2019). Insecticide resistance mechanisms in Anopheles gambiae complex populations from Burkina Faso, West Africa. </w:t>
      </w:r>
      <w:r w:rsidRPr="002D4C9F">
        <w:rPr>
          <w:rFonts w:ascii="Arial" w:hAnsi="Arial" w:cs="Arial"/>
          <w:i/>
          <w:iCs/>
          <w:sz w:val="20"/>
          <w:lang w:val="pt-BR"/>
        </w:rPr>
        <w:t>Acta Tropica</w:t>
      </w:r>
      <w:r w:rsidRPr="002D4C9F">
        <w:rPr>
          <w:rFonts w:ascii="Arial" w:hAnsi="Arial" w:cs="Arial"/>
          <w:sz w:val="20"/>
          <w:lang w:val="pt-BR"/>
        </w:rPr>
        <w:t xml:space="preserve">, </w:t>
      </w:r>
      <w:r w:rsidRPr="002D4C9F">
        <w:rPr>
          <w:rFonts w:ascii="Arial" w:hAnsi="Arial" w:cs="Arial"/>
          <w:i/>
          <w:iCs/>
          <w:sz w:val="20"/>
          <w:lang w:val="pt-BR"/>
        </w:rPr>
        <w:t>197</w:t>
      </w:r>
      <w:r w:rsidRPr="002D4C9F">
        <w:rPr>
          <w:rFonts w:ascii="Arial" w:hAnsi="Arial" w:cs="Arial"/>
          <w:sz w:val="20"/>
          <w:lang w:val="pt-BR"/>
        </w:rPr>
        <w:t>, 105054. https://doi.org/10.1016/j.actatropica.2019.105054</w:t>
      </w:r>
    </w:p>
    <w:p w14:paraId="3260A8A0" w14:textId="77777777" w:rsidR="002D4C9F" w:rsidRDefault="002D4C9F" w:rsidP="004A43B1">
      <w:pPr>
        <w:pStyle w:val="Bibliography"/>
        <w:spacing w:line="240" w:lineRule="auto"/>
        <w:jc w:val="both"/>
        <w:rPr>
          <w:rFonts w:ascii="Arial" w:hAnsi="Arial" w:cs="Arial"/>
          <w:sz w:val="20"/>
          <w:lang w:val="en-IN"/>
        </w:rPr>
      </w:pPr>
      <w:r w:rsidRPr="002D4C9F">
        <w:rPr>
          <w:rFonts w:ascii="Arial" w:hAnsi="Arial" w:cs="Arial"/>
          <w:sz w:val="20"/>
          <w:lang w:val="pt-BR"/>
        </w:rPr>
        <w:t xml:space="preserve">Pinheiro, R. A., Duque, T. S., Barroso, G. M., Soares, M. A., Cabral, C. M., Zanuncio, J. C., &amp; Dos Santos, J. B. (2023). </w:t>
      </w:r>
      <w:r w:rsidRPr="002D4C9F">
        <w:rPr>
          <w:rFonts w:ascii="Arial" w:hAnsi="Arial" w:cs="Arial"/>
          <w:sz w:val="20"/>
          <w:lang w:val="en-IN"/>
        </w:rPr>
        <w:t>Herbicides may threaten advances in biological control of diseases and pests. Environmental Science and Pollution Research, 30(52), 111850–111870. https://doi.org/10.1007/s11356-023-30198-0</w:t>
      </w:r>
    </w:p>
    <w:p w14:paraId="25C9FD41" w14:textId="77777777" w:rsidR="002D4C9F" w:rsidRDefault="002D4C9F" w:rsidP="004A43B1">
      <w:pPr>
        <w:pStyle w:val="Bibliography"/>
        <w:spacing w:line="240" w:lineRule="auto"/>
        <w:jc w:val="both"/>
        <w:rPr>
          <w:rFonts w:ascii="Arial" w:hAnsi="Arial" w:cs="Arial"/>
          <w:sz w:val="20"/>
          <w:lang w:val="en-GB"/>
        </w:rPr>
      </w:pPr>
      <w:r w:rsidRPr="006E60DE">
        <w:rPr>
          <w:rFonts w:ascii="Arial" w:hAnsi="Arial" w:cs="Arial"/>
          <w:sz w:val="20"/>
          <w:highlight w:val="yellow"/>
          <w:lang w:val="en-GB"/>
        </w:rPr>
        <w:t>Sadia, C. G., Bonneville, J.-M., Zoh, M. G., Fodjo, B. K., Kouadio, F.-P. A., Oyou, S. K., Koudou, B. G., Adepo-Gourene, B. A., Reynaud, S., David, J.-P., &amp; Mouahamadou, C. S. (2024). The impact of agrochemical pollutant mixtures on the selection of insecticide resistance in the malaria vector Anopheles gambiae: Insights from experimental evolution and transcriptomics. Malaria Journal, 23(1), 69. https://doi.org/10.1186/s12936-023-04791-0</w:t>
      </w:r>
    </w:p>
    <w:p w14:paraId="4C7775B0" w14:textId="7BD7EDC8" w:rsidR="004A43B1" w:rsidRPr="004A43B1" w:rsidRDefault="004A43B1" w:rsidP="004A43B1">
      <w:pPr>
        <w:pStyle w:val="Bibliography"/>
        <w:spacing w:line="240" w:lineRule="auto"/>
        <w:jc w:val="both"/>
        <w:rPr>
          <w:rFonts w:ascii="Arial" w:hAnsi="Arial" w:cs="Arial"/>
          <w:sz w:val="20"/>
          <w:lang w:val="en-GB"/>
        </w:rPr>
      </w:pPr>
      <w:r w:rsidRPr="004A43B1">
        <w:rPr>
          <w:rFonts w:ascii="Arial" w:hAnsi="Arial" w:cs="Arial"/>
          <w:sz w:val="20"/>
          <w:lang w:val="en-GB"/>
        </w:rPr>
        <w:t xml:space="preserve">Schwientek, M., Rügner, H., Haderlein, S. B., Schulz, W., Wimmer, B., Engelbart, L., Bieger, S., &amp; Huhn, C. (2024). Glyphosate contamination in European rivers not from herbicide application? </w:t>
      </w:r>
      <w:r w:rsidRPr="004A43B1">
        <w:rPr>
          <w:rFonts w:ascii="Arial" w:hAnsi="Arial" w:cs="Arial"/>
          <w:i/>
          <w:iCs/>
          <w:sz w:val="20"/>
          <w:lang w:val="en-GB"/>
        </w:rPr>
        <w:t>Water Research</w:t>
      </w:r>
      <w:r w:rsidRPr="004A43B1">
        <w:rPr>
          <w:rFonts w:ascii="Arial" w:hAnsi="Arial" w:cs="Arial"/>
          <w:sz w:val="20"/>
          <w:lang w:val="en-GB"/>
        </w:rPr>
        <w:t xml:space="preserve">, </w:t>
      </w:r>
      <w:r w:rsidRPr="004A43B1">
        <w:rPr>
          <w:rFonts w:ascii="Arial" w:hAnsi="Arial" w:cs="Arial"/>
          <w:i/>
          <w:iCs/>
          <w:sz w:val="20"/>
          <w:lang w:val="en-GB"/>
        </w:rPr>
        <w:t>263</w:t>
      </w:r>
      <w:r w:rsidRPr="004A43B1">
        <w:rPr>
          <w:rFonts w:ascii="Arial" w:hAnsi="Arial" w:cs="Arial"/>
          <w:sz w:val="20"/>
          <w:lang w:val="en-GB"/>
        </w:rPr>
        <w:t>, 122140. https://doi.org/10.1016/j.watres.2024.122140</w:t>
      </w:r>
    </w:p>
    <w:p w14:paraId="1DEAB143" w14:textId="77777777" w:rsidR="004A43B1" w:rsidRPr="004A43B1" w:rsidRDefault="004A43B1" w:rsidP="004A43B1">
      <w:pPr>
        <w:pStyle w:val="Bibliography"/>
        <w:spacing w:line="240" w:lineRule="auto"/>
        <w:jc w:val="both"/>
        <w:rPr>
          <w:rFonts w:ascii="Arial" w:hAnsi="Arial" w:cs="Arial"/>
          <w:sz w:val="20"/>
        </w:rPr>
      </w:pPr>
      <w:r w:rsidRPr="002D4C9F">
        <w:rPr>
          <w:rFonts w:ascii="Arial" w:hAnsi="Arial" w:cs="Arial"/>
          <w:sz w:val="20"/>
          <w:lang w:val="pt-BR"/>
        </w:rPr>
        <w:t xml:space="preserve">Séré, G., Sawadogo, R., &amp; Nacoulma, B. (2025). </w:t>
      </w:r>
      <w:r w:rsidRPr="004A43B1">
        <w:rPr>
          <w:rFonts w:ascii="Arial" w:hAnsi="Arial" w:cs="Arial"/>
          <w:sz w:val="20"/>
        </w:rPr>
        <w:t xml:space="preserve">Contamination des eaux de surface par les pesticides dans la région de Bama (Burkina Faso). </w:t>
      </w:r>
      <w:r w:rsidRPr="004A43B1">
        <w:rPr>
          <w:rFonts w:ascii="Arial" w:hAnsi="Arial" w:cs="Arial"/>
          <w:i/>
          <w:iCs/>
          <w:sz w:val="20"/>
        </w:rPr>
        <w:t>Revue Africaine d’Environnement et d’Agriculture Durable</w:t>
      </w:r>
      <w:r w:rsidRPr="004A43B1">
        <w:rPr>
          <w:rFonts w:ascii="Arial" w:hAnsi="Arial" w:cs="Arial"/>
          <w:sz w:val="20"/>
        </w:rPr>
        <w:t xml:space="preserve">, </w:t>
      </w:r>
      <w:r w:rsidRPr="004A43B1">
        <w:rPr>
          <w:rFonts w:ascii="Arial" w:hAnsi="Arial" w:cs="Arial"/>
          <w:i/>
          <w:iCs/>
          <w:sz w:val="20"/>
        </w:rPr>
        <w:t>12</w:t>
      </w:r>
      <w:r w:rsidRPr="004A43B1">
        <w:rPr>
          <w:rFonts w:ascii="Arial" w:hAnsi="Arial" w:cs="Arial"/>
          <w:sz w:val="20"/>
        </w:rPr>
        <w:t>(1), 45–56.</w:t>
      </w:r>
    </w:p>
    <w:p w14:paraId="4F9F2663" w14:textId="77777777" w:rsidR="004A43B1" w:rsidRPr="004A43B1" w:rsidRDefault="004A43B1" w:rsidP="004A43B1">
      <w:pPr>
        <w:pStyle w:val="Bibliography"/>
        <w:spacing w:line="240" w:lineRule="auto"/>
        <w:jc w:val="both"/>
        <w:rPr>
          <w:rFonts w:ascii="Arial" w:hAnsi="Arial" w:cs="Arial"/>
          <w:sz w:val="20"/>
          <w:lang w:val="en-GB"/>
        </w:rPr>
      </w:pPr>
      <w:r w:rsidRPr="004A43B1">
        <w:rPr>
          <w:rFonts w:ascii="Arial" w:hAnsi="Arial" w:cs="Arial"/>
          <w:sz w:val="20"/>
        </w:rPr>
        <w:t xml:space="preserve">Stackpoole, S. M., Shoda, M. E., Medalie, L., &amp; Stone, W. W. (2021). </w:t>
      </w:r>
      <w:r w:rsidRPr="004A43B1">
        <w:rPr>
          <w:rFonts w:ascii="Arial" w:hAnsi="Arial" w:cs="Arial"/>
          <w:sz w:val="20"/>
          <w:lang w:val="en-GB"/>
        </w:rPr>
        <w:t xml:space="preserve">Pesticides in US Rivers: Regional differences in use, occurrence, and environmental toxicity, 2013 to 2017. </w:t>
      </w:r>
      <w:r w:rsidRPr="004A43B1">
        <w:rPr>
          <w:rFonts w:ascii="Arial" w:hAnsi="Arial" w:cs="Arial"/>
          <w:i/>
          <w:iCs/>
          <w:sz w:val="20"/>
          <w:lang w:val="en-GB"/>
        </w:rPr>
        <w:t>Science of The Total Environment</w:t>
      </w:r>
      <w:r w:rsidRPr="004A43B1">
        <w:rPr>
          <w:rFonts w:ascii="Arial" w:hAnsi="Arial" w:cs="Arial"/>
          <w:sz w:val="20"/>
          <w:lang w:val="en-GB"/>
        </w:rPr>
        <w:t xml:space="preserve">, </w:t>
      </w:r>
      <w:r w:rsidRPr="004A43B1">
        <w:rPr>
          <w:rFonts w:ascii="Arial" w:hAnsi="Arial" w:cs="Arial"/>
          <w:i/>
          <w:iCs/>
          <w:sz w:val="20"/>
          <w:lang w:val="en-GB"/>
        </w:rPr>
        <w:t>787</w:t>
      </w:r>
      <w:r w:rsidRPr="004A43B1">
        <w:rPr>
          <w:rFonts w:ascii="Arial" w:hAnsi="Arial" w:cs="Arial"/>
          <w:sz w:val="20"/>
          <w:lang w:val="en-GB"/>
        </w:rPr>
        <w:t>, 147147. https://doi.org/10.1016/j.scitotenv.2021.147147</w:t>
      </w:r>
    </w:p>
    <w:p w14:paraId="27909602" w14:textId="77777777" w:rsidR="004A43B1" w:rsidRPr="002D4C9F" w:rsidRDefault="004A43B1" w:rsidP="004A43B1">
      <w:pPr>
        <w:pStyle w:val="Bibliography"/>
        <w:spacing w:line="240" w:lineRule="auto"/>
        <w:jc w:val="both"/>
        <w:rPr>
          <w:rFonts w:ascii="Arial" w:hAnsi="Arial" w:cs="Arial"/>
          <w:sz w:val="20"/>
          <w:lang w:val="pt-BR"/>
        </w:rPr>
      </w:pPr>
      <w:r w:rsidRPr="004A43B1">
        <w:rPr>
          <w:rFonts w:ascii="Arial" w:hAnsi="Arial" w:cs="Arial"/>
          <w:sz w:val="20"/>
          <w:lang w:val="en-GB"/>
        </w:rPr>
        <w:t xml:space="preserve">Stipičević, S., Galzina, N., Udiković-Kolić, N., Jurina, T., Mendaš, G., Dvoršćak, M., Petrić, I., Barić, K., &amp; Drevenkar, V. (2015). Distribution of terbuthylazine and atrazine residues in crop-cultivated soil: The effect of herbicide application rate on herbicide persistence. </w:t>
      </w:r>
      <w:r w:rsidRPr="002D4C9F">
        <w:rPr>
          <w:rFonts w:ascii="Arial" w:hAnsi="Arial" w:cs="Arial"/>
          <w:i/>
          <w:iCs/>
          <w:sz w:val="20"/>
          <w:lang w:val="pt-BR"/>
        </w:rPr>
        <w:t>Geoderma</w:t>
      </w:r>
      <w:r w:rsidRPr="002D4C9F">
        <w:rPr>
          <w:rFonts w:ascii="Arial" w:hAnsi="Arial" w:cs="Arial"/>
          <w:sz w:val="20"/>
          <w:lang w:val="pt-BR"/>
        </w:rPr>
        <w:t xml:space="preserve">, </w:t>
      </w:r>
      <w:r w:rsidRPr="002D4C9F">
        <w:rPr>
          <w:rFonts w:ascii="Arial" w:hAnsi="Arial" w:cs="Arial"/>
          <w:i/>
          <w:iCs/>
          <w:sz w:val="20"/>
          <w:lang w:val="pt-BR"/>
        </w:rPr>
        <w:t>259–260</w:t>
      </w:r>
      <w:r w:rsidRPr="002D4C9F">
        <w:rPr>
          <w:rFonts w:ascii="Arial" w:hAnsi="Arial" w:cs="Arial"/>
          <w:sz w:val="20"/>
          <w:lang w:val="pt-BR"/>
        </w:rPr>
        <w:t>, 300–309. https://doi.org/10.1016/j.geoderma.2015.06.018</w:t>
      </w:r>
    </w:p>
    <w:p w14:paraId="70D78FBC" w14:textId="77777777" w:rsidR="004A43B1" w:rsidRPr="004A43B1" w:rsidRDefault="004A43B1" w:rsidP="004A43B1">
      <w:pPr>
        <w:pStyle w:val="Bibliography"/>
        <w:spacing w:line="240" w:lineRule="auto"/>
        <w:jc w:val="both"/>
        <w:rPr>
          <w:rFonts w:ascii="Arial" w:hAnsi="Arial" w:cs="Arial"/>
          <w:sz w:val="20"/>
          <w:lang w:val="en-GB"/>
        </w:rPr>
      </w:pPr>
      <w:r w:rsidRPr="002D4C9F">
        <w:rPr>
          <w:rFonts w:ascii="Arial" w:hAnsi="Arial" w:cs="Arial"/>
          <w:sz w:val="20"/>
          <w:lang w:val="pt-BR"/>
        </w:rPr>
        <w:t xml:space="preserve">Toe, A. M., Ouedraogo, M., Ouedraogo, R., Ilboudo, S., &amp; Guissou, P. I. (2013). </w:t>
      </w:r>
      <w:r w:rsidRPr="004A43B1">
        <w:rPr>
          <w:rFonts w:ascii="Arial" w:hAnsi="Arial" w:cs="Arial"/>
          <w:sz w:val="20"/>
          <w:lang w:val="en-GB"/>
        </w:rPr>
        <w:t xml:space="preserve">Pilot study on agricultural pesticide poisoning in Burkina Faso. </w:t>
      </w:r>
      <w:r w:rsidRPr="004A43B1">
        <w:rPr>
          <w:rFonts w:ascii="Arial" w:hAnsi="Arial" w:cs="Arial"/>
          <w:i/>
          <w:iCs/>
          <w:sz w:val="20"/>
          <w:lang w:val="en-GB"/>
        </w:rPr>
        <w:t>Interdisciplinary Toxicology</w:t>
      </w:r>
      <w:r w:rsidRPr="004A43B1">
        <w:rPr>
          <w:rFonts w:ascii="Arial" w:hAnsi="Arial" w:cs="Arial"/>
          <w:sz w:val="20"/>
          <w:lang w:val="en-GB"/>
        </w:rPr>
        <w:t xml:space="preserve">, </w:t>
      </w:r>
      <w:r w:rsidRPr="004A43B1">
        <w:rPr>
          <w:rFonts w:ascii="Arial" w:hAnsi="Arial" w:cs="Arial"/>
          <w:i/>
          <w:iCs/>
          <w:sz w:val="20"/>
          <w:lang w:val="en-GB"/>
        </w:rPr>
        <w:t>6</w:t>
      </w:r>
      <w:r w:rsidRPr="004A43B1">
        <w:rPr>
          <w:rFonts w:ascii="Arial" w:hAnsi="Arial" w:cs="Arial"/>
          <w:sz w:val="20"/>
          <w:lang w:val="en-GB"/>
        </w:rPr>
        <w:t>(4), 185–191. https://doi.org/10.2478/intox-2013-0027</w:t>
      </w:r>
    </w:p>
    <w:p w14:paraId="1535DB56" w14:textId="77777777" w:rsidR="002D4C9F" w:rsidRDefault="002D4C9F" w:rsidP="004A43B1">
      <w:pPr>
        <w:pStyle w:val="Bibliography"/>
        <w:spacing w:line="240" w:lineRule="auto"/>
        <w:jc w:val="both"/>
        <w:rPr>
          <w:rFonts w:ascii="Arial" w:hAnsi="Arial" w:cs="Arial"/>
          <w:sz w:val="20"/>
        </w:rPr>
      </w:pPr>
      <w:r w:rsidRPr="002D4C9F">
        <w:rPr>
          <w:rFonts w:ascii="Arial" w:hAnsi="Arial" w:cs="Arial"/>
          <w:sz w:val="20"/>
        </w:rPr>
        <w:t>Union Européenne. (2020). *Directive (UE) 2020/2184 du Parlement européen et du Conseil du 16 décembre 2020 relative à la qualité des eaux destinées à la consommation humaine (refonte) (Texte présentant de l’intérêt pour l’EEE)*. Journal Officiel de l’Union Européenne, L 435, 1–62. https://eur-lex.europa.eu/legal-content/FR/TXT/HTML/?uri=CELEX:32020L2184</w:t>
      </w:r>
    </w:p>
    <w:p w14:paraId="005BD21F" w14:textId="15345F39" w:rsidR="004A43B1" w:rsidRPr="004A43B1" w:rsidRDefault="004A43B1" w:rsidP="004A43B1">
      <w:pPr>
        <w:pStyle w:val="Bibliography"/>
        <w:spacing w:line="240" w:lineRule="auto"/>
        <w:jc w:val="both"/>
        <w:rPr>
          <w:rFonts w:ascii="Arial" w:hAnsi="Arial" w:cs="Arial"/>
          <w:sz w:val="20"/>
          <w:lang w:val="en-GB"/>
        </w:rPr>
      </w:pPr>
      <w:r w:rsidRPr="004A43B1">
        <w:rPr>
          <w:rFonts w:ascii="Arial" w:hAnsi="Arial" w:cs="Arial"/>
          <w:sz w:val="20"/>
        </w:rPr>
        <w:t xml:space="preserve">Urio, N. H., Pinda, P. G., Ngonzi, A. J., Muyaga, L. L., Msugupakulya, B. J., Finda, M., Matanila, G. S., Mponzi, W., Ngowo, H. S., Kahamba, N. F., Nkya, T. E., &amp; Okumu, F. O. (2022). </w:t>
      </w:r>
      <w:r w:rsidRPr="004A43B1">
        <w:rPr>
          <w:rFonts w:ascii="Arial" w:hAnsi="Arial" w:cs="Arial"/>
          <w:sz w:val="20"/>
          <w:lang w:val="en-GB"/>
        </w:rPr>
        <w:t xml:space="preserve">Effects of agricultural pesticides on the susceptibility and fitness of malaria vectors in rural south-eastern Tanzania. </w:t>
      </w:r>
      <w:r w:rsidRPr="004A43B1">
        <w:rPr>
          <w:rFonts w:ascii="Arial" w:hAnsi="Arial" w:cs="Arial"/>
          <w:i/>
          <w:iCs/>
          <w:sz w:val="20"/>
          <w:lang w:val="en-GB"/>
        </w:rPr>
        <w:t>Parasites &amp; Vectors</w:t>
      </w:r>
      <w:r w:rsidRPr="004A43B1">
        <w:rPr>
          <w:rFonts w:ascii="Arial" w:hAnsi="Arial" w:cs="Arial"/>
          <w:sz w:val="20"/>
          <w:lang w:val="en-GB"/>
        </w:rPr>
        <w:t xml:space="preserve">, </w:t>
      </w:r>
      <w:r w:rsidRPr="004A43B1">
        <w:rPr>
          <w:rFonts w:ascii="Arial" w:hAnsi="Arial" w:cs="Arial"/>
          <w:i/>
          <w:iCs/>
          <w:sz w:val="20"/>
          <w:lang w:val="en-GB"/>
        </w:rPr>
        <w:t>15</w:t>
      </w:r>
      <w:r w:rsidRPr="004A43B1">
        <w:rPr>
          <w:rFonts w:ascii="Arial" w:hAnsi="Arial" w:cs="Arial"/>
          <w:sz w:val="20"/>
          <w:lang w:val="en-GB"/>
        </w:rPr>
        <w:t>(1), 213. https://doi.org/10.1186/s13071-022-05318-3</w:t>
      </w:r>
    </w:p>
    <w:p w14:paraId="5D98A210" w14:textId="77777777" w:rsidR="004A43B1" w:rsidRPr="006E60DE" w:rsidRDefault="004A43B1" w:rsidP="004A43B1">
      <w:pPr>
        <w:pStyle w:val="Bibliography"/>
        <w:spacing w:line="240" w:lineRule="auto"/>
        <w:jc w:val="both"/>
        <w:rPr>
          <w:rFonts w:ascii="Arial" w:hAnsi="Arial" w:cs="Arial"/>
          <w:sz w:val="20"/>
          <w:highlight w:val="yellow"/>
          <w:lang w:val="en-GB"/>
        </w:rPr>
      </w:pPr>
      <w:r w:rsidRPr="006E60DE">
        <w:rPr>
          <w:rFonts w:ascii="Arial" w:hAnsi="Arial" w:cs="Arial"/>
          <w:sz w:val="20"/>
          <w:highlight w:val="yellow"/>
          <w:lang w:val="en-GB"/>
        </w:rPr>
        <w:t xml:space="preserve">US-EPA. (2009). </w:t>
      </w:r>
      <w:r w:rsidRPr="006E60DE">
        <w:rPr>
          <w:rFonts w:ascii="Arial" w:hAnsi="Arial" w:cs="Arial"/>
          <w:i/>
          <w:iCs/>
          <w:sz w:val="20"/>
          <w:highlight w:val="yellow"/>
          <w:lang w:val="en-GB"/>
        </w:rPr>
        <w:t>Reregistration eligibility decision (RED) for S-metolachlor. United States Environmental Protection Agency (US-EPA)</w:t>
      </w:r>
      <w:r w:rsidRPr="006E60DE">
        <w:rPr>
          <w:rFonts w:ascii="Arial" w:hAnsi="Arial" w:cs="Arial"/>
          <w:sz w:val="20"/>
          <w:highlight w:val="yellow"/>
          <w:lang w:val="en-GB"/>
        </w:rPr>
        <w:t>. https://www.epa.gov/sites/default/files/2016-09/documents/s-metolachlor_red.pdf</w:t>
      </w:r>
    </w:p>
    <w:p w14:paraId="1B8C7FBB" w14:textId="77777777" w:rsidR="002D4C9F" w:rsidRPr="006E60DE" w:rsidRDefault="002D4C9F" w:rsidP="004A43B1">
      <w:pPr>
        <w:pStyle w:val="Bibliography"/>
        <w:spacing w:line="240" w:lineRule="auto"/>
        <w:jc w:val="both"/>
        <w:rPr>
          <w:rFonts w:ascii="Arial" w:hAnsi="Arial" w:cs="Arial"/>
          <w:sz w:val="20"/>
          <w:highlight w:val="yellow"/>
          <w:lang w:val="en-GB"/>
        </w:rPr>
      </w:pPr>
      <w:r w:rsidRPr="006E60DE">
        <w:rPr>
          <w:rFonts w:ascii="Arial" w:hAnsi="Arial" w:cs="Arial"/>
          <w:sz w:val="20"/>
          <w:highlight w:val="yellow"/>
          <w:lang w:val="en-GB"/>
        </w:rPr>
        <w:t>United States Environmental Protection Agency. (2023). Aquatic life benchmarks. https://www.epa.gov/pesticide-science-and-assessing-pesticide-risks/aquatic-life-benchmarks</w:t>
      </w:r>
    </w:p>
    <w:p w14:paraId="3E5B31A4" w14:textId="50F9D5D0" w:rsidR="004A43B1" w:rsidRPr="006E60DE" w:rsidRDefault="004A43B1" w:rsidP="004A43B1">
      <w:pPr>
        <w:pStyle w:val="Bibliography"/>
        <w:spacing w:line="240" w:lineRule="auto"/>
        <w:jc w:val="both"/>
        <w:rPr>
          <w:rFonts w:ascii="Arial" w:hAnsi="Arial" w:cs="Arial"/>
          <w:sz w:val="20"/>
          <w:highlight w:val="yellow"/>
          <w:lang w:val="en-GB"/>
        </w:rPr>
      </w:pPr>
      <w:r w:rsidRPr="006E60DE">
        <w:rPr>
          <w:rFonts w:ascii="Arial" w:hAnsi="Arial" w:cs="Arial"/>
          <w:sz w:val="20"/>
          <w:highlight w:val="yellow"/>
          <w:lang w:val="en-IN"/>
        </w:rPr>
        <w:t xml:space="preserve">van der Werf, H. (1997). </w:t>
      </w:r>
      <w:r w:rsidRPr="006E60DE">
        <w:rPr>
          <w:rFonts w:ascii="Arial" w:hAnsi="Arial" w:cs="Arial"/>
          <w:sz w:val="20"/>
          <w:highlight w:val="yellow"/>
        </w:rPr>
        <w:t xml:space="preserve">Evaluer l’impact des pesticides sur l’environnement. </w:t>
      </w:r>
      <w:r w:rsidRPr="006E60DE">
        <w:rPr>
          <w:rFonts w:ascii="Arial" w:hAnsi="Arial" w:cs="Arial"/>
          <w:i/>
          <w:iCs/>
          <w:sz w:val="20"/>
          <w:highlight w:val="yellow"/>
          <w:lang w:val="en-GB"/>
        </w:rPr>
        <w:t>Courrier de l’environnement de l’INRA</w:t>
      </w:r>
      <w:r w:rsidRPr="006E60DE">
        <w:rPr>
          <w:rFonts w:ascii="Arial" w:hAnsi="Arial" w:cs="Arial"/>
          <w:sz w:val="20"/>
          <w:highlight w:val="yellow"/>
          <w:lang w:val="en-GB"/>
        </w:rPr>
        <w:t xml:space="preserve">, </w:t>
      </w:r>
      <w:r w:rsidRPr="006E60DE">
        <w:rPr>
          <w:rFonts w:ascii="Arial" w:hAnsi="Arial" w:cs="Arial"/>
          <w:i/>
          <w:iCs/>
          <w:sz w:val="20"/>
          <w:highlight w:val="yellow"/>
          <w:lang w:val="en-GB"/>
        </w:rPr>
        <w:t>31</w:t>
      </w:r>
      <w:r w:rsidRPr="006E60DE">
        <w:rPr>
          <w:rFonts w:ascii="Arial" w:hAnsi="Arial" w:cs="Arial"/>
          <w:sz w:val="20"/>
          <w:highlight w:val="yellow"/>
          <w:lang w:val="en-GB"/>
        </w:rPr>
        <w:t>, 5–22.</w:t>
      </w:r>
    </w:p>
    <w:p w14:paraId="0AAC0C90" w14:textId="77777777" w:rsidR="002D4C9F" w:rsidRDefault="002D4C9F" w:rsidP="006E60DE">
      <w:pPr>
        <w:rPr>
          <w:rFonts w:ascii="Arial" w:hAnsi="Arial" w:cs="Arial"/>
          <w:sz w:val="20"/>
          <w:lang w:val="en-GB"/>
        </w:rPr>
      </w:pPr>
      <w:r w:rsidRPr="006E60DE">
        <w:rPr>
          <w:rFonts w:ascii="Arial" w:hAnsi="Arial" w:cs="Arial"/>
          <w:sz w:val="20"/>
          <w:lang w:val="en-GB"/>
        </w:rPr>
        <w:t xml:space="preserve">World Health Organization. (2017). Guidelines for drinking-water quality (Fourth edition incorporating the first </w:t>
      </w:r>
      <w:r w:rsidRPr="006E60DE">
        <w:t>addendum</w:t>
      </w:r>
      <w:r w:rsidRPr="006E60DE">
        <w:rPr>
          <w:rFonts w:ascii="Arial" w:hAnsi="Arial" w:cs="Arial"/>
          <w:sz w:val="20"/>
          <w:lang w:val="en-GB"/>
        </w:rPr>
        <w:t>). https://apps.who.int/iris/handle/10665/254637</w:t>
      </w:r>
    </w:p>
    <w:p w14:paraId="5AB30EAF" w14:textId="42BDE94D" w:rsidR="004A43B1" w:rsidRPr="004A43B1" w:rsidRDefault="004A43B1" w:rsidP="004A43B1">
      <w:pPr>
        <w:pStyle w:val="Bibliography"/>
        <w:spacing w:line="240" w:lineRule="auto"/>
        <w:jc w:val="both"/>
        <w:rPr>
          <w:rFonts w:ascii="Arial" w:hAnsi="Arial" w:cs="Arial"/>
          <w:sz w:val="20"/>
          <w:lang w:val="en-GB"/>
        </w:rPr>
      </w:pPr>
      <w:r w:rsidRPr="002D4C9F">
        <w:rPr>
          <w:rFonts w:ascii="Arial" w:hAnsi="Arial" w:cs="Arial"/>
          <w:sz w:val="20"/>
        </w:rPr>
        <w:lastRenderedPageBreak/>
        <w:t xml:space="preserve">Yang, Y., Kang, Z., Xu, G., Wang, J., &amp; Yu, Y. (2023). </w:t>
      </w:r>
      <w:r w:rsidRPr="004A43B1">
        <w:rPr>
          <w:rFonts w:ascii="Arial" w:hAnsi="Arial" w:cs="Arial"/>
          <w:sz w:val="20"/>
          <w:lang w:val="en-GB"/>
        </w:rPr>
        <w:t xml:space="preserve">Degradation of bensulfuron methyl by nitrogen/boron codoped biochar activated peroxydisulfate at lower temperature. </w:t>
      </w:r>
      <w:r w:rsidRPr="004A43B1">
        <w:rPr>
          <w:rFonts w:ascii="Arial" w:hAnsi="Arial" w:cs="Arial"/>
          <w:i/>
          <w:iCs/>
          <w:sz w:val="20"/>
          <w:lang w:val="en-GB"/>
        </w:rPr>
        <w:t>Journal of Cleaner Production</w:t>
      </w:r>
      <w:r w:rsidRPr="004A43B1">
        <w:rPr>
          <w:rFonts w:ascii="Arial" w:hAnsi="Arial" w:cs="Arial"/>
          <w:sz w:val="20"/>
          <w:lang w:val="en-GB"/>
        </w:rPr>
        <w:t xml:space="preserve">, </w:t>
      </w:r>
      <w:r w:rsidRPr="004A43B1">
        <w:rPr>
          <w:rFonts w:ascii="Arial" w:hAnsi="Arial" w:cs="Arial"/>
          <w:i/>
          <w:iCs/>
          <w:sz w:val="20"/>
          <w:lang w:val="en-GB"/>
        </w:rPr>
        <w:t>402</w:t>
      </w:r>
      <w:r w:rsidRPr="004A43B1">
        <w:rPr>
          <w:rFonts w:ascii="Arial" w:hAnsi="Arial" w:cs="Arial"/>
          <w:sz w:val="20"/>
          <w:lang w:val="en-GB"/>
        </w:rPr>
        <w:t>, 136816. https://doi.org/10.1016/j.jclepro.2023.136816</w:t>
      </w:r>
    </w:p>
    <w:p w14:paraId="224736C1" w14:textId="77777777" w:rsidR="004A43B1" w:rsidRPr="004A43B1" w:rsidRDefault="004A43B1" w:rsidP="004A43B1">
      <w:pPr>
        <w:pStyle w:val="Bibliography"/>
        <w:spacing w:line="240" w:lineRule="auto"/>
        <w:jc w:val="both"/>
        <w:rPr>
          <w:rFonts w:ascii="Arial" w:hAnsi="Arial" w:cs="Arial"/>
          <w:sz w:val="20"/>
          <w:lang w:val="en-GB"/>
        </w:rPr>
      </w:pPr>
      <w:proofErr w:type="spellStart"/>
      <w:r w:rsidRPr="006E60DE">
        <w:rPr>
          <w:rFonts w:ascii="Arial" w:hAnsi="Arial" w:cs="Arial"/>
          <w:sz w:val="20"/>
          <w:highlight w:val="yellow"/>
          <w:lang w:val="en-GB"/>
        </w:rPr>
        <w:t>Zemolin</w:t>
      </w:r>
      <w:proofErr w:type="spellEnd"/>
      <w:r w:rsidRPr="006E60DE">
        <w:rPr>
          <w:rFonts w:ascii="Arial" w:hAnsi="Arial" w:cs="Arial"/>
          <w:sz w:val="20"/>
          <w:highlight w:val="yellow"/>
          <w:lang w:val="en-GB"/>
        </w:rPr>
        <w:t xml:space="preserve">, C. R., Avila, L. A., Cassol, G. V., Massey, J. H., &amp; Camargo, E. R. (2014). Environmental fate of S-Metolachlor: A review. </w:t>
      </w:r>
      <w:r w:rsidRPr="006E60DE">
        <w:rPr>
          <w:rFonts w:ascii="Arial" w:hAnsi="Arial" w:cs="Arial"/>
          <w:i/>
          <w:iCs/>
          <w:sz w:val="20"/>
          <w:highlight w:val="yellow"/>
          <w:lang w:val="en-GB"/>
        </w:rPr>
        <w:t>Planta Daninha</w:t>
      </w:r>
      <w:r w:rsidRPr="006E60DE">
        <w:rPr>
          <w:rFonts w:ascii="Arial" w:hAnsi="Arial" w:cs="Arial"/>
          <w:sz w:val="20"/>
          <w:highlight w:val="yellow"/>
          <w:lang w:val="en-GB"/>
        </w:rPr>
        <w:t xml:space="preserve">, </w:t>
      </w:r>
      <w:r w:rsidRPr="006E60DE">
        <w:rPr>
          <w:rFonts w:ascii="Arial" w:hAnsi="Arial" w:cs="Arial"/>
          <w:i/>
          <w:iCs/>
          <w:sz w:val="20"/>
          <w:highlight w:val="yellow"/>
          <w:lang w:val="en-GB"/>
        </w:rPr>
        <w:t>32</w:t>
      </w:r>
      <w:r w:rsidRPr="006E60DE">
        <w:rPr>
          <w:rFonts w:ascii="Arial" w:hAnsi="Arial" w:cs="Arial"/>
          <w:sz w:val="20"/>
          <w:highlight w:val="yellow"/>
          <w:lang w:val="en-GB"/>
        </w:rPr>
        <w:t>(3), 655–664. https://doi.org/10.1590/S0100-83582014000300022</w:t>
      </w:r>
    </w:p>
    <w:p w14:paraId="66193653" w14:textId="6E52F3A3" w:rsidR="00787367" w:rsidRPr="004A43B1" w:rsidRDefault="00EF30E4" w:rsidP="004A43B1">
      <w:pPr>
        <w:spacing w:after="0" w:line="240" w:lineRule="auto"/>
        <w:ind w:left="709" w:hanging="709"/>
        <w:jc w:val="both"/>
        <w:rPr>
          <w:rFonts w:ascii="Arial" w:hAnsi="Arial" w:cs="Arial"/>
          <w:i/>
          <w:iCs/>
          <w:sz w:val="20"/>
          <w:szCs w:val="20"/>
        </w:rPr>
      </w:pPr>
      <w:r w:rsidRPr="00EF30E4">
        <w:rPr>
          <w:rFonts w:ascii="Arial" w:hAnsi="Arial" w:cs="Arial"/>
          <w:i/>
          <w:iCs/>
          <w:sz w:val="20"/>
          <w:szCs w:val="20"/>
        </w:rPr>
        <w:fldChar w:fldCharType="end"/>
      </w:r>
    </w:p>
    <w:sectPr w:rsidR="00787367" w:rsidRPr="004A43B1" w:rsidSect="00D54BE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56E41" w14:textId="77777777" w:rsidR="00E500BA" w:rsidRDefault="00E500BA" w:rsidP="0028449C">
      <w:pPr>
        <w:spacing w:after="0" w:line="240" w:lineRule="auto"/>
      </w:pPr>
      <w:r>
        <w:separator/>
      </w:r>
    </w:p>
  </w:endnote>
  <w:endnote w:type="continuationSeparator" w:id="0">
    <w:p w14:paraId="0DBBFBE2" w14:textId="77777777" w:rsidR="00E500BA" w:rsidRDefault="00E500BA" w:rsidP="00284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086843"/>
      <w:docPartObj>
        <w:docPartGallery w:val="Page Numbers (Bottom of Page)"/>
        <w:docPartUnique/>
      </w:docPartObj>
    </w:sdtPr>
    <w:sdtContent>
      <w:p w14:paraId="150C89E4" w14:textId="77EAA117" w:rsidR="0028449C" w:rsidRDefault="0028449C">
        <w:pPr>
          <w:pStyle w:val="Footer"/>
          <w:jc w:val="right"/>
        </w:pPr>
        <w:r>
          <w:fldChar w:fldCharType="begin"/>
        </w:r>
        <w:r>
          <w:instrText>PAGE   \* MERGEFORMAT</w:instrText>
        </w:r>
        <w:r>
          <w:fldChar w:fldCharType="separate"/>
        </w:r>
        <w:r>
          <w:t>2</w:t>
        </w:r>
        <w:r>
          <w:fldChar w:fldCharType="end"/>
        </w:r>
      </w:p>
    </w:sdtContent>
  </w:sdt>
  <w:p w14:paraId="148A43E3" w14:textId="77777777" w:rsidR="0028449C" w:rsidRDefault="00284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B24F5" w14:textId="77777777" w:rsidR="00E500BA" w:rsidRDefault="00E500BA" w:rsidP="0028449C">
      <w:pPr>
        <w:spacing w:after="0" w:line="240" w:lineRule="auto"/>
      </w:pPr>
      <w:r>
        <w:separator/>
      </w:r>
    </w:p>
  </w:footnote>
  <w:footnote w:type="continuationSeparator" w:id="0">
    <w:p w14:paraId="345B3E66" w14:textId="77777777" w:rsidR="00E500BA" w:rsidRDefault="00E500BA" w:rsidP="00284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4EB1" w14:textId="11650E7D" w:rsidR="00D54BE1" w:rsidRDefault="00000000">
    <w:pPr>
      <w:pStyle w:val="Header"/>
    </w:pPr>
    <w:r>
      <w:rPr>
        <w:noProof/>
      </w:rPr>
      <w:pict w14:anchorId="4C270E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359782" o:spid="_x0000_s1026"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B61E" w14:textId="00AFBCFF" w:rsidR="00D54BE1" w:rsidRDefault="00000000">
    <w:pPr>
      <w:pStyle w:val="Header"/>
    </w:pPr>
    <w:r>
      <w:rPr>
        <w:noProof/>
      </w:rPr>
      <w:pict w14:anchorId="0F851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359783" o:spid="_x0000_s1027"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1A4DC" w14:textId="3A03A370" w:rsidR="00D54BE1" w:rsidRDefault="00000000">
    <w:pPr>
      <w:pStyle w:val="Header"/>
    </w:pPr>
    <w:r>
      <w:rPr>
        <w:noProof/>
      </w:rPr>
      <w:pict w14:anchorId="5F1B6B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359781" o:spid="_x0000_s1025"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CDF"/>
    <w:multiLevelType w:val="multilevel"/>
    <w:tmpl w:val="8802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E37D9"/>
    <w:multiLevelType w:val="multilevel"/>
    <w:tmpl w:val="5D084F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134" w:hanging="41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C14DBF"/>
    <w:multiLevelType w:val="multilevel"/>
    <w:tmpl w:val="BDA2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E047A"/>
    <w:multiLevelType w:val="multilevel"/>
    <w:tmpl w:val="EEEA1AE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134" w:hanging="41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770CBF"/>
    <w:multiLevelType w:val="multilevel"/>
    <w:tmpl w:val="B224B2F6"/>
    <w:lvl w:ilvl="0">
      <w:start w:val="1"/>
      <w:numFmt w:val="bullet"/>
      <w:lvlText w:val=""/>
      <w:lvlJc w:val="left"/>
      <w:pPr>
        <w:ind w:left="1134" w:hanging="414"/>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5" w15:restartNumberingAfterBreak="0">
    <w:nsid w:val="18E07BF7"/>
    <w:multiLevelType w:val="multilevel"/>
    <w:tmpl w:val="1D4C2D3E"/>
    <w:lvl w:ilvl="0">
      <w:start w:val="1"/>
      <w:numFmt w:val="bullet"/>
      <w:lvlText w:val=""/>
      <w:lvlJc w:val="left"/>
      <w:pPr>
        <w:ind w:left="1134" w:hanging="414"/>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6" w15:restartNumberingAfterBreak="0">
    <w:nsid w:val="193F344E"/>
    <w:multiLevelType w:val="multilevel"/>
    <w:tmpl w:val="7DF24996"/>
    <w:lvl w:ilvl="0">
      <w:start w:val="1"/>
      <w:numFmt w:val="lowerLetter"/>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5B2F19"/>
    <w:multiLevelType w:val="multilevel"/>
    <w:tmpl w:val="7DF24996"/>
    <w:lvl w:ilvl="0">
      <w:start w:val="1"/>
      <w:numFmt w:val="lowerLetter"/>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AF4452"/>
    <w:multiLevelType w:val="multilevel"/>
    <w:tmpl w:val="FA285780"/>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EDE0EC3"/>
    <w:multiLevelType w:val="multilevel"/>
    <w:tmpl w:val="035660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DB51FE"/>
    <w:multiLevelType w:val="multilevel"/>
    <w:tmpl w:val="8F64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1723DD"/>
    <w:multiLevelType w:val="multilevel"/>
    <w:tmpl w:val="118A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B12BB0"/>
    <w:multiLevelType w:val="hybridMultilevel"/>
    <w:tmpl w:val="F95A7CDE"/>
    <w:lvl w:ilvl="0" w:tplc="60589F1A">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B4108A"/>
    <w:multiLevelType w:val="hybridMultilevel"/>
    <w:tmpl w:val="697AD21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80C04A8"/>
    <w:multiLevelType w:val="multilevel"/>
    <w:tmpl w:val="F0E28FDE"/>
    <w:lvl w:ilvl="0">
      <w:start w:val="1"/>
      <w:numFmt w:val="bullet"/>
      <w:lvlText w:val=""/>
      <w:lvlJc w:val="center"/>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4B3FAC"/>
    <w:multiLevelType w:val="multilevel"/>
    <w:tmpl w:val="DD861182"/>
    <w:lvl w:ilvl="0">
      <w:start w:val="2"/>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4154767"/>
    <w:multiLevelType w:val="hybridMultilevel"/>
    <w:tmpl w:val="E820B7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4530578"/>
    <w:multiLevelType w:val="multilevel"/>
    <w:tmpl w:val="1056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567D50"/>
    <w:multiLevelType w:val="multilevel"/>
    <w:tmpl w:val="6F44EA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134" w:hanging="41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3E01925"/>
    <w:multiLevelType w:val="multilevel"/>
    <w:tmpl w:val="AA761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DB3C1C"/>
    <w:multiLevelType w:val="multilevel"/>
    <w:tmpl w:val="D62CF702"/>
    <w:lvl w:ilvl="0">
      <w:start w:val="2"/>
      <w:numFmt w:val="upperRoman"/>
      <w:lvlText w:val="%1."/>
      <w:lvlJc w:val="left"/>
      <w:pPr>
        <w:tabs>
          <w:tab w:val="num" w:pos="284"/>
        </w:tabs>
        <w:ind w:left="360" w:hanging="360"/>
      </w:pPr>
      <w:rPr>
        <w:rFonts w:hint="default"/>
      </w:rPr>
    </w:lvl>
    <w:lvl w:ilvl="1">
      <w:start w:val="4"/>
      <w:numFmt w:val="decimal"/>
      <w:lvlText w:val="%1.%2."/>
      <w:lvlJc w:val="left"/>
      <w:pPr>
        <w:tabs>
          <w:tab w:val="num" w:pos="567"/>
        </w:tabs>
        <w:ind w:left="720" w:hanging="360"/>
      </w:pPr>
      <w:rPr>
        <w:rFonts w:hint="default"/>
      </w:rPr>
    </w:lvl>
    <w:lvl w:ilvl="2">
      <w:start w:val="1"/>
      <w:numFmt w:val="decimal"/>
      <w:lvlRestart w:val="1"/>
      <w:lvlText w:val="%1.%2.%3."/>
      <w:lvlJc w:val="left"/>
      <w:pPr>
        <w:tabs>
          <w:tab w:val="num" w:pos="851"/>
        </w:tabs>
        <w:ind w:left="567" w:hanging="567"/>
      </w:pPr>
      <w:rPr>
        <w:rFonts w:hint="default"/>
        <w:b/>
        <w:bCs/>
      </w:rPr>
    </w:lvl>
    <w:lvl w:ilvl="3">
      <w:start w:val="1"/>
      <w:numFmt w:val="decimal"/>
      <w:lvlRestart w:val="1"/>
      <w:lvlText w:val="%1.%2.%3.%4."/>
      <w:lvlJc w:val="left"/>
      <w:pPr>
        <w:tabs>
          <w:tab w:val="num" w:pos="1134"/>
        </w:tabs>
        <w:ind w:left="1440" w:hanging="360"/>
      </w:pPr>
      <w:rPr>
        <w:rFonts w:hint="default"/>
      </w:rPr>
    </w:lvl>
    <w:lvl w:ilvl="4">
      <w:start w:val="1"/>
      <w:numFmt w:val="bullet"/>
      <w:lvlText w:val=""/>
      <w:lvlJc w:val="left"/>
      <w:pPr>
        <w:tabs>
          <w:tab w:val="num" w:pos="1474"/>
        </w:tabs>
        <w:ind w:left="1800" w:hanging="360"/>
      </w:pPr>
      <w:rPr>
        <w:rFonts w:ascii="Wingdings" w:hAnsi="Wingdings" w:hint="default"/>
      </w:rPr>
    </w:lvl>
    <w:lvl w:ilvl="5">
      <w:start w:val="1"/>
      <w:numFmt w:val="decimal"/>
      <w:lvlRestart w:val="1"/>
      <w:lvlText w:val="%1.%2.%3.%4.%5.%6."/>
      <w:lvlJc w:val="left"/>
      <w:pPr>
        <w:tabs>
          <w:tab w:val="num" w:pos="1985"/>
        </w:tabs>
        <w:ind w:left="2160" w:hanging="360"/>
      </w:pPr>
      <w:rPr>
        <w:rFonts w:ascii="Times New Roman" w:hAnsi="Times New Roman" w:hint="default"/>
        <w:sz w:val="24"/>
      </w:rPr>
    </w:lvl>
    <w:lvl w:ilvl="6">
      <w:start w:val="1"/>
      <w:numFmt w:val="decimal"/>
      <w:lvlText w:val="%7."/>
      <w:lvlJc w:val="left"/>
      <w:pPr>
        <w:tabs>
          <w:tab w:val="num" w:pos="2381"/>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43389745">
    <w:abstractNumId w:val="16"/>
  </w:num>
  <w:num w:numId="2" w16cid:durableId="245379044">
    <w:abstractNumId w:val="20"/>
    <w:lvlOverride w:ilvl="0">
      <w:lvl w:ilvl="0">
        <w:start w:val="2"/>
        <w:numFmt w:val="upperRoman"/>
        <w:lvlText w:val="%1."/>
        <w:lvlJc w:val="left"/>
        <w:pPr>
          <w:tabs>
            <w:tab w:val="num" w:pos="284"/>
          </w:tabs>
          <w:ind w:left="360" w:hanging="360"/>
        </w:pPr>
        <w:rPr>
          <w:rFonts w:hint="default"/>
        </w:rPr>
      </w:lvl>
    </w:lvlOverride>
    <w:lvlOverride w:ilvl="1">
      <w:lvl w:ilvl="1">
        <w:start w:val="4"/>
        <w:numFmt w:val="decimal"/>
        <w:lvlText w:val="%1.%2."/>
        <w:lvlJc w:val="left"/>
        <w:pPr>
          <w:tabs>
            <w:tab w:val="num" w:pos="567"/>
          </w:tabs>
          <w:ind w:left="720" w:hanging="360"/>
        </w:pPr>
        <w:rPr>
          <w:rFonts w:hint="default"/>
        </w:rPr>
      </w:lvl>
    </w:lvlOverride>
    <w:lvlOverride w:ilvl="2">
      <w:lvl w:ilvl="2">
        <w:start w:val="1"/>
        <w:numFmt w:val="decimal"/>
        <w:lvlRestart w:val="1"/>
        <w:lvlText w:val="%1.%2.%3."/>
        <w:lvlJc w:val="left"/>
        <w:pPr>
          <w:tabs>
            <w:tab w:val="num" w:pos="851"/>
          </w:tabs>
          <w:ind w:left="567" w:hanging="567"/>
        </w:pPr>
        <w:rPr>
          <w:rFonts w:hint="default"/>
          <w:b/>
          <w:bCs/>
        </w:rPr>
      </w:lvl>
    </w:lvlOverride>
    <w:lvlOverride w:ilvl="3">
      <w:lvl w:ilvl="3">
        <w:start w:val="1"/>
        <w:numFmt w:val="decimal"/>
        <w:lvlRestart w:val="1"/>
        <w:lvlText w:val="%1.%2.%3.%4."/>
        <w:lvlJc w:val="left"/>
        <w:pPr>
          <w:tabs>
            <w:tab w:val="num" w:pos="1134"/>
          </w:tabs>
          <w:ind w:left="1440" w:hanging="360"/>
        </w:pPr>
        <w:rPr>
          <w:rFonts w:hint="default"/>
        </w:rPr>
      </w:lvl>
    </w:lvlOverride>
    <w:lvlOverride w:ilvl="4">
      <w:lvl w:ilvl="4">
        <w:start w:val="1"/>
        <w:numFmt w:val="bullet"/>
        <w:lvlText w:val=""/>
        <w:lvlJc w:val="left"/>
        <w:pPr>
          <w:tabs>
            <w:tab w:val="num" w:pos="1474"/>
          </w:tabs>
          <w:ind w:left="1134" w:hanging="414"/>
        </w:pPr>
        <w:rPr>
          <w:rFonts w:ascii="Wingdings" w:hAnsi="Wingdings" w:hint="default"/>
        </w:rPr>
      </w:lvl>
    </w:lvlOverride>
    <w:lvlOverride w:ilvl="5">
      <w:lvl w:ilvl="5">
        <w:start w:val="1"/>
        <w:numFmt w:val="decimal"/>
        <w:lvlRestart w:val="1"/>
        <w:lvlText w:val="%1.%2.%3.%4.%5.%6."/>
        <w:lvlJc w:val="left"/>
        <w:pPr>
          <w:tabs>
            <w:tab w:val="num" w:pos="1985"/>
          </w:tabs>
          <w:ind w:left="2160" w:hanging="360"/>
        </w:pPr>
        <w:rPr>
          <w:rFonts w:ascii="Times New Roman" w:hAnsi="Times New Roman" w:hint="default"/>
          <w:sz w:val="24"/>
        </w:rPr>
      </w:lvl>
    </w:lvlOverride>
    <w:lvlOverride w:ilvl="6">
      <w:lvl w:ilvl="6">
        <w:start w:val="1"/>
        <w:numFmt w:val="decimal"/>
        <w:lvlText w:val="%7."/>
        <w:lvlJc w:val="left"/>
        <w:pPr>
          <w:tabs>
            <w:tab w:val="num" w:pos="2381"/>
          </w:tabs>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1233277852">
    <w:abstractNumId w:val="20"/>
    <w:lvlOverride w:ilvl="0">
      <w:lvl w:ilvl="0">
        <w:start w:val="2"/>
        <w:numFmt w:val="upperRoman"/>
        <w:lvlText w:val="%1."/>
        <w:lvlJc w:val="left"/>
        <w:pPr>
          <w:tabs>
            <w:tab w:val="num" w:pos="284"/>
          </w:tabs>
          <w:ind w:left="360" w:hanging="360"/>
        </w:pPr>
        <w:rPr>
          <w:rFonts w:hint="default"/>
        </w:rPr>
      </w:lvl>
    </w:lvlOverride>
    <w:lvlOverride w:ilvl="1">
      <w:lvl w:ilvl="1">
        <w:start w:val="4"/>
        <w:numFmt w:val="decimal"/>
        <w:lvlText w:val="%1.%2."/>
        <w:lvlJc w:val="left"/>
        <w:pPr>
          <w:tabs>
            <w:tab w:val="num" w:pos="567"/>
          </w:tabs>
          <w:ind w:left="720" w:hanging="360"/>
        </w:pPr>
        <w:rPr>
          <w:rFonts w:hint="default"/>
        </w:rPr>
      </w:lvl>
    </w:lvlOverride>
    <w:lvlOverride w:ilvl="2">
      <w:lvl w:ilvl="2">
        <w:start w:val="1"/>
        <w:numFmt w:val="decimal"/>
        <w:lvlRestart w:val="1"/>
        <w:lvlText w:val="%1.%2.%3."/>
        <w:lvlJc w:val="left"/>
        <w:pPr>
          <w:tabs>
            <w:tab w:val="num" w:pos="851"/>
          </w:tabs>
          <w:ind w:left="567" w:hanging="567"/>
        </w:pPr>
        <w:rPr>
          <w:rFonts w:hint="default"/>
          <w:b/>
          <w:bCs/>
        </w:rPr>
      </w:lvl>
    </w:lvlOverride>
    <w:lvlOverride w:ilvl="3">
      <w:lvl w:ilvl="3">
        <w:start w:val="1"/>
        <w:numFmt w:val="decimal"/>
        <w:lvlRestart w:val="1"/>
        <w:lvlText w:val="%1.%2.%3.%4."/>
        <w:lvlJc w:val="left"/>
        <w:pPr>
          <w:tabs>
            <w:tab w:val="num" w:pos="1134"/>
          </w:tabs>
          <w:ind w:left="1440" w:hanging="360"/>
        </w:pPr>
        <w:rPr>
          <w:rFonts w:hint="default"/>
        </w:rPr>
      </w:lvl>
    </w:lvlOverride>
    <w:lvlOverride w:ilvl="4">
      <w:lvl w:ilvl="4">
        <w:start w:val="1"/>
        <w:numFmt w:val="bullet"/>
        <w:lvlText w:val=""/>
        <w:lvlJc w:val="left"/>
        <w:pPr>
          <w:tabs>
            <w:tab w:val="num" w:pos="1474"/>
          </w:tabs>
          <w:ind w:left="1134" w:hanging="414"/>
        </w:pPr>
        <w:rPr>
          <w:rFonts w:ascii="Wingdings" w:hAnsi="Wingdings" w:hint="default"/>
        </w:rPr>
      </w:lvl>
    </w:lvlOverride>
    <w:lvlOverride w:ilvl="5">
      <w:lvl w:ilvl="5">
        <w:start w:val="1"/>
        <w:numFmt w:val="decimal"/>
        <w:lvlRestart w:val="1"/>
        <w:lvlText w:val="%1.%2.%3.%4.%5.%6."/>
        <w:lvlJc w:val="left"/>
        <w:pPr>
          <w:tabs>
            <w:tab w:val="num" w:pos="1985"/>
          </w:tabs>
          <w:ind w:left="2160" w:hanging="360"/>
        </w:pPr>
        <w:rPr>
          <w:rFonts w:ascii="Times New Roman" w:hAnsi="Times New Roman" w:hint="default"/>
          <w:sz w:val="24"/>
        </w:rPr>
      </w:lvl>
    </w:lvlOverride>
    <w:lvlOverride w:ilvl="6">
      <w:lvl w:ilvl="6">
        <w:start w:val="1"/>
        <w:numFmt w:val="decimal"/>
        <w:lvlText w:val="%7."/>
        <w:lvlJc w:val="left"/>
        <w:pPr>
          <w:tabs>
            <w:tab w:val="num" w:pos="2381"/>
          </w:tabs>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227934">
    <w:abstractNumId w:val="1"/>
  </w:num>
  <w:num w:numId="5" w16cid:durableId="2018344336">
    <w:abstractNumId w:val="18"/>
  </w:num>
  <w:num w:numId="6" w16cid:durableId="178129201">
    <w:abstractNumId w:val="3"/>
  </w:num>
  <w:num w:numId="7" w16cid:durableId="1758671599">
    <w:abstractNumId w:val="5"/>
  </w:num>
  <w:num w:numId="8" w16cid:durableId="1213037587">
    <w:abstractNumId w:val="4"/>
  </w:num>
  <w:num w:numId="9" w16cid:durableId="1706754728">
    <w:abstractNumId w:val="20"/>
    <w:lvlOverride w:ilvl="0">
      <w:lvl w:ilvl="0">
        <w:start w:val="2"/>
        <w:numFmt w:val="upperRoman"/>
        <w:lvlText w:val="%1."/>
        <w:lvlJc w:val="left"/>
        <w:pPr>
          <w:tabs>
            <w:tab w:val="num" w:pos="284"/>
          </w:tabs>
          <w:ind w:left="360" w:hanging="360"/>
        </w:pPr>
        <w:rPr>
          <w:rFonts w:hint="default"/>
        </w:rPr>
      </w:lvl>
    </w:lvlOverride>
    <w:lvlOverride w:ilvl="1">
      <w:lvl w:ilvl="1">
        <w:start w:val="4"/>
        <w:numFmt w:val="decimal"/>
        <w:lvlText w:val="%1.%2."/>
        <w:lvlJc w:val="left"/>
        <w:pPr>
          <w:tabs>
            <w:tab w:val="num" w:pos="567"/>
          </w:tabs>
          <w:ind w:left="720" w:hanging="360"/>
        </w:pPr>
        <w:rPr>
          <w:rFonts w:hint="default"/>
        </w:rPr>
      </w:lvl>
    </w:lvlOverride>
    <w:lvlOverride w:ilvl="2">
      <w:lvl w:ilvl="2">
        <w:start w:val="1"/>
        <w:numFmt w:val="decimal"/>
        <w:lvlRestart w:val="1"/>
        <w:lvlText w:val="%1.%2.%3."/>
        <w:lvlJc w:val="left"/>
        <w:pPr>
          <w:tabs>
            <w:tab w:val="num" w:pos="851"/>
          </w:tabs>
          <w:ind w:left="567" w:hanging="567"/>
        </w:pPr>
        <w:rPr>
          <w:rFonts w:hint="default"/>
          <w:b/>
          <w:bCs/>
        </w:rPr>
      </w:lvl>
    </w:lvlOverride>
    <w:lvlOverride w:ilvl="3">
      <w:lvl w:ilvl="3">
        <w:start w:val="1"/>
        <w:numFmt w:val="decimal"/>
        <w:lvlRestart w:val="1"/>
        <w:lvlText w:val="%1.%2.%3.%4."/>
        <w:lvlJc w:val="left"/>
        <w:pPr>
          <w:tabs>
            <w:tab w:val="num" w:pos="1134"/>
          </w:tabs>
          <w:ind w:left="1701" w:hanging="981"/>
        </w:pPr>
        <w:rPr>
          <w:rFonts w:hint="default"/>
        </w:rPr>
      </w:lvl>
    </w:lvlOverride>
    <w:lvlOverride w:ilvl="4">
      <w:lvl w:ilvl="4">
        <w:start w:val="1"/>
        <w:numFmt w:val="bullet"/>
        <w:lvlText w:val=""/>
        <w:lvlJc w:val="left"/>
        <w:pPr>
          <w:tabs>
            <w:tab w:val="num" w:pos="1474"/>
          </w:tabs>
          <w:ind w:left="1800" w:hanging="360"/>
        </w:pPr>
        <w:rPr>
          <w:rFonts w:ascii="Wingdings" w:hAnsi="Wingdings" w:hint="default"/>
        </w:rPr>
      </w:lvl>
    </w:lvlOverride>
    <w:lvlOverride w:ilvl="5">
      <w:lvl w:ilvl="5">
        <w:start w:val="1"/>
        <w:numFmt w:val="decimal"/>
        <w:lvlRestart w:val="1"/>
        <w:lvlText w:val="%1.%2.%3.%4.%5.%6."/>
        <w:lvlJc w:val="left"/>
        <w:pPr>
          <w:tabs>
            <w:tab w:val="num" w:pos="1985"/>
          </w:tabs>
          <w:ind w:left="2160" w:hanging="360"/>
        </w:pPr>
        <w:rPr>
          <w:rFonts w:ascii="Times New Roman" w:hAnsi="Times New Roman" w:hint="default"/>
          <w:sz w:val="24"/>
        </w:rPr>
      </w:lvl>
    </w:lvlOverride>
    <w:lvlOverride w:ilvl="6">
      <w:lvl w:ilvl="6">
        <w:start w:val="1"/>
        <w:numFmt w:val="decimal"/>
        <w:lvlText w:val="%7."/>
        <w:lvlJc w:val="left"/>
        <w:pPr>
          <w:tabs>
            <w:tab w:val="num" w:pos="2381"/>
          </w:tabs>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16cid:durableId="172957803">
    <w:abstractNumId w:val="20"/>
    <w:lvlOverride w:ilvl="0">
      <w:lvl w:ilvl="0">
        <w:start w:val="2"/>
        <w:numFmt w:val="upperRoman"/>
        <w:lvlText w:val="%1."/>
        <w:lvlJc w:val="left"/>
        <w:pPr>
          <w:tabs>
            <w:tab w:val="num" w:pos="284"/>
          </w:tabs>
          <w:ind w:left="360" w:hanging="360"/>
        </w:pPr>
        <w:rPr>
          <w:rFonts w:hint="default"/>
        </w:rPr>
      </w:lvl>
    </w:lvlOverride>
    <w:lvlOverride w:ilvl="1">
      <w:lvl w:ilvl="1">
        <w:start w:val="4"/>
        <w:numFmt w:val="decimal"/>
        <w:lvlText w:val="%1.%2."/>
        <w:lvlJc w:val="left"/>
        <w:pPr>
          <w:tabs>
            <w:tab w:val="num" w:pos="567"/>
          </w:tabs>
          <w:ind w:left="720" w:hanging="360"/>
        </w:pPr>
        <w:rPr>
          <w:rFonts w:hint="default"/>
        </w:rPr>
      </w:lvl>
    </w:lvlOverride>
    <w:lvlOverride w:ilvl="2">
      <w:lvl w:ilvl="2">
        <w:start w:val="1"/>
        <w:numFmt w:val="decimal"/>
        <w:lvlRestart w:val="1"/>
        <w:lvlText w:val="%1.%2.%3."/>
        <w:lvlJc w:val="left"/>
        <w:pPr>
          <w:tabs>
            <w:tab w:val="num" w:pos="851"/>
          </w:tabs>
          <w:ind w:left="1080" w:hanging="360"/>
        </w:pPr>
        <w:rPr>
          <w:rFonts w:hint="default"/>
          <w:b/>
          <w:bCs/>
        </w:rPr>
      </w:lvl>
    </w:lvlOverride>
    <w:lvlOverride w:ilvl="3">
      <w:lvl w:ilvl="3">
        <w:start w:val="1"/>
        <w:numFmt w:val="decimal"/>
        <w:lvlRestart w:val="1"/>
        <w:lvlText w:val="%1.%2.%3.%4."/>
        <w:lvlJc w:val="left"/>
        <w:pPr>
          <w:tabs>
            <w:tab w:val="num" w:pos="1134"/>
          </w:tabs>
          <w:ind w:left="1440" w:hanging="360"/>
        </w:pPr>
        <w:rPr>
          <w:rFonts w:hint="default"/>
        </w:rPr>
      </w:lvl>
    </w:lvlOverride>
    <w:lvlOverride w:ilvl="4">
      <w:lvl w:ilvl="4">
        <w:start w:val="1"/>
        <w:numFmt w:val="decimal"/>
        <w:lvlText w:val="%1.%2.%3.%4.%5."/>
        <w:lvlJc w:val="left"/>
        <w:pPr>
          <w:tabs>
            <w:tab w:val="num" w:pos="1474"/>
          </w:tabs>
          <w:ind w:left="1701" w:hanging="981"/>
        </w:pPr>
        <w:rPr>
          <w:rFonts w:hint="default"/>
        </w:rPr>
      </w:lvl>
    </w:lvlOverride>
    <w:lvlOverride w:ilvl="5">
      <w:lvl w:ilvl="5">
        <w:start w:val="1"/>
        <w:numFmt w:val="decimal"/>
        <w:lvlRestart w:val="1"/>
        <w:lvlText w:val="%1.%2.%3.%4.%5.%6."/>
        <w:lvlJc w:val="left"/>
        <w:pPr>
          <w:tabs>
            <w:tab w:val="num" w:pos="1985"/>
          </w:tabs>
          <w:ind w:left="2160" w:hanging="360"/>
        </w:pPr>
        <w:rPr>
          <w:rFonts w:ascii="Times New Roman" w:hAnsi="Times New Roman" w:hint="default"/>
          <w:sz w:val="24"/>
        </w:rPr>
      </w:lvl>
    </w:lvlOverride>
    <w:lvlOverride w:ilvl="6">
      <w:lvl w:ilvl="6">
        <w:start w:val="1"/>
        <w:numFmt w:val="decimal"/>
        <w:lvlText w:val="%7."/>
        <w:lvlJc w:val="left"/>
        <w:pPr>
          <w:tabs>
            <w:tab w:val="num" w:pos="2381"/>
          </w:tabs>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16cid:durableId="497965727">
    <w:abstractNumId w:val="20"/>
    <w:lvlOverride w:ilvl="0">
      <w:lvl w:ilvl="0">
        <w:start w:val="2"/>
        <w:numFmt w:val="upperRoman"/>
        <w:lvlText w:val="%1."/>
        <w:lvlJc w:val="left"/>
        <w:pPr>
          <w:tabs>
            <w:tab w:val="num" w:pos="284"/>
          </w:tabs>
          <w:ind w:left="360" w:hanging="360"/>
        </w:pPr>
        <w:rPr>
          <w:rFonts w:hint="default"/>
        </w:rPr>
      </w:lvl>
    </w:lvlOverride>
    <w:lvlOverride w:ilvl="1">
      <w:lvl w:ilvl="1">
        <w:start w:val="4"/>
        <w:numFmt w:val="decimal"/>
        <w:lvlText w:val="%1.%2."/>
        <w:lvlJc w:val="left"/>
        <w:pPr>
          <w:tabs>
            <w:tab w:val="num" w:pos="567"/>
          </w:tabs>
          <w:ind w:left="720" w:hanging="360"/>
        </w:pPr>
        <w:rPr>
          <w:rFonts w:hint="default"/>
        </w:rPr>
      </w:lvl>
    </w:lvlOverride>
    <w:lvlOverride w:ilvl="2">
      <w:lvl w:ilvl="2">
        <w:start w:val="1"/>
        <w:numFmt w:val="decimal"/>
        <w:lvlRestart w:val="1"/>
        <w:lvlText w:val="%1.%2.%3."/>
        <w:lvlJc w:val="left"/>
        <w:pPr>
          <w:tabs>
            <w:tab w:val="num" w:pos="851"/>
          </w:tabs>
          <w:ind w:left="1080" w:hanging="360"/>
        </w:pPr>
        <w:rPr>
          <w:rFonts w:hint="default"/>
          <w:b/>
          <w:bCs/>
        </w:rPr>
      </w:lvl>
    </w:lvlOverride>
    <w:lvlOverride w:ilvl="3">
      <w:lvl w:ilvl="3">
        <w:start w:val="1"/>
        <w:numFmt w:val="decimal"/>
        <w:lvlRestart w:val="1"/>
        <w:lvlText w:val="%1.%2.%3.%4."/>
        <w:lvlJc w:val="left"/>
        <w:pPr>
          <w:tabs>
            <w:tab w:val="num" w:pos="1134"/>
          </w:tabs>
          <w:ind w:left="1440" w:hanging="360"/>
        </w:pPr>
        <w:rPr>
          <w:rFonts w:hint="default"/>
        </w:rPr>
      </w:lvl>
    </w:lvlOverride>
    <w:lvlOverride w:ilvl="4">
      <w:lvl w:ilvl="4">
        <w:start w:val="1"/>
        <w:numFmt w:val="decimal"/>
        <w:lvlText w:val="%1.%2.%3.%4.%5."/>
        <w:lvlJc w:val="left"/>
        <w:pPr>
          <w:tabs>
            <w:tab w:val="num" w:pos="1474"/>
          </w:tabs>
          <w:ind w:left="1701" w:hanging="981"/>
        </w:pPr>
        <w:rPr>
          <w:rFonts w:hint="default"/>
        </w:rPr>
      </w:lvl>
    </w:lvlOverride>
    <w:lvlOverride w:ilvl="5">
      <w:lvl w:ilvl="5">
        <w:start w:val="1"/>
        <w:numFmt w:val="decimal"/>
        <w:lvlRestart w:val="1"/>
        <w:lvlText w:val="%1.%2.%3.%4.%5.%6."/>
        <w:lvlJc w:val="left"/>
        <w:pPr>
          <w:tabs>
            <w:tab w:val="num" w:pos="1985"/>
          </w:tabs>
          <w:ind w:left="2160" w:hanging="360"/>
        </w:pPr>
        <w:rPr>
          <w:rFonts w:ascii="Times New Roman" w:hAnsi="Times New Roman" w:hint="default"/>
          <w:sz w:val="24"/>
        </w:rPr>
      </w:lvl>
    </w:lvlOverride>
    <w:lvlOverride w:ilvl="6">
      <w:lvl w:ilvl="6">
        <w:start w:val="1"/>
        <w:numFmt w:val="decimal"/>
        <w:lvlText w:val="%7."/>
        <w:lvlJc w:val="left"/>
        <w:pPr>
          <w:tabs>
            <w:tab w:val="num" w:pos="2381"/>
          </w:tabs>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16cid:durableId="499857523">
    <w:abstractNumId w:val="6"/>
  </w:num>
  <w:num w:numId="13" w16cid:durableId="2059737352">
    <w:abstractNumId w:val="13"/>
  </w:num>
  <w:num w:numId="14" w16cid:durableId="1776245206">
    <w:abstractNumId w:val="7"/>
  </w:num>
  <w:num w:numId="15" w16cid:durableId="421268250">
    <w:abstractNumId w:val="8"/>
  </w:num>
  <w:num w:numId="16" w16cid:durableId="1256675028">
    <w:abstractNumId w:val="15"/>
  </w:num>
  <w:num w:numId="17" w16cid:durableId="1674335819">
    <w:abstractNumId w:val="19"/>
  </w:num>
  <w:num w:numId="18" w16cid:durableId="625814100">
    <w:abstractNumId w:val="2"/>
  </w:num>
  <w:num w:numId="19" w16cid:durableId="1276716450">
    <w:abstractNumId w:val="9"/>
  </w:num>
  <w:num w:numId="20" w16cid:durableId="755127463">
    <w:abstractNumId w:val="17"/>
  </w:num>
  <w:num w:numId="21" w16cid:durableId="1528057212">
    <w:abstractNumId w:val="10"/>
  </w:num>
  <w:num w:numId="22" w16cid:durableId="2056000164">
    <w:abstractNumId w:val="0"/>
  </w:num>
  <w:num w:numId="23" w16cid:durableId="1195775562">
    <w:abstractNumId w:val="11"/>
  </w:num>
  <w:num w:numId="24" w16cid:durableId="580137011">
    <w:abstractNumId w:val="14"/>
  </w:num>
  <w:num w:numId="25" w16cid:durableId="13992097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6EC"/>
    <w:rsid w:val="00003764"/>
    <w:rsid w:val="000166BA"/>
    <w:rsid w:val="0002115B"/>
    <w:rsid w:val="000263B3"/>
    <w:rsid w:val="00027907"/>
    <w:rsid w:val="000327D9"/>
    <w:rsid w:val="00044137"/>
    <w:rsid w:val="00052B16"/>
    <w:rsid w:val="0005399C"/>
    <w:rsid w:val="0005685E"/>
    <w:rsid w:val="00057CB3"/>
    <w:rsid w:val="000721AB"/>
    <w:rsid w:val="000942D7"/>
    <w:rsid w:val="000A1D46"/>
    <w:rsid w:val="000A32A7"/>
    <w:rsid w:val="000A75C2"/>
    <w:rsid w:val="000B1EED"/>
    <w:rsid w:val="000B5DC5"/>
    <w:rsid w:val="000B7CAC"/>
    <w:rsid w:val="000C0DD4"/>
    <w:rsid w:val="000D0098"/>
    <w:rsid w:val="000E707F"/>
    <w:rsid w:val="000E711D"/>
    <w:rsid w:val="00103E77"/>
    <w:rsid w:val="00110607"/>
    <w:rsid w:val="00111568"/>
    <w:rsid w:val="0011534C"/>
    <w:rsid w:val="001162F7"/>
    <w:rsid w:val="00125245"/>
    <w:rsid w:val="0012554A"/>
    <w:rsid w:val="00127B47"/>
    <w:rsid w:val="001322E1"/>
    <w:rsid w:val="0014233F"/>
    <w:rsid w:val="0014246D"/>
    <w:rsid w:val="00147970"/>
    <w:rsid w:val="00155855"/>
    <w:rsid w:val="00163A4D"/>
    <w:rsid w:val="00165BBA"/>
    <w:rsid w:val="001806EB"/>
    <w:rsid w:val="001902A3"/>
    <w:rsid w:val="00196DAA"/>
    <w:rsid w:val="001B58C7"/>
    <w:rsid w:val="001C23D6"/>
    <w:rsid w:val="001D6F0A"/>
    <w:rsid w:val="001D711D"/>
    <w:rsid w:val="001E27E5"/>
    <w:rsid w:val="001F3FA8"/>
    <w:rsid w:val="001F50E5"/>
    <w:rsid w:val="00200228"/>
    <w:rsid w:val="00222D0A"/>
    <w:rsid w:val="00226459"/>
    <w:rsid w:val="002302E3"/>
    <w:rsid w:val="00233CF3"/>
    <w:rsid w:val="002471BD"/>
    <w:rsid w:val="0024775A"/>
    <w:rsid w:val="00252CCC"/>
    <w:rsid w:val="0025451F"/>
    <w:rsid w:val="00262522"/>
    <w:rsid w:val="002712AB"/>
    <w:rsid w:val="00275D08"/>
    <w:rsid w:val="002811D4"/>
    <w:rsid w:val="0028449C"/>
    <w:rsid w:val="002919BE"/>
    <w:rsid w:val="0029391A"/>
    <w:rsid w:val="002A0F6E"/>
    <w:rsid w:val="002A7900"/>
    <w:rsid w:val="002B27E0"/>
    <w:rsid w:val="002B5803"/>
    <w:rsid w:val="002C6ED1"/>
    <w:rsid w:val="002C7260"/>
    <w:rsid w:val="002D4AD0"/>
    <w:rsid w:val="002D4C9F"/>
    <w:rsid w:val="00302B5A"/>
    <w:rsid w:val="0032542B"/>
    <w:rsid w:val="003317D2"/>
    <w:rsid w:val="003374EC"/>
    <w:rsid w:val="00342236"/>
    <w:rsid w:val="00354C1D"/>
    <w:rsid w:val="00360C7B"/>
    <w:rsid w:val="003657A2"/>
    <w:rsid w:val="0036731A"/>
    <w:rsid w:val="00371EF0"/>
    <w:rsid w:val="003845C6"/>
    <w:rsid w:val="00396131"/>
    <w:rsid w:val="003A0B98"/>
    <w:rsid w:val="003A24F4"/>
    <w:rsid w:val="003B0155"/>
    <w:rsid w:val="003B5AD6"/>
    <w:rsid w:val="003E1643"/>
    <w:rsid w:val="003E1A38"/>
    <w:rsid w:val="003E30CA"/>
    <w:rsid w:val="003E312F"/>
    <w:rsid w:val="003F1E83"/>
    <w:rsid w:val="003F7AB1"/>
    <w:rsid w:val="004135E9"/>
    <w:rsid w:val="0041515F"/>
    <w:rsid w:val="0042019F"/>
    <w:rsid w:val="004367F4"/>
    <w:rsid w:val="00436D8A"/>
    <w:rsid w:val="00457F0A"/>
    <w:rsid w:val="00464A72"/>
    <w:rsid w:val="004726B8"/>
    <w:rsid w:val="00475004"/>
    <w:rsid w:val="0047779A"/>
    <w:rsid w:val="00495085"/>
    <w:rsid w:val="00495529"/>
    <w:rsid w:val="00495634"/>
    <w:rsid w:val="004A27BF"/>
    <w:rsid w:val="004A43B1"/>
    <w:rsid w:val="004B1C13"/>
    <w:rsid w:val="004B28DA"/>
    <w:rsid w:val="004C11AD"/>
    <w:rsid w:val="004E3C3B"/>
    <w:rsid w:val="004F4189"/>
    <w:rsid w:val="00514E95"/>
    <w:rsid w:val="00521D6A"/>
    <w:rsid w:val="00527C8D"/>
    <w:rsid w:val="005307B5"/>
    <w:rsid w:val="005315FC"/>
    <w:rsid w:val="00555DBC"/>
    <w:rsid w:val="00566DBA"/>
    <w:rsid w:val="0057204E"/>
    <w:rsid w:val="00577B31"/>
    <w:rsid w:val="0059015E"/>
    <w:rsid w:val="00594763"/>
    <w:rsid w:val="005A35B7"/>
    <w:rsid w:val="005A3EE0"/>
    <w:rsid w:val="005A4DDA"/>
    <w:rsid w:val="005A56FE"/>
    <w:rsid w:val="005B5B1A"/>
    <w:rsid w:val="005B6DD6"/>
    <w:rsid w:val="005C42C6"/>
    <w:rsid w:val="005C4BEA"/>
    <w:rsid w:val="005C5416"/>
    <w:rsid w:val="005C6031"/>
    <w:rsid w:val="005D2075"/>
    <w:rsid w:val="005D3FB4"/>
    <w:rsid w:val="005D60A9"/>
    <w:rsid w:val="005D7AF4"/>
    <w:rsid w:val="005E494A"/>
    <w:rsid w:val="005F420F"/>
    <w:rsid w:val="005F4E27"/>
    <w:rsid w:val="00604269"/>
    <w:rsid w:val="0061274B"/>
    <w:rsid w:val="00614756"/>
    <w:rsid w:val="00620380"/>
    <w:rsid w:val="00621FF9"/>
    <w:rsid w:val="0065229D"/>
    <w:rsid w:val="00667A6D"/>
    <w:rsid w:val="0068235C"/>
    <w:rsid w:val="0068329E"/>
    <w:rsid w:val="00684B3A"/>
    <w:rsid w:val="0069200B"/>
    <w:rsid w:val="006A3A81"/>
    <w:rsid w:val="006B2574"/>
    <w:rsid w:val="006B5D65"/>
    <w:rsid w:val="006C357B"/>
    <w:rsid w:val="006D12B9"/>
    <w:rsid w:val="006D153D"/>
    <w:rsid w:val="006E2F2E"/>
    <w:rsid w:val="006E60DE"/>
    <w:rsid w:val="006F5FB6"/>
    <w:rsid w:val="006F76B0"/>
    <w:rsid w:val="007001FA"/>
    <w:rsid w:val="00707388"/>
    <w:rsid w:val="007118D3"/>
    <w:rsid w:val="00720CA0"/>
    <w:rsid w:val="007217D9"/>
    <w:rsid w:val="007268A6"/>
    <w:rsid w:val="0073550A"/>
    <w:rsid w:val="00745D3F"/>
    <w:rsid w:val="007474B8"/>
    <w:rsid w:val="00756F4C"/>
    <w:rsid w:val="00762B30"/>
    <w:rsid w:val="007649C6"/>
    <w:rsid w:val="007749E3"/>
    <w:rsid w:val="00775356"/>
    <w:rsid w:val="00776E9C"/>
    <w:rsid w:val="00780A3D"/>
    <w:rsid w:val="00786500"/>
    <w:rsid w:val="00787367"/>
    <w:rsid w:val="00795DCE"/>
    <w:rsid w:val="007A1D5A"/>
    <w:rsid w:val="007A2952"/>
    <w:rsid w:val="007A6F69"/>
    <w:rsid w:val="007D4D4D"/>
    <w:rsid w:val="007F54A0"/>
    <w:rsid w:val="008128F6"/>
    <w:rsid w:val="0082118A"/>
    <w:rsid w:val="008221F2"/>
    <w:rsid w:val="00822E07"/>
    <w:rsid w:val="00841F37"/>
    <w:rsid w:val="008453C8"/>
    <w:rsid w:val="00846A85"/>
    <w:rsid w:val="00854209"/>
    <w:rsid w:val="0086328E"/>
    <w:rsid w:val="008654BE"/>
    <w:rsid w:val="00877D35"/>
    <w:rsid w:val="008A2731"/>
    <w:rsid w:val="008A46EC"/>
    <w:rsid w:val="008A5EA1"/>
    <w:rsid w:val="008A7486"/>
    <w:rsid w:val="008B718D"/>
    <w:rsid w:val="008C0322"/>
    <w:rsid w:val="008C0BE3"/>
    <w:rsid w:val="008C1A7B"/>
    <w:rsid w:val="008C4AFA"/>
    <w:rsid w:val="008C5891"/>
    <w:rsid w:val="008F0C2D"/>
    <w:rsid w:val="008F46B1"/>
    <w:rsid w:val="008F49CA"/>
    <w:rsid w:val="008F77B0"/>
    <w:rsid w:val="00904CF8"/>
    <w:rsid w:val="009056B8"/>
    <w:rsid w:val="009109ED"/>
    <w:rsid w:val="00910B91"/>
    <w:rsid w:val="0092032F"/>
    <w:rsid w:val="00934F79"/>
    <w:rsid w:val="00943AC8"/>
    <w:rsid w:val="0094612F"/>
    <w:rsid w:val="00955557"/>
    <w:rsid w:val="00957DEE"/>
    <w:rsid w:val="00964854"/>
    <w:rsid w:val="00972423"/>
    <w:rsid w:val="009805E9"/>
    <w:rsid w:val="00986C9D"/>
    <w:rsid w:val="00990368"/>
    <w:rsid w:val="00992D54"/>
    <w:rsid w:val="009B57ED"/>
    <w:rsid w:val="009B5D41"/>
    <w:rsid w:val="009C2BAC"/>
    <w:rsid w:val="009C2C56"/>
    <w:rsid w:val="009C3EF4"/>
    <w:rsid w:val="009D0EE6"/>
    <w:rsid w:val="009D11D9"/>
    <w:rsid w:val="009D2766"/>
    <w:rsid w:val="009D77BA"/>
    <w:rsid w:val="009E3F8F"/>
    <w:rsid w:val="009F2AC2"/>
    <w:rsid w:val="009F3D50"/>
    <w:rsid w:val="00A008E7"/>
    <w:rsid w:val="00A012EB"/>
    <w:rsid w:val="00A27BE8"/>
    <w:rsid w:val="00A378AE"/>
    <w:rsid w:val="00A42A44"/>
    <w:rsid w:val="00A52E04"/>
    <w:rsid w:val="00A53BDF"/>
    <w:rsid w:val="00A54162"/>
    <w:rsid w:val="00A575B0"/>
    <w:rsid w:val="00A66776"/>
    <w:rsid w:val="00A701FC"/>
    <w:rsid w:val="00A72B43"/>
    <w:rsid w:val="00A809A3"/>
    <w:rsid w:val="00A875AC"/>
    <w:rsid w:val="00A91922"/>
    <w:rsid w:val="00AB2FCD"/>
    <w:rsid w:val="00AB77B6"/>
    <w:rsid w:val="00AC1E6C"/>
    <w:rsid w:val="00AC46C1"/>
    <w:rsid w:val="00AD04D4"/>
    <w:rsid w:val="00AE38A9"/>
    <w:rsid w:val="00AF3D47"/>
    <w:rsid w:val="00B06BFC"/>
    <w:rsid w:val="00B401CD"/>
    <w:rsid w:val="00B4309A"/>
    <w:rsid w:val="00B50CC5"/>
    <w:rsid w:val="00B51731"/>
    <w:rsid w:val="00B53807"/>
    <w:rsid w:val="00B5496F"/>
    <w:rsid w:val="00B578E8"/>
    <w:rsid w:val="00B6110D"/>
    <w:rsid w:val="00B61E02"/>
    <w:rsid w:val="00B64A1E"/>
    <w:rsid w:val="00B64B60"/>
    <w:rsid w:val="00B65A91"/>
    <w:rsid w:val="00B65F72"/>
    <w:rsid w:val="00B84DA9"/>
    <w:rsid w:val="00B87089"/>
    <w:rsid w:val="00BD13F7"/>
    <w:rsid w:val="00BD268B"/>
    <w:rsid w:val="00BE1A48"/>
    <w:rsid w:val="00BE563D"/>
    <w:rsid w:val="00BF1BBF"/>
    <w:rsid w:val="00C009EC"/>
    <w:rsid w:val="00C01C92"/>
    <w:rsid w:val="00C04E85"/>
    <w:rsid w:val="00C22254"/>
    <w:rsid w:val="00C2594A"/>
    <w:rsid w:val="00C26330"/>
    <w:rsid w:val="00C26EE6"/>
    <w:rsid w:val="00C375A8"/>
    <w:rsid w:val="00C42EEE"/>
    <w:rsid w:val="00C614E5"/>
    <w:rsid w:val="00C75314"/>
    <w:rsid w:val="00C820F7"/>
    <w:rsid w:val="00C90154"/>
    <w:rsid w:val="00C90A67"/>
    <w:rsid w:val="00C93B6D"/>
    <w:rsid w:val="00CA4622"/>
    <w:rsid w:val="00CA470A"/>
    <w:rsid w:val="00CA4965"/>
    <w:rsid w:val="00CB5E6F"/>
    <w:rsid w:val="00CC156E"/>
    <w:rsid w:val="00CD21C4"/>
    <w:rsid w:val="00CD2A39"/>
    <w:rsid w:val="00CD3B06"/>
    <w:rsid w:val="00CD44CF"/>
    <w:rsid w:val="00CD4EFE"/>
    <w:rsid w:val="00CD5B9B"/>
    <w:rsid w:val="00CE5CB7"/>
    <w:rsid w:val="00CF196E"/>
    <w:rsid w:val="00D10AB2"/>
    <w:rsid w:val="00D11A3E"/>
    <w:rsid w:val="00D35242"/>
    <w:rsid w:val="00D40CD5"/>
    <w:rsid w:val="00D43004"/>
    <w:rsid w:val="00D46E8C"/>
    <w:rsid w:val="00D54BE1"/>
    <w:rsid w:val="00D566C7"/>
    <w:rsid w:val="00D56E24"/>
    <w:rsid w:val="00D72C6B"/>
    <w:rsid w:val="00D734F3"/>
    <w:rsid w:val="00D74487"/>
    <w:rsid w:val="00D85F23"/>
    <w:rsid w:val="00D94F5D"/>
    <w:rsid w:val="00DC1BF3"/>
    <w:rsid w:val="00DC3E85"/>
    <w:rsid w:val="00DC5033"/>
    <w:rsid w:val="00DE33A1"/>
    <w:rsid w:val="00DF13DF"/>
    <w:rsid w:val="00DF34C4"/>
    <w:rsid w:val="00E10940"/>
    <w:rsid w:val="00E14D26"/>
    <w:rsid w:val="00E160CB"/>
    <w:rsid w:val="00E206B5"/>
    <w:rsid w:val="00E22F65"/>
    <w:rsid w:val="00E31F70"/>
    <w:rsid w:val="00E40270"/>
    <w:rsid w:val="00E500BA"/>
    <w:rsid w:val="00E537C1"/>
    <w:rsid w:val="00E53F8E"/>
    <w:rsid w:val="00E67DFD"/>
    <w:rsid w:val="00E80B5D"/>
    <w:rsid w:val="00E82B76"/>
    <w:rsid w:val="00E8430C"/>
    <w:rsid w:val="00E9637A"/>
    <w:rsid w:val="00EB05AA"/>
    <w:rsid w:val="00EB19AD"/>
    <w:rsid w:val="00EB2614"/>
    <w:rsid w:val="00EC0BB7"/>
    <w:rsid w:val="00EC237C"/>
    <w:rsid w:val="00EC296E"/>
    <w:rsid w:val="00ED3656"/>
    <w:rsid w:val="00EE0395"/>
    <w:rsid w:val="00EE1827"/>
    <w:rsid w:val="00EE6C41"/>
    <w:rsid w:val="00EF18A1"/>
    <w:rsid w:val="00EF30E4"/>
    <w:rsid w:val="00EF743B"/>
    <w:rsid w:val="00EF757D"/>
    <w:rsid w:val="00F01FAD"/>
    <w:rsid w:val="00F0769D"/>
    <w:rsid w:val="00F247EC"/>
    <w:rsid w:val="00F326E8"/>
    <w:rsid w:val="00F32F5C"/>
    <w:rsid w:val="00F437C7"/>
    <w:rsid w:val="00F60F16"/>
    <w:rsid w:val="00F64FEE"/>
    <w:rsid w:val="00F66CD9"/>
    <w:rsid w:val="00FB73EB"/>
    <w:rsid w:val="00FC5676"/>
    <w:rsid w:val="00FC71EB"/>
    <w:rsid w:val="00FE3AF6"/>
    <w:rsid w:val="00FE586E"/>
    <w:rsid w:val="00FF0FD6"/>
    <w:rsid w:val="00FF2F66"/>
    <w:rsid w:val="00FF3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625C5"/>
  <w15:chartTrackingRefBased/>
  <w15:docId w15:val="{7597FB45-19C4-483C-BB5C-B53E5A3C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6EC"/>
    <w:pPr>
      <w:spacing w:line="259" w:lineRule="auto"/>
    </w:pPr>
    <w:rPr>
      <w:kern w:val="0"/>
      <w:sz w:val="22"/>
      <w:szCs w:val="22"/>
      <w:lang w:val="fr-FR"/>
      <w14:ligatures w14:val="none"/>
    </w:rPr>
  </w:style>
  <w:style w:type="paragraph" w:styleId="Heading1">
    <w:name w:val="heading 1"/>
    <w:basedOn w:val="Normal"/>
    <w:next w:val="Normal"/>
    <w:link w:val="Heading1Char"/>
    <w:uiPriority w:val="9"/>
    <w:qFormat/>
    <w:rsid w:val="008A4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4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46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46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46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4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4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46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46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6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6EC"/>
    <w:rPr>
      <w:rFonts w:eastAsiaTheme="majorEastAsia" w:cstheme="majorBidi"/>
      <w:color w:val="272727" w:themeColor="text1" w:themeTint="D8"/>
    </w:rPr>
  </w:style>
  <w:style w:type="paragraph" w:styleId="Title">
    <w:name w:val="Title"/>
    <w:basedOn w:val="Normal"/>
    <w:next w:val="Normal"/>
    <w:link w:val="TitleChar"/>
    <w:uiPriority w:val="10"/>
    <w:qFormat/>
    <w:rsid w:val="008A4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6EC"/>
    <w:pPr>
      <w:spacing w:before="160"/>
      <w:jc w:val="center"/>
    </w:pPr>
    <w:rPr>
      <w:i/>
      <w:iCs/>
      <w:color w:val="404040" w:themeColor="text1" w:themeTint="BF"/>
    </w:rPr>
  </w:style>
  <w:style w:type="character" w:customStyle="1" w:styleId="QuoteChar">
    <w:name w:val="Quote Char"/>
    <w:basedOn w:val="DefaultParagraphFont"/>
    <w:link w:val="Quote"/>
    <w:uiPriority w:val="29"/>
    <w:rsid w:val="008A46EC"/>
    <w:rPr>
      <w:i/>
      <w:iCs/>
      <w:color w:val="404040" w:themeColor="text1" w:themeTint="BF"/>
    </w:rPr>
  </w:style>
  <w:style w:type="paragraph" w:styleId="ListParagraph">
    <w:name w:val="List Paragraph"/>
    <w:basedOn w:val="Normal"/>
    <w:uiPriority w:val="34"/>
    <w:qFormat/>
    <w:rsid w:val="008A46EC"/>
    <w:pPr>
      <w:ind w:left="720"/>
      <w:contextualSpacing/>
    </w:pPr>
  </w:style>
  <w:style w:type="character" w:styleId="IntenseEmphasis">
    <w:name w:val="Intense Emphasis"/>
    <w:basedOn w:val="DefaultParagraphFont"/>
    <w:uiPriority w:val="21"/>
    <w:qFormat/>
    <w:rsid w:val="008A46EC"/>
    <w:rPr>
      <w:i/>
      <w:iCs/>
      <w:color w:val="0F4761" w:themeColor="accent1" w:themeShade="BF"/>
    </w:rPr>
  </w:style>
  <w:style w:type="paragraph" w:styleId="IntenseQuote">
    <w:name w:val="Intense Quote"/>
    <w:basedOn w:val="Normal"/>
    <w:next w:val="Normal"/>
    <w:link w:val="IntenseQuoteChar"/>
    <w:uiPriority w:val="30"/>
    <w:qFormat/>
    <w:rsid w:val="008A4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46EC"/>
    <w:rPr>
      <w:i/>
      <w:iCs/>
      <w:color w:val="0F4761" w:themeColor="accent1" w:themeShade="BF"/>
    </w:rPr>
  </w:style>
  <w:style w:type="character" w:styleId="IntenseReference">
    <w:name w:val="Intense Reference"/>
    <w:basedOn w:val="DefaultParagraphFont"/>
    <w:uiPriority w:val="32"/>
    <w:qFormat/>
    <w:rsid w:val="008A46EC"/>
    <w:rPr>
      <w:b/>
      <w:bCs/>
      <w:smallCaps/>
      <w:color w:val="0F4761" w:themeColor="accent1" w:themeShade="BF"/>
      <w:spacing w:val="5"/>
    </w:rPr>
  </w:style>
  <w:style w:type="paragraph" w:styleId="Caption">
    <w:name w:val="caption"/>
    <w:basedOn w:val="Normal"/>
    <w:next w:val="Normal"/>
    <w:uiPriority w:val="35"/>
    <w:unhideWhenUsed/>
    <w:qFormat/>
    <w:rsid w:val="008A46EC"/>
    <w:pPr>
      <w:spacing w:before="200" w:after="200" w:line="240" w:lineRule="auto"/>
      <w:ind w:firstLine="720"/>
      <w:jc w:val="both"/>
    </w:pPr>
    <w:rPr>
      <w:i/>
      <w:iCs/>
      <w:color w:val="0E2841" w:themeColor="text2"/>
      <w:sz w:val="18"/>
      <w:szCs w:val="18"/>
    </w:rPr>
  </w:style>
  <w:style w:type="table" w:styleId="TableGrid">
    <w:name w:val="Table Grid"/>
    <w:basedOn w:val="TableNormal"/>
    <w:uiPriority w:val="39"/>
    <w:rsid w:val="008A46EC"/>
    <w:pPr>
      <w:spacing w:before="200" w:after="0" w:line="240" w:lineRule="auto"/>
      <w:ind w:firstLine="720"/>
      <w:jc w:val="both"/>
    </w:pPr>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8A46EC"/>
    <w:pPr>
      <w:spacing w:before="200" w:after="0" w:line="240" w:lineRule="auto"/>
      <w:jc w:val="both"/>
    </w:pPr>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46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8A46EC"/>
    <w:rPr>
      <w:kern w:val="0"/>
      <w:sz w:val="22"/>
      <w:szCs w:val="22"/>
      <w:lang w:val="fr-FR"/>
      <w14:ligatures w14:val="none"/>
    </w:rPr>
  </w:style>
  <w:style w:type="paragraph" w:styleId="Footer">
    <w:name w:val="footer"/>
    <w:basedOn w:val="Normal"/>
    <w:link w:val="FooterChar"/>
    <w:uiPriority w:val="99"/>
    <w:unhideWhenUsed/>
    <w:rsid w:val="008A46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46EC"/>
    <w:rPr>
      <w:kern w:val="0"/>
      <w:sz w:val="22"/>
      <w:szCs w:val="22"/>
      <w:lang w:val="fr-FR"/>
      <w14:ligatures w14:val="none"/>
    </w:rPr>
  </w:style>
  <w:style w:type="paragraph" w:styleId="Revision">
    <w:name w:val="Revision"/>
    <w:hidden/>
    <w:uiPriority w:val="99"/>
    <w:semiHidden/>
    <w:rsid w:val="008A46EC"/>
    <w:pPr>
      <w:spacing w:after="0" w:line="240" w:lineRule="auto"/>
    </w:pPr>
    <w:rPr>
      <w:kern w:val="0"/>
      <w:sz w:val="22"/>
      <w:szCs w:val="22"/>
      <w:lang w:val="fr-FR"/>
      <w14:ligatures w14:val="none"/>
    </w:rPr>
  </w:style>
  <w:style w:type="character" w:styleId="Hyperlink">
    <w:name w:val="Hyperlink"/>
    <w:basedOn w:val="DefaultParagraphFont"/>
    <w:uiPriority w:val="99"/>
    <w:unhideWhenUsed/>
    <w:rsid w:val="008A46EC"/>
    <w:rPr>
      <w:color w:val="467886" w:themeColor="hyperlink"/>
      <w:u w:val="single"/>
    </w:rPr>
  </w:style>
  <w:style w:type="character" w:styleId="UnresolvedMention">
    <w:name w:val="Unresolved Mention"/>
    <w:basedOn w:val="DefaultParagraphFont"/>
    <w:uiPriority w:val="99"/>
    <w:semiHidden/>
    <w:unhideWhenUsed/>
    <w:rsid w:val="008A46EC"/>
    <w:rPr>
      <w:color w:val="605E5C"/>
      <w:shd w:val="clear" w:color="auto" w:fill="E1DFDD"/>
    </w:rPr>
  </w:style>
  <w:style w:type="character" w:styleId="CommentReference">
    <w:name w:val="annotation reference"/>
    <w:basedOn w:val="DefaultParagraphFont"/>
    <w:uiPriority w:val="99"/>
    <w:semiHidden/>
    <w:unhideWhenUsed/>
    <w:rsid w:val="00C75314"/>
    <w:rPr>
      <w:sz w:val="16"/>
      <w:szCs w:val="16"/>
    </w:rPr>
  </w:style>
  <w:style w:type="paragraph" w:styleId="CommentText">
    <w:name w:val="annotation text"/>
    <w:basedOn w:val="Normal"/>
    <w:link w:val="CommentTextChar"/>
    <w:uiPriority w:val="99"/>
    <w:unhideWhenUsed/>
    <w:rsid w:val="00C75314"/>
    <w:pPr>
      <w:spacing w:line="240" w:lineRule="auto"/>
    </w:pPr>
    <w:rPr>
      <w:sz w:val="20"/>
      <w:szCs w:val="20"/>
    </w:rPr>
  </w:style>
  <w:style w:type="character" w:customStyle="1" w:styleId="CommentTextChar">
    <w:name w:val="Comment Text Char"/>
    <w:basedOn w:val="DefaultParagraphFont"/>
    <w:link w:val="CommentText"/>
    <w:uiPriority w:val="99"/>
    <w:rsid w:val="00C75314"/>
    <w:rPr>
      <w:kern w:val="0"/>
      <w:sz w:val="20"/>
      <w:szCs w:val="20"/>
      <w:lang w:val="fr-FR"/>
      <w14:ligatures w14:val="none"/>
    </w:rPr>
  </w:style>
  <w:style w:type="paragraph" w:styleId="CommentSubject">
    <w:name w:val="annotation subject"/>
    <w:basedOn w:val="CommentText"/>
    <w:next w:val="CommentText"/>
    <w:link w:val="CommentSubjectChar"/>
    <w:uiPriority w:val="99"/>
    <w:semiHidden/>
    <w:unhideWhenUsed/>
    <w:rsid w:val="00C75314"/>
    <w:rPr>
      <w:b/>
      <w:bCs/>
    </w:rPr>
  </w:style>
  <w:style w:type="character" w:customStyle="1" w:styleId="CommentSubjectChar">
    <w:name w:val="Comment Subject Char"/>
    <w:basedOn w:val="CommentTextChar"/>
    <w:link w:val="CommentSubject"/>
    <w:uiPriority w:val="99"/>
    <w:semiHidden/>
    <w:rsid w:val="00C75314"/>
    <w:rPr>
      <w:b/>
      <w:bCs/>
      <w:kern w:val="0"/>
      <w:sz w:val="20"/>
      <w:szCs w:val="20"/>
      <w:lang w:val="fr-FR"/>
      <w14:ligatures w14:val="none"/>
    </w:rPr>
  </w:style>
  <w:style w:type="paragraph" w:styleId="Bibliography">
    <w:name w:val="Bibliography"/>
    <w:basedOn w:val="Normal"/>
    <w:next w:val="Normal"/>
    <w:uiPriority w:val="37"/>
    <w:unhideWhenUsed/>
    <w:rsid w:val="00F64FEE"/>
    <w:pPr>
      <w:spacing w:after="0" w:line="480" w:lineRule="auto"/>
      <w:ind w:left="720" w:hanging="720"/>
    </w:pPr>
  </w:style>
  <w:style w:type="paragraph" w:customStyle="1" w:styleId="Body">
    <w:name w:val="Body"/>
    <w:basedOn w:val="Normal"/>
    <w:rsid w:val="00436D8A"/>
    <w:pPr>
      <w:spacing w:after="240" w:line="240" w:lineRule="auto"/>
      <w:jc w:val="both"/>
    </w:pPr>
    <w:rPr>
      <w:rFonts w:ascii="Helvetica" w:eastAsia="Times New Roman" w:hAnsi="Helvetica" w:cs="Times New Roman"/>
      <w:sz w:val="20"/>
      <w:szCs w:val="20"/>
      <w:lang w:val="en-US"/>
    </w:rPr>
  </w:style>
  <w:style w:type="character" w:styleId="LineNumber">
    <w:name w:val="line number"/>
    <w:basedOn w:val="DefaultParagraphFont"/>
    <w:uiPriority w:val="99"/>
    <w:semiHidden/>
    <w:unhideWhenUsed/>
    <w:rsid w:val="009056B8"/>
  </w:style>
  <w:style w:type="table" w:styleId="PlainTable2">
    <w:name w:val="Plain Table 2"/>
    <w:basedOn w:val="TableNormal"/>
    <w:uiPriority w:val="42"/>
    <w:rsid w:val="00C26EE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26EE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
    <w:name w:val="List Table 1 Light"/>
    <w:basedOn w:val="TableNormal"/>
    <w:uiPriority w:val="46"/>
    <w:rsid w:val="00C26EE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2411">
      <w:bodyDiv w:val="1"/>
      <w:marLeft w:val="0"/>
      <w:marRight w:val="0"/>
      <w:marTop w:val="0"/>
      <w:marBottom w:val="0"/>
      <w:divBdr>
        <w:top w:val="none" w:sz="0" w:space="0" w:color="auto"/>
        <w:left w:val="none" w:sz="0" w:space="0" w:color="auto"/>
        <w:bottom w:val="none" w:sz="0" w:space="0" w:color="auto"/>
        <w:right w:val="none" w:sz="0" w:space="0" w:color="auto"/>
      </w:divBdr>
    </w:div>
    <w:div w:id="117114350">
      <w:bodyDiv w:val="1"/>
      <w:marLeft w:val="0"/>
      <w:marRight w:val="0"/>
      <w:marTop w:val="0"/>
      <w:marBottom w:val="0"/>
      <w:divBdr>
        <w:top w:val="none" w:sz="0" w:space="0" w:color="auto"/>
        <w:left w:val="none" w:sz="0" w:space="0" w:color="auto"/>
        <w:bottom w:val="none" w:sz="0" w:space="0" w:color="auto"/>
        <w:right w:val="none" w:sz="0" w:space="0" w:color="auto"/>
      </w:divBdr>
    </w:div>
    <w:div w:id="138884387">
      <w:bodyDiv w:val="1"/>
      <w:marLeft w:val="0"/>
      <w:marRight w:val="0"/>
      <w:marTop w:val="0"/>
      <w:marBottom w:val="0"/>
      <w:divBdr>
        <w:top w:val="none" w:sz="0" w:space="0" w:color="auto"/>
        <w:left w:val="none" w:sz="0" w:space="0" w:color="auto"/>
        <w:bottom w:val="none" w:sz="0" w:space="0" w:color="auto"/>
        <w:right w:val="none" w:sz="0" w:space="0" w:color="auto"/>
      </w:divBdr>
    </w:div>
    <w:div w:id="384333933">
      <w:bodyDiv w:val="1"/>
      <w:marLeft w:val="0"/>
      <w:marRight w:val="0"/>
      <w:marTop w:val="0"/>
      <w:marBottom w:val="0"/>
      <w:divBdr>
        <w:top w:val="none" w:sz="0" w:space="0" w:color="auto"/>
        <w:left w:val="none" w:sz="0" w:space="0" w:color="auto"/>
        <w:bottom w:val="none" w:sz="0" w:space="0" w:color="auto"/>
        <w:right w:val="none" w:sz="0" w:space="0" w:color="auto"/>
      </w:divBdr>
    </w:div>
    <w:div w:id="514079101">
      <w:bodyDiv w:val="1"/>
      <w:marLeft w:val="0"/>
      <w:marRight w:val="0"/>
      <w:marTop w:val="0"/>
      <w:marBottom w:val="0"/>
      <w:divBdr>
        <w:top w:val="none" w:sz="0" w:space="0" w:color="auto"/>
        <w:left w:val="none" w:sz="0" w:space="0" w:color="auto"/>
        <w:bottom w:val="none" w:sz="0" w:space="0" w:color="auto"/>
        <w:right w:val="none" w:sz="0" w:space="0" w:color="auto"/>
      </w:divBdr>
    </w:div>
    <w:div w:id="596208971">
      <w:bodyDiv w:val="1"/>
      <w:marLeft w:val="0"/>
      <w:marRight w:val="0"/>
      <w:marTop w:val="0"/>
      <w:marBottom w:val="0"/>
      <w:divBdr>
        <w:top w:val="none" w:sz="0" w:space="0" w:color="auto"/>
        <w:left w:val="none" w:sz="0" w:space="0" w:color="auto"/>
        <w:bottom w:val="none" w:sz="0" w:space="0" w:color="auto"/>
        <w:right w:val="none" w:sz="0" w:space="0" w:color="auto"/>
      </w:divBdr>
    </w:div>
    <w:div w:id="675496357">
      <w:bodyDiv w:val="1"/>
      <w:marLeft w:val="0"/>
      <w:marRight w:val="0"/>
      <w:marTop w:val="0"/>
      <w:marBottom w:val="0"/>
      <w:divBdr>
        <w:top w:val="none" w:sz="0" w:space="0" w:color="auto"/>
        <w:left w:val="none" w:sz="0" w:space="0" w:color="auto"/>
        <w:bottom w:val="none" w:sz="0" w:space="0" w:color="auto"/>
        <w:right w:val="none" w:sz="0" w:space="0" w:color="auto"/>
      </w:divBdr>
    </w:div>
    <w:div w:id="786238618">
      <w:bodyDiv w:val="1"/>
      <w:marLeft w:val="0"/>
      <w:marRight w:val="0"/>
      <w:marTop w:val="0"/>
      <w:marBottom w:val="0"/>
      <w:divBdr>
        <w:top w:val="none" w:sz="0" w:space="0" w:color="auto"/>
        <w:left w:val="none" w:sz="0" w:space="0" w:color="auto"/>
        <w:bottom w:val="none" w:sz="0" w:space="0" w:color="auto"/>
        <w:right w:val="none" w:sz="0" w:space="0" w:color="auto"/>
      </w:divBdr>
    </w:div>
    <w:div w:id="793983860">
      <w:bodyDiv w:val="1"/>
      <w:marLeft w:val="0"/>
      <w:marRight w:val="0"/>
      <w:marTop w:val="0"/>
      <w:marBottom w:val="0"/>
      <w:divBdr>
        <w:top w:val="none" w:sz="0" w:space="0" w:color="auto"/>
        <w:left w:val="none" w:sz="0" w:space="0" w:color="auto"/>
        <w:bottom w:val="none" w:sz="0" w:space="0" w:color="auto"/>
        <w:right w:val="none" w:sz="0" w:space="0" w:color="auto"/>
      </w:divBdr>
    </w:div>
    <w:div w:id="848327226">
      <w:bodyDiv w:val="1"/>
      <w:marLeft w:val="0"/>
      <w:marRight w:val="0"/>
      <w:marTop w:val="0"/>
      <w:marBottom w:val="0"/>
      <w:divBdr>
        <w:top w:val="none" w:sz="0" w:space="0" w:color="auto"/>
        <w:left w:val="none" w:sz="0" w:space="0" w:color="auto"/>
        <w:bottom w:val="none" w:sz="0" w:space="0" w:color="auto"/>
        <w:right w:val="none" w:sz="0" w:space="0" w:color="auto"/>
      </w:divBdr>
    </w:div>
    <w:div w:id="1142818558">
      <w:bodyDiv w:val="1"/>
      <w:marLeft w:val="0"/>
      <w:marRight w:val="0"/>
      <w:marTop w:val="0"/>
      <w:marBottom w:val="0"/>
      <w:divBdr>
        <w:top w:val="none" w:sz="0" w:space="0" w:color="auto"/>
        <w:left w:val="none" w:sz="0" w:space="0" w:color="auto"/>
        <w:bottom w:val="none" w:sz="0" w:space="0" w:color="auto"/>
        <w:right w:val="none" w:sz="0" w:space="0" w:color="auto"/>
      </w:divBdr>
    </w:div>
    <w:div w:id="1192953824">
      <w:bodyDiv w:val="1"/>
      <w:marLeft w:val="0"/>
      <w:marRight w:val="0"/>
      <w:marTop w:val="0"/>
      <w:marBottom w:val="0"/>
      <w:divBdr>
        <w:top w:val="none" w:sz="0" w:space="0" w:color="auto"/>
        <w:left w:val="none" w:sz="0" w:space="0" w:color="auto"/>
        <w:bottom w:val="none" w:sz="0" w:space="0" w:color="auto"/>
        <w:right w:val="none" w:sz="0" w:space="0" w:color="auto"/>
      </w:divBdr>
    </w:div>
    <w:div w:id="1235552713">
      <w:bodyDiv w:val="1"/>
      <w:marLeft w:val="0"/>
      <w:marRight w:val="0"/>
      <w:marTop w:val="0"/>
      <w:marBottom w:val="0"/>
      <w:divBdr>
        <w:top w:val="none" w:sz="0" w:space="0" w:color="auto"/>
        <w:left w:val="none" w:sz="0" w:space="0" w:color="auto"/>
        <w:bottom w:val="none" w:sz="0" w:space="0" w:color="auto"/>
        <w:right w:val="none" w:sz="0" w:space="0" w:color="auto"/>
      </w:divBdr>
    </w:div>
    <w:div w:id="1355032906">
      <w:bodyDiv w:val="1"/>
      <w:marLeft w:val="0"/>
      <w:marRight w:val="0"/>
      <w:marTop w:val="0"/>
      <w:marBottom w:val="0"/>
      <w:divBdr>
        <w:top w:val="none" w:sz="0" w:space="0" w:color="auto"/>
        <w:left w:val="none" w:sz="0" w:space="0" w:color="auto"/>
        <w:bottom w:val="none" w:sz="0" w:space="0" w:color="auto"/>
        <w:right w:val="none" w:sz="0" w:space="0" w:color="auto"/>
      </w:divBdr>
    </w:div>
    <w:div w:id="1426731191">
      <w:bodyDiv w:val="1"/>
      <w:marLeft w:val="0"/>
      <w:marRight w:val="0"/>
      <w:marTop w:val="0"/>
      <w:marBottom w:val="0"/>
      <w:divBdr>
        <w:top w:val="none" w:sz="0" w:space="0" w:color="auto"/>
        <w:left w:val="none" w:sz="0" w:space="0" w:color="auto"/>
        <w:bottom w:val="none" w:sz="0" w:space="0" w:color="auto"/>
        <w:right w:val="none" w:sz="0" w:space="0" w:color="auto"/>
      </w:divBdr>
    </w:div>
    <w:div w:id="1536427482">
      <w:bodyDiv w:val="1"/>
      <w:marLeft w:val="0"/>
      <w:marRight w:val="0"/>
      <w:marTop w:val="0"/>
      <w:marBottom w:val="0"/>
      <w:divBdr>
        <w:top w:val="none" w:sz="0" w:space="0" w:color="auto"/>
        <w:left w:val="none" w:sz="0" w:space="0" w:color="auto"/>
        <w:bottom w:val="none" w:sz="0" w:space="0" w:color="auto"/>
        <w:right w:val="none" w:sz="0" w:space="0" w:color="auto"/>
      </w:divBdr>
      <w:divsChild>
        <w:div w:id="1190993060">
          <w:marLeft w:val="0"/>
          <w:marRight w:val="0"/>
          <w:marTop w:val="0"/>
          <w:marBottom w:val="0"/>
          <w:divBdr>
            <w:top w:val="none" w:sz="0" w:space="0" w:color="auto"/>
            <w:left w:val="none" w:sz="0" w:space="0" w:color="auto"/>
            <w:bottom w:val="none" w:sz="0" w:space="0" w:color="auto"/>
            <w:right w:val="none" w:sz="0" w:space="0" w:color="auto"/>
          </w:divBdr>
          <w:divsChild>
            <w:div w:id="12830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12429">
      <w:bodyDiv w:val="1"/>
      <w:marLeft w:val="0"/>
      <w:marRight w:val="0"/>
      <w:marTop w:val="0"/>
      <w:marBottom w:val="0"/>
      <w:divBdr>
        <w:top w:val="none" w:sz="0" w:space="0" w:color="auto"/>
        <w:left w:val="none" w:sz="0" w:space="0" w:color="auto"/>
        <w:bottom w:val="none" w:sz="0" w:space="0" w:color="auto"/>
        <w:right w:val="none" w:sz="0" w:space="0" w:color="auto"/>
      </w:divBdr>
    </w:div>
    <w:div w:id="1739130256">
      <w:bodyDiv w:val="1"/>
      <w:marLeft w:val="0"/>
      <w:marRight w:val="0"/>
      <w:marTop w:val="0"/>
      <w:marBottom w:val="0"/>
      <w:divBdr>
        <w:top w:val="none" w:sz="0" w:space="0" w:color="auto"/>
        <w:left w:val="none" w:sz="0" w:space="0" w:color="auto"/>
        <w:bottom w:val="none" w:sz="0" w:space="0" w:color="auto"/>
        <w:right w:val="none" w:sz="0" w:space="0" w:color="auto"/>
      </w:divBdr>
      <w:divsChild>
        <w:div w:id="981426242">
          <w:marLeft w:val="0"/>
          <w:marRight w:val="0"/>
          <w:marTop w:val="0"/>
          <w:marBottom w:val="0"/>
          <w:divBdr>
            <w:top w:val="none" w:sz="0" w:space="0" w:color="auto"/>
            <w:left w:val="none" w:sz="0" w:space="0" w:color="auto"/>
            <w:bottom w:val="none" w:sz="0" w:space="0" w:color="auto"/>
            <w:right w:val="none" w:sz="0" w:space="0" w:color="auto"/>
          </w:divBdr>
          <w:divsChild>
            <w:div w:id="598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88962">
      <w:bodyDiv w:val="1"/>
      <w:marLeft w:val="0"/>
      <w:marRight w:val="0"/>
      <w:marTop w:val="0"/>
      <w:marBottom w:val="0"/>
      <w:divBdr>
        <w:top w:val="none" w:sz="0" w:space="0" w:color="auto"/>
        <w:left w:val="none" w:sz="0" w:space="0" w:color="auto"/>
        <w:bottom w:val="none" w:sz="0" w:space="0" w:color="auto"/>
        <w:right w:val="none" w:sz="0" w:space="0" w:color="auto"/>
      </w:divBdr>
    </w:div>
    <w:div w:id="1811971726">
      <w:bodyDiv w:val="1"/>
      <w:marLeft w:val="0"/>
      <w:marRight w:val="0"/>
      <w:marTop w:val="0"/>
      <w:marBottom w:val="0"/>
      <w:divBdr>
        <w:top w:val="none" w:sz="0" w:space="0" w:color="auto"/>
        <w:left w:val="none" w:sz="0" w:space="0" w:color="auto"/>
        <w:bottom w:val="none" w:sz="0" w:space="0" w:color="auto"/>
        <w:right w:val="none" w:sz="0" w:space="0" w:color="auto"/>
      </w:divBdr>
    </w:div>
    <w:div w:id="1816946735">
      <w:bodyDiv w:val="1"/>
      <w:marLeft w:val="0"/>
      <w:marRight w:val="0"/>
      <w:marTop w:val="0"/>
      <w:marBottom w:val="0"/>
      <w:divBdr>
        <w:top w:val="none" w:sz="0" w:space="0" w:color="auto"/>
        <w:left w:val="none" w:sz="0" w:space="0" w:color="auto"/>
        <w:bottom w:val="none" w:sz="0" w:space="0" w:color="auto"/>
        <w:right w:val="none" w:sz="0" w:space="0" w:color="auto"/>
      </w:divBdr>
    </w:div>
    <w:div w:id="1829982643">
      <w:bodyDiv w:val="1"/>
      <w:marLeft w:val="0"/>
      <w:marRight w:val="0"/>
      <w:marTop w:val="0"/>
      <w:marBottom w:val="0"/>
      <w:divBdr>
        <w:top w:val="none" w:sz="0" w:space="0" w:color="auto"/>
        <w:left w:val="none" w:sz="0" w:space="0" w:color="auto"/>
        <w:bottom w:val="none" w:sz="0" w:space="0" w:color="auto"/>
        <w:right w:val="none" w:sz="0" w:space="0" w:color="auto"/>
      </w:divBdr>
    </w:div>
    <w:div w:id="1966307045">
      <w:bodyDiv w:val="1"/>
      <w:marLeft w:val="0"/>
      <w:marRight w:val="0"/>
      <w:marTop w:val="0"/>
      <w:marBottom w:val="0"/>
      <w:divBdr>
        <w:top w:val="none" w:sz="0" w:space="0" w:color="auto"/>
        <w:left w:val="none" w:sz="0" w:space="0" w:color="auto"/>
        <w:bottom w:val="none" w:sz="0" w:space="0" w:color="auto"/>
        <w:right w:val="none" w:sz="0" w:space="0" w:color="auto"/>
      </w:divBdr>
    </w:div>
    <w:div w:id="200188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CE0FF-DC72-4FB6-829A-8CD650ED2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16343</Words>
  <Characters>93156</Characters>
  <Application>Microsoft Office Word</Application>
  <DocSecurity>0</DocSecurity>
  <Lines>776</Lines>
  <Paragraphs>218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Sévérin N'DO</dc:creator>
  <cp:keywords/>
  <dc:description/>
  <cp:lastModifiedBy>srishiva9000@outlook.com</cp:lastModifiedBy>
  <cp:revision>2</cp:revision>
  <cp:lastPrinted>2026-01-03T14:03:00Z</cp:lastPrinted>
  <dcterms:created xsi:type="dcterms:W3CDTF">2026-01-03T15:42:00Z</dcterms:created>
  <dcterms:modified xsi:type="dcterms:W3CDTF">2026-01-03T15:42:00Z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id="S5If8EKR"/&gt;&lt;style id="http://www.zotero.org/styles/accounting-forum" hasBibliography="1" bibliographyStyleHasBeenSet="1"/&gt;&lt;prefs&gt;&lt;pref name="fieldType" value="Field"/&gt;&lt;pref name="delayCitationUpd</vt:lpwstr>
  </property>
  <property fmtid="{D5CDD505-2E9C-101B-9397-08002B2CF9AE}" pid="3" name="ZOTERO_PREF_2">
    <vt:lpwstr>ates" value="true"/&gt;&lt;/prefs&gt;&lt;/data&gt;</vt:lpwstr>
  </property>
</Properties>
</file>