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3DED6" w14:textId="27C2D7DF" w:rsidR="00020A0A" w:rsidRPr="00020A0A" w:rsidRDefault="00020A0A" w:rsidP="00020A0A">
      <w:pPr>
        <w:pStyle w:val="Heading1"/>
        <w:pBdr>
          <w:bottom w:val="single" w:sz="4" w:space="1" w:color="auto"/>
        </w:pBdr>
        <w:spacing w:line="276" w:lineRule="auto"/>
        <w:rPr>
          <w:rFonts w:ascii="Arial" w:hAnsi="Arial" w:cs="Arial"/>
          <w:b/>
          <w:bCs/>
          <w:color w:val="auto"/>
          <w:sz w:val="22"/>
          <w:szCs w:val="22"/>
          <w:u w:val="single"/>
        </w:rPr>
      </w:pPr>
      <w:r w:rsidRPr="00020A0A">
        <w:rPr>
          <w:rFonts w:ascii="Arial" w:hAnsi="Arial" w:cs="Arial"/>
          <w:b/>
          <w:bCs/>
          <w:color w:val="auto"/>
          <w:sz w:val="22"/>
          <w:szCs w:val="22"/>
          <w:u w:val="single"/>
        </w:rPr>
        <w:t>Original Research Article</w:t>
      </w:r>
    </w:p>
    <w:p w14:paraId="3F8C4008" w14:textId="3DA0F781" w:rsidR="00EF6577" w:rsidRDefault="00EF6577" w:rsidP="00110AF7">
      <w:pPr>
        <w:pStyle w:val="Heading1"/>
        <w:pBdr>
          <w:bottom w:val="single" w:sz="4" w:space="1" w:color="auto"/>
        </w:pBdr>
        <w:spacing w:line="276" w:lineRule="auto"/>
        <w:jc w:val="right"/>
        <w:rPr>
          <w:rFonts w:ascii="Arial" w:hAnsi="Arial" w:cs="Arial"/>
          <w:b/>
          <w:bCs/>
          <w:color w:val="auto"/>
          <w:sz w:val="22"/>
          <w:szCs w:val="22"/>
        </w:rPr>
      </w:pPr>
      <w:r w:rsidRPr="009B366E">
        <w:rPr>
          <w:rFonts w:ascii="Arial" w:hAnsi="Arial" w:cs="Arial"/>
          <w:b/>
          <w:bCs/>
          <w:color w:val="auto"/>
          <w:sz w:val="22"/>
          <w:szCs w:val="22"/>
        </w:rPr>
        <w:t>Effects of Salinity on Biofortified Common Bean (</w:t>
      </w:r>
      <w:r w:rsidRPr="009B366E">
        <w:rPr>
          <w:rFonts w:ascii="Arial" w:hAnsi="Arial" w:cs="Arial"/>
          <w:b/>
          <w:bCs/>
          <w:i/>
          <w:iCs/>
          <w:color w:val="auto"/>
          <w:sz w:val="22"/>
          <w:szCs w:val="22"/>
        </w:rPr>
        <w:t>Phaseolus vulgaris</w:t>
      </w:r>
      <w:r w:rsidRPr="009B366E">
        <w:rPr>
          <w:rFonts w:ascii="Arial" w:hAnsi="Arial" w:cs="Arial"/>
          <w:b/>
          <w:bCs/>
          <w:color w:val="auto"/>
          <w:sz w:val="22"/>
          <w:szCs w:val="22"/>
        </w:rPr>
        <w:t xml:space="preserve"> L.) Varieties</w:t>
      </w:r>
      <w:r w:rsidR="004E1729" w:rsidRPr="009B366E">
        <w:rPr>
          <w:rFonts w:ascii="Arial" w:hAnsi="Arial" w:cs="Arial"/>
          <w:b/>
          <w:bCs/>
          <w:color w:val="auto"/>
          <w:sz w:val="22"/>
          <w:szCs w:val="22"/>
        </w:rPr>
        <w:t xml:space="preserve"> for Seed Germination and Seed Vigour</w:t>
      </w:r>
    </w:p>
    <w:p w14:paraId="0B183615" w14:textId="77777777" w:rsidR="00110AF7" w:rsidRPr="00110AF7" w:rsidRDefault="00110AF7" w:rsidP="00110AF7">
      <w:pPr>
        <w:pBdr>
          <w:bottom w:val="single" w:sz="4" w:space="1" w:color="auto"/>
        </w:pBdr>
      </w:pPr>
    </w:p>
    <w:p w14:paraId="5430DA02" w14:textId="77777777" w:rsidR="00020A0A" w:rsidRPr="00D75B88" w:rsidRDefault="00020A0A" w:rsidP="00020A0A">
      <w:pPr>
        <w:jc w:val="right"/>
        <w:rPr>
          <w:rFonts w:ascii="Arial" w:hAnsi="Arial" w:cs="Arial"/>
          <w:b/>
          <w:bCs/>
          <w:sz w:val="20"/>
          <w:szCs w:val="20"/>
          <w:lang w:val="en-IN"/>
        </w:rPr>
      </w:pPr>
    </w:p>
    <w:p w14:paraId="54836210" w14:textId="2E0D4ABD" w:rsidR="00020A0A" w:rsidRPr="009B366E" w:rsidRDefault="00020A0A" w:rsidP="00110AF7">
      <w:pPr>
        <w:pBdr>
          <w:bottom w:val="single" w:sz="4" w:space="1" w:color="auto"/>
        </w:pBdr>
        <w:spacing w:after="60" w:line="276" w:lineRule="auto"/>
        <w:jc w:val="right"/>
        <w:rPr>
          <w:rFonts w:ascii="Arial" w:hAnsi="Arial" w:cs="Arial"/>
          <w:sz w:val="22"/>
          <w:szCs w:val="22"/>
        </w:rPr>
      </w:pPr>
      <w:r>
        <w:rPr>
          <w:rFonts w:ascii="Arial" w:hAnsi="Arial" w:cs="Arial"/>
          <w:sz w:val="22"/>
          <w:szCs w:val="22"/>
        </w:rPr>
        <w:t xml:space="preserve"> </w:t>
      </w:r>
    </w:p>
    <w:p w14:paraId="506E8635" w14:textId="77777777" w:rsidR="00110AF7" w:rsidRDefault="00110AF7" w:rsidP="00110AF7">
      <w:pPr>
        <w:pBdr>
          <w:bottom w:val="single" w:sz="4" w:space="1" w:color="auto"/>
        </w:pBdr>
        <w:spacing w:after="240" w:line="276" w:lineRule="auto"/>
        <w:rPr>
          <w:rFonts w:ascii="Arial" w:hAnsi="Arial" w:cs="Arial"/>
          <w:sz w:val="22"/>
          <w:szCs w:val="22"/>
        </w:rPr>
      </w:pPr>
    </w:p>
    <w:p w14:paraId="01320B5A" w14:textId="3AD675B5" w:rsidR="00FB6D26" w:rsidRPr="009B366E" w:rsidRDefault="00FB6D26" w:rsidP="00110AF7">
      <w:pPr>
        <w:spacing w:after="240" w:line="276" w:lineRule="auto"/>
        <w:rPr>
          <w:rFonts w:ascii="Arial" w:hAnsi="Arial" w:cs="Arial"/>
          <w:sz w:val="22"/>
          <w:szCs w:val="22"/>
        </w:rPr>
      </w:pPr>
      <w:r w:rsidRPr="009B366E">
        <w:rPr>
          <w:rFonts w:ascii="Arial" w:hAnsi="Arial" w:cs="Arial"/>
          <w:b/>
          <w:bCs/>
          <w:sz w:val="22"/>
          <w:szCs w:val="22"/>
        </w:rPr>
        <w:t>ABSTRACT</w:t>
      </w:r>
    </w:p>
    <w:p w14:paraId="5AD3FA92" w14:textId="1583C967" w:rsidR="00D33B28" w:rsidRDefault="00D33B28" w:rsidP="00AD171B">
      <w:pPr>
        <w:pBdr>
          <w:top w:val="single" w:sz="4" w:space="1" w:color="auto"/>
          <w:left w:val="single" w:sz="4" w:space="4" w:color="auto"/>
          <w:bottom w:val="single" w:sz="4" w:space="1" w:color="auto"/>
          <w:right w:val="single" w:sz="4" w:space="4" w:color="auto"/>
        </w:pBdr>
        <w:spacing w:before="120" w:after="120" w:line="276" w:lineRule="auto"/>
        <w:jc w:val="both"/>
      </w:pPr>
      <w:r>
        <w:t>Soil salinity threatens global food security, affecting over 800 million hectares of farmland, including approximately 2 million hectares in Tanzania. Common bean (</w:t>
      </w:r>
      <w:r>
        <w:rPr>
          <w:rStyle w:val="Emphasis"/>
        </w:rPr>
        <w:t>Phaseolus vulgaris</w:t>
      </w:r>
      <w:r>
        <w:t xml:space="preserve"> L.) is susceptible to salt stress during germination and early seedling development. The performance of recently released biofortified common bean varieties in Tanzania remains unexplored, raising concerns about potential trade-offs between enhanced nutrition and stress resilience. This study evaluated the effects of salinity on seed germination and seedling vigour in biofortified common bean varieties to identify those with superior salt tolerance for salt-affected areas. Seven varieties</w:t>
      </w:r>
      <w:r w:rsidR="003B64F3">
        <w:t>, six biofortified cultivars (SELIAN14, JESCA, TARIBEAN 2, TARIBEAN 4, TARIBEAN 5, TARIBEAN 6),</w:t>
      </w:r>
      <w:r>
        <w:t xml:space="preserve"> and one non-biofortified control (TARIBEAN 1) were tested under four NaCl concentrations (0, 50, 100, and 150 mM) using a completely randomized factorial design with three replicates. Two-way ANOVA revealed that salinity significantly affected (p &lt; 0.001) germination, shoot length, fresh and dry weight, and seedling vigour indices. Increasing salinity reduced cumulative germination from 98-100% to 59-67</w:t>
      </w:r>
      <w:r w:rsidR="001D0A9A">
        <w:t>%, decreased shoot length by 25-</w:t>
      </w:r>
      <w:r>
        <w:t>35%, and lowered vigour index I by 50-60% at 150 mM NaCl. Significant varietal differences were observed for root length (p &lt; 0.05), fresh weight (p &lt; 0.001), dry weight (p &lt; 0.001), and vigour index II (p &lt; 0.01). SELIAN14, TARIBEAN 5, and TARIBEAN 6 demonstrated greater salt tolerance, maintaining higher biomass and vigour indices, while TARIBEAN 2 was more sensitive. These salt-tolerant</w:t>
      </w:r>
      <w:r w:rsidR="003B64F3">
        <w:t xml:space="preserve">, biofortified varieties are recommended for cultivation in salt-affected regions and as donor parents in breeding programs </w:t>
      </w:r>
      <w:r w:rsidR="008E2D55">
        <w:t>to develop</w:t>
      </w:r>
      <w:r w:rsidR="003B64F3">
        <w:t xml:space="preserve"> climate-resilient, nutrient-rich common beans</w:t>
      </w:r>
      <w:r>
        <w:t xml:space="preserve"> in sub-Saharan Africa.</w:t>
      </w:r>
    </w:p>
    <w:p w14:paraId="6EA4B6B5" w14:textId="4AD75FD7" w:rsidR="00FB6D26" w:rsidRPr="009B366E" w:rsidRDefault="00FB6D26" w:rsidP="0018624A">
      <w:pPr>
        <w:spacing w:before="120" w:after="120" w:line="276" w:lineRule="auto"/>
        <w:jc w:val="both"/>
        <w:rPr>
          <w:rFonts w:ascii="Arial" w:hAnsi="Arial" w:cs="Arial"/>
          <w:sz w:val="22"/>
          <w:szCs w:val="22"/>
        </w:rPr>
      </w:pPr>
      <w:r w:rsidRPr="009B366E">
        <w:rPr>
          <w:rFonts w:ascii="Arial" w:hAnsi="Arial" w:cs="Arial"/>
          <w:b/>
          <w:bCs/>
          <w:sz w:val="22"/>
          <w:szCs w:val="22"/>
        </w:rPr>
        <w:t xml:space="preserve">Keywords: </w:t>
      </w:r>
      <w:r w:rsidRPr="009B366E">
        <w:rPr>
          <w:rFonts w:ascii="Arial" w:hAnsi="Arial" w:cs="Arial"/>
          <w:sz w:val="22"/>
          <w:szCs w:val="22"/>
        </w:rPr>
        <w:t xml:space="preserve">salinity stress; biofortification; </w:t>
      </w:r>
      <w:r w:rsidRPr="009B366E">
        <w:rPr>
          <w:rFonts w:ascii="Arial" w:hAnsi="Arial" w:cs="Arial"/>
          <w:i/>
          <w:iCs/>
          <w:sz w:val="22"/>
          <w:szCs w:val="22"/>
        </w:rPr>
        <w:t>Phaseolus vulgaris</w:t>
      </w:r>
      <w:r w:rsidRPr="009B366E">
        <w:rPr>
          <w:rFonts w:ascii="Arial" w:hAnsi="Arial" w:cs="Arial"/>
          <w:sz w:val="22"/>
          <w:szCs w:val="22"/>
        </w:rPr>
        <w:t>; seed vigo</w:t>
      </w:r>
      <w:r w:rsidR="006675DF">
        <w:rPr>
          <w:rFonts w:ascii="Arial" w:hAnsi="Arial" w:cs="Arial"/>
          <w:sz w:val="22"/>
          <w:szCs w:val="22"/>
        </w:rPr>
        <w:t>u</w:t>
      </w:r>
      <w:r w:rsidRPr="009B366E">
        <w:rPr>
          <w:rFonts w:ascii="Arial" w:hAnsi="Arial" w:cs="Arial"/>
          <w:sz w:val="22"/>
          <w:szCs w:val="22"/>
        </w:rPr>
        <w:t>r; genotypic variation; food security; climate resilience; micronutrient deficiency</w:t>
      </w:r>
    </w:p>
    <w:p w14:paraId="400224EE" w14:textId="77777777" w:rsidR="00FF6CD9" w:rsidRPr="009B366E" w:rsidRDefault="00FF6CD9" w:rsidP="0018624A">
      <w:pPr>
        <w:spacing w:before="120" w:after="120" w:line="276" w:lineRule="auto"/>
        <w:jc w:val="both"/>
        <w:rPr>
          <w:rFonts w:ascii="Arial" w:hAnsi="Arial" w:cs="Arial"/>
          <w:b/>
          <w:bCs/>
          <w:sz w:val="22"/>
          <w:szCs w:val="22"/>
        </w:rPr>
      </w:pPr>
    </w:p>
    <w:p w14:paraId="2D4F9CF2" w14:textId="77777777" w:rsidR="00FF6CD9" w:rsidRPr="009B366E" w:rsidRDefault="00FF6CD9" w:rsidP="0018624A">
      <w:pPr>
        <w:spacing w:before="120" w:after="120" w:line="276" w:lineRule="auto"/>
        <w:jc w:val="both"/>
        <w:rPr>
          <w:rFonts w:ascii="Arial" w:hAnsi="Arial" w:cs="Arial"/>
          <w:b/>
          <w:bCs/>
          <w:sz w:val="22"/>
          <w:szCs w:val="22"/>
        </w:rPr>
      </w:pPr>
    </w:p>
    <w:p w14:paraId="6244CBA0" w14:textId="77777777" w:rsidR="00FF6CD9" w:rsidRPr="009B366E" w:rsidRDefault="00FF6CD9" w:rsidP="0018624A">
      <w:pPr>
        <w:spacing w:before="120" w:after="120" w:line="276" w:lineRule="auto"/>
        <w:jc w:val="both"/>
        <w:rPr>
          <w:rFonts w:ascii="Arial" w:hAnsi="Arial" w:cs="Arial"/>
          <w:b/>
          <w:bCs/>
          <w:sz w:val="22"/>
          <w:szCs w:val="22"/>
        </w:rPr>
      </w:pPr>
    </w:p>
    <w:p w14:paraId="04449F8E" w14:textId="07151AA6" w:rsidR="00FF6CD9" w:rsidRDefault="00FF6CD9" w:rsidP="0018624A">
      <w:pPr>
        <w:spacing w:before="120" w:after="120" w:line="276" w:lineRule="auto"/>
        <w:jc w:val="both"/>
        <w:rPr>
          <w:rFonts w:ascii="Arial" w:hAnsi="Arial" w:cs="Arial"/>
          <w:b/>
          <w:bCs/>
          <w:sz w:val="22"/>
          <w:szCs w:val="22"/>
        </w:rPr>
      </w:pPr>
    </w:p>
    <w:p w14:paraId="4FAC0182" w14:textId="14C2C2B4" w:rsidR="00C02E1D" w:rsidRDefault="00C02E1D" w:rsidP="0018624A">
      <w:pPr>
        <w:spacing w:before="120" w:after="120" w:line="276" w:lineRule="auto"/>
        <w:jc w:val="both"/>
        <w:rPr>
          <w:rFonts w:ascii="Arial" w:hAnsi="Arial" w:cs="Arial"/>
          <w:b/>
          <w:bCs/>
          <w:sz w:val="22"/>
          <w:szCs w:val="22"/>
        </w:rPr>
      </w:pPr>
    </w:p>
    <w:p w14:paraId="0EB42B24" w14:textId="30E7BCF3" w:rsidR="00C02E1D" w:rsidRDefault="00C02E1D" w:rsidP="0018624A">
      <w:pPr>
        <w:spacing w:before="120" w:after="120" w:line="276" w:lineRule="auto"/>
        <w:jc w:val="both"/>
        <w:rPr>
          <w:rFonts w:ascii="Arial" w:hAnsi="Arial" w:cs="Arial"/>
          <w:b/>
          <w:bCs/>
          <w:sz w:val="22"/>
          <w:szCs w:val="22"/>
        </w:rPr>
      </w:pPr>
    </w:p>
    <w:p w14:paraId="45488AF2" w14:textId="0B07497F" w:rsidR="00C02E1D" w:rsidRDefault="00C02E1D" w:rsidP="0018624A">
      <w:pPr>
        <w:spacing w:before="120" w:after="120" w:line="276" w:lineRule="auto"/>
        <w:jc w:val="both"/>
        <w:rPr>
          <w:rFonts w:ascii="Arial" w:hAnsi="Arial" w:cs="Arial"/>
          <w:b/>
          <w:bCs/>
          <w:sz w:val="22"/>
          <w:szCs w:val="22"/>
        </w:rPr>
      </w:pPr>
    </w:p>
    <w:p w14:paraId="319B4FF9" w14:textId="77777777" w:rsidR="00C02E1D" w:rsidRPr="009B366E" w:rsidRDefault="00C02E1D" w:rsidP="0018624A">
      <w:pPr>
        <w:spacing w:before="120" w:after="120" w:line="276" w:lineRule="auto"/>
        <w:jc w:val="both"/>
        <w:rPr>
          <w:rFonts w:ascii="Arial" w:hAnsi="Arial" w:cs="Arial"/>
          <w:b/>
          <w:bCs/>
          <w:sz w:val="22"/>
          <w:szCs w:val="22"/>
        </w:rPr>
      </w:pPr>
    </w:p>
    <w:p w14:paraId="57A9C9AD" w14:textId="77777777" w:rsidR="002C40F8" w:rsidRPr="009B366E" w:rsidRDefault="002C40F8" w:rsidP="0018624A">
      <w:pPr>
        <w:spacing w:before="120" w:after="120" w:line="276" w:lineRule="auto"/>
        <w:jc w:val="both"/>
        <w:rPr>
          <w:rFonts w:ascii="Arial" w:hAnsi="Arial" w:cs="Arial"/>
          <w:b/>
          <w:bCs/>
          <w:sz w:val="22"/>
          <w:szCs w:val="22"/>
        </w:rPr>
      </w:pPr>
    </w:p>
    <w:p w14:paraId="27AAC971" w14:textId="77777777" w:rsidR="002C40F8" w:rsidRPr="009B366E" w:rsidRDefault="002C40F8" w:rsidP="0018624A">
      <w:pPr>
        <w:spacing w:before="120" w:after="120" w:line="276" w:lineRule="auto"/>
        <w:jc w:val="both"/>
        <w:rPr>
          <w:rFonts w:ascii="Arial" w:hAnsi="Arial" w:cs="Arial"/>
          <w:b/>
          <w:bCs/>
          <w:sz w:val="22"/>
          <w:szCs w:val="22"/>
        </w:rPr>
      </w:pPr>
    </w:p>
    <w:p w14:paraId="5DFEB47D" w14:textId="77777777" w:rsidR="00FB6D26" w:rsidRPr="009B366E" w:rsidRDefault="00FB6D26" w:rsidP="0018624A">
      <w:pPr>
        <w:spacing w:before="120" w:after="120" w:line="276" w:lineRule="auto"/>
        <w:jc w:val="both"/>
        <w:rPr>
          <w:rFonts w:ascii="Arial" w:hAnsi="Arial" w:cs="Arial"/>
          <w:sz w:val="22"/>
          <w:szCs w:val="22"/>
        </w:rPr>
      </w:pPr>
      <w:r w:rsidRPr="009B366E">
        <w:rPr>
          <w:rFonts w:ascii="Arial" w:hAnsi="Arial" w:cs="Arial"/>
          <w:b/>
          <w:bCs/>
          <w:sz w:val="22"/>
          <w:szCs w:val="22"/>
        </w:rPr>
        <w:t>1. INTRODUCTION</w:t>
      </w:r>
    </w:p>
    <w:p w14:paraId="0DF51DB0" w14:textId="2CF088ED" w:rsidR="00401285" w:rsidRPr="000A1B77" w:rsidRDefault="00FB6D26" w:rsidP="0018624A">
      <w:pPr>
        <w:spacing w:before="120" w:after="120" w:line="276" w:lineRule="auto"/>
        <w:jc w:val="both"/>
        <w:rPr>
          <w:rFonts w:ascii="Arial" w:hAnsi="Arial" w:cs="Arial"/>
          <w:sz w:val="20"/>
          <w:szCs w:val="20"/>
        </w:rPr>
      </w:pPr>
      <w:r w:rsidRPr="000A1B77">
        <w:rPr>
          <w:rFonts w:ascii="Arial" w:hAnsi="Arial" w:cs="Arial"/>
          <w:sz w:val="20"/>
          <w:szCs w:val="20"/>
        </w:rPr>
        <w:t>Common bean (</w:t>
      </w:r>
      <w:r w:rsidRPr="000A1B77">
        <w:rPr>
          <w:rFonts w:ascii="Arial" w:hAnsi="Arial" w:cs="Arial"/>
          <w:i/>
          <w:iCs/>
          <w:sz w:val="20"/>
          <w:szCs w:val="20"/>
        </w:rPr>
        <w:t>Phaseolus vulgaris</w:t>
      </w:r>
      <w:r w:rsidRPr="000A1B77">
        <w:rPr>
          <w:rFonts w:ascii="Arial" w:hAnsi="Arial" w:cs="Arial"/>
          <w:sz w:val="20"/>
          <w:szCs w:val="20"/>
        </w:rPr>
        <w:t xml:space="preserve"> L.) is a vital crop for human nutrition and health, and it contributes to improved soil fertility </w:t>
      </w:r>
      <w:r w:rsidR="00016930">
        <w:rPr>
          <w:rFonts w:ascii="Arial" w:hAnsi="Arial" w:cs="Arial"/>
          <w:sz w:val="20"/>
          <w:szCs w:val="20"/>
        </w:rPr>
        <w:t>[</w:t>
      </w:r>
      <w:hyperlink w:anchor="One" w:history="1">
        <w:r w:rsidR="00016930" w:rsidRPr="00016930">
          <w:rPr>
            <w:rStyle w:val="Hyperlink"/>
            <w:rFonts w:ascii="Arial" w:hAnsi="Arial" w:cs="Arial"/>
            <w:sz w:val="20"/>
            <w:szCs w:val="20"/>
          </w:rPr>
          <w:t>1</w:t>
        </w:r>
      </w:hyperlink>
      <w:r w:rsidR="00016930">
        <w:rPr>
          <w:rFonts w:ascii="Arial" w:hAnsi="Arial" w:cs="Arial"/>
          <w:sz w:val="20"/>
          <w:szCs w:val="20"/>
        </w:rPr>
        <w:t>]</w:t>
      </w:r>
      <w:r w:rsidRPr="000A1B77">
        <w:rPr>
          <w:rFonts w:ascii="Arial" w:hAnsi="Arial" w:cs="Arial"/>
          <w:sz w:val="20"/>
          <w:szCs w:val="20"/>
        </w:rPr>
        <w:t>. Globally, it ranks as the third most important herbaceous annual grain legume and serves as a significant source of affordable protein (20</w:t>
      </w:r>
      <w:r w:rsidR="00A00F8E" w:rsidRPr="000A1B77">
        <w:rPr>
          <w:rFonts w:ascii="Arial" w:hAnsi="Arial" w:cs="Arial"/>
          <w:sz w:val="20"/>
          <w:szCs w:val="20"/>
        </w:rPr>
        <w:t>-</w:t>
      </w:r>
      <w:r w:rsidRPr="000A1B77">
        <w:rPr>
          <w:rFonts w:ascii="Arial" w:hAnsi="Arial" w:cs="Arial"/>
          <w:sz w:val="20"/>
          <w:szCs w:val="20"/>
        </w:rPr>
        <w:t>25%), complex carbohydrates, dietary fibre, and essential micronutrients such as iron and zinc, particularly among populations in sub-Saharan Africa. Africa has the highest global bean consumption, with annual per capita intake estimated at 50-60 kg</w:t>
      </w:r>
      <w:r w:rsidR="00342378" w:rsidRPr="000A1B77">
        <w:rPr>
          <w:rFonts w:ascii="Arial" w:hAnsi="Arial" w:cs="Arial"/>
          <w:color w:val="222222"/>
          <w:sz w:val="20"/>
          <w:szCs w:val="20"/>
          <w:shd w:val="clear" w:color="auto" w:fill="FFFFFF"/>
        </w:rPr>
        <w:t xml:space="preserve"> </w:t>
      </w:r>
      <w:r w:rsidR="00CB7DA1">
        <w:rPr>
          <w:rFonts w:ascii="Arial" w:hAnsi="Arial" w:cs="Arial"/>
          <w:color w:val="222222"/>
          <w:sz w:val="20"/>
          <w:szCs w:val="20"/>
          <w:shd w:val="clear" w:color="auto" w:fill="FFFFFF"/>
        </w:rPr>
        <w:t>[</w:t>
      </w:r>
      <w:hyperlink w:anchor="TWO" w:history="1">
        <w:r w:rsidR="00CB7DA1" w:rsidRPr="00CB7DA1">
          <w:rPr>
            <w:rStyle w:val="Hyperlink"/>
            <w:rFonts w:ascii="Arial" w:hAnsi="Arial" w:cs="Arial"/>
            <w:sz w:val="20"/>
            <w:szCs w:val="20"/>
            <w:shd w:val="clear" w:color="auto" w:fill="FFFFFF"/>
          </w:rPr>
          <w:t>2</w:t>
        </w:r>
      </w:hyperlink>
      <w:r w:rsidR="00CB7DA1">
        <w:rPr>
          <w:rFonts w:ascii="Arial" w:hAnsi="Arial" w:cs="Arial"/>
          <w:color w:val="222222"/>
          <w:sz w:val="20"/>
          <w:szCs w:val="20"/>
          <w:shd w:val="clear" w:color="auto" w:fill="FFFFFF"/>
        </w:rPr>
        <w:t>]</w:t>
      </w:r>
      <w:r w:rsidR="00342378" w:rsidRPr="000A1B77">
        <w:rPr>
          <w:rFonts w:ascii="Arial" w:hAnsi="Arial" w:cs="Arial"/>
          <w:sz w:val="20"/>
          <w:szCs w:val="20"/>
        </w:rPr>
        <w:t>.</w:t>
      </w:r>
      <w:r w:rsidRPr="000A1B77">
        <w:rPr>
          <w:rFonts w:ascii="Arial" w:hAnsi="Arial" w:cs="Arial"/>
          <w:sz w:val="20"/>
          <w:szCs w:val="20"/>
        </w:rPr>
        <w:t xml:space="preserve"> Tanzania is a leading producer</w:t>
      </w:r>
      <w:r w:rsidR="00C44FEB" w:rsidRPr="000A1B77">
        <w:rPr>
          <w:rFonts w:ascii="Arial" w:hAnsi="Arial" w:cs="Arial"/>
          <w:sz w:val="20"/>
          <w:szCs w:val="20"/>
        </w:rPr>
        <w:t xml:space="preserve"> of beans with annual production </w:t>
      </w:r>
      <w:r w:rsidR="00A94C2D" w:rsidRPr="000A1B77">
        <w:rPr>
          <w:rFonts w:ascii="Arial" w:hAnsi="Arial" w:cs="Arial"/>
          <w:sz w:val="20"/>
          <w:szCs w:val="20"/>
        </w:rPr>
        <w:t>of 1.2</w:t>
      </w:r>
      <w:r w:rsidRPr="000A1B77">
        <w:rPr>
          <w:rFonts w:ascii="Arial" w:hAnsi="Arial" w:cs="Arial"/>
          <w:sz w:val="20"/>
          <w:szCs w:val="20"/>
        </w:rPr>
        <w:t xml:space="preserve"> million tons, making it the top producer in Africa and the </w:t>
      </w:r>
      <w:r w:rsidR="001002B1">
        <w:rPr>
          <w:rFonts w:ascii="Arial" w:hAnsi="Arial" w:cs="Arial"/>
          <w:sz w:val="20"/>
          <w:szCs w:val="20"/>
        </w:rPr>
        <w:t>seventh globally</w:t>
      </w:r>
      <w:r w:rsidR="00431170">
        <w:rPr>
          <w:rFonts w:ascii="Arial" w:hAnsi="Arial" w:cs="Arial"/>
          <w:sz w:val="20"/>
          <w:szCs w:val="20"/>
        </w:rPr>
        <w:t>[</w:t>
      </w:r>
      <w:hyperlink w:anchor="THREE" w:history="1">
        <w:r w:rsidR="00431170" w:rsidRPr="001002B1">
          <w:rPr>
            <w:rStyle w:val="Hyperlink"/>
            <w:rFonts w:ascii="Arial" w:hAnsi="Arial" w:cs="Arial"/>
            <w:sz w:val="20"/>
            <w:szCs w:val="20"/>
          </w:rPr>
          <w:t>3</w:t>
        </w:r>
      </w:hyperlink>
      <w:r w:rsidR="00431170">
        <w:rPr>
          <w:rFonts w:ascii="Arial" w:hAnsi="Arial" w:cs="Arial"/>
          <w:sz w:val="20"/>
          <w:szCs w:val="20"/>
        </w:rPr>
        <w:t>]</w:t>
      </w:r>
      <w:r w:rsidR="00CB2834" w:rsidRPr="000A1B77">
        <w:rPr>
          <w:rFonts w:ascii="Arial" w:hAnsi="Arial" w:cs="Arial"/>
          <w:sz w:val="20"/>
          <w:szCs w:val="20"/>
        </w:rPr>
        <w:t xml:space="preserve">. </w:t>
      </w:r>
      <w:r w:rsidRPr="000A1B77">
        <w:rPr>
          <w:rFonts w:ascii="Arial" w:hAnsi="Arial" w:cs="Arial"/>
          <w:sz w:val="20"/>
          <w:szCs w:val="20"/>
        </w:rPr>
        <w:t xml:space="preserve"> </w:t>
      </w:r>
    </w:p>
    <w:p w14:paraId="523CF45B" w14:textId="73AC4FC7" w:rsidR="00401285" w:rsidRPr="000A1B77" w:rsidRDefault="00FB6D26" w:rsidP="0018624A">
      <w:pPr>
        <w:spacing w:before="120" w:after="120" w:line="276" w:lineRule="auto"/>
        <w:jc w:val="both"/>
        <w:rPr>
          <w:rFonts w:ascii="Arial" w:hAnsi="Arial" w:cs="Arial"/>
          <w:sz w:val="20"/>
          <w:szCs w:val="20"/>
        </w:rPr>
      </w:pPr>
      <w:r w:rsidRPr="000A1B77">
        <w:rPr>
          <w:rFonts w:ascii="Arial" w:hAnsi="Arial" w:cs="Arial"/>
          <w:sz w:val="20"/>
          <w:szCs w:val="20"/>
        </w:rPr>
        <w:t>Beans are a critical food and livelihood source, supporting about 5.8 million rural households for daily nutrition</w:t>
      </w:r>
      <w:r w:rsidR="003363A4" w:rsidRPr="000A1B77">
        <w:rPr>
          <w:rFonts w:ascii="Arial" w:hAnsi="Arial" w:cs="Arial"/>
          <w:color w:val="222222"/>
          <w:sz w:val="20"/>
          <w:szCs w:val="20"/>
          <w:shd w:val="clear" w:color="auto" w:fill="FFFFFF"/>
        </w:rPr>
        <w:t xml:space="preserve"> </w:t>
      </w:r>
      <w:r w:rsidR="00431170">
        <w:rPr>
          <w:rFonts w:ascii="Arial" w:hAnsi="Arial" w:cs="Arial"/>
          <w:color w:val="222222"/>
          <w:sz w:val="20"/>
          <w:szCs w:val="20"/>
          <w:shd w:val="clear" w:color="auto" w:fill="FFFFFF"/>
        </w:rPr>
        <w:t>[</w:t>
      </w:r>
      <w:hyperlink w:anchor="Four" w:history="1">
        <w:r w:rsidR="00431170" w:rsidRPr="009C3CF7">
          <w:rPr>
            <w:rStyle w:val="Hyperlink"/>
            <w:rFonts w:ascii="Arial" w:hAnsi="Arial" w:cs="Arial"/>
            <w:sz w:val="20"/>
            <w:szCs w:val="20"/>
            <w:shd w:val="clear" w:color="auto" w:fill="FFFFFF"/>
          </w:rPr>
          <w:t>4</w:t>
        </w:r>
      </w:hyperlink>
      <w:r w:rsidR="00431170">
        <w:rPr>
          <w:rFonts w:ascii="Arial" w:hAnsi="Arial" w:cs="Arial"/>
          <w:color w:val="222222"/>
          <w:sz w:val="20"/>
          <w:szCs w:val="20"/>
          <w:shd w:val="clear" w:color="auto" w:fill="FFFFFF"/>
        </w:rPr>
        <w:t>]</w:t>
      </w:r>
      <w:r w:rsidRPr="000A1B77">
        <w:rPr>
          <w:rFonts w:ascii="Arial" w:hAnsi="Arial" w:cs="Arial"/>
          <w:sz w:val="20"/>
          <w:szCs w:val="20"/>
        </w:rPr>
        <w:t>. National per capita consumption is approximately 19.3 kg per person per year</w:t>
      </w:r>
      <w:r w:rsidR="000019C0" w:rsidRPr="000A1B77">
        <w:rPr>
          <w:rFonts w:ascii="Arial" w:hAnsi="Arial" w:cs="Arial"/>
          <w:color w:val="222222"/>
          <w:sz w:val="20"/>
          <w:szCs w:val="20"/>
          <w:shd w:val="clear" w:color="auto" w:fill="FFFFFF"/>
        </w:rPr>
        <w:t xml:space="preserve"> </w:t>
      </w:r>
      <w:r w:rsidR="00431170">
        <w:rPr>
          <w:rFonts w:ascii="Arial" w:hAnsi="Arial" w:cs="Arial"/>
          <w:color w:val="222222"/>
          <w:sz w:val="20"/>
          <w:szCs w:val="20"/>
          <w:shd w:val="clear" w:color="auto" w:fill="FFFFFF"/>
        </w:rPr>
        <w:t>[</w:t>
      </w:r>
      <w:hyperlink w:anchor="FIVE" w:history="1">
        <w:r w:rsidR="009C3CF7" w:rsidRPr="009C3CF7">
          <w:rPr>
            <w:rStyle w:val="Hyperlink"/>
            <w:rFonts w:ascii="Arial" w:hAnsi="Arial" w:cs="Arial"/>
            <w:sz w:val="20"/>
            <w:szCs w:val="20"/>
            <w:shd w:val="clear" w:color="auto" w:fill="FFFFFF"/>
          </w:rPr>
          <w:t>5</w:t>
        </w:r>
      </w:hyperlink>
      <w:r w:rsidR="00431170">
        <w:rPr>
          <w:rFonts w:ascii="Arial" w:hAnsi="Arial" w:cs="Arial"/>
          <w:color w:val="222222"/>
          <w:sz w:val="20"/>
          <w:szCs w:val="20"/>
          <w:shd w:val="clear" w:color="auto" w:fill="FFFFFF"/>
        </w:rPr>
        <w:t>]</w:t>
      </w:r>
      <w:r w:rsidRPr="000A1B77">
        <w:rPr>
          <w:rFonts w:ascii="Arial" w:hAnsi="Arial" w:cs="Arial"/>
          <w:sz w:val="20"/>
          <w:szCs w:val="20"/>
        </w:rPr>
        <w:t xml:space="preserve">. Despite its importance, common bean production is constrained by both biotic and abiotic stresses, with salinity emerging as a significant climate-related challenge. Salinity reduces root and shoot </w:t>
      </w:r>
      <w:r w:rsidR="000019C0" w:rsidRPr="000A1B77">
        <w:rPr>
          <w:rFonts w:ascii="Arial" w:hAnsi="Arial" w:cs="Arial"/>
          <w:sz w:val="20"/>
          <w:szCs w:val="20"/>
        </w:rPr>
        <w:t>dry-matter accumulation, even at low salinity levels</w:t>
      </w:r>
      <w:r w:rsidR="009B25BE" w:rsidRPr="000A1B77">
        <w:rPr>
          <w:rFonts w:ascii="Arial" w:hAnsi="Arial" w:cs="Arial"/>
          <w:color w:val="222222"/>
          <w:sz w:val="20"/>
          <w:szCs w:val="20"/>
          <w:shd w:val="clear" w:color="auto" w:fill="FFFFFF"/>
        </w:rPr>
        <w:t xml:space="preserve"> </w:t>
      </w:r>
      <w:r w:rsidR="00431170">
        <w:rPr>
          <w:rFonts w:ascii="Arial" w:hAnsi="Arial" w:cs="Arial"/>
          <w:color w:val="222222"/>
          <w:sz w:val="20"/>
          <w:szCs w:val="20"/>
          <w:shd w:val="clear" w:color="auto" w:fill="FFFFFF"/>
        </w:rPr>
        <w:t>[</w:t>
      </w:r>
      <w:hyperlink w:anchor="SIX" w:history="1">
        <w:r w:rsidR="009C3CF7" w:rsidRPr="009C3CF7">
          <w:rPr>
            <w:rStyle w:val="Hyperlink"/>
            <w:rFonts w:ascii="Arial" w:hAnsi="Arial" w:cs="Arial"/>
            <w:sz w:val="20"/>
            <w:szCs w:val="20"/>
            <w:shd w:val="clear" w:color="auto" w:fill="FFFFFF"/>
          </w:rPr>
          <w:t>6</w:t>
        </w:r>
      </w:hyperlink>
      <w:r w:rsidR="00431170">
        <w:rPr>
          <w:rFonts w:ascii="Arial" w:hAnsi="Arial" w:cs="Arial"/>
          <w:color w:val="222222"/>
          <w:sz w:val="20"/>
          <w:szCs w:val="20"/>
          <w:shd w:val="clear" w:color="auto" w:fill="FFFFFF"/>
        </w:rPr>
        <w:t>]</w:t>
      </w:r>
      <w:r w:rsidRPr="000A1B77">
        <w:rPr>
          <w:rFonts w:ascii="Arial" w:hAnsi="Arial" w:cs="Arial"/>
          <w:sz w:val="20"/>
          <w:szCs w:val="20"/>
        </w:rPr>
        <w:t>. High levels of soluble salts reduce the osmotic potential of the soil solution, thereby limiting root water uptake. Excess sodium (Na</w:t>
      </w:r>
      <w:r w:rsidRPr="000A1B77">
        <w:rPr>
          <w:rFonts w:ascii="Arial" w:hAnsi="Arial" w:cs="Arial"/>
          <w:sz w:val="20"/>
          <w:szCs w:val="20"/>
          <w:vertAlign w:val="superscript"/>
        </w:rPr>
        <w:t>+</w:t>
      </w:r>
      <w:r w:rsidRPr="000A1B77">
        <w:rPr>
          <w:rFonts w:ascii="Arial" w:hAnsi="Arial" w:cs="Arial"/>
          <w:sz w:val="20"/>
          <w:szCs w:val="20"/>
        </w:rPr>
        <w:t>) and chloride (Cl</w:t>
      </w:r>
      <w:r w:rsidRPr="000A1B77">
        <w:rPr>
          <w:rFonts w:ascii="Arial" w:hAnsi="Arial" w:cs="Arial"/>
          <w:sz w:val="20"/>
          <w:szCs w:val="20"/>
          <w:vertAlign w:val="superscript"/>
        </w:rPr>
        <w:t>−</w:t>
      </w:r>
      <w:r w:rsidRPr="000A1B77">
        <w:rPr>
          <w:rFonts w:ascii="Arial" w:hAnsi="Arial" w:cs="Arial"/>
          <w:sz w:val="20"/>
          <w:szCs w:val="20"/>
        </w:rPr>
        <w:t xml:space="preserve">) ions cause ionic and nutritional imbalances, disrupt membrane integrity and enzymatic activities, and induce oxidative damage, ultimately inhibiting </w:t>
      </w:r>
      <w:r w:rsidR="00E04336" w:rsidRPr="000A1B77">
        <w:rPr>
          <w:rFonts w:ascii="Arial" w:hAnsi="Arial" w:cs="Arial"/>
          <w:sz w:val="20"/>
          <w:szCs w:val="20"/>
        </w:rPr>
        <w:t xml:space="preserve">photosynthesis </w:t>
      </w:r>
      <w:r w:rsidR="00431170">
        <w:rPr>
          <w:rFonts w:ascii="Arial" w:hAnsi="Arial" w:cs="Arial"/>
          <w:sz w:val="20"/>
          <w:szCs w:val="20"/>
        </w:rPr>
        <w:t>[</w:t>
      </w:r>
      <w:hyperlink w:anchor="SEVEN" w:history="1">
        <w:r w:rsidR="009C3CF7" w:rsidRPr="009C3CF7">
          <w:rPr>
            <w:rStyle w:val="Hyperlink"/>
            <w:rFonts w:ascii="Arial" w:hAnsi="Arial" w:cs="Arial"/>
            <w:sz w:val="20"/>
            <w:szCs w:val="20"/>
          </w:rPr>
          <w:t>7</w:t>
        </w:r>
      </w:hyperlink>
      <w:r w:rsidR="00431170">
        <w:rPr>
          <w:rFonts w:ascii="Arial" w:hAnsi="Arial" w:cs="Arial"/>
          <w:sz w:val="20"/>
          <w:szCs w:val="20"/>
        </w:rPr>
        <w:t>]</w:t>
      </w:r>
      <w:r w:rsidR="009B25BE" w:rsidRPr="000A1B77">
        <w:rPr>
          <w:rFonts w:ascii="Arial" w:hAnsi="Arial" w:cs="Arial"/>
          <w:sz w:val="20"/>
          <w:szCs w:val="20"/>
        </w:rPr>
        <w:t xml:space="preserve">. </w:t>
      </w:r>
    </w:p>
    <w:p w14:paraId="7EC03A09" w14:textId="029C3A08" w:rsidR="00401285" w:rsidRPr="000A1B77" w:rsidRDefault="00FB6D26" w:rsidP="00B343B9">
      <w:pPr>
        <w:spacing w:before="120" w:after="120" w:line="276" w:lineRule="auto"/>
        <w:jc w:val="both"/>
        <w:rPr>
          <w:rFonts w:ascii="Arial" w:hAnsi="Arial" w:cs="Arial"/>
          <w:sz w:val="20"/>
          <w:szCs w:val="20"/>
        </w:rPr>
      </w:pPr>
      <w:r w:rsidRPr="000A1B77">
        <w:rPr>
          <w:rFonts w:ascii="Arial" w:hAnsi="Arial" w:cs="Arial"/>
          <w:sz w:val="20"/>
          <w:szCs w:val="20"/>
        </w:rPr>
        <w:t xml:space="preserve">These physiological disruptions negatively affect seed germination, seedling emergence, and early plant growth, thereby reducing yield and productivity. Soil salinity threatens global food security, affecting over 800 million hectares of agricultural land </w:t>
      </w:r>
      <w:r w:rsidR="00431170">
        <w:rPr>
          <w:rFonts w:ascii="Arial" w:hAnsi="Arial" w:cs="Arial"/>
          <w:sz w:val="20"/>
          <w:szCs w:val="20"/>
        </w:rPr>
        <w:t>[</w:t>
      </w:r>
      <w:hyperlink w:anchor="EIGHT" w:history="1">
        <w:r w:rsidR="009C3CF7" w:rsidRPr="007027D7">
          <w:rPr>
            <w:rStyle w:val="Hyperlink"/>
            <w:rFonts w:ascii="Arial" w:hAnsi="Arial" w:cs="Arial"/>
            <w:sz w:val="20"/>
            <w:szCs w:val="20"/>
          </w:rPr>
          <w:t>8</w:t>
        </w:r>
      </w:hyperlink>
      <w:r w:rsidR="00431170">
        <w:rPr>
          <w:rFonts w:ascii="Arial" w:hAnsi="Arial" w:cs="Arial"/>
          <w:sz w:val="20"/>
          <w:szCs w:val="20"/>
        </w:rPr>
        <w:t>]</w:t>
      </w:r>
      <w:r w:rsidRPr="000A1B77">
        <w:rPr>
          <w:rFonts w:ascii="Arial" w:hAnsi="Arial" w:cs="Arial"/>
          <w:sz w:val="20"/>
          <w:szCs w:val="20"/>
        </w:rPr>
        <w:t xml:space="preserve">. In Tanzania, about 2 million hectares are affected, especially in coastal regions, poorly drained inland areas, and zones with intensive irrigation </w:t>
      </w:r>
      <w:r w:rsidR="00B343B9">
        <w:rPr>
          <w:rFonts w:ascii="Arial" w:hAnsi="Arial" w:cs="Arial"/>
          <w:sz w:val="20"/>
          <w:szCs w:val="20"/>
        </w:rPr>
        <w:t>[</w:t>
      </w:r>
      <w:hyperlink w:anchor="NINE" w:history="1">
        <w:r w:rsidR="00B343B9" w:rsidRPr="00B343B9">
          <w:rPr>
            <w:rStyle w:val="Hyperlink"/>
            <w:rFonts w:ascii="Arial" w:hAnsi="Arial" w:cs="Arial"/>
            <w:sz w:val="20"/>
            <w:szCs w:val="20"/>
          </w:rPr>
          <w:t>9</w:t>
        </w:r>
      </w:hyperlink>
      <w:r w:rsidR="00431170">
        <w:rPr>
          <w:rFonts w:ascii="Arial" w:hAnsi="Arial" w:cs="Arial"/>
          <w:sz w:val="20"/>
          <w:szCs w:val="20"/>
        </w:rPr>
        <w:t>]</w:t>
      </w:r>
      <w:r w:rsidRPr="000A1B77">
        <w:rPr>
          <w:rFonts w:ascii="Arial" w:hAnsi="Arial" w:cs="Arial"/>
          <w:sz w:val="20"/>
          <w:szCs w:val="20"/>
        </w:rPr>
        <w:t xml:space="preserve">. Recent breeding initiatives by the Tanzania Agricultural Research Institute (TARI) and the </w:t>
      </w:r>
      <w:r w:rsidR="00C44FEB" w:rsidRPr="000A1B77">
        <w:rPr>
          <w:rFonts w:ascii="Arial" w:hAnsi="Arial" w:cs="Arial"/>
          <w:sz w:val="20"/>
          <w:szCs w:val="20"/>
        </w:rPr>
        <w:t>Alliance of Bioversity International and CIAT (ABC)</w:t>
      </w:r>
      <w:r w:rsidRPr="000A1B77">
        <w:rPr>
          <w:rFonts w:ascii="Arial" w:hAnsi="Arial" w:cs="Arial"/>
          <w:sz w:val="20"/>
          <w:szCs w:val="20"/>
        </w:rPr>
        <w:t xml:space="preserve"> have </w:t>
      </w:r>
      <w:r w:rsidR="00C44FEB" w:rsidRPr="000A1B77">
        <w:rPr>
          <w:rFonts w:ascii="Arial" w:hAnsi="Arial" w:cs="Arial"/>
          <w:sz w:val="20"/>
          <w:szCs w:val="20"/>
        </w:rPr>
        <w:t>developed</w:t>
      </w:r>
      <w:r w:rsidRPr="000A1B77">
        <w:rPr>
          <w:rFonts w:ascii="Arial" w:hAnsi="Arial" w:cs="Arial"/>
          <w:sz w:val="20"/>
          <w:szCs w:val="20"/>
        </w:rPr>
        <w:t xml:space="preserve"> biofortified common bean varieties enriched with iron and zinc to address widespread micronutrient deficiencies, known as "hidden hunger" </w:t>
      </w:r>
      <w:r w:rsidR="00B343B9">
        <w:rPr>
          <w:rFonts w:ascii="Arial" w:hAnsi="Arial" w:cs="Arial"/>
          <w:sz w:val="20"/>
          <w:szCs w:val="20"/>
        </w:rPr>
        <w:t>[</w:t>
      </w:r>
      <w:hyperlink w:anchor="TEN" w:history="1">
        <w:r w:rsidR="00B343B9" w:rsidRPr="00B343B9">
          <w:rPr>
            <w:rStyle w:val="Hyperlink"/>
            <w:rFonts w:ascii="Arial" w:hAnsi="Arial" w:cs="Arial"/>
            <w:sz w:val="20"/>
            <w:szCs w:val="20"/>
          </w:rPr>
          <w:t>10</w:t>
        </w:r>
      </w:hyperlink>
      <w:r w:rsidR="00431170">
        <w:rPr>
          <w:rFonts w:ascii="Arial" w:hAnsi="Arial" w:cs="Arial"/>
          <w:sz w:val="20"/>
          <w:szCs w:val="20"/>
        </w:rPr>
        <w:t>]</w:t>
      </w:r>
      <w:r w:rsidR="009A5D9F" w:rsidRPr="000A1B77">
        <w:rPr>
          <w:rFonts w:ascii="Arial" w:hAnsi="Arial" w:cs="Arial"/>
          <w:sz w:val="20"/>
          <w:szCs w:val="20"/>
        </w:rPr>
        <w:t>.</w:t>
      </w:r>
      <w:r w:rsidRPr="000A1B77">
        <w:rPr>
          <w:rFonts w:ascii="Arial" w:hAnsi="Arial" w:cs="Arial"/>
          <w:sz w:val="20"/>
          <w:szCs w:val="20"/>
        </w:rPr>
        <w:t xml:space="preserve"> These varieties target over </w:t>
      </w:r>
      <w:r w:rsidR="00C44FEB" w:rsidRPr="000A1B77">
        <w:rPr>
          <w:rFonts w:ascii="Arial" w:hAnsi="Arial" w:cs="Arial"/>
          <w:sz w:val="20"/>
          <w:szCs w:val="20"/>
        </w:rPr>
        <w:t>6</w:t>
      </w:r>
      <w:r w:rsidRPr="000A1B77">
        <w:rPr>
          <w:rFonts w:ascii="Arial" w:hAnsi="Arial" w:cs="Arial"/>
          <w:sz w:val="20"/>
          <w:szCs w:val="20"/>
        </w:rPr>
        <w:t xml:space="preserve">0 ppm Fe and 25 ppm Zn while maintaining yield potential. From 2018 to 2021, </w:t>
      </w:r>
      <w:r w:rsidR="00CB4F14" w:rsidRPr="000A1B77">
        <w:rPr>
          <w:rFonts w:ascii="Arial" w:hAnsi="Arial" w:cs="Arial"/>
          <w:sz w:val="20"/>
          <w:szCs w:val="20"/>
        </w:rPr>
        <w:t>six</w:t>
      </w:r>
      <w:r w:rsidRPr="000A1B77">
        <w:rPr>
          <w:rFonts w:ascii="Arial" w:hAnsi="Arial" w:cs="Arial"/>
          <w:sz w:val="20"/>
          <w:szCs w:val="20"/>
        </w:rPr>
        <w:t xml:space="preserve"> new biofortified bean varieties were released in Tanzania through a collaboration between TARI and </w:t>
      </w:r>
      <w:r w:rsidR="00C44FEB" w:rsidRPr="000A1B77">
        <w:rPr>
          <w:rFonts w:ascii="Arial" w:hAnsi="Arial" w:cs="Arial"/>
          <w:sz w:val="20"/>
          <w:szCs w:val="20"/>
        </w:rPr>
        <w:t>ABC</w:t>
      </w:r>
      <w:r w:rsidRPr="000A1B77">
        <w:rPr>
          <w:rFonts w:ascii="Arial" w:hAnsi="Arial" w:cs="Arial"/>
          <w:sz w:val="20"/>
          <w:szCs w:val="20"/>
        </w:rPr>
        <w:t>, marking significant progress in nutritional security</w:t>
      </w:r>
      <w:r w:rsidR="00F90707">
        <w:rPr>
          <w:rFonts w:ascii="Arial" w:hAnsi="Arial" w:cs="Arial"/>
          <w:sz w:val="20"/>
          <w:szCs w:val="20"/>
        </w:rPr>
        <w:t xml:space="preserve"> </w:t>
      </w:r>
      <w:r w:rsidR="00B343B9">
        <w:rPr>
          <w:rFonts w:ascii="Arial" w:hAnsi="Arial" w:cs="Arial"/>
          <w:sz w:val="20"/>
          <w:szCs w:val="20"/>
        </w:rPr>
        <w:t>[</w:t>
      </w:r>
      <w:hyperlink w:anchor="ELEVEN" w:history="1">
        <w:r w:rsidR="00B343B9" w:rsidRPr="00F90707">
          <w:rPr>
            <w:rStyle w:val="Hyperlink"/>
            <w:rFonts w:ascii="Arial" w:hAnsi="Arial" w:cs="Arial"/>
            <w:sz w:val="20"/>
            <w:szCs w:val="20"/>
          </w:rPr>
          <w:t>11</w:t>
        </w:r>
      </w:hyperlink>
      <w:r w:rsidR="00431170">
        <w:rPr>
          <w:rFonts w:ascii="Arial" w:hAnsi="Arial" w:cs="Arial"/>
          <w:sz w:val="20"/>
          <w:szCs w:val="20"/>
        </w:rPr>
        <w:t>]</w:t>
      </w:r>
      <w:r w:rsidRPr="000A1B77">
        <w:rPr>
          <w:rFonts w:ascii="Arial" w:hAnsi="Arial" w:cs="Arial"/>
          <w:sz w:val="20"/>
          <w:szCs w:val="20"/>
        </w:rPr>
        <w:t xml:space="preserve">. However, data on their performance under saline conditions are lacking. This gap is critical, given that Tanzania has approximately 1.2 million hectares of salt-affected soils, mainly in coastal and poorly drained areas </w:t>
      </w:r>
      <w:r w:rsidR="00F90707">
        <w:rPr>
          <w:rFonts w:ascii="Arial" w:hAnsi="Arial" w:cs="Arial"/>
          <w:sz w:val="20"/>
          <w:szCs w:val="20"/>
        </w:rPr>
        <w:t>[</w:t>
      </w:r>
      <w:hyperlink w:anchor="TWELVE" w:history="1">
        <w:r w:rsidR="00F90707" w:rsidRPr="00F90707">
          <w:rPr>
            <w:rStyle w:val="Hyperlink"/>
            <w:rFonts w:ascii="Arial" w:hAnsi="Arial" w:cs="Arial"/>
            <w:sz w:val="20"/>
            <w:szCs w:val="20"/>
          </w:rPr>
          <w:t>12</w:t>
        </w:r>
      </w:hyperlink>
      <w:r w:rsidR="00431170">
        <w:rPr>
          <w:rFonts w:ascii="Arial" w:hAnsi="Arial" w:cs="Arial"/>
          <w:sz w:val="20"/>
          <w:szCs w:val="20"/>
        </w:rPr>
        <w:t>]</w:t>
      </w:r>
      <w:r w:rsidR="00D43A26" w:rsidRPr="000A1B77">
        <w:rPr>
          <w:rFonts w:ascii="Arial" w:hAnsi="Arial" w:cs="Arial"/>
          <w:sz w:val="20"/>
          <w:szCs w:val="20"/>
        </w:rPr>
        <w:t>.</w:t>
      </w:r>
      <w:r w:rsidRPr="000A1B77">
        <w:rPr>
          <w:rFonts w:ascii="Arial" w:hAnsi="Arial" w:cs="Arial"/>
          <w:sz w:val="20"/>
          <w:szCs w:val="20"/>
        </w:rPr>
        <w:t xml:space="preserve"> Potential trade-offs between nutritional enhancement and stress tolerance have not been systematically assessed</w:t>
      </w:r>
      <w:r w:rsidR="00D43A26" w:rsidRPr="000A1B77">
        <w:rPr>
          <w:rFonts w:ascii="Arial" w:hAnsi="Arial" w:cs="Arial"/>
          <w:sz w:val="20"/>
          <w:szCs w:val="20"/>
        </w:rPr>
        <w:t xml:space="preserve">. </w:t>
      </w:r>
    </w:p>
    <w:p w14:paraId="0F5F0158" w14:textId="38E144C9" w:rsidR="00FB6D26" w:rsidRPr="000A1B77" w:rsidRDefault="00D43A26" w:rsidP="0018624A">
      <w:pPr>
        <w:spacing w:before="120" w:after="120" w:line="276" w:lineRule="auto"/>
        <w:jc w:val="both"/>
        <w:rPr>
          <w:rFonts w:ascii="Arial" w:hAnsi="Arial" w:cs="Arial"/>
          <w:sz w:val="20"/>
          <w:szCs w:val="20"/>
        </w:rPr>
      </w:pPr>
      <w:r w:rsidRPr="000A1B77">
        <w:rPr>
          <w:rFonts w:ascii="Arial" w:hAnsi="Arial" w:cs="Arial"/>
          <w:sz w:val="20"/>
          <w:szCs w:val="20"/>
        </w:rPr>
        <w:t>Climate</w:t>
      </w:r>
      <w:r w:rsidR="00FB6D26" w:rsidRPr="000A1B77">
        <w:rPr>
          <w:rFonts w:ascii="Arial" w:hAnsi="Arial" w:cs="Arial"/>
          <w:sz w:val="20"/>
          <w:szCs w:val="20"/>
        </w:rPr>
        <w:t xml:space="preserve"> change and expanded irrigation are expected to worsen soil salinisation </w:t>
      </w:r>
      <w:r w:rsidR="00F90707">
        <w:rPr>
          <w:rFonts w:ascii="Arial" w:hAnsi="Arial" w:cs="Arial"/>
          <w:sz w:val="20"/>
          <w:szCs w:val="20"/>
        </w:rPr>
        <w:t>[</w:t>
      </w:r>
      <w:hyperlink w:anchor="EIGHT" w:history="1">
        <w:r w:rsidR="00F90707" w:rsidRPr="00F90707">
          <w:rPr>
            <w:rStyle w:val="Hyperlink"/>
            <w:rFonts w:ascii="Arial" w:hAnsi="Arial" w:cs="Arial"/>
            <w:sz w:val="20"/>
            <w:szCs w:val="20"/>
          </w:rPr>
          <w:t>8</w:t>
        </w:r>
      </w:hyperlink>
      <w:r w:rsidR="00431170">
        <w:rPr>
          <w:rFonts w:ascii="Arial" w:hAnsi="Arial" w:cs="Arial"/>
          <w:sz w:val="20"/>
          <w:szCs w:val="20"/>
        </w:rPr>
        <w:t>]</w:t>
      </w:r>
      <w:r w:rsidR="00FB6D26" w:rsidRPr="000A1B77">
        <w:rPr>
          <w:rFonts w:ascii="Arial" w:hAnsi="Arial" w:cs="Arial"/>
          <w:sz w:val="20"/>
          <w:szCs w:val="20"/>
        </w:rPr>
        <w:t>. Assessing the salinity tolerance of these biofortified varieties is essential for identifying those capable of maintaining viability under adverse environmental conditions, thereby supporting breeding, management, and deployment strategies in salt-affected regions of Tanzania and sub-Saharan Africa. This study aimed to quantify the effects of progressive salinity stress on biofortified standard bean germination and seedling vigour, and to establish relationships among germination, growth, and vigour parameters to inform efficient screening protocols for salt-tolerance breeding programs.</w:t>
      </w:r>
    </w:p>
    <w:p w14:paraId="0BF7EF27" w14:textId="77777777" w:rsidR="00FB6D26" w:rsidRPr="009B366E" w:rsidRDefault="00FB6D26" w:rsidP="000A1B77">
      <w:pPr>
        <w:spacing w:before="120" w:after="120" w:line="276" w:lineRule="auto"/>
        <w:rPr>
          <w:rFonts w:ascii="Arial" w:hAnsi="Arial" w:cs="Arial"/>
          <w:sz w:val="22"/>
          <w:szCs w:val="22"/>
        </w:rPr>
      </w:pPr>
      <w:r w:rsidRPr="009B366E">
        <w:rPr>
          <w:rFonts w:ascii="Arial" w:hAnsi="Arial" w:cs="Arial"/>
          <w:b/>
          <w:bCs/>
          <w:sz w:val="22"/>
          <w:szCs w:val="22"/>
        </w:rPr>
        <w:t>2. MATERIALS AND METHODS</w:t>
      </w:r>
    </w:p>
    <w:p w14:paraId="419E7054" w14:textId="77777777" w:rsidR="00FB6D26" w:rsidRPr="00A5587B" w:rsidRDefault="00FB6D26" w:rsidP="007447AC">
      <w:pPr>
        <w:spacing w:line="276" w:lineRule="auto"/>
        <w:jc w:val="both"/>
        <w:rPr>
          <w:rFonts w:ascii="Arial" w:hAnsi="Arial" w:cs="Arial"/>
          <w:sz w:val="22"/>
          <w:szCs w:val="22"/>
        </w:rPr>
      </w:pPr>
      <w:r w:rsidRPr="00A5587B">
        <w:rPr>
          <w:rFonts w:ascii="Arial" w:hAnsi="Arial" w:cs="Arial"/>
          <w:b/>
          <w:bCs/>
          <w:sz w:val="22"/>
          <w:szCs w:val="22"/>
        </w:rPr>
        <w:t>2.1 Experimental site</w:t>
      </w:r>
    </w:p>
    <w:p w14:paraId="76481317" w14:textId="749E4C91" w:rsidR="00FB6D26" w:rsidRPr="004705E2" w:rsidRDefault="00FB6D26" w:rsidP="007447AC">
      <w:pPr>
        <w:spacing w:line="276" w:lineRule="auto"/>
        <w:jc w:val="both"/>
        <w:rPr>
          <w:rFonts w:ascii="Arial" w:hAnsi="Arial" w:cs="Arial"/>
          <w:sz w:val="20"/>
          <w:szCs w:val="20"/>
        </w:rPr>
      </w:pPr>
      <w:r w:rsidRPr="004705E2">
        <w:rPr>
          <w:rFonts w:ascii="Arial" w:hAnsi="Arial" w:cs="Arial"/>
          <w:sz w:val="20"/>
          <w:szCs w:val="20"/>
        </w:rPr>
        <w:t xml:space="preserve">The experiment took place in a controlled growth chamber at the Seed Health Centre Laboratory, Sokoine University of Agriculture (SUA), Morogoro, Tanzania, in April </w:t>
      </w:r>
      <w:r w:rsidR="00473E59" w:rsidRPr="004705E2">
        <w:rPr>
          <w:rFonts w:ascii="Arial" w:hAnsi="Arial" w:cs="Arial"/>
          <w:sz w:val="20"/>
          <w:szCs w:val="20"/>
        </w:rPr>
        <w:t>2025</w:t>
      </w:r>
      <w:r w:rsidRPr="004705E2">
        <w:rPr>
          <w:rFonts w:ascii="Arial" w:hAnsi="Arial" w:cs="Arial"/>
          <w:sz w:val="20"/>
          <w:szCs w:val="20"/>
        </w:rPr>
        <w:t>. The facility is located in Morogoro Municipality at 6.85° S, 37.65° E, approximately 520 meters above sea level</w:t>
      </w:r>
      <w:r w:rsidRPr="004705E2">
        <w:rPr>
          <w:rFonts w:ascii="Arial" w:hAnsi="Arial" w:cs="Arial"/>
          <w:b/>
          <w:bCs/>
          <w:sz w:val="20"/>
          <w:szCs w:val="20"/>
        </w:rPr>
        <w:t>.</w:t>
      </w:r>
    </w:p>
    <w:p w14:paraId="7C676001" w14:textId="77777777" w:rsidR="007447AC" w:rsidRDefault="007447AC" w:rsidP="007447AC">
      <w:pPr>
        <w:spacing w:line="276" w:lineRule="auto"/>
        <w:jc w:val="both"/>
        <w:rPr>
          <w:rFonts w:ascii="Arial" w:hAnsi="Arial" w:cs="Arial"/>
          <w:b/>
          <w:bCs/>
          <w:iCs/>
          <w:sz w:val="22"/>
          <w:szCs w:val="22"/>
        </w:rPr>
      </w:pPr>
    </w:p>
    <w:p w14:paraId="46114B9F" w14:textId="247D77BD" w:rsidR="00FB6D26" w:rsidRPr="00A5587B" w:rsidRDefault="00FB6D26" w:rsidP="007447AC">
      <w:pPr>
        <w:spacing w:line="276" w:lineRule="auto"/>
        <w:jc w:val="both"/>
        <w:rPr>
          <w:rFonts w:ascii="Arial" w:hAnsi="Arial" w:cs="Arial"/>
          <w:sz w:val="22"/>
          <w:szCs w:val="22"/>
        </w:rPr>
      </w:pPr>
      <w:r w:rsidRPr="00A5587B">
        <w:rPr>
          <w:rFonts w:ascii="Arial" w:hAnsi="Arial" w:cs="Arial"/>
          <w:b/>
          <w:bCs/>
          <w:iCs/>
          <w:sz w:val="22"/>
          <w:szCs w:val="22"/>
        </w:rPr>
        <w:t xml:space="preserve">2.2 Experimental Materials </w:t>
      </w:r>
    </w:p>
    <w:p w14:paraId="3D7B3BE5" w14:textId="14503279" w:rsidR="002C79C1" w:rsidRPr="004705E2" w:rsidRDefault="00FB6D26" w:rsidP="007447AC">
      <w:pPr>
        <w:spacing w:line="276" w:lineRule="auto"/>
        <w:jc w:val="both"/>
        <w:rPr>
          <w:rFonts w:ascii="Arial" w:hAnsi="Arial" w:cs="Arial"/>
          <w:sz w:val="20"/>
          <w:szCs w:val="20"/>
        </w:rPr>
      </w:pPr>
      <w:commentRangeStart w:id="0"/>
      <w:r w:rsidRPr="004705E2">
        <w:rPr>
          <w:rFonts w:ascii="Arial" w:hAnsi="Arial" w:cs="Arial"/>
          <w:sz w:val="20"/>
          <w:szCs w:val="20"/>
        </w:rPr>
        <w:t>Seven common bean varieties were evaluated</w:t>
      </w:r>
      <w:commentRangeEnd w:id="0"/>
      <w:r w:rsidR="008B543C">
        <w:rPr>
          <w:rStyle w:val="CommentReference"/>
          <w:rtl/>
        </w:rPr>
        <w:commentReference w:id="0"/>
      </w:r>
      <w:r w:rsidRPr="004705E2">
        <w:rPr>
          <w:rFonts w:ascii="Arial" w:hAnsi="Arial" w:cs="Arial"/>
          <w:sz w:val="20"/>
          <w:szCs w:val="20"/>
        </w:rPr>
        <w:t xml:space="preserve">: six </w:t>
      </w:r>
      <w:proofErr w:type="spellStart"/>
      <w:r w:rsidRPr="004705E2">
        <w:rPr>
          <w:rFonts w:ascii="Arial" w:hAnsi="Arial" w:cs="Arial"/>
          <w:sz w:val="20"/>
          <w:szCs w:val="20"/>
        </w:rPr>
        <w:t>biofortified</w:t>
      </w:r>
      <w:proofErr w:type="spellEnd"/>
      <w:r w:rsidRPr="004705E2">
        <w:rPr>
          <w:rFonts w:ascii="Arial" w:hAnsi="Arial" w:cs="Arial"/>
          <w:sz w:val="20"/>
          <w:szCs w:val="20"/>
        </w:rPr>
        <w:t xml:space="preserve"> cultivars (TARIBEAN 2 (T2), TARIBEAN 4 (T4), TARIBEAN 5 (T5), TARIBEAN 6 (T6), JESCA, SELIAN 14 (S14)) and one non-biofortified control (TARIBEAN 1 (T1)). Seeds were obtained from the Tanzania Agricultural Research Institute (TARI) at the Maruku Centre (Kagera Region, northwestern Tanzania) in March 2025. Seeds from the 2024 </w:t>
      </w:r>
      <w:r w:rsidRPr="004705E2">
        <w:rPr>
          <w:rFonts w:ascii="Arial" w:hAnsi="Arial" w:cs="Arial"/>
          <w:sz w:val="20"/>
          <w:szCs w:val="20"/>
        </w:rPr>
        <w:lastRenderedPageBreak/>
        <w:t xml:space="preserve">harvest were stored at 4°C and 40% relative humidity. Uniform, healthy seeds free of mechanical injury, deformation, shrivelling, </w:t>
      </w:r>
      <w:r w:rsidR="004344C5" w:rsidRPr="004705E2">
        <w:rPr>
          <w:rFonts w:ascii="Arial" w:hAnsi="Arial" w:cs="Arial"/>
          <w:sz w:val="20"/>
          <w:szCs w:val="20"/>
        </w:rPr>
        <w:t xml:space="preserve">and </w:t>
      </w:r>
      <w:r w:rsidRPr="004705E2">
        <w:rPr>
          <w:rFonts w:ascii="Arial" w:hAnsi="Arial" w:cs="Arial"/>
          <w:sz w:val="20"/>
          <w:szCs w:val="20"/>
        </w:rPr>
        <w:t>discolouration were selected to minimize quality-related variability. About 1 kilogram of seeds per variety was manually sorted for uniform size, shape, and colour.</w:t>
      </w:r>
    </w:p>
    <w:p w14:paraId="63AD0CB1" w14:textId="539A7AEC" w:rsidR="002C79C1" w:rsidRDefault="002C79C1" w:rsidP="0018624A">
      <w:pPr>
        <w:spacing w:before="120" w:after="120" w:line="276" w:lineRule="auto"/>
        <w:jc w:val="both"/>
        <w:rPr>
          <w:rFonts w:ascii="Arial" w:hAnsi="Arial" w:cs="Arial"/>
          <w:b/>
          <w:sz w:val="20"/>
          <w:szCs w:val="20"/>
        </w:rPr>
      </w:pPr>
      <w:r w:rsidRPr="004705E2">
        <w:rPr>
          <w:rFonts w:ascii="Arial" w:hAnsi="Arial" w:cs="Arial"/>
          <w:b/>
          <w:sz w:val="20"/>
          <w:szCs w:val="20"/>
        </w:rPr>
        <w:t xml:space="preserve">Table 1: </w:t>
      </w:r>
      <w:r w:rsidRPr="005F2F5D">
        <w:rPr>
          <w:rFonts w:ascii="Arial" w:hAnsi="Arial" w:cs="Arial"/>
          <w:sz w:val="20"/>
          <w:szCs w:val="20"/>
        </w:rPr>
        <w:t>Description of materials under study and their nutrient content</w:t>
      </w:r>
    </w:p>
    <w:tbl>
      <w:tblPr>
        <w:tblStyle w:val="GridTable1Light-Accent3"/>
        <w:tblW w:w="918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970"/>
        <w:gridCol w:w="4230"/>
      </w:tblGrid>
      <w:tr w:rsidR="00CB7DA1" w:rsidRPr="004705E2" w14:paraId="31A8A4F4" w14:textId="77777777" w:rsidTr="00E31B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single" w:sz="4" w:space="0" w:color="auto"/>
            </w:tcBorders>
          </w:tcPr>
          <w:p w14:paraId="41A38DEA" w14:textId="77777777" w:rsidR="00CB7DA1" w:rsidRPr="004705E2" w:rsidRDefault="00CB7DA1" w:rsidP="002C79C1">
            <w:pPr>
              <w:spacing w:line="240" w:lineRule="auto"/>
              <w:jc w:val="center"/>
              <w:rPr>
                <w:rFonts w:ascii="Arial" w:hAnsi="Arial" w:cs="Arial"/>
                <w:b w:val="0"/>
                <w:sz w:val="20"/>
                <w:szCs w:val="20"/>
              </w:rPr>
            </w:pPr>
            <w:r w:rsidRPr="004705E2">
              <w:rPr>
                <w:rFonts w:ascii="Arial" w:hAnsi="Arial" w:cs="Arial"/>
                <w:sz w:val="20"/>
                <w:szCs w:val="20"/>
              </w:rPr>
              <w:t>Variety name</w:t>
            </w:r>
          </w:p>
        </w:tc>
        <w:tc>
          <w:tcPr>
            <w:tcW w:w="2970" w:type="dxa"/>
            <w:tcBorders>
              <w:top w:val="single" w:sz="4" w:space="0" w:color="auto"/>
              <w:bottom w:val="single" w:sz="4" w:space="0" w:color="auto"/>
            </w:tcBorders>
          </w:tcPr>
          <w:p w14:paraId="3A881BD5" w14:textId="77777777" w:rsidR="00CB7DA1" w:rsidRPr="004705E2" w:rsidRDefault="00CB7DA1" w:rsidP="002C79C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4705E2">
              <w:rPr>
                <w:rFonts w:ascii="Arial" w:hAnsi="Arial" w:cs="Arial"/>
                <w:sz w:val="20"/>
                <w:szCs w:val="20"/>
              </w:rPr>
              <w:t>Code</w:t>
            </w:r>
          </w:p>
        </w:tc>
        <w:tc>
          <w:tcPr>
            <w:tcW w:w="4230" w:type="dxa"/>
            <w:tcBorders>
              <w:top w:val="single" w:sz="4" w:space="0" w:color="auto"/>
              <w:bottom w:val="single" w:sz="4" w:space="0" w:color="auto"/>
            </w:tcBorders>
          </w:tcPr>
          <w:p w14:paraId="12A07B58" w14:textId="77777777" w:rsidR="00CB7DA1" w:rsidRPr="004705E2" w:rsidRDefault="00CB7DA1" w:rsidP="002C79C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4705E2">
              <w:rPr>
                <w:rFonts w:ascii="Arial" w:hAnsi="Arial" w:cs="Arial"/>
                <w:sz w:val="20"/>
                <w:szCs w:val="20"/>
              </w:rPr>
              <w:t>Nutrient content ratio</w:t>
            </w:r>
          </w:p>
        </w:tc>
      </w:tr>
      <w:tr w:rsidR="00CB7DA1" w:rsidRPr="004705E2" w14:paraId="781DCE6E" w14:textId="77777777" w:rsidTr="00E31B3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tcPr>
          <w:p w14:paraId="2A4BDD61" w14:textId="77777777" w:rsidR="00CB7DA1" w:rsidRPr="004705E2" w:rsidRDefault="00CB7DA1" w:rsidP="00DD3605">
            <w:pPr>
              <w:spacing w:line="240" w:lineRule="auto"/>
              <w:jc w:val="center"/>
              <w:rPr>
                <w:rFonts w:ascii="Arial" w:hAnsi="Arial" w:cs="Arial"/>
                <w:sz w:val="20"/>
                <w:szCs w:val="20"/>
              </w:rPr>
            </w:pPr>
            <w:r w:rsidRPr="004705E2">
              <w:rPr>
                <w:rFonts w:ascii="Arial" w:hAnsi="Arial" w:cs="Arial"/>
                <w:sz w:val="20"/>
                <w:szCs w:val="20"/>
              </w:rPr>
              <w:t>TARIBEAN 1</w:t>
            </w:r>
          </w:p>
        </w:tc>
        <w:tc>
          <w:tcPr>
            <w:tcW w:w="2970" w:type="dxa"/>
            <w:tcBorders>
              <w:top w:val="single" w:sz="4" w:space="0" w:color="auto"/>
            </w:tcBorders>
          </w:tcPr>
          <w:p w14:paraId="3B7889E9" w14:textId="77777777" w:rsidR="00CB7DA1" w:rsidRPr="004705E2"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RCB 593</w:t>
            </w:r>
          </w:p>
        </w:tc>
        <w:tc>
          <w:tcPr>
            <w:tcW w:w="4230" w:type="dxa"/>
            <w:tcBorders>
              <w:top w:val="single" w:sz="4" w:space="0" w:color="auto"/>
            </w:tcBorders>
          </w:tcPr>
          <w:p w14:paraId="1A4F87EA"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Non biofortified</w:t>
            </w:r>
          </w:p>
        </w:tc>
      </w:tr>
      <w:tr w:rsidR="00CB7DA1" w:rsidRPr="004705E2" w14:paraId="7F9A8930" w14:textId="77777777" w:rsidTr="00E31B32">
        <w:tc>
          <w:tcPr>
            <w:cnfStyle w:val="001000000000" w:firstRow="0" w:lastRow="0" w:firstColumn="1" w:lastColumn="0" w:oddVBand="0" w:evenVBand="0" w:oddHBand="0" w:evenHBand="0" w:firstRowFirstColumn="0" w:firstRowLastColumn="0" w:lastRowFirstColumn="0" w:lastRowLastColumn="0"/>
            <w:tcW w:w="1980" w:type="dxa"/>
          </w:tcPr>
          <w:p w14:paraId="591536C3" w14:textId="77777777" w:rsidR="00CB7DA1" w:rsidRPr="004705E2" w:rsidRDefault="00CB7DA1" w:rsidP="00DD3605">
            <w:pPr>
              <w:spacing w:line="240" w:lineRule="auto"/>
              <w:jc w:val="center"/>
              <w:rPr>
                <w:rFonts w:ascii="Arial" w:hAnsi="Arial" w:cs="Arial"/>
                <w:sz w:val="20"/>
                <w:szCs w:val="20"/>
              </w:rPr>
            </w:pPr>
            <w:r w:rsidRPr="004705E2">
              <w:rPr>
                <w:rFonts w:ascii="Arial" w:hAnsi="Arial" w:cs="Arial"/>
                <w:sz w:val="20"/>
                <w:szCs w:val="20"/>
              </w:rPr>
              <w:t>TARIBEAN 2</w:t>
            </w:r>
          </w:p>
        </w:tc>
        <w:tc>
          <w:tcPr>
            <w:tcW w:w="2970" w:type="dxa"/>
          </w:tcPr>
          <w:p w14:paraId="1DE2C630" w14:textId="77777777" w:rsidR="00CB7DA1" w:rsidRPr="004705E2"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SMC 18</w:t>
            </w:r>
          </w:p>
        </w:tc>
        <w:tc>
          <w:tcPr>
            <w:tcW w:w="4230" w:type="dxa"/>
          </w:tcPr>
          <w:p w14:paraId="1FD9CFC5"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Iron(Fe): 44.8-87.2 ppm, mg/kg</w:t>
            </w:r>
          </w:p>
          <w:p w14:paraId="0204721E"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Zinc (Zn): 30.0-42.8 ppm, mg/kg</w:t>
            </w:r>
          </w:p>
        </w:tc>
      </w:tr>
      <w:tr w:rsidR="00CB7DA1" w:rsidRPr="004705E2" w14:paraId="639D43BA" w14:textId="77777777" w:rsidTr="00E31B32">
        <w:tc>
          <w:tcPr>
            <w:cnfStyle w:val="001000000000" w:firstRow="0" w:lastRow="0" w:firstColumn="1" w:lastColumn="0" w:oddVBand="0" w:evenVBand="0" w:oddHBand="0" w:evenHBand="0" w:firstRowFirstColumn="0" w:firstRowLastColumn="0" w:lastRowFirstColumn="0" w:lastRowLastColumn="0"/>
            <w:tcW w:w="1980" w:type="dxa"/>
          </w:tcPr>
          <w:p w14:paraId="70E26750" w14:textId="77777777" w:rsidR="00CB7DA1" w:rsidRPr="004705E2" w:rsidRDefault="00CB7DA1" w:rsidP="00DD3605">
            <w:pPr>
              <w:spacing w:line="240" w:lineRule="auto"/>
              <w:jc w:val="center"/>
              <w:rPr>
                <w:rFonts w:ascii="Arial" w:hAnsi="Arial" w:cs="Arial"/>
                <w:sz w:val="20"/>
                <w:szCs w:val="20"/>
              </w:rPr>
            </w:pPr>
            <w:r w:rsidRPr="004705E2">
              <w:rPr>
                <w:rFonts w:ascii="Arial" w:hAnsi="Arial" w:cs="Arial"/>
                <w:sz w:val="20"/>
                <w:szCs w:val="20"/>
              </w:rPr>
              <w:t>TARIBEAN 4</w:t>
            </w:r>
          </w:p>
        </w:tc>
        <w:tc>
          <w:tcPr>
            <w:tcW w:w="2970" w:type="dxa"/>
          </w:tcPr>
          <w:p w14:paraId="38A26DBC" w14:textId="77777777" w:rsidR="00CB7DA1" w:rsidRPr="004705E2"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COD MLB 033</w:t>
            </w:r>
          </w:p>
        </w:tc>
        <w:tc>
          <w:tcPr>
            <w:tcW w:w="4230" w:type="dxa"/>
          </w:tcPr>
          <w:p w14:paraId="4A58A0EF"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Iron(Fe): 55.5-78.3 ppm, mg/kg</w:t>
            </w:r>
          </w:p>
          <w:p w14:paraId="4522D048"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Zinc (Zn): 31.4-40.4 ppm, mg/kg</w:t>
            </w:r>
          </w:p>
        </w:tc>
      </w:tr>
      <w:tr w:rsidR="00CB7DA1" w:rsidRPr="004705E2" w14:paraId="4EECEC95" w14:textId="77777777" w:rsidTr="00E31B32">
        <w:tc>
          <w:tcPr>
            <w:cnfStyle w:val="001000000000" w:firstRow="0" w:lastRow="0" w:firstColumn="1" w:lastColumn="0" w:oddVBand="0" w:evenVBand="0" w:oddHBand="0" w:evenHBand="0" w:firstRowFirstColumn="0" w:firstRowLastColumn="0" w:lastRowFirstColumn="0" w:lastRowLastColumn="0"/>
            <w:tcW w:w="1980" w:type="dxa"/>
          </w:tcPr>
          <w:p w14:paraId="57A98020" w14:textId="77777777" w:rsidR="00CB7DA1" w:rsidRPr="004705E2" w:rsidRDefault="00CB7DA1" w:rsidP="00DD3605">
            <w:pPr>
              <w:spacing w:line="240" w:lineRule="auto"/>
              <w:jc w:val="center"/>
              <w:rPr>
                <w:rFonts w:ascii="Arial" w:hAnsi="Arial" w:cs="Arial"/>
                <w:sz w:val="20"/>
                <w:szCs w:val="20"/>
              </w:rPr>
            </w:pPr>
            <w:r w:rsidRPr="004705E2">
              <w:rPr>
                <w:rFonts w:ascii="Arial" w:hAnsi="Arial" w:cs="Arial"/>
                <w:sz w:val="20"/>
                <w:szCs w:val="20"/>
              </w:rPr>
              <w:t>TARIBEAN 5</w:t>
            </w:r>
          </w:p>
        </w:tc>
        <w:tc>
          <w:tcPr>
            <w:tcW w:w="2970" w:type="dxa"/>
          </w:tcPr>
          <w:p w14:paraId="1CA5422A" w14:textId="1720221F" w:rsidR="00CB7DA1" w:rsidRPr="004705E2"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KAB06F2-8-36</w:t>
            </w:r>
          </w:p>
        </w:tc>
        <w:tc>
          <w:tcPr>
            <w:tcW w:w="4230" w:type="dxa"/>
          </w:tcPr>
          <w:p w14:paraId="0AE80660"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Iron(Fe): 55.5-76.0 ppm, mg/kg</w:t>
            </w:r>
          </w:p>
          <w:p w14:paraId="02493E6F"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Zinc (Zn): 31.4-39.0 ppm, mg/kg</w:t>
            </w:r>
          </w:p>
        </w:tc>
      </w:tr>
      <w:tr w:rsidR="00CB7DA1" w:rsidRPr="004705E2" w14:paraId="06167839" w14:textId="77777777" w:rsidTr="00E31B32">
        <w:tc>
          <w:tcPr>
            <w:cnfStyle w:val="001000000000" w:firstRow="0" w:lastRow="0" w:firstColumn="1" w:lastColumn="0" w:oddVBand="0" w:evenVBand="0" w:oddHBand="0" w:evenHBand="0" w:firstRowFirstColumn="0" w:firstRowLastColumn="0" w:lastRowFirstColumn="0" w:lastRowLastColumn="0"/>
            <w:tcW w:w="1980" w:type="dxa"/>
          </w:tcPr>
          <w:p w14:paraId="28A33858" w14:textId="77777777" w:rsidR="00CB7DA1" w:rsidRPr="004705E2" w:rsidRDefault="00CB7DA1" w:rsidP="00DD3605">
            <w:pPr>
              <w:spacing w:line="240" w:lineRule="auto"/>
              <w:jc w:val="center"/>
              <w:rPr>
                <w:rFonts w:ascii="Arial" w:hAnsi="Arial" w:cs="Arial"/>
                <w:sz w:val="20"/>
                <w:szCs w:val="20"/>
              </w:rPr>
            </w:pPr>
            <w:r w:rsidRPr="004705E2">
              <w:rPr>
                <w:rFonts w:ascii="Arial" w:hAnsi="Arial" w:cs="Arial"/>
                <w:sz w:val="20"/>
                <w:szCs w:val="20"/>
              </w:rPr>
              <w:t>TARIBEAN 6</w:t>
            </w:r>
          </w:p>
        </w:tc>
        <w:tc>
          <w:tcPr>
            <w:tcW w:w="2970" w:type="dxa"/>
          </w:tcPr>
          <w:p w14:paraId="18B55453" w14:textId="77777777" w:rsidR="00CB7DA1" w:rsidRPr="004705E2"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RWR2154</w:t>
            </w:r>
          </w:p>
        </w:tc>
        <w:tc>
          <w:tcPr>
            <w:tcW w:w="4230" w:type="dxa"/>
          </w:tcPr>
          <w:p w14:paraId="7F70AB25"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Iron(Fe): 63.8-70.6 ppm, mg/kg</w:t>
            </w:r>
          </w:p>
          <w:p w14:paraId="2062B716"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Zinc (Zn): 35.7- 40.8 ppm, mg/kg</w:t>
            </w:r>
          </w:p>
        </w:tc>
      </w:tr>
      <w:tr w:rsidR="00CB7DA1" w:rsidRPr="004705E2" w14:paraId="5D29357A" w14:textId="77777777" w:rsidTr="00E31B32">
        <w:tc>
          <w:tcPr>
            <w:cnfStyle w:val="001000000000" w:firstRow="0" w:lastRow="0" w:firstColumn="1" w:lastColumn="0" w:oddVBand="0" w:evenVBand="0" w:oddHBand="0" w:evenHBand="0" w:firstRowFirstColumn="0" w:firstRowLastColumn="0" w:lastRowFirstColumn="0" w:lastRowLastColumn="0"/>
            <w:tcW w:w="1980" w:type="dxa"/>
            <w:tcBorders>
              <w:bottom w:val="nil"/>
            </w:tcBorders>
          </w:tcPr>
          <w:p w14:paraId="012CE460" w14:textId="77777777" w:rsidR="00CB7DA1" w:rsidRPr="004705E2" w:rsidRDefault="00CB7DA1" w:rsidP="00DD3605">
            <w:pPr>
              <w:spacing w:line="240" w:lineRule="auto"/>
              <w:jc w:val="center"/>
              <w:rPr>
                <w:rFonts w:ascii="Arial" w:hAnsi="Arial" w:cs="Arial"/>
                <w:sz w:val="20"/>
                <w:szCs w:val="20"/>
              </w:rPr>
            </w:pPr>
            <w:r w:rsidRPr="004705E2">
              <w:rPr>
                <w:rFonts w:ascii="Arial" w:hAnsi="Arial" w:cs="Arial"/>
                <w:sz w:val="20"/>
                <w:szCs w:val="20"/>
              </w:rPr>
              <w:t>JESCA</w:t>
            </w:r>
          </w:p>
        </w:tc>
        <w:tc>
          <w:tcPr>
            <w:tcW w:w="2970" w:type="dxa"/>
            <w:tcBorders>
              <w:bottom w:val="nil"/>
            </w:tcBorders>
          </w:tcPr>
          <w:p w14:paraId="3241F9DD" w14:textId="77777777" w:rsidR="00CB7DA1" w:rsidRPr="004705E2"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NA</w:t>
            </w:r>
          </w:p>
        </w:tc>
        <w:tc>
          <w:tcPr>
            <w:tcW w:w="4230" w:type="dxa"/>
            <w:tcBorders>
              <w:bottom w:val="nil"/>
            </w:tcBorders>
          </w:tcPr>
          <w:p w14:paraId="281B559A"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Iron(Fe): 52-63 ppm, mg/kg</w:t>
            </w:r>
          </w:p>
          <w:p w14:paraId="3BAFAA68"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Zinc (Zn): 32-36 ppm, mg/kg</w:t>
            </w:r>
          </w:p>
        </w:tc>
      </w:tr>
      <w:tr w:rsidR="00CB7DA1" w:rsidRPr="004705E2" w14:paraId="1FA4DA2F" w14:textId="77777777" w:rsidTr="00E31B32">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tcBorders>
          </w:tcPr>
          <w:p w14:paraId="349BA305" w14:textId="77777777" w:rsidR="00CB7DA1" w:rsidRPr="004705E2" w:rsidRDefault="00CB7DA1" w:rsidP="00DD3605">
            <w:pPr>
              <w:spacing w:line="240" w:lineRule="auto"/>
              <w:jc w:val="center"/>
              <w:rPr>
                <w:rFonts w:ascii="Arial" w:hAnsi="Arial" w:cs="Arial"/>
                <w:sz w:val="20"/>
                <w:szCs w:val="20"/>
              </w:rPr>
            </w:pPr>
            <w:r w:rsidRPr="004705E2">
              <w:rPr>
                <w:rFonts w:ascii="Arial" w:hAnsi="Arial" w:cs="Arial"/>
                <w:sz w:val="20"/>
                <w:szCs w:val="20"/>
              </w:rPr>
              <w:t>SELIAN 14</w:t>
            </w:r>
          </w:p>
        </w:tc>
        <w:tc>
          <w:tcPr>
            <w:tcW w:w="2970" w:type="dxa"/>
            <w:tcBorders>
              <w:top w:val="nil"/>
              <w:bottom w:val="single" w:sz="4" w:space="0" w:color="auto"/>
            </w:tcBorders>
          </w:tcPr>
          <w:p w14:paraId="51C9C318" w14:textId="77777777" w:rsidR="00CB7DA1" w:rsidRPr="004705E2"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MAC44</w:t>
            </w:r>
          </w:p>
        </w:tc>
        <w:tc>
          <w:tcPr>
            <w:tcW w:w="4230" w:type="dxa"/>
            <w:tcBorders>
              <w:top w:val="nil"/>
              <w:bottom w:val="single" w:sz="4" w:space="0" w:color="auto"/>
            </w:tcBorders>
          </w:tcPr>
          <w:p w14:paraId="444E461C"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Iron(Fe): 84 ppm, mg/kg</w:t>
            </w:r>
          </w:p>
          <w:p w14:paraId="09E48A93"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Zinc (Zn): 42 ppm, mg/kg</w:t>
            </w:r>
          </w:p>
        </w:tc>
      </w:tr>
    </w:tbl>
    <w:p w14:paraId="208EECC1" w14:textId="22BE3099" w:rsidR="00FB6D26" w:rsidRPr="006F6B49" w:rsidRDefault="002C79C1" w:rsidP="00E00C8B">
      <w:pPr>
        <w:spacing w:after="160" w:line="259" w:lineRule="auto"/>
        <w:jc w:val="both"/>
        <w:rPr>
          <w:rFonts w:ascii="Arial" w:eastAsiaTheme="minorHAnsi" w:hAnsi="Arial" w:cs="Arial"/>
          <w:i/>
          <w:sz w:val="20"/>
          <w:szCs w:val="20"/>
        </w:rPr>
      </w:pPr>
      <w:r w:rsidRPr="004705E2">
        <w:rPr>
          <w:rFonts w:ascii="Arial" w:eastAsiaTheme="minorHAnsi" w:hAnsi="Arial" w:cs="Arial"/>
          <w:b/>
          <w:sz w:val="20"/>
          <w:szCs w:val="20"/>
        </w:rPr>
        <w:t>Source:</w:t>
      </w:r>
      <w:r w:rsidRPr="004705E2">
        <w:rPr>
          <w:rFonts w:ascii="Arial" w:eastAsiaTheme="minorHAnsi" w:hAnsi="Arial" w:cs="Arial"/>
          <w:sz w:val="20"/>
          <w:szCs w:val="20"/>
        </w:rPr>
        <w:t xml:space="preserve"> </w:t>
      </w:r>
      <w:r w:rsidRPr="006F6B49">
        <w:rPr>
          <w:rFonts w:ascii="Arial" w:eastAsiaTheme="minorHAnsi" w:hAnsi="Arial" w:cs="Arial"/>
          <w:i/>
          <w:sz w:val="20"/>
          <w:szCs w:val="20"/>
        </w:rPr>
        <w:t>TARI Variety Catalogue of Common Beans (Phaseolus Vulgaris) in Tanzania. TARI Research Publication No.1</w:t>
      </w:r>
    </w:p>
    <w:p w14:paraId="261D615C" w14:textId="77777777" w:rsidR="00FB6D26" w:rsidRPr="00A5587B" w:rsidRDefault="00FB6D26" w:rsidP="00DD3605">
      <w:pPr>
        <w:spacing w:line="276" w:lineRule="auto"/>
        <w:jc w:val="both"/>
        <w:rPr>
          <w:rFonts w:ascii="Arial" w:hAnsi="Arial" w:cs="Arial"/>
          <w:sz w:val="22"/>
          <w:szCs w:val="22"/>
        </w:rPr>
      </w:pPr>
      <w:r w:rsidRPr="00A5587B">
        <w:rPr>
          <w:rFonts w:ascii="Arial" w:hAnsi="Arial" w:cs="Arial"/>
          <w:b/>
          <w:bCs/>
          <w:iCs/>
          <w:sz w:val="22"/>
          <w:szCs w:val="22"/>
        </w:rPr>
        <w:t>2.3 Salinity Treatment Preparation</w:t>
      </w:r>
    </w:p>
    <w:p w14:paraId="502CD792" w14:textId="74E83C7F" w:rsidR="00FB6D26" w:rsidRPr="004705E2" w:rsidRDefault="00FB6D26" w:rsidP="00DD3605">
      <w:pPr>
        <w:spacing w:line="276" w:lineRule="auto"/>
        <w:jc w:val="both"/>
        <w:rPr>
          <w:rFonts w:ascii="Arial" w:hAnsi="Arial" w:cs="Arial"/>
          <w:sz w:val="20"/>
          <w:szCs w:val="20"/>
        </w:rPr>
      </w:pPr>
      <w:r w:rsidRPr="004705E2">
        <w:rPr>
          <w:rFonts w:ascii="Arial" w:hAnsi="Arial" w:cs="Arial"/>
          <w:sz w:val="20"/>
          <w:szCs w:val="20"/>
        </w:rPr>
        <w:t>NaCl solutions were prepared by dissolving analytical-grade sodium chloride (≥99.5% purity, Sigma-Aldrich, USA) in deionized water (conductivity &lt;5 μS cm−1). Solution electrical conductivity (EC) and pH were measured using a calibrated EC/pH meter (Hanna HI9814, Hanna Instruments, USA) and recorded as: 0 mM (EC: 0.2 dS m−1, pH 6.8), 50 mM (EC: 5.1 dS m−1, pH 6.6), 100 mM (EC: 9.8 dS m−1, pH 6.5), and 150 mM (EC: 14.2 dS m−1, pH 6.4)</w:t>
      </w:r>
      <w:r w:rsidR="00F427DC">
        <w:rPr>
          <w:rFonts w:ascii="Arial" w:hAnsi="Arial" w:cs="Arial"/>
          <w:sz w:val="20"/>
          <w:szCs w:val="20"/>
        </w:rPr>
        <w:t xml:space="preserve"> </w:t>
      </w:r>
      <w:r w:rsidR="00F427DC">
        <w:rPr>
          <w:rFonts w:ascii="Arial" w:hAnsi="Arial" w:cs="Arial"/>
          <w:color w:val="222222"/>
          <w:sz w:val="20"/>
          <w:szCs w:val="20"/>
          <w:shd w:val="clear" w:color="auto" w:fill="FFFFFF"/>
        </w:rPr>
        <w:t>[</w:t>
      </w:r>
      <w:hyperlink w:anchor="THIRTEEN" w:history="1">
        <w:r w:rsidR="00F427DC" w:rsidRPr="00F427DC">
          <w:rPr>
            <w:rStyle w:val="Hyperlink"/>
            <w:rFonts w:ascii="Arial" w:hAnsi="Arial" w:cs="Arial"/>
            <w:sz w:val="20"/>
            <w:szCs w:val="20"/>
            <w:shd w:val="clear" w:color="auto" w:fill="FFFFFF"/>
          </w:rPr>
          <w:t>13</w:t>
        </w:r>
      </w:hyperlink>
      <w:r w:rsidR="00F427DC">
        <w:rPr>
          <w:rFonts w:ascii="Arial" w:hAnsi="Arial" w:cs="Arial"/>
          <w:color w:val="222222"/>
          <w:sz w:val="20"/>
          <w:szCs w:val="20"/>
          <w:shd w:val="clear" w:color="auto" w:fill="FFFFFF"/>
        </w:rPr>
        <w:t>]</w:t>
      </w:r>
      <w:r w:rsidRPr="004705E2">
        <w:rPr>
          <w:rFonts w:ascii="Arial" w:hAnsi="Arial" w:cs="Arial"/>
          <w:sz w:val="20"/>
          <w:szCs w:val="20"/>
        </w:rPr>
        <w:t>. These concentrations represent non-saline (0 mM), moderately saline (50 mM), highly saline (100 mM), and severely saline (150 mM) conditions relevant to field scenarios in Tanzania's salt-affected regions.</w:t>
      </w:r>
    </w:p>
    <w:p w14:paraId="37ECEBD5" w14:textId="77777777" w:rsidR="00DD3605" w:rsidRDefault="00DD3605" w:rsidP="00DD3605">
      <w:pPr>
        <w:spacing w:line="276" w:lineRule="auto"/>
        <w:jc w:val="both"/>
        <w:rPr>
          <w:rFonts w:ascii="Arial" w:hAnsi="Arial" w:cs="Arial"/>
          <w:b/>
          <w:bCs/>
          <w:iCs/>
          <w:sz w:val="22"/>
          <w:szCs w:val="22"/>
        </w:rPr>
      </w:pPr>
    </w:p>
    <w:p w14:paraId="6356CB03" w14:textId="5C7CB9B3" w:rsidR="00FB6D26" w:rsidRPr="00A5587B" w:rsidRDefault="00FB6D26" w:rsidP="00DD3605">
      <w:pPr>
        <w:spacing w:line="276" w:lineRule="auto"/>
        <w:jc w:val="both"/>
        <w:rPr>
          <w:rFonts w:ascii="Arial" w:hAnsi="Arial" w:cs="Arial"/>
          <w:sz w:val="22"/>
          <w:szCs w:val="22"/>
        </w:rPr>
      </w:pPr>
      <w:commentRangeStart w:id="2"/>
      <w:r w:rsidRPr="00A5587B">
        <w:rPr>
          <w:rFonts w:ascii="Arial" w:hAnsi="Arial" w:cs="Arial"/>
          <w:b/>
          <w:bCs/>
          <w:iCs/>
          <w:sz w:val="22"/>
          <w:szCs w:val="22"/>
        </w:rPr>
        <w:t>2.4 Seed Treatment and Sowing</w:t>
      </w:r>
      <w:commentRangeEnd w:id="2"/>
      <w:r w:rsidR="00C55527">
        <w:rPr>
          <w:rStyle w:val="CommentReference"/>
        </w:rPr>
        <w:commentReference w:id="2"/>
      </w:r>
    </w:p>
    <w:p w14:paraId="13B71D2A" w14:textId="0A15CAB1" w:rsidR="00FB6D26" w:rsidRPr="004705E2" w:rsidRDefault="00FB6D26" w:rsidP="00DD3605">
      <w:pPr>
        <w:spacing w:line="276" w:lineRule="auto"/>
        <w:jc w:val="both"/>
        <w:rPr>
          <w:rFonts w:ascii="Arial" w:hAnsi="Arial" w:cs="Arial"/>
          <w:sz w:val="20"/>
          <w:szCs w:val="20"/>
        </w:rPr>
      </w:pPr>
      <w:r w:rsidRPr="004705E2">
        <w:rPr>
          <w:rFonts w:ascii="Arial" w:hAnsi="Arial" w:cs="Arial"/>
          <w:sz w:val="20"/>
          <w:szCs w:val="20"/>
        </w:rPr>
        <w:t xml:space="preserve">All seeds were surface-sterilised with 1% sodium hypochlorite (NaOCl) for five minutes to eliminate microbial contaminants, then rinsed with sterile distilled water. After </w:t>
      </w:r>
      <w:r w:rsidR="00972BEA" w:rsidRPr="004705E2">
        <w:rPr>
          <w:rFonts w:ascii="Arial" w:hAnsi="Arial" w:cs="Arial"/>
          <w:sz w:val="20"/>
          <w:szCs w:val="20"/>
        </w:rPr>
        <w:t>sterilization</w:t>
      </w:r>
      <w:r w:rsidRPr="004705E2">
        <w:rPr>
          <w:rFonts w:ascii="Arial" w:hAnsi="Arial" w:cs="Arial"/>
          <w:sz w:val="20"/>
          <w:szCs w:val="20"/>
        </w:rPr>
        <w:t xml:space="preserve">, seeds were pre-soaked for 24 hours in saline solutions (0, 50, 100, </w:t>
      </w:r>
      <w:r w:rsidR="00D31A5A" w:rsidRPr="004705E2">
        <w:rPr>
          <w:rFonts w:ascii="Arial" w:hAnsi="Arial" w:cs="Arial"/>
          <w:sz w:val="20"/>
          <w:szCs w:val="20"/>
        </w:rPr>
        <w:t>and</w:t>
      </w:r>
      <w:r w:rsidRPr="004705E2">
        <w:rPr>
          <w:rFonts w:ascii="Arial" w:hAnsi="Arial" w:cs="Arial"/>
          <w:sz w:val="20"/>
          <w:szCs w:val="20"/>
        </w:rPr>
        <w:t xml:space="preserve"> 150 mM NaCl) to equilibrate with the salt conditions </w:t>
      </w:r>
      <w:r w:rsidR="00A161CD">
        <w:rPr>
          <w:rFonts w:ascii="Arial" w:hAnsi="Arial" w:cs="Arial"/>
          <w:sz w:val="20"/>
          <w:szCs w:val="20"/>
        </w:rPr>
        <w:t>[</w:t>
      </w:r>
      <w:hyperlink w:anchor="FORTEEN" w:history="1">
        <w:r w:rsidR="00A161CD" w:rsidRPr="00A161CD">
          <w:rPr>
            <w:rStyle w:val="Hyperlink"/>
            <w:rFonts w:ascii="Arial" w:hAnsi="Arial" w:cs="Arial"/>
            <w:sz w:val="20"/>
            <w:szCs w:val="20"/>
          </w:rPr>
          <w:t>14</w:t>
        </w:r>
      </w:hyperlink>
      <w:r w:rsidR="00A161CD">
        <w:rPr>
          <w:rFonts w:ascii="Arial" w:hAnsi="Arial" w:cs="Arial"/>
          <w:sz w:val="20"/>
          <w:szCs w:val="20"/>
        </w:rPr>
        <w:t>]</w:t>
      </w:r>
      <w:r w:rsidRPr="004705E2">
        <w:rPr>
          <w:rFonts w:ascii="Arial" w:hAnsi="Arial" w:cs="Arial"/>
          <w:sz w:val="20"/>
          <w:szCs w:val="20"/>
        </w:rPr>
        <w:t xml:space="preserve">. Plastic containers </w:t>
      </w:r>
      <w:r w:rsidR="00D31A5A" w:rsidRPr="004705E2">
        <w:rPr>
          <w:rFonts w:ascii="Arial" w:hAnsi="Arial" w:cs="Arial"/>
          <w:sz w:val="20"/>
          <w:szCs w:val="20"/>
        </w:rPr>
        <w:t>were washed</w:t>
      </w:r>
      <w:r w:rsidRPr="004705E2">
        <w:rPr>
          <w:rFonts w:ascii="Arial" w:hAnsi="Arial" w:cs="Arial"/>
          <w:sz w:val="20"/>
          <w:szCs w:val="20"/>
        </w:rPr>
        <w:t>, sterilised</w:t>
      </w:r>
      <w:r w:rsidR="004D696E" w:rsidRPr="004705E2">
        <w:rPr>
          <w:rFonts w:ascii="Arial" w:hAnsi="Arial" w:cs="Arial"/>
          <w:sz w:val="20"/>
          <w:szCs w:val="20"/>
        </w:rPr>
        <w:t>, and</w:t>
      </w:r>
      <w:r w:rsidRPr="004705E2">
        <w:rPr>
          <w:rFonts w:ascii="Arial" w:hAnsi="Arial" w:cs="Arial"/>
          <w:sz w:val="20"/>
          <w:szCs w:val="20"/>
        </w:rPr>
        <w:t xml:space="preserve"> moistened with distilled water. For each treatment, 100 seeds per container were sown at a depth of 2 cm and a spacing of 2 cm. Containers were placed in the growth chamber and irrigated with the respective saline solutions to maintain </w:t>
      </w:r>
      <w:r w:rsidR="00870A82" w:rsidRPr="004705E2">
        <w:rPr>
          <w:rFonts w:ascii="Arial" w:hAnsi="Arial" w:cs="Arial"/>
          <w:sz w:val="20"/>
          <w:szCs w:val="20"/>
        </w:rPr>
        <w:t xml:space="preserve">the </w:t>
      </w:r>
      <w:r w:rsidRPr="004705E2">
        <w:rPr>
          <w:rFonts w:ascii="Arial" w:hAnsi="Arial" w:cs="Arial"/>
          <w:sz w:val="20"/>
          <w:szCs w:val="20"/>
        </w:rPr>
        <w:t>target salinity. Irrigation was done every 48 hours to prevent waterlogging and maintain consistent moisture and salt concentration during germination.</w:t>
      </w:r>
    </w:p>
    <w:p w14:paraId="72E69D63" w14:textId="77777777" w:rsidR="00FB6D26" w:rsidRPr="00A5587B" w:rsidRDefault="00FB6D26" w:rsidP="00DD3605">
      <w:pPr>
        <w:spacing w:line="276" w:lineRule="auto"/>
        <w:jc w:val="both"/>
        <w:rPr>
          <w:rFonts w:ascii="Arial" w:hAnsi="Arial" w:cs="Arial"/>
          <w:sz w:val="22"/>
          <w:szCs w:val="22"/>
        </w:rPr>
      </w:pPr>
      <w:r w:rsidRPr="00A5587B">
        <w:rPr>
          <w:rFonts w:ascii="Arial" w:hAnsi="Arial" w:cs="Arial"/>
          <w:b/>
          <w:bCs/>
          <w:iCs/>
          <w:sz w:val="22"/>
          <w:szCs w:val="22"/>
        </w:rPr>
        <w:t>2.5 Experimental Design</w:t>
      </w:r>
    </w:p>
    <w:p w14:paraId="1430C399" w14:textId="598AB4D8" w:rsidR="00FB6D26" w:rsidRPr="004705E2" w:rsidRDefault="00FB6D26" w:rsidP="00DD3605">
      <w:pPr>
        <w:spacing w:line="276" w:lineRule="auto"/>
        <w:jc w:val="both"/>
        <w:rPr>
          <w:rFonts w:ascii="Arial" w:hAnsi="Arial" w:cs="Arial"/>
          <w:sz w:val="20"/>
          <w:szCs w:val="20"/>
        </w:rPr>
      </w:pPr>
      <w:r w:rsidRPr="004705E2">
        <w:rPr>
          <w:rFonts w:ascii="Arial" w:hAnsi="Arial" w:cs="Arial"/>
          <w:sz w:val="20"/>
          <w:szCs w:val="20"/>
        </w:rPr>
        <w:t xml:space="preserve">The experiment used a factorial layout within a Completely Randomized Design (CRD), with four salinity levels (0, 50, 100, and 150 mM NaCl) and seven common bean varieties. Each treatment was replicated three times, yielding 84 experimental units (7 varieties × 4 salinity levels × 3 replications). Each unit was a plastic container (25 cm × 18 cm × 8 cm) filled with sterilised sand as the germination medium. The growth chamber </w:t>
      </w:r>
      <w:r w:rsidR="00FB3ED5" w:rsidRPr="004705E2">
        <w:rPr>
          <w:rFonts w:ascii="Arial" w:hAnsi="Arial" w:cs="Arial"/>
          <w:sz w:val="20"/>
          <w:szCs w:val="20"/>
        </w:rPr>
        <w:t xml:space="preserve">conditions were </w:t>
      </w:r>
      <w:r w:rsidR="00D31A5A" w:rsidRPr="004705E2">
        <w:rPr>
          <w:rFonts w:ascii="Arial" w:hAnsi="Arial" w:cs="Arial"/>
          <w:sz w:val="20"/>
          <w:szCs w:val="20"/>
        </w:rPr>
        <w:t>maintained throughout</w:t>
      </w:r>
      <w:r w:rsidR="00FB3ED5" w:rsidRPr="004705E2">
        <w:rPr>
          <w:rFonts w:ascii="Arial" w:hAnsi="Arial" w:cs="Arial"/>
          <w:sz w:val="20"/>
          <w:szCs w:val="20"/>
        </w:rPr>
        <w:t xml:space="preserve"> whereby</w:t>
      </w:r>
      <w:r w:rsidRPr="004705E2">
        <w:rPr>
          <w:rFonts w:ascii="Arial" w:hAnsi="Arial" w:cs="Arial"/>
          <w:sz w:val="20"/>
          <w:szCs w:val="20"/>
        </w:rPr>
        <w:t xml:space="preserve"> </w:t>
      </w:r>
      <w:r w:rsidR="00FB3ED5" w:rsidRPr="004705E2">
        <w:rPr>
          <w:rFonts w:ascii="Arial" w:hAnsi="Arial" w:cs="Arial"/>
          <w:sz w:val="20"/>
          <w:szCs w:val="20"/>
        </w:rPr>
        <w:t>t</w:t>
      </w:r>
      <w:r w:rsidRPr="004705E2">
        <w:rPr>
          <w:rFonts w:ascii="Arial" w:hAnsi="Arial" w:cs="Arial"/>
          <w:sz w:val="20"/>
          <w:szCs w:val="20"/>
        </w:rPr>
        <w:t>emperature, relative humidity, and light intensity were monitored and kept at 25 ± 2°</w:t>
      </w:r>
      <w:r w:rsidR="00184455">
        <w:rPr>
          <w:rFonts w:ascii="Arial" w:hAnsi="Arial" w:cs="Arial"/>
          <w:sz w:val="20"/>
          <w:szCs w:val="20"/>
        </w:rPr>
        <w:t>C (mean ± SD: 25.3 ± 1.1°C), 65-</w:t>
      </w:r>
      <w:r w:rsidRPr="004705E2">
        <w:rPr>
          <w:rFonts w:ascii="Arial" w:hAnsi="Arial" w:cs="Arial"/>
          <w:sz w:val="20"/>
          <w:szCs w:val="20"/>
        </w:rPr>
        <w:t>70% (mean: 67 ± 3%), and a 12-hour photoperiod (400 μmol m−2 s−1 photosynthetic photon flux density) using calibrated sensors</w:t>
      </w:r>
      <w:r w:rsidR="00C759CB">
        <w:rPr>
          <w:rFonts w:ascii="Arial" w:hAnsi="Arial" w:cs="Arial"/>
          <w:sz w:val="20"/>
          <w:szCs w:val="20"/>
        </w:rPr>
        <w:t xml:space="preserve"> </w:t>
      </w:r>
      <w:r w:rsidR="008E4D6A">
        <w:rPr>
          <w:rFonts w:ascii="Arial" w:hAnsi="Arial" w:cs="Arial"/>
          <w:sz w:val="20"/>
          <w:szCs w:val="20"/>
        </w:rPr>
        <w:t>[</w:t>
      </w:r>
      <w:hyperlink w:anchor="FIFTEEN" w:history="1">
        <w:r w:rsidR="008E4D6A" w:rsidRPr="00E7712B">
          <w:rPr>
            <w:rStyle w:val="Hyperlink"/>
            <w:rFonts w:ascii="Arial" w:hAnsi="Arial" w:cs="Arial"/>
            <w:sz w:val="20"/>
            <w:szCs w:val="20"/>
          </w:rPr>
          <w:t>15</w:t>
        </w:r>
      </w:hyperlink>
      <w:r w:rsidR="008E4D6A">
        <w:rPr>
          <w:rFonts w:ascii="Arial" w:hAnsi="Arial" w:cs="Arial"/>
          <w:sz w:val="20"/>
          <w:szCs w:val="20"/>
        </w:rPr>
        <w:t>]</w:t>
      </w:r>
      <w:r w:rsidRPr="004705E2">
        <w:rPr>
          <w:rFonts w:ascii="Arial" w:hAnsi="Arial" w:cs="Arial"/>
          <w:sz w:val="20"/>
          <w:szCs w:val="20"/>
        </w:rPr>
        <w:t>.</w:t>
      </w:r>
    </w:p>
    <w:p w14:paraId="2DCC75F6" w14:textId="77777777" w:rsidR="00FB6D26" w:rsidRPr="00A5587B" w:rsidRDefault="00FB6D26" w:rsidP="0018624A">
      <w:pPr>
        <w:spacing w:before="120" w:after="120" w:line="276" w:lineRule="auto"/>
        <w:jc w:val="both"/>
        <w:rPr>
          <w:rFonts w:ascii="Arial" w:hAnsi="Arial" w:cs="Arial"/>
          <w:sz w:val="22"/>
          <w:szCs w:val="22"/>
        </w:rPr>
      </w:pPr>
      <w:r w:rsidRPr="00A5587B">
        <w:rPr>
          <w:rFonts w:ascii="Arial" w:hAnsi="Arial" w:cs="Arial"/>
          <w:b/>
          <w:bCs/>
          <w:iCs/>
          <w:sz w:val="22"/>
          <w:szCs w:val="22"/>
        </w:rPr>
        <w:t>2.6 Data Collection and Measurements</w:t>
      </w:r>
    </w:p>
    <w:p w14:paraId="17D62CBF" w14:textId="18E73888" w:rsidR="00FB6D26" w:rsidRPr="004705E2" w:rsidRDefault="00FB6D26" w:rsidP="0018624A">
      <w:pPr>
        <w:spacing w:before="120" w:after="120" w:line="276" w:lineRule="auto"/>
        <w:jc w:val="both"/>
        <w:rPr>
          <w:rFonts w:ascii="Arial" w:hAnsi="Arial" w:cs="Arial"/>
          <w:sz w:val="20"/>
          <w:szCs w:val="20"/>
        </w:rPr>
      </w:pPr>
      <w:r w:rsidRPr="00A5587B">
        <w:rPr>
          <w:rFonts w:ascii="Arial" w:hAnsi="Arial" w:cs="Arial"/>
          <w:b/>
          <w:bCs/>
          <w:sz w:val="20"/>
          <w:szCs w:val="20"/>
        </w:rPr>
        <w:t>2.6.1 Germination Percentage (GP).</w:t>
      </w:r>
      <w:r w:rsidRPr="004705E2">
        <w:rPr>
          <w:rFonts w:ascii="Arial" w:hAnsi="Arial" w:cs="Arial"/>
          <w:b/>
          <w:bCs/>
          <w:sz w:val="20"/>
          <w:szCs w:val="20"/>
        </w:rPr>
        <w:t xml:space="preserve"> </w:t>
      </w:r>
      <w:r w:rsidRPr="004705E2">
        <w:rPr>
          <w:rFonts w:ascii="Arial" w:hAnsi="Arial" w:cs="Arial"/>
          <w:sz w:val="20"/>
          <w:szCs w:val="20"/>
        </w:rPr>
        <w:t xml:space="preserve">Germination was monitored at three-day intervals until no additional germination occurred (10 days after sowing). A seed was considered germinated when radicle protrusion reached ≥2 mm, following the International Seed Testing Association (ISTA) standard </w:t>
      </w:r>
      <w:r w:rsidRPr="004705E2">
        <w:rPr>
          <w:rFonts w:ascii="Arial" w:hAnsi="Arial" w:cs="Arial"/>
          <w:sz w:val="20"/>
          <w:szCs w:val="20"/>
        </w:rPr>
        <w:lastRenderedPageBreak/>
        <w:t xml:space="preserve">germination criteria for </w:t>
      </w:r>
      <w:r w:rsidRPr="004705E2">
        <w:rPr>
          <w:rFonts w:ascii="Arial" w:hAnsi="Arial" w:cs="Arial"/>
          <w:i/>
          <w:iCs/>
          <w:sz w:val="20"/>
          <w:szCs w:val="20"/>
        </w:rPr>
        <w:t>Phaseolus</w:t>
      </w:r>
      <w:r w:rsidRPr="004705E2">
        <w:rPr>
          <w:rFonts w:ascii="Arial" w:hAnsi="Arial" w:cs="Arial"/>
          <w:sz w:val="20"/>
          <w:szCs w:val="20"/>
        </w:rPr>
        <w:t xml:space="preserve"> species</w:t>
      </w:r>
      <w:r w:rsidR="00C759CB">
        <w:rPr>
          <w:rFonts w:ascii="Arial" w:hAnsi="Arial" w:cs="Arial"/>
          <w:sz w:val="20"/>
          <w:szCs w:val="20"/>
        </w:rPr>
        <w:t xml:space="preserve"> [</w:t>
      </w:r>
      <w:hyperlink w:anchor="SIXTEEN" w:history="1">
        <w:r w:rsidR="00C759CB" w:rsidRPr="00C759CB">
          <w:rPr>
            <w:rStyle w:val="Hyperlink"/>
            <w:rFonts w:ascii="Arial" w:hAnsi="Arial" w:cs="Arial"/>
            <w:sz w:val="20"/>
            <w:szCs w:val="20"/>
          </w:rPr>
          <w:t>16</w:t>
        </w:r>
      </w:hyperlink>
      <w:r w:rsidR="00C759CB">
        <w:rPr>
          <w:rFonts w:ascii="Arial" w:hAnsi="Arial" w:cs="Arial"/>
          <w:sz w:val="20"/>
          <w:szCs w:val="20"/>
        </w:rPr>
        <w:t>]</w:t>
      </w:r>
      <w:r w:rsidRPr="004705E2">
        <w:rPr>
          <w:rFonts w:ascii="Arial" w:hAnsi="Arial" w:cs="Arial"/>
          <w:sz w:val="20"/>
          <w:szCs w:val="20"/>
        </w:rPr>
        <w:t>. Germination percentage was calculated using: GP (%) = (Number of germinated seeds / Total number of seeds sown) × 100</w:t>
      </w:r>
    </w:p>
    <w:p w14:paraId="0E7F4EB7" w14:textId="24DF6F7A" w:rsidR="00FB6D26" w:rsidRPr="004705E2" w:rsidRDefault="00FB6D26" w:rsidP="0018624A">
      <w:pPr>
        <w:spacing w:before="120" w:after="120" w:line="276" w:lineRule="auto"/>
        <w:jc w:val="both"/>
        <w:rPr>
          <w:rFonts w:ascii="Arial" w:hAnsi="Arial" w:cs="Arial"/>
          <w:sz w:val="20"/>
          <w:szCs w:val="20"/>
        </w:rPr>
      </w:pPr>
      <w:r w:rsidRPr="004705E2">
        <w:rPr>
          <w:rFonts w:ascii="Arial" w:hAnsi="Arial" w:cs="Arial"/>
          <w:b/>
          <w:bCs/>
          <w:sz w:val="20"/>
          <w:szCs w:val="20"/>
        </w:rPr>
        <w:t xml:space="preserve">2.6.2 Mean Germination Time (MGT). </w:t>
      </w:r>
      <w:r w:rsidRPr="004705E2">
        <w:rPr>
          <w:rFonts w:ascii="Arial" w:hAnsi="Arial" w:cs="Arial"/>
          <w:sz w:val="20"/>
          <w:szCs w:val="20"/>
        </w:rPr>
        <w:t>Mean germination time was calculated to assess the rate and uniformity of seed germination under different salinity treatments using the formula proposed by Ellis and Roberts (1981)</w:t>
      </w:r>
      <w:r w:rsidR="00C759CB">
        <w:rPr>
          <w:rFonts w:ascii="Arial" w:hAnsi="Arial" w:cs="Arial"/>
          <w:sz w:val="20"/>
          <w:szCs w:val="20"/>
        </w:rPr>
        <w:t xml:space="preserve"> [</w:t>
      </w:r>
      <w:hyperlink w:anchor="SEVENTEEN" w:history="1">
        <w:r w:rsidR="00C759CB" w:rsidRPr="00C759CB">
          <w:rPr>
            <w:rStyle w:val="Hyperlink"/>
            <w:rFonts w:ascii="Arial" w:hAnsi="Arial" w:cs="Arial"/>
            <w:sz w:val="20"/>
            <w:szCs w:val="20"/>
          </w:rPr>
          <w:t>17</w:t>
        </w:r>
      </w:hyperlink>
      <w:r w:rsidR="00C759CB">
        <w:rPr>
          <w:rFonts w:ascii="Arial" w:hAnsi="Arial" w:cs="Arial"/>
          <w:sz w:val="20"/>
          <w:szCs w:val="20"/>
        </w:rPr>
        <w:t>]</w:t>
      </w:r>
      <w:r w:rsidRPr="004705E2">
        <w:rPr>
          <w:rFonts w:ascii="Arial" w:hAnsi="Arial" w:cs="Arial"/>
          <w:sz w:val="20"/>
          <w:szCs w:val="20"/>
        </w:rPr>
        <w:t>: MGT = Σ (n × d) / N, where n = number of seeds germinated on day d; d = time (days) from sowing to germination; N = total number of germinated seeds.</w:t>
      </w:r>
    </w:p>
    <w:p w14:paraId="44FB8637" w14:textId="77777777" w:rsidR="00FB6D26" w:rsidRPr="004705E2" w:rsidRDefault="00FB6D26" w:rsidP="0018624A">
      <w:pPr>
        <w:spacing w:before="120" w:after="120" w:line="276" w:lineRule="auto"/>
        <w:jc w:val="both"/>
        <w:rPr>
          <w:rFonts w:ascii="Arial" w:hAnsi="Arial" w:cs="Arial"/>
          <w:sz w:val="20"/>
          <w:szCs w:val="20"/>
        </w:rPr>
      </w:pPr>
      <w:r w:rsidRPr="004705E2">
        <w:rPr>
          <w:rFonts w:ascii="Arial" w:hAnsi="Arial" w:cs="Arial"/>
          <w:b/>
          <w:bCs/>
          <w:sz w:val="20"/>
          <w:szCs w:val="20"/>
        </w:rPr>
        <w:t xml:space="preserve">2.6.3 Shoot and Root Length. </w:t>
      </w:r>
      <w:r w:rsidRPr="004705E2">
        <w:rPr>
          <w:rFonts w:ascii="Arial" w:hAnsi="Arial" w:cs="Arial"/>
          <w:sz w:val="20"/>
          <w:szCs w:val="20"/>
        </w:rPr>
        <w:t>Ten days after sowing, ten seedlings from each treatment were randomly selected for measurement. Shoot length was measured from the hypocotyl-cotyledon junction to the apex of the primary leaf, and root length was measured from the hypocotyl base to the primary root tip using a standard ruler (±0.1 cm precision). Mean shoot and root lengths were calculated and expressed in centimetres.</w:t>
      </w:r>
    </w:p>
    <w:p w14:paraId="0058CD9E" w14:textId="38F4AF5B" w:rsidR="00FB6D26" w:rsidRPr="004705E2" w:rsidRDefault="00FB6D26" w:rsidP="0018624A">
      <w:pPr>
        <w:spacing w:before="120" w:after="120" w:line="276" w:lineRule="auto"/>
        <w:jc w:val="both"/>
        <w:rPr>
          <w:rFonts w:ascii="Arial" w:hAnsi="Arial" w:cs="Arial"/>
          <w:sz w:val="20"/>
          <w:szCs w:val="20"/>
        </w:rPr>
      </w:pPr>
      <w:r w:rsidRPr="004705E2">
        <w:rPr>
          <w:rFonts w:ascii="Arial" w:hAnsi="Arial" w:cs="Arial"/>
          <w:b/>
          <w:bCs/>
          <w:sz w:val="20"/>
          <w:szCs w:val="20"/>
        </w:rPr>
        <w:t>2.6.4 Seedling Fresh Weight</w:t>
      </w:r>
      <w:r w:rsidRPr="004705E2">
        <w:rPr>
          <w:rFonts w:ascii="Arial" w:hAnsi="Arial" w:cs="Arial"/>
          <w:bCs/>
          <w:sz w:val="20"/>
          <w:szCs w:val="20"/>
        </w:rPr>
        <w:t>.</w:t>
      </w:r>
      <w:r w:rsidRPr="004705E2">
        <w:rPr>
          <w:rFonts w:ascii="Arial" w:hAnsi="Arial" w:cs="Arial"/>
          <w:b/>
          <w:bCs/>
          <w:sz w:val="20"/>
          <w:szCs w:val="20"/>
        </w:rPr>
        <w:t xml:space="preserve"> </w:t>
      </w:r>
      <w:r w:rsidRPr="004705E2">
        <w:rPr>
          <w:rFonts w:ascii="Arial" w:hAnsi="Arial" w:cs="Arial"/>
          <w:sz w:val="20"/>
          <w:szCs w:val="20"/>
        </w:rPr>
        <w:t xml:space="preserve">Ten representative seedlings from each treatment were carefully uprooted, gently rinsed with distilled water to remove adhering substrate particles, and blotted with absorbent paper to remove excess surface moisture. Seedlings were </w:t>
      </w:r>
      <w:r w:rsidR="00681887">
        <w:rPr>
          <w:rFonts w:ascii="Arial" w:hAnsi="Arial" w:cs="Arial"/>
          <w:sz w:val="20"/>
          <w:szCs w:val="20"/>
        </w:rPr>
        <w:t>weighed immediately on an analytical balance (±0.0001 g</w:t>
      </w:r>
      <w:r w:rsidRPr="004705E2">
        <w:rPr>
          <w:rFonts w:ascii="Arial" w:hAnsi="Arial" w:cs="Arial"/>
          <w:sz w:val="20"/>
          <w:szCs w:val="20"/>
        </w:rPr>
        <w:t>; Mettler Toledo ME204, Switzerland), and the mean fresh weight was expressed in grams.</w:t>
      </w:r>
    </w:p>
    <w:p w14:paraId="69D4CD82" w14:textId="72AEB208" w:rsidR="00FB6D26" w:rsidRPr="004705E2" w:rsidRDefault="00FB6D26" w:rsidP="0018624A">
      <w:pPr>
        <w:spacing w:before="120" w:after="120" w:line="276" w:lineRule="auto"/>
        <w:jc w:val="both"/>
        <w:rPr>
          <w:rFonts w:ascii="Arial" w:hAnsi="Arial" w:cs="Arial"/>
          <w:sz w:val="20"/>
          <w:szCs w:val="20"/>
        </w:rPr>
      </w:pPr>
      <w:r w:rsidRPr="004705E2">
        <w:rPr>
          <w:rFonts w:ascii="Arial" w:hAnsi="Arial" w:cs="Arial"/>
          <w:b/>
          <w:bCs/>
          <w:sz w:val="20"/>
          <w:szCs w:val="20"/>
        </w:rPr>
        <w:t>2.6.5 Seedling Dry Biomass</w:t>
      </w:r>
      <w:r w:rsidRPr="004705E2">
        <w:rPr>
          <w:rFonts w:ascii="Arial" w:hAnsi="Arial" w:cs="Arial"/>
          <w:bCs/>
          <w:sz w:val="20"/>
          <w:szCs w:val="20"/>
        </w:rPr>
        <w:t>.</w:t>
      </w:r>
      <w:r w:rsidRPr="004705E2">
        <w:rPr>
          <w:rFonts w:ascii="Arial" w:hAnsi="Arial" w:cs="Arial"/>
          <w:b/>
          <w:bCs/>
          <w:sz w:val="20"/>
          <w:szCs w:val="20"/>
        </w:rPr>
        <w:t xml:space="preserve"> </w:t>
      </w:r>
      <w:r w:rsidRPr="004705E2">
        <w:rPr>
          <w:rFonts w:ascii="Arial" w:hAnsi="Arial" w:cs="Arial"/>
          <w:sz w:val="20"/>
          <w:szCs w:val="20"/>
        </w:rPr>
        <w:t xml:space="preserve">Following fresh weight determination, seedlings were placed in labelled paper envelopes and oven-dried at 70°C for 48 hours, until a constant </w:t>
      </w:r>
      <w:r w:rsidR="00D31A5A" w:rsidRPr="004705E2">
        <w:rPr>
          <w:rFonts w:ascii="Arial" w:hAnsi="Arial" w:cs="Arial"/>
          <w:sz w:val="20"/>
          <w:szCs w:val="20"/>
        </w:rPr>
        <w:t xml:space="preserve">weight </w:t>
      </w:r>
      <w:r w:rsidR="00865AAD" w:rsidRPr="004705E2">
        <w:rPr>
          <w:rFonts w:ascii="Arial" w:hAnsi="Arial" w:cs="Arial"/>
          <w:sz w:val="20"/>
          <w:szCs w:val="20"/>
        </w:rPr>
        <w:t xml:space="preserve">was </w:t>
      </w:r>
      <w:r w:rsidR="00D31A5A" w:rsidRPr="004705E2">
        <w:rPr>
          <w:rFonts w:ascii="Arial" w:hAnsi="Arial" w:cs="Arial"/>
          <w:sz w:val="20"/>
          <w:szCs w:val="20"/>
        </w:rPr>
        <w:t>achieved</w:t>
      </w:r>
      <w:r w:rsidRPr="004705E2">
        <w:rPr>
          <w:rFonts w:ascii="Arial" w:hAnsi="Arial" w:cs="Arial"/>
          <w:sz w:val="20"/>
          <w:szCs w:val="20"/>
        </w:rPr>
        <w:t>, using a forced-air drying oven (Memmert UF110, Germany). Samples were cooled in a desiccator to prevent reabsorption of moisture and then weighed on an analytical balance. Mean seedling dry biomass was expressed in grams.</w:t>
      </w:r>
    </w:p>
    <w:p w14:paraId="23DCED64" w14:textId="1B724809" w:rsidR="00FB6D26" w:rsidRPr="004705E2" w:rsidRDefault="00FB6D26" w:rsidP="0018624A">
      <w:pPr>
        <w:spacing w:before="120" w:after="120" w:line="276" w:lineRule="auto"/>
        <w:jc w:val="both"/>
        <w:rPr>
          <w:rFonts w:ascii="Arial" w:hAnsi="Arial" w:cs="Arial"/>
          <w:sz w:val="20"/>
          <w:szCs w:val="20"/>
        </w:rPr>
      </w:pPr>
      <w:r w:rsidRPr="004705E2">
        <w:rPr>
          <w:rFonts w:ascii="Arial" w:hAnsi="Arial" w:cs="Arial"/>
          <w:b/>
          <w:bCs/>
          <w:sz w:val="20"/>
          <w:szCs w:val="20"/>
        </w:rPr>
        <w:t xml:space="preserve">2.6.6 Seedling Vigour Index I and II (SVI-I and SVI-II). </w:t>
      </w:r>
      <w:r w:rsidRPr="004705E2">
        <w:rPr>
          <w:rFonts w:ascii="Arial" w:hAnsi="Arial" w:cs="Arial"/>
          <w:sz w:val="20"/>
          <w:szCs w:val="20"/>
        </w:rPr>
        <w:t xml:space="preserve">Seedling vigor indices were calculated according to </w:t>
      </w:r>
      <w:r w:rsidR="001B7B36">
        <w:rPr>
          <w:rFonts w:ascii="Arial" w:hAnsi="Arial" w:cs="Arial"/>
          <w:sz w:val="20"/>
          <w:szCs w:val="20"/>
        </w:rPr>
        <w:t>[</w:t>
      </w:r>
      <w:bookmarkStart w:id="3" w:name="EIGHTEEN"/>
      <w:r w:rsidR="001B7B36">
        <w:rPr>
          <w:rFonts w:ascii="Arial" w:hAnsi="Arial" w:cs="Arial"/>
          <w:sz w:val="20"/>
          <w:szCs w:val="20"/>
        </w:rPr>
        <w:fldChar w:fldCharType="begin"/>
      </w:r>
      <w:r w:rsidR="001B7B36">
        <w:rPr>
          <w:rFonts w:ascii="Arial" w:hAnsi="Arial" w:cs="Arial"/>
          <w:sz w:val="20"/>
          <w:szCs w:val="20"/>
        </w:rPr>
        <w:instrText xml:space="preserve"> HYPERLINK  \l "EIGHTEEN" </w:instrText>
      </w:r>
      <w:r w:rsidR="001B7B36">
        <w:rPr>
          <w:rFonts w:ascii="Arial" w:hAnsi="Arial" w:cs="Arial"/>
          <w:sz w:val="20"/>
          <w:szCs w:val="20"/>
        </w:rPr>
        <w:fldChar w:fldCharType="separate"/>
      </w:r>
      <w:r w:rsidR="001B7B36" w:rsidRPr="001B7B36">
        <w:rPr>
          <w:rStyle w:val="Hyperlink"/>
          <w:rFonts w:ascii="Arial" w:hAnsi="Arial" w:cs="Arial"/>
          <w:sz w:val="20"/>
          <w:szCs w:val="20"/>
        </w:rPr>
        <w:t>18</w:t>
      </w:r>
      <w:bookmarkEnd w:id="3"/>
      <w:r w:rsidR="001B7B36">
        <w:rPr>
          <w:rFonts w:ascii="Arial" w:hAnsi="Arial" w:cs="Arial"/>
          <w:sz w:val="20"/>
          <w:szCs w:val="20"/>
        </w:rPr>
        <w:fldChar w:fldCharType="end"/>
      </w:r>
      <w:r w:rsidR="001B7B36">
        <w:rPr>
          <w:rFonts w:ascii="Arial" w:hAnsi="Arial" w:cs="Arial"/>
          <w:sz w:val="20"/>
          <w:szCs w:val="20"/>
        </w:rPr>
        <w:t>]</w:t>
      </w:r>
      <w:r w:rsidRPr="004705E2">
        <w:rPr>
          <w:rFonts w:ascii="Arial" w:hAnsi="Arial" w:cs="Arial"/>
          <w:sz w:val="20"/>
          <w:szCs w:val="20"/>
        </w:rPr>
        <w:t xml:space="preserve"> to evaluate the combined effects of salinity stress on germination and early seedling growth performance: SVI-I = GP × (MSL + MRL), where GP = germination percentage (%), MSL = mean shoot length (cm), MRL = mean root length (cm); and SVI-II = GP × MSDW, where MSDW = mean seedling dry weight (g).</w:t>
      </w:r>
    </w:p>
    <w:p w14:paraId="6D8BCC2C" w14:textId="77777777" w:rsidR="00FB6D26" w:rsidRPr="00A5587B" w:rsidRDefault="00FB6D26" w:rsidP="00681887">
      <w:pPr>
        <w:spacing w:line="276" w:lineRule="auto"/>
        <w:jc w:val="both"/>
        <w:rPr>
          <w:rFonts w:ascii="Arial" w:hAnsi="Arial" w:cs="Arial"/>
          <w:sz w:val="22"/>
          <w:szCs w:val="22"/>
        </w:rPr>
      </w:pPr>
      <w:r w:rsidRPr="00A5587B">
        <w:rPr>
          <w:rFonts w:ascii="Arial" w:hAnsi="Arial" w:cs="Arial"/>
          <w:b/>
          <w:bCs/>
          <w:iCs/>
          <w:sz w:val="22"/>
          <w:szCs w:val="22"/>
        </w:rPr>
        <w:t>2.7 Statistical Analysis</w:t>
      </w:r>
    </w:p>
    <w:p w14:paraId="2724B2B1" w14:textId="77777777" w:rsidR="00FB6D26" w:rsidRPr="009B366E" w:rsidRDefault="00FB6D26" w:rsidP="00681887">
      <w:pPr>
        <w:spacing w:line="276" w:lineRule="auto"/>
        <w:jc w:val="both"/>
        <w:rPr>
          <w:rFonts w:ascii="Arial" w:hAnsi="Arial" w:cs="Arial"/>
          <w:sz w:val="22"/>
          <w:szCs w:val="22"/>
        </w:rPr>
      </w:pPr>
      <w:r w:rsidRPr="004705E2">
        <w:rPr>
          <w:rFonts w:ascii="Arial" w:hAnsi="Arial" w:cs="Arial"/>
          <w:sz w:val="20"/>
          <w:szCs w:val="20"/>
        </w:rPr>
        <w:t>A two-way analysis of Variance (ANOVA) was conducted to evaluate the effects of salinity levels and bean varieties using R statistical software version 4.3.2. The means were compared using Tukey's Honest Significant Difference (HSD) test at α &lt; 0.05</w:t>
      </w:r>
      <w:r w:rsidRPr="009B366E">
        <w:rPr>
          <w:rFonts w:ascii="Arial" w:hAnsi="Arial" w:cs="Arial"/>
          <w:sz w:val="22"/>
          <w:szCs w:val="22"/>
        </w:rPr>
        <w:t>.</w:t>
      </w:r>
    </w:p>
    <w:p w14:paraId="56054F6E" w14:textId="77777777" w:rsidR="00681887" w:rsidRDefault="00681887" w:rsidP="00740E5D">
      <w:pPr>
        <w:spacing w:before="120" w:after="120" w:line="276" w:lineRule="auto"/>
        <w:rPr>
          <w:rFonts w:ascii="Arial" w:hAnsi="Arial" w:cs="Arial"/>
          <w:b/>
          <w:bCs/>
          <w:sz w:val="22"/>
          <w:szCs w:val="22"/>
        </w:rPr>
      </w:pPr>
    </w:p>
    <w:p w14:paraId="15F0828E" w14:textId="27F0A561" w:rsidR="00FB6D26" w:rsidRPr="009B366E" w:rsidRDefault="00A5587B" w:rsidP="00740E5D">
      <w:pPr>
        <w:spacing w:before="120" w:after="120" w:line="276" w:lineRule="auto"/>
        <w:rPr>
          <w:rFonts w:ascii="Arial" w:hAnsi="Arial" w:cs="Arial"/>
          <w:sz w:val="22"/>
          <w:szCs w:val="22"/>
        </w:rPr>
      </w:pPr>
      <w:r>
        <w:rPr>
          <w:rFonts w:ascii="Arial" w:hAnsi="Arial" w:cs="Arial"/>
          <w:b/>
          <w:bCs/>
          <w:sz w:val="22"/>
          <w:szCs w:val="22"/>
        </w:rPr>
        <w:t xml:space="preserve">3. </w:t>
      </w:r>
      <w:r w:rsidR="00FB6D26" w:rsidRPr="009B366E">
        <w:rPr>
          <w:rFonts w:ascii="Arial" w:hAnsi="Arial" w:cs="Arial"/>
          <w:b/>
          <w:bCs/>
          <w:sz w:val="22"/>
          <w:szCs w:val="22"/>
        </w:rPr>
        <w:t>RESULTS</w:t>
      </w:r>
    </w:p>
    <w:p w14:paraId="46CD4AA4" w14:textId="77777777" w:rsidR="00FB6D26" w:rsidRPr="009B366E" w:rsidRDefault="00FB6D26" w:rsidP="00184154">
      <w:pPr>
        <w:spacing w:line="276" w:lineRule="auto"/>
        <w:rPr>
          <w:rFonts w:ascii="Arial" w:hAnsi="Arial" w:cs="Arial"/>
          <w:sz w:val="22"/>
          <w:szCs w:val="22"/>
        </w:rPr>
      </w:pPr>
      <w:r w:rsidRPr="009B366E">
        <w:rPr>
          <w:rFonts w:ascii="Arial" w:hAnsi="Arial" w:cs="Arial"/>
          <w:b/>
          <w:bCs/>
          <w:sz w:val="22"/>
          <w:szCs w:val="22"/>
        </w:rPr>
        <w:t>3.1 Effect of Salinity on Germination Parameters</w:t>
      </w:r>
    </w:p>
    <w:p w14:paraId="4CB5533D" w14:textId="0B10590A"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 xml:space="preserve">The analysis of variance revealed that salinity stress had highly significant effects (p &lt; 0.001) on germination parameters, including germination at Day 3 (F = 48.72), cumulative seed germination (F = 68.45), and the number of seeds not germinated (F = 68.45). The variety effect and </w:t>
      </w:r>
      <w:r w:rsidR="00D87CC0">
        <w:rPr>
          <w:rFonts w:ascii="Arial" w:hAnsi="Arial" w:cs="Arial"/>
          <w:sz w:val="22"/>
          <w:szCs w:val="22"/>
        </w:rPr>
        <w:t>variety-salinity</w:t>
      </w:r>
      <w:r w:rsidRPr="009B366E">
        <w:rPr>
          <w:rFonts w:ascii="Arial" w:hAnsi="Arial" w:cs="Arial"/>
          <w:sz w:val="22"/>
          <w:szCs w:val="22"/>
        </w:rPr>
        <w:t xml:space="preserve"> interaction were not significant for most germination parameters (Table 1).</w:t>
      </w:r>
    </w:p>
    <w:p w14:paraId="634726F2" w14:textId="38DAB261"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At the control condition (0 mM NaCl), all six biofortified and one non-biofortified common bean varieties (JESCA, S</w:t>
      </w:r>
      <w:r w:rsidR="00D87CC0">
        <w:rPr>
          <w:rFonts w:ascii="Arial" w:hAnsi="Arial" w:cs="Arial"/>
          <w:sz w:val="22"/>
          <w:szCs w:val="22"/>
        </w:rPr>
        <w:t xml:space="preserve">ELIA </w:t>
      </w:r>
      <w:r w:rsidRPr="009B366E">
        <w:rPr>
          <w:rFonts w:ascii="Arial" w:hAnsi="Arial" w:cs="Arial"/>
          <w:sz w:val="22"/>
          <w:szCs w:val="22"/>
        </w:rPr>
        <w:t>14, T</w:t>
      </w:r>
      <w:r w:rsidR="00D87CC0">
        <w:rPr>
          <w:rFonts w:ascii="Arial" w:hAnsi="Arial" w:cs="Arial"/>
          <w:sz w:val="22"/>
          <w:szCs w:val="22"/>
        </w:rPr>
        <w:t xml:space="preserve">ARIBEAN </w:t>
      </w:r>
      <w:r w:rsidRPr="009B366E">
        <w:rPr>
          <w:rFonts w:ascii="Arial" w:hAnsi="Arial" w:cs="Arial"/>
          <w:sz w:val="22"/>
          <w:szCs w:val="22"/>
        </w:rPr>
        <w:t>2, T</w:t>
      </w:r>
      <w:r w:rsidR="00D87CC0">
        <w:rPr>
          <w:rFonts w:ascii="Arial" w:hAnsi="Arial" w:cs="Arial"/>
          <w:sz w:val="22"/>
          <w:szCs w:val="22"/>
        </w:rPr>
        <w:t xml:space="preserve">ARIBEAN </w:t>
      </w:r>
      <w:r w:rsidRPr="009B366E">
        <w:rPr>
          <w:rFonts w:ascii="Arial" w:hAnsi="Arial" w:cs="Arial"/>
          <w:sz w:val="22"/>
          <w:szCs w:val="22"/>
        </w:rPr>
        <w:t>4, T</w:t>
      </w:r>
      <w:r w:rsidR="00D87CC0">
        <w:rPr>
          <w:rFonts w:ascii="Arial" w:hAnsi="Arial" w:cs="Arial"/>
          <w:sz w:val="22"/>
          <w:szCs w:val="22"/>
        </w:rPr>
        <w:t xml:space="preserve">ARIBEAN </w:t>
      </w:r>
      <w:r w:rsidRPr="009B366E">
        <w:rPr>
          <w:rFonts w:ascii="Arial" w:hAnsi="Arial" w:cs="Arial"/>
          <w:sz w:val="22"/>
          <w:szCs w:val="22"/>
        </w:rPr>
        <w:t>5, T</w:t>
      </w:r>
      <w:r w:rsidR="00D87CC0">
        <w:rPr>
          <w:rFonts w:ascii="Arial" w:hAnsi="Arial" w:cs="Arial"/>
          <w:sz w:val="22"/>
          <w:szCs w:val="22"/>
        </w:rPr>
        <w:t xml:space="preserve">ARIBEAN </w:t>
      </w:r>
      <w:r w:rsidRPr="009B366E">
        <w:rPr>
          <w:rFonts w:ascii="Arial" w:hAnsi="Arial" w:cs="Arial"/>
          <w:sz w:val="22"/>
          <w:szCs w:val="22"/>
        </w:rPr>
        <w:t>6</w:t>
      </w:r>
      <w:r w:rsidR="00D87CC0">
        <w:rPr>
          <w:rFonts w:ascii="Arial" w:hAnsi="Arial" w:cs="Arial"/>
          <w:sz w:val="22"/>
          <w:szCs w:val="22"/>
        </w:rPr>
        <w:t>,</w:t>
      </w:r>
      <w:r w:rsidRPr="009B366E">
        <w:rPr>
          <w:rFonts w:ascii="Arial" w:hAnsi="Arial" w:cs="Arial"/>
          <w:sz w:val="22"/>
          <w:szCs w:val="22"/>
        </w:rPr>
        <w:t xml:space="preserve"> and T</w:t>
      </w:r>
      <w:r w:rsidR="00D87CC0">
        <w:rPr>
          <w:rFonts w:ascii="Arial" w:hAnsi="Arial" w:cs="Arial"/>
          <w:sz w:val="22"/>
          <w:szCs w:val="22"/>
        </w:rPr>
        <w:t xml:space="preserve">ARIBEAN </w:t>
      </w:r>
      <w:r w:rsidRPr="009B366E">
        <w:rPr>
          <w:rFonts w:ascii="Arial" w:hAnsi="Arial" w:cs="Arial"/>
          <w:sz w:val="22"/>
          <w:szCs w:val="22"/>
        </w:rPr>
        <w:t xml:space="preserve">1) respectively exhibited high germination percentages ranging from 98% to 100% at Day 3, with no significant differences among varieties. As salinity levels increased, germination on Day 3 declined progressively across all varieties. At 50 mM NaCl, germination dropped to approximately 44-54%; at 100 mM and 150 mM, it further decreased to 24-38% and 22-33%, respectively (Figure 1a). The study revealed distinct homogeneous groups, with </w:t>
      </w:r>
      <w:r w:rsidRPr="009B366E">
        <w:rPr>
          <w:rFonts w:ascii="Arial" w:hAnsi="Arial" w:cs="Arial"/>
          <w:sz w:val="22"/>
          <w:szCs w:val="22"/>
        </w:rPr>
        <w:lastRenderedPageBreak/>
        <w:t>control treatments (0 mM) forming group a ' and high salinity treatments (100-150 mM) forming groups 'def' and 'f'.</w:t>
      </w:r>
    </w:p>
    <w:p w14:paraId="3BADFF4F" w14:textId="06064252"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Germination time intervals at Day 5 and Day 7 showed no significant differences among treatments (</w:t>
      </w:r>
      <w:r w:rsidR="00184154">
        <w:rPr>
          <w:rFonts w:ascii="Arial" w:hAnsi="Arial" w:cs="Arial"/>
          <w:sz w:val="22"/>
          <w:szCs w:val="22"/>
        </w:rPr>
        <w:t>Figures 1b and 1c</w:t>
      </w:r>
      <w:r w:rsidRPr="009B366E">
        <w:rPr>
          <w:rFonts w:ascii="Arial" w:hAnsi="Arial" w:cs="Arial"/>
          <w:sz w:val="22"/>
          <w:szCs w:val="22"/>
        </w:rPr>
        <w:t>), indicating that most germination occurred within the first three days under all conditions. Germination at Day 10 showed a significant salinity effect (F=3.42, p&lt;0.05), indicating delayed germination under salt stress (Figure 1d).</w:t>
      </w:r>
    </w:p>
    <w:p w14:paraId="1D285B09" w14:textId="77777777" w:rsidR="00073435" w:rsidRPr="009B366E" w:rsidRDefault="00374197" w:rsidP="0018624A">
      <w:pPr>
        <w:shd w:val="clear" w:color="auto" w:fill="E8E8E8"/>
        <w:spacing w:before="200" w:after="200" w:line="276" w:lineRule="auto"/>
        <w:jc w:val="both"/>
        <w:rPr>
          <w:rFonts w:ascii="Arial" w:hAnsi="Arial" w:cs="Arial"/>
          <w:sz w:val="22"/>
          <w:szCs w:val="22"/>
        </w:rPr>
      </w:pPr>
      <w:r w:rsidRPr="009B366E">
        <w:rPr>
          <w:rFonts w:ascii="Arial" w:hAnsi="Arial" w:cs="Arial"/>
          <w:noProof/>
          <w:sz w:val="22"/>
          <w:szCs w:val="22"/>
          <w:lang w:val="en-GB" w:eastAsia="en-GB"/>
        </w:rPr>
        <w:drawing>
          <wp:inline distT="0" distB="0" distL="0" distR="0" wp14:anchorId="5AC8420D" wp14:editId="4F9AD120">
            <wp:extent cx="2901950" cy="18624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9011" cy="1866987"/>
                    </a:xfrm>
                    <a:prstGeom prst="rect">
                      <a:avLst/>
                    </a:prstGeom>
                    <a:noFill/>
                    <a:ln>
                      <a:noFill/>
                    </a:ln>
                  </pic:spPr>
                </pic:pic>
              </a:graphicData>
            </a:graphic>
          </wp:inline>
        </w:drawing>
      </w:r>
      <w:r w:rsidRPr="009B366E">
        <w:rPr>
          <w:rFonts w:ascii="Arial" w:hAnsi="Arial" w:cs="Arial"/>
          <w:noProof/>
          <w:sz w:val="22"/>
          <w:szCs w:val="22"/>
          <w:lang w:val="en-GB" w:eastAsia="en-GB"/>
        </w:rPr>
        <w:drawing>
          <wp:inline distT="0" distB="0" distL="0" distR="0" wp14:anchorId="0155A1C1" wp14:editId="4D2B1685">
            <wp:extent cx="2819400" cy="1811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4845" cy="1815154"/>
                    </a:xfrm>
                    <a:prstGeom prst="rect">
                      <a:avLst/>
                    </a:prstGeom>
                    <a:noFill/>
                    <a:ln>
                      <a:noFill/>
                    </a:ln>
                  </pic:spPr>
                </pic:pic>
              </a:graphicData>
            </a:graphic>
          </wp:inline>
        </w:drawing>
      </w:r>
      <w:r w:rsidR="00CA34F1" w:rsidRPr="009B366E">
        <w:rPr>
          <w:rFonts w:ascii="Arial" w:hAnsi="Arial" w:cs="Arial"/>
          <w:noProof/>
          <w:sz w:val="22"/>
          <w:szCs w:val="22"/>
          <w:lang w:val="en-GB" w:eastAsia="en-GB"/>
        </w:rPr>
        <w:drawing>
          <wp:inline distT="0" distB="0" distL="0" distR="0" wp14:anchorId="090BC902" wp14:editId="242B04C1">
            <wp:extent cx="2857500" cy="2089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7457" cy="2096430"/>
                    </a:xfrm>
                    <a:prstGeom prst="rect">
                      <a:avLst/>
                    </a:prstGeom>
                    <a:noFill/>
                    <a:ln>
                      <a:noFill/>
                    </a:ln>
                  </pic:spPr>
                </pic:pic>
              </a:graphicData>
            </a:graphic>
          </wp:inline>
        </w:drawing>
      </w:r>
      <w:r w:rsidR="00CA34F1" w:rsidRPr="009B366E">
        <w:rPr>
          <w:rFonts w:ascii="Arial" w:hAnsi="Arial" w:cs="Arial"/>
          <w:noProof/>
          <w:sz w:val="22"/>
          <w:szCs w:val="22"/>
          <w:lang w:val="en-GB" w:eastAsia="en-GB"/>
        </w:rPr>
        <w:drawing>
          <wp:inline distT="0" distB="0" distL="0" distR="0" wp14:anchorId="21622E57" wp14:editId="4E988B5B">
            <wp:extent cx="2857500" cy="2037467"/>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2195" cy="2055075"/>
                    </a:xfrm>
                    <a:prstGeom prst="rect">
                      <a:avLst/>
                    </a:prstGeom>
                    <a:noFill/>
                    <a:ln>
                      <a:noFill/>
                    </a:ln>
                  </pic:spPr>
                </pic:pic>
              </a:graphicData>
            </a:graphic>
          </wp:inline>
        </w:drawing>
      </w:r>
    </w:p>
    <w:p w14:paraId="303919E0" w14:textId="6A5DFD6C" w:rsidR="00DA0F2F" w:rsidRPr="009B366E" w:rsidRDefault="00FB6D26" w:rsidP="0018624A">
      <w:pPr>
        <w:spacing w:line="276" w:lineRule="auto"/>
        <w:jc w:val="both"/>
        <w:rPr>
          <w:rFonts w:ascii="Arial" w:hAnsi="Arial" w:cs="Arial"/>
          <w:sz w:val="22"/>
          <w:szCs w:val="22"/>
        </w:rPr>
      </w:pPr>
      <w:r w:rsidRPr="009B366E">
        <w:rPr>
          <w:rFonts w:ascii="Arial" w:hAnsi="Arial" w:cs="Arial"/>
          <w:b/>
          <w:bCs/>
          <w:sz w:val="22"/>
          <w:szCs w:val="22"/>
        </w:rPr>
        <w:t>Figure 1.</w:t>
      </w:r>
      <w:r w:rsidRPr="009B366E">
        <w:rPr>
          <w:rFonts w:ascii="Arial" w:hAnsi="Arial" w:cs="Arial"/>
          <w:sz w:val="22"/>
          <w:szCs w:val="22"/>
        </w:rPr>
        <w:t xml:space="preserve"> Effect of salinity stress on germination time intervals of six biofortified and one non-biofortified common bean (</w:t>
      </w:r>
      <w:r w:rsidRPr="009B366E">
        <w:rPr>
          <w:rFonts w:ascii="Arial" w:hAnsi="Arial" w:cs="Arial"/>
          <w:i/>
          <w:iCs/>
          <w:sz w:val="22"/>
          <w:szCs w:val="22"/>
        </w:rPr>
        <w:t xml:space="preserve">Phaseolus vulgaris </w:t>
      </w:r>
      <w:r w:rsidRPr="009B366E">
        <w:rPr>
          <w:rFonts w:ascii="Arial" w:hAnsi="Arial" w:cs="Arial"/>
          <w:sz w:val="22"/>
          <w:szCs w:val="22"/>
        </w:rPr>
        <w:t>L.) varieties. (a) Germination at Day 3, (b) Germination at Day 5, (c) Germination at Day 7, and (d) Germination at Day 10 indicate significant differences among treatment combinations according to Tukey's HSD test (p&lt;0.05). Salinity levels: 0, 50, 100, and 150 mM NaCl. Varieties: JESCA, S</w:t>
      </w:r>
      <w:r w:rsidR="00740E5D">
        <w:rPr>
          <w:rFonts w:ascii="Arial" w:hAnsi="Arial" w:cs="Arial"/>
          <w:sz w:val="22"/>
          <w:szCs w:val="22"/>
        </w:rPr>
        <w:t xml:space="preserve">ELIAN </w:t>
      </w:r>
      <w:r w:rsidRPr="009B366E">
        <w:rPr>
          <w:rFonts w:ascii="Arial" w:hAnsi="Arial" w:cs="Arial"/>
          <w:sz w:val="22"/>
          <w:szCs w:val="22"/>
        </w:rPr>
        <w:t>14, T</w:t>
      </w:r>
      <w:r w:rsidR="00740E5D">
        <w:rPr>
          <w:rFonts w:ascii="Arial" w:hAnsi="Arial" w:cs="Arial"/>
          <w:sz w:val="22"/>
          <w:szCs w:val="22"/>
        </w:rPr>
        <w:t xml:space="preserve">ARIBEAN </w:t>
      </w:r>
      <w:r w:rsidRPr="009B366E">
        <w:rPr>
          <w:rFonts w:ascii="Arial" w:hAnsi="Arial" w:cs="Arial"/>
          <w:sz w:val="22"/>
          <w:szCs w:val="22"/>
        </w:rPr>
        <w:t>2, T</w:t>
      </w:r>
      <w:r w:rsidR="00740E5D">
        <w:rPr>
          <w:rFonts w:ascii="Arial" w:hAnsi="Arial" w:cs="Arial"/>
          <w:sz w:val="22"/>
          <w:szCs w:val="22"/>
        </w:rPr>
        <w:t xml:space="preserve">ARIBEAN </w:t>
      </w:r>
      <w:r w:rsidRPr="009B366E">
        <w:rPr>
          <w:rFonts w:ascii="Arial" w:hAnsi="Arial" w:cs="Arial"/>
          <w:sz w:val="22"/>
          <w:szCs w:val="22"/>
        </w:rPr>
        <w:t>4, T</w:t>
      </w:r>
      <w:r w:rsidR="00740E5D">
        <w:rPr>
          <w:rFonts w:ascii="Arial" w:hAnsi="Arial" w:cs="Arial"/>
          <w:sz w:val="22"/>
          <w:szCs w:val="22"/>
        </w:rPr>
        <w:t xml:space="preserve">ARIBEAN </w:t>
      </w:r>
      <w:r w:rsidRPr="009B366E">
        <w:rPr>
          <w:rFonts w:ascii="Arial" w:hAnsi="Arial" w:cs="Arial"/>
          <w:sz w:val="22"/>
          <w:szCs w:val="22"/>
        </w:rPr>
        <w:t>5, T</w:t>
      </w:r>
      <w:r w:rsidR="00740E5D">
        <w:rPr>
          <w:rFonts w:ascii="Arial" w:hAnsi="Arial" w:cs="Arial"/>
          <w:sz w:val="22"/>
          <w:szCs w:val="22"/>
        </w:rPr>
        <w:t xml:space="preserve">ARIBEAN </w:t>
      </w:r>
      <w:r w:rsidRPr="009B366E">
        <w:rPr>
          <w:rFonts w:ascii="Arial" w:hAnsi="Arial" w:cs="Arial"/>
          <w:sz w:val="22"/>
          <w:szCs w:val="22"/>
        </w:rPr>
        <w:t>6</w:t>
      </w:r>
      <w:r w:rsidR="00184154">
        <w:rPr>
          <w:rFonts w:ascii="Arial" w:hAnsi="Arial" w:cs="Arial"/>
          <w:sz w:val="22"/>
          <w:szCs w:val="22"/>
        </w:rPr>
        <w:t>,</w:t>
      </w:r>
      <w:r w:rsidRPr="009B366E">
        <w:rPr>
          <w:rFonts w:ascii="Arial" w:hAnsi="Arial" w:cs="Arial"/>
          <w:sz w:val="22"/>
          <w:szCs w:val="22"/>
        </w:rPr>
        <w:t xml:space="preserve"> and T</w:t>
      </w:r>
      <w:r w:rsidR="00740E5D">
        <w:rPr>
          <w:rFonts w:ascii="Arial" w:hAnsi="Arial" w:cs="Arial"/>
          <w:sz w:val="22"/>
          <w:szCs w:val="22"/>
        </w:rPr>
        <w:t xml:space="preserve">ARIBEAN </w:t>
      </w:r>
      <w:r w:rsidRPr="009B366E">
        <w:rPr>
          <w:rFonts w:ascii="Arial" w:hAnsi="Arial" w:cs="Arial"/>
          <w:sz w:val="22"/>
          <w:szCs w:val="22"/>
        </w:rPr>
        <w:t>1</w:t>
      </w:r>
    </w:p>
    <w:p w14:paraId="19A2634B" w14:textId="77777777" w:rsidR="00FB6D26" w:rsidRPr="009B366E" w:rsidRDefault="00FB6D26" w:rsidP="0018624A">
      <w:pPr>
        <w:spacing w:line="276" w:lineRule="auto"/>
        <w:jc w:val="both"/>
        <w:rPr>
          <w:rFonts w:ascii="Arial" w:hAnsi="Arial" w:cs="Arial"/>
          <w:sz w:val="22"/>
          <w:szCs w:val="22"/>
        </w:rPr>
      </w:pPr>
    </w:p>
    <w:p w14:paraId="05C80193" w14:textId="77777777" w:rsidR="00FB6D26" w:rsidRPr="009B366E" w:rsidRDefault="00FB6D26" w:rsidP="0018624A">
      <w:pPr>
        <w:spacing w:before="120" w:after="120" w:line="276" w:lineRule="auto"/>
        <w:jc w:val="both"/>
        <w:rPr>
          <w:rFonts w:ascii="Arial" w:hAnsi="Arial" w:cs="Arial"/>
          <w:sz w:val="22"/>
          <w:szCs w:val="22"/>
        </w:rPr>
      </w:pPr>
      <w:r w:rsidRPr="009B366E">
        <w:rPr>
          <w:rFonts w:ascii="Arial" w:hAnsi="Arial" w:cs="Arial"/>
          <w:sz w:val="22"/>
          <w:szCs w:val="22"/>
        </w:rPr>
        <w:t>Cumulative seed germination was dramatically affected by salinity (F=68.45, p&lt;0.001). Under control conditions, cumulative germination approached 100% for all varieties. At 50 mM NaCl, cumulative germination ranged from 80-91%, decreasing to 62-67% at 100 mM and 59-67% at 150 mM (Figure 2a). The number of non-germinated seeds increased significantly with salinity, from near zero at 0 mM to approximately 33-41 seeds at 150 mM NaCl (Figure 2b).</w:t>
      </w:r>
    </w:p>
    <w:p w14:paraId="64F12942" w14:textId="77777777" w:rsidR="00FB6D26" w:rsidRPr="009B366E" w:rsidRDefault="00FB6D26" w:rsidP="0018624A">
      <w:pPr>
        <w:spacing w:before="120" w:after="120" w:line="276" w:lineRule="auto"/>
        <w:jc w:val="both"/>
        <w:rPr>
          <w:rFonts w:ascii="Arial" w:hAnsi="Arial" w:cs="Arial"/>
          <w:sz w:val="22"/>
          <w:szCs w:val="22"/>
        </w:rPr>
      </w:pPr>
      <w:r w:rsidRPr="009B366E">
        <w:rPr>
          <w:rFonts w:ascii="Arial" w:hAnsi="Arial" w:cs="Arial"/>
          <w:sz w:val="22"/>
          <w:szCs w:val="22"/>
        </w:rPr>
        <w:t>Abnormal seed germination showed a significant but less pronounced salinity effect (F=3.78, p&lt;0.05). The number of abnormally germinated seeds increased from 2-3 at 0 mM to 4-5 at 150 mM NaCl, although all treatment combinations were in the same statistical group according to post hoc analysis (Figure 2c).</w:t>
      </w:r>
    </w:p>
    <w:p w14:paraId="12C8C669" w14:textId="5B7DE25C" w:rsidR="00FB6D26" w:rsidRPr="009B366E" w:rsidRDefault="00F4575D" w:rsidP="0018624A">
      <w:pPr>
        <w:spacing w:after="300" w:line="276" w:lineRule="auto"/>
        <w:jc w:val="both"/>
        <w:rPr>
          <w:rFonts w:ascii="Arial" w:hAnsi="Arial" w:cs="Arial"/>
          <w:sz w:val="22"/>
          <w:szCs w:val="22"/>
        </w:rPr>
      </w:pPr>
      <w:r w:rsidRPr="009B366E">
        <w:rPr>
          <w:rFonts w:ascii="Arial" w:hAnsi="Arial" w:cs="Arial"/>
          <w:noProof/>
          <w:sz w:val="22"/>
          <w:szCs w:val="22"/>
          <w:lang w:val="en-GB" w:eastAsia="en-GB"/>
        </w:rPr>
        <w:lastRenderedPageBreak/>
        <w:drawing>
          <wp:inline distT="0" distB="0" distL="0" distR="0" wp14:anchorId="4D271466" wp14:editId="6F466DEF">
            <wp:extent cx="2889250" cy="202247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3429" cy="2025400"/>
                    </a:xfrm>
                    <a:prstGeom prst="rect">
                      <a:avLst/>
                    </a:prstGeom>
                    <a:noFill/>
                    <a:ln>
                      <a:noFill/>
                    </a:ln>
                  </pic:spPr>
                </pic:pic>
              </a:graphicData>
            </a:graphic>
          </wp:inline>
        </w:drawing>
      </w:r>
      <w:r w:rsidRPr="009B366E">
        <w:rPr>
          <w:rFonts w:ascii="Arial" w:hAnsi="Arial" w:cs="Arial"/>
          <w:noProof/>
          <w:sz w:val="22"/>
          <w:szCs w:val="22"/>
          <w:lang w:val="en-GB" w:eastAsia="en-GB"/>
        </w:rPr>
        <w:drawing>
          <wp:inline distT="0" distB="0" distL="0" distR="0" wp14:anchorId="7BF464B4" wp14:editId="7D43DBA2">
            <wp:extent cx="2782957" cy="1974024"/>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5546" cy="1997140"/>
                    </a:xfrm>
                    <a:prstGeom prst="rect">
                      <a:avLst/>
                    </a:prstGeom>
                    <a:noFill/>
                    <a:ln>
                      <a:noFill/>
                    </a:ln>
                  </pic:spPr>
                </pic:pic>
              </a:graphicData>
            </a:graphic>
          </wp:inline>
        </w:drawing>
      </w:r>
      <w:r w:rsidRPr="009B366E">
        <w:rPr>
          <w:rFonts w:ascii="Arial" w:hAnsi="Arial" w:cs="Arial"/>
          <w:noProof/>
          <w:sz w:val="22"/>
          <w:szCs w:val="22"/>
          <w:lang w:val="en-GB" w:eastAsia="en-GB"/>
        </w:rPr>
        <w:drawing>
          <wp:inline distT="0" distB="0" distL="0" distR="0" wp14:anchorId="43B49935" wp14:editId="02666737">
            <wp:extent cx="5715000" cy="4102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0" cy="4102100"/>
                    </a:xfrm>
                    <a:prstGeom prst="rect">
                      <a:avLst/>
                    </a:prstGeom>
                    <a:noFill/>
                    <a:ln>
                      <a:noFill/>
                    </a:ln>
                  </pic:spPr>
                </pic:pic>
              </a:graphicData>
            </a:graphic>
          </wp:inline>
        </w:drawing>
      </w:r>
      <w:r w:rsidR="00761BEF" w:rsidRPr="009B366E">
        <w:rPr>
          <w:rFonts w:ascii="Arial" w:hAnsi="Arial" w:cs="Arial"/>
          <w:b/>
          <w:bCs/>
          <w:sz w:val="22"/>
          <w:szCs w:val="22"/>
          <w:highlight w:val="yellow"/>
        </w:rPr>
        <w:t xml:space="preserve"> </w:t>
      </w:r>
      <w:r w:rsidR="00FB6D26" w:rsidRPr="009B366E">
        <w:rPr>
          <w:rFonts w:ascii="Arial" w:hAnsi="Arial" w:cs="Arial"/>
          <w:b/>
          <w:bCs/>
          <w:sz w:val="22"/>
          <w:szCs w:val="22"/>
        </w:rPr>
        <w:t>Figure 2</w:t>
      </w:r>
      <w:r w:rsidR="00FB6D26" w:rsidRPr="009B366E">
        <w:rPr>
          <w:rFonts w:ascii="Arial" w:hAnsi="Arial" w:cs="Arial"/>
          <w:sz w:val="22"/>
          <w:szCs w:val="22"/>
        </w:rPr>
        <w:t>. Effect of salinity stress on seed germination outcomes of six biofortified and one non-biofortified common bean (</w:t>
      </w:r>
      <w:r w:rsidR="00FB6D26" w:rsidRPr="009B366E">
        <w:rPr>
          <w:rFonts w:ascii="Arial" w:hAnsi="Arial" w:cs="Arial"/>
          <w:i/>
          <w:iCs/>
          <w:sz w:val="22"/>
          <w:szCs w:val="22"/>
        </w:rPr>
        <w:t xml:space="preserve">Phaseolus vulgaris </w:t>
      </w:r>
      <w:r w:rsidR="00FB6D26" w:rsidRPr="009B366E">
        <w:rPr>
          <w:rFonts w:ascii="Arial" w:hAnsi="Arial" w:cs="Arial"/>
          <w:sz w:val="22"/>
          <w:szCs w:val="22"/>
        </w:rPr>
        <w:t>L.) varieties. (a) Cumulative seed germination (%), (b) Number of seeds not germinated, and (c) Number of abnormally germinated seeds indicate significant differences among treatment combinations according to Tukey's HSD test (p&lt;0.05)</w:t>
      </w:r>
      <w:r w:rsidR="00C759CB">
        <w:rPr>
          <w:rFonts w:ascii="Arial" w:hAnsi="Arial" w:cs="Arial"/>
          <w:sz w:val="22"/>
          <w:szCs w:val="22"/>
        </w:rPr>
        <w:t>,</w:t>
      </w:r>
      <w:r w:rsidR="00D66627" w:rsidRPr="009B366E">
        <w:rPr>
          <w:rFonts w:ascii="Arial" w:hAnsi="Arial" w:cs="Arial"/>
          <w:sz w:val="22"/>
          <w:szCs w:val="22"/>
        </w:rPr>
        <w:t xml:space="preserve"> </w:t>
      </w:r>
      <w:r w:rsidR="00FB6D26" w:rsidRPr="009B366E">
        <w:rPr>
          <w:rFonts w:ascii="Arial" w:hAnsi="Arial" w:cs="Arial"/>
          <w:sz w:val="22"/>
          <w:szCs w:val="22"/>
        </w:rPr>
        <w:t>salinity levels: 0, 50, 100, and 150 mM NaCl</w:t>
      </w:r>
    </w:p>
    <w:p w14:paraId="3B70602B" w14:textId="77777777" w:rsidR="00FB6D26" w:rsidRPr="009B366E" w:rsidRDefault="00FB6D26" w:rsidP="00184154">
      <w:pPr>
        <w:spacing w:line="276" w:lineRule="auto"/>
        <w:jc w:val="both"/>
        <w:rPr>
          <w:rFonts w:ascii="Arial" w:hAnsi="Arial" w:cs="Arial"/>
          <w:sz w:val="22"/>
          <w:szCs w:val="22"/>
        </w:rPr>
      </w:pPr>
      <w:r w:rsidRPr="009B366E">
        <w:rPr>
          <w:rFonts w:ascii="Arial" w:hAnsi="Arial" w:cs="Arial"/>
          <w:b/>
          <w:bCs/>
          <w:sz w:val="22"/>
          <w:szCs w:val="22"/>
        </w:rPr>
        <w:t>3.2 Effect of Salinity on Seedling Growth Parameters</w:t>
      </w:r>
    </w:p>
    <w:p w14:paraId="61262A09" w14:textId="7B7588AD"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 xml:space="preserve">Salinity stress significantly affected most seedling growth parameters. Shoot length was highly significantly affected by salinity (F=18.63, p&lt;0.001), decreasing from 26-34 cm at 0 mM to 16-23 cm at 150 mM NaCl (Figure 3a). Variety </w:t>
      </w:r>
      <w:r w:rsidR="001A6496" w:rsidRPr="009B366E">
        <w:rPr>
          <w:rFonts w:ascii="Arial" w:hAnsi="Arial" w:cs="Arial"/>
          <w:sz w:val="22"/>
          <w:szCs w:val="22"/>
        </w:rPr>
        <w:t>TARIBEAN 5</w:t>
      </w:r>
      <w:r w:rsidRPr="009B366E">
        <w:rPr>
          <w:rFonts w:ascii="Arial" w:hAnsi="Arial" w:cs="Arial"/>
          <w:sz w:val="22"/>
          <w:szCs w:val="22"/>
        </w:rPr>
        <w:t xml:space="preserve"> showed the highest shoot length across all salinity levels, while JESCA exhibited the most significant reduction at high salinity (150 mM).</w:t>
      </w:r>
    </w:p>
    <w:p w14:paraId="10278200" w14:textId="27B6075F"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 xml:space="preserve">Root length showed a significant effect of variety (F = 2.89, p &lt; 0.05). However, no significant effect of salinity, indicating that root development was primarily influenced by genetic factors </w:t>
      </w:r>
      <w:r w:rsidRPr="009B366E">
        <w:rPr>
          <w:rFonts w:ascii="Arial" w:hAnsi="Arial" w:cs="Arial"/>
          <w:sz w:val="22"/>
          <w:szCs w:val="22"/>
        </w:rPr>
        <w:lastRenderedPageBreak/>
        <w:t xml:space="preserve">rather than by salt stress (Figure 3b). JESCA produced the longest roots (8-9 cm) across all salinity treatments, while </w:t>
      </w:r>
      <w:r w:rsidR="001A6496" w:rsidRPr="009B366E">
        <w:rPr>
          <w:rFonts w:ascii="Arial" w:hAnsi="Arial" w:cs="Arial"/>
          <w:sz w:val="22"/>
          <w:szCs w:val="22"/>
        </w:rPr>
        <w:t>TARIBEAN 2</w:t>
      </w:r>
      <w:r w:rsidRPr="009B366E">
        <w:rPr>
          <w:rFonts w:ascii="Arial" w:hAnsi="Arial" w:cs="Arial"/>
          <w:sz w:val="22"/>
          <w:szCs w:val="22"/>
        </w:rPr>
        <w:t xml:space="preserve"> had the shortest roots (4-5 cm).</w:t>
      </w:r>
    </w:p>
    <w:p w14:paraId="56B2EE99" w14:textId="61A8E03E"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 xml:space="preserve">Seedling length, which combines root and shoot growth, was significantly reduced by salinity (F=12.54, p&lt;0.001). At 0 mM, seedling length ranged from 30 to 42 cm across varieties, with </w:t>
      </w:r>
      <w:r w:rsidR="001A6496" w:rsidRPr="009B366E">
        <w:rPr>
          <w:rFonts w:ascii="Arial" w:hAnsi="Arial" w:cs="Arial"/>
          <w:sz w:val="22"/>
          <w:szCs w:val="22"/>
        </w:rPr>
        <w:t>TARIBEAN 5 and TARIBEAN 6</w:t>
      </w:r>
      <w:r w:rsidRPr="009B366E">
        <w:rPr>
          <w:rFonts w:ascii="Arial" w:hAnsi="Arial" w:cs="Arial"/>
          <w:color w:val="EE0000"/>
          <w:sz w:val="22"/>
          <w:szCs w:val="22"/>
        </w:rPr>
        <w:t xml:space="preserve"> </w:t>
      </w:r>
      <w:r w:rsidRPr="009B366E">
        <w:rPr>
          <w:rFonts w:ascii="Arial" w:hAnsi="Arial" w:cs="Arial"/>
          <w:sz w:val="22"/>
          <w:szCs w:val="22"/>
        </w:rPr>
        <w:t>showing the highest values. At 150 mM NaCl, seedling length decreased to 24-31 cm, representing a reduction of approximately 25-35% (Figure 3c).</w:t>
      </w:r>
    </w:p>
    <w:p w14:paraId="2978510E" w14:textId="2DF050B4" w:rsidR="00FB6D26" w:rsidRPr="009B366E" w:rsidRDefault="00761BEF" w:rsidP="0018624A">
      <w:pPr>
        <w:spacing w:before="120" w:after="120" w:line="276" w:lineRule="auto"/>
        <w:jc w:val="both"/>
        <w:rPr>
          <w:rFonts w:ascii="Arial" w:hAnsi="Arial" w:cs="Arial"/>
          <w:sz w:val="22"/>
          <w:szCs w:val="22"/>
        </w:rPr>
      </w:pPr>
      <w:r w:rsidRPr="009B366E">
        <w:rPr>
          <w:rFonts w:ascii="Arial" w:hAnsi="Arial" w:cs="Arial"/>
          <w:noProof/>
          <w:sz w:val="22"/>
          <w:szCs w:val="22"/>
          <w:lang w:val="en-GB" w:eastAsia="en-GB"/>
        </w:rPr>
        <w:drawing>
          <wp:inline distT="0" distB="0" distL="0" distR="0" wp14:anchorId="2D925E1B" wp14:editId="63310355">
            <wp:extent cx="2806065" cy="20801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5123" cy="2116486"/>
                    </a:xfrm>
                    <a:prstGeom prst="rect">
                      <a:avLst/>
                    </a:prstGeom>
                    <a:noFill/>
                    <a:ln>
                      <a:noFill/>
                    </a:ln>
                  </pic:spPr>
                </pic:pic>
              </a:graphicData>
            </a:graphic>
          </wp:inline>
        </w:drawing>
      </w:r>
      <w:r w:rsidRPr="009B366E">
        <w:rPr>
          <w:rFonts w:ascii="Arial" w:hAnsi="Arial" w:cs="Arial"/>
          <w:noProof/>
          <w:sz w:val="22"/>
          <w:szCs w:val="22"/>
          <w:lang w:val="en-GB" w:eastAsia="en-GB"/>
        </w:rPr>
        <w:drawing>
          <wp:inline distT="0" distB="0" distL="0" distR="0" wp14:anchorId="6A59B655" wp14:editId="0EB4CEA5">
            <wp:extent cx="2901950" cy="21075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4075" cy="2109108"/>
                    </a:xfrm>
                    <a:prstGeom prst="rect">
                      <a:avLst/>
                    </a:prstGeom>
                    <a:noFill/>
                    <a:ln>
                      <a:noFill/>
                    </a:ln>
                  </pic:spPr>
                </pic:pic>
              </a:graphicData>
            </a:graphic>
          </wp:inline>
        </w:drawing>
      </w:r>
      <w:r w:rsidRPr="009B366E">
        <w:rPr>
          <w:rFonts w:ascii="Arial" w:hAnsi="Arial" w:cs="Arial"/>
          <w:noProof/>
          <w:sz w:val="22"/>
          <w:szCs w:val="22"/>
          <w:lang w:val="en-GB" w:eastAsia="en-GB"/>
        </w:rPr>
        <w:drawing>
          <wp:inline distT="0" distB="0" distL="0" distR="0" wp14:anchorId="49685BC5" wp14:editId="43956783">
            <wp:extent cx="5690862" cy="2623592"/>
            <wp:effectExtent l="0" t="0" r="571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4127" cy="2634318"/>
                    </a:xfrm>
                    <a:prstGeom prst="rect">
                      <a:avLst/>
                    </a:prstGeom>
                    <a:noFill/>
                    <a:ln>
                      <a:noFill/>
                    </a:ln>
                  </pic:spPr>
                </pic:pic>
              </a:graphicData>
            </a:graphic>
          </wp:inline>
        </w:drawing>
      </w:r>
      <w:r w:rsidR="00CC07D9" w:rsidRPr="009B366E">
        <w:rPr>
          <w:rFonts w:ascii="Arial" w:hAnsi="Arial" w:cs="Arial"/>
          <w:b/>
          <w:bCs/>
          <w:sz w:val="22"/>
          <w:szCs w:val="22"/>
          <w:highlight w:val="yellow"/>
        </w:rPr>
        <w:t xml:space="preserve"> </w:t>
      </w:r>
      <w:r w:rsidR="00FB6D26" w:rsidRPr="009B366E">
        <w:rPr>
          <w:rFonts w:ascii="Arial" w:hAnsi="Arial" w:cs="Arial"/>
          <w:b/>
          <w:bCs/>
          <w:sz w:val="22"/>
          <w:szCs w:val="22"/>
        </w:rPr>
        <w:t xml:space="preserve">Figure 3. </w:t>
      </w:r>
      <w:r w:rsidR="00FB6D26" w:rsidRPr="009B366E">
        <w:rPr>
          <w:rFonts w:ascii="Arial" w:hAnsi="Arial" w:cs="Arial"/>
          <w:sz w:val="22"/>
          <w:szCs w:val="22"/>
        </w:rPr>
        <w:t>Effect of salinity stress on seedling length parameters of six biofortified and non-biofortified common bean (</w:t>
      </w:r>
      <w:r w:rsidR="00FB6D26" w:rsidRPr="009B366E">
        <w:rPr>
          <w:rFonts w:ascii="Arial" w:hAnsi="Arial" w:cs="Arial"/>
          <w:i/>
          <w:iCs/>
          <w:sz w:val="22"/>
          <w:szCs w:val="22"/>
        </w:rPr>
        <w:t xml:space="preserve">Phaseolus vulgaris </w:t>
      </w:r>
      <w:r w:rsidR="00FB6D26" w:rsidRPr="009B366E">
        <w:rPr>
          <w:rFonts w:ascii="Arial" w:hAnsi="Arial" w:cs="Arial"/>
          <w:sz w:val="22"/>
          <w:szCs w:val="22"/>
        </w:rPr>
        <w:t>L.) varieties. (a) Shoot length (cm), (b) Root length (cm), and (c) Total seedling length (cm</w:t>
      </w:r>
      <w:r w:rsidR="00FB6D26" w:rsidRPr="009B366E">
        <w:rPr>
          <w:rFonts w:ascii="Arial" w:hAnsi="Arial" w:cs="Arial"/>
          <w:color w:val="EE0000"/>
          <w:sz w:val="22"/>
          <w:szCs w:val="22"/>
        </w:rPr>
        <w:t xml:space="preserve"> </w:t>
      </w:r>
      <w:r w:rsidR="00FB6D26" w:rsidRPr="009B366E">
        <w:rPr>
          <w:rFonts w:ascii="Arial" w:hAnsi="Arial" w:cs="Arial"/>
          <w:sz w:val="22"/>
          <w:szCs w:val="22"/>
        </w:rPr>
        <w:t>indicate</w:t>
      </w:r>
      <w:r w:rsidR="00FB6D26" w:rsidRPr="009B366E">
        <w:rPr>
          <w:rFonts w:ascii="Arial" w:hAnsi="Arial" w:cs="Arial"/>
          <w:color w:val="EE0000"/>
          <w:sz w:val="22"/>
          <w:szCs w:val="22"/>
        </w:rPr>
        <w:t xml:space="preserve"> </w:t>
      </w:r>
      <w:r w:rsidR="00FB6D26" w:rsidRPr="009B366E">
        <w:rPr>
          <w:rFonts w:ascii="Arial" w:hAnsi="Arial" w:cs="Arial"/>
          <w:sz w:val="22"/>
          <w:szCs w:val="22"/>
        </w:rPr>
        <w:t>significant differences among treatment combinations according to Tukey's HSD test (p&lt;0.05)</w:t>
      </w:r>
      <w:r w:rsidR="00D87CC0">
        <w:rPr>
          <w:rFonts w:ascii="Arial" w:hAnsi="Arial" w:cs="Arial"/>
          <w:sz w:val="22"/>
          <w:szCs w:val="22"/>
        </w:rPr>
        <w:t>,</w:t>
      </w:r>
      <w:r w:rsidR="005D16EE" w:rsidRPr="009B366E">
        <w:rPr>
          <w:rFonts w:ascii="Arial" w:hAnsi="Arial" w:cs="Arial"/>
          <w:sz w:val="22"/>
          <w:szCs w:val="22"/>
        </w:rPr>
        <w:t xml:space="preserve"> </w:t>
      </w:r>
      <w:r w:rsidR="00FB6D26" w:rsidRPr="009B366E">
        <w:rPr>
          <w:rFonts w:ascii="Arial" w:hAnsi="Arial" w:cs="Arial"/>
          <w:sz w:val="22"/>
          <w:szCs w:val="22"/>
        </w:rPr>
        <w:t>salinity levels: 0, 50, 100, and 150 mM NaCl.</w:t>
      </w:r>
    </w:p>
    <w:p w14:paraId="07CA4807" w14:textId="1AC6A2C4" w:rsidR="00FB6D26" w:rsidRPr="009B366E" w:rsidRDefault="00FB6D26" w:rsidP="0018624A">
      <w:pPr>
        <w:spacing w:before="120" w:after="120" w:line="276" w:lineRule="auto"/>
        <w:jc w:val="both"/>
        <w:rPr>
          <w:rFonts w:ascii="Arial" w:hAnsi="Arial" w:cs="Arial"/>
          <w:sz w:val="22"/>
          <w:szCs w:val="22"/>
        </w:rPr>
      </w:pPr>
      <w:r w:rsidRPr="009B366E">
        <w:rPr>
          <w:rFonts w:ascii="Arial" w:hAnsi="Arial" w:cs="Arial"/>
          <w:sz w:val="22"/>
          <w:szCs w:val="22"/>
        </w:rPr>
        <w:t>Fresh and dry weights showed significant variation and salinity effects (Figure 4). Fresh weight was highly significantly affected by both variety (F=12.45, p&lt;0.001) and salinity (F=24.87, p&lt;0.001). S</w:t>
      </w:r>
      <w:r w:rsidR="005A11B1" w:rsidRPr="009B366E">
        <w:rPr>
          <w:rFonts w:ascii="Arial" w:hAnsi="Arial" w:cs="Arial"/>
          <w:sz w:val="22"/>
          <w:szCs w:val="22"/>
        </w:rPr>
        <w:t>ELIAN</w:t>
      </w:r>
      <w:r w:rsidR="005A11B1" w:rsidRPr="009B366E">
        <w:rPr>
          <w:rFonts w:ascii="Arial" w:hAnsi="Arial" w:cs="Arial"/>
          <w:color w:val="EE0000"/>
          <w:sz w:val="22"/>
          <w:szCs w:val="22"/>
        </w:rPr>
        <w:t xml:space="preserve"> </w:t>
      </w:r>
      <w:r w:rsidRPr="009B366E">
        <w:rPr>
          <w:rFonts w:ascii="Arial" w:hAnsi="Arial" w:cs="Arial"/>
          <w:sz w:val="22"/>
          <w:szCs w:val="22"/>
        </w:rPr>
        <w:t>14 produced the highest fresh weight (14-17 g) across all treatments, while T</w:t>
      </w:r>
      <w:r w:rsidR="005A11B1" w:rsidRPr="009B366E">
        <w:rPr>
          <w:rFonts w:ascii="Arial" w:hAnsi="Arial" w:cs="Arial"/>
          <w:sz w:val="22"/>
          <w:szCs w:val="22"/>
        </w:rPr>
        <w:t>ARIBEAN</w:t>
      </w:r>
      <w:r w:rsidR="005A11B1" w:rsidRPr="009B366E">
        <w:rPr>
          <w:rFonts w:ascii="Arial" w:hAnsi="Arial" w:cs="Arial"/>
          <w:color w:val="EE0000"/>
          <w:sz w:val="22"/>
          <w:szCs w:val="22"/>
        </w:rPr>
        <w:t xml:space="preserve"> </w:t>
      </w:r>
      <w:r w:rsidRPr="009B366E">
        <w:rPr>
          <w:rFonts w:ascii="Arial" w:hAnsi="Arial" w:cs="Arial"/>
          <w:sz w:val="22"/>
          <w:szCs w:val="22"/>
        </w:rPr>
        <w:t>2 had the lowest values (3-7 g) (Figure 4a). Dry weight followed similar patterns, with significant effects of variety (F=4.82, p&lt;0.001) and salinity (F=15.32, p&lt;0.001) (Figure 4b). At high salinity (150 mM), fresh weight decreased by 40-65% compared to the control, depending on the variety.</w:t>
      </w:r>
    </w:p>
    <w:p w14:paraId="7639E205" w14:textId="100BC0CE" w:rsidR="00FB6D26" w:rsidRPr="009B366E" w:rsidRDefault="00A9059B" w:rsidP="0018624A">
      <w:pPr>
        <w:spacing w:before="120" w:after="120" w:line="276" w:lineRule="auto"/>
        <w:jc w:val="both"/>
        <w:rPr>
          <w:rFonts w:ascii="Arial" w:hAnsi="Arial" w:cs="Arial"/>
          <w:sz w:val="22"/>
          <w:szCs w:val="22"/>
        </w:rPr>
      </w:pPr>
      <w:r w:rsidRPr="009B366E">
        <w:rPr>
          <w:rFonts w:ascii="Arial" w:hAnsi="Arial" w:cs="Arial"/>
          <w:noProof/>
          <w:sz w:val="22"/>
          <w:szCs w:val="22"/>
          <w:lang w:val="en-GB" w:eastAsia="en-GB"/>
        </w:rPr>
        <w:lastRenderedPageBreak/>
        <w:drawing>
          <wp:inline distT="0" distB="0" distL="0" distR="0" wp14:anchorId="55B0E95A" wp14:editId="7EF4F696">
            <wp:extent cx="2908300" cy="1972310"/>
            <wp:effectExtent l="0" t="0" r="635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08555" cy="1972483"/>
                    </a:xfrm>
                    <a:prstGeom prst="rect">
                      <a:avLst/>
                    </a:prstGeom>
                    <a:noFill/>
                    <a:ln>
                      <a:noFill/>
                    </a:ln>
                  </pic:spPr>
                </pic:pic>
              </a:graphicData>
            </a:graphic>
          </wp:inline>
        </w:drawing>
      </w:r>
      <w:r w:rsidRPr="009B366E">
        <w:rPr>
          <w:rFonts w:ascii="Arial" w:hAnsi="Arial" w:cs="Arial"/>
          <w:noProof/>
          <w:sz w:val="22"/>
          <w:szCs w:val="22"/>
          <w:lang w:val="en-GB" w:eastAsia="en-GB"/>
        </w:rPr>
        <w:drawing>
          <wp:inline distT="0" distB="0" distL="0" distR="0" wp14:anchorId="16A4D0FB" wp14:editId="4BF1E3A8">
            <wp:extent cx="2806700" cy="2012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0422" cy="2015619"/>
                    </a:xfrm>
                    <a:prstGeom prst="rect">
                      <a:avLst/>
                    </a:prstGeom>
                    <a:noFill/>
                    <a:ln>
                      <a:noFill/>
                    </a:ln>
                  </pic:spPr>
                </pic:pic>
              </a:graphicData>
            </a:graphic>
          </wp:inline>
        </w:drawing>
      </w:r>
      <w:r w:rsidR="00BF0082" w:rsidRPr="009B366E">
        <w:rPr>
          <w:rFonts w:ascii="Arial" w:hAnsi="Arial" w:cs="Arial"/>
          <w:b/>
          <w:bCs/>
          <w:sz w:val="22"/>
          <w:szCs w:val="22"/>
          <w:highlight w:val="yellow"/>
        </w:rPr>
        <w:t xml:space="preserve"> </w:t>
      </w:r>
      <w:r w:rsidR="00FB6D26" w:rsidRPr="009B366E">
        <w:rPr>
          <w:rFonts w:ascii="Arial" w:hAnsi="Arial" w:cs="Arial"/>
          <w:b/>
          <w:bCs/>
          <w:sz w:val="22"/>
          <w:szCs w:val="22"/>
        </w:rPr>
        <w:t xml:space="preserve">Figure 4. </w:t>
      </w:r>
      <w:r w:rsidR="00FB6D26" w:rsidRPr="009B366E">
        <w:rPr>
          <w:rFonts w:ascii="Arial" w:hAnsi="Arial" w:cs="Arial"/>
          <w:sz w:val="22"/>
          <w:szCs w:val="22"/>
        </w:rPr>
        <w:t>Effect of salinity stress on seedling biomass of six biofortified and non-biofortified common bean (</w:t>
      </w:r>
      <w:r w:rsidR="00FB6D26" w:rsidRPr="009B366E">
        <w:rPr>
          <w:rFonts w:ascii="Arial" w:hAnsi="Arial" w:cs="Arial"/>
          <w:i/>
          <w:iCs/>
          <w:sz w:val="22"/>
          <w:szCs w:val="22"/>
        </w:rPr>
        <w:t xml:space="preserve">Phaseolus vulgaris </w:t>
      </w:r>
      <w:r w:rsidR="00FB6D26" w:rsidRPr="009B366E">
        <w:rPr>
          <w:rFonts w:ascii="Arial" w:hAnsi="Arial" w:cs="Arial"/>
          <w:sz w:val="22"/>
          <w:szCs w:val="22"/>
        </w:rPr>
        <w:t xml:space="preserve">L.) varieties. (a) Fresh weight (g) and (b) Dry weight (g). indicate significant differences among treatment combinations </w:t>
      </w:r>
      <w:r w:rsidR="00D87CC0">
        <w:rPr>
          <w:rFonts w:ascii="Arial" w:hAnsi="Arial" w:cs="Arial"/>
          <w:sz w:val="22"/>
          <w:szCs w:val="22"/>
        </w:rPr>
        <w:t>using Tukey's HSD test (p &lt; 0.05) at salinity levels of</w:t>
      </w:r>
      <w:r w:rsidR="00FB6D26" w:rsidRPr="009B366E">
        <w:rPr>
          <w:rFonts w:ascii="Arial" w:hAnsi="Arial" w:cs="Arial"/>
          <w:sz w:val="22"/>
          <w:szCs w:val="22"/>
        </w:rPr>
        <w:t xml:space="preserve"> 0, 50, 100, and 150 mM NaCl.</w:t>
      </w:r>
    </w:p>
    <w:p w14:paraId="25A0E3D6" w14:textId="77777777" w:rsidR="00FB6D26" w:rsidRPr="00817906" w:rsidRDefault="00FB6D26" w:rsidP="00184154">
      <w:pPr>
        <w:spacing w:line="276" w:lineRule="auto"/>
        <w:rPr>
          <w:rFonts w:ascii="Arial" w:hAnsi="Arial" w:cs="Arial"/>
          <w:sz w:val="22"/>
          <w:szCs w:val="22"/>
        </w:rPr>
      </w:pPr>
      <w:r w:rsidRPr="00817906">
        <w:rPr>
          <w:rFonts w:ascii="Arial" w:hAnsi="Arial" w:cs="Arial"/>
          <w:b/>
          <w:bCs/>
          <w:sz w:val="22"/>
          <w:szCs w:val="22"/>
        </w:rPr>
        <w:t>3.3 Seedling Vigour Indices</w:t>
      </w:r>
    </w:p>
    <w:p w14:paraId="285152B3" w14:textId="055FCA3E"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Seedling vigour index I (SVI-I) was affected by salinity</w:t>
      </w:r>
      <w:r w:rsidR="009D03C8" w:rsidRPr="009B366E">
        <w:rPr>
          <w:rFonts w:ascii="Arial" w:hAnsi="Arial" w:cs="Arial"/>
          <w:sz w:val="22"/>
          <w:szCs w:val="22"/>
        </w:rPr>
        <w:t xml:space="preserve"> significantly</w:t>
      </w:r>
      <w:r w:rsidRPr="009B366E">
        <w:rPr>
          <w:rFonts w:ascii="Arial" w:hAnsi="Arial" w:cs="Arial"/>
          <w:sz w:val="22"/>
          <w:szCs w:val="22"/>
        </w:rPr>
        <w:t xml:space="preserve"> (F=52.18, p&lt;0.001). At 0 mM, SVI-I ranged from 2980 to 4100 across all tested varieties, with T</w:t>
      </w:r>
      <w:r w:rsidR="00C345E5" w:rsidRPr="009B366E">
        <w:rPr>
          <w:rFonts w:ascii="Arial" w:hAnsi="Arial" w:cs="Arial"/>
          <w:sz w:val="22"/>
          <w:szCs w:val="22"/>
        </w:rPr>
        <w:t xml:space="preserve">ARIBEAN </w:t>
      </w:r>
      <w:r w:rsidRPr="009B366E">
        <w:rPr>
          <w:rFonts w:ascii="Arial" w:hAnsi="Arial" w:cs="Arial"/>
          <w:sz w:val="22"/>
          <w:szCs w:val="22"/>
        </w:rPr>
        <w:t>5 and T</w:t>
      </w:r>
      <w:r w:rsidR="00C345E5" w:rsidRPr="009B366E">
        <w:rPr>
          <w:rFonts w:ascii="Arial" w:hAnsi="Arial" w:cs="Arial"/>
          <w:sz w:val="22"/>
          <w:szCs w:val="22"/>
        </w:rPr>
        <w:t xml:space="preserve">ARIBEAN </w:t>
      </w:r>
      <w:r w:rsidRPr="009B366E">
        <w:rPr>
          <w:rFonts w:ascii="Arial" w:hAnsi="Arial" w:cs="Arial"/>
          <w:sz w:val="22"/>
          <w:szCs w:val="22"/>
        </w:rPr>
        <w:t>6 showing the highest vigour. Salinity stress reduced SVI-I to 2450-3200 at 50 mM, 1620-2140 at 100 mM, and 1480-1850 at 150 mM NaCl (Figure 5a). This represents a 50-60% reduction in seedling vigour under severe salt stress.</w:t>
      </w:r>
    </w:p>
    <w:p w14:paraId="52DE5B38" w14:textId="427DB06F" w:rsidR="00FB6D26" w:rsidRPr="009B366E" w:rsidRDefault="00FB6D26" w:rsidP="0018624A">
      <w:pPr>
        <w:spacing w:before="120" w:after="120" w:line="276" w:lineRule="auto"/>
        <w:jc w:val="both"/>
        <w:rPr>
          <w:rFonts w:ascii="Arial" w:hAnsi="Arial" w:cs="Arial"/>
          <w:sz w:val="22"/>
          <w:szCs w:val="22"/>
        </w:rPr>
      </w:pPr>
      <w:r w:rsidRPr="009B366E">
        <w:rPr>
          <w:rFonts w:ascii="Arial" w:hAnsi="Arial" w:cs="Arial"/>
          <w:sz w:val="22"/>
          <w:szCs w:val="22"/>
        </w:rPr>
        <w:t>Seedling vigour index II (SVI-II) showed significant effects of both variety (F=4.21, p&lt;0.01) and salinity (F=32.67, p&lt;0.001). T</w:t>
      </w:r>
      <w:r w:rsidR="00C345E5" w:rsidRPr="009B366E">
        <w:rPr>
          <w:rFonts w:ascii="Arial" w:hAnsi="Arial" w:cs="Arial"/>
          <w:sz w:val="22"/>
          <w:szCs w:val="22"/>
        </w:rPr>
        <w:t xml:space="preserve">ARIBEAN </w:t>
      </w:r>
      <w:r w:rsidRPr="009B366E">
        <w:rPr>
          <w:rFonts w:ascii="Arial" w:hAnsi="Arial" w:cs="Arial"/>
          <w:sz w:val="22"/>
          <w:szCs w:val="22"/>
        </w:rPr>
        <w:t>1 exhibited the highest SVI-II at control conditions (270), while T</w:t>
      </w:r>
      <w:r w:rsidR="00C345E5" w:rsidRPr="009B366E">
        <w:rPr>
          <w:rFonts w:ascii="Arial" w:hAnsi="Arial" w:cs="Arial"/>
          <w:sz w:val="22"/>
          <w:szCs w:val="22"/>
        </w:rPr>
        <w:t xml:space="preserve">ARIBEAN </w:t>
      </w:r>
      <w:r w:rsidRPr="009B366E">
        <w:rPr>
          <w:rFonts w:ascii="Arial" w:hAnsi="Arial" w:cs="Arial"/>
          <w:sz w:val="22"/>
          <w:szCs w:val="22"/>
        </w:rPr>
        <w:t>2 showed the lowest value across all treatments. At 150 mM NaCl, SVI-II decreased to 25-120, depending on variety, indicating that some varieties maintained better vigour under salt stress (Figure 5b).</w:t>
      </w:r>
    </w:p>
    <w:p w14:paraId="375E440B" w14:textId="77777777" w:rsidR="00900C98" w:rsidRPr="009B366E" w:rsidRDefault="0019495C" w:rsidP="0018624A">
      <w:pPr>
        <w:spacing w:after="300" w:line="276" w:lineRule="auto"/>
        <w:jc w:val="both"/>
        <w:rPr>
          <w:rFonts w:ascii="Arial" w:hAnsi="Arial" w:cs="Arial"/>
          <w:b/>
          <w:bCs/>
          <w:sz w:val="22"/>
          <w:szCs w:val="22"/>
          <w:highlight w:val="yellow"/>
        </w:rPr>
      </w:pPr>
      <w:r w:rsidRPr="009B366E">
        <w:rPr>
          <w:rFonts w:ascii="Arial" w:hAnsi="Arial" w:cs="Arial"/>
          <w:noProof/>
          <w:sz w:val="22"/>
          <w:szCs w:val="22"/>
          <w:lang w:val="en-GB" w:eastAsia="en-GB"/>
        </w:rPr>
        <w:drawing>
          <wp:inline distT="0" distB="0" distL="0" distR="0" wp14:anchorId="19B77FE5" wp14:editId="2FB24231">
            <wp:extent cx="2799995" cy="1959498"/>
            <wp:effectExtent l="0" t="0" r="635"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32049" cy="1981930"/>
                    </a:xfrm>
                    <a:prstGeom prst="rect">
                      <a:avLst/>
                    </a:prstGeom>
                    <a:noFill/>
                    <a:ln>
                      <a:noFill/>
                    </a:ln>
                  </pic:spPr>
                </pic:pic>
              </a:graphicData>
            </a:graphic>
          </wp:inline>
        </w:drawing>
      </w:r>
      <w:r w:rsidR="00900C98" w:rsidRPr="009B366E">
        <w:rPr>
          <w:rFonts w:ascii="Arial" w:hAnsi="Arial" w:cs="Arial"/>
          <w:noProof/>
          <w:sz w:val="22"/>
          <w:szCs w:val="22"/>
          <w:lang w:val="en-GB" w:eastAsia="en-GB"/>
        </w:rPr>
        <w:drawing>
          <wp:inline distT="0" distB="0" distL="0" distR="0" wp14:anchorId="64A22F02" wp14:editId="3CF25E6E">
            <wp:extent cx="2753879" cy="1933424"/>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7216" cy="1949809"/>
                    </a:xfrm>
                    <a:prstGeom prst="rect">
                      <a:avLst/>
                    </a:prstGeom>
                    <a:noFill/>
                    <a:ln>
                      <a:noFill/>
                    </a:ln>
                  </pic:spPr>
                </pic:pic>
              </a:graphicData>
            </a:graphic>
          </wp:inline>
        </w:drawing>
      </w:r>
      <w:r w:rsidR="00900C98" w:rsidRPr="009B366E">
        <w:rPr>
          <w:rFonts w:ascii="Arial" w:hAnsi="Arial" w:cs="Arial"/>
          <w:b/>
          <w:bCs/>
          <w:sz w:val="22"/>
          <w:szCs w:val="22"/>
          <w:highlight w:val="yellow"/>
        </w:rPr>
        <w:t xml:space="preserve"> </w:t>
      </w:r>
    </w:p>
    <w:p w14:paraId="36652586" w14:textId="672F0179" w:rsidR="00FB6D26" w:rsidRPr="009B366E" w:rsidRDefault="00FB6D26" w:rsidP="0018624A">
      <w:pPr>
        <w:spacing w:before="120" w:after="120" w:line="276" w:lineRule="auto"/>
        <w:jc w:val="both"/>
        <w:rPr>
          <w:rFonts w:ascii="Arial" w:hAnsi="Arial" w:cs="Arial"/>
          <w:sz w:val="22"/>
          <w:szCs w:val="22"/>
        </w:rPr>
      </w:pPr>
      <w:r w:rsidRPr="009B366E">
        <w:rPr>
          <w:rFonts w:ascii="Arial" w:hAnsi="Arial" w:cs="Arial"/>
          <w:b/>
          <w:bCs/>
          <w:sz w:val="22"/>
          <w:szCs w:val="22"/>
        </w:rPr>
        <w:t>Figure 5</w:t>
      </w:r>
      <w:r w:rsidRPr="009B366E">
        <w:rPr>
          <w:rFonts w:ascii="Arial" w:hAnsi="Arial" w:cs="Arial"/>
          <w:sz w:val="22"/>
          <w:szCs w:val="22"/>
        </w:rPr>
        <w:t>. Effect of salinity stress on seedling vigour indices of six biofortified and non-biofortified common bean (</w:t>
      </w:r>
      <w:r w:rsidRPr="009B366E">
        <w:rPr>
          <w:rFonts w:ascii="Arial" w:hAnsi="Arial" w:cs="Arial"/>
          <w:i/>
          <w:iCs/>
          <w:sz w:val="22"/>
          <w:szCs w:val="22"/>
        </w:rPr>
        <w:t xml:space="preserve">Phaseolus vulgaris </w:t>
      </w:r>
      <w:r w:rsidRPr="009B366E">
        <w:rPr>
          <w:rFonts w:ascii="Arial" w:hAnsi="Arial" w:cs="Arial"/>
          <w:sz w:val="22"/>
          <w:szCs w:val="22"/>
        </w:rPr>
        <w:t>L.) varieties. (a) Seedling Vigour Index I (SVI-I = germination percentage × seedling length) and (b) Seedling Vigour Index II (SVI-II = germination percentag</w:t>
      </w:r>
      <w:r w:rsidR="00F305B3">
        <w:rPr>
          <w:rFonts w:ascii="Arial" w:hAnsi="Arial" w:cs="Arial"/>
          <w:sz w:val="22"/>
          <w:szCs w:val="22"/>
        </w:rPr>
        <w:t xml:space="preserve">e × dry weight) </w:t>
      </w:r>
      <w:r w:rsidRPr="009B366E">
        <w:rPr>
          <w:rFonts w:ascii="Arial" w:hAnsi="Arial" w:cs="Arial"/>
          <w:sz w:val="22"/>
          <w:szCs w:val="22"/>
        </w:rPr>
        <w:t>indicate significant differences among treatment combinations according to Tukey's HSD test (p&lt;0.05)</w:t>
      </w:r>
      <w:r w:rsidR="00D87CC0">
        <w:rPr>
          <w:rFonts w:ascii="Arial" w:hAnsi="Arial" w:cs="Arial"/>
          <w:sz w:val="22"/>
          <w:szCs w:val="22"/>
        </w:rPr>
        <w:t>,</w:t>
      </w:r>
      <w:r w:rsidR="00CB23E6" w:rsidRPr="009B366E">
        <w:rPr>
          <w:rFonts w:ascii="Arial" w:hAnsi="Arial" w:cs="Arial"/>
          <w:sz w:val="22"/>
          <w:szCs w:val="22"/>
        </w:rPr>
        <w:t xml:space="preserve"> </w:t>
      </w:r>
      <w:r w:rsidRPr="009B366E">
        <w:rPr>
          <w:rFonts w:ascii="Arial" w:hAnsi="Arial" w:cs="Arial"/>
          <w:sz w:val="22"/>
          <w:szCs w:val="22"/>
        </w:rPr>
        <w:t>salinity levels: 0, 50, 100, and 150 mM NaCl.</w:t>
      </w:r>
    </w:p>
    <w:p w14:paraId="615D631D" w14:textId="77777777" w:rsidR="00FB6D26" w:rsidRPr="009B366E" w:rsidRDefault="00FB6D26" w:rsidP="00184154">
      <w:pPr>
        <w:spacing w:line="276" w:lineRule="auto"/>
        <w:rPr>
          <w:rFonts w:ascii="Arial" w:hAnsi="Arial" w:cs="Arial"/>
          <w:sz w:val="22"/>
          <w:szCs w:val="22"/>
        </w:rPr>
      </w:pPr>
      <w:r w:rsidRPr="009B366E">
        <w:rPr>
          <w:rFonts w:ascii="Arial" w:hAnsi="Arial" w:cs="Arial"/>
          <w:b/>
          <w:bCs/>
          <w:sz w:val="22"/>
          <w:szCs w:val="22"/>
        </w:rPr>
        <w:t>3.4 Variety and Salinity Interaction</w:t>
      </w:r>
    </w:p>
    <w:p w14:paraId="56B03CC8" w14:textId="4CC29F0A"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lastRenderedPageBreak/>
        <w:t xml:space="preserve">The </w:t>
      </w:r>
      <w:r w:rsidR="00D87CC0">
        <w:rPr>
          <w:rFonts w:ascii="Arial" w:hAnsi="Arial" w:cs="Arial"/>
          <w:sz w:val="22"/>
          <w:szCs w:val="22"/>
        </w:rPr>
        <w:t xml:space="preserve">salinity-by-variety interaction was not significant for any of </w:t>
      </w:r>
      <w:r w:rsidR="00522BE6">
        <w:rPr>
          <w:rFonts w:ascii="Arial" w:hAnsi="Arial" w:cs="Arial"/>
          <w:sz w:val="22"/>
          <w:szCs w:val="22"/>
        </w:rPr>
        <w:t>the measured parameters (Table 2</w:t>
      </w:r>
      <w:r w:rsidR="00D87CC0">
        <w:rPr>
          <w:rFonts w:ascii="Arial" w:hAnsi="Arial" w:cs="Arial"/>
          <w:sz w:val="22"/>
          <w:szCs w:val="22"/>
        </w:rPr>
        <w:t>), indicating that all varieties responded similarly to increasing salinity stress</w:t>
      </w:r>
      <w:r w:rsidRPr="009B366E">
        <w:rPr>
          <w:rFonts w:ascii="Arial" w:hAnsi="Arial" w:cs="Arial"/>
          <w:sz w:val="22"/>
          <w:szCs w:val="22"/>
        </w:rPr>
        <w:t>. This suggests that the ranking of varieties remained consistent across salinity levels, and no variety exhibited specific adaptation to particular salinity conditions.</w:t>
      </w:r>
    </w:p>
    <w:p w14:paraId="36D764F0" w14:textId="77777777" w:rsidR="00184154" w:rsidRDefault="00184154" w:rsidP="00184154">
      <w:pPr>
        <w:spacing w:line="276" w:lineRule="auto"/>
        <w:rPr>
          <w:rFonts w:ascii="Arial" w:hAnsi="Arial" w:cs="Arial"/>
          <w:b/>
          <w:bCs/>
          <w:sz w:val="22"/>
          <w:szCs w:val="22"/>
        </w:rPr>
      </w:pPr>
    </w:p>
    <w:p w14:paraId="4218980D" w14:textId="7D72C408" w:rsidR="00FB6D26" w:rsidRPr="009B366E" w:rsidRDefault="00FB6D26" w:rsidP="00184154">
      <w:pPr>
        <w:spacing w:line="276" w:lineRule="auto"/>
        <w:rPr>
          <w:rFonts w:ascii="Arial" w:hAnsi="Arial" w:cs="Arial"/>
          <w:sz w:val="22"/>
          <w:szCs w:val="22"/>
        </w:rPr>
      </w:pPr>
      <w:r w:rsidRPr="009B366E">
        <w:rPr>
          <w:rFonts w:ascii="Arial" w:hAnsi="Arial" w:cs="Arial"/>
          <w:b/>
          <w:bCs/>
          <w:sz w:val="22"/>
          <w:szCs w:val="22"/>
        </w:rPr>
        <w:t>3.5 Overall Variety Performance</w:t>
      </w:r>
    </w:p>
    <w:p w14:paraId="448E0AEE" w14:textId="40366156"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Among the six biofortified and one non-biofortified common bean varieties evaluated, S</w:t>
      </w:r>
      <w:r w:rsidR="00CF674F" w:rsidRPr="009B366E">
        <w:rPr>
          <w:rFonts w:ascii="Arial" w:hAnsi="Arial" w:cs="Arial"/>
          <w:sz w:val="22"/>
          <w:szCs w:val="22"/>
        </w:rPr>
        <w:t xml:space="preserve">ELIAN </w:t>
      </w:r>
      <w:r w:rsidRPr="009B366E">
        <w:rPr>
          <w:rFonts w:ascii="Arial" w:hAnsi="Arial" w:cs="Arial"/>
          <w:sz w:val="22"/>
          <w:szCs w:val="22"/>
        </w:rPr>
        <w:t>14 and T</w:t>
      </w:r>
      <w:r w:rsidR="00CF674F" w:rsidRPr="009B366E">
        <w:rPr>
          <w:rFonts w:ascii="Arial" w:hAnsi="Arial" w:cs="Arial"/>
          <w:sz w:val="22"/>
          <w:szCs w:val="22"/>
        </w:rPr>
        <w:t xml:space="preserve">ARIBEAN </w:t>
      </w:r>
      <w:r w:rsidRPr="009B366E">
        <w:rPr>
          <w:rFonts w:ascii="Arial" w:hAnsi="Arial" w:cs="Arial"/>
          <w:sz w:val="22"/>
          <w:szCs w:val="22"/>
        </w:rPr>
        <w:t>5 demonstrated superior performance under salt stress conditions. S</w:t>
      </w:r>
      <w:r w:rsidR="00CF674F" w:rsidRPr="009B366E">
        <w:rPr>
          <w:rFonts w:ascii="Arial" w:hAnsi="Arial" w:cs="Arial"/>
          <w:sz w:val="22"/>
          <w:szCs w:val="22"/>
        </w:rPr>
        <w:t xml:space="preserve">ELIAN </w:t>
      </w:r>
      <w:r w:rsidRPr="009B366E">
        <w:rPr>
          <w:rFonts w:ascii="Arial" w:hAnsi="Arial" w:cs="Arial"/>
          <w:sz w:val="22"/>
          <w:szCs w:val="22"/>
        </w:rPr>
        <w:t>14 maintained relatively high fresh and dry weights across all salinity levels, while T</w:t>
      </w:r>
      <w:r w:rsidR="00CF674F" w:rsidRPr="009B366E">
        <w:rPr>
          <w:rFonts w:ascii="Arial" w:hAnsi="Arial" w:cs="Arial"/>
          <w:sz w:val="22"/>
          <w:szCs w:val="22"/>
        </w:rPr>
        <w:t xml:space="preserve">ARIBEAN </w:t>
      </w:r>
      <w:r w:rsidRPr="009B366E">
        <w:rPr>
          <w:rFonts w:ascii="Arial" w:hAnsi="Arial" w:cs="Arial"/>
          <w:sz w:val="22"/>
          <w:szCs w:val="22"/>
        </w:rPr>
        <w:t xml:space="preserve">5 showed the highest seedling vigour indices. </w:t>
      </w:r>
      <w:r w:rsidR="00CF674F" w:rsidRPr="009B366E">
        <w:rPr>
          <w:rFonts w:ascii="Arial" w:hAnsi="Arial" w:cs="Arial"/>
          <w:sz w:val="22"/>
          <w:szCs w:val="22"/>
        </w:rPr>
        <w:t xml:space="preserve">TARIBEAN </w:t>
      </w:r>
      <w:r w:rsidRPr="009B366E">
        <w:rPr>
          <w:rFonts w:ascii="Arial" w:hAnsi="Arial" w:cs="Arial"/>
          <w:sz w:val="22"/>
          <w:szCs w:val="22"/>
        </w:rPr>
        <w:t>6 also performed well in terms of seedling length and vigour. In contrast, T</w:t>
      </w:r>
      <w:r w:rsidR="00CF674F" w:rsidRPr="009B366E">
        <w:rPr>
          <w:rFonts w:ascii="Arial" w:hAnsi="Arial" w:cs="Arial"/>
          <w:sz w:val="22"/>
          <w:szCs w:val="22"/>
        </w:rPr>
        <w:t xml:space="preserve">ARIBEAN </w:t>
      </w:r>
      <w:r w:rsidRPr="009B366E">
        <w:rPr>
          <w:rFonts w:ascii="Arial" w:hAnsi="Arial" w:cs="Arial"/>
          <w:sz w:val="22"/>
          <w:szCs w:val="22"/>
        </w:rPr>
        <w:t>2</w:t>
      </w:r>
      <w:r w:rsidRPr="009B366E">
        <w:rPr>
          <w:rFonts w:ascii="Arial" w:hAnsi="Arial" w:cs="Arial"/>
          <w:color w:val="EE0000"/>
          <w:sz w:val="22"/>
          <w:szCs w:val="22"/>
        </w:rPr>
        <w:t xml:space="preserve"> </w:t>
      </w:r>
      <w:r w:rsidRPr="009B366E">
        <w:rPr>
          <w:rFonts w:ascii="Arial" w:hAnsi="Arial" w:cs="Arial"/>
          <w:sz w:val="22"/>
          <w:szCs w:val="22"/>
        </w:rPr>
        <w:t xml:space="preserve">showed lower </w:t>
      </w:r>
      <w:r w:rsidR="00D87CC0">
        <w:rPr>
          <w:rFonts w:ascii="Arial" w:hAnsi="Arial" w:cs="Arial"/>
          <w:sz w:val="22"/>
          <w:szCs w:val="22"/>
        </w:rPr>
        <w:t>shoot and dry-weight parameters, suggesting greater</w:t>
      </w:r>
      <w:r w:rsidRPr="009B366E">
        <w:rPr>
          <w:rFonts w:ascii="Arial" w:hAnsi="Arial" w:cs="Arial"/>
          <w:sz w:val="22"/>
          <w:szCs w:val="22"/>
        </w:rPr>
        <w:t xml:space="preserve"> sensitivity to salinity stress. JESCA demonstrated good root development but showed greater sensitivity in shoot growth parameters at high salinity levels. The coefficient of variation (CV) values ranged from 8.5% for cumulative germination to 45.2% for abnormal seed germination, indicating acceptable experimental precision for most parameters. The higher CV for abnormal germination reflects the inherent variability in this parameter.</w:t>
      </w:r>
    </w:p>
    <w:p w14:paraId="18462EFF" w14:textId="77777777" w:rsidR="00073435" w:rsidRPr="009B366E" w:rsidRDefault="00073435" w:rsidP="0018624A">
      <w:pPr>
        <w:spacing w:line="276" w:lineRule="auto"/>
        <w:jc w:val="both"/>
        <w:rPr>
          <w:rFonts w:ascii="Arial" w:hAnsi="Arial" w:cs="Arial"/>
          <w:sz w:val="22"/>
          <w:szCs w:val="22"/>
        </w:rPr>
        <w:sectPr w:rsidR="00073435" w:rsidRPr="009B366E">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20"/>
          <w:docGrid w:linePitch="360"/>
        </w:sectPr>
      </w:pPr>
    </w:p>
    <w:p w14:paraId="57859AA4" w14:textId="651FCC6E" w:rsidR="00073435" w:rsidRPr="00782A2F" w:rsidRDefault="006B2126" w:rsidP="0018624A">
      <w:pPr>
        <w:spacing w:after="200" w:line="276" w:lineRule="auto"/>
        <w:jc w:val="both"/>
        <w:rPr>
          <w:rFonts w:ascii="Arial" w:hAnsi="Arial" w:cs="Arial"/>
          <w:b/>
          <w:sz w:val="22"/>
          <w:szCs w:val="22"/>
        </w:rPr>
      </w:pPr>
      <w:r w:rsidRPr="009B366E">
        <w:rPr>
          <w:rFonts w:ascii="Arial" w:hAnsi="Arial" w:cs="Arial"/>
          <w:b/>
          <w:bCs/>
          <w:sz w:val="22"/>
          <w:szCs w:val="22"/>
        </w:rPr>
        <w:lastRenderedPageBreak/>
        <w:t xml:space="preserve">Table </w:t>
      </w:r>
      <w:r w:rsidR="00091A9D">
        <w:rPr>
          <w:rFonts w:ascii="Arial" w:hAnsi="Arial" w:cs="Arial"/>
          <w:b/>
          <w:bCs/>
          <w:sz w:val="22"/>
          <w:szCs w:val="22"/>
        </w:rPr>
        <w:t>2</w:t>
      </w:r>
      <w:r w:rsidRPr="009B366E">
        <w:rPr>
          <w:rFonts w:ascii="Arial" w:hAnsi="Arial" w:cs="Arial"/>
          <w:b/>
          <w:bCs/>
          <w:sz w:val="22"/>
          <w:szCs w:val="22"/>
        </w:rPr>
        <w:t xml:space="preserve">. </w:t>
      </w:r>
      <w:r w:rsidRPr="00782A2F">
        <w:rPr>
          <w:rFonts w:ascii="Arial" w:hAnsi="Arial" w:cs="Arial"/>
          <w:b/>
          <w:sz w:val="22"/>
          <w:szCs w:val="22"/>
        </w:rPr>
        <w:t xml:space="preserve">Analysis of variance for germination and seedling growth parameters of </w:t>
      </w:r>
      <w:r w:rsidR="0004062D" w:rsidRPr="00782A2F">
        <w:rPr>
          <w:rFonts w:ascii="Arial" w:hAnsi="Arial" w:cs="Arial"/>
          <w:b/>
          <w:sz w:val="22"/>
          <w:szCs w:val="22"/>
        </w:rPr>
        <w:t>six</w:t>
      </w:r>
      <w:r w:rsidRPr="00782A2F">
        <w:rPr>
          <w:rFonts w:ascii="Arial" w:hAnsi="Arial" w:cs="Arial"/>
          <w:b/>
          <w:sz w:val="22"/>
          <w:szCs w:val="22"/>
        </w:rPr>
        <w:t xml:space="preserve"> biofortified </w:t>
      </w:r>
      <w:r w:rsidR="0004062D" w:rsidRPr="00782A2F">
        <w:rPr>
          <w:rFonts w:ascii="Arial" w:hAnsi="Arial" w:cs="Arial"/>
          <w:b/>
          <w:sz w:val="22"/>
          <w:szCs w:val="22"/>
        </w:rPr>
        <w:t xml:space="preserve">and one non-biofortified </w:t>
      </w:r>
      <w:r w:rsidRPr="00782A2F">
        <w:rPr>
          <w:rFonts w:ascii="Arial" w:hAnsi="Arial" w:cs="Arial"/>
          <w:b/>
          <w:sz w:val="22"/>
          <w:szCs w:val="22"/>
        </w:rPr>
        <w:t>common bean (</w:t>
      </w:r>
      <w:r w:rsidRPr="00782A2F">
        <w:rPr>
          <w:rFonts w:ascii="Arial" w:hAnsi="Arial" w:cs="Arial"/>
          <w:b/>
          <w:i/>
          <w:iCs/>
          <w:sz w:val="22"/>
          <w:szCs w:val="22"/>
        </w:rPr>
        <w:t xml:space="preserve">Phaseolus vulgaris </w:t>
      </w:r>
      <w:r w:rsidRPr="00782A2F">
        <w:rPr>
          <w:rFonts w:ascii="Arial" w:hAnsi="Arial" w:cs="Arial"/>
          <w:b/>
          <w:sz w:val="22"/>
          <w:szCs w:val="22"/>
        </w:rPr>
        <w:t>L.) varieties under different salinity levels (0, 50, 100, and 150 mM NaCl)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0"/>
        <w:gridCol w:w="334"/>
        <w:gridCol w:w="1053"/>
        <w:gridCol w:w="863"/>
        <w:gridCol w:w="863"/>
        <w:gridCol w:w="887"/>
        <w:gridCol w:w="1046"/>
        <w:gridCol w:w="1006"/>
        <w:gridCol w:w="1134"/>
        <w:gridCol w:w="944"/>
        <w:gridCol w:w="1169"/>
        <w:gridCol w:w="1063"/>
        <w:gridCol w:w="1024"/>
        <w:gridCol w:w="1227"/>
        <w:gridCol w:w="980"/>
        <w:gridCol w:w="995"/>
      </w:tblGrid>
      <w:tr w:rsidR="00210E85" w:rsidRPr="00210E85" w14:paraId="17EBE31E" w14:textId="77777777" w:rsidTr="00817906">
        <w:trPr>
          <w:tblHeader/>
          <w:tblCellSpacing w:w="15" w:type="dxa"/>
        </w:trPr>
        <w:tc>
          <w:tcPr>
            <w:tcW w:w="0" w:type="auto"/>
            <w:vAlign w:val="center"/>
            <w:hideMark/>
          </w:tcPr>
          <w:p w14:paraId="38F32F52" w14:textId="77777777" w:rsidR="00210E85" w:rsidRPr="00210E85" w:rsidRDefault="00210E85" w:rsidP="00210E85">
            <w:pPr>
              <w:spacing w:line="240" w:lineRule="auto"/>
              <w:jc w:val="center"/>
              <w:rPr>
                <w:b/>
                <w:bCs/>
              </w:rPr>
            </w:pPr>
            <w:r w:rsidRPr="00210E85">
              <w:rPr>
                <w:b/>
                <w:bCs/>
              </w:rPr>
              <w:t>Source of variation</w:t>
            </w:r>
          </w:p>
        </w:tc>
        <w:tc>
          <w:tcPr>
            <w:tcW w:w="0" w:type="auto"/>
            <w:vAlign w:val="center"/>
            <w:hideMark/>
          </w:tcPr>
          <w:p w14:paraId="646B29BD" w14:textId="77777777" w:rsidR="00210E85" w:rsidRPr="00210E85" w:rsidRDefault="00210E85" w:rsidP="00210E85">
            <w:pPr>
              <w:spacing w:line="240" w:lineRule="auto"/>
              <w:jc w:val="center"/>
              <w:rPr>
                <w:b/>
                <w:bCs/>
              </w:rPr>
            </w:pPr>
            <w:r w:rsidRPr="00210E85">
              <w:rPr>
                <w:b/>
                <w:bCs/>
              </w:rPr>
              <w:t>Df</w:t>
            </w:r>
          </w:p>
        </w:tc>
        <w:tc>
          <w:tcPr>
            <w:tcW w:w="0" w:type="auto"/>
            <w:vAlign w:val="center"/>
            <w:hideMark/>
          </w:tcPr>
          <w:p w14:paraId="7E2D2667" w14:textId="77777777" w:rsidR="00210E85" w:rsidRPr="00210E85" w:rsidRDefault="00210E85" w:rsidP="00210E85">
            <w:pPr>
              <w:spacing w:line="240" w:lineRule="auto"/>
              <w:jc w:val="center"/>
              <w:rPr>
                <w:b/>
                <w:bCs/>
              </w:rPr>
            </w:pPr>
            <w:r w:rsidRPr="00210E85">
              <w:rPr>
                <w:b/>
                <w:bCs/>
              </w:rPr>
              <w:t>Germ. Day3</w:t>
            </w:r>
          </w:p>
        </w:tc>
        <w:tc>
          <w:tcPr>
            <w:tcW w:w="0" w:type="auto"/>
            <w:vAlign w:val="center"/>
            <w:hideMark/>
          </w:tcPr>
          <w:p w14:paraId="25272918" w14:textId="77777777" w:rsidR="00210E85" w:rsidRPr="00210E85" w:rsidRDefault="00210E85" w:rsidP="00210E85">
            <w:pPr>
              <w:spacing w:line="240" w:lineRule="auto"/>
              <w:jc w:val="center"/>
              <w:rPr>
                <w:b/>
                <w:bCs/>
              </w:rPr>
            </w:pPr>
            <w:r w:rsidRPr="00210E85">
              <w:rPr>
                <w:b/>
                <w:bCs/>
              </w:rPr>
              <w:t>Germ. Day5</w:t>
            </w:r>
          </w:p>
        </w:tc>
        <w:tc>
          <w:tcPr>
            <w:tcW w:w="0" w:type="auto"/>
            <w:vAlign w:val="center"/>
            <w:hideMark/>
          </w:tcPr>
          <w:p w14:paraId="6A6031F1" w14:textId="77777777" w:rsidR="00210E85" w:rsidRPr="00210E85" w:rsidRDefault="00210E85" w:rsidP="00210E85">
            <w:pPr>
              <w:spacing w:line="240" w:lineRule="auto"/>
              <w:jc w:val="center"/>
              <w:rPr>
                <w:b/>
                <w:bCs/>
              </w:rPr>
            </w:pPr>
            <w:r w:rsidRPr="00210E85">
              <w:rPr>
                <w:b/>
                <w:bCs/>
              </w:rPr>
              <w:t>Germ. Day7</w:t>
            </w:r>
          </w:p>
        </w:tc>
        <w:tc>
          <w:tcPr>
            <w:tcW w:w="0" w:type="auto"/>
            <w:vAlign w:val="center"/>
            <w:hideMark/>
          </w:tcPr>
          <w:p w14:paraId="0768DB8C" w14:textId="77777777" w:rsidR="00210E85" w:rsidRPr="00210E85" w:rsidRDefault="00210E85" w:rsidP="00210E85">
            <w:pPr>
              <w:spacing w:line="240" w:lineRule="auto"/>
              <w:jc w:val="center"/>
              <w:rPr>
                <w:b/>
                <w:bCs/>
              </w:rPr>
            </w:pPr>
            <w:r w:rsidRPr="00210E85">
              <w:rPr>
                <w:b/>
                <w:bCs/>
              </w:rPr>
              <w:t>Germ. Day10</w:t>
            </w:r>
          </w:p>
        </w:tc>
        <w:tc>
          <w:tcPr>
            <w:tcW w:w="0" w:type="auto"/>
            <w:vAlign w:val="center"/>
            <w:hideMark/>
          </w:tcPr>
          <w:p w14:paraId="5CBB3A09" w14:textId="77777777" w:rsidR="00210E85" w:rsidRPr="00210E85" w:rsidRDefault="00210E85" w:rsidP="00210E85">
            <w:pPr>
              <w:spacing w:line="240" w:lineRule="auto"/>
              <w:jc w:val="center"/>
              <w:rPr>
                <w:b/>
                <w:bCs/>
              </w:rPr>
            </w:pPr>
            <w:r w:rsidRPr="00210E85">
              <w:rPr>
                <w:b/>
                <w:bCs/>
              </w:rPr>
              <w:t>Cum. germ.</w:t>
            </w:r>
          </w:p>
        </w:tc>
        <w:tc>
          <w:tcPr>
            <w:tcW w:w="0" w:type="auto"/>
            <w:vAlign w:val="center"/>
            <w:hideMark/>
          </w:tcPr>
          <w:p w14:paraId="15AE639B" w14:textId="77777777" w:rsidR="00210E85" w:rsidRPr="00210E85" w:rsidRDefault="00210E85" w:rsidP="00210E85">
            <w:pPr>
              <w:spacing w:line="240" w:lineRule="auto"/>
              <w:jc w:val="center"/>
              <w:rPr>
                <w:b/>
                <w:bCs/>
              </w:rPr>
            </w:pPr>
            <w:r w:rsidRPr="00210E85">
              <w:rPr>
                <w:b/>
                <w:bCs/>
              </w:rPr>
              <w:t>Not germ.</w:t>
            </w:r>
          </w:p>
        </w:tc>
        <w:tc>
          <w:tcPr>
            <w:tcW w:w="0" w:type="auto"/>
            <w:vAlign w:val="center"/>
            <w:hideMark/>
          </w:tcPr>
          <w:p w14:paraId="5E300035" w14:textId="77777777" w:rsidR="00210E85" w:rsidRPr="00210E85" w:rsidRDefault="00210E85" w:rsidP="00210E85">
            <w:pPr>
              <w:spacing w:line="240" w:lineRule="auto"/>
              <w:jc w:val="center"/>
              <w:rPr>
                <w:b/>
                <w:bCs/>
              </w:rPr>
            </w:pPr>
            <w:r w:rsidRPr="00210E85">
              <w:rPr>
                <w:b/>
                <w:bCs/>
              </w:rPr>
              <w:t>Abnormal</w:t>
            </w:r>
          </w:p>
        </w:tc>
        <w:tc>
          <w:tcPr>
            <w:tcW w:w="0" w:type="auto"/>
            <w:vAlign w:val="center"/>
            <w:hideMark/>
          </w:tcPr>
          <w:p w14:paraId="7284D55B" w14:textId="77777777" w:rsidR="00210E85" w:rsidRPr="00210E85" w:rsidRDefault="00210E85" w:rsidP="00210E85">
            <w:pPr>
              <w:spacing w:line="240" w:lineRule="auto"/>
              <w:jc w:val="center"/>
              <w:rPr>
                <w:b/>
                <w:bCs/>
              </w:rPr>
            </w:pPr>
            <w:r w:rsidRPr="00210E85">
              <w:rPr>
                <w:b/>
                <w:bCs/>
              </w:rPr>
              <w:t>Root length (cm)</w:t>
            </w:r>
          </w:p>
        </w:tc>
        <w:tc>
          <w:tcPr>
            <w:tcW w:w="0" w:type="auto"/>
            <w:vAlign w:val="center"/>
            <w:hideMark/>
          </w:tcPr>
          <w:p w14:paraId="6CF9F7AC" w14:textId="77777777" w:rsidR="00210E85" w:rsidRPr="00210E85" w:rsidRDefault="00210E85" w:rsidP="00210E85">
            <w:pPr>
              <w:spacing w:line="240" w:lineRule="auto"/>
              <w:jc w:val="center"/>
              <w:rPr>
                <w:b/>
                <w:bCs/>
              </w:rPr>
            </w:pPr>
            <w:r w:rsidRPr="00210E85">
              <w:rPr>
                <w:b/>
                <w:bCs/>
              </w:rPr>
              <w:t>Shoot length (cm)</w:t>
            </w:r>
          </w:p>
        </w:tc>
        <w:tc>
          <w:tcPr>
            <w:tcW w:w="0" w:type="auto"/>
            <w:vAlign w:val="center"/>
            <w:hideMark/>
          </w:tcPr>
          <w:p w14:paraId="4C9F65D0" w14:textId="77777777" w:rsidR="00210E85" w:rsidRPr="00210E85" w:rsidRDefault="00210E85" w:rsidP="00210E85">
            <w:pPr>
              <w:spacing w:line="240" w:lineRule="auto"/>
              <w:jc w:val="center"/>
              <w:rPr>
                <w:b/>
                <w:bCs/>
              </w:rPr>
            </w:pPr>
            <w:r w:rsidRPr="00210E85">
              <w:rPr>
                <w:b/>
                <w:bCs/>
              </w:rPr>
              <w:t>Fresh wt. (g)</w:t>
            </w:r>
          </w:p>
        </w:tc>
        <w:tc>
          <w:tcPr>
            <w:tcW w:w="0" w:type="auto"/>
            <w:vAlign w:val="center"/>
            <w:hideMark/>
          </w:tcPr>
          <w:p w14:paraId="1A11BECC" w14:textId="77777777" w:rsidR="00210E85" w:rsidRPr="00210E85" w:rsidRDefault="00210E85" w:rsidP="00210E85">
            <w:pPr>
              <w:spacing w:line="240" w:lineRule="auto"/>
              <w:jc w:val="center"/>
              <w:rPr>
                <w:b/>
                <w:bCs/>
              </w:rPr>
            </w:pPr>
            <w:r w:rsidRPr="00210E85">
              <w:rPr>
                <w:b/>
                <w:bCs/>
              </w:rPr>
              <w:t>Dry wt. (g)</w:t>
            </w:r>
          </w:p>
        </w:tc>
        <w:tc>
          <w:tcPr>
            <w:tcW w:w="0" w:type="auto"/>
            <w:vAlign w:val="center"/>
            <w:hideMark/>
          </w:tcPr>
          <w:p w14:paraId="35D1509B" w14:textId="77777777" w:rsidR="00210E85" w:rsidRPr="00210E85" w:rsidRDefault="00210E85" w:rsidP="00210E85">
            <w:pPr>
              <w:spacing w:line="240" w:lineRule="auto"/>
              <w:jc w:val="center"/>
              <w:rPr>
                <w:b/>
                <w:bCs/>
              </w:rPr>
            </w:pPr>
            <w:r w:rsidRPr="00210E85">
              <w:rPr>
                <w:b/>
                <w:bCs/>
              </w:rPr>
              <w:t>Seedling length (cm)</w:t>
            </w:r>
          </w:p>
        </w:tc>
        <w:tc>
          <w:tcPr>
            <w:tcW w:w="0" w:type="auto"/>
            <w:vAlign w:val="center"/>
            <w:hideMark/>
          </w:tcPr>
          <w:p w14:paraId="3A0E2280" w14:textId="77777777" w:rsidR="00210E85" w:rsidRPr="00210E85" w:rsidRDefault="00210E85" w:rsidP="00210E85">
            <w:pPr>
              <w:spacing w:line="240" w:lineRule="auto"/>
              <w:jc w:val="center"/>
              <w:rPr>
                <w:b/>
                <w:bCs/>
              </w:rPr>
            </w:pPr>
            <w:r w:rsidRPr="00210E85">
              <w:rPr>
                <w:b/>
                <w:bCs/>
              </w:rPr>
              <w:t>Vigour 1</w:t>
            </w:r>
          </w:p>
        </w:tc>
        <w:tc>
          <w:tcPr>
            <w:tcW w:w="0" w:type="auto"/>
            <w:vAlign w:val="center"/>
            <w:hideMark/>
          </w:tcPr>
          <w:p w14:paraId="4B4E5A52" w14:textId="77777777" w:rsidR="00210E85" w:rsidRPr="00210E85" w:rsidRDefault="00210E85" w:rsidP="00210E85">
            <w:pPr>
              <w:spacing w:line="240" w:lineRule="auto"/>
              <w:jc w:val="center"/>
              <w:rPr>
                <w:b/>
                <w:bCs/>
              </w:rPr>
            </w:pPr>
            <w:r w:rsidRPr="00210E85">
              <w:rPr>
                <w:b/>
                <w:bCs/>
              </w:rPr>
              <w:t>Vigour 2</w:t>
            </w:r>
          </w:p>
        </w:tc>
      </w:tr>
      <w:tr w:rsidR="00210E85" w:rsidRPr="00210E85" w14:paraId="3D969964" w14:textId="77777777" w:rsidTr="00817906">
        <w:trPr>
          <w:tblCellSpacing w:w="15" w:type="dxa"/>
        </w:trPr>
        <w:tc>
          <w:tcPr>
            <w:tcW w:w="0" w:type="auto"/>
            <w:vAlign w:val="center"/>
            <w:hideMark/>
          </w:tcPr>
          <w:p w14:paraId="4F74BBE1" w14:textId="77777777" w:rsidR="00210E85" w:rsidRPr="00210E85" w:rsidRDefault="00210E85" w:rsidP="00210E85">
            <w:pPr>
              <w:spacing w:line="240" w:lineRule="auto"/>
            </w:pPr>
            <w:r w:rsidRPr="00210E85">
              <w:t>Variety (A)</w:t>
            </w:r>
          </w:p>
        </w:tc>
        <w:tc>
          <w:tcPr>
            <w:tcW w:w="0" w:type="auto"/>
            <w:vAlign w:val="center"/>
            <w:hideMark/>
          </w:tcPr>
          <w:p w14:paraId="4C58999A" w14:textId="77777777" w:rsidR="00210E85" w:rsidRPr="00210E85" w:rsidRDefault="00210E85" w:rsidP="00210E85">
            <w:pPr>
              <w:spacing w:line="240" w:lineRule="auto"/>
            </w:pPr>
            <w:r w:rsidRPr="00210E85">
              <w:t>6</w:t>
            </w:r>
          </w:p>
        </w:tc>
        <w:tc>
          <w:tcPr>
            <w:tcW w:w="0" w:type="auto"/>
            <w:vAlign w:val="center"/>
            <w:hideMark/>
          </w:tcPr>
          <w:p w14:paraId="7E09943D" w14:textId="77777777" w:rsidR="00210E85" w:rsidRPr="00210E85" w:rsidRDefault="00210E85" w:rsidP="00210E85">
            <w:pPr>
              <w:spacing w:line="240" w:lineRule="auto"/>
            </w:pPr>
            <w:r w:rsidRPr="00210E85">
              <w:t>0.68ns</w:t>
            </w:r>
          </w:p>
        </w:tc>
        <w:tc>
          <w:tcPr>
            <w:tcW w:w="0" w:type="auto"/>
            <w:vAlign w:val="center"/>
            <w:hideMark/>
          </w:tcPr>
          <w:p w14:paraId="5088EC8F" w14:textId="77777777" w:rsidR="00210E85" w:rsidRPr="00210E85" w:rsidRDefault="00210E85" w:rsidP="00210E85">
            <w:pPr>
              <w:spacing w:line="240" w:lineRule="auto"/>
            </w:pPr>
            <w:r w:rsidRPr="00210E85">
              <w:t>1.52ns</w:t>
            </w:r>
          </w:p>
        </w:tc>
        <w:tc>
          <w:tcPr>
            <w:tcW w:w="0" w:type="auto"/>
            <w:vAlign w:val="center"/>
            <w:hideMark/>
          </w:tcPr>
          <w:p w14:paraId="2FE8024A" w14:textId="77777777" w:rsidR="00210E85" w:rsidRPr="00210E85" w:rsidRDefault="00210E85" w:rsidP="00210E85">
            <w:pPr>
              <w:spacing w:line="240" w:lineRule="auto"/>
            </w:pPr>
            <w:r w:rsidRPr="00210E85">
              <w:t>0.73ns</w:t>
            </w:r>
          </w:p>
        </w:tc>
        <w:tc>
          <w:tcPr>
            <w:tcW w:w="0" w:type="auto"/>
            <w:vAlign w:val="center"/>
            <w:hideMark/>
          </w:tcPr>
          <w:p w14:paraId="72ACB0A3" w14:textId="77777777" w:rsidR="00210E85" w:rsidRPr="00210E85" w:rsidRDefault="00210E85" w:rsidP="00210E85">
            <w:pPr>
              <w:spacing w:line="240" w:lineRule="auto"/>
            </w:pPr>
            <w:r w:rsidRPr="00210E85">
              <w:t>0.42ns</w:t>
            </w:r>
          </w:p>
        </w:tc>
        <w:tc>
          <w:tcPr>
            <w:tcW w:w="0" w:type="auto"/>
            <w:vAlign w:val="center"/>
            <w:hideMark/>
          </w:tcPr>
          <w:p w14:paraId="660162A9" w14:textId="77777777" w:rsidR="00210E85" w:rsidRPr="00210E85" w:rsidRDefault="00210E85" w:rsidP="00210E85">
            <w:pPr>
              <w:spacing w:line="240" w:lineRule="auto"/>
            </w:pPr>
            <w:r w:rsidRPr="00210E85">
              <w:t>0.36ns</w:t>
            </w:r>
          </w:p>
        </w:tc>
        <w:tc>
          <w:tcPr>
            <w:tcW w:w="0" w:type="auto"/>
            <w:vAlign w:val="center"/>
            <w:hideMark/>
          </w:tcPr>
          <w:p w14:paraId="5E32DA90" w14:textId="77777777" w:rsidR="00210E85" w:rsidRPr="00210E85" w:rsidRDefault="00210E85" w:rsidP="00210E85">
            <w:pPr>
              <w:spacing w:line="240" w:lineRule="auto"/>
            </w:pPr>
            <w:r w:rsidRPr="00210E85">
              <w:t>0.36ns</w:t>
            </w:r>
          </w:p>
        </w:tc>
        <w:tc>
          <w:tcPr>
            <w:tcW w:w="0" w:type="auto"/>
            <w:vAlign w:val="center"/>
            <w:hideMark/>
          </w:tcPr>
          <w:p w14:paraId="5FF7B91A" w14:textId="77777777" w:rsidR="00210E85" w:rsidRPr="00210E85" w:rsidRDefault="00210E85" w:rsidP="00210E85">
            <w:pPr>
              <w:spacing w:line="240" w:lineRule="auto"/>
            </w:pPr>
            <w:r w:rsidRPr="00210E85">
              <w:t>0.19ns</w:t>
            </w:r>
          </w:p>
        </w:tc>
        <w:tc>
          <w:tcPr>
            <w:tcW w:w="0" w:type="auto"/>
            <w:vAlign w:val="center"/>
            <w:hideMark/>
          </w:tcPr>
          <w:p w14:paraId="3D84FEC6" w14:textId="77777777" w:rsidR="00210E85" w:rsidRPr="00210E85" w:rsidRDefault="00210E85" w:rsidP="00210E85">
            <w:pPr>
              <w:spacing w:line="240" w:lineRule="auto"/>
            </w:pPr>
            <w:r w:rsidRPr="00210E85">
              <w:t>2.89*</w:t>
            </w:r>
          </w:p>
        </w:tc>
        <w:tc>
          <w:tcPr>
            <w:tcW w:w="0" w:type="auto"/>
            <w:vAlign w:val="center"/>
            <w:hideMark/>
          </w:tcPr>
          <w:p w14:paraId="322ED416" w14:textId="77777777" w:rsidR="00210E85" w:rsidRPr="00210E85" w:rsidRDefault="00210E85" w:rsidP="00210E85">
            <w:pPr>
              <w:spacing w:line="240" w:lineRule="auto"/>
            </w:pPr>
            <w:r w:rsidRPr="00210E85">
              <w:t>0.62ns</w:t>
            </w:r>
          </w:p>
        </w:tc>
        <w:tc>
          <w:tcPr>
            <w:tcW w:w="0" w:type="auto"/>
            <w:vAlign w:val="center"/>
            <w:hideMark/>
          </w:tcPr>
          <w:p w14:paraId="498B27E2" w14:textId="77777777" w:rsidR="00210E85" w:rsidRPr="00210E85" w:rsidRDefault="00210E85" w:rsidP="00210E85">
            <w:pPr>
              <w:spacing w:line="240" w:lineRule="auto"/>
            </w:pPr>
            <w:r w:rsidRPr="00210E85">
              <w:t>12.45***</w:t>
            </w:r>
          </w:p>
        </w:tc>
        <w:tc>
          <w:tcPr>
            <w:tcW w:w="0" w:type="auto"/>
            <w:vAlign w:val="center"/>
            <w:hideMark/>
          </w:tcPr>
          <w:p w14:paraId="7A85E569" w14:textId="77777777" w:rsidR="00210E85" w:rsidRPr="00210E85" w:rsidRDefault="00210E85" w:rsidP="00210E85">
            <w:pPr>
              <w:spacing w:line="240" w:lineRule="auto"/>
            </w:pPr>
            <w:r w:rsidRPr="00210E85">
              <w:t>4.82***</w:t>
            </w:r>
          </w:p>
        </w:tc>
        <w:tc>
          <w:tcPr>
            <w:tcW w:w="0" w:type="auto"/>
            <w:vAlign w:val="center"/>
            <w:hideMark/>
          </w:tcPr>
          <w:p w14:paraId="7DBEE4F4" w14:textId="77777777" w:rsidR="00210E85" w:rsidRPr="00210E85" w:rsidRDefault="00210E85" w:rsidP="00210E85">
            <w:pPr>
              <w:spacing w:line="240" w:lineRule="auto"/>
            </w:pPr>
            <w:r w:rsidRPr="00210E85">
              <w:t>0.68ns</w:t>
            </w:r>
          </w:p>
        </w:tc>
        <w:tc>
          <w:tcPr>
            <w:tcW w:w="0" w:type="auto"/>
            <w:vAlign w:val="center"/>
            <w:hideMark/>
          </w:tcPr>
          <w:p w14:paraId="1F624F91" w14:textId="77777777" w:rsidR="00210E85" w:rsidRPr="00210E85" w:rsidRDefault="00210E85" w:rsidP="00210E85">
            <w:pPr>
              <w:spacing w:line="240" w:lineRule="auto"/>
            </w:pPr>
            <w:r w:rsidRPr="00210E85">
              <w:t>0.91ns</w:t>
            </w:r>
          </w:p>
        </w:tc>
        <w:tc>
          <w:tcPr>
            <w:tcW w:w="0" w:type="auto"/>
            <w:vAlign w:val="center"/>
            <w:hideMark/>
          </w:tcPr>
          <w:p w14:paraId="199328F2" w14:textId="77777777" w:rsidR="00210E85" w:rsidRPr="00210E85" w:rsidRDefault="00210E85" w:rsidP="00210E85">
            <w:pPr>
              <w:spacing w:line="240" w:lineRule="auto"/>
            </w:pPr>
            <w:r w:rsidRPr="00210E85">
              <w:t>4.21**</w:t>
            </w:r>
          </w:p>
        </w:tc>
      </w:tr>
      <w:tr w:rsidR="00210E85" w:rsidRPr="00210E85" w14:paraId="3932FF9A" w14:textId="77777777" w:rsidTr="00817906">
        <w:trPr>
          <w:tblCellSpacing w:w="15" w:type="dxa"/>
        </w:trPr>
        <w:tc>
          <w:tcPr>
            <w:tcW w:w="0" w:type="auto"/>
            <w:vAlign w:val="center"/>
            <w:hideMark/>
          </w:tcPr>
          <w:p w14:paraId="5587641F" w14:textId="77777777" w:rsidR="00210E85" w:rsidRPr="00210E85" w:rsidRDefault="00210E85" w:rsidP="00210E85">
            <w:pPr>
              <w:spacing w:line="240" w:lineRule="auto"/>
            </w:pPr>
            <w:r w:rsidRPr="00210E85">
              <w:t>Salinity (B)</w:t>
            </w:r>
          </w:p>
        </w:tc>
        <w:tc>
          <w:tcPr>
            <w:tcW w:w="0" w:type="auto"/>
            <w:vAlign w:val="center"/>
            <w:hideMark/>
          </w:tcPr>
          <w:p w14:paraId="4618EE73" w14:textId="77777777" w:rsidR="00210E85" w:rsidRPr="00210E85" w:rsidRDefault="00210E85" w:rsidP="00210E85">
            <w:pPr>
              <w:spacing w:line="240" w:lineRule="auto"/>
            </w:pPr>
            <w:r w:rsidRPr="00210E85">
              <w:t>3</w:t>
            </w:r>
          </w:p>
        </w:tc>
        <w:tc>
          <w:tcPr>
            <w:tcW w:w="0" w:type="auto"/>
            <w:vAlign w:val="center"/>
            <w:hideMark/>
          </w:tcPr>
          <w:p w14:paraId="45808EEA" w14:textId="77777777" w:rsidR="00210E85" w:rsidRPr="00210E85" w:rsidRDefault="00210E85" w:rsidP="00210E85">
            <w:pPr>
              <w:spacing w:line="240" w:lineRule="auto"/>
            </w:pPr>
            <w:r w:rsidRPr="00210E85">
              <w:t>48.72***</w:t>
            </w:r>
          </w:p>
        </w:tc>
        <w:tc>
          <w:tcPr>
            <w:tcW w:w="0" w:type="auto"/>
            <w:vAlign w:val="center"/>
            <w:hideMark/>
          </w:tcPr>
          <w:p w14:paraId="6FF77861" w14:textId="77777777" w:rsidR="00210E85" w:rsidRPr="00210E85" w:rsidRDefault="00210E85" w:rsidP="00210E85">
            <w:pPr>
              <w:spacing w:line="240" w:lineRule="auto"/>
            </w:pPr>
            <w:r w:rsidRPr="00210E85">
              <w:t>1.82ns</w:t>
            </w:r>
          </w:p>
        </w:tc>
        <w:tc>
          <w:tcPr>
            <w:tcW w:w="0" w:type="auto"/>
            <w:vAlign w:val="center"/>
            <w:hideMark/>
          </w:tcPr>
          <w:p w14:paraId="03D2051F" w14:textId="77777777" w:rsidR="00210E85" w:rsidRPr="00210E85" w:rsidRDefault="00210E85" w:rsidP="00210E85">
            <w:pPr>
              <w:spacing w:line="240" w:lineRule="auto"/>
            </w:pPr>
            <w:r w:rsidRPr="00210E85">
              <w:t>1.32ns</w:t>
            </w:r>
          </w:p>
        </w:tc>
        <w:tc>
          <w:tcPr>
            <w:tcW w:w="0" w:type="auto"/>
            <w:vAlign w:val="center"/>
            <w:hideMark/>
          </w:tcPr>
          <w:p w14:paraId="2B1B2EAF" w14:textId="77777777" w:rsidR="00210E85" w:rsidRPr="00210E85" w:rsidRDefault="00210E85" w:rsidP="00210E85">
            <w:pPr>
              <w:spacing w:line="240" w:lineRule="auto"/>
            </w:pPr>
            <w:r w:rsidRPr="00210E85">
              <w:t>3.42*</w:t>
            </w:r>
          </w:p>
        </w:tc>
        <w:tc>
          <w:tcPr>
            <w:tcW w:w="0" w:type="auto"/>
            <w:vAlign w:val="center"/>
            <w:hideMark/>
          </w:tcPr>
          <w:p w14:paraId="4CDAC0CC" w14:textId="77777777" w:rsidR="00210E85" w:rsidRPr="00210E85" w:rsidRDefault="00210E85" w:rsidP="00210E85">
            <w:pPr>
              <w:spacing w:line="240" w:lineRule="auto"/>
            </w:pPr>
            <w:r w:rsidRPr="00210E85">
              <w:t>68.45***</w:t>
            </w:r>
          </w:p>
        </w:tc>
        <w:tc>
          <w:tcPr>
            <w:tcW w:w="0" w:type="auto"/>
            <w:vAlign w:val="center"/>
            <w:hideMark/>
          </w:tcPr>
          <w:p w14:paraId="7F23280C" w14:textId="77777777" w:rsidR="00210E85" w:rsidRPr="00210E85" w:rsidRDefault="00210E85" w:rsidP="00210E85">
            <w:pPr>
              <w:spacing w:line="240" w:lineRule="auto"/>
            </w:pPr>
            <w:r w:rsidRPr="00210E85">
              <w:t>68.45***</w:t>
            </w:r>
          </w:p>
        </w:tc>
        <w:tc>
          <w:tcPr>
            <w:tcW w:w="0" w:type="auto"/>
            <w:vAlign w:val="center"/>
            <w:hideMark/>
          </w:tcPr>
          <w:p w14:paraId="02C461AE" w14:textId="77777777" w:rsidR="00210E85" w:rsidRPr="00210E85" w:rsidRDefault="00210E85" w:rsidP="00210E85">
            <w:pPr>
              <w:spacing w:line="240" w:lineRule="auto"/>
            </w:pPr>
            <w:r w:rsidRPr="00210E85">
              <w:t>3.78*</w:t>
            </w:r>
          </w:p>
        </w:tc>
        <w:tc>
          <w:tcPr>
            <w:tcW w:w="0" w:type="auto"/>
            <w:vAlign w:val="center"/>
            <w:hideMark/>
          </w:tcPr>
          <w:p w14:paraId="42E3F381" w14:textId="77777777" w:rsidR="00210E85" w:rsidRPr="00210E85" w:rsidRDefault="00210E85" w:rsidP="00210E85">
            <w:pPr>
              <w:spacing w:line="240" w:lineRule="auto"/>
            </w:pPr>
            <w:r w:rsidRPr="00210E85">
              <w:t>1.01ns</w:t>
            </w:r>
          </w:p>
        </w:tc>
        <w:tc>
          <w:tcPr>
            <w:tcW w:w="0" w:type="auto"/>
            <w:vAlign w:val="center"/>
            <w:hideMark/>
          </w:tcPr>
          <w:p w14:paraId="3E01648C" w14:textId="77777777" w:rsidR="00210E85" w:rsidRPr="00210E85" w:rsidRDefault="00210E85" w:rsidP="00210E85">
            <w:pPr>
              <w:spacing w:line="240" w:lineRule="auto"/>
            </w:pPr>
            <w:r w:rsidRPr="00210E85">
              <w:t>18.63***</w:t>
            </w:r>
          </w:p>
        </w:tc>
        <w:tc>
          <w:tcPr>
            <w:tcW w:w="0" w:type="auto"/>
            <w:vAlign w:val="center"/>
            <w:hideMark/>
          </w:tcPr>
          <w:p w14:paraId="567B20AE" w14:textId="77777777" w:rsidR="00210E85" w:rsidRPr="00210E85" w:rsidRDefault="00210E85" w:rsidP="00210E85">
            <w:pPr>
              <w:spacing w:line="240" w:lineRule="auto"/>
            </w:pPr>
            <w:r w:rsidRPr="00210E85">
              <w:t>24.87***</w:t>
            </w:r>
          </w:p>
        </w:tc>
        <w:tc>
          <w:tcPr>
            <w:tcW w:w="0" w:type="auto"/>
            <w:vAlign w:val="center"/>
            <w:hideMark/>
          </w:tcPr>
          <w:p w14:paraId="4CA19A89" w14:textId="77777777" w:rsidR="00210E85" w:rsidRPr="00210E85" w:rsidRDefault="00210E85" w:rsidP="00210E85">
            <w:pPr>
              <w:spacing w:line="240" w:lineRule="auto"/>
            </w:pPr>
            <w:r w:rsidRPr="00210E85">
              <w:t>15.32***</w:t>
            </w:r>
          </w:p>
        </w:tc>
        <w:tc>
          <w:tcPr>
            <w:tcW w:w="0" w:type="auto"/>
            <w:vAlign w:val="center"/>
            <w:hideMark/>
          </w:tcPr>
          <w:p w14:paraId="6EB2661D" w14:textId="77777777" w:rsidR="00210E85" w:rsidRPr="00210E85" w:rsidRDefault="00210E85" w:rsidP="00210E85">
            <w:pPr>
              <w:spacing w:line="240" w:lineRule="auto"/>
            </w:pPr>
            <w:r w:rsidRPr="00210E85">
              <w:t>12.54***</w:t>
            </w:r>
          </w:p>
        </w:tc>
        <w:tc>
          <w:tcPr>
            <w:tcW w:w="0" w:type="auto"/>
            <w:vAlign w:val="center"/>
            <w:hideMark/>
          </w:tcPr>
          <w:p w14:paraId="4D045966" w14:textId="77777777" w:rsidR="00210E85" w:rsidRPr="00210E85" w:rsidRDefault="00210E85" w:rsidP="00210E85">
            <w:pPr>
              <w:spacing w:line="240" w:lineRule="auto"/>
            </w:pPr>
            <w:r w:rsidRPr="00210E85">
              <w:t>52.18***</w:t>
            </w:r>
          </w:p>
        </w:tc>
        <w:tc>
          <w:tcPr>
            <w:tcW w:w="0" w:type="auto"/>
            <w:vAlign w:val="center"/>
            <w:hideMark/>
          </w:tcPr>
          <w:p w14:paraId="3AE6896D" w14:textId="77777777" w:rsidR="00210E85" w:rsidRPr="00210E85" w:rsidRDefault="00210E85" w:rsidP="00210E85">
            <w:pPr>
              <w:spacing w:line="240" w:lineRule="auto"/>
            </w:pPr>
            <w:r w:rsidRPr="00210E85">
              <w:t>32.67***</w:t>
            </w:r>
          </w:p>
        </w:tc>
      </w:tr>
      <w:tr w:rsidR="00210E85" w:rsidRPr="00210E85" w14:paraId="7C0AF9A8" w14:textId="77777777" w:rsidTr="00817906">
        <w:trPr>
          <w:tblCellSpacing w:w="15" w:type="dxa"/>
        </w:trPr>
        <w:tc>
          <w:tcPr>
            <w:tcW w:w="0" w:type="auto"/>
            <w:vAlign w:val="center"/>
            <w:hideMark/>
          </w:tcPr>
          <w:p w14:paraId="74848B16" w14:textId="77777777" w:rsidR="00210E85" w:rsidRPr="00210E85" w:rsidRDefault="00210E85" w:rsidP="00210E85">
            <w:pPr>
              <w:spacing w:line="240" w:lineRule="auto"/>
            </w:pPr>
            <w:r w:rsidRPr="00210E85">
              <w:t>A × B</w:t>
            </w:r>
          </w:p>
        </w:tc>
        <w:tc>
          <w:tcPr>
            <w:tcW w:w="0" w:type="auto"/>
            <w:vAlign w:val="center"/>
            <w:hideMark/>
          </w:tcPr>
          <w:p w14:paraId="1BD8CA86" w14:textId="77777777" w:rsidR="00210E85" w:rsidRPr="00210E85" w:rsidRDefault="00210E85" w:rsidP="00210E85">
            <w:pPr>
              <w:spacing w:line="240" w:lineRule="auto"/>
            </w:pPr>
            <w:r w:rsidRPr="00210E85">
              <w:t>18</w:t>
            </w:r>
          </w:p>
        </w:tc>
        <w:tc>
          <w:tcPr>
            <w:tcW w:w="0" w:type="auto"/>
            <w:vAlign w:val="center"/>
            <w:hideMark/>
          </w:tcPr>
          <w:p w14:paraId="66DE3026" w14:textId="77777777" w:rsidR="00210E85" w:rsidRPr="00210E85" w:rsidRDefault="00210E85" w:rsidP="00210E85">
            <w:pPr>
              <w:spacing w:line="240" w:lineRule="auto"/>
            </w:pPr>
            <w:r w:rsidRPr="00210E85">
              <w:t>0.52ns</w:t>
            </w:r>
          </w:p>
        </w:tc>
        <w:tc>
          <w:tcPr>
            <w:tcW w:w="0" w:type="auto"/>
            <w:vAlign w:val="center"/>
            <w:hideMark/>
          </w:tcPr>
          <w:p w14:paraId="74EA07DB" w14:textId="77777777" w:rsidR="00210E85" w:rsidRPr="00210E85" w:rsidRDefault="00210E85" w:rsidP="00210E85">
            <w:pPr>
              <w:spacing w:line="240" w:lineRule="auto"/>
            </w:pPr>
            <w:r w:rsidRPr="00210E85">
              <w:t>0.48ns</w:t>
            </w:r>
          </w:p>
        </w:tc>
        <w:tc>
          <w:tcPr>
            <w:tcW w:w="0" w:type="auto"/>
            <w:vAlign w:val="center"/>
            <w:hideMark/>
          </w:tcPr>
          <w:p w14:paraId="513C4588" w14:textId="77777777" w:rsidR="00210E85" w:rsidRPr="00210E85" w:rsidRDefault="00210E85" w:rsidP="00210E85">
            <w:pPr>
              <w:spacing w:line="240" w:lineRule="auto"/>
            </w:pPr>
            <w:r w:rsidRPr="00210E85">
              <w:t>1.24ns</w:t>
            </w:r>
          </w:p>
        </w:tc>
        <w:tc>
          <w:tcPr>
            <w:tcW w:w="0" w:type="auto"/>
            <w:vAlign w:val="center"/>
            <w:hideMark/>
          </w:tcPr>
          <w:p w14:paraId="10445EAE" w14:textId="77777777" w:rsidR="00210E85" w:rsidRPr="00210E85" w:rsidRDefault="00210E85" w:rsidP="00210E85">
            <w:pPr>
              <w:spacing w:line="240" w:lineRule="auto"/>
            </w:pPr>
            <w:r w:rsidRPr="00210E85">
              <w:t>0.92ns</w:t>
            </w:r>
          </w:p>
        </w:tc>
        <w:tc>
          <w:tcPr>
            <w:tcW w:w="0" w:type="auto"/>
            <w:vAlign w:val="center"/>
            <w:hideMark/>
          </w:tcPr>
          <w:p w14:paraId="29F0FEBF" w14:textId="77777777" w:rsidR="00210E85" w:rsidRPr="00210E85" w:rsidRDefault="00210E85" w:rsidP="00210E85">
            <w:pPr>
              <w:spacing w:line="240" w:lineRule="auto"/>
            </w:pPr>
            <w:r w:rsidRPr="00210E85">
              <w:t>0.78ns</w:t>
            </w:r>
          </w:p>
        </w:tc>
        <w:tc>
          <w:tcPr>
            <w:tcW w:w="0" w:type="auto"/>
            <w:vAlign w:val="center"/>
            <w:hideMark/>
          </w:tcPr>
          <w:p w14:paraId="1D69AE72" w14:textId="77777777" w:rsidR="00210E85" w:rsidRPr="00210E85" w:rsidRDefault="00210E85" w:rsidP="00210E85">
            <w:pPr>
              <w:spacing w:line="240" w:lineRule="auto"/>
            </w:pPr>
            <w:r w:rsidRPr="00210E85">
              <w:t>0.78ns</w:t>
            </w:r>
          </w:p>
        </w:tc>
        <w:tc>
          <w:tcPr>
            <w:tcW w:w="0" w:type="auto"/>
            <w:vAlign w:val="center"/>
            <w:hideMark/>
          </w:tcPr>
          <w:p w14:paraId="7A5602B5" w14:textId="77777777" w:rsidR="00210E85" w:rsidRPr="00210E85" w:rsidRDefault="00210E85" w:rsidP="00210E85">
            <w:pPr>
              <w:spacing w:line="240" w:lineRule="auto"/>
            </w:pPr>
            <w:r w:rsidRPr="00210E85">
              <w:t>0.12ns</w:t>
            </w:r>
          </w:p>
        </w:tc>
        <w:tc>
          <w:tcPr>
            <w:tcW w:w="0" w:type="auto"/>
            <w:vAlign w:val="center"/>
            <w:hideMark/>
          </w:tcPr>
          <w:p w14:paraId="50B2DBE7" w14:textId="77777777" w:rsidR="00210E85" w:rsidRPr="00210E85" w:rsidRDefault="00210E85" w:rsidP="00210E85">
            <w:pPr>
              <w:spacing w:line="240" w:lineRule="auto"/>
            </w:pPr>
            <w:r w:rsidRPr="00210E85">
              <w:t>0.98ns</w:t>
            </w:r>
          </w:p>
        </w:tc>
        <w:tc>
          <w:tcPr>
            <w:tcW w:w="0" w:type="auto"/>
            <w:vAlign w:val="center"/>
            <w:hideMark/>
          </w:tcPr>
          <w:p w14:paraId="78AB1A63" w14:textId="77777777" w:rsidR="00210E85" w:rsidRPr="00210E85" w:rsidRDefault="00210E85" w:rsidP="00210E85">
            <w:pPr>
              <w:spacing w:line="240" w:lineRule="auto"/>
            </w:pPr>
            <w:r w:rsidRPr="00210E85">
              <w:t>0.94ns</w:t>
            </w:r>
          </w:p>
        </w:tc>
        <w:tc>
          <w:tcPr>
            <w:tcW w:w="0" w:type="auto"/>
            <w:vAlign w:val="center"/>
            <w:hideMark/>
          </w:tcPr>
          <w:p w14:paraId="57203044" w14:textId="77777777" w:rsidR="00210E85" w:rsidRPr="00210E85" w:rsidRDefault="00210E85" w:rsidP="00210E85">
            <w:pPr>
              <w:spacing w:line="240" w:lineRule="auto"/>
            </w:pPr>
            <w:r w:rsidRPr="00210E85">
              <w:t>1.02ns</w:t>
            </w:r>
          </w:p>
        </w:tc>
        <w:tc>
          <w:tcPr>
            <w:tcW w:w="0" w:type="auto"/>
            <w:vAlign w:val="center"/>
            <w:hideMark/>
          </w:tcPr>
          <w:p w14:paraId="08E8748D" w14:textId="77777777" w:rsidR="00210E85" w:rsidRPr="00210E85" w:rsidRDefault="00210E85" w:rsidP="00210E85">
            <w:pPr>
              <w:spacing w:line="240" w:lineRule="auto"/>
            </w:pPr>
            <w:r w:rsidRPr="00210E85">
              <w:t>0.65ns</w:t>
            </w:r>
          </w:p>
        </w:tc>
        <w:tc>
          <w:tcPr>
            <w:tcW w:w="0" w:type="auto"/>
            <w:vAlign w:val="center"/>
            <w:hideMark/>
          </w:tcPr>
          <w:p w14:paraId="58CC0283" w14:textId="77777777" w:rsidR="00210E85" w:rsidRPr="00210E85" w:rsidRDefault="00210E85" w:rsidP="00210E85">
            <w:pPr>
              <w:spacing w:line="240" w:lineRule="auto"/>
            </w:pPr>
            <w:r w:rsidRPr="00210E85">
              <w:t>0.96ns</w:t>
            </w:r>
          </w:p>
        </w:tc>
        <w:tc>
          <w:tcPr>
            <w:tcW w:w="0" w:type="auto"/>
            <w:vAlign w:val="center"/>
            <w:hideMark/>
          </w:tcPr>
          <w:p w14:paraId="25894BC2" w14:textId="77777777" w:rsidR="00210E85" w:rsidRPr="00210E85" w:rsidRDefault="00210E85" w:rsidP="00210E85">
            <w:pPr>
              <w:spacing w:line="240" w:lineRule="auto"/>
            </w:pPr>
            <w:r w:rsidRPr="00210E85">
              <w:t>1.68ns</w:t>
            </w:r>
          </w:p>
        </w:tc>
        <w:tc>
          <w:tcPr>
            <w:tcW w:w="0" w:type="auto"/>
            <w:vAlign w:val="center"/>
            <w:hideMark/>
          </w:tcPr>
          <w:p w14:paraId="1F2C2819" w14:textId="77777777" w:rsidR="00210E85" w:rsidRPr="00210E85" w:rsidRDefault="00210E85" w:rsidP="00210E85">
            <w:pPr>
              <w:spacing w:line="240" w:lineRule="auto"/>
            </w:pPr>
            <w:r w:rsidRPr="00210E85">
              <w:t>0.97ns</w:t>
            </w:r>
          </w:p>
        </w:tc>
      </w:tr>
      <w:tr w:rsidR="00210E85" w:rsidRPr="00210E85" w14:paraId="097050BF" w14:textId="77777777" w:rsidTr="00817906">
        <w:trPr>
          <w:tblCellSpacing w:w="15" w:type="dxa"/>
        </w:trPr>
        <w:tc>
          <w:tcPr>
            <w:tcW w:w="0" w:type="auto"/>
            <w:vAlign w:val="center"/>
            <w:hideMark/>
          </w:tcPr>
          <w:p w14:paraId="4C18932C" w14:textId="77777777" w:rsidR="00210E85" w:rsidRPr="00210E85" w:rsidRDefault="00210E85" w:rsidP="00210E85">
            <w:pPr>
              <w:spacing w:line="240" w:lineRule="auto"/>
            </w:pPr>
            <w:r w:rsidRPr="00210E85">
              <w:t>Residual</w:t>
            </w:r>
          </w:p>
        </w:tc>
        <w:tc>
          <w:tcPr>
            <w:tcW w:w="0" w:type="auto"/>
            <w:vAlign w:val="center"/>
            <w:hideMark/>
          </w:tcPr>
          <w:p w14:paraId="65D2E39C" w14:textId="77777777" w:rsidR="00210E85" w:rsidRPr="00210E85" w:rsidRDefault="00210E85" w:rsidP="00210E85">
            <w:pPr>
              <w:spacing w:line="240" w:lineRule="auto"/>
            </w:pPr>
            <w:r w:rsidRPr="00210E85">
              <w:t>56</w:t>
            </w:r>
          </w:p>
        </w:tc>
        <w:tc>
          <w:tcPr>
            <w:tcW w:w="0" w:type="auto"/>
            <w:vAlign w:val="center"/>
            <w:hideMark/>
          </w:tcPr>
          <w:p w14:paraId="6672D5B3" w14:textId="77777777" w:rsidR="00210E85" w:rsidRPr="00210E85" w:rsidRDefault="00210E85" w:rsidP="00210E85">
            <w:pPr>
              <w:spacing w:line="240" w:lineRule="auto"/>
            </w:pPr>
            <w:r w:rsidRPr="00210E85">
              <w:t>—</w:t>
            </w:r>
          </w:p>
        </w:tc>
        <w:tc>
          <w:tcPr>
            <w:tcW w:w="0" w:type="auto"/>
            <w:vAlign w:val="center"/>
            <w:hideMark/>
          </w:tcPr>
          <w:p w14:paraId="5E7D21CC" w14:textId="77777777" w:rsidR="00210E85" w:rsidRPr="00210E85" w:rsidRDefault="00210E85" w:rsidP="00210E85">
            <w:pPr>
              <w:spacing w:line="240" w:lineRule="auto"/>
            </w:pPr>
            <w:r w:rsidRPr="00210E85">
              <w:t>—</w:t>
            </w:r>
          </w:p>
        </w:tc>
        <w:tc>
          <w:tcPr>
            <w:tcW w:w="0" w:type="auto"/>
            <w:vAlign w:val="center"/>
            <w:hideMark/>
          </w:tcPr>
          <w:p w14:paraId="01866CEC" w14:textId="77777777" w:rsidR="00210E85" w:rsidRPr="00210E85" w:rsidRDefault="00210E85" w:rsidP="00210E85">
            <w:pPr>
              <w:spacing w:line="240" w:lineRule="auto"/>
            </w:pPr>
            <w:r w:rsidRPr="00210E85">
              <w:t>—</w:t>
            </w:r>
          </w:p>
        </w:tc>
        <w:tc>
          <w:tcPr>
            <w:tcW w:w="0" w:type="auto"/>
            <w:vAlign w:val="center"/>
            <w:hideMark/>
          </w:tcPr>
          <w:p w14:paraId="1D0D5D19" w14:textId="77777777" w:rsidR="00210E85" w:rsidRPr="00210E85" w:rsidRDefault="00210E85" w:rsidP="00210E85">
            <w:pPr>
              <w:spacing w:line="240" w:lineRule="auto"/>
            </w:pPr>
            <w:r w:rsidRPr="00210E85">
              <w:t>—</w:t>
            </w:r>
          </w:p>
        </w:tc>
        <w:tc>
          <w:tcPr>
            <w:tcW w:w="0" w:type="auto"/>
            <w:vAlign w:val="center"/>
            <w:hideMark/>
          </w:tcPr>
          <w:p w14:paraId="24B946E0" w14:textId="77777777" w:rsidR="00210E85" w:rsidRPr="00210E85" w:rsidRDefault="00210E85" w:rsidP="00210E85">
            <w:pPr>
              <w:spacing w:line="240" w:lineRule="auto"/>
            </w:pPr>
            <w:r w:rsidRPr="00210E85">
              <w:t>—</w:t>
            </w:r>
          </w:p>
        </w:tc>
        <w:tc>
          <w:tcPr>
            <w:tcW w:w="0" w:type="auto"/>
            <w:vAlign w:val="center"/>
            <w:hideMark/>
          </w:tcPr>
          <w:p w14:paraId="72E0C697" w14:textId="77777777" w:rsidR="00210E85" w:rsidRPr="00210E85" w:rsidRDefault="00210E85" w:rsidP="00210E85">
            <w:pPr>
              <w:spacing w:line="240" w:lineRule="auto"/>
            </w:pPr>
            <w:r w:rsidRPr="00210E85">
              <w:t>—</w:t>
            </w:r>
          </w:p>
        </w:tc>
        <w:tc>
          <w:tcPr>
            <w:tcW w:w="0" w:type="auto"/>
            <w:vAlign w:val="center"/>
            <w:hideMark/>
          </w:tcPr>
          <w:p w14:paraId="342F94CA" w14:textId="77777777" w:rsidR="00210E85" w:rsidRPr="00210E85" w:rsidRDefault="00210E85" w:rsidP="00210E85">
            <w:pPr>
              <w:spacing w:line="240" w:lineRule="auto"/>
            </w:pPr>
            <w:r w:rsidRPr="00210E85">
              <w:t>—</w:t>
            </w:r>
          </w:p>
        </w:tc>
        <w:tc>
          <w:tcPr>
            <w:tcW w:w="0" w:type="auto"/>
            <w:vAlign w:val="center"/>
            <w:hideMark/>
          </w:tcPr>
          <w:p w14:paraId="206BEA44" w14:textId="77777777" w:rsidR="00210E85" w:rsidRPr="00210E85" w:rsidRDefault="00210E85" w:rsidP="00210E85">
            <w:pPr>
              <w:spacing w:line="240" w:lineRule="auto"/>
            </w:pPr>
            <w:r w:rsidRPr="00210E85">
              <w:t>—</w:t>
            </w:r>
          </w:p>
        </w:tc>
        <w:tc>
          <w:tcPr>
            <w:tcW w:w="0" w:type="auto"/>
            <w:vAlign w:val="center"/>
            <w:hideMark/>
          </w:tcPr>
          <w:p w14:paraId="67070738" w14:textId="77777777" w:rsidR="00210E85" w:rsidRPr="00210E85" w:rsidRDefault="00210E85" w:rsidP="00210E85">
            <w:pPr>
              <w:spacing w:line="240" w:lineRule="auto"/>
            </w:pPr>
            <w:r w:rsidRPr="00210E85">
              <w:t>—</w:t>
            </w:r>
          </w:p>
        </w:tc>
        <w:tc>
          <w:tcPr>
            <w:tcW w:w="0" w:type="auto"/>
            <w:vAlign w:val="center"/>
            <w:hideMark/>
          </w:tcPr>
          <w:p w14:paraId="13ACEB5A" w14:textId="77777777" w:rsidR="00210E85" w:rsidRPr="00210E85" w:rsidRDefault="00210E85" w:rsidP="00210E85">
            <w:pPr>
              <w:spacing w:line="240" w:lineRule="auto"/>
            </w:pPr>
            <w:r w:rsidRPr="00210E85">
              <w:t>—</w:t>
            </w:r>
          </w:p>
        </w:tc>
        <w:tc>
          <w:tcPr>
            <w:tcW w:w="0" w:type="auto"/>
            <w:vAlign w:val="center"/>
            <w:hideMark/>
          </w:tcPr>
          <w:p w14:paraId="6BCDA6C5" w14:textId="77777777" w:rsidR="00210E85" w:rsidRPr="00210E85" w:rsidRDefault="00210E85" w:rsidP="00210E85">
            <w:pPr>
              <w:spacing w:line="240" w:lineRule="auto"/>
            </w:pPr>
            <w:r w:rsidRPr="00210E85">
              <w:t>—</w:t>
            </w:r>
          </w:p>
        </w:tc>
        <w:tc>
          <w:tcPr>
            <w:tcW w:w="0" w:type="auto"/>
            <w:vAlign w:val="center"/>
            <w:hideMark/>
          </w:tcPr>
          <w:p w14:paraId="4B83D3EB" w14:textId="77777777" w:rsidR="00210E85" w:rsidRPr="00210E85" w:rsidRDefault="00210E85" w:rsidP="00210E85">
            <w:pPr>
              <w:spacing w:line="240" w:lineRule="auto"/>
            </w:pPr>
            <w:r w:rsidRPr="00210E85">
              <w:t>—</w:t>
            </w:r>
          </w:p>
        </w:tc>
        <w:tc>
          <w:tcPr>
            <w:tcW w:w="0" w:type="auto"/>
            <w:vAlign w:val="center"/>
            <w:hideMark/>
          </w:tcPr>
          <w:p w14:paraId="1B65BE0F" w14:textId="77777777" w:rsidR="00210E85" w:rsidRPr="00210E85" w:rsidRDefault="00210E85" w:rsidP="00210E85">
            <w:pPr>
              <w:spacing w:line="240" w:lineRule="auto"/>
            </w:pPr>
            <w:r w:rsidRPr="00210E85">
              <w:t>—</w:t>
            </w:r>
          </w:p>
        </w:tc>
        <w:tc>
          <w:tcPr>
            <w:tcW w:w="0" w:type="auto"/>
            <w:vAlign w:val="center"/>
            <w:hideMark/>
          </w:tcPr>
          <w:p w14:paraId="2938F734" w14:textId="77777777" w:rsidR="00210E85" w:rsidRPr="00210E85" w:rsidRDefault="00210E85" w:rsidP="00210E85">
            <w:pPr>
              <w:spacing w:line="240" w:lineRule="auto"/>
            </w:pPr>
            <w:r w:rsidRPr="00210E85">
              <w:t>—</w:t>
            </w:r>
          </w:p>
        </w:tc>
      </w:tr>
      <w:tr w:rsidR="00210E85" w:rsidRPr="00210E85" w14:paraId="5651D173" w14:textId="77777777" w:rsidTr="00817906">
        <w:trPr>
          <w:tblCellSpacing w:w="15" w:type="dxa"/>
        </w:trPr>
        <w:tc>
          <w:tcPr>
            <w:tcW w:w="0" w:type="auto"/>
            <w:vAlign w:val="center"/>
            <w:hideMark/>
          </w:tcPr>
          <w:p w14:paraId="34D67479" w14:textId="77777777" w:rsidR="00210E85" w:rsidRPr="00210E85" w:rsidRDefault="00210E85" w:rsidP="00210E85">
            <w:pPr>
              <w:spacing w:line="240" w:lineRule="auto"/>
            </w:pPr>
            <w:r w:rsidRPr="00210E85">
              <w:t>CV (%)</w:t>
            </w:r>
          </w:p>
        </w:tc>
        <w:tc>
          <w:tcPr>
            <w:tcW w:w="0" w:type="auto"/>
            <w:vAlign w:val="center"/>
            <w:hideMark/>
          </w:tcPr>
          <w:p w14:paraId="223F0B91" w14:textId="77777777" w:rsidR="00210E85" w:rsidRPr="00210E85" w:rsidRDefault="00210E85" w:rsidP="00210E85">
            <w:pPr>
              <w:spacing w:line="240" w:lineRule="auto"/>
            </w:pPr>
          </w:p>
        </w:tc>
        <w:tc>
          <w:tcPr>
            <w:tcW w:w="0" w:type="auto"/>
            <w:vAlign w:val="center"/>
            <w:hideMark/>
          </w:tcPr>
          <w:p w14:paraId="67AB89B2" w14:textId="77777777" w:rsidR="00210E85" w:rsidRPr="00210E85" w:rsidRDefault="00210E85" w:rsidP="00210E85">
            <w:pPr>
              <w:spacing w:line="240" w:lineRule="auto"/>
            </w:pPr>
            <w:r w:rsidRPr="00210E85">
              <w:t>12.4</w:t>
            </w:r>
          </w:p>
        </w:tc>
        <w:tc>
          <w:tcPr>
            <w:tcW w:w="0" w:type="auto"/>
            <w:vAlign w:val="center"/>
            <w:hideMark/>
          </w:tcPr>
          <w:p w14:paraId="3ACE7191" w14:textId="77777777" w:rsidR="00210E85" w:rsidRPr="00210E85" w:rsidRDefault="00210E85" w:rsidP="00210E85">
            <w:pPr>
              <w:spacing w:line="240" w:lineRule="auto"/>
            </w:pPr>
            <w:r w:rsidRPr="00210E85">
              <w:t>18.6</w:t>
            </w:r>
          </w:p>
        </w:tc>
        <w:tc>
          <w:tcPr>
            <w:tcW w:w="0" w:type="auto"/>
            <w:vAlign w:val="center"/>
            <w:hideMark/>
          </w:tcPr>
          <w:p w14:paraId="1CE7A3D7" w14:textId="77777777" w:rsidR="00210E85" w:rsidRPr="00210E85" w:rsidRDefault="00210E85" w:rsidP="00210E85">
            <w:pPr>
              <w:spacing w:line="240" w:lineRule="auto"/>
            </w:pPr>
            <w:r w:rsidRPr="00210E85">
              <w:t>22.3</w:t>
            </w:r>
          </w:p>
        </w:tc>
        <w:tc>
          <w:tcPr>
            <w:tcW w:w="0" w:type="auto"/>
            <w:vAlign w:val="center"/>
            <w:hideMark/>
          </w:tcPr>
          <w:p w14:paraId="7D85329D" w14:textId="77777777" w:rsidR="00210E85" w:rsidRPr="00210E85" w:rsidRDefault="00210E85" w:rsidP="00210E85">
            <w:pPr>
              <w:spacing w:line="240" w:lineRule="auto"/>
            </w:pPr>
            <w:r w:rsidRPr="00210E85">
              <w:t>15.8</w:t>
            </w:r>
          </w:p>
        </w:tc>
        <w:tc>
          <w:tcPr>
            <w:tcW w:w="0" w:type="auto"/>
            <w:vAlign w:val="center"/>
            <w:hideMark/>
          </w:tcPr>
          <w:p w14:paraId="79F3A41F" w14:textId="77777777" w:rsidR="00210E85" w:rsidRPr="00210E85" w:rsidRDefault="00210E85" w:rsidP="00210E85">
            <w:pPr>
              <w:spacing w:line="240" w:lineRule="auto"/>
            </w:pPr>
            <w:r w:rsidRPr="00210E85">
              <w:t>8.5</w:t>
            </w:r>
          </w:p>
        </w:tc>
        <w:tc>
          <w:tcPr>
            <w:tcW w:w="0" w:type="auto"/>
            <w:vAlign w:val="center"/>
            <w:hideMark/>
          </w:tcPr>
          <w:p w14:paraId="12EC3978" w14:textId="77777777" w:rsidR="00210E85" w:rsidRPr="00210E85" w:rsidRDefault="00210E85" w:rsidP="00210E85">
            <w:pPr>
              <w:spacing w:line="240" w:lineRule="auto"/>
            </w:pPr>
            <w:r w:rsidRPr="00210E85">
              <w:t>8.5</w:t>
            </w:r>
          </w:p>
        </w:tc>
        <w:tc>
          <w:tcPr>
            <w:tcW w:w="0" w:type="auto"/>
            <w:vAlign w:val="center"/>
            <w:hideMark/>
          </w:tcPr>
          <w:p w14:paraId="0B655BFB" w14:textId="77777777" w:rsidR="00210E85" w:rsidRPr="00210E85" w:rsidRDefault="00210E85" w:rsidP="00210E85">
            <w:pPr>
              <w:spacing w:line="240" w:lineRule="auto"/>
            </w:pPr>
            <w:r w:rsidRPr="00210E85">
              <w:t>45.2</w:t>
            </w:r>
          </w:p>
        </w:tc>
        <w:tc>
          <w:tcPr>
            <w:tcW w:w="0" w:type="auto"/>
            <w:vAlign w:val="center"/>
            <w:hideMark/>
          </w:tcPr>
          <w:p w14:paraId="4A86662E" w14:textId="77777777" w:rsidR="00210E85" w:rsidRPr="00210E85" w:rsidRDefault="00210E85" w:rsidP="00210E85">
            <w:pPr>
              <w:spacing w:line="240" w:lineRule="auto"/>
            </w:pPr>
            <w:r w:rsidRPr="00210E85">
              <w:t>14.6</w:t>
            </w:r>
          </w:p>
        </w:tc>
        <w:tc>
          <w:tcPr>
            <w:tcW w:w="0" w:type="auto"/>
            <w:vAlign w:val="center"/>
            <w:hideMark/>
          </w:tcPr>
          <w:p w14:paraId="210ABCD1" w14:textId="77777777" w:rsidR="00210E85" w:rsidRPr="00210E85" w:rsidRDefault="00210E85" w:rsidP="00210E85">
            <w:pPr>
              <w:spacing w:line="240" w:lineRule="auto"/>
            </w:pPr>
            <w:r w:rsidRPr="00210E85">
              <w:t>16.8</w:t>
            </w:r>
          </w:p>
        </w:tc>
        <w:tc>
          <w:tcPr>
            <w:tcW w:w="0" w:type="auto"/>
            <w:vAlign w:val="center"/>
            <w:hideMark/>
          </w:tcPr>
          <w:p w14:paraId="33FA6A0E" w14:textId="77777777" w:rsidR="00210E85" w:rsidRPr="00210E85" w:rsidRDefault="00210E85" w:rsidP="00210E85">
            <w:pPr>
              <w:spacing w:line="240" w:lineRule="auto"/>
            </w:pPr>
            <w:r w:rsidRPr="00210E85">
              <w:t>12.3</w:t>
            </w:r>
          </w:p>
        </w:tc>
        <w:tc>
          <w:tcPr>
            <w:tcW w:w="0" w:type="auto"/>
            <w:vAlign w:val="center"/>
            <w:hideMark/>
          </w:tcPr>
          <w:p w14:paraId="28C3638B" w14:textId="77777777" w:rsidR="00210E85" w:rsidRPr="00210E85" w:rsidRDefault="00210E85" w:rsidP="00210E85">
            <w:pPr>
              <w:spacing w:line="240" w:lineRule="auto"/>
            </w:pPr>
            <w:r w:rsidRPr="00210E85">
              <w:t>18.5</w:t>
            </w:r>
          </w:p>
        </w:tc>
        <w:tc>
          <w:tcPr>
            <w:tcW w:w="0" w:type="auto"/>
            <w:vAlign w:val="center"/>
            <w:hideMark/>
          </w:tcPr>
          <w:p w14:paraId="6ACE97C5" w14:textId="77777777" w:rsidR="00210E85" w:rsidRPr="00210E85" w:rsidRDefault="00210E85" w:rsidP="00210E85">
            <w:pPr>
              <w:spacing w:line="240" w:lineRule="auto"/>
            </w:pPr>
            <w:r w:rsidRPr="00210E85">
              <w:t>15.2</w:t>
            </w:r>
          </w:p>
        </w:tc>
        <w:tc>
          <w:tcPr>
            <w:tcW w:w="0" w:type="auto"/>
            <w:vAlign w:val="center"/>
            <w:hideMark/>
          </w:tcPr>
          <w:p w14:paraId="12A15D53" w14:textId="77777777" w:rsidR="00210E85" w:rsidRPr="00210E85" w:rsidRDefault="00210E85" w:rsidP="00210E85">
            <w:pPr>
              <w:spacing w:line="240" w:lineRule="auto"/>
            </w:pPr>
            <w:r w:rsidRPr="00210E85">
              <w:t>11.4</w:t>
            </w:r>
          </w:p>
        </w:tc>
        <w:tc>
          <w:tcPr>
            <w:tcW w:w="0" w:type="auto"/>
            <w:vAlign w:val="center"/>
            <w:hideMark/>
          </w:tcPr>
          <w:p w14:paraId="5385FD43" w14:textId="77777777" w:rsidR="00210E85" w:rsidRPr="00210E85" w:rsidRDefault="00210E85" w:rsidP="00210E85">
            <w:pPr>
              <w:spacing w:line="240" w:lineRule="auto"/>
            </w:pPr>
            <w:r w:rsidRPr="00210E85">
              <w:t>14.8</w:t>
            </w:r>
          </w:p>
        </w:tc>
      </w:tr>
    </w:tbl>
    <w:p w14:paraId="0A604425" w14:textId="19D97287" w:rsidR="00210E85" w:rsidRPr="009B366E" w:rsidRDefault="00210E85" w:rsidP="00210E85">
      <w:pPr>
        <w:spacing w:before="150" w:line="276" w:lineRule="auto"/>
        <w:jc w:val="both"/>
        <w:rPr>
          <w:rFonts w:ascii="Arial" w:hAnsi="Arial" w:cs="Arial"/>
          <w:sz w:val="22"/>
          <w:szCs w:val="22"/>
        </w:rPr>
      </w:pPr>
      <w:r w:rsidRPr="00210E85">
        <w:t>ns = not significant (P &gt; 0.05); * = significant at P ≤ 0.05; ** = significant at P ≤ 0.01; *** = significant at P ≤ 0.001</w:t>
      </w:r>
      <w:r>
        <w:t xml:space="preserve">; </w:t>
      </w:r>
      <w:r w:rsidRPr="00210E85">
        <w:t>Df = Degrees of freedom; CV = Coefficient of variation; Germ. = Germination; Cum. = Cumulative; wt. = weight</w:t>
      </w:r>
      <w:r>
        <w:t>.</w:t>
      </w:r>
      <w:r w:rsidRPr="00210E85">
        <w:rPr>
          <w:rFonts w:ascii="Arial" w:hAnsi="Arial" w:cs="Arial"/>
          <w:sz w:val="22"/>
          <w:szCs w:val="22"/>
        </w:rPr>
        <w:t xml:space="preserve"> </w:t>
      </w:r>
      <w:r w:rsidRPr="009B366E">
        <w:rPr>
          <w:rFonts w:ascii="Arial" w:hAnsi="Arial" w:cs="Arial"/>
          <w:sz w:val="22"/>
          <w:szCs w:val="22"/>
        </w:rPr>
        <w:t xml:space="preserve">Means were compared using Tukey's </w:t>
      </w:r>
      <w:r>
        <w:rPr>
          <w:rFonts w:ascii="Arial" w:hAnsi="Arial" w:cs="Arial"/>
          <w:sz w:val="22"/>
          <w:szCs w:val="22"/>
        </w:rPr>
        <w:t>honest</w:t>
      </w:r>
      <w:r w:rsidRPr="009B366E">
        <w:rPr>
          <w:rFonts w:ascii="Arial" w:hAnsi="Arial" w:cs="Arial"/>
          <w:sz w:val="22"/>
          <w:szCs w:val="22"/>
        </w:rPr>
        <w:t xml:space="preserve"> significant difference (HSD) test at α&lt;0.05.</w:t>
      </w:r>
    </w:p>
    <w:p w14:paraId="09892FC3" w14:textId="68C1E7A3" w:rsidR="00210E85" w:rsidRPr="00210E85" w:rsidRDefault="00210E85" w:rsidP="00210E85">
      <w:pPr>
        <w:spacing w:before="100" w:beforeAutospacing="1" w:after="100" w:afterAutospacing="1" w:line="240" w:lineRule="auto"/>
      </w:pPr>
    </w:p>
    <w:p w14:paraId="36176112" w14:textId="6D2B4EBB" w:rsidR="00210E85" w:rsidRDefault="00210E85" w:rsidP="00210E85">
      <w:pPr>
        <w:rPr>
          <w:rFonts w:ascii="Arial" w:hAnsi="Arial" w:cs="Arial"/>
          <w:sz w:val="22"/>
          <w:szCs w:val="22"/>
        </w:rPr>
      </w:pPr>
    </w:p>
    <w:p w14:paraId="31784655" w14:textId="6E2F0205" w:rsidR="00210E85" w:rsidRDefault="00210E85" w:rsidP="00210E85">
      <w:pPr>
        <w:rPr>
          <w:rFonts w:ascii="Arial" w:hAnsi="Arial" w:cs="Arial"/>
          <w:sz w:val="22"/>
          <w:szCs w:val="22"/>
        </w:rPr>
      </w:pPr>
    </w:p>
    <w:p w14:paraId="1C6D5D2D" w14:textId="77777777" w:rsidR="00073435" w:rsidRPr="00210E85" w:rsidRDefault="00073435" w:rsidP="00210E85">
      <w:pPr>
        <w:rPr>
          <w:rFonts w:ascii="Arial" w:hAnsi="Arial" w:cs="Arial"/>
          <w:sz w:val="22"/>
          <w:szCs w:val="22"/>
        </w:rPr>
        <w:sectPr w:rsidR="00073435" w:rsidRPr="00210E85">
          <w:pgSz w:w="16838" w:h="11906" w:orient="landscape"/>
          <w:pgMar w:top="720" w:right="500" w:bottom="720" w:left="500" w:header="708" w:footer="708" w:gutter="0"/>
          <w:cols w:space="720"/>
          <w:docGrid w:linePitch="360"/>
        </w:sectPr>
      </w:pPr>
    </w:p>
    <w:p w14:paraId="0E03ACC1" w14:textId="795E0DD5" w:rsidR="00902E55" w:rsidRPr="00902E55" w:rsidRDefault="00817906" w:rsidP="003A422C">
      <w:pPr>
        <w:spacing w:line="276" w:lineRule="auto"/>
        <w:rPr>
          <w:rFonts w:ascii="Arial" w:eastAsia="Arial" w:hAnsi="Arial" w:cs="Arial"/>
          <w:sz w:val="22"/>
          <w:szCs w:val="22"/>
        </w:rPr>
      </w:pPr>
      <w:r>
        <w:rPr>
          <w:rFonts w:ascii="Arial" w:eastAsia="Arial" w:hAnsi="Arial" w:cs="Arial"/>
          <w:b/>
          <w:bCs/>
          <w:sz w:val="22"/>
          <w:szCs w:val="22"/>
        </w:rPr>
        <w:lastRenderedPageBreak/>
        <w:t xml:space="preserve">4. </w:t>
      </w:r>
      <w:r w:rsidR="00902E55" w:rsidRPr="00902E55">
        <w:rPr>
          <w:rFonts w:ascii="Arial" w:eastAsia="Arial" w:hAnsi="Arial" w:cs="Arial"/>
          <w:b/>
          <w:bCs/>
          <w:sz w:val="22"/>
          <w:szCs w:val="22"/>
        </w:rPr>
        <w:t>DISCUSSION</w:t>
      </w:r>
    </w:p>
    <w:p w14:paraId="3E0731B2" w14:textId="77777777" w:rsidR="00902E55" w:rsidRPr="00902E55" w:rsidRDefault="00902E55" w:rsidP="003A422C">
      <w:pPr>
        <w:spacing w:line="276" w:lineRule="auto"/>
        <w:outlineLvl w:val="0"/>
        <w:rPr>
          <w:rFonts w:ascii="Arial" w:eastAsia="Arial" w:hAnsi="Arial" w:cs="Arial"/>
          <w:b/>
          <w:bCs/>
          <w:color w:val="000000"/>
          <w:sz w:val="22"/>
          <w:szCs w:val="22"/>
        </w:rPr>
      </w:pPr>
      <w:r w:rsidRPr="00902E55">
        <w:rPr>
          <w:rFonts w:ascii="Arial" w:eastAsia="Arial" w:hAnsi="Arial" w:cs="Arial"/>
          <w:b/>
          <w:bCs/>
          <w:color w:val="000000"/>
          <w:sz w:val="22"/>
          <w:szCs w:val="22"/>
        </w:rPr>
        <w:t>4.1 Salinity Effects on Germination Parameters</w:t>
      </w:r>
    </w:p>
    <w:p w14:paraId="1881CF9A" w14:textId="26D50C3E" w:rsidR="00D56226" w:rsidRDefault="00362BF6" w:rsidP="001865B7">
      <w:pPr>
        <w:spacing w:line="276" w:lineRule="auto"/>
        <w:jc w:val="both"/>
        <w:rPr>
          <w:rFonts w:ascii="Arial" w:eastAsia="Arial" w:hAnsi="Arial" w:cs="Arial"/>
          <w:sz w:val="22"/>
          <w:szCs w:val="22"/>
        </w:rPr>
      </w:pPr>
      <w:r>
        <w:rPr>
          <w:rFonts w:ascii="Arial" w:eastAsia="Arial" w:hAnsi="Arial" w:cs="Arial"/>
          <w:sz w:val="22"/>
          <w:szCs w:val="22"/>
        </w:rPr>
        <w:t xml:space="preserve">Salt stress markedly reduced seed germination in all seven common bean varieties studied. The shift from nearly complete germination under control conditions to much lower rates at 150 mM NaCl highlights a critical threshold that threatens crop establishment in saline environments. This decrease emphasizes the vulnerability of biofortified common beans during this essential growth stage. The germination impairment suggests fundamental limitations that could challenge the adoption of these nutritionally enhanced varieties in salt-affected areas, where they are most needed. </w:t>
      </w:r>
    </w:p>
    <w:p w14:paraId="4FD15FF4" w14:textId="63BC5493" w:rsidR="00D56226" w:rsidRDefault="00A150D3" w:rsidP="00902E55">
      <w:pPr>
        <w:spacing w:after="200" w:line="240" w:lineRule="auto"/>
        <w:jc w:val="both"/>
        <w:rPr>
          <w:rFonts w:ascii="Arial" w:eastAsia="Arial" w:hAnsi="Arial" w:cs="Arial"/>
          <w:sz w:val="22"/>
          <w:szCs w:val="22"/>
        </w:rPr>
      </w:pPr>
      <w:r>
        <w:rPr>
          <w:rFonts w:ascii="Arial" w:eastAsia="Arial" w:hAnsi="Arial" w:cs="Arial"/>
          <w:sz w:val="22"/>
          <w:szCs w:val="22"/>
        </w:rPr>
        <w:t>Inhibition of germination is most severe during the early stages, when salinity effects are most potent</w:t>
      </w:r>
      <w:r w:rsidR="00362BF6">
        <w:rPr>
          <w:rFonts w:ascii="Arial" w:eastAsia="Arial" w:hAnsi="Arial" w:cs="Arial"/>
          <w:sz w:val="22"/>
          <w:szCs w:val="22"/>
        </w:rPr>
        <w:t xml:space="preserve">. Statistical </w:t>
      </w:r>
      <w:r>
        <w:rPr>
          <w:rFonts w:ascii="Arial" w:eastAsia="Arial" w:hAnsi="Arial" w:cs="Arial"/>
          <w:sz w:val="22"/>
          <w:szCs w:val="22"/>
        </w:rPr>
        <w:t>analysis revealed a highly significant effect of salinity on Day 3, indicating that osmotic and ionic stresses from salt rapidly impede</w:t>
      </w:r>
      <w:r w:rsidR="00362BF6">
        <w:rPr>
          <w:rFonts w:ascii="Arial" w:eastAsia="Arial" w:hAnsi="Arial" w:cs="Arial"/>
          <w:sz w:val="22"/>
          <w:szCs w:val="22"/>
        </w:rPr>
        <w:t xml:space="preserve"> seed hydration and metabolic processes. This early vulnerability is also seen in other legume species </w:t>
      </w:r>
      <w:r w:rsidR="006167B7">
        <w:rPr>
          <w:rFonts w:ascii="Arial" w:eastAsia="Arial" w:hAnsi="Arial" w:cs="Arial"/>
          <w:sz w:val="22"/>
          <w:szCs w:val="22"/>
        </w:rPr>
        <w:t>[</w:t>
      </w:r>
      <w:hyperlink w:anchor="NINTEEN" w:history="1">
        <w:r w:rsidR="006167B7" w:rsidRPr="004D3CFB">
          <w:rPr>
            <w:rStyle w:val="Hyperlink"/>
            <w:rFonts w:ascii="Arial" w:eastAsia="Arial" w:hAnsi="Arial" w:cs="Arial"/>
            <w:sz w:val="22"/>
            <w:szCs w:val="22"/>
          </w:rPr>
          <w:t>19</w:t>
        </w:r>
      </w:hyperlink>
      <w:r w:rsidR="006167B7">
        <w:rPr>
          <w:rFonts w:ascii="Arial" w:eastAsia="Arial" w:hAnsi="Arial" w:cs="Arial"/>
          <w:sz w:val="22"/>
          <w:szCs w:val="22"/>
        </w:rPr>
        <w:t>]</w:t>
      </w:r>
      <w:r w:rsidR="00362BF6">
        <w:rPr>
          <w:rFonts w:ascii="Arial" w:eastAsia="Arial" w:hAnsi="Arial" w:cs="Arial"/>
          <w:sz w:val="22"/>
          <w:szCs w:val="22"/>
        </w:rPr>
        <w:t xml:space="preserve">; </w:t>
      </w:r>
      <w:r w:rsidR="004D3CFB">
        <w:rPr>
          <w:rFonts w:ascii="Arial" w:eastAsia="Arial" w:hAnsi="Arial" w:cs="Arial"/>
          <w:sz w:val="22"/>
          <w:szCs w:val="22"/>
        </w:rPr>
        <w:t>[</w:t>
      </w:r>
      <w:hyperlink w:anchor="TWENTY" w:history="1">
        <w:r w:rsidR="004D3CFB" w:rsidRPr="004D3CFB">
          <w:rPr>
            <w:rStyle w:val="Hyperlink"/>
            <w:rFonts w:ascii="Arial" w:eastAsia="Arial" w:hAnsi="Arial" w:cs="Arial"/>
            <w:sz w:val="22"/>
            <w:szCs w:val="22"/>
          </w:rPr>
          <w:t>20</w:t>
        </w:r>
      </w:hyperlink>
      <w:r w:rsidR="004D3CFB">
        <w:rPr>
          <w:rFonts w:ascii="Arial" w:eastAsia="Arial" w:hAnsi="Arial" w:cs="Arial"/>
          <w:sz w:val="22"/>
          <w:szCs w:val="22"/>
        </w:rPr>
        <w:t>]</w:t>
      </w:r>
      <w:r w:rsidR="00362BF6">
        <w:rPr>
          <w:rFonts w:ascii="Arial" w:eastAsia="Arial" w:hAnsi="Arial" w:cs="Arial"/>
          <w:sz w:val="22"/>
          <w:szCs w:val="22"/>
        </w:rPr>
        <w:t>, suggesting a common response mechanism across the Fabaceae family. The physiological cause involves disrupted water absorption: osmotic stress from salt decreases the water potential gradient needed for imbibition, while ionic toxicity from Na</w:t>
      </w:r>
      <w:r w:rsidR="00362BF6">
        <w:rPr>
          <w:rFonts w:ascii="Cambria Math" w:eastAsia="Arial" w:hAnsi="Cambria Math" w:cs="Cambria Math"/>
          <w:sz w:val="22"/>
          <w:szCs w:val="22"/>
        </w:rPr>
        <w:t>⁺</w:t>
      </w:r>
      <w:r w:rsidR="00362BF6">
        <w:rPr>
          <w:rFonts w:ascii="Arial" w:eastAsia="Arial" w:hAnsi="Arial" w:cs="Arial"/>
          <w:sz w:val="22"/>
          <w:szCs w:val="22"/>
        </w:rPr>
        <w:t xml:space="preserve"> and Cl</w:t>
      </w:r>
      <w:r w:rsidR="00362BF6">
        <w:rPr>
          <w:rFonts w:ascii="Cambria Math" w:eastAsia="Arial" w:hAnsi="Cambria Math" w:cs="Cambria Math"/>
          <w:sz w:val="22"/>
          <w:szCs w:val="22"/>
        </w:rPr>
        <w:t>⁻</w:t>
      </w:r>
      <w:r w:rsidR="00362BF6">
        <w:rPr>
          <w:rFonts w:ascii="Arial" w:eastAsia="Arial" w:hAnsi="Arial" w:cs="Arial"/>
          <w:sz w:val="22"/>
          <w:szCs w:val="22"/>
        </w:rPr>
        <w:t xml:space="preserve"> hampers enzyme activities vital for mobilizing reserves and radicle emergence </w:t>
      </w:r>
      <w:r w:rsidR="004D3CFB">
        <w:rPr>
          <w:rFonts w:ascii="Arial" w:eastAsia="Arial" w:hAnsi="Arial" w:cs="Arial"/>
          <w:sz w:val="22"/>
          <w:szCs w:val="22"/>
        </w:rPr>
        <w:t>[</w:t>
      </w:r>
      <w:hyperlink w:anchor="TWENTYONE" w:history="1">
        <w:r w:rsidR="004D3CFB" w:rsidRPr="004D3CFB">
          <w:rPr>
            <w:rStyle w:val="Hyperlink"/>
            <w:rFonts w:ascii="Arial" w:eastAsia="Arial" w:hAnsi="Arial" w:cs="Arial"/>
            <w:sz w:val="22"/>
            <w:szCs w:val="22"/>
          </w:rPr>
          <w:t>21</w:t>
        </w:r>
      </w:hyperlink>
      <w:r w:rsidR="004D3CFB">
        <w:rPr>
          <w:rFonts w:ascii="Arial" w:eastAsia="Arial" w:hAnsi="Arial" w:cs="Arial"/>
          <w:sz w:val="22"/>
          <w:szCs w:val="22"/>
        </w:rPr>
        <w:t>]</w:t>
      </w:r>
      <w:r w:rsidR="00362BF6">
        <w:rPr>
          <w:rFonts w:ascii="Arial" w:eastAsia="Arial" w:hAnsi="Arial" w:cs="Arial"/>
          <w:sz w:val="22"/>
          <w:szCs w:val="22"/>
        </w:rPr>
        <w:t xml:space="preserve">; </w:t>
      </w:r>
      <w:r w:rsidR="004D3CFB">
        <w:rPr>
          <w:rFonts w:ascii="Arial" w:eastAsia="Arial" w:hAnsi="Arial" w:cs="Arial"/>
          <w:sz w:val="22"/>
          <w:szCs w:val="22"/>
        </w:rPr>
        <w:t>[</w:t>
      </w:r>
      <w:hyperlink w:anchor="TWENTYTWO" w:history="1">
        <w:r w:rsidR="004D3CFB" w:rsidRPr="004D3CFB">
          <w:rPr>
            <w:rStyle w:val="Hyperlink"/>
            <w:rFonts w:ascii="Arial" w:eastAsia="Arial" w:hAnsi="Arial" w:cs="Arial"/>
            <w:sz w:val="22"/>
            <w:szCs w:val="22"/>
          </w:rPr>
          <w:t>22</w:t>
        </w:r>
      </w:hyperlink>
      <w:r w:rsidR="004D3CFB">
        <w:rPr>
          <w:rFonts w:ascii="Arial" w:eastAsia="Arial" w:hAnsi="Arial" w:cs="Arial"/>
          <w:sz w:val="22"/>
          <w:szCs w:val="22"/>
        </w:rPr>
        <w:t>]</w:t>
      </w:r>
      <w:r w:rsidR="00362BF6">
        <w:rPr>
          <w:rFonts w:ascii="Arial" w:eastAsia="Arial" w:hAnsi="Arial" w:cs="Arial"/>
          <w:sz w:val="22"/>
          <w:szCs w:val="22"/>
        </w:rPr>
        <w:t xml:space="preserve">. </w:t>
      </w:r>
    </w:p>
    <w:p w14:paraId="6F66EF99" w14:textId="002B4047" w:rsidR="00D56226" w:rsidRDefault="00362BF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A key observation was the response difference between control and 50 mM NaCl treatments, where germination sharply declined from nearly 100% to approximately 44-54%. This sharp drop at moderate salinity suggests that common bean has </w:t>
      </w:r>
      <w:r w:rsidR="00A150D3">
        <w:rPr>
          <w:rFonts w:ascii="Arial" w:eastAsia="Arial" w:hAnsi="Arial" w:cs="Arial"/>
          <w:sz w:val="22"/>
          <w:szCs w:val="22"/>
        </w:rPr>
        <w:t xml:space="preserve">limited osmotic adjustment capacity </w:t>
      </w:r>
      <w:r>
        <w:rPr>
          <w:rFonts w:ascii="Arial" w:eastAsia="Arial" w:hAnsi="Arial" w:cs="Arial"/>
          <w:sz w:val="22"/>
          <w:szCs w:val="22"/>
        </w:rPr>
        <w:t xml:space="preserve">during germination, making it highly susceptible even at low to moderate soil salinity levels. The threshold effect marks the point where the seed's biochemical systems can no longer maintain the osmotic balance needed for normal germination. While osmotic stress primarily affects germination at lower salinity levels, ionic toxicity at higher salinities intensifies the stress, leading to a dual mechanism of growth inhibition </w:t>
      </w:r>
      <w:r w:rsidR="004D3CFB">
        <w:rPr>
          <w:rFonts w:ascii="Arial" w:eastAsia="Arial" w:hAnsi="Arial" w:cs="Arial"/>
          <w:sz w:val="22"/>
          <w:szCs w:val="22"/>
        </w:rPr>
        <w:t>[</w:t>
      </w:r>
      <w:hyperlink w:anchor="TWENTYTHREE" w:history="1">
        <w:r w:rsidR="004D3CFB" w:rsidRPr="0027725D">
          <w:rPr>
            <w:rStyle w:val="Hyperlink"/>
            <w:rFonts w:ascii="Arial" w:eastAsia="Arial" w:hAnsi="Arial" w:cs="Arial"/>
            <w:sz w:val="22"/>
            <w:szCs w:val="22"/>
          </w:rPr>
          <w:t>23</w:t>
        </w:r>
      </w:hyperlink>
      <w:r w:rsidR="004D3CFB">
        <w:rPr>
          <w:rFonts w:ascii="Arial" w:eastAsia="Arial" w:hAnsi="Arial" w:cs="Arial"/>
          <w:sz w:val="22"/>
          <w:szCs w:val="22"/>
        </w:rPr>
        <w:t>]</w:t>
      </w:r>
      <w:r>
        <w:rPr>
          <w:rFonts w:ascii="Arial" w:eastAsia="Arial" w:hAnsi="Arial" w:cs="Arial"/>
          <w:sz w:val="22"/>
          <w:szCs w:val="22"/>
        </w:rPr>
        <w:t xml:space="preserve">. This threshold is important for predicting field performance; soils with electrical conductivity above this level would greatly hinder stand establishment. In addition to </w:t>
      </w:r>
      <w:r w:rsidR="00A150D3">
        <w:rPr>
          <w:rFonts w:ascii="Arial" w:eastAsia="Arial" w:hAnsi="Arial" w:cs="Arial"/>
          <w:sz w:val="22"/>
          <w:szCs w:val="22"/>
        </w:rPr>
        <w:t xml:space="preserve">reducing the final germination percentage, salinity also prolonged the </w:t>
      </w:r>
      <w:r w:rsidR="006E4EAE">
        <w:rPr>
          <w:rFonts w:ascii="Arial" w:eastAsia="Arial" w:hAnsi="Arial" w:cs="Arial"/>
          <w:sz w:val="22"/>
          <w:szCs w:val="22"/>
        </w:rPr>
        <w:t>germination time</w:t>
      </w:r>
      <w:r>
        <w:rPr>
          <w:rFonts w:ascii="Arial" w:eastAsia="Arial" w:hAnsi="Arial" w:cs="Arial"/>
          <w:sz w:val="22"/>
          <w:szCs w:val="22"/>
        </w:rPr>
        <w:t xml:space="preserve">. </w:t>
      </w:r>
    </w:p>
    <w:p w14:paraId="410283E6" w14:textId="6CE78C96" w:rsidR="00E93F46" w:rsidRDefault="00362BF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The significant delay observed on Day 10 </w:t>
      </w:r>
      <w:r w:rsidR="00A150D3">
        <w:rPr>
          <w:rFonts w:ascii="Arial" w:eastAsia="Arial" w:hAnsi="Arial" w:cs="Arial"/>
          <w:sz w:val="22"/>
          <w:szCs w:val="22"/>
        </w:rPr>
        <w:t>indicates that salt stress not only inhibits germination in some seeds but also slows the germination process in</w:t>
      </w:r>
      <w:r>
        <w:rPr>
          <w:rFonts w:ascii="Arial" w:eastAsia="Arial" w:hAnsi="Arial" w:cs="Arial"/>
          <w:sz w:val="22"/>
          <w:szCs w:val="22"/>
        </w:rPr>
        <w:t xml:space="preserve"> those that do. Nonetheless, this delay was less significant than the overall reduction in germination, with most seeds sprouting within the first three days across all treatments. The ability of biofortified varieties to germinate quickly under stress </w:t>
      </w:r>
      <w:r w:rsidR="00A150D3">
        <w:rPr>
          <w:rFonts w:ascii="Arial" w:eastAsia="Arial" w:hAnsi="Arial" w:cs="Arial"/>
          <w:sz w:val="22"/>
          <w:szCs w:val="22"/>
        </w:rPr>
        <w:t>suggests their innate vigor, which partially mitigates</w:t>
      </w:r>
      <w:r>
        <w:rPr>
          <w:rFonts w:ascii="Arial" w:eastAsia="Arial" w:hAnsi="Arial" w:cs="Arial"/>
          <w:sz w:val="22"/>
          <w:szCs w:val="22"/>
        </w:rPr>
        <w:t xml:space="preserve"> salt-related delays</w:t>
      </w:r>
      <w:r w:rsidR="0027725D">
        <w:rPr>
          <w:rFonts w:ascii="Arial" w:eastAsia="Arial" w:hAnsi="Arial" w:cs="Arial"/>
          <w:sz w:val="22"/>
          <w:szCs w:val="22"/>
        </w:rPr>
        <w:t xml:space="preserve"> </w:t>
      </w:r>
      <w:r w:rsidR="004D3CFB">
        <w:rPr>
          <w:rFonts w:ascii="Arial" w:eastAsia="Arial" w:hAnsi="Arial" w:cs="Arial"/>
          <w:sz w:val="22"/>
          <w:szCs w:val="22"/>
        </w:rPr>
        <w:t>[</w:t>
      </w:r>
      <w:hyperlink w:anchor="TWENTYFOUR" w:history="1">
        <w:r w:rsidR="004D3CFB" w:rsidRPr="0027725D">
          <w:rPr>
            <w:rStyle w:val="Hyperlink"/>
            <w:rFonts w:ascii="Arial" w:eastAsia="Arial" w:hAnsi="Arial" w:cs="Arial"/>
            <w:sz w:val="22"/>
            <w:szCs w:val="22"/>
          </w:rPr>
          <w:t>24</w:t>
        </w:r>
      </w:hyperlink>
      <w:r w:rsidR="004D3CFB">
        <w:rPr>
          <w:rFonts w:ascii="Arial" w:eastAsia="Arial" w:hAnsi="Arial" w:cs="Arial"/>
          <w:sz w:val="22"/>
          <w:szCs w:val="22"/>
        </w:rPr>
        <w:t>]</w:t>
      </w:r>
      <w:r>
        <w:rPr>
          <w:rFonts w:ascii="Arial" w:eastAsia="Arial" w:hAnsi="Arial" w:cs="Arial"/>
          <w:sz w:val="22"/>
          <w:szCs w:val="22"/>
        </w:rPr>
        <w:t>. The key takeaway is that</w:t>
      </w:r>
      <w:r w:rsidR="00A150D3">
        <w:rPr>
          <w:rFonts w:ascii="Arial" w:eastAsia="Arial" w:hAnsi="Arial" w:cs="Arial"/>
          <w:sz w:val="22"/>
          <w:szCs w:val="22"/>
        </w:rPr>
        <w:t xml:space="preserve"> although salt stress reduces stand establishment, the germination period is likely only slightly extended, resulting in relatively synchronized seedling emergence even under moderate salinity</w:t>
      </w:r>
      <w:r>
        <w:rPr>
          <w:rFonts w:ascii="Arial" w:eastAsia="Arial" w:hAnsi="Arial" w:cs="Arial"/>
          <w:sz w:val="22"/>
          <w:szCs w:val="22"/>
        </w:rPr>
        <w:t xml:space="preserve">. </w:t>
      </w:r>
    </w:p>
    <w:p w14:paraId="7A8EC38D" w14:textId="26FA2823" w:rsidR="00902E55" w:rsidRPr="00902E55" w:rsidRDefault="00362BF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Cumulative germination data revealed that salinity exerted the </w:t>
      </w:r>
      <w:r w:rsidR="00A150D3">
        <w:rPr>
          <w:rFonts w:ascii="Arial" w:eastAsia="Arial" w:hAnsi="Arial" w:cs="Arial"/>
          <w:sz w:val="22"/>
          <w:szCs w:val="22"/>
        </w:rPr>
        <w:t>most decisive influence, with germination rates declining as salinity increased</w:t>
      </w:r>
      <w:r>
        <w:rPr>
          <w:rFonts w:ascii="Arial" w:eastAsia="Arial" w:hAnsi="Arial" w:cs="Arial"/>
          <w:sz w:val="22"/>
          <w:szCs w:val="22"/>
        </w:rPr>
        <w:t xml:space="preserve">. This gradual response, rather than an abrupt threshold, suggests the presence of multiple mechanisms acting across the salinity spectrum. Even at 150 mM NaCl, some seeds still germinated, indicating that complete germination failure is avoided; however, the significant reduction poses challenges for crop establishment and future yields. Considering projections that climate change will increase soil salinization in arid and semi-arid regions, where common beans are a dietary staple </w:t>
      </w:r>
      <w:r w:rsidR="0027725D">
        <w:rPr>
          <w:rFonts w:ascii="Arial" w:eastAsia="Arial" w:hAnsi="Arial" w:cs="Arial"/>
          <w:sz w:val="22"/>
          <w:szCs w:val="22"/>
        </w:rPr>
        <w:t>[</w:t>
      </w:r>
      <w:hyperlink w:anchor="EIGHT" w:history="1">
        <w:r w:rsidR="0027725D" w:rsidRPr="0027725D">
          <w:rPr>
            <w:rStyle w:val="Hyperlink"/>
            <w:rFonts w:ascii="Arial" w:eastAsia="Arial" w:hAnsi="Arial" w:cs="Arial"/>
            <w:sz w:val="22"/>
            <w:szCs w:val="22"/>
          </w:rPr>
          <w:t>8</w:t>
        </w:r>
      </w:hyperlink>
      <w:r w:rsidR="0027725D">
        <w:rPr>
          <w:rFonts w:ascii="Arial" w:eastAsia="Arial" w:hAnsi="Arial" w:cs="Arial"/>
          <w:sz w:val="22"/>
          <w:szCs w:val="22"/>
        </w:rPr>
        <w:t>]</w:t>
      </w:r>
      <w:r>
        <w:rPr>
          <w:rFonts w:ascii="Arial" w:eastAsia="Arial" w:hAnsi="Arial" w:cs="Arial"/>
          <w:sz w:val="22"/>
          <w:szCs w:val="22"/>
        </w:rPr>
        <w:t>;</w:t>
      </w:r>
      <w:r w:rsidR="006E4EAE">
        <w:rPr>
          <w:rFonts w:ascii="Arial" w:eastAsia="Arial" w:hAnsi="Arial" w:cs="Arial"/>
          <w:sz w:val="22"/>
          <w:szCs w:val="22"/>
        </w:rPr>
        <w:t>[</w:t>
      </w:r>
      <w:hyperlink w:anchor="TWENTYFIVE" w:history="1">
        <w:r w:rsidR="006E4EAE" w:rsidRPr="0027725D">
          <w:rPr>
            <w:rStyle w:val="Hyperlink"/>
            <w:rFonts w:ascii="Arial" w:eastAsia="Arial" w:hAnsi="Arial" w:cs="Arial"/>
            <w:sz w:val="22"/>
            <w:szCs w:val="22"/>
          </w:rPr>
          <w:t>25</w:t>
        </w:r>
      </w:hyperlink>
      <w:r w:rsidR="006E4EAE">
        <w:rPr>
          <w:rFonts w:ascii="Arial" w:eastAsia="Arial" w:hAnsi="Arial" w:cs="Arial"/>
          <w:sz w:val="22"/>
          <w:szCs w:val="22"/>
        </w:rPr>
        <w:t>]</w:t>
      </w:r>
      <w:r>
        <w:rPr>
          <w:rFonts w:ascii="Arial" w:eastAsia="Arial" w:hAnsi="Arial" w:cs="Arial"/>
          <w:sz w:val="22"/>
          <w:szCs w:val="22"/>
        </w:rPr>
        <w:t>, these germination setbacks threaten food security for vulnerable populations.</w:t>
      </w:r>
    </w:p>
    <w:p w14:paraId="51F0F3B4" w14:textId="3DFFB7DF" w:rsidR="00902E55" w:rsidRPr="00902E55" w:rsidRDefault="00902E55" w:rsidP="00C5415D">
      <w:pPr>
        <w:spacing w:before="360" w:line="276" w:lineRule="auto"/>
        <w:outlineLvl w:val="0"/>
        <w:rPr>
          <w:rFonts w:ascii="Arial" w:eastAsia="Arial" w:hAnsi="Arial" w:cs="Arial"/>
          <w:b/>
          <w:bCs/>
          <w:color w:val="000000"/>
          <w:sz w:val="22"/>
          <w:szCs w:val="22"/>
        </w:rPr>
      </w:pPr>
      <w:r w:rsidRPr="00902E55">
        <w:rPr>
          <w:rFonts w:ascii="Arial" w:eastAsia="Arial" w:hAnsi="Arial" w:cs="Arial"/>
          <w:b/>
          <w:bCs/>
          <w:color w:val="000000"/>
          <w:sz w:val="22"/>
          <w:szCs w:val="22"/>
        </w:rPr>
        <w:t>4.2 Impact on Seedling Growth and Biomass Accumulation</w:t>
      </w:r>
    </w:p>
    <w:p w14:paraId="24617889" w14:textId="03C12547" w:rsidR="00C87455" w:rsidRDefault="00362BF6" w:rsidP="00C5415D">
      <w:pPr>
        <w:spacing w:line="276" w:lineRule="auto"/>
        <w:jc w:val="both"/>
        <w:rPr>
          <w:rFonts w:ascii="Arial" w:eastAsia="Arial" w:hAnsi="Arial" w:cs="Arial"/>
          <w:sz w:val="22"/>
          <w:szCs w:val="22"/>
        </w:rPr>
      </w:pPr>
      <w:r>
        <w:rPr>
          <w:rFonts w:ascii="Arial" w:eastAsia="Arial" w:hAnsi="Arial" w:cs="Arial"/>
          <w:sz w:val="22"/>
          <w:szCs w:val="22"/>
        </w:rPr>
        <w:t xml:space="preserve">Post-germination growth was affected by salinity, with shoot length decreasing significantly, especially at 150 mM NaCl. These morphological changes hinder early seedling establishment because limited shoot growth reduces photosynthesis and competitive ability during this sensitive stage. The extent of growth inhibition indicates that </w:t>
      </w:r>
      <w:r w:rsidR="00A150D3">
        <w:rPr>
          <w:rFonts w:ascii="Arial" w:eastAsia="Arial" w:hAnsi="Arial" w:cs="Arial"/>
          <w:sz w:val="22"/>
          <w:szCs w:val="22"/>
        </w:rPr>
        <w:t xml:space="preserve">salt stress reduces seedling </w:t>
      </w:r>
      <w:r w:rsidR="00A150D3">
        <w:rPr>
          <w:rFonts w:ascii="Arial" w:eastAsia="Arial" w:hAnsi="Arial" w:cs="Arial"/>
          <w:sz w:val="22"/>
          <w:szCs w:val="22"/>
        </w:rPr>
        <w:lastRenderedPageBreak/>
        <w:t>vigor, triggering a cascade</w:t>
      </w:r>
      <w:r>
        <w:rPr>
          <w:rFonts w:ascii="Arial" w:eastAsia="Arial" w:hAnsi="Arial" w:cs="Arial"/>
          <w:sz w:val="22"/>
          <w:szCs w:val="22"/>
        </w:rPr>
        <w:t xml:space="preserve"> from germination to vegetative growth. Notably, </w:t>
      </w:r>
      <w:r w:rsidR="00A150D3">
        <w:rPr>
          <w:rFonts w:ascii="Arial" w:eastAsia="Arial" w:hAnsi="Arial" w:cs="Arial"/>
          <w:sz w:val="22"/>
          <w:szCs w:val="22"/>
        </w:rPr>
        <w:t>sensitivity differed</w:t>
      </w:r>
      <w:r>
        <w:rPr>
          <w:rFonts w:ascii="Arial" w:eastAsia="Arial" w:hAnsi="Arial" w:cs="Arial"/>
          <w:sz w:val="22"/>
          <w:szCs w:val="22"/>
        </w:rPr>
        <w:t xml:space="preserve"> between the shoot and root systems. While shoots were visibly impacted by salinity, root length remained unaffected. This suggests an adaptive mechanism: roots can sustain normal growth under salt stress, whereas shoots are heavily inhibited. The physiological </w:t>
      </w:r>
      <w:r w:rsidR="00A150D3">
        <w:rPr>
          <w:rFonts w:ascii="Arial" w:eastAsia="Arial" w:hAnsi="Arial" w:cs="Arial"/>
          <w:sz w:val="22"/>
          <w:szCs w:val="22"/>
        </w:rPr>
        <w:t>basis involves the transpiration stream, which accumulates toxic ions in aerial tissues, whereas roots can partially exclude Na</w:t>
      </w:r>
      <w:r w:rsidR="00A150D3">
        <w:rPr>
          <w:rFonts w:ascii="Cambria Math" w:eastAsia="Arial" w:hAnsi="Cambria Math" w:cs="Cambria Math"/>
          <w:sz w:val="22"/>
          <w:szCs w:val="22"/>
        </w:rPr>
        <w:t>⁺</w:t>
      </w:r>
      <w:r w:rsidR="00A150D3">
        <w:rPr>
          <w:rFonts w:ascii="Arial" w:eastAsia="Arial" w:hAnsi="Arial" w:cs="Arial"/>
          <w:sz w:val="22"/>
          <w:szCs w:val="22"/>
        </w:rPr>
        <w:t xml:space="preserve"> and Cl</w:t>
      </w:r>
      <w:r w:rsidR="00A150D3">
        <w:rPr>
          <w:rFonts w:ascii="Cambria Math" w:eastAsia="Arial" w:hAnsi="Cambria Math" w:cs="Cambria Math"/>
          <w:sz w:val="22"/>
          <w:szCs w:val="22"/>
        </w:rPr>
        <w:t>⁻</w:t>
      </w:r>
      <w:r w:rsidR="00A150D3">
        <w:rPr>
          <w:rFonts w:ascii="Arial" w:eastAsia="Arial" w:hAnsi="Arial" w:cs="Arial"/>
          <w:sz w:val="22"/>
          <w:szCs w:val="22"/>
        </w:rPr>
        <w:t xml:space="preserve"> via</w:t>
      </w:r>
      <w:r>
        <w:rPr>
          <w:rFonts w:ascii="Arial" w:eastAsia="Arial" w:hAnsi="Arial" w:cs="Arial"/>
          <w:sz w:val="22"/>
          <w:szCs w:val="22"/>
        </w:rPr>
        <w:t xml:space="preserve"> selective membrane transport </w:t>
      </w:r>
      <w:r w:rsidR="00E15A51">
        <w:rPr>
          <w:rFonts w:ascii="Arial" w:eastAsia="Arial" w:hAnsi="Arial" w:cs="Arial"/>
          <w:sz w:val="22"/>
          <w:szCs w:val="22"/>
        </w:rPr>
        <w:t>[</w:t>
      </w:r>
      <w:hyperlink w:anchor="TWENTYTHREE" w:history="1">
        <w:r w:rsidR="00780AB0" w:rsidRPr="00780AB0">
          <w:rPr>
            <w:rStyle w:val="Hyperlink"/>
            <w:rFonts w:ascii="Arial" w:eastAsia="Arial" w:hAnsi="Arial" w:cs="Arial"/>
            <w:sz w:val="22"/>
            <w:szCs w:val="22"/>
          </w:rPr>
          <w:t>23</w:t>
        </w:r>
      </w:hyperlink>
      <w:r w:rsidR="00E15A51">
        <w:rPr>
          <w:rFonts w:ascii="Arial" w:eastAsia="Arial" w:hAnsi="Arial" w:cs="Arial"/>
          <w:sz w:val="22"/>
          <w:szCs w:val="22"/>
        </w:rPr>
        <w:t>]</w:t>
      </w:r>
      <w:r>
        <w:rPr>
          <w:rFonts w:ascii="Arial" w:eastAsia="Arial" w:hAnsi="Arial" w:cs="Arial"/>
          <w:sz w:val="22"/>
          <w:szCs w:val="22"/>
        </w:rPr>
        <w:t>;</w:t>
      </w:r>
      <w:r w:rsidR="007C24CB">
        <w:rPr>
          <w:rFonts w:ascii="Arial" w:eastAsia="Arial" w:hAnsi="Arial" w:cs="Arial"/>
          <w:sz w:val="22"/>
          <w:szCs w:val="22"/>
        </w:rPr>
        <w:t>[</w:t>
      </w:r>
      <w:hyperlink w:anchor="TWENTYSIX" w:history="1">
        <w:r w:rsidR="007C24CB" w:rsidRPr="00780AB0">
          <w:rPr>
            <w:rStyle w:val="Hyperlink"/>
            <w:rFonts w:ascii="Arial" w:eastAsia="Arial" w:hAnsi="Arial" w:cs="Arial"/>
            <w:sz w:val="22"/>
            <w:szCs w:val="22"/>
          </w:rPr>
          <w:t>26</w:t>
        </w:r>
      </w:hyperlink>
      <w:r w:rsidR="007C24CB">
        <w:rPr>
          <w:rFonts w:ascii="Arial" w:eastAsia="Arial" w:hAnsi="Arial" w:cs="Arial"/>
          <w:sz w:val="22"/>
          <w:szCs w:val="22"/>
        </w:rPr>
        <w:t>]</w:t>
      </w:r>
      <w:r>
        <w:rPr>
          <w:rFonts w:ascii="Arial" w:eastAsia="Arial" w:hAnsi="Arial" w:cs="Arial"/>
          <w:sz w:val="22"/>
          <w:szCs w:val="22"/>
        </w:rPr>
        <w:t xml:space="preserve">. Inhibition of shoot growth </w:t>
      </w:r>
      <w:r w:rsidR="00A150D3">
        <w:rPr>
          <w:rFonts w:ascii="Arial" w:eastAsia="Arial" w:hAnsi="Arial" w:cs="Arial"/>
          <w:sz w:val="22"/>
          <w:szCs w:val="22"/>
        </w:rPr>
        <w:t>may serve as a protective response, reducing transpirational demand and limiting the transport of toxic ions</w:t>
      </w:r>
      <w:r>
        <w:rPr>
          <w:rFonts w:ascii="Arial" w:eastAsia="Arial" w:hAnsi="Arial" w:cs="Arial"/>
          <w:sz w:val="22"/>
          <w:szCs w:val="22"/>
        </w:rPr>
        <w:t xml:space="preserve"> to photosynthetic tissues. </w:t>
      </w:r>
    </w:p>
    <w:p w14:paraId="0F052132" w14:textId="7790FD6F" w:rsidR="00C87455" w:rsidRDefault="00362BF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The notable effects of variety on root development suggest that breeding for better root architecture could improve salt tolerance independently of shoot responses. The strong root performance of variety JESCA across all salinity levels indicates genuine genetic variation for this trait </w:t>
      </w:r>
      <w:r w:rsidR="007C24CB">
        <w:rPr>
          <w:rFonts w:ascii="Arial" w:eastAsia="Arial" w:hAnsi="Arial" w:cs="Arial"/>
          <w:sz w:val="22"/>
          <w:szCs w:val="22"/>
        </w:rPr>
        <w:t>[</w:t>
      </w:r>
      <w:hyperlink w:anchor="TWENTYSEVEN" w:history="1">
        <w:r w:rsidR="007C24CB" w:rsidRPr="007921D1">
          <w:rPr>
            <w:rStyle w:val="Hyperlink"/>
            <w:rFonts w:ascii="Arial" w:eastAsia="Arial" w:hAnsi="Arial" w:cs="Arial"/>
            <w:sz w:val="22"/>
            <w:szCs w:val="22"/>
          </w:rPr>
          <w:t>27</w:t>
        </w:r>
      </w:hyperlink>
      <w:r w:rsidR="007C24CB">
        <w:rPr>
          <w:rFonts w:ascii="Arial" w:eastAsia="Arial" w:hAnsi="Arial" w:cs="Arial"/>
          <w:sz w:val="22"/>
          <w:szCs w:val="22"/>
        </w:rPr>
        <w:t>]</w:t>
      </w:r>
      <w:r>
        <w:rPr>
          <w:rFonts w:ascii="Arial" w:eastAsia="Arial" w:hAnsi="Arial" w:cs="Arial"/>
          <w:sz w:val="22"/>
          <w:szCs w:val="22"/>
        </w:rPr>
        <w:t xml:space="preserve">. Biomass accumulation was most negatively </w:t>
      </w:r>
      <w:r w:rsidR="00A150D3">
        <w:rPr>
          <w:rFonts w:ascii="Arial" w:eastAsia="Arial" w:hAnsi="Arial" w:cs="Arial"/>
          <w:sz w:val="22"/>
          <w:szCs w:val="22"/>
        </w:rPr>
        <w:t xml:space="preserve">affected by salt stress, with significant decreases in both fresh and dry weights across both varieties (p &lt; 0.001) and </w:t>
      </w:r>
      <w:r>
        <w:rPr>
          <w:rFonts w:ascii="Arial" w:eastAsia="Arial" w:hAnsi="Arial" w:cs="Arial"/>
          <w:sz w:val="22"/>
          <w:szCs w:val="22"/>
        </w:rPr>
        <w:t>salinity levels (p &lt; 0.001). The reduction in fresh weight at 150 mM NaCl highlights a critical challenge to seedling vigor and future crop yields. These biomass declines stem from several interacting physiological mechanisms: decreased photosynthesis caused by stomatal closure and chlorophyll degradation; impaired nutrient uptake due to ion imbalances disrupting membrane transport; and metabolic disturbances caused by high Na</w:t>
      </w:r>
      <w:r>
        <w:rPr>
          <w:rFonts w:ascii="Cambria Math" w:eastAsia="Arial" w:hAnsi="Cambria Math" w:cs="Cambria Math"/>
          <w:sz w:val="22"/>
          <w:szCs w:val="22"/>
        </w:rPr>
        <w:t>⁺</w:t>
      </w:r>
      <w:r>
        <w:rPr>
          <w:rFonts w:ascii="Arial" w:eastAsia="Arial" w:hAnsi="Arial" w:cs="Arial"/>
          <w:sz w:val="22"/>
          <w:szCs w:val="22"/>
        </w:rPr>
        <w:t xml:space="preserve"> and Cl</w:t>
      </w:r>
      <w:r>
        <w:rPr>
          <w:rFonts w:ascii="Cambria Math" w:eastAsia="Arial" w:hAnsi="Cambria Math" w:cs="Cambria Math"/>
          <w:sz w:val="22"/>
          <w:szCs w:val="22"/>
        </w:rPr>
        <w:t>⁻</w:t>
      </w:r>
      <w:r>
        <w:rPr>
          <w:rFonts w:ascii="Arial" w:eastAsia="Arial" w:hAnsi="Arial" w:cs="Arial"/>
          <w:sz w:val="22"/>
          <w:szCs w:val="22"/>
        </w:rPr>
        <w:t xml:space="preserve"> levels, which hinder enzyme activity </w:t>
      </w:r>
      <w:r w:rsidR="007921D1">
        <w:rPr>
          <w:rFonts w:ascii="Arial" w:eastAsia="Arial" w:hAnsi="Arial" w:cs="Arial"/>
          <w:sz w:val="22"/>
          <w:szCs w:val="22"/>
        </w:rPr>
        <w:t>[</w:t>
      </w:r>
      <w:hyperlink w:anchor="TWENTY" w:history="1">
        <w:r w:rsidR="007921D1" w:rsidRPr="007921D1">
          <w:rPr>
            <w:rStyle w:val="Hyperlink"/>
            <w:rFonts w:ascii="Arial" w:eastAsia="Arial" w:hAnsi="Arial" w:cs="Arial"/>
            <w:sz w:val="22"/>
            <w:szCs w:val="22"/>
          </w:rPr>
          <w:t>20</w:t>
        </w:r>
      </w:hyperlink>
      <w:r w:rsidR="007921D1">
        <w:rPr>
          <w:rFonts w:ascii="Arial" w:eastAsia="Arial" w:hAnsi="Arial" w:cs="Arial"/>
          <w:sz w:val="22"/>
          <w:szCs w:val="22"/>
        </w:rPr>
        <w:t>]</w:t>
      </w:r>
      <w:r>
        <w:rPr>
          <w:rFonts w:ascii="Arial" w:eastAsia="Arial" w:hAnsi="Arial" w:cs="Arial"/>
          <w:sz w:val="22"/>
          <w:szCs w:val="22"/>
        </w:rPr>
        <w:t xml:space="preserve">; </w:t>
      </w:r>
      <w:r w:rsidR="007C24CB">
        <w:rPr>
          <w:rFonts w:ascii="Arial" w:eastAsia="Arial" w:hAnsi="Arial" w:cs="Arial"/>
          <w:sz w:val="22"/>
          <w:szCs w:val="22"/>
        </w:rPr>
        <w:t>[</w:t>
      </w:r>
      <w:hyperlink w:anchor="twentyeght" w:history="1">
        <w:r w:rsidR="007C24CB" w:rsidRPr="007921D1">
          <w:rPr>
            <w:rStyle w:val="Hyperlink"/>
            <w:rFonts w:ascii="Arial" w:eastAsia="Arial" w:hAnsi="Arial" w:cs="Arial"/>
            <w:sz w:val="22"/>
            <w:szCs w:val="22"/>
          </w:rPr>
          <w:t>28</w:t>
        </w:r>
      </w:hyperlink>
      <w:r w:rsidR="007C24CB">
        <w:rPr>
          <w:rFonts w:ascii="Arial" w:eastAsia="Arial" w:hAnsi="Arial" w:cs="Arial"/>
          <w:sz w:val="22"/>
          <w:szCs w:val="22"/>
        </w:rPr>
        <w:t>]</w:t>
      </w:r>
      <w:r>
        <w:rPr>
          <w:rFonts w:ascii="Arial" w:eastAsia="Arial" w:hAnsi="Arial" w:cs="Arial"/>
          <w:sz w:val="22"/>
          <w:szCs w:val="22"/>
        </w:rPr>
        <w:t xml:space="preserve">. </w:t>
      </w:r>
    </w:p>
    <w:p w14:paraId="548DFA70" w14:textId="695C6C6B" w:rsidR="00902E55" w:rsidRPr="00902E55" w:rsidRDefault="00362BF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The combined influence of these factors explains why biomass reduction </w:t>
      </w:r>
      <w:r w:rsidR="00A150D3">
        <w:rPr>
          <w:rFonts w:ascii="Arial" w:eastAsia="Arial" w:hAnsi="Arial" w:cs="Arial"/>
          <w:sz w:val="22"/>
          <w:szCs w:val="22"/>
        </w:rPr>
        <w:t>exceeds germination decline, as each physiological process contributes</w:t>
      </w:r>
      <w:r>
        <w:rPr>
          <w:rFonts w:ascii="Arial" w:eastAsia="Arial" w:hAnsi="Arial" w:cs="Arial"/>
          <w:sz w:val="22"/>
          <w:szCs w:val="22"/>
        </w:rPr>
        <w:t xml:space="preserve"> to overall stress. Variety SELIAN14 consistently showed higher biomass at all salinity levels, demonstrating stronger salt-tolerance mechanisms. This is likely due to improved osmotic adjustment, more efficient Na</w:t>
      </w:r>
      <w:r>
        <w:rPr>
          <w:rFonts w:ascii="Cambria Math" w:eastAsia="Arial" w:hAnsi="Cambria Math" w:cs="Cambria Math"/>
          <w:sz w:val="22"/>
          <w:szCs w:val="22"/>
        </w:rPr>
        <w:t>⁺</w:t>
      </w:r>
      <w:r>
        <w:rPr>
          <w:rFonts w:ascii="Arial" w:eastAsia="Arial" w:hAnsi="Arial" w:cs="Arial"/>
          <w:sz w:val="22"/>
          <w:szCs w:val="22"/>
        </w:rPr>
        <w:t xml:space="preserve"> exclusion from shoots, and better tolerance of accumulated io</w:t>
      </w:r>
      <w:r w:rsidR="007921D1">
        <w:rPr>
          <w:rFonts w:ascii="Arial" w:eastAsia="Arial" w:hAnsi="Arial" w:cs="Arial"/>
          <w:sz w:val="22"/>
          <w:szCs w:val="22"/>
        </w:rPr>
        <w:t>ns in tissues</w:t>
      </w:r>
      <w:r w:rsidR="007C24CB">
        <w:rPr>
          <w:rFonts w:ascii="Arial" w:eastAsia="Arial" w:hAnsi="Arial" w:cs="Arial"/>
          <w:sz w:val="22"/>
          <w:szCs w:val="22"/>
        </w:rPr>
        <w:t>[</w:t>
      </w:r>
      <w:hyperlink w:anchor="twentynine" w:history="1">
        <w:r w:rsidR="007C24CB" w:rsidRPr="007921D1">
          <w:rPr>
            <w:rStyle w:val="Hyperlink"/>
            <w:rFonts w:ascii="Arial" w:eastAsia="Arial" w:hAnsi="Arial" w:cs="Arial"/>
            <w:sz w:val="22"/>
            <w:szCs w:val="22"/>
          </w:rPr>
          <w:t>29</w:t>
        </w:r>
      </w:hyperlink>
      <w:r w:rsidR="007C24CB">
        <w:rPr>
          <w:rFonts w:ascii="Arial" w:eastAsia="Arial" w:hAnsi="Arial" w:cs="Arial"/>
          <w:sz w:val="22"/>
          <w:szCs w:val="22"/>
        </w:rPr>
        <w:t>]</w:t>
      </w:r>
      <w:r>
        <w:rPr>
          <w:rFonts w:ascii="Arial" w:eastAsia="Arial" w:hAnsi="Arial" w:cs="Arial"/>
          <w:sz w:val="22"/>
          <w:szCs w:val="22"/>
        </w:rPr>
        <w:t xml:space="preserve">. These specific responses suggest a potential for genetic enhancement of salt tolerance in biofortified common beans. Recent genome-wide association studies have </w:t>
      </w:r>
      <w:r w:rsidR="00A150D3">
        <w:rPr>
          <w:rFonts w:ascii="Arial" w:eastAsia="Arial" w:hAnsi="Arial" w:cs="Arial"/>
          <w:sz w:val="22"/>
          <w:szCs w:val="22"/>
        </w:rPr>
        <w:t>identified candidate genes for salt tolerance in common bean, including</w:t>
      </w:r>
      <w:r>
        <w:rPr>
          <w:rFonts w:ascii="Arial" w:eastAsia="Arial" w:hAnsi="Arial" w:cs="Arial"/>
          <w:sz w:val="22"/>
          <w:szCs w:val="22"/>
        </w:rPr>
        <w:t xml:space="preserve"> ATP-binding cassette transporters and stress-related transcription factors </w:t>
      </w:r>
      <w:r w:rsidR="007921D1">
        <w:rPr>
          <w:rFonts w:ascii="Arial" w:eastAsia="Arial" w:hAnsi="Arial" w:cs="Arial"/>
          <w:sz w:val="22"/>
          <w:szCs w:val="22"/>
        </w:rPr>
        <w:t>[</w:t>
      </w:r>
      <w:hyperlink w:anchor="NINTEEN" w:history="1">
        <w:r w:rsidR="007921D1" w:rsidRPr="007921D1">
          <w:rPr>
            <w:rStyle w:val="Hyperlink"/>
            <w:rFonts w:ascii="Arial" w:eastAsia="Arial" w:hAnsi="Arial" w:cs="Arial"/>
            <w:sz w:val="22"/>
            <w:szCs w:val="22"/>
          </w:rPr>
          <w:t>19</w:t>
        </w:r>
      </w:hyperlink>
      <w:r w:rsidR="007C24CB">
        <w:rPr>
          <w:rFonts w:ascii="Arial" w:eastAsia="Arial" w:hAnsi="Arial" w:cs="Arial"/>
          <w:sz w:val="22"/>
          <w:szCs w:val="22"/>
        </w:rPr>
        <w:t>]</w:t>
      </w:r>
      <w:r>
        <w:rPr>
          <w:rFonts w:ascii="Arial" w:eastAsia="Arial" w:hAnsi="Arial" w:cs="Arial"/>
          <w:sz w:val="22"/>
          <w:szCs w:val="22"/>
        </w:rPr>
        <w:t>. The biomass retention of SELIAN14 may indicate favorable alleles at these gene loci, supporting marker-assisted breeding efforts.</w:t>
      </w:r>
    </w:p>
    <w:p w14:paraId="65CD86CF" w14:textId="640B58E9" w:rsidR="00902E55" w:rsidRPr="00902E55" w:rsidRDefault="00902E55" w:rsidP="00C44F39">
      <w:pPr>
        <w:spacing w:before="360" w:line="276" w:lineRule="auto"/>
        <w:outlineLvl w:val="0"/>
        <w:rPr>
          <w:rFonts w:ascii="Arial" w:eastAsia="Arial" w:hAnsi="Arial" w:cs="Arial"/>
          <w:b/>
          <w:bCs/>
          <w:color w:val="000000"/>
          <w:sz w:val="22"/>
          <w:szCs w:val="22"/>
        </w:rPr>
      </w:pPr>
      <w:r w:rsidRPr="00902E55">
        <w:rPr>
          <w:rFonts w:ascii="Arial" w:eastAsia="Arial" w:hAnsi="Arial" w:cs="Arial"/>
          <w:b/>
          <w:bCs/>
          <w:color w:val="000000"/>
          <w:sz w:val="22"/>
          <w:szCs w:val="22"/>
        </w:rPr>
        <w:t>4.3 Seedling Vigo</w:t>
      </w:r>
      <w:r w:rsidR="000347C7">
        <w:rPr>
          <w:rFonts w:ascii="Arial" w:eastAsia="Arial" w:hAnsi="Arial" w:cs="Arial"/>
          <w:b/>
          <w:bCs/>
          <w:color w:val="000000"/>
          <w:sz w:val="22"/>
          <w:szCs w:val="22"/>
        </w:rPr>
        <w:t>u</w:t>
      </w:r>
      <w:r w:rsidRPr="00902E55">
        <w:rPr>
          <w:rFonts w:ascii="Arial" w:eastAsia="Arial" w:hAnsi="Arial" w:cs="Arial"/>
          <w:b/>
          <w:bCs/>
          <w:color w:val="000000"/>
          <w:sz w:val="22"/>
          <w:szCs w:val="22"/>
        </w:rPr>
        <w:t>r Indices as Indicators of Salt Tolerance</w:t>
      </w:r>
    </w:p>
    <w:p w14:paraId="3941ACFC" w14:textId="64BD8053" w:rsidR="001E2FEA" w:rsidRDefault="009F3256" w:rsidP="00C44F39">
      <w:pPr>
        <w:spacing w:line="276" w:lineRule="auto"/>
        <w:jc w:val="both"/>
        <w:rPr>
          <w:rFonts w:ascii="Arial" w:eastAsia="Arial" w:hAnsi="Arial" w:cs="Arial"/>
          <w:sz w:val="22"/>
          <w:szCs w:val="22"/>
        </w:rPr>
      </w:pPr>
      <w:r>
        <w:rPr>
          <w:rFonts w:ascii="Arial" w:eastAsia="Arial" w:hAnsi="Arial" w:cs="Arial"/>
          <w:sz w:val="22"/>
          <w:szCs w:val="22"/>
        </w:rPr>
        <w:t xml:space="preserve">Seedling vigor indices (SVI-I and SVI-II) </w:t>
      </w:r>
      <w:r w:rsidR="00A150D3">
        <w:rPr>
          <w:rFonts w:ascii="Arial" w:eastAsia="Arial" w:hAnsi="Arial" w:cs="Arial"/>
          <w:sz w:val="22"/>
          <w:szCs w:val="22"/>
        </w:rPr>
        <w:t>are effective, comprehensive metrics for assessing salt stress tolerance, with</w:t>
      </w:r>
      <w:r>
        <w:rPr>
          <w:rFonts w:ascii="Arial" w:eastAsia="Arial" w:hAnsi="Arial" w:cs="Arial"/>
          <w:sz w:val="22"/>
          <w:szCs w:val="22"/>
        </w:rPr>
        <w:t xml:space="preserve"> reductions under high stress (150 mM NaCl). These combined parameters evaluate both germination and seedling development, providing a broader perspective on seed quality and </w:t>
      </w:r>
      <w:r w:rsidR="00A150D3">
        <w:rPr>
          <w:rFonts w:ascii="Arial" w:eastAsia="Arial" w:hAnsi="Arial" w:cs="Arial"/>
          <w:sz w:val="22"/>
          <w:szCs w:val="22"/>
        </w:rPr>
        <w:t>stress resilience</w:t>
      </w:r>
      <w:r>
        <w:rPr>
          <w:rFonts w:ascii="Arial" w:eastAsia="Arial" w:hAnsi="Arial" w:cs="Arial"/>
          <w:sz w:val="22"/>
          <w:szCs w:val="22"/>
        </w:rPr>
        <w:t xml:space="preserve"> than individual measures. Their sensitivity to salinity makes them valuable for selecting tolerant varieties in breeding, as they reflect the impact of salt stress from germination through early growth stages. The significant differences in SVI-II among varieties indicate genetic variation in biomass preservation under salt stress, which is important for breeding. Varieties TARIBEAN 5 and TARIBEAN 6 consistently displayed higher SVI-I values at all salinity levels, highlighting genetic traits that promote germination and growth under saline conditions. </w:t>
      </w:r>
    </w:p>
    <w:p w14:paraId="5A3B6BB6" w14:textId="2112D33B" w:rsidR="00902E55" w:rsidRPr="00902E55" w:rsidRDefault="00362BF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This variation indicates that salt tolerance during early development differs among biofortified varieties, and selecting for higher vigor indices could enhance both stress resilience and nutritional quality in breeding programs </w:t>
      </w:r>
      <w:r w:rsidR="007C24CB">
        <w:rPr>
          <w:rFonts w:ascii="Arial" w:eastAsia="Arial" w:hAnsi="Arial" w:cs="Arial"/>
          <w:sz w:val="22"/>
          <w:szCs w:val="22"/>
        </w:rPr>
        <w:t>[</w:t>
      </w:r>
      <w:hyperlink w:anchor="TWENTYONE" w:history="1">
        <w:r w:rsidR="00625DB3" w:rsidRPr="00625DB3">
          <w:rPr>
            <w:rStyle w:val="Hyperlink"/>
            <w:rFonts w:ascii="Arial" w:eastAsia="Arial" w:hAnsi="Arial" w:cs="Arial"/>
            <w:sz w:val="22"/>
            <w:szCs w:val="22"/>
          </w:rPr>
          <w:t>21</w:t>
        </w:r>
      </w:hyperlink>
      <w:r w:rsidR="007C24CB">
        <w:rPr>
          <w:rFonts w:ascii="Arial" w:eastAsia="Arial" w:hAnsi="Arial" w:cs="Arial"/>
          <w:sz w:val="22"/>
          <w:szCs w:val="22"/>
        </w:rPr>
        <w:t>]</w:t>
      </w:r>
      <w:r>
        <w:rPr>
          <w:rFonts w:ascii="Arial" w:eastAsia="Arial" w:hAnsi="Arial" w:cs="Arial"/>
          <w:sz w:val="22"/>
          <w:szCs w:val="22"/>
        </w:rPr>
        <w:t>;</w:t>
      </w:r>
      <w:r w:rsidR="007C24CB">
        <w:rPr>
          <w:rFonts w:ascii="Arial" w:eastAsia="Arial" w:hAnsi="Arial" w:cs="Arial"/>
          <w:sz w:val="22"/>
          <w:szCs w:val="22"/>
        </w:rPr>
        <w:t>[</w:t>
      </w:r>
      <w:hyperlink w:anchor="thirty" w:history="1">
        <w:r w:rsidR="007C24CB" w:rsidRPr="00625DB3">
          <w:rPr>
            <w:rStyle w:val="Hyperlink"/>
            <w:rFonts w:ascii="Arial" w:eastAsia="Arial" w:hAnsi="Arial" w:cs="Arial"/>
            <w:sz w:val="22"/>
            <w:szCs w:val="22"/>
          </w:rPr>
          <w:t>30</w:t>
        </w:r>
      </w:hyperlink>
      <w:r w:rsidR="007C24CB">
        <w:rPr>
          <w:rFonts w:ascii="Arial" w:eastAsia="Arial" w:hAnsi="Arial" w:cs="Arial"/>
          <w:sz w:val="22"/>
          <w:szCs w:val="22"/>
        </w:rPr>
        <w:t>]</w:t>
      </w:r>
      <w:r>
        <w:rPr>
          <w:rFonts w:ascii="Arial" w:eastAsia="Arial" w:hAnsi="Arial" w:cs="Arial"/>
          <w:sz w:val="22"/>
          <w:szCs w:val="22"/>
        </w:rPr>
        <w:t>. A notable finding that questions common assumptions comes from comparing biofortified and non-biofortified varieties. TARIBEAN 1, the non-biofortified control, had the highest SVI-II under optimal conditions, but several biofortified varieties (SELIAN14, TARIBEAN 5, TARIBEAN 6) showed superior vigor under salt stress. This challenges the notion that improving nutritional traits necessarily compromises vegetative vigor or stress tolerance. Instead, it suggests that biofortification and salt tolerance can be improved together through careful genotype selection and targeted breeding. However, achieving micronutrient levels of 44 mg kg</w:t>
      </w:r>
      <w:r>
        <w:rPr>
          <w:rFonts w:ascii="Cambria Math" w:eastAsia="Arial" w:hAnsi="Cambria Math" w:cs="Cambria Math"/>
          <w:sz w:val="22"/>
          <w:szCs w:val="22"/>
        </w:rPr>
        <w:t>⁻</w:t>
      </w:r>
      <w:r>
        <w:rPr>
          <w:rFonts w:ascii="Arial" w:eastAsia="Arial" w:hAnsi="Arial" w:cs="Arial"/>
          <w:sz w:val="22"/>
          <w:szCs w:val="22"/>
        </w:rPr>
        <w:t xml:space="preserve">¹ iron above local check </w:t>
      </w:r>
      <w:r>
        <w:rPr>
          <w:rFonts w:ascii="Arial" w:eastAsia="Arial" w:hAnsi="Arial" w:cs="Arial"/>
          <w:sz w:val="22"/>
          <w:szCs w:val="22"/>
        </w:rPr>
        <w:lastRenderedPageBreak/>
        <w:t>varieties relies on sufficient plant growth and biomass, making the integration of these traits crucial in stress-prone environments.</w:t>
      </w:r>
    </w:p>
    <w:p w14:paraId="34A007F3" w14:textId="77777777" w:rsidR="00902E55" w:rsidRPr="00902E55" w:rsidRDefault="00902E55" w:rsidP="001F73EB">
      <w:pPr>
        <w:spacing w:before="360" w:line="240" w:lineRule="auto"/>
        <w:outlineLvl w:val="0"/>
        <w:rPr>
          <w:rFonts w:ascii="Arial" w:eastAsia="Arial" w:hAnsi="Arial" w:cs="Arial"/>
          <w:b/>
          <w:bCs/>
          <w:color w:val="000000"/>
          <w:sz w:val="22"/>
          <w:szCs w:val="22"/>
        </w:rPr>
      </w:pPr>
      <w:r w:rsidRPr="00902E55">
        <w:rPr>
          <w:rFonts w:ascii="Arial" w:eastAsia="Arial" w:hAnsi="Arial" w:cs="Arial"/>
          <w:b/>
          <w:bCs/>
          <w:color w:val="000000"/>
          <w:sz w:val="22"/>
          <w:szCs w:val="22"/>
        </w:rPr>
        <w:t>4.4 Differential Variety Performance and Breeding Implications</w:t>
      </w:r>
    </w:p>
    <w:p w14:paraId="2DC51AC8" w14:textId="49B5ECE7" w:rsidR="006A6223" w:rsidRDefault="009F3256" w:rsidP="001F73EB">
      <w:pPr>
        <w:spacing w:line="240" w:lineRule="auto"/>
        <w:jc w:val="both"/>
        <w:rPr>
          <w:rFonts w:ascii="Arial" w:eastAsia="Arial" w:hAnsi="Arial" w:cs="Arial"/>
          <w:sz w:val="22"/>
          <w:szCs w:val="22"/>
        </w:rPr>
      </w:pPr>
      <w:r>
        <w:rPr>
          <w:rFonts w:ascii="Arial" w:eastAsia="Arial" w:hAnsi="Arial" w:cs="Arial"/>
          <w:sz w:val="22"/>
          <w:szCs w:val="22"/>
        </w:rPr>
        <w:t xml:space="preserve">The stability of variety rankings across </w:t>
      </w:r>
      <w:r w:rsidR="00362BF6">
        <w:rPr>
          <w:rFonts w:ascii="Arial" w:eastAsia="Arial" w:hAnsi="Arial" w:cs="Arial"/>
          <w:sz w:val="22"/>
          <w:szCs w:val="22"/>
        </w:rPr>
        <w:t>salinity levels, as indicated by the absence of significant salinity-by-variety interactions, provides</w:t>
      </w:r>
      <w:r>
        <w:rPr>
          <w:rFonts w:ascii="Arial" w:eastAsia="Arial" w:hAnsi="Arial" w:cs="Arial"/>
          <w:sz w:val="22"/>
          <w:szCs w:val="22"/>
        </w:rPr>
        <w:t xml:space="preserve"> valuable guidance for breeding programs. This consistent ranking implies that varieties excelling under moderate stress are likely to perform similarly under harsher conditions. Such a finding has practical significance: breeding and screening can be reliably </w:t>
      </w:r>
      <w:r w:rsidR="00362BF6">
        <w:rPr>
          <w:rFonts w:ascii="Arial" w:eastAsia="Arial" w:hAnsi="Arial" w:cs="Arial"/>
          <w:sz w:val="22"/>
          <w:szCs w:val="22"/>
        </w:rPr>
        <w:t xml:space="preserve">conducted under moderate salinity (50-100 mM NaCl), with confidence that the </w:t>
      </w:r>
      <w:r>
        <w:rPr>
          <w:rFonts w:ascii="Arial" w:eastAsia="Arial" w:hAnsi="Arial" w:cs="Arial"/>
          <w:sz w:val="22"/>
          <w:szCs w:val="22"/>
        </w:rPr>
        <w:t xml:space="preserve">results will </w:t>
      </w:r>
      <w:r w:rsidR="00362BF6">
        <w:rPr>
          <w:rFonts w:ascii="Arial" w:eastAsia="Arial" w:hAnsi="Arial" w:cs="Arial"/>
          <w:sz w:val="22"/>
          <w:szCs w:val="22"/>
        </w:rPr>
        <w:t>apply</w:t>
      </w:r>
      <w:r>
        <w:rPr>
          <w:rFonts w:ascii="Arial" w:eastAsia="Arial" w:hAnsi="Arial" w:cs="Arial"/>
          <w:sz w:val="22"/>
          <w:szCs w:val="22"/>
        </w:rPr>
        <w:t xml:space="preserve"> to more extreme field conditions. This uniformity streamlines breeding processes and </w:t>
      </w:r>
      <w:r w:rsidR="00362BF6">
        <w:rPr>
          <w:rFonts w:ascii="Arial" w:eastAsia="Arial" w:hAnsi="Arial" w:cs="Arial"/>
          <w:sz w:val="22"/>
          <w:szCs w:val="22"/>
        </w:rPr>
        <w:t>reduces the need for extensive multi-environment testing across</w:t>
      </w:r>
      <w:r>
        <w:rPr>
          <w:rFonts w:ascii="Arial" w:eastAsia="Arial" w:hAnsi="Arial" w:cs="Arial"/>
          <w:sz w:val="22"/>
          <w:szCs w:val="22"/>
        </w:rPr>
        <w:t xml:space="preserve"> salinity levels </w:t>
      </w:r>
      <w:r w:rsidR="007C24CB">
        <w:rPr>
          <w:rFonts w:ascii="Arial" w:eastAsia="Arial" w:hAnsi="Arial" w:cs="Arial"/>
          <w:sz w:val="22"/>
          <w:szCs w:val="22"/>
        </w:rPr>
        <w:t>[</w:t>
      </w:r>
      <w:hyperlink w:anchor="TWENTY" w:history="1">
        <w:r w:rsidR="00625DB3" w:rsidRPr="00625DB3">
          <w:rPr>
            <w:rStyle w:val="Hyperlink"/>
            <w:rFonts w:ascii="Arial" w:eastAsia="Arial" w:hAnsi="Arial" w:cs="Arial"/>
            <w:sz w:val="22"/>
            <w:szCs w:val="22"/>
          </w:rPr>
          <w:t>20</w:t>
        </w:r>
      </w:hyperlink>
      <w:r w:rsidR="007C24CB">
        <w:rPr>
          <w:rFonts w:ascii="Arial" w:eastAsia="Arial" w:hAnsi="Arial" w:cs="Arial"/>
          <w:sz w:val="22"/>
          <w:szCs w:val="22"/>
        </w:rPr>
        <w:t>]</w:t>
      </w:r>
      <w:r>
        <w:rPr>
          <w:rFonts w:ascii="Arial" w:eastAsia="Arial" w:hAnsi="Arial" w:cs="Arial"/>
          <w:sz w:val="22"/>
          <w:szCs w:val="22"/>
        </w:rPr>
        <w:t xml:space="preserve">; </w:t>
      </w:r>
      <w:r w:rsidR="007C24CB">
        <w:rPr>
          <w:rFonts w:ascii="Arial" w:eastAsia="Arial" w:hAnsi="Arial" w:cs="Arial"/>
          <w:sz w:val="22"/>
          <w:szCs w:val="22"/>
        </w:rPr>
        <w:t>[</w:t>
      </w:r>
      <w:hyperlink w:anchor="TWENTYSEVEN" w:history="1">
        <w:r w:rsidR="00625DB3" w:rsidRPr="00625DB3">
          <w:rPr>
            <w:rStyle w:val="Hyperlink"/>
            <w:rFonts w:ascii="Arial" w:eastAsia="Arial" w:hAnsi="Arial" w:cs="Arial"/>
            <w:sz w:val="22"/>
            <w:szCs w:val="22"/>
          </w:rPr>
          <w:t>27</w:t>
        </w:r>
      </w:hyperlink>
      <w:r w:rsidR="007C24CB">
        <w:rPr>
          <w:rFonts w:ascii="Arial" w:eastAsia="Arial" w:hAnsi="Arial" w:cs="Arial"/>
          <w:sz w:val="22"/>
          <w:szCs w:val="22"/>
        </w:rPr>
        <w:t>]</w:t>
      </w:r>
      <w:r>
        <w:rPr>
          <w:rFonts w:ascii="Arial" w:eastAsia="Arial" w:hAnsi="Arial" w:cs="Arial"/>
          <w:sz w:val="22"/>
          <w:szCs w:val="22"/>
        </w:rPr>
        <w:t xml:space="preserve">. </w:t>
      </w:r>
    </w:p>
    <w:p w14:paraId="2F77262E" w14:textId="3ADED078" w:rsidR="006A6223" w:rsidRDefault="009F325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Three varieties, SELIAN14, TARIBEAN 5, and TARIBEAN 6, demonstrated clear superiority in salt tolerance. SELIAN14's exceptional ability to maintain fresh and dry weights under stress, along with TARIBEAN 5's excellent seedling vigor indices, make these genotypes valuable for improvement programs. Their strong performance suggests that nutritional enhancement and stress tolerance can coexist. Additionally, genome-wide association studies have identified significant SNPs </w:t>
      </w:r>
      <w:r w:rsidR="00362BF6">
        <w:rPr>
          <w:rFonts w:ascii="Arial" w:eastAsia="Arial" w:hAnsi="Arial" w:cs="Arial"/>
          <w:sz w:val="22"/>
          <w:szCs w:val="22"/>
        </w:rPr>
        <w:t>associated with salt tolerance traits in common bean, including seven associations with</w:t>
      </w:r>
      <w:r>
        <w:rPr>
          <w:rFonts w:ascii="Arial" w:eastAsia="Arial" w:hAnsi="Arial" w:cs="Arial"/>
          <w:sz w:val="22"/>
          <w:szCs w:val="22"/>
        </w:rPr>
        <w:t xml:space="preserve"> shoot dry weight under salt stress</w:t>
      </w:r>
      <w:r w:rsidR="00625DB3">
        <w:rPr>
          <w:rFonts w:ascii="Arial" w:eastAsia="Arial" w:hAnsi="Arial" w:cs="Arial"/>
          <w:sz w:val="22"/>
          <w:szCs w:val="22"/>
        </w:rPr>
        <w:t xml:space="preserve"> </w:t>
      </w:r>
      <w:r w:rsidR="007C24CB">
        <w:rPr>
          <w:rFonts w:ascii="Arial" w:eastAsia="Arial" w:hAnsi="Arial" w:cs="Arial"/>
          <w:sz w:val="22"/>
          <w:szCs w:val="22"/>
        </w:rPr>
        <w:t>[</w:t>
      </w:r>
      <w:hyperlink w:anchor="NINTEEN" w:history="1">
        <w:r w:rsidR="00625DB3" w:rsidRPr="00625DB3">
          <w:rPr>
            <w:rStyle w:val="Hyperlink"/>
            <w:rFonts w:ascii="Arial" w:eastAsia="Arial" w:hAnsi="Arial" w:cs="Arial"/>
            <w:sz w:val="22"/>
            <w:szCs w:val="22"/>
          </w:rPr>
          <w:t>19</w:t>
        </w:r>
      </w:hyperlink>
      <w:r w:rsidR="007C24CB">
        <w:rPr>
          <w:rFonts w:ascii="Arial" w:eastAsia="Arial" w:hAnsi="Arial" w:cs="Arial"/>
          <w:sz w:val="22"/>
          <w:szCs w:val="22"/>
        </w:rPr>
        <w:t>]</w:t>
      </w:r>
      <w:r>
        <w:rPr>
          <w:rFonts w:ascii="Arial" w:eastAsia="Arial" w:hAnsi="Arial" w:cs="Arial"/>
          <w:sz w:val="22"/>
          <w:szCs w:val="22"/>
        </w:rPr>
        <w:t xml:space="preserve">. </w:t>
      </w:r>
    </w:p>
    <w:p w14:paraId="731D25E9" w14:textId="4AB921B7" w:rsidR="006A6223" w:rsidRDefault="009F3256" w:rsidP="00902E55">
      <w:pPr>
        <w:spacing w:after="200" w:line="240" w:lineRule="auto"/>
        <w:jc w:val="both"/>
        <w:rPr>
          <w:rFonts w:ascii="Arial" w:eastAsia="Arial" w:hAnsi="Arial" w:cs="Arial"/>
          <w:sz w:val="22"/>
          <w:szCs w:val="22"/>
        </w:rPr>
      </w:pPr>
      <w:r>
        <w:rPr>
          <w:rFonts w:ascii="Arial" w:eastAsia="Arial" w:hAnsi="Arial" w:cs="Arial"/>
          <w:sz w:val="22"/>
          <w:szCs w:val="22"/>
        </w:rPr>
        <w:t>The salt-tolerant varieties identified here likely possess advantageous alleles at these loci, making them suitable for use in marginal environments or as donor parents in breeding programs targeting stress-prone regions of Africa and Latin America</w:t>
      </w:r>
      <w:r w:rsidR="00625DB3">
        <w:rPr>
          <w:rFonts w:ascii="Arial" w:eastAsia="Arial" w:hAnsi="Arial" w:cs="Arial"/>
          <w:sz w:val="22"/>
          <w:szCs w:val="22"/>
        </w:rPr>
        <w:t xml:space="preserve"> [</w:t>
      </w:r>
      <w:hyperlink w:anchor="TEN" w:history="1">
        <w:r w:rsidR="00625DB3" w:rsidRPr="00625DB3">
          <w:rPr>
            <w:rStyle w:val="Hyperlink"/>
            <w:rFonts w:ascii="Arial" w:eastAsia="Arial" w:hAnsi="Arial" w:cs="Arial"/>
            <w:sz w:val="22"/>
            <w:szCs w:val="22"/>
          </w:rPr>
          <w:t>10</w:t>
        </w:r>
      </w:hyperlink>
      <w:r w:rsidR="00625DB3">
        <w:rPr>
          <w:rFonts w:ascii="Arial" w:eastAsia="Arial" w:hAnsi="Arial" w:cs="Arial"/>
          <w:sz w:val="22"/>
          <w:szCs w:val="22"/>
        </w:rPr>
        <w:t>]</w:t>
      </w:r>
      <w:r>
        <w:rPr>
          <w:rFonts w:ascii="Arial" w:eastAsia="Arial" w:hAnsi="Arial" w:cs="Arial"/>
          <w:sz w:val="22"/>
          <w:szCs w:val="22"/>
        </w:rPr>
        <w:t xml:space="preserve">. In contrast, TARIBEAN 2 exhibited the lowest performance </w:t>
      </w:r>
      <w:r w:rsidR="00362BF6">
        <w:rPr>
          <w:rFonts w:ascii="Arial" w:eastAsia="Arial" w:hAnsi="Arial" w:cs="Arial"/>
          <w:sz w:val="22"/>
          <w:szCs w:val="22"/>
        </w:rPr>
        <w:t>across most measures, indicating greater salt sensitivity that could limit its use</w:t>
      </w:r>
      <w:r>
        <w:rPr>
          <w:rFonts w:ascii="Arial" w:eastAsia="Arial" w:hAnsi="Arial" w:cs="Arial"/>
          <w:sz w:val="22"/>
          <w:szCs w:val="22"/>
        </w:rPr>
        <w:t xml:space="preserve"> in saline conditions. This variety-level response highlights the considerable genetic variation in salt tolerance within the biofortified germplasm collection. Additionally, genetic correlation analyses in common bean have revealed trade-offs between certain agronomic traits and stress tolerance, especially a strong negative phenotypic correlation between Fe/Zn concentration and yield </w:t>
      </w:r>
      <w:r w:rsidR="007C24CB">
        <w:rPr>
          <w:rFonts w:ascii="Arial" w:eastAsia="Arial" w:hAnsi="Arial" w:cs="Arial"/>
          <w:sz w:val="22"/>
          <w:szCs w:val="22"/>
        </w:rPr>
        <w:t xml:space="preserve"> [</w:t>
      </w:r>
      <w:hyperlink w:anchor="thirtyone" w:history="1">
        <w:r w:rsidR="007C24CB" w:rsidRPr="001511A0">
          <w:rPr>
            <w:rStyle w:val="Hyperlink"/>
            <w:rFonts w:ascii="Arial" w:eastAsia="Arial" w:hAnsi="Arial" w:cs="Arial"/>
            <w:sz w:val="22"/>
            <w:szCs w:val="22"/>
          </w:rPr>
          <w:t>31</w:t>
        </w:r>
      </w:hyperlink>
      <w:r w:rsidR="007C24CB">
        <w:rPr>
          <w:rFonts w:ascii="Arial" w:eastAsia="Arial" w:hAnsi="Arial" w:cs="Arial"/>
          <w:sz w:val="22"/>
          <w:szCs w:val="22"/>
        </w:rPr>
        <w:t>]</w:t>
      </w:r>
      <w:r>
        <w:rPr>
          <w:rFonts w:ascii="Arial" w:eastAsia="Arial" w:hAnsi="Arial" w:cs="Arial"/>
          <w:sz w:val="22"/>
          <w:szCs w:val="22"/>
        </w:rPr>
        <w:t xml:space="preserve">. </w:t>
      </w:r>
    </w:p>
    <w:p w14:paraId="630FDBF1" w14:textId="1C60E899" w:rsidR="00902E55" w:rsidRPr="00902E55" w:rsidRDefault="009F325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The generally superior performance of SELIAN14, TARIBEAN 5, and TARIBEAN 6 indicates that these trade-offs are not fixed. It is possible to enhance both nutritional quality and environmental stress tolerance concurrently through strategic breeding and careful genotype selection. The performance differences among varieties suggest that biofortified types naturally tolerate salt, offering </w:t>
      </w:r>
      <w:r w:rsidR="00362BF6">
        <w:rPr>
          <w:rFonts w:ascii="Arial" w:eastAsia="Arial" w:hAnsi="Arial" w:cs="Arial"/>
          <w:sz w:val="22"/>
          <w:szCs w:val="22"/>
        </w:rPr>
        <w:t>helpful</w:t>
      </w:r>
      <w:r>
        <w:rPr>
          <w:rFonts w:ascii="Arial" w:eastAsia="Arial" w:hAnsi="Arial" w:cs="Arial"/>
          <w:sz w:val="22"/>
          <w:szCs w:val="22"/>
        </w:rPr>
        <w:t xml:space="preserve"> guidance for breeding programs. In particular, SELIAN14 and TARIBEAN 5 are valuable germplasm for marker-assisted selection targeting salt-tolerance genes. Candidate genes involved in salt tolerance in common bean include PvSOS1 (salt overly sensitive pathway), PvNHX1 (Na</w:t>
      </w:r>
      <w:r>
        <w:rPr>
          <w:rFonts w:ascii="Cambria Math" w:eastAsia="Arial" w:hAnsi="Cambria Math" w:cs="Cambria Math"/>
          <w:sz w:val="22"/>
          <w:szCs w:val="22"/>
        </w:rPr>
        <w:t>⁺</w:t>
      </w:r>
      <w:r>
        <w:rPr>
          <w:rFonts w:ascii="Arial" w:eastAsia="Arial" w:hAnsi="Arial" w:cs="Arial"/>
          <w:sz w:val="22"/>
          <w:szCs w:val="22"/>
        </w:rPr>
        <w:t>/H</w:t>
      </w:r>
      <w:r>
        <w:rPr>
          <w:rFonts w:ascii="Cambria Math" w:eastAsia="Arial" w:hAnsi="Cambria Math" w:cs="Cambria Math"/>
          <w:sz w:val="22"/>
          <w:szCs w:val="22"/>
        </w:rPr>
        <w:t>⁺</w:t>
      </w:r>
      <w:r>
        <w:rPr>
          <w:rFonts w:ascii="Arial" w:eastAsia="Arial" w:hAnsi="Arial" w:cs="Arial"/>
          <w:sz w:val="22"/>
          <w:szCs w:val="22"/>
        </w:rPr>
        <w:t xml:space="preserve"> antiporter for vacuolar sodium sequestration), and various transcription factors that regulate stress-response pathways </w:t>
      </w:r>
      <w:r w:rsidR="007C24CB">
        <w:rPr>
          <w:rFonts w:ascii="Arial" w:eastAsia="Arial" w:hAnsi="Arial" w:cs="Arial"/>
          <w:sz w:val="22"/>
          <w:szCs w:val="22"/>
        </w:rPr>
        <w:t>[</w:t>
      </w:r>
      <w:hyperlink w:anchor="NINTEEN" w:history="1">
        <w:r w:rsidR="001511A0" w:rsidRPr="001511A0">
          <w:rPr>
            <w:rStyle w:val="Hyperlink"/>
            <w:rFonts w:ascii="Arial" w:eastAsia="Arial" w:hAnsi="Arial" w:cs="Arial"/>
            <w:sz w:val="22"/>
            <w:szCs w:val="22"/>
          </w:rPr>
          <w:t>19</w:t>
        </w:r>
      </w:hyperlink>
      <w:r w:rsidR="007C24CB">
        <w:rPr>
          <w:rFonts w:ascii="Arial" w:eastAsia="Arial" w:hAnsi="Arial" w:cs="Arial"/>
          <w:sz w:val="22"/>
          <w:szCs w:val="22"/>
        </w:rPr>
        <w:t>]</w:t>
      </w:r>
      <w:r>
        <w:rPr>
          <w:rFonts w:ascii="Arial" w:eastAsia="Arial" w:hAnsi="Arial" w:cs="Arial"/>
          <w:sz w:val="22"/>
          <w:szCs w:val="22"/>
        </w:rPr>
        <w:t>. These molecular tools, together with the phenotypic variation demonstrated here, provide a foundation for speeding up genetic improvements in breeding efforts focused on climate-resilient, nutrient-rich varieties.</w:t>
      </w:r>
    </w:p>
    <w:p w14:paraId="7275905A" w14:textId="77777777" w:rsidR="00902E55" w:rsidRPr="00902E55" w:rsidRDefault="00902E55" w:rsidP="00A93A39">
      <w:pPr>
        <w:spacing w:before="360" w:line="276" w:lineRule="auto"/>
        <w:outlineLvl w:val="0"/>
        <w:rPr>
          <w:rFonts w:ascii="Arial" w:eastAsia="Arial" w:hAnsi="Arial" w:cs="Arial"/>
          <w:b/>
          <w:bCs/>
          <w:color w:val="000000"/>
          <w:sz w:val="22"/>
          <w:szCs w:val="22"/>
        </w:rPr>
      </w:pPr>
      <w:r w:rsidRPr="00902E55">
        <w:rPr>
          <w:rFonts w:ascii="Arial" w:eastAsia="Arial" w:hAnsi="Arial" w:cs="Arial"/>
          <w:b/>
          <w:bCs/>
          <w:color w:val="000000"/>
          <w:sz w:val="22"/>
          <w:szCs w:val="22"/>
        </w:rPr>
        <w:t>4.5 Implications for Biofortification Under Climate Change Scenarios</w:t>
      </w:r>
    </w:p>
    <w:p w14:paraId="03006D83" w14:textId="07FF3F67" w:rsidR="006A6223" w:rsidRDefault="00252CC8" w:rsidP="00A93A39">
      <w:pPr>
        <w:spacing w:line="276" w:lineRule="auto"/>
        <w:jc w:val="both"/>
        <w:rPr>
          <w:rFonts w:ascii="Arial" w:eastAsia="Arial" w:hAnsi="Arial" w:cs="Arial"/>
          <w:sz w:val="22"/>
          <w:szCs w:val="22"/>
        </w:rPr>
      </w:pPr>
      <w:r>
        <w:rPr>
          <w:rFonts w:ascii="Arial" w:eastAsia="Arial" w:hAnsi="Arial" w:cs="Arial"/>
          <w:sz w:val="22"/>
          <w:szCs w:val="22"/>
        </w:rPr>
        <w:t xml:space="preserve">Biofortified common bean varieties play a crucial role in combating micronutrient deficiencies affecting over 3 billion people worldwide, particularly iron and zinc deficiencies, which are significant public health concerns. However, this study underscores a significant challenge: salinity stress can impede germination and early development of these nutritionally enriched beans, potentially reducing their benefits in regions where they are most needed. Climate change projections indicate that soil salinization will intensify in arid and semi-arid regions where common beans are a staple food, affecting more than 800 million hectares of farmland globally </w:t>
      </w:r>
      <w:r w:rsidR="007C24CB">
        <w:rPr>
          <w:rFonts w:ascii="Arial" w:eastAsia="Arial" w:hAnsi="Arial" w:cs="Arial"/>
          <w:sz w:val="22"/>
          <w:szCs w:val="22"/>
        </w:rPr>
        <w:t>[</w:t>
      </w:r>
      <w:hyperlink w:anchor="ELEVEN" w:history="1">
        <w:r w:rsidR="001511A0" w:rsidRPr="001511A0">
          <w:rPr>
            <w:rStyle w:val="Hyperlink"/>
            <w:rFonts w:ascii="Arial" w:eastAsia="Arial" w:hAnsi="Arial" w:cs="Arial"/>
            <w:sz w:val="22"/>
            <w:szCs w:val="22"/>
          </w:rPr>
          <w:t>11</w:t>
        </w:r>
      </w:hyperlink>
      <w:r w:rsidR="007C24CB">
        <w:rPr>
          <w:rFonts w:ascii="Arial" w:eastAsia="Arial" w:hAnsi="Arial" w:cs="Arial"/>
          <w:sz w:val="22"/>
          <w:szCs w:val="22"/>
        </w:rPr>
        <w:t>]</w:t>
      </w:r>
      <w:r>
        <w:rPr>
          <w:rFonts w:ascii="Arial" w:eastAsia="Arial" w:hAnsi="Arial" w:cs="Arial"/>
          <w:sz w:val="22"/>
          <w:szCs w:val="22"/>
        </w:rPr>
        <w:t xml:space="preserve">. </w:t>
      </w:r>
    </w:p>
    <w:p w14:paraId="4188705C" w14:textId="6BFEBD3D" w:rsidR="006A6223" w:rsidRDefault="00252CC8" w:rsidP="00902E55">
      <w:pPr>
        <w:spacing w:after="200" w:line="240" w:lineRule="auto"/>
        <w:jc w:val="both"/>
        <w:rPr>
          <w:rFonts w:ascii="Arial" w:eastAsia="Arial" w:hAnsi="Arial" w:cs="Arial"/>
          <w:sz w:val="22"/>
          <w:szCs w:val="22"/>
        </w:rPr>
      </w:pPr>
      <w:r>
        <w:rPr>
          <w:rFonts w:ascii="Arial" w:eastAsia="Arial" w:hAnsi="Arial" w:cs="Arial"/>
          <w:sz w:val="22"/>
          <w:szCs w:val="22"/>
        </w:rPr>
        <w:lastRenderedPageBreak/>
        <w:t>The increasing salinity and nutritional demands among vulnerable groups highlight the urgent need for salt-tolerant, biofortified crop varieties. The decrease in fresh weight at high salinity levels directly hampers biofortification efforts. For instance, iron biofortification in common beans typically targets 44 mg kg</w:t>
      </w:r>
      <w:r>
        <w:rPr>
          <w:rFonts w:ascii="Cambria Math" w:eastAsia="Arial" w:hAnsi="Cambria Math" w:cs="Cambria Math"/>
          <w:sz w:val="22"/>
          <w:szCs w:val="22"/>
        </w:rPr>
        <w:t>⁻</w:t>
      </w:r>
      <w:r>
        <w:rPr>
          <w:rFonts w:ascii="Arial" w:eastAsia="Arial" w:hAnsi="Arial" w:cs="Arial"/>
          <w:sz w:val="22"/>
          <w:szCs w:val="22"/>
        </w:rPr>
        <w:t>¹ above local varieties</w:t>
      </w:r>
      <w:r w:rsidR="001511A0">
        <w:rPr>
          <w:rFonts w:ascii="Arial" w:eastAsia="Arial" w:hAnsi="Arial" w:cs="Arial"/>
          <w:sz w:val="22"/>
          <w:szCs w:val="22"/>
        </w:rPr>
        <w:t xml:space="preserve"> </w:t>
      </w:r>
      <w:r w:rsidR="007C24CB">
        <w:rPr>
          <w:rFonts w:ascii="Arial" w:eastAsia="Arial" w:hAnsi="Arial" w:cs="Arial"/>
          <w:sz w:val="22"/>
          <w:szCs w:val="22"/>
        </w:rPr>
        <w:t>[</w:t>
      </w:r>
      <w:hyperlink w:anchor="TEN" w:history="1">
        <w:r w:rsidR="001511A0" w:rsidRPr="001511A0">
          <w:rPr>
            <w:rStyle w:val="Hyperlink"/>
            <w:rFonts w:ascii="Arial" w:eastAsia="Arial" w:hAnsi="Arial" w:cs="Arial"/>
            <w:sz w:val="22"/>
            <w:szCs w:val="22"/>
          </w:rPr>
          <w:t>10</w:t>
        </w:r>
      </w:hyperlink>
      <w:r w:rsidR="007C24CB">
        <w:rPr>
          <w:rFonts w:ascii="Arial" w:eastAsia="Arial" w:hAnsi="Arial" w:cs="Arial"/>
          <w:sz w:val="22"/>
          <w:szCs w:val="22"/>
        </w:rPr>
        <w:t>]</w:t>
      </w:r>
      <w:r>
        <w:rPr>
          <w:rFonts w:ascii="Arial" w:eastAsia="Arial" w:hAnsi="Arial" w:cs="Arial"/>
          <w:sz w:val="22"/>
          <w:szCs w:val="22"/>
        </w:rPr>
        <w:t>, but these targets depend on healthy plant growth and biomass accumulation. Salt stress that reduces growth, as shown here, could jeopardize nutritional outcomes by decreasing overall yields and altering micronutrient densities in edible parts. Although biofortified beans retain 77-91% of their iron after cooking</w:t>
      </w:r>
      <w:r w:rsidR="00E61609">
        <w:rPr>
          <w:rFonts w:ascii="Arial" w:eastAsia="Arial" w:hAnsi="Arial" w:cs="Arial"/>
          <w:sz w:val="22"/>
          <w:szCs w:val="22"/>
        </w:rPr>
        <w:t xml:space="preserve"> </w:t>
      </w:r>
      <w:r w:rsidR="001511A0">
        <w:rPr>
          <w:rFonts w:ascii="Arial" w:eastAsia="Arial" w:hAnsi="Arial" w:cs="Arial"/>
          <w:sz w:val="22"/>
          <w:szCs w:val="22"/>
        </w:rPr>
        <w:t>[</w:t>
      </w:r>
      <w:hyperlink w:anchor="thirtytwo" w:history="1">
        <w:r w:rsidR="001511A0" w:rsidRPr="00E61609">
          <w:rPr>
            <w:rStyle w:val="Hyperlink"/>
            <w:rFonts w:ascii="Arial" w:eastAsia="Arial" w:hAnsi="Arial" w:cs="Arial"/>
            <w:sz w:val="22"/>
            <w:szCs w:val="22"/>
          </w:rPr>
          <w:t>32</w:t>
        </w:r>
      </w:hyperlink>
      <w:r w:rsidR="007C24CB">
        <w:rPr>
          <w:rFonts w:ascii="Arial" w:eastAsia="Arial" w:hAnsi="Arial" w:cs="Arial"/>
          <w:sz w:val="22"/>
          <w:szCs w:val="22"/>
        </w:rPr>
        <w:t>]</w:t>
      </w:r>
      <w:r>
        <w:rPr>
          <w:rFonts w:ascii="Arial" w:eastAsia="Arial" w:hAnsi="Arial" w:cs="Arial"/>
          <w:sz w:val="22"/>
          <w:szCs w:val="22"/>
        </w:rPr>
        <w:t xml:space="preserve">, farmers can only provide nutritional benefits if enough yield is produced in salt-stressed areas. </w:t>
      </w:r>
    </w:p>
    <w:p w14:paraId="24FA17B5" w14:textId="67487F64" w:rsidR="006A6223" w:rsidRDefault="00252CC8" w:rsidP="00902E55">
      <w:pPr>
        <w:spacing w:after="200" w:line="240" w:lineRule="auto"/>
        <w:jc w:val="both"/>
        <w:rPr>
          <w:rFonts w:ascii="Arial" w:eastAsia="Arial" w:hAnsi="Arial" w:cs="Arial"/>
          <w:sz w:val="22"/>
          <w:szCs w:val="22"/>
        </w:rPr>
      </w:pPr>
      <w:r>
        <w:rPr>
          <w:rFonts w:ascii="Arial" w:eastAsia="Arial" w:hAnsi="Arial" w:cs="Arial"/>
          <w:sz w:val="22"/>
          <w:szCs w:val="22"/>
        </w:rPr>
        <w:t>A limitation of this research is the absence of direct measurement of micronutrient levels under stress, leaving unresolved whether salt stress influences Fe and Zn concentrations in seed tissues independently of yield effects. The identification of salt-tolerant, biofortified varieties such as SELIAN14, TARIBEAN 5, and TARIBEAN 6 offers a basis for breeding climate-resilient, nutritious crops adapted to marginalized farming environments. These findings demonstrate that salt tolerance and enhanced nutritional quality can coexist, refuting the notion that these traits are inherently mutually exclusive. Nonetheless, applying these laboratory findings to field performance requires validation under real-world conditions, including natural salinity variations, temperature changes, and multiple interacting stresses. Climate change impacts extend beyond salinity, encompassing drought, heat, and evolving pest and disease pressures</w:t>
      </w:r>
      <w:r w:rsidR="00E61609">
        <w:rPr>
          <w:rFonts w:ascii="Arial" w:eastAsia="Arial" w:hAnsi="Arial" w:cs="Arial"/>
          <w:sz w:val="22"/>
          <w:szCs w:val="22"/>
        </w:rPr>
        <w:t xml:space="preserve"> </w:t>
      </w:r>
      <w:r w:rsidR="007C24CB">
        <w:rPr>
          <w:rFonts w:ascii="Arial" w:eastAsia="Arial" w:hAnsi="Arial" w:cs="Arial"/>
          <w:sz w:val="22"/>
          <w:szCs w:val="22"/>
        </w:rPr>
        <w:t>[</w:t>
      </w:r>
      <w:hyperlink w:anchor="thirtythree" w:history="1">
        <w:r w:rsidR="00E61609" w:rsidRPr="00E61609">
          <w:rPr>
            <w:rStyle w:val="Hyperlink"/>
            <w:rFonts w:ascii="Arial" w:eastAsia="Arial" w:hAnsi="Arial" w:cs="Arial"/>
            <w:sz w:val="22"/>
            <w:szCs w:val="22"/>
          </w:rPr>
          <w:t>33</w:t>
        </w:r>
      </w:hyperlink>
      <w:r w:rsidR="007C24CB">
        <w:rPr>
          <w:rFonts w:ascii="Arial" w:eastAsia="Arial" w:hAnsi="Arial" w:cs="Arial"/>
          <w:sz w:val="22"/>
          <w:szCs w:val="22"/>
        </w:rPr>
        <w:t>]</w:t>
      </w:r>
      <w:r>
        <w:rPr>
          <w:rFonts w:ascii="Arial" w:eastAsia="Arial" w:hAnsi="Arial" w:cs="Arial"/>
          <w:sz w:val="22"/>
          <w:szCs w:val="22"/>
        </w:rPr>
        <w:t xml:space="preserve">, underscoring the need for breeding strategies that address multiple stressors simultaneously. </w:t>
      </w:r>
    </w:p>
    <w:p w14:paraId="19AF9075" w14:textId="0E9AAFA7" w:rsidR="00902E55" w:rsidRPr="00902E55" w:rsidRDefault="00252CC8"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Future breeding efforts should aim to combine salt-tolerance genes with high-micronutrient traits, enabled by recent </w:t>
      </w:r>
      <w:r w:rsidR="003002B1">
        <w:rPr>
          <w:rFonts w:ascii="Arial" w:eastAsia="Arial" w:hAnsi="Arial" w:cs="Arial"/>
          <w:sz w:val="22"/>
          <w:szCs w:val="22"/>
        </w:rPr>
        <w:t>advances in molecular breeding</w:t>
      </w:r>
      <w:r>
        <w:rPr>
          <w:rFonts w:ascii="Arial" w:eastAsia="Arial" w:hAnsi="Arial" w:cs="Arial"/>
          <w:sz w:val="22"/>
          <w:szCs w:val="22"/>
        </w:rPr>
        <w:t xml:space="preserve">. Quantitative trait loci (QTL) identified in Mesoamerican common bean populations increase Fe/Zn levels without sacrificing yield </w:t>
      </w:r>
      <w:r w:rsidR="00505CD6">
        <w:rPr>
          <w:rFonts w:ascii="Arial" w:eastAsia="Arial" w:hAnsi="Arial" w:cs="Arial"/>
          <w:sz w:val="22"/>
          <w:szCs w:val="22"/>
        </w:rPr>
        <w:t>[</w:t>
      </w:r>
      <w:hyperlink w:anchor="thirtyone" w:history="1">
        <w:r w:rsidR="00E61609" w:rsidRPr="00E61609">
          <w:rPr>
            <w:rStyle w:val="Hyperlink"/>
            <w:rFonts w:ascii="Arial" w:eastAsia="Arial" w:hAnsi="Arial" w:cs="Arial"/>
            <w:sz w:val="22"/>
            <w:szCs w:val="22"/>
          </w:rPr>
          <w:t>31</w:t>
        </w:r>
      </w:hyperlink>
      <w:r w:rsidR="007C24CB">
        <w:rPr>
          <w:rFonts w:ascii="Arial" w:eastAsia="Arial" w:hAnsi="Arial" w:cs="Arial"/>
          <w:sz w:val="22"/>
          <w:szCs w:val="22"/>
        </w:rPr>
        <w:t>]</w:t>
      </w:r>
      <w:r>
        <w:rPr>
          <w:rFonts w:ascii="Arial" w:eastAsia="Arial" w:hAnsi="Arial" w:cs="Arial"/>
          <w:sz w:val="22"/>
          <w:szCs w:val="22"/>
        </w:rPr>
        <w:t xml:space="preserve">, providing valuable markers for marker-assisted selection. The consistent ranking of varieties across </w:t>
      </w:r>
      <w:r w:rsidR="003002B1">
        <w:rPr>
          <w:rFonts w:ascii="Arial" w:eastAsia="Arial" w:hAnsi="Arial" w:cs="Arial"/>
          <w:sz w:val="22"/>
          <w:szCs w:val="22"/>
        </w:rPr>
        <w:t>salinity levels in this study supports effective screening techniques: selecting under controlled, moderate-stress conditions (50-100 mM NaCl) can reliably predict performance in more severe field conditions, thereby facilitating faster improvement of complex traits such as</w:t>
      </w:r>
      <w:r>
        <w:rPr>
          <w:rFonts w:ascii="Arial" w:eastAsia="Arial" w:hAnsi="Arial" w:cs="Arial"/>
          <w:sz w:val="22"/>
          <w:szCs w:val="22"/>
        </w:rPr>
        <w:t xml:space="preserve"> salt tolerance</w:t>
      </w:r>
      <w:r w:rsidR="00505CD6">
        <w:rPr>
          <w:rFonts w:ascii="Arial" w:eastAsia="Arial" w:hAnsi="Arial" w:cs="Arial"/>
          <w:sz w:val="22"/>
          <w:szCs w:val="22"/>
        </w:rPr>
        <w:t xml:space="preserve"> </w:t>
      </w:r>
      <w:r w:rsidR="007C24CB">
        <w:rPr>
          <w:rFonts w:ascii="Arial" w:eastAsia="Arial" w:hAnsi="Arial" w:cs="Arial"/>
          <w:sz w:val="22"/>
          <w:szCs w:val="22"/>
        </w:rPr>
        <w:t>[</w:t>
      </w:r>
      <w:hyperlink w:anchor="TWENTYONE" w:history="1">
        <w:r w:rsidR="00E61609" w:rsidRPr="00E61609">
          <w:rPr>
            <w:rStyle w:val="Hyperlink"/>
            <w:rFonts w:ascii="Arial" w:eastAsia="Arial" w:hAnsi="Arial" w:cs="Arial"/>
            <w:sz w:val="22"/>
            <w:szCs w:val="22"/>
          </w:rPr>
          <w:t>21</w:t>
        </w:r>
      </w:hyperlink>
      <w:r w:rsidR="007C24CB">
        <w:rPr>
          <w:rFonts w:ascii="Arial" w:eastAsia="Arial" w:hAnsi="Arial" w:cs="Arial"/>
          <w:sz w:val="22"/>
          <w:szCs w:val="22"/>
        </w:rPr>
        <w:t>]</w:t>
      </w:r>
      <w:r>
        <w:rPr>
          <w:rFonts w:ascii="Arial" w:eastAsia="Arial" w:hAnsi="Arial" w:cs="Arial"/>
          <w:sz w:val="22"/>
          <w:szCs w:val="22"/>
        </w:rPr>
        <w:t>. Integrating phenotypic selection based on seedling vigor with marker-assisted selection for salt tolerance and micronutrient genes offers a quicker path to developing superior varieties.</w:t>
      </w:r>
    </w:p>
    <w:p w14:paraId="7F45A214" w14:textId="77777777" w:rsidR="00902E55" w:rsidRPr="00902E55" w:rsidRDefault="00902E55" w:rsidP="001F73EB">
      <w:pPr>
        <w:spacing w:before="360" w:line="276" w:lineRule="auto"/>
        <w:outlineLvl w:val="0"/>
        <w:rPr>
          <w:rFonts w:ascii="Arial" w:eastAsia="Arial" w:hAnsi="Arial" w:cs="Arial"/>
          <w:b/>
          <w:bCs/>
          <w:color w:val="000000"/>
          <w:sz w:val="22"/>
          <w:szCs w:val="22"/>
        </w:rPr>
      </w:pPr>
      <w:r w:rsidRPr="00902E55">
        <w:rPr>
          <w:rFonts w:ascii="Arial" w:eastAsia="Arial" w:hAnsi="Arial" w:cs="Arial"/>
          <w:b/>
          <w:bCs/>
          <w:color w:val="000000"/>
          <w:sz w:val="22"/>
          <w:szCs w:val="22"/>
        </w:rPr>
        <w:t>4.6 Physiological Mechanisms Underlying Salinity Responses</w:t>
      </w:r>
    </w:p>
    <w:p w14:paraId="03839B36" w14:textId="3F003FE3" w:rsidR="006A6223" w:rsidRDefault="00CB4B17" w:rsidP="001F73EB">
      <w:pPr>
        <w:spacing w:line="276" w:lineRule="auto"/>
        <w:jc w:val="both"/>
        <w:rPr>
          <w:rFonts w:ascii="Arial" w:eastAsia="Arial" w:hAnsi="Arial" w:cs="Arial"/>
          <w:sz w:val="22"/>
          <w:szCs w:val="22"/>
        </w:rPr>
      </w:pPr>
      <w:r>
        <w:rPr>
          <w:rFonts w:ascii="Arial" w:eastAsia="Arial" w:hAnsi="Arial" w:cs="Arial"/>
          <w:sz w:val="22"/>
          <w:szCs w:val="22"/>
        </w:rPr>
        <w:t xml:space="preserve">Germination inhibition under salt stress occurs through both osmotic and ionic mechanisms that affect different concentration levels. At low to moderate salinity (50-100 mM NaCl), the osmotic effect </w:t>
      </w:r>
      <w:r w:rsidR="00D87CC0">
        <w:rPr>
          <w:rFonts w:ascii="Arial" w:eastAsia="Arial" w:hAnsi="Arial" w:cs="Arial"/>
          <w:sz w:val="22"/>
          <w:szCs w:val="22"/>
        </w:rPr>
        <w:t>predominates: increased external salt concentrations lower the water potential of the soil solution, thereby reducing the water potential gradient required</w:t>
      </w:r>
      <w:r>
        <w:rPr>
          <w:rFonts w:ascii="Arial" w:eastAsia="Arial" w:hAnsi="Arial" w:cs="Arial"/>
          <w:sz w:val="22"/>
          <w:szCs w:val="22"/>
        </w:rPr>
        <w:t xml:space="preserve"> for seed imbibition. This reduction in water uptake delays or stops the activation of metabolic processes essential for germination, including enzyme activation, reserve mobilization, and radicle emergence. The significant decline in germination between the control and 50 mM NaCl treatments highlights this crucial osmotic threshold </w:t>
      </w:r>
      <w:r w:rsidR="007C24CB">
        <w:rPr>
          <w:rFonts w:ascii="Arial" w:eastAsia="Arial" w:hAnsi="Arial" w:cs="Arial"/>
          <w:sz w:val="22"/>
          <w:szCs w:val="22"/>
        </w:rPr>
        <w:t>[</w:t>
      </w:r>
      <w:hyperlink w:anchor="TWENTYONE" w:history="1">
        <w:r w:rsidR="00505CD6" w:rsidRPr="00505CD6">
          <w:rPr>
            <w:rStyle w:val="Hyperlink"/>
            <w:rFonts w:ascii="Arial" w:eastAsia="Arial" w:hAnsi="Arial" w:cs="Arial"/>
            <w:sz w:val="22"/>
            <w:szCs w:val="22"/>
          </w:rPr>
          <w:t>21</w:t>
        </w:r>
      </w:hyperlink>
      <w:r w:rsidR="007C24CB">
        <w:rPr>
          <w:rFonts w:ascii="Arial" w:eastAsia="Arial" w:hAnsi="Arial" w:cs="Arial"/>
          <w:sz w:val="22"/>
          <w:szCs w:val="22"/>
        </w:rPr>
        <w:t>]</w:t>
      </w:r>
      <w:r>
        <w:rPr>
          <w:rFonts w:ascii="Arial" w:eastAsia="Arial" w:hAnsi="Arial" w:cs="Arial"/>
          <w:sz w:val="22"/>
          <w:szCs w:val="22"/>
        </w:rPr>
        <w:t>;</w:t>
      </w:r>
      <w:r w:rsidR="007C24CB">
        <w:rPr>
          <w:rFonts w:ascii="Arial" w:eastAsia="Arial" w:hAnsi="Arial" w:cs="Arial"/>
          <w:sz w:val="22"/>
          <w:szCs w:val="22"/>
        </w:rPr>
        <w:t>[</w:t>
      </w:r>
      <w:hyperlink w:anchor="TWENTYTHREE" w:history="1">
        <w:r w:rsidR="00505CD6" w:rsidRPr="00505CD6">
          <w:rPr>
            <w:rStyle w:val="Hyperlink"/>
            <w:rFonts w:ascii="Arial" w:eastAsia="Arial" w:hAnsi="Arial" w:cs="Arial"/>
            <w:sz w:val="22"/>
            <w:szCs w:val="22"/>
          </w:rPr>
          <w:t>23</w:t>
        </w:r>
      </w:hyperlink>
      <w:r w:rsidR="007C24CB">
        <w:rPr>
          <w:rFonts w:ascii="Arial" w:eastAsia="Arial" w:hAnsi="Arial" w:cs="Arial"/>
          <w:sz w:val="22"/>
          <w:szCs w:val="22"/>
        </w:rPr>
        <w:t>]</w:t>
      </w:r>
      <w:r>
        <w:rPr>
          <w:rFonts w:ascii="Arial" w:eastAsia="Arial" w:hAnsi="Arial" w:cs="Arial"/>
          <w:sz w:val="22"/>
          <w:szCs w:val="22"/>
        </w:rPr>
        <w:t>.</w:t>
      </w:r>
    </w:p>
    <w:p w14:paraId="1616F854" w14:textId="5278CE27" w:rsidR="006A6223" w:rsidRDefault="00CB4B17"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 At higher concentrations (≥150 mM NaCl), ionic toxicity becomes more prominent. Na</w:t>
      </w:r>
      <w:r>
        <w:rPr>
          <w:rFonts w:ascii="Cambria Math" w:eastAsia="Arial" w:hAnsi="Cambria Math" w:cs="Cambria Math"/>
          <w:sz w:val="22"/>
          <w:szCs w:val="22"/>
        </w:rPr>
        <w:t>⁺</w:t>
      </w:r>
      <w:r>
        <w:rPr>
          <w:rFonts w:ascii="Arial" w:eastAsia="Arial" w:hAnsi="Arial" w:cs="Arial"/>
          <w:sz w:val="22"/>
          <w:szCs w:val="22"/>
        </w:rPr>
        <w:t xml:space="preserve"> and Cl</w:t>
      </w:r>
      <w:r>
        <w:rPr>
          <w:rFonts w:ascii="Cambria Math" w:eastAsia="Arial" w:hAnsi="Cambria Math" w:cs="Cambria Math"/>
          <w:sz w:val="22"/>
          <w:szCs w:val="22"/>
        </w:rPr>
        <w:t>⁻</w:t>
      </w:r>
      <w:r>
        <w:rPr>
          <w:rFonts w:ascii="Arial" w:eastAsia="Arial" w:hAnsi="Arial" w:cs="Arial"/>
          <w:sz w:val="22"/>
          <w:szCs w:val="22"/>
        </w:rPr>
        <w:t xml:space="preserve"> ions entering seed tissues disrupt enzyme activities, damage membrane integrity, and interfere with vital metabolic processes. These ionic effects add to osmotic stress, explaining the gradual decrease in germination across the salinity gradient. Salt stress also increases reactive oxygen species (ROS) production, leading to oxidative damage in cellular components like membranes, proteins, and nucleic</w:t>
      </w:r>
      <w:r w:rsidR="00505CD6">
        <w:rPr>
          <w:rFonts w:ascii="Arial" w:eastAsia="Arial" w:hAnsi="Arial" w:cs="Arial"/>
          <w:sz w:val="22"/>
          <w:szCs w:val="22"/>
        </w:rPr>
        <w:t xml:space="preserve"> acids </w:t>
      </w:r>
      <w:r w:rsidR="007C24CB">
        <w:rPr>
          <w:rFonts w:ascii="Arial" w:eastAsia="Arial" w:hAnsi="Arial" w:cs="Arial"/>
          <w:sz w:val="22"/>
          <w:szCs w:val="22"/>
        </w:rPr>
        <w:t>[</w:t>
      </w:r>
      <w:hyperlink w:anchor="TWENTYTWO" w:history="1">
        <w:r w:rsidR="00505CD6" w:rsidRPr="00505CD6">
          <w:rPr>
            <w:rStyle w:val="Hyperlink"/>
            <w:rFonts w:ascii="Arial" w:eastAsia="Arial" w:hAnsi="Arial" w:cs="Arial"/>
            <w:sz w:val="22"/>
            <w:szCs w:val="22"/>
          </w:rPr>
          <w:t>22</w:t>
        </w:r>
      </w:hyperlink>
      <w:r w:rsidR="007C24CB">
        <w:rPr>
          <w:rFonts w:ascii="Arial" w:eastAsia="Arial" w:hAnsi="Arial" w:cs="Arial"/>
          <w:sz w:val="22"/>
          <w:szCs w:val="22"/>
        </w:rPr>
        <w:t>]</w:t>
      </w:r>
      <w:r>
        <w:rPr>
          <w:rFonts w:ascii="Arial" w:eastAsia="Arial" w:hAnsi="Arial" w:cs="Arial"/>
          <w:sz w:val="22"/>
          <w:szCs w:val="22"/>
        </w:rPr>
        <w:t>. The better performance of varieties SELIAN14 and TARIBEAN 5 may be linked to more effective antioxidant defense systems, possibly involving higher activities of catalase (CAT), peroxidase (POD), and superoxide dismutase (SOD) enzymes that neutralize ROS. Seed priming with compounds like salicylic acid has been shown to boost antioxidant defenses in common bean</w:t>
      </w:r>
      <w:r w:rsidR="00505CD6">
        <w:rPr>
          <w:rFonts w:ascii="Arial" w:eastAsia="Arial" w:hAnsi="Arial" w:cs="Arial"/>
          <w:sz w:val="22"/>
          <w:szCs w:val="22"/>
        </w:rPr>
        <w:t xml:space="preserve"> </w:t>
      </w:r>
      <w:r w:rsidR="007C24CB">
        <w:rPr>
          <w:rFonts w:ascii="Arial" w:eastAsia="Arial" w:hAnsi="Arial" w:cs="Arial"/>
          <w:sz w:val="22"/>
          <w:szCs w:val="22"/>
        </w:rPr>
        <w:t>[</w:t>
      </w:r>
      <w:hyperlink w:anchor="thirtyfour" w:history="1">
        <w:r w:rsidR="00505CD6" w:rsidRPr="00505CD6">
          <w:rPr>
            <w:rStyle w:val="Hyperlink"/>
            <w:rFonts w:ascii="Arial" w:eastAsia="Arial" w:hAnsi="Arial" w:cs="Arial"/>
            <w:sz w:val="22"/>
            <w:szCs w:val="22"/>
          </w:rPr>
          <w:t>34</w:t>
        </w:r>
      </w:hyperlink>
      <w:r w:rsidR="007C24CB">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lastRenderedPageBreak/>
        <w:t xml:space="preserve">suggesting a potential agronomic method to improve stress tolerance even in moderately sensitive varieties. </w:t>
      </w:r>
    </w:p>
    <w:p w14:paraId="0A789204" w14:textId="6E9AABE1" w:rsidR="006A6223" w:rsidRDefault="00CB4B17" w:rsidP="00902E55">
      <w:pPr>
        <w:spacing w:after="200" w:line="240" w:lineRule="auto"/>
        <w:jc w:val="both"/>
        <w:rPr>
          <w:rFonts w:ascii="Arial" w:eastAsia="Arial" w:hAnsi="Arial" w:cs="Arial"/>
          <w:sz w:val="22"/>
          <w:szCs w:val="22"/>
        </w:rPr>
      </w:pPr>
      <w:r>
        <w:rPr>
          <w:rFonts w:ascii="Arial" w:eastAsia="Arial" w:hAnsi="Arial" w:cs="Arial"/>
          <w:sz w:val="22"/>
          <w:szCs w:val="22"/>
        </w:rPr>
        <w:t>The increase in abnormal germination under salt stress</w:t>
      </w:r>
      <w:r w:rsidR="001F73EB">
        <w:rPr>
          <w:rFonts w:ascii="Arial" w:eastAsia="Arial" w:hAnsi="Arial" w:cs="Arial"/>
          <w:sz w:val="22"/>
          <w:szCs w:val="22"/>
        </w:rPr>
        <w:t xml:space="preserve">, although statistically significant, was relatively modest compared to the </w:t>
      </w:r>
      <w:r>
        <w:rPr>
          <w:rFonts w:ascii="Arial" w:eastAsia="Arial" w:hAnsi="Arial" w:cs="Arial"/>
          <w:sz w:val="22"/>
          <w:szCs w:val="22"/>
        </w:rPr>
        <w:t>effects on other parameters. This indicates that salinity mainly inhibits germination initiation rather than causing developmental abnormalities in germinating seeds. However, any occurrence of abnormal germination under stress indicates disruption in developmental regulation, possibly due to ion imbalances that interfere with hormonal signaling pathways responsible for radicle and plumule development. Some studies have shown that halopriming (pre-conditioning seeds with salt solutions) can improve subsequent germination, seedling establishment, and even fruit production by triggering adaptive physiological and biochemical changes</w:t>
      </w:r>
      <w:r w:rsidR="00D210C0">
        <w:rPr>
          <w:rFonts w:ascii="Arial" w:eastAsia="Arial" w:hAnsi="Arial" w:cs="Arial"/>
          <w:sz w:val="22"/>
          <w:szCs w:val="22"/>
        </w:rPr>
        <w:t xml:space="preserve"> </w:t>
      </w:r>
      <w:r w:rsidR="007C24CB">
        <w:rPr>
          <w:rFonts w:ascii="Arial" w:eastAsia="Arial" w:hAnsi="Arial" w:cs="Arial"/>
          <w:sz w:val="22"/>
          <w:szCs w:val="22"/>
        </w:rPr>
        <w:t>[</w:t>
      </w:r>
      <w:hyperlink w:anchor="thirtyfive" w:history="1">
        <w:r w:rsidR="00505CD6" w:rsidRPr="00D210C0">
          <w:rPr>
            <w:rStyle w:val="Hyperlink"/>
            <w:rFonts w:ascii="Arial" w:eastAsia="Arial" w:hAnsi="Arial" w:cs="Arial"/>
            <w:sz w:val="22"/>
            <w:szCs w:val="22"/>
          </w:rPr>
          <w:t>35</w:t>
        </w:r>
      </w:hyperlink>
      <w:r w:rsidR="007C24CB">
        <w:rPr>
          <w:rFonts w:ascii="Arial" w:eastAsia="Arial" w:hAnsi="Arial" w:cs="Arial"/>
          <w:sz w:val="22"/>
          <w:szCs w:val="22"/>
        </w:rPr>
        <w:t>]</w:t>
      </w:r>
      <w:r>
        <w:rPr>
          <w:rFonts w:ascii="Arial" w:eastAsia="Arial" w:hAnsi="Arial" w:cs="Arial"/>
          <w:sz w:val="22"/>
          <w:szCs w:val="22"/>
        </w:rPr>
        <w:t xml:space="preserve">. </w:t>
      </w:r>
    </w:p>
    <w:p w14:paraId="142BE9D7" w14:textId="025DAB3D" w:rsidR="006A6223" w:rsidRDefault="00CB4B17" w:rsidP="00902E55">
      <w:pPr>
        <w:spacing w:after="200" w:line="240" w:lineRule="auto"/>
        <w:jc w:val="both"/>
        <w:rPr>
          <w:rFonts w:ascii="Arial" w:eastAsia="Arial" w:hAnsi="Arial" w:cs="Arial"/>
          <w:sz w:val="22"/>
          <w:szCs w:val="22"/>
        </w:rPr>
      </w:pPr>
      <w:r>
        <w:rPr>
          <w:rFonts w:ascii="Arial" w:eastAsia="Arial" w:hAnsi="Arial" w:cs="Arial"/>
          <w:sz w:val="22"/>
          <w:szCs w:val="22"/>
        </w:rPr>
        <w:t>The relatively low rate of abnormal germination observed in the biofortified varieties tested here may reflect inherent developmental stability that could be further enhanced through specific seed treatments. The tolerance differences among varieties likely involve ion balance and osmotic regulation. Salt-tolerant genotypes often restrict Na</w:t>
      </w:r>
      <w:r>
        <w:rPr>
          <w:rFonts w:ascii="Cambria Math" w:eastAsia="Arial" w:hAnsi="Cambria Math" w:cs="Cambria Math"/>
          <w:sz w:val="22"/>
          <w:szCs w:val="22"/>
        </w:rPr>
        <w:t>⁺</w:t>
      </w:r>
      <w:r>
        <w:rPr>
          <w:rFonts w:ascii="Arial" w:eastAsia="Arial" w:hAnsi="Arial" w:cs="Arial"/>
          <w:sz w:val="22"/>
          <w:szCs w:val="22"/>
        </w:rPr>
        <w:t xml:space="preserve"> transport to shoots, maintaining higher K</w:t>
      </w:r>
      <w:r>
        <w:rPr>
          <w:rFonts w:ascii="Cambria Math" w:eastAsia="Arial" w:hAnsi="Cambria Math" w:cs="Cambria Math"/>
          <w:sz w:val="22"/>
          <w:szCs w:val="22"/>
        </w:rPr>
        <w:t>⁺</w:t>
      </w:r>
      <w:r>
        <w:rPr>
          <w:rFonts w:ascii="Arial" w:eastAsia="Arial" w:hAnsi="Arial" w:cs="Arial"/>
          <w:sz w:val="22"/>
          <w:szCs w:val="22"/>
        </w:rPr>
        <w:t>/Na</w:t>
      </w:r>
      <w:r>
        <w:rPr>
          <w:rFonts w:ascii="Cambria Math" w:eastAsia="Arial" w:hAnsi="Cambria Math" w:cs="Cambria Math"/>
          <w:sz w:val="22"/>
          <w:szCs w:val="22"/>
        </w:rPr>
        <w:t>⁺</w:t>
      </w:r>
      <w:r>
        <w:rPr>
          <w:rFonts w:ascii="Arial" w:eastAsia="Arial" w:hAnsi="Arial" w:cs="Arial"/>
          <w:sz w:val="22"/>
          <w:szCs w:val="22"/>
        </w:rPr>
        <w:t xml:space="preserve"> ratios in tissues critical for enzyme activity and metabolism</w:t>
      </w:r>
      <w:r w:rsidR="00D210C0">
        <w:rPr>
          <w:rFonts w:ascii="Arial" w:eastAsia="Arial" w:hAnsi="Arial" w:cs="Arial"/>
          <w:sz w:val="22"/>
          <w:szCs w:val="22"/>
        </w:rPr>
        <w:t xml:space="preserve"> </w:t>
      </w:r>
      <w:r w:rsidR="007C24CB">
        <w:rPr>
          <w:rFonts w:ascii="Arial" w:eastAsia="Arial" w:hAnsi="Arial" w:cs="Arial"/>
          <w:sz w:val="22"/>
          <w:szCs w:val="22"/>
        </w:rPr>
        <w:t>[</w:t>
      </w:r>
      <w:hyperlink w:anchor="TWENTYSIX" w:history="1">
        <w:r w:rsidR="00D210C0" w:rsidRPr="00D210C0">
          <w:rPr>
            <w:rStyle w:val="Hyperlink"/>
            <w:rFonts w:ascii="Arial" w:eastAsia="Arial" w:hAnsi="Arial" w:cs="Arial"/>
            <w:sz w:val="22"/>
            <w:szCs w:val="22"/>
          </w:rPr>
          <w:t>26</w:t>
        </w:r>
      </w:hyperlink>
      <w:r w:rsidR="007C24CB">
        <w:rPr>
          <w:rFonts w:ascii="Arial" w:eastAsia="Arial" w:hAnsi="Arial" w:cs="Arial"/>
          <w:sz w:val="22"/>
          <w:szCs w:val="22"/>
        </w:rPr>
        <w:t>]</w:t>
      </w:r>
      <w:r>
        <w:rPr>
          <w:rFonts w:ascii="Arial" w:eastAsia="Arial" w:hAnsi="Arial" w:cs="Arial"/>
          <w:sz w:val="22"/>
          <w:szCs w:val="22"/>
        </w:rPr>
        <w:t xml:space="preserve">. Better shoot and root biomass maintenance in SELIAN14 suggests an enhanced ability to absorb ions and compartmentalize them selectively. Root-to-shoot ratio and antioxidant enzyme activities, especially SOD, have been linked to salt stress sensitivity in common bean seedlings, providing potential biochemical markers for early breeding selection </w:t>
      </w:r>
      <w:r w:rsidR="00780AB0">
        <w:rPr>
          <w:rFonts w:ascii="Arial" w:eastAsia="Arial" w:hAnsi="Arial" w:cs="Arial"/>
          <w:sz w:val="22"/>
          <w:szCs w:val="22"/>
        </w:rPr>
        <w:t xml:space="preserve"> [</w:t>
      </w:r>
      <w:hyperlink w:anchor="thiertysix" w:history="1">
        <w:r w:rsidR="00D654A6" w:rsidRPr="00D654A6">
          <w:rPr>
            <w:rStyle w:val="Hyperlink"/>
            <w:rFonts w:ascii="Arial" w:eastAsia="Arial" w:hAnsi="Arial" w:cs="Arial"/>
            <w:sz w:val="22"/>
            <w:szCs w:val="22"/>
          </w:rPr>
          <w:t>36</w:t>
        </w:r>
      </w:hyperlink>
      <w:r w:rsidR="00780AB0">
        <w:rPr>
          <w:rFonts w:ascii="Arial" w:eastAsia="Arial" w:hAnsi="Arial" w:cs="Arial"/>
          <w:sz w:val="22"/>
          <w:szCs w:val="22"/>
        </w:rPr>
        <w:t>]</w:t>
      </w:r>
      <w:r>
        <w:rPr>
          <w:rFonts w:ascii="Arial" w:eastAsia="Arial" w:hAnsi="Arial" w:cs="Arial"/>
          <w:sz w:val="22"/>
          <w:szCs w:val="22"/>
        </w:rPr>
        <w:t xml:space="preserve">. </w:t>
      </w:r>
    </w:p>
    <w:p w14:paraId="144849FB" w14:textId="0A4E7C6C" w:rsidR="00902E55" w:rsidRPr="00902E55" w:rsidRDefault="00CB4B17"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The mechanisms underlying salt tolerance in SELIAN14 and TARIBEAN 5 likely involve coordinated regulation of multiple physiological processes at cellular, tissue, and whole-plant levels. At the molecular level, salt tolerance in common bean involves genes for ATP-binding cassette transporters (for ion compartmentalization), transcription factors (for coordinated stress gene expression), and proteins involved in signal transduction pathways that detect and respond to osmotic and ionic stresses </w:t>
      </w:r>
      <w:r w:rsidR="00780AB0">
        <w:rPr>
          <w:rFonts w:ascii="Arial" w:eastAsia="Arial" w:hAnsi="Arial" w:cs="Arial"/>
          <w:sz w:val="22"/>
          <w:szCs w:val="22"/>
        </w:rPr>
        <w:t>[</w:t>
      </w:r>
      <w:hyperlink w:anchor="NINTEEN" w:history="1">
        <w:r w:rsidR="00D654A6" w:rsidRPr="00D654A6">
          <w:rPr>
            <w:rStyle w:val="Hyperlink"/>
            <w:rFonts w:ascii="Arial" w:eastAsia="Arial" w:hAnsi="Arial" w:cs="Arial"/>
            <w:sz w:val="22"/>
            <w:szCs w:val="22"/>
          </w:rPr>
          <w:t>19</w:t>
        </w:r>
      </w:hyperlink>
      <w:r w:rsidR="00780AB0">
        <w:rPr>
          <w:rFonts w:ascii="Arial" w:eastAsia="Arial" w:hAnsi="Arial" w:cs="Arial"/>
          <w:sz w:val="22"/>
          <w:szCs w:val="22"/>
        </w:rPr>
        <w:t>]</w:t>
      </w:r>
      <w:r>
        <w:rPr>
          <w:rFonts w:ascii="Arial" w:eastAsia="Arial" w:hAnsi="Arial" w:cs="Arial"/>
          <w:sz w:val="22"/>
          <w:szCs w:val="22"/>
        </w:rPr>
        <w:t>. Osmotic adjustment through the accumulation of compatible solutes (such as proline, glycine betaine, and sugars) helps maintain turgor pressure and cell expansion under salt stress. Simultaneously, the compartmentalization of Na</w:t>
      </w:r>
      <w:r>
        <w:rPr>
          <w:rFonts w:ascii="Cambria Math" w:eastAsia="Arial" w:hAnsi="Cambria Math" w:cs="Cambria Math"/>
          <w:sz w:val="22"/>
          <w:szCs w:val="22"/>
        </w:rPr>
        <w:t>⁺</w:t>
      </w:r>
      <w:r>
        <w:rPr>
          <w:rFonts w:ascii="Arial" w:eastAsia="Arial" w:hAnsi="Arial" w:cs="Arial"/>
          <w:sz w:val="22"/>
          <w:szCs w:val="22"/>
        </w:rPr>
        <w:t xml:space="preserve"> and Cl</w:t>
      </w:r>
      <w:r>
        <w:rPr>
          <w:rFonts w:ascii="Cambria Math" w:eastAsia="Arial" w:hAnsi="Cambria Math" w:cs="Cambria Math"/>
          <w:sz w:val="22"/>
          <w:szCs w:val="22"/>
        </w:rPr>
        <w:t>⁻</w:t>
      </w:r>
      <w:r>
        <w:rPr>
          <w:rFonts w:ascii="Arial" w:eastAsia="Arial" w:hAnsi="Arial" w:cs="Arial"/>
          <w:sz w:val="22"/>
          <w:szCs w:val="22"/>
        </w:rPr>
        <w:t xml:space="preserve"> into vacuoles prevents ionic toxicity in the cytoplasm. Enhanced expression of antioxidant enzymes defends against oxidative damage, while stress-responsive transcription factors regulate the expression of multiple genes involved in these protective mechanisms</w:t>
      </w:r>
      <w:r w:rsidR="00D654A6">
        <w:rPr>
          <w:rFonts w:ascii="Arial" w:eastAsia="Arial" w:hAnsi="Arial" w:cs="Arial"/>
          <w:sz w:val="22"/>
          <w:szCs w:val="22"/>
        </w:rPr>
        <w:t xml:space="preserve"> </w:t>
      </w:r>
      <w:r w:rsidR="00780AB0">
        <w:rPr>
          <w:rFonts w:ascii="Arial" w:eastAsia="Arial" w:hAnsi="Arial" w:cs="Arial"/>
          <w:sz w:val="22"/>
          <w:szCs w:val="22"/>
        </w:rPr>
        <w:t>[</w:t>
      </w:r>
      <w:hyperlink w:anchor="twentynine" w:history="1">
        <w:r w:rsidR="00D654A6" w:rsidRPr="00D654A6">
          <w:rPr>
            <w:rStyle w:val="Hyperlink"/>
            <w:rFonts w:ascii="Arial" w:eastAsia="Arial" w:hAnsi="Arial" w:cs="Arial"/>
            <w:sz w:val="22"/>
            <w:szCs w:val="22"/>
          </w:rPr>
          <w:t>29</w:t>
        </w:r>
      </w:hyperlink>
      <w:r w:rsidR="00780AB0">
        <w:rPr>
          <w:rFonts w:ascii="Arial" w:eastAsia="Arial" w:hAnsi="Arial" w:cs="Arial"/>
          <w:sz w:val="22"/>
          <w:szCs w:val="22"/>
        </w:rPr>
        <w:t>]</w:t>
      </w:r>
      <w:r>
        <w:rPr>
          <w:rFonts w:ascii="Arial" w:eastAsia="Arial" w:hAnsi="Arial" w:cs="Arial"/>
          <w:sz w:val="22"/>
          <w:szCs w:val="22"/>
        </w:rPr>
        <w:t xml:space="preserve">. Understanding these integrated mechanisms </w:t>
      </w:r>
      <w:r w:rsidR="00D87CC0">
        <w:rPr>
          <w:rFonts w:ascii="Arial" w:eastAsia="Arial" w:hAnsi="Arial" w:cs="Arial"/>
          <w:sz w:val="22"/>
          <w:szCs w:val="22"/>
        </w:rPr>
        <w:t>provides a framework for developing breeding strategies that combine multiple tolerance traits to achieve robust,</w:t>
      </w:r>
      <w:r>
        <w:rPr>
          <w:rFonts w:ascii="Arial" w:eastAsia="Arial" w:hAnsi="Arial" w:cs="Arial"/>
          <w:sz w:val="22"/>
          <w:szCs w:val="22"/>
        </w:rPr>
        <w:t xml:space="preserve"> stable performance across diverse saline environments.</w:t>
      </w:r>
    </w:p>
    <w:p w14:paraId="31AB9D74" w14:textId="75B4B862" w:rsidR="005631DB" w:rsidRPr="009B366E" w:rsidRDefault="00715CFB" w:rsidP="00715CFB">
      <w:pPr>
        <w:spacing w:before="120" w:after="120" w:line="276" w:lineRule="auto"/>
        <w:rPr>
          <w:rFonts w:ascii="Arial" w:hAnsi="Arial" w:cs="Arial"/>
          <w:sz w:val="22"/>
          <w:szCs w:val="22"/>
        </w:rPr>
      </w:pPr>
      <w:r>
        <w:rPr>
          <w:rFonts w:ascii="Arial" w:hAnsi="Arial" w:cs="Arial"/>
          <w:b/>
          <w:bCs/>
          <w:sz w:val="22"/>
          <w:szCs w:val="22"/>
        </w:rPr>
        <w:t xml:space="preserve">5. </w:t>
      </w:r>
      <w:r w:rsidR="00AF2713" w:rsidRPr="009B366E">
        <w:rPr>
          <w:rFonts w:ascii="Arial" w:hAnsi="Arial" w:cs="Arial"/>
          <w:b/>
          <w:bCs/>
          <w:sz w:val="22"/>
          <w:szCs w:val="22"/>
        </w:rPr>
        <w:t>CONCLUSION</w:t>
      </w:r>
      <w:r w:rsidR="00AF2713">
        <w:rPr>
          <w:rFonts w:ascii="Arial" w:hAnsi="Arial" w:cs="Arial"/>
          <w:b/>
          <w:bCs/>
          <w:sz w:val="22"/>
          <w:szCs w:val="22"/>
        </w:rPr>
        <w:t xml:space="preserve"> AND RECOMMENDATION</w:t>
      </w:r>
    </w:p>
    <w:p w14:paraId="1F600024" w14:textId="0128BA99" w:rsidR="000A1993" w:rsidRDefault="00E77146" w:rsidP="0018624A">
      <w:pPr>
        <w:spacing w:before="120" w:after="120" w:line="276" w:lineRule="auto"/>
        <w:jc w:val="both"/>
        <w:rPr>
          <w:rFonts w:ascii="Arial" w:hAnsi="Arial" w:cs="Arial"/>
          <w:sz w:val="22"/>
          <w:szCs w:val="22"/>
        </w:rPr>
      </w:pPr>
      <w:r>
        <w:rPr>
          <w:rFonts w:ascii="Arial" w:hAnsi="Arial" w:cs="Arial"/>
          <w:sz w:val="22"/>
          <w:szCs w:val="22"/>
        </w:rPr>
        <w:t>This study shows salinity stress significantly impairs seed germination and seedling growth in both biofortified and non-biofortified common bean varieties, potentially reducing yields. The effects were dose-dependent, with notable decreases even at moderate salt levels (50 mM NaCl) and further at higher concentrations (100-150 mM NaCl). Of the seven varieties evaluated, three biofortified ones</w:t>
      </w:r>
      <w:r w:rsidR="00DE0C1E">
        <w:rPr>
          <w:rFonts w:ascii="Arial" w:hAnsi="Arial" w:cs="Arial"/>
          <w:sz w:val="22"/>
          <w:szCs w:val="22"/>
        </w:rPr>
        <w:t>, SELIAN14 (S14), TARIBEAN 5, and TARIBEAN 6,</w:t>
      </w:r>
      <w:r>
        <w:rPr>
          <w:rFonts w:ascii="Arial" w:hAnsi="Arial" w:cs="Arial"/>
          <w:sz w:val="22"/>
          <w:szCs w:val="22"/>
        </w:rPr>
        <w:t xml:space="preserve"> showed greater salinity tolerance, maintaining higher germination, biomass, and seedling vigor. </w:t>
      </w:r>
    </w:p>
    <w:p w14:paraId="56270FE3" w14:textId="1512E1F5" w:rsidR="00AF2713" w:rsidRPr="009B366E" w:rsidRDefault="00E77146" w:rsidP="0018624A">
      <w:pPr>
        <w:spacing w:before="120" w:after="120" w:line="276" w:lineRule="auto"/>
        <w:jc w:val="both"/>
        <w:rPr>
          <w:rFonts w:ascii="Arial" w:hAnsi="Arial" w:cs="Arial"/>
          <w:sz w:val="22"/>
          <w:szCs w:val="22"/>
        </w:rPr>
      </w:pPr>
      <w:r>
        <w:rPr>
          <w:rFonts w:ascii="Arial" w:hAnsi="Arial" w:cs="Arial"/>
          <w:sz w:val="22"/>
          <w:szCs w:val="22"/>
        </w:rPr>
        <w:t xml:space="preserve">SELIAN14 retained its fresh and dry biomass under saline conditions, while TARIBEAN 5 showed the highest seedling vigor indices. TARIBEAN 2 scored lowest on most parameters, indicating salt sensitivity. The absence of significant interactions between variety and salinity suggests performance rankings are stable across salt levels. </w:t>
      </w:r>
    </w:p>
    <w:p w14:paraId="4294AAD6" w14:textId="08BDBCC4" w:rsidR="00B15531" w:rsidRDefault="00E77146" w:rsidP="0018624A">
      <w:pPr>
        <w:spacing w:before="120" w:after="120" w:line="276" w:lineRule="auto"/>
        <w:jc w:val="both"/>
        <w:rPr>
          <w:rFonts w:ascii="Arial" w:hAnsi="Arial" w:cs="Arial"/>
          <w:sz w:val="22"/>
          <w:szCs w:val="22"/>
        </w:rPr>
      </w:pPr>
      <w:r>
        <w:rPr>
          <w:rFonts w:ascii="Arial" w:hAnsi="Arial" w:cs="Arial"/>
          <w:sz w:val="22"/>
          <w:szCs w:val="22"/>
        </w:rPr>
        <w:t xml:space="preserve">Based on this study, the salt-tolerant biofortified varieties SELIAN14, TARIBEAN 5, and TARIBEAN 6 are recommended for cultivation in moderately saline areas of Tanzania and similar regions in sub-Saharan Africa. These varieties offer improved nutritional quality and </w:t>
      </w:r>
      <w:r>
        <w:rPr>
          <w:rFonts w:ascii="Arial" w:hAnsi="Arial" w:cs="Arial"/>
          <w:sz w:val="22"/>
          <w:szCs w:val="22"/>
        </w:rPr>
        <w:lastRenderedPageBreak/>
        <w:t>better salinity tolerance during establishment. To optimize productivity in salt-affected areas, supplemental agronomic practices</w:t>
      </w:r>
      <w:r w:rsidR="00DE0C1E">
        <w:rPr>
          <w:rFonts w:ascii="Arial" w:hAnsi="Arial" w:cs="Arial"/>
          <w:sz w:val="22"/>
          <w:szCs w:val="22"/>
        </w:rPr>
        <w:t>, including soil, water, variety, and nutrient management,</w:t>
      </w:r>
      <w:r>
        <w:rPr>
          <w:rFonts w:ascii="Arial" w:hAnsi="Arial" w:cs="Arial"/>
          <w:sz w:val="22"/>
          <w:szCs w:val="22"/>
        </w:rPr>
        <w:t xml:space="preserve"> should be implemented. Seed priming with salicylic acid </w:t>
      </w:r>
      <w:r w:rsidR="00DE0C1E">
        <w:rPr>
          <w:rFonts w:ascii="Arial" w:hAnsi="Arial" w:cs="Arial"/>
          <w:sz w:val="22"/>
          <w:szCs w:val="22"/>
        </w:rPr>
        <w:t xml:space="preserve">prior to planting is recommended to enhance antioxidant defenses and </w:t>
      </w:r>
      <w:r>
        <w:rPr>
          <w:rFonts w:ascii="Arial" w:hAnsi="Arial" w:cs="Arial"/>
          <w:sz w:val="22"/>
          <w:szCs w:val="22"/>
        </w:rPr>
        <w:t>salt stress tolerance during germination. For breeding</w:t>
      </w:r>
      <w:r w:rsidR="00DE0C1E">
        <w:rPr>
          <w:rFonts w:ascii="Arial" w:hAnsi="Arial" w:cs="Arial"/>
          <w:sz w:val="22"/>
          <w:szCs w:val="22"/>
        </w:rPr>
        <w:t>, variety rankings across salinity levels support the use of controlled-screening</w:t>
      </w:r>
      <w:r>
        <w:rPr>
          <w:rFonts w:ascii="Arial" w:hAnsi="Arial" w:cs="Arial"/>
          <w:sz w:val="22"/>
          <w:szCs w:val="22"/>
        </w:rPr>
        <w:t xml:space="preserve"> environments </w:t>
      </w:r>
      <w:r w:rsidR="00DE0C1E">
        <w:rPr>
          <w:rFonts w:ascii="Arial" w:hAnsi="Arial" w:cs="Arial"/>
          <w:sz w:val="22"/>
          <w:szCs w:val="22"/>
        </w:rPr>
        <w:t>to select salt-tolerant genotypes efficiently</w:t>
      </w:r>
      <w:r>
        <w:rPr>
          <w:rFonts w:ascii="Arial" w:hAnsi="Arial" w:cs="Arial"/>
          <w:sz w:val="22"/>
          <w:szCs w:val="22"/>
        </w:rPr>
        <w:t xml:space="preserve">. SELIAN14 and TARIBEAN 5 are recommended as donor parents for salt tolerance traits in breeding programs. </w:t>
      </w:r>
    </w:p>
    <w:p w14:paraId="0EF1AAB1" w14:textId="5FD20E4A" w:rsidR="009E79A4" w:rsidRDefault="00E77146" w:rsidP="0018624A">
      <w:pPr>
        <w:spacing w:before="120" w:after="120" w:line="276" w:lineRule="auto"/>
        <w:jc w:val="both"/>
        <w:rPr>
          <w:rFonts w:ascii="Arial" w:hAnsi="Arial" w:cs="Arial"/>
          <w:sz w:val="22"/>
          <w:szCs w:val="22"/>
        </w:rPr>
      </w:pPr>
      <w:r>
        <w:rPr>
          <w:rFonts w:ascii="Arial" w:hAnsi="Arial" w:cs="Arial"/>
          <w:sz w:val="22"/>
          <w:szCs w:val="22"/>
        </w:rPr>
        <w:t xml:space="preserve">Future research should validate salt-tolerant varieties (SELIAN 14, TARIBEAN 5, 6) </w:t>
      </w:r>
      <w:r w:rsidR="00DE0C1E">
        <w:rPr>
          <w:rFonts w:ascii="Arial" w:hAnsi="Arial" w:cs="Arial"/>
          <w:sz w:val="22"/>
          <w:szCs w:val="22"/>
        </w:rPr>
        <w:t>across multiple saline environments to corroborate laboratory</w:t>
      </w:r>
      <w:r>
        <w:rPr>
          <w:rFonts w:ascii="Arial" w:hAnsi="Arial" w:cs="Arial"/>
          <w:sz w:val="22"/>
          <w:szCs w:val="22"/>
        </w:rPr>
        <w:t xml:space="preserve"> results and assess yield stability. Studies should </w:t>
      </w:r>
      <w:r w:rsidR="00DE0C1E">
        <w:rPr>
          <w:rFonts w:ascii="Arial" w:hAnsi="Arial" w:cs="Arial"/>
          <w:sz w:val="22"/>
          <w:szCs w:val="22"/>
        </w:rPr>
        <w:t>examine the molecular, biochemical, and physiological mechanisms underlying salt tolerance, including antioxidant activity, ion homeostasis</w:t>
      </w:r>
      <w:r>
        <w:rPr>
          <w:rFonts w:ascii="Arial" w:hAnsi="Arial" w:cs="Arial"/>
          <w:sz w:val="22"/>
          <w:szCs w:val="22"/>
        </w:rPr>
        <w:t xml:space="preserve">, and osmotic adjustment. Nutritional assessments are needed to examine how salt stress affects seed iron and zinc levels to meet biofortification goals. Developing markers for salt-tolerance traits will aid marker-assisted breeding for climate-resilient, biofortified crops. </w:t>
      </w:r>
    </w:p>
    <w:p w14:paraId="437DF20F" w14:textId="527BD212" w:rsidR="005631DB" w:rsidRPr="009700F0" w:rsidRDefault="00E77146" w:rsidP="0018624A">
      <w:pPr>
        <w:spacing w:before="120" w:after="120" w:line="276" w:lineRule="auto"/>
        <w:jc w:val="both"/>
        <w:rPr>
          <w:rFonts w:ascii="Arial" w:hAnsi="Arial" w:cs="Arial"/>
          <w:sz w:val="22"/>
          <w:szCs w:val="22"/>
        </w:rPr>
      </w:pPr>
      <w:r>
        <w:rPr>
          <w:rFonts w:ascii="Arial" w:hAnsi="Arial" w:cs="Arial"/>
          <w:sz w:val="22"/>
          <w:szCs w:val="22"/>
        </w:rPr>
        <w:t>Finally, assessing how these varieties perform under combined stress conditions will provide insights into their resilience in real-world climate change scenarios. Combining genomic techniques with conventional breeding methods creates promising prospects for developing next-generation biofortified varieties that are better equipped to handle climate challenges.</w:t>
      </w:r>
    </w:p>
    <w:p w14:paraId="32B3065A" w14:textId="77777777" w:rsidR="003002B1" w:rsidRDefault="003002B1" w:rsidP="00592340">
      <w:pPr>
        <w:spacing w:line="276" w:lineRule="auto"/>
        <w:rPr>
          <w:rFonts w:ascii="Arial" w:hAnsi="Arial" w:cs="Arial"/>
          <w:b/>
          <w:bCs/>
          <w:sz w:val="22"/>
          <w:szCs w:val="22"/>
        </w:rPr>
      </w:pPr>
    </w:p>
    <w:p w14:paraId="7B8B563B" w14:textId="221FA2BE" w:rsidR="00841F02" w:rsidRPr="00841F02" w:rsidRDefault="00841F02" w:rsidP="00592340">
      <w:pPr>
        <w:spacing w:line="276" w:lineRule="auto"/>
        <w:rPr>
          <w:rFonts w:ascii="Arial" w:hAnsi="Arial" w:cs="Arial"/>
          <w:b/>
          <w:bCs/>
          <w:sz w:val="22"/>
          <w:szCs w:val="22"/>
        </w:rPr>
      </w:pPr>
      <w:r w:rsidRPr="00841F02">
        <w:rPr>
          <w:rFonts w:ascii="Arial" w:hAnsi="Arial" w:cs="Arial"/>
          <w:b/>
          <w:bCs/>
          <w:sz w:val="22"/>
          <w:szCs w:val="22"/>
        </w:rPr>
        <w:t>CONSENT FOR PUBLICATION</w:t>
      </w:r>
    </w:p>
    <w:p w14:paraId="6BEF7460" w14:textId="3AD60E37" w:rsidR="00AE7091" w:rsidRDefault="00841F02" w:rsidP="00592340">
      <w:pPr>
        <w:spacing w:line="276" w:lineRule="auto"/>
        <w:jc w:val="both"/>
        <w:rPr>
          <w:rFonts w:ascii="Arial" w:hAnsi="Arial" w:cs="Arial"/>
          <w:sz w:val="22"/>
          <w:szCs w:val="22"/>
        </w:rPr>
      </w:pPr>
      <w:r w:rsidRPr="00841F02">
        <w:rPr>
          <w:rFonts w:ascii="Arial" w:hAnsi="Arial" w:cs="Arial"/>
          <w:sz w:val="22"/>
          <w:szCs w:val="22"/>
        </w:rPr>
        <w:t>This study did not involve human participants, human data, or human tissue. The research was conducted exclusively on plant materials; therefore, no consent for publication was required.</w:t>
      </w:r>
    </w:p>
    <w:p w14:paraId="40EC1FBC" w14:textId="77777777" w:rsidR="0078424D" w:rsidRPr="0078424D" w:rsidRDefault="0078424D" w:rsidP="0078424D">
      <w:pPr>
        <w:spacing w:line="276" w:lineRule="auto"/>
        <w:jc w:val="both"/>
        <w:rPr>
          <w:rFonts w:ascii="Arial" w:hAnsi="Arial" w:cs="Arial"/>
          <w:sz w:val="22"/>
          <w:szCs w:val="22"/>
        </w:rPr>
      </w:pPr>
    </w:p>
    <w:p w14:paraId="4C3374E6" w14:textId="77777777" w:rsidR="00152054" w:rsidRPr="00152054" w:rsidRDefault="00152054" w:rsidP="00152054">
      <w:pPr>
        <w:spacing w:line="240" w:lineRule="auto"/>
        <w:rPr>
          <w:rFonts w:ascii="Arial" w:hAnsi="Arial" w:cs="Arial"/>
          <w:b/>
          <w:bCs/>
          <w:sz w:val="22"/>
          <w:szCs w:val="22"/>
        </w:rPr>
      </w:pPr>
      <w:r w:rsidRPr="00152054">
        <w:rPr>
          <w:rFonts w:ascii="Arial" w:hAnsi="Arial" w:cs="Arial"/>
          <w:b/>
          <w:bCs/>
          <w:sz w:val="22"/>
          <w:szCs w:val="22"/>
        </w:rPr>
        <w:t>Ethical Approval</w:t>
      </w:r>
    </w:p>
    <w:p w14:paraId="6D187A43" w14:textId="77777777" w:rsidR="00152054" w:rsidRDefault="00152054" w:rsidP="00702DD4">
      <w:pPr>
        <w:spacing w:line="276" w:lineRule="auto"/>
        <w:jc w:val="both"/>
        <w:rPr>
          <w:rFonts w:ascii="Arial" w:hAnsi="Arial" w:cs="Arial"/>
          <w:sz w:val="22"/>
          <w:szCs w:val="22"/>
        </w:rPr>
      </w:pPr>
      <w:r w:rsidRPr="00152054">
        <w:rPr>
          <w:rFonts w:ascii="Arial" w:hAnsi="Arial" w:cs="Arial"/>
          <w:sz w:val="22"/>
          <w:szCs w:val="22"/>
        </w:rPr>
        <w:t>This study involved agricultural research on plant materials and did not require ethical approval as no human participants or animals were involved. All experiments were conducted in accordance with institutional guidelines and national regulations governing agricultural research in Tanzania.</w:t>
      </w:r>
    </w:p>
    <w:p w14:paraId="4DA65BA4" w14:textId="77777777" w:rsidR="003D3DB8" w:rsidRDefault="003D3DB8" w:rsidP="00702DD4">
      <w:pPr>
        <w:spacing w:line="276" w:lineRule="auto"/>
        <w:jc w:val="both"/>
        <w:rPr>
          <w:rFonts w:ascii="Arial" w:hAnsi="Arial" w:cs="Arial"/>
          <w:sz w:val="22"/>
          <w:szCs w:val="22"/>
        </w:rPr>
      </w:pPr>
    </w:p>
    <w:p w14:paraId="57403214" w14:textId="77777777" w:rsidR="003D3DB8" w:rsidRPr="003D3DB8" w:rsidRDefault="003D3DB8" w:rsidP="003D3DB8">
      <w:pPr>
        <w:spacing w:line="276" w:lineRule="auto"/>
        <w:jc w:val="both"/>
        <w:rPr>
          <w:rFonts w:ascii="Arial" w:hAnsi="Arial" w:cs="Arial"/>
          <w:sz w:val="22"/>
          <w:szCs w:val="22"/>
        </w:rPr>
      </w:pPr>
      <w:r w:rsidRPr="003D3DB8">
        <w:rPr>
          <w:rFonts w:ascii="Arial" w:hAnsi="Arial" w:cs="Arial"/>
          <w:sz w:val="22"/>
          <w:szCs w:val="22"/>
        </w:rPr>
        <w:t>COMPETING INTERESTS DISCLAIMER:</w:t>
      </w:r>
    </w:p>
    <w:p w14:paraId="338D6819" w14:textId="54CE105E" w:rsidR="003D3DB8" w:rsidRPr="00152054" w:rsidRDefault="003D3DB8" w:rsidP="003D3DB8">
      <w:pPr>
        <w:spacing w:line="276" w:lineRule="auto"/>
        <w:jc w:val="both"/>
        <w:rPr>
          <w:rFonts w:ascii="Arial" w:hAnsi="Arial" w:cs="Arial"/>
          <w:sz w:val="22"/>
          <w:szCs w:val="22"/>
        </w:rPr>
      </w:pPr>
      <w:r w:rsidRPr="003D3DB8">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48D6CB6F" w14:textId="77777777" w:rsidR="007C5A07" w:rsidRPr="00152054" w:rsidRDefault="007C5A07" w:rsidP="0018624A">
      <w:pPr>
        <w:spacing w:after="400" w:line="276" w:lineRule="auto"/>
        <w:jc w:val="both"/>
        <w:rPr>
          <w:rFonts w:ascii="Arial" w:hAnsi="Arial" w:cs="Arial"/>
          <w:b/>
          <w:bCs/>
          <w:sz w:val="22"/>
          <w:szCs w:val="22"/>
        </w:rPr>
      </w:pPr>
    </w:p>
    <w:p w14:paraId="33E9A651" w14:textId="77777777" w:rsidR="00E61AFB" w:rsidRPr="009B366E" w:rsidDel="00300AA6" w:rsidRDefault="00E61AFB" w:rsidP="0018624A">
      <w:pPr>
        <w:spacing w:after="400" w:line="276" w:lineRule="auto"/>
        <w:jc w:val="both"/>
        <w:rPr>
          <w:rFonts w:ascii="Arial" w:hAnsi="Arial" w:cs="Arial"/>
          <w:b/>
          <w:bCs/>
          <w:sz w:val="22"/>
          <w:szCs w:val="22"/>
        </w:rPr>
      </w:pPr>
      <w:r w:rsidRPr="009B366E">
        <w:rPr>
          <w:rFonts w:ascii="Arial" w:hAnsi="Arial" w:cs="Arial"/>
          <w:b/>
          <w:bCs/>
          <w:sz w:val="22"/>
          <w:szCs w:val="22"/>
        </w:rPr>
        <w:t>References</w:t>
      </w:r>
    </w:p>
    <w:p w14:paraId="7DDFF748" w14:textId="12B84A1A" w:rsidR="00581054" w:rsidRDefault="00581054" w:rsidP="001002B1">
      <w:pPr>
        <w:spacing w:line="276" w:lineRule="auto"/>
        <w:ind w:left="720" w:hanging="720"/>
        <w:jc w:val="both"/>
      </w:pPr>
      <w:bookmarkStart w:id="4" w:name="TWO"/>
      <w:r w:rsidRPr="00581054">
        <w:t xml:space="preserve">Petry, N., Boy, E., Wirth, J. P., &amp; Hurrell, R. F. (2015). Review: The potential of the common bean (Phaseolus vulgaris) as a vehicle for iron biofortification. Nutrients, 7(2), 1144–1173. </w:t>
      </w:r>
      <w:hyperlink r:id="rId30" w:history="1">
        <w:r w:rsidRPr="00185C36">
          <w:rPr>
            <w:rStyle w:val="Hyperlink"/>
          </w:rPr>
          <w:t>https://doi.org/10.3390/nu7021144</w:t>
        </w:r>
      </w:hyperlink>
    </w:p>
    <w:bookmarkEnd w:id="4"/>
    <w:p w14:paraId="29C0C243" w14:textId="2A1CA3E8" w:rsidR="00581054" w:rsidRDefault="00581054" w:rsidP="00A47C2C">
      <w:pPr>
        <w:spacing w:line="276" w:lineRule="auto"/>
        <w:ind w:left="720" w:hanging="720"/>
        <w:jc w:val="both"/>
      </w:pPr>
      <w:r w:rsidRPr="00581054">
        <w:t xml:space="preserve">Arumugam, P., </w:t>
      </w:r>
      <w:proofErr w:type="spellStart"/>
      <w:r w:rsidRPr="00581054">
        <w:t>Duku</w:t>
      </w:r>
      <w:proofErr w:type="spellEnd"/>
      <w:r w:rsidRPr="00581054">
        <w:t xml:space="preserve">, C., Groot, A. M. E., </w:t>
      </w:r>
      <w:proofErr w:type="spellStart"/>
      <w:r w:rsidRPr="00581054">
        <w:t>Demissie</w:t>
      </w:r>
      <w:proofErr w:type="spellEnd"/>
      <w:r w:rsidRPr="00581054">
        <w:t xml:space="preserve">, T., </w:t>
      </w:r>
      <w:proofErr w:type="spellStart"/>
      <w:r w:rsidRPr="00581054">
        <w:t>Nzoka</w:t>
      </w:r>
      <w:proofErr w:type="spellEnd"/>
      <w:r w:rsidRPr="00581054">
        <w:t xml:space="preserve">, O., </w:t>
      </w:r>
      <w:proofErr w:type="spellStart"/>
      <w:r w:rsidRPr="00581054">
        <w:t>Wainaina</w:t>
      </w:r>
      <w:proofErr w:type="spellEnd"/>
      <w:r w:rsidRPr="00581054">
        <w:t xml:space="preserve">, I., Mate, H., &amp; </w:t>
      </w:r>
      <w:proofErr w:type="spellStart"/>
      <w:r w:rsidRPr="00581054">
        <w:t>Osumba</w:t>
      </w:r>
      <w:proofErr w:type="spellEnd"/>
      <w:r w:rsidRPr="00581054">
        <w:t xml:space="preserve">, J. (2024). Common bean in Kenya: Climate Risk and Opportunities. SNV. </w:t>
      </w:r>
      <w:hyperlink r:id="rId31" w:history="1">
        <w:r w:rsidRPr="00185C36">
          <w:rPr>
            <w:rStyle w:val="Hyperlink"/>
          </w:rPr>
          <w:t>https://edepot.wur.nl/696303</w:t>
        </w:r>
      </w:hyperlink>
    </w:p>
    <w:p w14:paraId="2BC85BA2" w14:textId="7773DC1F" w:rsidR="00581054" w:rsidRDefault="00581054" w:rsidP="00A47C2C">
      <w:pPr>
        <w:spacing w:line="276" w:lineRule="auto"/>
        <w:ind w:left="720" w:hanging="720"/>
        <w:jc w:val="both"/>
      </w:pPr>
      <w:r w:rsidRPr="00581054">
        <w:lastRenderedPageBreak/>
        <w:t xml:space="preserve">Siddiq, M., </w:t>
      </w:r>
      <w:proofErr w:type="spellStart"/>
      <w:r w:rsidRPr="00581054">
        <w:t>Uebersax</w:t>
      </w:r>
      <w:proofErr w:type="spellEnd"/>
      <w:r w:rsidRPr="00581054">
        <w:t xml:space="preserve">, M. A., &amp; Siddiq, F. (2022). Global production, trade, processing, and nutritional profile of dry beans and other pulses. In Dry beans and pulses: Production, processing, and nutrition (pp. 1–28). </w:t>
      </w:r>
      <w:hyperlink r:id="rId32" w:history="1">
        <w:r w:rsidRPr="00185C36">
          <w:rPr>
            <w:rStyle w:val="Hyperlink"/>
          </w:rPr>
          <w:t>https://doi.org/10.1002/9781119776802.ch1</w:t>
        </w:r>
      </w:hyperlink>
    </w:p>
    <w:p w14:paraId="77AFE4BA" w14:textId="771475DB" w:rsidR="00581054" w:rsidRPr="00581054" w:rsidRDefault="00581054" w:rsidP="00A47C2C">
      <w:pPr>
        <w:spacing w:line="276" w:lineRule="auto"/>
        <w:ind w:left="720" w:hanging="720"/>
        <w:jc w:val="both"/>
        <w:rPr>
          <w:lang w:val="pt-BR"/>
        </w:rPr>
      </w:pPr>
      <w:proofErr w:type="spellStart"/>
      <w:r w:rsidRPr="00581054">
        <w:t>Birachi</w:t>
      </w:r>
      <w:proofErr w:type="spellEnd"/>
      <w:r w:rsidRPr="00581054">
        <w:t xml:space="preserve">, E. A., Sperling, L., </w:t>
      </w:r>
      <w:proofErr w:type="spellStart"/>
      <w:r w:rsidRPr="00581054">
        <w:t>Kadege</w:t>
      </w:r>
      <w:proofErr w:type="spellEnd"/>
      <w:r w:rsidRPr="00581054">
        <w:t xml:space="preserve">, E., </w:t>
      </w:r>
      <w:proofErr w:type="spellStart"/>
      <w:r w:rsidRPr="00581054">
        <w:t>Mdachi</w:t>
      </w:r>
      <w:proofErr w:type="spellEnd"/>
      <w:r w:rsidRPr="00581054">
        <w:t xml:space="preserve">, M., </w:t>
      </w:r>
      <w:proofErr w:type="spellStart"/>
      <w:r w:rsidRPr="00581054">
        <w:t>Upendo</w:t>
      </w:r>
      <w:proofErr w:type="spellEnd"/>
      <w:r w:rsidRPr="00581054">
        <w:t xml:space="preserve">, T., </w:t>
      </w:r>
      <w:proofErr w:type="spellStart"/>
      <w:r w:rsidRPr="00581054">
        <w:t>Radegunda</w:t>
      </w:r>
      <w:proofErr w:type="spellEnd"/>
      <w:r w:rsidRPr="00581054">
        <w:t xml:space="preserve">, K., Mutua, M., </w:t>
      </w:r>
      <w:proofErr w:type="spellStart"/>
      <w:r w:rsidRPr="00581054">
        <w:t>Mbiu</w:t>
      </w:r>
      <w:proofErr w:type="spellEnd"/>
      <w:r w:rsidRPr="00581054">
        <w:t xml:space="preserve">, J., Raya, N., </w:t>
      </w:r>
      <w:proofErr w:type="spellStart"/>
      <w:r w:rsidRPr="00581054">
        <w:t>Ndunguru</w:t>
      </w:r>
      <w:proofErr w:type="spellEnd"/>
      <w:r w:rsidRPr="00581054">
        <w:t xml:space="preserve">, A., William, M., </w:t>
      </w:r>
      <w:proofErr w:type="spellStart"/>
      <w:r w:rsidRPr="00581054">
        <w:t>Maganga</w:t>
      </w:r>
      <w:proofErr w:type="spellEnd"/>
      <w:r w:rsidRPr="00581054">
        <w:t xml:space="preserve">, R., </w:t>
      </w:r>
      <w:proofErr w:type="spellStart"/>
      <w:r w:rsidRPr="00581054">
        <w:t>Kalemera</w:t>
      </w:r>
      <w:proofErr w:type="spellEnd"/>
      <w:r w:rsidRPr="00581054">
        <w:t xml:space="preserve">, S., </w:t>
      </w:r>
      <w:proofErr w:type="spellStart"/>
      <w:r w:rsidRPr="00581054">
        <w:t>Katungi</w:t>
      </w:r>
      <w:proofErr w:type="spellEnd"/>
      <w:r w:rsidRPr="00581054">
        <w:t xml:space="preserve">, E., </w:t>
      </w:r>
      <w:proofErr w:type="spellStart"/>
      <w:r w:rsidRPr="00581054">
        <w:t>Mukankusi</w:t>
      </w:r>
      <w:proofErr w:type="spellEnd"/>
      <w:r w:rsidRPr="00581054">
        <w:t xml:space="preserve">, C., </w:t>
      </w:r>
      <w:proofErr w:type="spellStart"/>
      <w:r w:rsidRPr="00581054">
        <w:t>Malle</w:t>
      </w:r>
      <w:proofErr w:type="spellEnd"/>
      <w:r w:rsidRPr="00581054">
        <w:t xml:space="preserve">, S., Dey, B., </w:t>
      </w:r>
      <w:proofErr w:type="spellStart"/>
      <w:r w:rsidRPr="00581054">
        <w:t>Templer</w:t>
      </w:r>
      <w:proofErr w:type="spellEnd"/>
      <w:r w:rsidRPr="00581054">
        <w:t xml:space="preserve">, N., </w:t>
      </w:r>
      <w:proofErr w:type="spellStart"/>
      <w:r w:rsidRPr="00581054">
        <w:t>Rubyogo</w:t>
      </w:r>
      <w:proofErr w:type="spellEnd"/>
      <w:r w:rsidRPr="00581054">
        <w:t xml:space="preserve">, J. C., Onyango, P., &amp; </w:t>
      </w:r>
      <w:proofErr w:type="spellStart"/>
      <w:r w:rsidRPr="00581054">
        <w:t>Buruchara</w:t>
      </w:r>
      <w:proofErr w:type="spellEnd"/>
      <w:r w:rsidRPr="00581054">
        <w:t xml:space="preserve">, R. (2021). Analysis of the Yellow Bean Corridor in Tanzania. Feed the Future Global Supporting Seed Systems for Development activity. Catholic Relief Services. </w:t>
      </w:r>
      <w:hyperlink r:id="rId33" w:history="1">
        <w:r w:rsidRPr="00581054">
          <w:rPr>
            <w:rStyle w:val="Hyperlink"/>
            <w:lang w:val="pt-BR"/>
          </w:rPr>
          <w:t>https://hdl.handle.net/10568/115720</w:t>
        </w:r>
      </w:hyperlink>
    </w:p>
    <w:p w14:paraId="6E44B63F" w14:textId="140750B5" w:rsidR="00A47C2C" w:rsidRPr="00BD3B0C" w:rsidRDefault="00A47C2C" w:rsidP="00A47C2C">
      <w:pPr>
        <w:spacing w:line="276" w:lineRule="auto"/>
        <w:ind w:left="720" w:hanging="720"/>
        <w:jc w:val="both"/>
      </w:pPr>
      <w:r w:rsidRPr="00581054">
        <w:rPr>
          <w:lang w:val="pt-BR"/>
        </w:rPr>
        <w:t xml:space="preserve">5. </w:t>
      </w:r>
      <w:bookmarkStart w:id="5" w:name="FIVE"/>
      <w:r w:rsidRPr="00581054">
        <w:rPr>
          <w:lang w:val="pt-BR"/>
        </w:rPr>
        <w:t xml:space="preserve">Ndimbo, M., Shida, N., Mbiu, J., Kilango, M., Madata, C., Binagwa, P., and Kasuga, R. (2022). </w:t>
      </w:r>
      <w:r w:rsidRPr="00BD3B0C">
        <w:t>Variety catalogue of common beans (Phaseolus vulgaris) in Tanzania. TARI Research Publication, 1.</w:t>
      </w:r>
    </w:p>
    <w:bookmarkEnd w:id="5"/>
    <w:p w14:paraId="3E2430CF" w14:textId="174C322C" w:rsidR="00581054" w:rsidRDefault="00581054" w:rsidP="00A47C2C">
      <w:pPr>
        <w:spacing w:line="276" w:lineRule="auto"/>
        <w:ind w:left="720" w:hanging="720"/>
        <w:jc w:val="both"/>
      </w:pPr>
      <w:r w:rsidRPr="00581054">
        <w:t xml:space="preserve">Mohamed, H. I., El-Sayed, A. A., Rady, M. M., Caruso, G., </w:t>
      </w:r>
      <w:proofErr w:type="spellStart"/>
      <w:r w:rsidRPr="00581054">
        <w:t>Sekara</w:t>
      </w:r>
      <w:proofErr w:type="spellEnd"/>
      <w:r w:rsidRPr="00581054">
        <w:t xml:space="preserve">, A., &amp; Abdelhamid, M. T. (2021). Coupling effects of phosphorus fertilization source and rate on growth and ion accumulation of common bean under salinity stress. </w:t>
      </w:r>
      <w:proofErr w:type="spellStart"/>
      <w:r w:rsidRPr="00581054">
        <w:t>PeerJ</w:t>
      </w:r>
      <w:proofErr w:type="spellEnd"/>
      <w:r w:rsidRPr="00581054">
        <w:t xml:space="preserve">, 9, e11463. </w:t>
      </w:r>
      <w:hyperlink r:id="rId34" w:history="1">
        <w:r w:rsidRPr="00185C36">
          <w:rPr>
            <w:rStyle w:val="Hyperlink"/>
          </w:rPr>
          <w:t>https://doi.org/10.7717/peerj.11463</w:t>
        </w:r>
      </w:hyperlink>
    </w:p>
    <w:p w14:paraId="522C151E" w14:textId="7956CF9D" w:rsidR="00581054" w:rsidRPr="00581054" w:rsidRDefault="00581054" w:rsidP="00A47C2C">
      <w:pPr>
        <w:spacing w:line="276" w:lineRule="auto"/>
        <w:ind w:left="720" w:hanging="720"/>
        <w:jc w:val="both"/>
        <w:rPr>
          <w:lang w:val="pt-BR"/>
        </w:rPr>
      </w:pPr>
      <w:r w:rsidRPr="00581054">
        <w:t xml:space="preserve">Munns, R., James, R. A., </w:t>
      </w:r>
      <w:proofErr w:type="spellStart"/>
      <w:r w:rsidRPr="00581054">
        <w:t>Gilliham</w:t>
      </w:r>
      <w:proofErr w:type="spellEnd"/>
      <w:r w:rsidRPr="00581054">
        <w:t xml:space="preserve">, M., Flowers, T. J., &amp; </w:t>
      </w:r>
      <w:proofErr w:type="spellStart"/>
      <w:r w:rsidRPr="00581054">
        <w:t>Colmer</w:t>
      </w:r>
      <w:proofErr w:type="spellEnd"/>
      <w:r w:rsidRPr="00581054">
        <w:t xml:space="preserve">, T. D. (2016). Tissue tolerance: an essential but elusive trait for salt-tolerant crops. Functional Plant Biology, 43(12), 1103–1113. </w:t>
      </w:r>
      <w:hyperlink r:id="rId35" w:history="1">
        <w:r w:rsidRPr="00581054">
          <w:rPr>
            <w:rStyle w:val="Hyperlink"/>
            <w:lang w:val="pt-BR"/>
          </w:rPr>
          <w:t>https://doi.org/10.1071/FP16187</w:t>
        </w:r>
      </w:hyperlink>
    </w:p>
    <w:p w14:paraId="7ACBC389" w14:textId="271D28C7" w:rsidR="00581054" w:rsidRPr="00581054" w:rsidRDefault="00581054" w:rsidP="00A47C2C">
      <w:pPr>
        <w:spacing w:line="276" w:lineRule="auto"/>
        <w:ind w:left="720" w:hanging="720"/>
        <w:jc w:val="both"/>
        <w:rPr>
          <w:lang w:val="en-IN"/>
        </w:rPr>
      </w:pPr>
      <w:r w:rsidRPr="00581054">
        <w:rPr>
          <w:lang w:val="pt-BR"/>
        </w:rPr>
        <w:t xml:space="preserve">Negacz, K., Malek, Ž., de Vos, A., &amp; Vellinga, P. (2022). </w:t>
      </w:r>
      <w:r w:rsidRPr="00581054">
        <w:rPr>
          <w:lang w:val="en-IN"/>
        </w:rPr>
        <w:t xml:space="preserve">Saline soils worldwide: Identifying the most promising areas for saline agriculture. </w:t>
      </w:r>
      <w:r w:rsidRPr="00581054">
        <w:rPr>
          <w:lang w:val="pt-BR"/>
        </w:rPr>
        <w:t xml:space="preserve">Journal of Arid Environments, 203, 104775. </w:t>
      </w:r>
      <w:r>
        <w:rPr>
          <w:lang w:val="pt-BR"/>
        </w:rPr>
        <w:fldChar w:fldCharType="begin"/>
      </w:r>
      <w:r>
        <w:rPr>
          <w:lang w:val="pt-BR"/>
        </w:rPr>
        <w:instrText xml:space="preserve"> HYPERLINK "</w:instrText>
      </w:r>
      <w:r w:rsidRPr="00581054">
        <w:rPr>
          <w:lang w:val="pt-BR"/>
        </w:rPr>
        <w:instrText>https://doi.org/10.1016/j.jaridenv.2022.104775</w:instrText>
      </w:r>
      <w:r>
        <w:rPr>
          <w:lang w:val="pt-BR"/>
        </w:rPr>
        <w:instrText xml:space="preserve">" </w:instrText>
      </w:r>
      <w:r>
        <w:rPr>
          <w:lang w:val="pt-BR"/>
        </w:rPr>
        <w:fldChar w:fldCharType="separate"/>
      </w:r>
      <w:r w:rsidRPr="00581054">
        <w:rPr>
          <w:rStyle w:val="Hyperlink"/>
          <w:lang w:val="en-IN"/>
        </w:rPr>
        <w:t>https://doi.org/10.1016/j.jaridenv.2022.104775</w:t>
      </w:r>
      <w:r>
        <w:rPr>
          <w:lang w:val="pt-BR"/>
        </w:rPr>
        <w:fldChar w:fldCharType="end"/>
      </w:r>
    </w:p>
    <w:p w14:paraId="2852AB9A" w14:textId="714FBD25" w:rsidR="00581054" w:rsidRDefault="00581054" w:rsidP="00A47C2C">
      <w:pPr>
        <w:spacing w:line="276" w:lineRule="auto"/>
        <w:ind w:left="720" w:hanging="720"/>
        <w:jc w:val="both"/>
      </w:pPr>
      <w:r w:rsidRPr="00581054">
        <w:t xml:space="preserve">Omar, M. M., </w:t>
      </w:r>
      <w:proofErr w:type="spellStart"/>
      <w:r w:rsidRPr="00581054">
        <w:t>Shitindi</w:t>
      </w:r>
      <w:proofErr w:type="spellEnd"/>
      <w:r w:rsidRPr="00581054">
        <w:t xml:space="preserve">, M. J., </w:t>
      </w:r>
      <w:proofErr w:type="spellStart"/>
      <w:r w:rsidRPr="00581054">
        <w:t>Massawe</w:t>
      </w:r>
      <w:proofErr w:type="spellEnd"/>
      <w:r w:rsidRPr="00581054">
        <w:t xml:space="preserve">, B. H. J., </w:t>
      </w:r>
      <w:proofErr w:type="spellStart"/>
      <w:r w:rsidRPr="00581054">
        <w:t>Fue</w:t>
      </w:r>
      <w:proofErr w:type="spellEnd"/>
      <w:r w:rsidRPr="00581054">
        <w:t xml:space="preserve">, K. G., </w:t>
      </w:r>
      <w:proofErr w:type="spellStart"/>
      <w:r w:rsidRPr="00581054">
        <w:t>Meliyo</w:t>
      </w:r>
      <w:proofErr w:type="spellEnd"/>
      <w:r w:rsidRPr="00581054">
        <w:t xml:space="preserve">, J. L., &amp; Pedersen, O. (2023). Salt-affected soils in Tanzanian agricultural lands: Type of soils and extent of the problem. Sustainable Environment, 9(1), 2205731. </w:t>
      </w:r>
      <w:hyperlink r:id="rId36" w:history="1">
        <w:r w:rsidRPr="00185C36">
          <w:rPr>
            <w:rStyle w:val="Hyperlink"/>
          </w:rPr>
          <w:t>https://doi.org/10.1080/27658511.2023.2205731</w:t>
        </w:r>
      </w:hyperlink>
    </w:p>
    <w:p w14:paraId="61DA57CA" w14:textId="54788B19" w:rsidR="00581054" w:rsidRDefault="00581054" w:rsidP="00A47C2C">
      <w:pPr>
        <w:spacing w:line="276" w:lineRule="auto"/>
        <w:ind w:left="720" w:hanging="720"/>
        <w:jc w:val="both"/>
      </w:pPr>
      <w:r w:rsidRPr="00581054">
        <w:t xml:space="preserve">Beebe, S. (2020). Biofortification of common bean for higher iron concentration. Frontiers in Sustainable Food Systems, 4, 573449. </w:t>
      </w:r>
      <w:hyperlink r:id="rId37" w:history="1">
        <w:r w:rsidRPr="00185C36">
          <w:rPr>
            <w:rStyle w:val="Hyperlink"/>
          </w:rPr>
          <w:t>https://doi.org/10.3389/fsufs.2020.573449</w:t>
        </w:r>
      </w:hyperlink>
    </w:p>
    <w:p w14:paraId="60362F54" w14:textId="19B3AB71" w:rsidR="00581054" w:rsidRDefault="00581054" w:rsidP="00A47C2C">
      <w:pPr>
        <w:spacing w:line="276" w:lineRule="auto"/>
        <w:ind w:left="720" w:hanging="720"/>
        <w:jc w:val="both"/>
      </w:pPr>
      <w:r w:rsidRPr="00581054">
        <w:t xml:space="preserve">Huertas, R., </w:t>
      </w:r>
      <w:proofErr w:type="spellStart"/>
      <w:r w:rsidRPr="00581054">
        <w:t>Karpinska</w:t>
      </w:r>
      <w:proofErr w:type="spellEnd"/>
      <w:r w:rsidRPr="00581054">
        <w:t xml:space="preserve">, B., Ngala, S., Mkandawire, B., </w:t>
      </w:r>
      <w:proofErr w:type="spellStart"/>
      <w:r w:rsidRPr="00581054">
        <w:t>Maling'a</w:t>
      </w:r>
      <w:proofErr w:type="spellEnd"/>
      <w:r w:rsidRPr="00581054">
        <w:t xml:space="preserve">, J., </w:t>
      </w:r>
      <w:proofErr w:type="spellStart"/>
      <w:r w:rsidRPr="00581054">
        <w:t>Wajenkeche</w:t>
      </w:r>
      <w:proofErr w:type="spellEnd"/>
      <w:r w:rsidRPr="00581054">
        <w:t xml:space="preserve">, E., Kimani, P. M., </w:t>
      </w:r>
      <w:proofErr w:type="spellStart"/>
      <w:r w:rsidRPr="00581054">
        <w:t>Boesch</w:t>
      </w:r>
      <w:proofErr w:type="spellEnd"/>
      <w:r w:rsidRPr="00581054">
        <w:t xml:space="preserve">, C., Stewart, D., Hancock, R. D., &amp; Foyer, C. H. (2023). Biofortification of common bean (Phaseolus vulgaris L.) with iron and zinc: Achievements and challenges. Food and Energy Security, 12(2), e406. </w:t>
      </w:r>
      <w:hyperlink r:id="rId38" w:history="1">
        <w:r w:rsidRPr="00185C36">
          <w:rPr>
            <w:rStyle w:val="Hyperlink"/>
          </w:rPr>
          <w:t>https://doi.org/10.1002/fes3.406</w:t>
        </w:r>
      </w:hyperlink>
    </w:p>
    <w:p w14:paraId="3D97BD3F" w14:textId="0297141F" w:rsidR="00581054" w:rsidRDefault="00581054" w:rsidP="00A47C2C">
      <w:pPr>
        <w:spacing w:line="276" w:lineRule="auto"/>
        <w:ind w:left="720" w:hanging="720"/>
        <w:jc w:val="both"/>
      </w:pPr>
      <w:proofErr w:type="spellStart"/>
      <w:r w:rsidRPr="00581054">
        <w:t>Meliyo</w:t>
      </w:r>
      <w:proofErr w:type="spellEnd"/>
      <w:r w:rsidRPr="00581054">
        <w:t xml:space="preserve">, J. L., </w:t>
      </w:r>
      <w:proofErr w:type="spellStart"/>
      <w:r w:rsidRPr="00581054">
        <w:t>Kashenge-Killenga</w:t>
      </w:r>
      <w:proofErr w:type="spellEnd"/>
      <w:r w:rsidRPr="00581054">
        <w:t xml:space="preserve">, S., Victor, K. M., </w:t>
      </w:r>
      <w:proofErr w:type="spellStart"/>
      <w:r w:rsidRPr="00581054">
        <w:t>Mfupe</w:t>
      </w:r>
      <w:proofErr w:type="spellEnd"/>
      <w:r w:rsidRPr="00581054">
        <w:t xml:space="preserve">, B., </w:t>
      </w:r>
      <w:proofErr w:type="spellStart"/>
      <w:r w:rsidRPr="00581054">
        <w:t>Hiza</w:t>
      </w:r>
      <w:proofErr w:type="spellEnd"/>
      <w:r w:rsidRPr="00581054">
        <w:t xml:space="preserve">, S., </w:t>
      </w:r>
      <w:proofErr w:type="spellStart"/>
      <w:r w:rsidRPr="00581054">
        <w:t>Kihupi</w:t>
      </w:r>
      <w:proofErr w:type="spellEnd"/>
      <w:r w:rsidRPr="00581054">
        <w:t xml:space="preserve">, A. L., </w:t>
      </w:r>
      <w:proofErr w:type="spellStart"/>
      <w:r w:rsidRPr="00581054">
        <w:t>Boman</w:t>
      </w:r>
      <w:proofErr w:type="spellEnd"/>
      <w:r w:rsidRPr="00581054">
        <w:t xml:space="preserve">, B. J., &amp; Dick, W. (2017). Evaluation of Salt Affected Soils for Rice (Oryza Sativa) Production in </w:t>
      </w:r>
      <w:proofErr w:type="spellStart"/>
      <w:r w:rsidRPr="00581054">
        <w:t>Ndungu</w:t>
      </w:r>
      <w:proofErr w:type="spellEnd"/>
      <w:r w:rsidRPr="00581054">
        <w:t xml:space="preserve"> Irrigation Scheme Same District, Tanzania. Sustainable Agriculture Research, 6(1), 24–38. </w:t>
      </w:r>
      <w:hyperlink r:id="rId39" w:history="1">
        <w:r w:rsidRPr="00185C36">
          <w:rPr>
            <w:rStyle w:val="Hyperlink"/>
          </w:rPr>
          <w:t>https://doi.org/10.22004/ag.econ.265130</w:t>
        </w:r>
      </w:hyperlink>
    </w:p>
    <w:p w14:paraId="7C584525" w14:textId="285115CA" w:rsidR="00581054" w:rsidRDefault="00581054" w:rsidP="00A47C2C">
      <w:pPr>
        <w:spacing w:line="276" w:lineRule="auto"/>
        <w:ind w:left="720" w:hanging="720"/>
        <w:jc w:val="both"/>
        <w:rPr>
          <w:rFonts w:ascii="Arial" w:hAnsi="Arial" w:cs="Arial"/>
          <w:color w:val="222222"/>
          <w:sz w:val="20"/>
          <w:szCs w:val="20"/>
          <w:shd w:val="clear" w:color="auto" w:fill="FFFFFF"/>
        </w:rPr>
      </w:pPr>
      <w:r w:rsidRPr="00581054">
        <w:rPr>
          <w:rFonts w:ascii="Arial" w:hAnsi="Arial" w:cs="Arial"/>
          <w:color w:val="222222"/>
          <w:sz w:val="20"/>
          <w:szCs w:val="20"/>
          <w:shd w:val="clear" w:color="auto" w:fill="FFFFFF"/>
        </w:rPr>
        <w:t xml:space="preserve">Cai, Y.-H. (2022). *Osmotic backwash for fouling control in solar energy-powered nanofiltration/reverse osmosis membrane systems* [Doctoral dissertation, </w:t>
      </w:r>
      <w:proofErr w:type="spellStart"/>
      <w:r w:rsidRPr="00581054">
        <w:rPr>
          <w:rFonts w:ascii="Arial" w:hAnsi="Arial" w:cs="Arial"/>
          <w:color w:val="222222"/>
          <w:sz w:val="20"/>
          <w:szCs w:val="20"/>
          <w:shd w:val="clear" w:color="auto" w:fill="FFFFFF"/>
        </w:rPr>
        <w:t>Karlsruher</w:t>
      </w:r>
      <w:proofErr w:type="spellEnd"/>
      <w:r w:rsidRPr="00581054">
        <w:rPr>
          <w:rFonts w:ascii="Arial" w:hAnsi="Arial" w:cs="Arial"/>
          <w:color w:val="222222"/>
          <w:sz w:val="20"/>
          <w:szCs w:val="20"/>
          <w:shd w:val="clear" w:color="auto" w:fill="FFFFFF"/>
        </w:rPr>
        <w:t xml:space="preserve"> </w:t>
      </w:r>
      <w:proofErr w:type="spellStart"/>
      <w:r w:rsidRPr="00581054">
        <w:rPr>
          <w:rFonts w:ascii="Arial" w:hAnsi="Arial" w:cs="Arial"/>
          <w:color w:val="222222"/>
          <w:sz w:val="20"/>
          <w:szCs w:val="20"/>
          <w:shd w:val="clear" w:color="auto" w:fill="FFFFFF"/>
        </w:rPr>
        <w:t>Institut</w:t>
      </w:r>
      <w:proofErr w:type="spellEnd"/>
      <w:r w:rsidRPr="00581054">
        <w:rPr>
          <w:rFonts w:ascii="Arial" w:hAnsi="Arial" w:cs="Arial"/>
          <w:color w:val="222222"/>
          <w:sz w:val="20"/>
          <w:szCs w:val="20"/>
          <w:shd w:val="clear" w:color="auto" w:fill="FFFFFF"/>
        </w:rPr>
        <w:t xml:space="preserve"> </w:t>
      </w:r>
      <w:proofErr w:type="spellStart"/>
      <w:r w:rsidRPr="00581054">
        <w:rPr>
          <w:rFonts w:ascii="Arial" w:hAnsi="Arial" w:cs="Arial"/>
          <w:color w:val="222222"/>
          <w:sz w:val="20"/>
          <w:szCs w:val="20"/>
          <w:shd w:val="clear" w:color="auto" w:fill="FFFFFF"/>
        </w:rPr>
        <w:t>für</w:t>
      </w:r>
      <w:proofErr w:type="spellEnd"/>
      <w:r w:rsidRPr="00581054">
        <w:rPr>
          <w:rFonts w:ascii="Arial" w:hAnsi="Arial" w:cs="Arial"/>
          <w:color w:val="222222"/>
          <w:sz w:val="20"/>
          <w:szCs w:val="20"/>
          <w:shd w:val="clear" w:color="auto" w:fill="FFFFFF"/>
        </w:rPr>
        <w:t xml:space="preserve"> </w:t>
      </w:r>
      <w:proofErr w:type="spellStart"/>
      <w:r w:rsidRPr="00581054">
        <w:rPr>
          <w:rFonts w:ascii="Arial" w:hAnsi="Arial" w:cs="Arial"/>
          <w:color w:val="222222"/>
          <w:sz w:val="20"/>
          <w:szCs w:val="20"/>
          <w:shd w:val="clear" w:color="auto" w:fill="FFFFFF"/>
        </w:rPr>
        <w:t>Technologie</w:t>
      </w:r>
      <w:proofErr w:type="spellEnd"/>
      <w:r w:rsidRPr="00581054">
        <w:rPr>
          <w:rFonts w:ascii="Arial" w:hAnsi="Arial" w:cs="Arial"/>
          <w:color w:val="222222"/>
          <w:sz w:val="20"/>
          <w:szCs w:val="20"/>
          <w:shd w:val="clear" w:color="auto" w:fill="FFFFFF"/>
        </w:rPr>
        <w:t xml:space="preserve"> (KIT)]. </w:t>
      </w:r>
      <w:hyperlink r:id="rId40" w:history="1">
        <w:r w:rsidRPr="00185C36">
          <w:rPr>
            <w:rStyle w:val="Hyperlink"/>
            <w:rFonts w:ascii="Arial" w:hAnsi="Arial" w:cs="Arial"/>
            <w:sz w:val="20"/>
            <w:szCs w:val="20"/>
            <w:shd w:val="clear" w:color="auto" w:fill="FFFFFF"/>
          </w:rPr>
          <w:t>https://doi.org/10.5445/IR/1000146013</w:t>
        </w:r>
      </w:hyperlink>
    </w:p>
    <w:p w14:paraId="1FDB2F1C" w14:textId="333D94EC" w:rsidR="00581054" w:rsidRDefault="00581054" w:rsidP="00A47C2C">
      <w:pPr>
        <w:ind w:left="810" w:hanging="810"/>
      </w:pPr>
      <w:r w:rsidRPr="00581054">
        <w:rPr>
          <w:lang w:val="pt-BR"/>
        </w:rPr>
        <w:t xml:space="preserve">Semida, W. M., &amp; Rady, M. M. (2014). </w:t>
      </w:r>
      <w:r w:rsidRPr="00581054">
        <w:t xml:space="preserve">Pre-soaking in 24-epibrassinolide or salicylic acid improves seed germination, seedling growth, and anti-oxidant capacity in Phaseolus vulgaris L. grown under NaCl stress. The Journal of Horticultural Science and Biotechnology, 89(3), 338–344. </w:t>
      </w:r>
      <w:hyperlink r:id="rId41" w:history="1">
        <w:r w:rsidRPr="00185C36">
          <w:rPr>
            <w:rStyle w:val="Hyperlink"/>
          </w:rPr>
          <w:t>https://doi.org/10.1080/14620316.2014.11513088</w:t>
        </w:r>
      </w:hyperlink>
    </w:p>
    <w:p w14:paraId="3CD30A88" w14:textId="2630CF8E" w:rsidR="00581054" w:rsidRDefault="00581054" w:rsidP="00A47C2C">
      <w:pPr>
        <w:spacing w:line="276" w:lineRule="auto"/>
        <w:ind w:left="720" w:hanging="720"/>
        <w:jc w:val="both"/>
        <w:rPr>
          <w:rFonts w:ascii="Arial" w:hAnsi="Arial" w:cs="Arial"/>
          <w:color w:val="222222"/>
          <w:sz w:val="20"/>
          <w:szCs w:val="20"/>
          <w:shd w:val="clear" w:color="auto" w:fill="FFFFFF"/>
        </w:rPr>
      </w:pPr>
      <w:proofErr w:type="spellStart"/>
      <w:r w:rsidRPr="00581054">
        <w:rPr>
          <w:rFonts w:ascii="Arial" w:hAnsi="Arial" w:cs="Arial"/>
          <w:color w:val="222222"/>
          <w:sz w:val="20"/>
          <w:szCs w:val="20"/>
          <w:shd w:val="clear" w:color="auto" w:fill="FFFFFF"/>
        </w:rPr>
        <w:lastRenderedPageBreak/>
        <w:t>Masud</w:t>
      </w:r>
      <w:proofErr w:type="spellEnd"/>
      <w:r w:rsidRPr="00581054">
        <w:rPr>
          <w:rFonts w:ascii="Arial" w:hAnsi="Arial" w:cs="Arial"/>
          <w:color w:val="222222"/>
          <w:sz w:val="20"/>
          <w:szCs w:val="20"/>
          <w:shd w:val="clear" w:color="auto" w:fill="FFFFFF"/>
        </w:rPr>
        <w:t xml:space="preserve">, U. S. M. R. (2018). Salinity effect on germination, growth and yield performance of </w:t>
      </w:r>
      <w:proofErr w:type="spellStart"/>
      <w:r w:rsidRPr="00581054">
        <w:rPr>
          <w:rFonts w:ascii="Arial" w:hAnsi="Arial" w:cs="Arial"/>
          <w:color w:val="222222"/>
          <w:sz w:val="20"/>
          <w:szCs w:val="20"/>
          <w:shd w:val="clear" w:color="auto" w:fill="FFFFFF"/>
        </w:rPr>
        <w:t>mungbean</w:t>
      </w:r>
      <w:proofErr w:type="spellEnd"/>
      <w:r w:rsidRPr="00581054">
        <w:rPr>
          <w:rFonts w:ascii="Arial" w:hAnsi="Arial" w:cs="Arial"/>
          <w:color w:val="222222"/>
          <w:sz w:val="20"/>
          <w:szCs w:val="20"/>
          <w:shd w:val="clear" w:color="auto" w:fill="FFFFFF"/>
        </w:rPr>
        <w:t xml:space="preserve"> (</w:t>
      </w:r>
      <w:proofErr w:type="spellStart"/>
      <w:r w:rsidRPr="00581054">
        <w:rPr>
          <w:rFonts w:ascii="Arial" w:hAnsi="Arial" w:cs="Arial"/>
          <w:color w:val="222222"/>
          <w:sz w:val="20"/>
          <w:szCs w:val="20"/>
          <w:shd w:val="clear" w:color="auto" w:fill="FFFFFF"/>
        </w:rPr>
        <w:t>Vigna</w:t>
      </w:r>
      <w:proofErr w:type="spellEnd"/>
      <w:r w:rsidRPr="00581054">
        <w:rPr>
          <w:rFonts w:ascii="Arial" w:hAnsi="Arial" w:cs="Arial"/>
          <w:color w:val="222222"/>
          <w:sz w:val="20"/>
          <w:szCs w:val="20"/>
          <w:shd w:val="clear" w:color="auto" w:fill="FFFFFF"/>
        </w:rPr>
        <w:t xml:space="preserve"> </w:t>
      </w:r>
      <w:proofErr w:type="spellStart"/>
      <w:r w:rsidRPr="00581054">
        <w:rPr>
          <w:rFonts w:ascii="Arial" w:hAnsi="Arial" w:cs="Arial"/>
          <w:color w:val="222222"/>
          <w:sz w:val="20"/>
          <w:szCs w:val="20"/>
          <w:shd w:val="clear" w:color="auto" w:fill="FFFFFF"/>
        </w:rPr>
        <w:t>radiata</w:t>
      </w:r>
      <w:proofErr w:type="spellEnd"/>
      <w:r w:rsidRPr="00581054">
        <w:rPr>
          <w:rFonts w:ascii="Arial" w:hAnsi="Arial" w:cs="Arial"/>
          <w:color w:val="222222"/>
          <w:sz w:val="20"/>
          <w:szCs w:val="20"/>
          <w:shd w:val="clear" w:color="auto" w:fill="FFFFFF"/>
        </w:rPr>
        <w:t xml:space="preserve"> L.). (Master's thesis, Sher-e-Bangla Agricultural University, Dhaka, Bangladesh) </w:t>
      </w:r>
      <w:hyperlink r:id="rId42" w:history="1">
        <w:r w:rsidRPr="00185C36">
          <w:rPr>
            <w:rStyle w:val="Hyperlink"/>
            <w:rFonts w:ascii="Arial" w:hAnsi="Arial" w:cs="Arial"/>
            <w:sz w:val="20"/>
            <w:szCs w:val="20"/>
            <w:shd w:val="clear" w:color="auto" w:fill="FFFFFF"/>
          </w:rPr>
          <w:t>http://archive.saulibrary.edu.bd:8080/xmlui/handle/123456789/3122</w:t>
        </w:r>
      </w:hyperlink>
    </w:p>
    <w:p w14:paraId="411AECA6" w14:textId="29AC63E4" w:rsidR="00581054" w:rsidRDefault="00581054" w:rsidP="00A47C2C">
      <w:pPr>
        <w:spacing w:line="276" w:lineRule="auto"/>
        <w:ind w:left="720" w:hanging="720"/>
        <w:jc w:val="both"/>
      </w:pPr>
      <w:r w:rsidRPr="00581054">
        <w:t xml:space="preserve">International Seed Testing Association. (2024). *International Rules for Seed Testing*. International Seed Testing Association, </w:t>
      </w:r>
      <w:proofErr w:type="spellStart"/>
      <w:r w:rsidRPr="00581054">
        <w:t>Bassersdorf</w:t>
      </w:r>
      <w:proofErr w:type="spellEnd"/>
      <w:r w:rsidRPr="00581054">
        <w:t xml:space="preserve">, Switzerland. </w:t>
      </w:r>
      <w:hyperlink r:id="rId43" w:history="1">
        <w:r w:rsidRPr="00185C36">
          <w:rPr>
            <w:rStyle w:val="Hyperlink"/>
          </w:rPr>
          <w:t>https://www.seedtest.org/rules</w:t>
        </w:r>
      </w:hyperlink>
    </w:p>
    <w:p w14:paraId="0D6EA217" w14:textId="31C7F562" w:rsidR="00581054" w:rsidRDefault="00581054" w:rsidP="00A47C2C">
      <w:pPr>
        <w:spacing w:line="276" w:lineRule="auto"/>
        <w:ind w:left="810" w:hanging="810"/>
        <w:jc w:val="both"/>
      </w:pPr>
      <w:r w:rsidRPr="00581054">
        <w:rPr>
          <w:lang w:val="fr-FR"/>
        </w:rPr>
        <w:t xml:space="preserve">Ellis, R. H., &amp; Roberts, E. H. (1981). </w:t>
      </w:r>
      <w:r w:rsidRPr="00581054">
        <w:t xml:space="preserve">The quantification of ageing and survival in orthodox seeds. Seed Science and Technology, 9(2), 373–409. </w:t>
      </w:r>
      <w:hyperlink r:id="rId44" w:history="1">
        <w:r w:rsidRPr="00185C36">
          <w:rPr>
            <w:rStyle w:val="Hyperlink"/>
          </w:rPr>
          <w:t>https://www.seedtest.org/en/seed-science-and-technology-_content---1--1084.html</w:t>
        </w:r>
      </w:hyperlink>
    </w:p>
    <w:p w14:paraId="0B7F010C" w14:textId="770B9BB5" w:rsidR="00581054" w:rsidRDefault="00581054" w:rsidP="00A47C2C">
      <w:pPr>
        <w:spacing w:line="276" w:lineRule="auto"/>
        <w:ind w:left="720" w:hanging="720"/>
        <w:jc w:val="both"/>
      </w:pPr>
      <w:r w:rsidRPr="00581054">
        <w:t>Abdul-</w:t>
      </w:r>
      <w:proofErr w:type="spellStart"/>
      <w:r w:rsidRPr="00581054">
        <w:t>Baki</w:t>
      </w:r>
      <w:proofErr w:type="spellEnd"/>
      <w:r w:rsidRPr="00581054">
        <w:t xml:space="preserve">, A. A., &amp; Anderson, J. D. (1973). Vigor determination in soybean seed by multiple criteria. Crop Science, 13(6), 630–633. </w:t>
      </w:r>
      <w:hyperlink r:id="rId45" w:history="1">
        <w:r w:rsidRPr="00185C36">
          <w:rPr>
            <w:rStyle w:val="Hyperlink"/>
          </w:rPr>
          <w:t>https://doi.org/10.2135/cropsci1973.0011183X001300060013x</w:t>
        </w:r>
      </w:hyperlink>
    </w:p>
    <w:p w14:paraId="5F5BF7A9" w14:textId="645F4219" w:rsidR="00581054" w:rsidRDefault="00581054" w:rsidP="007B5F81">
      <w:pPr>
        <w:spacing w:line="276" w:lineRule="auto"/>
        <w:ind w:left="720" w:hanging="720"/>
        <w:jc w:val="both"/>
      </w:pPr>
      <w:r w:rsidRPr="00581054">
        <w:t xml:space="preserve">Raggi, L., </w:t>
      </w:r>
      <w:proofErr w:type="spellStart"/>
      <w:r w:rsidRPr="00581054">
        <w:t>Caproni</w:t>
      </w:r>
      <w:proofErr w:type="spellEnd"/>
      <w:r w:rsidRPr="00581054">
        <w:t xml:space="preserve">, L., </w:t>
      </w:r>
      <w:proofErr w:type="spellStart"/>
      <w:r w:rsidRPr="00581054">
        <w:t>Ciancaleoni</w:t>
      </w:r>
      <w:proofErr w:type="spellEnd"/>
      <w:r w:rsidRPr="00581054">
        <w:t xml:space="preserve">, S., D'Amato, R., </w:t>
      </w:r>
      <w:proofErr w:type="spellStart"/>
      <w:r w:rsidRPr="00581054">
        <w:t>Businelli</w:t>
      </w:r>
      <w:proofErr w:type="spellEnd"/>
      <w:r w:rsidRPr="00581054">
        <w:t xml:space="preserve">, D., &amp; Negri, V. (2024). Investigating the genetic basis of salt-tolerance in common bean: a genome-wide association study at the early vegetative stage. Scientific Reports. </w:t>
      </w:r>
      <w:hyperlink r:id="rId46" w:history="1">
        <w:r w:rsidRPr="00185C36">
          <w:rPr>
            <w:rStyle w:val="Hyperlink"/>
          </w:rPr>
          <w:t>https://doi.org/10.1038/s41598-024-55403-z</w:t>
        </w:r>
      </w:hyperlink>
    </w:p>
    <w:p w14:paraId="3251845F" w14:textId="164DC729" w:rsidR="00581054" w:rsidRDefault="00581054" w:rsidP="007B5F81">
      <w:pPr>
        <w:spacing w:line="276" w:lineRule="auto"/>
        <w:ind w:left="720" w:hanging="720"/>
        <w:jc w:val="both"/>
      </w:pPr>
      <w:proofErr w:type="spellStart"/>
      <w:r w:rsidRPr="00581054">
        <w:t>Ehtaiwesh</w:t>
      </w:r>
      <w:proofErr w:type="spellEnd"/>
      <w:r w:rsidRPr="00581054">
        <w:t xml:space="preserve">, A., </w:t>
      </w:r>
      <w:proofErr w:type="spellStart"/>
      <w:r w:rsidRPr="00581054">
        <w:t>Sunoj</w:t>
      </w:r>
      <w:proofErr w:type="spellEnd"/>
      <w:r w:rsidRPr="00581054">
        <w:t xml:space="preserve">, V. S. J., </w:t>
      </w:r>
      <w:proofErr w:type="spellStart"/>
      <w:r w:rsidRPr="00581054">
        <w:t>Djanaguiraman</w:t>
      </w:r>
      <w:proofErr w:type="spellEnd"/>
      <w:r w:rsidRPr="00581054">
        <w:t xml:space="preserve">, M., &amp; Prasad, P. V. V. (2024). Response of winter wheat genotypes to salinity stress under controlled environments. Frontiers in Plant Science. </w:t>
      </w:r>
      <w:hyperlink r:id="rId47" w:history="1">
        <w:r w:rsidRPr="00185C36">
          <w:rPr>
            <w:rStyle w:val="Hyperlink"/>
          </w:rPr>
          <w:t>https://doi.org/10.3389/fpls.2024.1396498</w:t>
        </w:r>
      </w:hyperlink>
    </w:p>
    <w:p w14:paraId="3170B185" w14:textId="5B56F713" w:rsidR="00A47C2C" w:rsidRPr="00BD3B0C" w:rsidRDefault="00A47C2C" w:rsidP="007B5F81">
      <w:pPr>
        <w:spacing w:line="276" w:lineRule="auto"/>
        <w:ind w:left="720" w:hanging="720"/>
        <w:jc w:val="both"/>
      </w:pPr>
      <w:r>
        <w:t xml:space="preserve">21. </w:t>
      </w:r>
      <w:bookmarkStart w:id="6" w:name="TWENTYONE"/>
      <w:r w:rsidRPr="00BD3B0C">
        <w:t xml:space="preserve">Boudiar, R., </w:t>
      </w:r>
      <w:proofErr w:type="spellStart"/>
      <w:r w:rsidRPr="00BD3B0C">
        <w:t>Alshallash</w:t>
      </w:r>
      <w:proofErr w:type="spellEnd"/>
      <w:r w:rsidRPr="00BD3B0C">
        <w:t xml:space="preserve">, K.S., </w:t>
      </w:r>
      <w:proofErr w:type="spellStart"/>
      <w:r w:rsidRPr="00BD3B0C">
        <w:t>Alharbi</w:t>
      </w:r>
      <w:proofErr w:type="spellEnd"/>
      <w:r w:rsidRPr="00BD3B0C">
        <w:t>, K., Okasha, S.A., and Fenni, M. (2023). Differences in the physiological indicators of seed germination and seedling establishment of durum wheat (</w:t>
      </w:r>
      <w:proofErr w:type="spellStart"/>
      <w:r w:rsidRPr="00BD3B0C">
        <w:t>Triticum</w:t>
      </w:r>
      <w:proofErr w:type="spellEnd"/>
      <w:r w:rsidRPr="00BD3B0C">
        <w:t xml:space="preserve"> durum </w:t>
      </w:r>
      <w:proofErr w:type="spellStart"/>
      <w:r w:rsidRPr="00BD3B0C">
        <w:t>Desf</w:t>
      </w:r>
      <w:proofErr w:type="spellEnd"/>
      <w:r w:rsidRPr="00BD3B0C">
        <w:t xml:space="preserve">.) cultivars subjected to salinity stress. Agronomy, 13(7), 1718. </w:t>
      </w:r>
      <w:hyperlink r:id="rId48" w:history="1">
        <w:r w:rsidRPr="00BD3B0C">
          <w:rPr>
            <w:color w:val="0000FF"/>
            <w:u w:val="single"/>
          </w:rPr>
          <w:t>https://doi.org/10.3390/agronomy13071718</w:t>
        </w:r>
      </w:hyperlink>
    </w:p>
    <w:bookmarkEnd w:id="6"/>
    <w:p w14:paraId="29C04FD5" w14:textId="1866BB4E" w:rsidR="00581054" w:rsidRDefault="00581054" w:rsidP="007A7143">
      <w:pPr>
        <w:spacing w:line="276" w:lineRule="auto"/>
        <w:ind w:left="720" w:hanging="720"/>
        <w:jc w:val="both"/>
      </w:pPr>
      <w:r w:rsidRPr="00581054">
        <w:t xml:space="preserve">Hao, S., Wang, Y., Yan, Y., Liu, Y., Wang, J., &amp; Chen, S. (2021). A review on plant responses to salt stress and their mechanisms of salt resistance. </w:t>
      </w:r>
      <w:proofErr w:type="spellStart"/>
      <w:r w:rsidRPr="00581054">
        <w:t>Horticulturae</w:t>
      </w:r>
      <w:proofErr w:type="spellEnd"/>
      <w:r w:rsidRPr="00581054">
        <w:t xml:space="preserve">. </w:t>
      </w:r>
      <w:hyperlink r:id="rId49" w:history="1">
        <w:r w:rsidRPr="00185C36">
          <w:rPr>
            <w:rStyle w:val="Hyperlink"/>
          </w:rPr>
          <w:t>https://doi.org/10.3390/horticulturae7060132</w:t>
        </w:r>
      </w:hyperlink>
    </w:p>
    <w:p w14:paraId="1E261995" w14:textId="1881370B" w:rsidR="00581054" w:rsidRPr="00581054" w:rsidRDefault="00581054" w:rsidP="007B5F81">
      <w:pPr>
        <w:spacing w:line="276" w:lineRule="auto"/>
        <w:ind w:left="720" w:hanging="720"/>
        <w:jc w:val="both"/>
        <w:rPr>
          <w:lang w:val="pt-BR"/>
        </w:rPr>
      </w:pPr>
      <w:r w:rsidRPr="00581054">
        <w:t xml:space="preserve">Shahid, M. A., </w:t>
      </w:r>
      <w:proofErr w:type="spellStart"/>
      <w:r w:rsidRPr="00581054">
        <w:t>Sarkhosh</w:t>
      </w:r>
      <w:proofErr w:type="spellEnd"/>
      <w:r w:rsidRPr="00581054">
        <w:t xml:space="preserve">, A., Khan, N., </w:t>
      </w:r>
      <w:proofErr w:type="spellStart"/>
      <w:r w:rsidRPr="00581054">
        <w:t>Balal</w:t>
      </w:r>
      <w:proofErr w:type="spellEnd"/>
      <w:r w:rsidRPr="00581054">
        <w:t xml:space="preserve">, R. M., Ali, S., Rossi, L., Gómez, C., Mattson, N., Nasim, W., &amp; Garcia-Sanchez, F. (2020). Insights into the physiological and biochemical impacts of salt stress on plant growth and development. Agronomy, 10(7), 938. </w:t>
      </w:r>
      <w:hyperlink r:id="rId50" w:history="1">
        <w:r w:rsidRPr="00581054">
          <w:rPr>
            <w:rStyle w:val="Hyperlink"/>
            <w:lang w:val="pt-BR"/>
          </w:rPr>
          <w:t>https://doi.org/10.3390/agronomy10070938</w:t>
        </w:r>
      </w:hyperlink>
    </w:p>
    <w:p w14:paraId="771DD596" w14:textId="31FC48B4" w:rsidR="00581054" w:rsidRPr="00581054" w:rsidRDefault="00581054" w:rsidP="007B5F81">
      <w:pPr>
        <w:spacing w:line="276" w:lineRule="auto"/>
        <w:ind w:left="720" w:hanging="720"/>
        <w:jc w:val="both"/>
        <w:rPr>
          <w:lang w:val="en-IN"/>
        </w:rPr>
      </w:pPr>
      <w:r w:rsidRPr="00581054">
        <w:rPr>
          <w:lang w:val="pt-BR"/>
        </w:rPr>
        <w:t xml:space="preserve">Meza, C., Valenzuela, F., Echeverría-Vega, A., Gomez, A., Sarkar, S., Cabeza, R. A., Arencibia, A. D., Quiroz, K., Carrasco, B., &amp; Banerjee, A. (2022). </w:t>
      </w:r>
      <w:r w:rsidRPr="00581054">
        <w:rPr>
          <w:lang w:val="en-IN"/>
        </w:rPr>
        <w:t xml:space="preserve">Plant-growth-promoting bacteria from rhizosphere of Chilean common bean ecotype (Phaseolus vulgaris L.) supporting seed germination and growth against salinity stress. </w:t>
      </w:r>
      <w:r w:rsidRPr="00581054">
        <w:rPr>
          <w:lang w:val="pt-BR"/>
        </w:rPr>
        <w:t xml:space="preserve">Frontiers in Plant Science, 13, 1052263. </w:t>
      </w:r>
      <w:r>
        <w:rPr>
          <w:lang w:val="pt-BR"/>
        </w:rPr>
        <w:fldChar w:fldCharType="begin"/>
      </w:r>
      <w:r>
        <w:rPr>
          <w:lang w:val="pt-BR"/>
        </w:rPr>
        <w:instrText xml:space="preserve"> HYPERLINK "</w:instrText>
      </w:r>
      <w:r w:rsidRPr="00581054">
        <w:rPr>
          <w:lang w:val="pt-BR"/>
        </w:rPr>
        <w:instrText>https://doi.org/10.3389/fpls.2022.1052263</w:instrText>
      </w:r>
      <w:r>
        <w:rPr>
          <w:lang w:val="pt-BR"/>
        </w:rPr>
        <w:instrText xml:space="preserve">" </w:instrText>
      </w:r>
      <w:r>
        <w:rPr>
          <w:lang w:val="pt-BR"/>
        </w:rPr>
        <w:fldChar w:fldCharType="separate"/>
      </w:r>
      <w:r w:rsidRPr="00581054">
        <w:rPr>
          <w:rStyle w:val="Hyperlink"/>
          <w:lang w:val="en-IN"/>
        </w:rPr>
        <w:t>https://doi.org/10.3389/fpls.2022.1052263</w:t>
      </w:r>
      <w:r>
        <w:rPr>
          <w:lang w:val="pt-BR"/>
        </w:rPr>
        <w:fldChar w:fldCharType="end"/>
      </w:r>
    </w:p>
    <w:p w14:paraId="387DF973" w14:textId="4AAC2D7B" w:rsidR="00581054" w:rsidRPr="00581054" w:rsidRDefault="00581054" w:rsidP="007B5F81">
      <w:pPr>
        <w:spacing w:line="276" w:lineRule="auto"/>
        <w:ind w:left="720" w:hanging="720"/>
        <w:jc w:val="both"/>
        <w:rPr>
          <w:lang w:val="pt-BR"/>
        </w:rPr>
      </w:pPr>
      <w:r w:rsidRPr="00581054">
        <w:t>El-</w:t>
      </w:r>
      <w:proofErr w:type="spellStart"/>
      <w:r w:rsidRPr="00581054">
        <w:t>Mageed</w:t>
      </w:r>
      <w:proofErr w:type="spellEnd"/>
      <w:r w:rsidRPr="00581054">
        <w:t>, T. A. A., El-</w:t>
      </w:r>
      <w:proofErr w:type="spellStart"/>
      <w:r w:rsidRPr="00581054">
        <w:t>Mageed</w:t>
      </w:r>
      <w:proofErr w:type="spellEnd"/>
      <w:r w:rsidRPr="00581054">
        <w:t xml:space="preserve">, S. A. A., </w:t>
      </w:r>
      <w:proofErr w:type="spellStart"/>
      <w:r w:rsidRPr="00581054">
        <w:t>Semida</w:t>
      </w:r>
      <w:proofErr w:type="spellEnd"/>
      <w:r w:rsidRPr="00581054">
        <w:t xml:space="preserve">, W. M., &amp; Rady, M. M. (2024). Investigating the influence of eco-friendly approaches on saline soil traits and growth of common bean plants (Phaseolus vulgaris L.). </w:t>
      </w:r>
      <w:proofErr w:type="spellStart"/>
      <w:r w:rsidRPr="00581054">
        <w:t>PeerJ</w:t>
      </w:r>
      <w:proofErr w:type="spellEnd"/>
      <w:r w:rsidRPr="00581054">
        <w:t xml:space="preserve">, 12, e17828. </w:t>
      </w:r>
      <w:hyperlink r:id="rId51" w:history="1">
        <w:r w:rsidRPr="00581054">
          <w:rPr>
            <w:rStyle w:val="Hyperlink"/>
            <w:lang w:val="pt-BR"/>
          </w:rPr>
          <w:t>https://doi.org/10.7717/peerj.17828</w:t>
        </w:r>
      </w:hyperlink>
    </w:p>
    <w:p w14:paraId="17B6DE8B" w14:textId="05F8275A" w:rsidR="00581054" w:rsidRDefault="00581054" w:rsidP="00BB688A">
      <w:pPr>
        <w:spacing w:line="276" w:lineRule="auto"/>
        <w:ind w:left="720" w:hanging="720"/>
        <w:jc w:val="both"/>
        <w:rPr>
          <w:lang w:val="pt-BR"/>
        </w:rPr>
      </w:pPr>
      <w:bookmarkStart w:id="7" w:name="One"/>
      <w:r w:rsidRPr="00581054">
        <w:rPr>
          <w:lang w:val="pt-BR"/>
        </w:rPr>
        <w:t xml:space="preserve">Jha, U. C., Bohra, A., Jha, R., &amp; Parida, S. K. (2019). </w:t>
      </w:r>
      <w:r w:rsidRPr="00581054">
        <w:rPr>
          <w:lang w:val="en-IN"/>
        </w:rPr>
        <w:t xml:space="preserve">Salinity stress response and 'omics' approaches for improving salinity stress tolerance in major grain legumes. </w:t>
      </w:r>
      <w:r w:rsidRPr="00581054">
        <w:rPr>
          <w:lang w:val="pt-BR"/>
        </w:rPr>
        <w:t xml:space="preserve">Plant Cell Reports, 38, 255–277. </w:t>
      </w:r>
      <w:r>
        <w:rPr>
          <w:lang w:val="pt-BR"/>
        </w:rPr>
        <w:fldChar w:fldCharType="begin"/>
      </w:r>
      <w:r>
        <w:rPr>
          <w:lang w:val="pt-BR"/>
        </w:rPr>
        <w:instrText xml:space="preserve"> HYPERLINK "</w:instrText>
      </w:r>
      <w:r w:rsidRPr="00581054">
        <w:rPr>
          <w:lang w:val="pt-BR"/>
        </w:rPr>
        <w:instrText>https://doi.org/10.1007/s00299-019-02374-5</w:instrText>
      </w:r>
      <w:r>
        <w:rPr>
          <w:lang w:val="pt-BR"/>
        </w:rPr>
        <w:instrText xml:space="preserve">" </w:instrText>
      </w:r>
      <w:r>
        <w:rPr>
          <w:lang w:val="pt-BR"/>
        </w:rPr>
        <w:fldChar w:fldCharType="separate"/>
      </w:r>
      <w:r w:rsidRPr="00185C36">
        <w:rPr>
          <w:rStyle w:val="Hyperlink"/>
          <w:lang w:val="pt-BR"/>
        </w:rPr>
        <w:t>https://doi.org/10.1007/s00299-019-02374-5</w:t>
      </w:r>
      <w:r>
        <w:rPr>
          <w:lang w:val="pt-BR"/>
        </w:rPr>
        <w:fldChar w:fldCharType="end"/>
      </w:r>
    </w:p>
    <w:bookmarkEnd w:id="7"/>
    <w:p w14:paraId="67450F0C" w14:textId="4648DF9E" w:rsidR="00581054" w:rsidRDefault="00581054" w:rsidP="007B5F81">
      <w:pPr>
        <w:spacing w:line="276" w:lineRule="auto"/>
        <w:ind w:left="720" w:hanging="720"/>
        <w:jc w:val="both"/>
        <w:rPr>
          <w:lang w:val="pt-BR"/>
        </w:rPr>
      </w:pPr>
      <w:r w:rsidRPr="00581054">
        <w:rPr>
          <w:lang w:val="pt-BR"/>
        </w:rPr>
        <w:t xml:space="preserve">Papathanasiou, F., Ninou, E., Mylonas, I., Baxevanos, D., Papadopoulou, F., Avdikos, I., Sistanis, I., Koskosidis, A., Vlachostergios, D. N., Stefanou, S., Tigka, E., &amp; </w:t>
      </w:r>
      <w:r w:rsidRPr="00581054">
        <w:rPr>
          <w:lang w:val="pt-BR"/>
        </w:rPr>
        <w:lastRenderedPageBreak/>
        <w:t xml:space="preserve">Kargiotidou, A. (2022). </w:t>
      </w:r>
      <w:r w:rsidRPr="00581054">
        <w:rPr>
          <w:lang w:val="en-IN"/>
        </w:rPr>
        <w:t xml:space="preserve">The evaluation of common bean (Phaseolus vulgaris L.) genotypes under water stress based on physiological and agronomic parameters. </w:t>
      </w:r>
      <w:r w:rsidRPr="00581054">
        <w:rPr>
          <w:lang w:val="pt-BR"/>
        </w:rPr>
        <w:t xml:space="preserve">Plants, 11(18), 2432. </w:t>
      </w:r>
      <w:r>
        <w:rPr>
          <w:lang w:val="pt-BR"/>
        </w:rPr>
        <w:fldChar w:fldCharType="begin"/>
      </w:r>
      <w:r>
        <w:rPr>
          <w:lang w:val="pt-BR"/>
        </w:rPr>
        <w:instrText xml:space="preserve"> HYPERLINK "</w:instrText>
      </w:r>
      <w:r w:rsidRPr="00581054">
        <w:rPr>
          <w:lang w:val="pt-BR"/>
        </w:rPr>
        <w:instrText>https://doi.org/10.3390/plants11182432</w:instrText>
      </w:r>
      <w:r>
        <w:rPr>
          <w:lang w:val="pt-BR"/>
        </w:rPr>
        <w:instrText xml:space="preserve">" </w:instrText>
      </w:r>
      <w:r>
        <w:rPr>
          <w:lang w:val="pt-BR"/>
        </w:rPr>
        <w:fldChar w:fldCharType="separate"/>
      </w:r>
      <w:r w:rsidRPr="00185C36">
        <w:rPr>
          <w:rStyle w:val="Hyperlink"/>
          <w:lang w:val="pt-BR"/>
        </w:rPr>
        <w:t>https://doi.org/10.3390/plants11182432</w:t>
      </w:r>
      <w:r>
        <w:rPr>
          <w:lang w:val="pt-BR"/>
        </w:rPr>
        <w:fldChar w:fldCharType="end"/>
      </w:r>
    </w:p>
    <w:p w14:paraId="59259BF9" w14:textId="361BF7F3" w:rsidR="00581054" w:rsidRPr="00581054" w:rsidRDefault="00581054" w:rsidP="007B5F81">
      <w:pPr>
        <w:spacing w:line="276" w:lineRule="auto"/>
        <w:ind w:left="720" w:hanging="720"/>
        <w:jc w:val="both"/>
        <w:rPr>
          <w:lang w:val="en-IN"/>
        </w:rPr>
      </w:pPr>
      <w:r w:rsidRPr="00581054">
        <w:rPr>
          <w:lang w:val="pt-BR"/>
        </w:rPr>
        <w:t xml:space="preserve">Islam, M. S., Islam, M. R., Hasan, M. K., Hafeez, A. S. M. G., Chowdhury, M. K., Pramanik, M. H., Iqbal, M. A., Erman, M., Barutcular, C., Konuşkan, Ö., Dubey, A., Kumar, A., &amp; El Sabagh, A. (2024). </w:t>
      </w:r>
      <w:r w:rsidRPr="00581054">
        <w:rPr>
          <w:lang w:val="en-IN"/>
        </w:rPr>
        <w:t xml:space="preserve">Salinity stress in maize: Consequences, tolerance mechanisms, and management strategies. </w:t>
      </w:r>
      <w:r w:rsidRPr="00581054">
        <w:rPr>
          <w:lang w:val="pt-BR"/>
        </w:rPr>
        <w:t xml:space="preserve">OBM Genetics, 8(2), 232. </w:t>
      </w:r>
      <w:r>
        <w:rPr>
          <w:lang w:val="pt-BR"/>
        </w:rPr>
        <w:fldChar w:fldCharType="begin"/>
      </w:r>
      <w:r>
        <w:rPr>
          <w:lang w:val="pt-BR"/>
        </w:rPr>
        <w:instrText xml:space="preserve"> HYPERLINK "</w:instrText>
      </w:r>
      <w:r w:rsidRPr="00581054">
        <w:rPr>
          <w:lang w:val="pt-BR"/>
        </w:rPr>
        <w:instrText>https://doi.org/10.21926/obm.genet.2402232</w:instrText>
      </w:r>
      <w:r>
        <w:rPr>
          <w:lang w:val="pt-BR"/>
        </w:rPr>
        <w:instrText xml:space="preserve">" </w:instrText>
      </w:r>
      <w:r>
        <w:rPr>
          <w:lang w:val="pt-BR"/>
        </w:rPr>
        <w:fldChar w:fldCharType="separate"/>
      </w:r>
      <w:r w:rsidRPr="00581054">
        <w:rPr>
          <w:rStyle w:val="Hyperlink"/>
          <w:lang w:val="en-IN"/>
        </w:rPr>
        <w:t>https://doi.org/10.21926/obm.genet.2402232</w:t>
      </w:r>
      <w:r>
        <w:rPr>
          <w:lang w:val="pt-BR"/>
        </w:rPr>
        <w:fldChar w:fldCharType="end"/>
      </w:r>
    </w:p>
    <w:p w14:paraId="2D6343F7" w14:textId="4E43C7E5" w:rsidR="00581054" w:rsidRDefault="00581054" w:rsidP="007B5F81">
      <w:pPr>
        <w:spacing w:line="276" w:lineRule="auto"/>
        <w:ind w:left="720" w:hanging="720"/>
        <w:jc w:val="both"/>
      </w:pPr>
      <w:proofErr w:type="spellStart"/>
      <w:r w:rsidRPr="00581054">
        <w:t>Ragaey</w:t>
      </w:r>
      <w:proofErr w:type="spellEnd"/>
      <w:r w:rsidRPr="00581054">
        <w:t xml:space="preserve">, M. M., </w:t>
      </w:r>
      <w:proofErr w:type="spellStart"/>
      <w:r w:rsidRPr="00581054">
        <w:t>Sadak</w:t>
      </w:r>
      <w:proofErr w:type="spellEnd"/>
      <w:r w:rsidRPr="00581054">
        <w:t xml:space="preserve">, M. S., Dawood, M. F. A., Mousa, N. H. S., Hanafy, R. S., &amp; </w:t>
      </w:r>
      <w:proofErr w:type="spellStart"/>
      <w:r w:rsidRPr="00581054">
        <w:t>Latef</w:t>
      </w:r>
      <w:proofErr w:type="spellEnd"/>
      <w:r w:rsidRPr="00581054">
        <w:t xml:space="preserve">, A. A. H. A. (2022). Role of signaling molecules, sodium nitroprusside and arginine, in alleviating salt-induced oxidative stress in wheat. Plants, 11(14), 1786. </w:t>
      </w:r>
      <w:hyperlink r:id="rId52" w:history="1">
        <w:r w:rsidRPr="00185C36">
          <w:rPr>
            <w:rStyle w:val="Hyperlink"/>
          </w:rPr>
          <w:t>https://doi.org/10.3390/plants11141786</w:t>
        </w:r>
      </w:hyperlink>
    </w:p>
    <w:p w14:paraId="2F7395FD" w14:textId="794B6FDF" w:rsidR="00581054" w:rsidRPr="00581054" w:rsidRDefault="00581054" w:rsidP="007B5F81">
      <w:pPr>
        <w:spacing w:line="276" w:lineRule="auto"/>
        <w:ind w:left="720" w:hanging="720"/>
        <w:jc w:val="both"/>
        <w:rPr>
          <w:lang w:val="pt-BR"/>
        </w:rPr>
      </w:pPr>
      <w:proofErr w:type="spellStart"/>
      <w:r w:rsidRPr="00581054">
        <w:t>Irik</w:t>
      </w:r>
      <w:proofErr w:type="spellEnd"/>
      <w:r w:rsidRPr="00581054">
        <w:t xml:space="preserve">, H. A., &amp; </w:t>
      </w:r>
      <w:proofErr w:type="spellStart"/>
      <w:r w:rsidRPr="00581054">
        <w:t>Bikmaz</w:t>
      </w:r>
      <w:proofErr w:type="spellEnd"/>
      <w:r w:rsidRPr="00581054">
        <w:t xml:space="preserve">, G. (2024). Effect of different salinity on seed germination, growth parameters and biochemical contents of pumpkin (Cucurbita pepo L.) seeds cultivars. Scientific Reports. </w:t>
      </w:r>
      <w:hyperlink r:id="rId53" w:history="1">
        <w:r w:rsidRPr="00581054">
          <w:rPr>
            <w:rStyle w:val="Hyperlink"/>
            <w:lang w:val="pt-BR"/>
          </w:rPr>
          <w:t>https://doi.org/10.1038/s41598-024-55325-w</w:t>
        </w:r>
      </w:hyperlink>
    </w:p>
    <w:p w14:paraId="7BF01B40" w14:textId="64AC3328" w:rsidR="00581054" w:rsidRPr="00581054" w:rsidRDefault="00581054" w:rsidP="007B5F81">
      <w:pPr>
        <w:spacing w:line="276" w:lineRule="auto"/>
        <w:ind w:left="720" w:hanging="720"/>
        <w:jc w:val="both"/>
        <w:rPr>
          <w:lang w:val="en-IN"/>
        </w:rPr>
      </w:pPr>
      <w:r w:rsidRPr="00581054">
        <w:rPr>
          <w:lang w:val="pt-BR"/>
        </w:rPr>
        <w:t xml:space="preserve">Diaz, S., Polania, J., Ariza-Suarez, D., Cajiao, C., Grajales, M., Raatz, B., &amp; Beebe, S. E. (2022). </w:t>
      </w:r>
      <w:r w:rsidRPr="00581054">
        <w:rPr>
          <w:lang w:val="en-IN"/>
        </w:rPr>
        <w:t xml:space="preserve">Genetic correlation between Fe and Zn biofortification and yield components in a common bean (Phaseolus vulgaris L.). </w:t>
      </w:r>
      <w:r w:rsidRPr="00581054">
        <w:rPr>
          <w:lang w:val="pt-BR"/>
        </w:rPr>
        <w:t xml:space="preserve">Frontiers in Plant Science. </w:t>
      </w:r>
      <w:r>
        <w:rPr>
          <w:lang w:val="pt-BR"/>
        </w:rPr>
        <w:fldChar w:fldCharType="begin"/>
      </w:r>
      <w:r>
        <w:rPr>
          <w:lang w:val="pt-BR"/>
        </w:rPr>
        <w:instrText xml:space="preserve"> HYPERLINK "</w:instrText>
      </w:r>
      <w:r w:rsidRPr="00581054">
        <w:rPr>
          <w:lang w:val="pt-BR"/>
        </w:rPr>
        <w:instrText>https://doi.org/10.3389/fpls.2021.739033</w:instrText>
      </w:r>
      <w:r>
        <w:rPr>
          <w:lang w:val="pt-BR"/>
        </w:rPr>
        <w:instrText xml:space="preserve">" </w:instrText>
      </w:r>
      <w:r>
        <w:rPr>
          <w:lang w:val="pt-BR"/>
        </w:rPr>
        <w:fldChar w:fldCharType="separate"/>
      </w:r>
      <w:r w:rsidRPr="00581054">
        <w:rPr>
          <w:rStyle w:val="Hyperlink"/>
          <w:lang w:val="en-IN"/>
        </w:rPr>
        <w:t>https://doi.org/10.3389/fpls.2021.739033</w:t>
      </w:r>
      <w:r>
        <w:rPr>
          <w:lang w:val="pt-BR"/>
        </w:rPr>
        <w:fldChar w:fldCharType="end"/>
      </w:r>
    </w:p>
    <w:p w14:paraId="768BFFFD" w14:textId="55C183F4" w:rsidR="00A47C2C" w:rsidRPr="00BD3B0C" w:rsidRDefault="00A47C2C" w:rsidP="007B5F81">
      <w:pPr>
        <w:spacing w:line="276" w:lineRule="auto"/>
        <w:ind w:left="720" w:hanging="720"/>
        <w:jc w:val="both"/>
      </w:pPr>
      <w:r>
        <w:t xml:space="preserve">32. </w:t>
      </w:r>
      <w:bookmarkStart w:id="8" w:name="thirtytwo"/>
      <w:r w:rsidRPr="00BD3B0C">
        <w:t xml:space="preserve">Hummel, M., Talsma, E. F., </w:t>
      </w:r>
      <w:proofErr w:type="spellStart"/>
      <w:r w:rsidRPr="00BD3B0C">
        <w:t>Taleon</w:t>
      </w:r>
      <w:proofErr w:type="spellEnd"/>
      <w:r w:rsidRPr="00BD3B0C">
        <w:t xml:space="preserve">, V., Londoño, L., </w:t>
      </w:r>
      <w:proofErr w:type="spellStart"/>
      <w:r w:rsidRPr="00BD3B0C">
        <w:t>Brychkova</w:t>
      </w:r>
      <w:proofErr w:type="spellEnd"/>
      <w:r w:rsidRPr="00BD3B0C">
        <w:t>, G., Spillane, C., and McKeown, P. C. (2020). Iron, zinc</w:t>
      </w:r>
      <w:r>
        <w:t>,</w:t>
      </w:r>
      <w:r w:rsidRPr="00BD3B0C">
        <w:t xml:space="preserve"> and phytic acid retention of biofortified, low phytic acid, and conventional bean varieties when preparing common household recipes. Nutrients, 12(3), 658. </w:t>
      </w:r>
      <w:hyperlink r:id="rId54" w:history="1">
        <w:r w:rsidRPr="00BD3B0C">
          <w:rPr>
            <w:color w:val="0000FF"/>
            <w:u w:val="single"/>
          </w:rPr>
          <w:t>https://doi.org/10.3390/nu12030658</w:t>
        </w:r>
      </w:hyperlink>
    </w:p>
    <w:bookmarkEnd w:id="8"/>
    <w:p w14:paraId="4C5E556D" w14:textId="4F0F4E2D" w:rsidR="00581054" w:rsidRDefault="00581054" w:rsidP="007B5F81">
      <w:pPr>
        <w:spacing w:line="276" w:lineRule="auto"/>
        <w:ind w:left="720" w:hanging="720"/>
        <w:jc w:val="both"/>
      </w:pPr>
      <w:r w:rsidRPr="00581054">
        <w:t xml:space="preserve">Hummel, M., Hallahan, B.F., </w:t>
      </w:r>
      <w:proofErr w:type="spellStart"/>
      <w:r w:rsidRPr="00581054">
        <w:t>Brychkova</w:t>
      </w:r>
      <w:proofErr w:type="spellEnd"/>
      <w:r w:rsidRPr="00581054">
        <w:t xml:space="preserve">, G., Ramirez-Villegas, J., </w:t>
      </w:r>
      <w:proofErr w:type="spellStart"/>
      <w:r w:rsidRPr="00581054">
        <w:t>Guwela</w:t>
      </w:r>
      <w:proofErr w:type="spellEnd"/>
      <w:r w:rsidRPr="00581054">
        <w:t xml:space="preserve">, V., </w:t>
      </w:r>
      <w:proofErr w:type="spellStart"/>
      <w:r w:rsidRPr="00581054">
        <w:t>Chataika</w:t>
      </w:r>
      <w:proofErr w:type="spellEnd"/>
      <w:r w:rsidRPr="00581054">
        <w:t xml:space="preserve">, B., Curley, E., McKeown, P.C., Morrison, L., </w:t>
      </w:r>
      <w:proofErr w:type="spellStart"/>
      <w:r w:rsidRPr="00581054">
        <w:t>Talsma</w:t>
      </w:r>
      <w:proofErr w:type="spellEnd"/>
      <w:r w:rsidRPr="00581054">
        <w:t xml:space="preserve">, E.F., Beebe, S., Jarvis, A., </w:t>
      </w:r>
      <w:proofErr w:type="spellStart"/>
      <w:r w:rsidRPr="00581054">
        <w:t>Chirwa</w:t>
      </w:r>
      <w:proofErr w:type="spellEnd"/>
      <w:r w:rsidRPr="00581054">
        <w:t xml:space="preserve">, R., &amp; Spillane, C. (2018). Reduction in nutritional quality and growing area suitability of common bean under climate change induced drought stress in Africa. Scientific Reports </w:t>
      </w:r>
      <w:hyperlink r:id="rId55" w:history="1">
        <w:r w:rsidRPr="00185C36">
          <w:rPr>
            <w:rStyle w:val="Hyperlink"/>
          </w:rPr>
          <w:t>https://doi.org/10.1038/s41598-018-33952-4</w:t>
        </w:r>
      </w:hyperlink>
    </w:p>
    <w:p w14:paraId="0A5EAA8E" w14:textId="5DECF255" w:rsidR="00581054" w:rsidRPr="00581054" w:rsidRDefault="00581054" w:rsidP="007B5F81">
      <w:pPr>
        <w:spacing w:line="276" w:lineRule="auto"/>
        <w:ind w:left="720" w:hanging="720"/>
        <w:jc w:val="both"/>
        <w:rPr>
          <w:lang w:val="pt-BR"/>
        </w:rPr>
      </w:pPr>
      <w:r w:rsidRPr="00581054">
        <w:t xml:space="preserve">Karimi, M. R., </w:t>
      </w:r>
      <w:proofErr w:type="spellStart"/>
      <w:r w:rsidRPr="00581054">
        <w:t>Sabokdast</w:t>
      </w:r>
      <w:proofErr w:type="spellEnd"/>
      <w:r w:rsidRPr="00581054">
        <w:t xml:space="preserve">, M., </w:t>
      </w:r>
      <w:proofErr w:type="spellStart"/>
      <w:r w:rsidRPr="00581054">
        <w:t>Korang</w:t>
      </w:r>
      <w:proofErr w:type="spellEnd"/>
      <w:r w:rsidRPr="00581054">
        <w:t xml:space="preserve"> </w:t>
      </w:r>
      <w:proofErr w:type="spellStart"/>
      <w:r w:rsidRPr="00581054">
        <w:t>Beheshti</w:t>
      </w:r>
      <w:proofErr w:type="spellEnd"/>
      <w:r w:rsidRPr="00581054">
        <w:t xml:space="preserve">, H., Abbasi, A. R., &amp; </w:t>
      </w:r>
      <w:proofErr w:type="spellStart"/>
      <w:r w:rsidRPr="00581054">
        <w:t>Bihamta</w:t>
      </w:r>
      <w:proofErr w:type="spellEnd"/>
      <w:r w:rsidRPr="00581054">
        <w:t xml:space="preserve">, M. R. (2025). Seed priming with salicylic acid enhances salt stress tolerance by boosting antioxidant defense in Phaseolus vulgaris genotypes. BMC Plant Biology, 25(1), 489. </w:t>
      </w:r>
      <w:hyperlink r:id="rId56" w:history="1">
        <w:r w:rsidRPr="00581054">
          <w:rPr>
            <w:rStyle w:val="Hyperlink"/>
            <w:lang w:val="pt-BR"/>
          </w:rPr>
          <w:t>https://doi.org/10.1186/s12870-025-06376-2</w:t>
        </w:r>
      </w:hyperlink>
    </w:p>
    <w:p w14:paraId="7896DE7E" w14:textId="197E80FB" w:rsidR="00581054" w:rsidRDefault="00581054" w:rsidP="007B5F81">
      <w:pPr>
        <w:spacing w:line="276" w:lineRule="auto"/>
        <w:ind w:left="720" w:hanging="720"/>
        <w:jc w:val="both"/>
        <w:rPr>
          <w:lang w:val="pt-BR"/>
        </w:rPr>
      </w:pPr>
      <w:r w:rsidRPr="00581054">
        <w:rPr>
          <w:lang w:val="pt-BR"/>
        </w:rPr>
        <w:t xml:space="preserve">Borromeo, I., Domenici, F., Giordani, C., Del Gallo, M., &amp; Forni, C. (2024). </w:t>
      </w:r>
      <w:r w:rsidRPr="00581054">
        <w:rPr>
          <w:lang w:val="en-IN"/>
        </w:rPr>
        <w:t xml:space="preserve">Enhancing bean (Phaseolus vulgaris L.) resilience: Unveiling the role of halopriming against saltwater stress. </w:t>
      </w:r>
      <w:r w:rsidRPr="00581054">
        <w:rPr>
          <w:lang w:val="pt-BR"/>
        </w:rPr>
        <w:t xml:space="preserve">Seeds, 3(2), 228-250. </w:t>
      </w:r>
      <w:hyperlink r:id="rId57" w:history="1">
        <w:r w:rsidRPr="00185C36">
          <w:rPr>
            <w:rStyle w:val="Hyperlink"/>
            <w:lang w:val="pt-BR"/>
          </w:rPr>
          <w:t>https://doi.org/10.3390/seeds3020018</w:t>
        </w:r>
      </w:hyperlink>
    </w:p>
    <w:p w14:paraId="1B6F5B6E" w14:textId="74414D1D" w:rsidR="00A47C2C" w:rsidRDefault="00581054" w:rsidP="00581054">
      <w:pPr>
        <w:spacing w:line="276" w:lineRule="auto"/>
        <w:ind w:left="720" w:hanging="720"/>
        <w:jc w:val="both"/>
        <w:rPr>
          <w:lang w:val="pt-BR"/>
        </w:rPr>
      </w:pPr>
      <w:r w:rsidRPr="00581054">
        <w:rPr>
          <w:lang w:val="pt-BR"/>
        </w:rPr>
        <w:t xml:space="preserve">García, M., García, G., Parola, R., Maddela, N.R., Pérez-Almeida, I., &amp; Garcés-Fiallos, F.R. (2024). </w:t>
      </w:r>
      <w:r w:rsidRPr="00581054">
        <w:rPr>
          <w:lang w:val="en-IN"/>
        </w:rPr>
        <w:t xml:space="preserve">Root-shoot ratio and SOD activity are associated with the sensitivity of common bean seedlings to NaCl salinization. </w:t>
      </w:r>
      <w:r w:rsidRPr="00581054">
        <w:rPr>
          <w:lang w:val="pt-BR"/>
        </w:rPr>
        <w:t xml:space="preserve">Rhizosphere, 29, 100848. </w:t>
      </w:r>
      <w:hyperlink r:id="rId58" w:history="1">
        <w:r w:rsidRPr="00185C36">
          <w:rPr>
            <w:rStyle w:val="Hyperlink"/>
            <w:lang w:val="pt-BR"/>
          </w:rPr>
          <w:t>https://doi.org/10.1016/j.rhisph.2024.100848</w:t>
        </w:r>
      </w:hyperlink>
    </w:p>
    <w:p w14:paraId="1297E7B5" w14:textId="77777777" w:rsidR="00581054" w:rsidRPr="00BD3B0C" w:rsidRDefault="00581054" w:rsidP="00581054">
      <w:pPr>
        <w:spacing w:line="276" w:lineRule="auto"/>
        <w:ind w:left="720" w:hanging="720"/>
        <w:jc w:val="both"/>
      </w:pPr>
    </w:p>
    <w:sectPr w:rsidR="00581054" w:rsidRPr="00BD3B0C">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25-12-24T00:55:00Z" w:initials="WU">
    <w:p w14:paraId="42E1E0E5" w14:textId="6DC4D850" w:rsidR="008B543C" w:rsidRDefault="008B543C">
      <w:pPr>
        <w:pStyle w:val="CommentText"/>
      </w:pPr>
      <w:r>
        <w:rPr>
          <w:rStyle w:val="CommentReference"/>
        </w:rPr>
        <w:annotationRef/>
      </w:r>
      <w:r w:rsidRPr="008B543C">
        <w:t>Please specify whether the cultivars used in the experiment are salt-tolerant or salt-sensitive.</w:t>
      </w:r>
      <w:bookmarkStart w:id="1" w:name="_GoBack"/>
      <w:bookmarkEnd w:id="1"/>
    </w:p>
  </w:comment>
  <w:comment w:id="2" w:author="Windows User" w:date="2025-12-24T00:36:00Z" w:initials="WU">
    <w:p w14:paraId="56563192" w14:textId="77777777" w:rsidR="00C55527" w:rsidRDefault="00C55527" w:rsidP="00C55527">
      <w:pPr>
        <w:pStyle w:val="CommentText"/>
      </w:pPr>
      <w:r>
        <w:rPr>
          <w:rStyle w:val="CommentReference"/>
        </w:rPr>
        <w:annotationRef/>
      </w:r>
      <w:r>
        <w:t>In standard salt stress tests, seeds are germinated directly in a saline environment.</w:t>
      </w:r>
    </w:p>
    <w:p w14:paraId="43B89105" w14:textId="77777777" w:rsidR="00C55527" w:rsidRDefault="00C55527" w:rsidP="00C55527">
      <w:pPr>
        <w:pStyle w:val="CommentText"/>
      </w:pPr>
      <w:r>
        <w:t>Is there a logical answer to the following questions?</w:t>
      </w:r>
    </w:p>
    <w:p w14:paraId="1AA044A3" w14:textId="77777777" w:rsidR="00C55527" w:rsidRDefault="00C55527" w:rsidP="00C55527">
      <w:pPr>
        <w:pStyle w:val="CommentText"/>
      </w:pPr>
      <w:r>
        <w:t>Doesn't soaking seeds in saline activate the seed's metabolic pathways before seed germination?</w:t>
      </w:r>
    </w:p>
    <w:p w14:paraId="1175D033" w14:textId="77777777" w:rsidR="00C55527" w:rsidRDefault="00C55527" w:rsidP="00C55527">
      <w:pPr>
        <w:pStyle w:val="CommentText"/>
      </w:pPr>
      <w:r>
        <w:t>Doesn't pretreatment artificially increase the osmotic tolerance of seeds?</w:t>
      </w:r>
    </w:p>
    <w:p w14:paraId="27B193D6" w14:textId="6FC0E3BB" w:rsidR="00C55527" w:rsidRDefault="00C55527" w:rsidP="00C55527">
      <w:pPr>
        <w:pStyle w:val="CommentText"/>
      </w:pPr>
      <w:r>
        <w:t>As a result, you will not have a natural response to salt stress in this experiment.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E1E0E5" w15:done="0"/>
  <w15:commentEx w15:paraId="27B193D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71659" w14:textId="77777777" w:rsidR="003E43FF" w:rsidRDefault="003E43FF" w:rsidP="00E61AFB">
      <w:pPr>
        <w:spacing w:line="240" w:lineRule="auto"/>
      </w:pPr>
      <w:r>
        <w:separator/>
      </w:r>
    </w:p>
  </w:endnote>
  <w:endnote w:type="continuationSeparator" w:id="0">
    <w:p w14:paraId="404308C8" w14:textId="77777777" w:rsidR="003E43FF" w:rsidRDefault="003E43FF" w:rsidP="00E61A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13122" w14:textId="77777777" w:rsidR="00C02E1D" w:rsidRDefault="00C02E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BB17" w14:textId="77777777" w:rsidR="00C02E1D" w:rsidRDefault="00C02E1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D68F0" w14:textId="77777777" w:rsidR="00C02E1D" w:rsidRDefault="00C02E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2602E" w14:textId="77777777" w:rsidR="003E43FF" w:rsidRDefault="003E43FF" w:rsidP="00E61AFB">
      <w:pPr>
        <w:spacing w:line="240" w:lineRule="auto"/>
      </w:pPr>
      <w:r>
        <w:separator/>
      </w:r>
    </w:p>
  </w:footnote>
  <w:footnote w:type="continuationSeparator" w:id="0">
    <w:p w14:paraId="07D573E9" w14:textId="77777777" w:rsidR="003E43FF" w:rsidRDefault="003E43FF" w:rsidP="00E61A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3FCBA" w14:textId="10303D5D" w:rsidR="00C02E1D" w:rsidRDefault="003E43FF">
    <w:pPr>
      <w:pStyle w:val="Header"/>
    </w:pPr>
    <w:r>
      <w:rPr>
        <w:noProof/>
      </w:rPr>
      <w:pict w14:anchorId="4C987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827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B097" w14:textId="18139A36" w:rsidR="00C02E1D" w:rsidRDefault="003E43FF">
    <w:pPr>
      <w:pStyle w:val="Header"/>
    </w:pPr>
    <w:r>
      <w:rPr>
        <w:noProof/>
      </w:rPr>
      <w:pict w14:anchorId="2CAA3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827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0D8A6" w14:textId="29523AC3" w:rsidR="00C02E1D" w:rsidRDefault="003E43FF">
    <w:pPr>
      <w:pStyle w:val="Header"/>
    </w:pPr>
    <w:r>
      <w:rPr>
        <w:noProof/>
      </w:rPr>
      <w:pict w14:anchorId="46759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827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475"/>
    <w:multiLevelType w:val="hybridMultilevel"/>
    <w:tmpl w:val="03A060E4"/>
    <w:lvl w:ilvl="0" w:tplc="89087D50">
      <w:start w:val="1"/>
      <w:numFmt w:val="bullet"/>
      <w:lvlText w:val="●"/>
      <w:lvlJc w:val="left"/>
      <w:pPr>
        <w:ind w:left="720" w:hanging="360"/>
      </w:pPr>
    </w:lvl>
    <w:lvl w:ilvl="1" w:tplc="C416FEE2">
      <w:start w:val="1"/>
      <w:numFmt w:val="bullet"/>
      <w:lvlText w:val="○"/>
      <w:lvlJc w:val="left"/>
      <w:pPr>
        <w:ind w:left="1440" w:hanging="360"/>
      </w:pPr>
    </w:lvl>
    <w:lvl w:ilvl="2" w:tplc="E18C4B8A">
      <w:start w:val="1"/>
      <w:numFmt w:val="bullet"/>
      <w:lvlText w:val="■"/>
      <w:lvlJc w:val="left"/>
      <w:pPr>
        <w:ind w:left="2160" w:hanging="360"/>
      </w:pPr>
    </w:lvl>
    <w:lvl w:ilvl="3" w:tplc="5BFE97B0">
      <w:start w:val="1"/>
      <w:numFmt w:val="bullet"/>
      <w:lvlText w:val="●"/>
      <w:lvlJc w:val="left"/>
      <w:pPr>
        <w:ind w:left="2880" w:hanging="360"/>
      </w:pPr>
    </w:lvl>
    <w:lvl w:ilvl="4" w:tplc="ABBAB4BC">
      <w:start w:val="1"/>
      <w:numFmt w:val="bullet"/>
      <w:lvlText w:val="○"/>
      <w:lvlJc w:val="left"/>
      <w:pPr>
        <w:ind w:left="3600" w:hanging="360"/>
      </w:pPr>
    </w:lvl>
    <w:lvl w:ilvl="5" w:tplc="042C4874">
      <w:start w:val="1"/>
      <w:numFmt w:val="bullet"/>
      <w:lvlText w:val="■"/>
      <w:lvlJc w:val="left"/>
      <w:pPr>
        <w:ind w:left="4320" w:hanging="360"/>
      </w:pPr>
    </w:lvl>
    <w:lvl w:ilvl="6" w:tplc="E87C6B16">
      <w:start w:val="1"/>
      <w:numFmt w:val="bullet"/>
      <w:lvlText w:val="●"/>
      <w:lvlJc w:val="left"/>
      <w:pPr>
        <w:ind w:left="5040" w:hanging="360"/>
      </w:pPr>
    </w:lvl>
    <w:lvl w:ilvl="7" w:tplc="CA64DCA0">
      <w:start w:val="1"/>
      <w:numFmt w:val="bullet"/>
      <w:lvlText w:val="●"/>
      <w:lvlJc w:val="left"/>
      <w:pPr>
        <w:ind w:left="5760" w:hanging="360"/>
      </w:pPr>
    </w:lvl>
    <w:lvl w:ilvl="8" w:tplc="6AC68E14">
      <w:start w:val="1"/>
      <w:numFmt w:val="bullet"/>
      <w:lvlText w:val="●"/>
      <w:lvlJc w:val="left"/>
      <w:pPr>
        <w:ind w:left="6480" w:hanging="360"/>
      </w:pPr>
    </w:lvl>
  </w:abstractNum>
  <w:abstractNum w:abstractNumId="1" w15:restartNumberingAfterBreak="0">
    <w:nsid w:val="17EE424C"/>
    <w:multiLevelType w:val="hybridMultilevel"/>
    <w:tmpl w:val="3626D6EA"/>
    <w:lvl w:ilvl="0" w:tplc="537E8250">
      <w:start w:val="1"/>
      <w:numFmt w:val="decimal"/>
      <w:lvlText w:val="(%1)"/>
      <w:lvlJc w:val="left"/>
      <w:pPr>
        <w:ind w:left="720" w:hanging="360"/>
      </w:pPr>
    </w:lvl>
    <w:lvl w:ilvl="1" w:tplc="C812F28A">
      <w:numFmt w:val="decimal"/>
      <w:lvlText w:val=""/>
      <w:lvlJc w:val="left"/>
    </w:lvl>
    <w:lvl w:ilvl="2" w:tplc="5C76AE40">
      <w:numFmt w:val="decimal"/>
      <w:lvlText w:val=""/>
      <w:lvlJc w:val="left"/>
    </w:lvl>
    <w:lvl w:ilvl="3" w:tplc="818445BC">
      <w:numFmt w:val="decimal"/>
      <w:lvlText w:val=""/>
      <w:lvlJc w:val="left"/>
    </w:lvl>
    <w:lvl w:ilvl="4" w:tplc="AC2246C4">
      <w:numFmt w:val="decimal"/>
      <w:lvlText w:val=""/>
      <w:lvlJc w:val="left"/>
    </w:lvl>
    <w:lvl w:ilvl="5" w:tplc="510C8882">
      <w:numFmt w:val="decimal"/>
      <w:lvlText w:val=""/>
      <w:lvlJc w:val="left"/>
    </w:lvl>
    <w:lvl w:ilvl="6" w:tplc="5650BA0A">
      <w:numFmt w:val="decimal"/>
      <w:lvlText w:val=""/>
      <w:lvlJc w:val="left"/>
    </w:lvl>
    <w:lvl w:ilvl="7" w:tplc="7FA8E798">
      <w:numFmt w:val="decimal"/>
      <w:lvlText w:val=""/>
      <w:lvlJc w:val="left"/>
    </w:lvl>
    <w:lvl w:ilvl="8" w:tplc="517C94A0">
      <w:numFmt w:val="decimal"/>
      <w:lvlText w:val=""/>
      <w:lvlJc w:val="left"/>
    </w:lvl>
  </w:abstractNum>
  <w:abstractNum w:abstractNumId="2" w15:restartNumberingAfterBreak="0">
    <w:nsid w:val="38B7163B"/>
    <w:multiLevelType w:val="hybridMultilevel"/>
    <w:tmpl w:val="567E7F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011EB"/>
    <w:multiLevelType w:val="hybridMultilevel"/>
    <w:tmpl w:val="822A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B5208F"/>
    <w:multiLevelType w:val="hybridMultilevel"/>
    <w:tmpl w:val="7D18A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num>
  <w:num w:numId="3">
    <w:abstractNumId w:val="3"/>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35"/>
    <w:rsid w:val="000019C0"/>
    <w:rsid w:val="00003CDB"/>
    <w:rsid w:val="00004987"/>
    <w:rsid w:val="000073AD"/>
    <w:rsid w:val="0001132A"/>
    <w:rsid w:val="00014802"/>
    <w:rsid w:val="00016930"/>
    <w:rsid w:val="00020A0A"/>
    <w:rsid w:val="000266A7"/>
    <w:rsid w:val="00030810"/>
    <w:rsid w:val="000318E0"/>
    <w:rsid w:val="0003223E"/>
    <w:rsid w:val="000347C7"/>
    <w:rsid w:val="00036E6D"/>
    <w:rsid w:val="0004062D"/>
    <w:rsid w:val="000411DD"/>
    <w:rsid w:val="00053633"/>
    <w:rsid w:val="00055B0A"/>
    <w:rsid w:val="000625F2"/>
    <w:rsid w:val="0006465A"/>
    <w:rsid w:val="00073435"/>
    <w:rsid w:val="00077085"/>
    <w:rsid w:val="00090604"/>
    <w:rsid w:val="00091A9D"/>
    <w:rsid w:val="000A1993"/>
    <w:rsid w:val="000A1B77"/>
    <w:rsid w:val="000A2664"/>
    <w:rsid w:val="000A3B0B"/>
    <w:rsid w:val="000A4AC2"/>
    <w:rsid w:val="000B0627"/>
    <w:rsid w:val="000C523A"/>
    <w:rsid w:val="000C751F"/>
    <w:rsid w:val="000D47DC"/>
    <w:rsid w:val="000D57A2"/>
    <w:rsid w:val="000E124A"/>
    <w:rsid w:val="000F74F0"/>
    <w:rsid w:val="001002B1"/>
    <w:rsid w:val="00105955"/>
    <w:rsid w:val="00106B6A"/>
    <w:rsid w:val="00110AF7"/>
    <w:rsid w:val="00112BB6"/>
    <w:rsid w:val="00122CF3"/>
    <w:rsid w:val="001304EE"/>
    <w:rsid w:val="00130D99"/>
    <w:rsid w:val="001362CE"/>
    <w:rsid w:val="001511A0"/>
    <w:rsid w:val="00152054"/>
    <w:rsid w:val="001654CF"/>
    <w:rsid w:val="00172A14"/>
    <w:rsid w:val="00184154"/>
    <w:rsid w:val="00184455"/>
    <w:rsid w:val="0018566C"/>
    <w:rsid w:val="0018624A"/>
    <w:rsid w:val="001865B7"/>
    <w:rsid w:val="00186746"/>
    <w:rsid w:val="00187A5C"/>
    <w:rsid w:val="0019495C"/>
    <w:rsid w:val="001A6496"/>
    <w:rsid w:val="001A79AB"/>
    <w:rsid w:val="001B7B36"/>
    <w:rsid w:val="001C2B03"/>
    <w:rsid w:val="001C7E64"/>
    <w:rsid w:val="001D0A9A"/>
    <w:rsid w:val="001E0B55"/>
    <w:rsid w:val="001E2FEA"/>
    <w:rsid w:val="001E4437"/>
    <w:rsid w:val="001F0D18"/>
    <w:rsid w:val="001F0F13"/>
    <w:rsid w:val="001F73EB"/>
    <w:rsid w:val="00200810"/>
    <w:rsid w:val="00201700"/>
    <w:rsid w:val="002044CB"/>
    <w:rsid w:val="002069CD"/>
    <w:rsid w:val="00210E85"/>
    <w:rsid w:val="00220E4E"/>
    <w:rsid w:val="00233C66"/>
    <w:rsid w:val="00236729"/>
    <w:rsid w:val="00241F51"/>
    <w:rsid w:val="0024452A"/>
    <w:rsid w:val="00244B0A"/>
    <w:rsid w:val="00244EC7"/>
    <w:rsid w:val="00252CC8"/>
    <w:rsid w:val="00253824"/>
    <w:rsid w:val="002607C8"/>
    <w:rsid w:val="002638B0"/>
    <w:rsid w:val="00264066"/>
    <w:rsid w:val="0027725D"/>
    <w:rsid w:val="002871C7"/>
    <w:rsid w:val="002A426F"/>
    <w:rsid w:val="002A545B"/>
    <w:rsid w:val="002B1927"/>
    <w:rsid w:val="002B2B1C"/>
    <w:rsid w:val="002B3216"/>
    <w:rsid w:val="002C0CA3"/>
    <w:rsid w:val="002C10B1"/>
    <w:rsid w:val="002C40F8"/>
    <w:rsid w:val="002C4399"/>
    <w:rsid w:val="002C79C1"/>
    <w:rsid w:val="002D080B"/>
    <w:rsid w:val="002E1056"/>
    <w:rsid w:val="002E2939"/>
    <w:rsid w:val="002E31D2"/>
    <w:rsid w:val="002F24D6"/>
    <w:rsid w:val="002F6261"/>
    <w:rsid w:val="002F6E1E"/>
    <w:rsid w:val="002F752E"/>
    <w:rsid w:val="003002B1"/>
    <w:rsid w:val="00300AA6"/>
    <w:rsid w:val="0030132C"/>
    <w:rsid w:val="00310406"/>
    <w:rsid w:val="00315E8C"/>
    <w:rsid w:val="0031645B"/>
    <w:rsid w:val="00326120"/>
    <w:rsid w:val="003363A4"/>
    <w:rsid w:val="00337561"/>
    <w:rsid w:val="00342378"/>
    <w:rsid w:val="0035784A"/>
    <w:rsid w:val="00362BF6"/>
    <w:rsid w:val="00363748"/>
    <w:rsid w:val="003706D1"/>
    <w:rsid w:val="00374197"/>
    <w:rsid w:val="0038061B"/>
    <w:rsid w:val="003850CC"/>
    <w:rsid w:val="00385F05"/>
    <w:rsid w:val="00386A7C"/>
    <w:rsid w:val="0038787E"/>
    <w:rsid w:val="00391E05"/>
    <w:rsid w:val="00392A79"/>
    <w:rsid w:val="003A422C"/>
    <w:rsid w:val="003A6BA6"/>
    <w:rsid w:val="003B64F3"/>
    <w:rsid w:val="003C017C"/>
    <w:rsid w:val="003C2595"/>
    <w:rsid w:val="003C38FE"/>
    <w:rsid w:val="003C5A65"/>
    <w:rsid w:val="003C5EF5"/>
    <w:rsid w:val="003C6B05"/>
    <w:rsid w:val="003D0513"/>
    <w:rsid w:val="003D1EC9"/>
    <w:rsid w:val="003D2F49"/>
    <w:rsid w:val="003D3DB8"/>
    <w:rsid w:val="003D786C"/>
    <w:rsid w:val="003E16BF"/>
    <w:rsid w:val="003E43FF"/>
    <w:rsid w:val="003E6B82"/>
    <w:rsid w:val="003F0234"/>
    <w:rsid w:val="003F3B7A"/>
    <w:rsid w:val="00400107"/>
    <w:rsid w:val="00401285"/>
    <w:rsid w:val="00402B91"/>
    <w:rsid w:val="00406696"/>
    <w:rsid w:val="004130A2"/>
    <w:rsid w:val="004204EC"/>
    <w:rsid w:val="00430D75"/>
    <w:rsid w:val="00431170"/>
    <w:rsid w:val="00434168"/>
    <w:rsid w:val="004344C5"/>
    <w:rsid w:val="0043639C"/>
    <w:rsid w:val="0044764A"/>
    <w:rsid w:val="0045514E"/>
    <w:rsid w:val="0045675C"/>
    <w:rsid w:val="00462360"/>
    <w:rsid w:val="00464205"/>
    <w:rsid w:val="004705E2"/>
    <w:rsid w:val="00473E59"/>
    <w:rsid w:val="00486E65"/>
    <w:rsid w:val="00487476"/>
    <w:rsid w:val="0049728A"/>
    <w:rsid w:val="004B1A26"/>
    <w:rsid w:val="004B1E1D"/>
    <w:rsid w:val="004B23B9"/>
    <w:rsid w:val="004B52BC"/>
    <w:rsid w:val="004C01F5"/>
    <w:rsid w:val="004C0F78"/>
    <w:rsid w:val="004C1E84"/>
    <w:rsid w:val="004C2C84"/>
    <w:rsid w:val="004C5CDA"/>
    <w:rsid w:val="004D1EA7"/>
    <w:rsid w:val="004D3CFB"/>
    <w:rsid w:val="004D443D"/>
    <w:rsid w:val="004D696E"/>
    <w:rsid w:val="004E1729"/>
    <w:rsid w:val="004E3F4B"/>
    <w:rsid w:val="004E5082"/>
    <w:rsid w:val="004E6B88"/>
    <w:rsid w:val="00504BC0"/>
    <w:rsid w:val="00505CD6"/>
    <w:rsid w:val="00514C70"/>
    <w:rsid w:val="00516105"/>
    <w:rsid w:val="00516A88"/>
    <w:rsid w:val="00516EEC"/>
    <w:rsid w:val="00522A52"/>
    <w:rsid w:val="00522BE6"/>
    <w:rsid w:val="00526F30"/>
    <w:rsid w:val="00537F07"/>
    <w:rsid w:val="005431F3"/>
    <w:rsid w:val="005473AE"/>
    <w:rsid w:val="0055051E"/>
    <w:rsid w:val="00557072"/>
    <w:rsid w:val="00560A88"/>
    <w:rsid w:val="005631DB"/>
    <w:rsid w:val="00572EA9"/>
    <w:rsid w:val="00577C08"/>
    <w:rsid w:val="00581054"/>
    <w:rsid w:val="00592340"/>
    <w:rsid w:val="005935CE"/>
    <w:rsid w:val="005A11B1"/>
    <w:rsid w:val="005B23E6"/>
    <w:rsid w:val="005D16EE"/>
    <w:rsid w:val="005D1B8A"/>
    <w:rsid w:val="005F2F5D"/>
    <w:rsid w:val="005F51C4"/>
    <w:rsid w:val="005F59C2"/>
    <w:rsid w:val="005F59F2"/>
    <w:rsid w:val="00600535"/>
    <w:rsid w:val="00602829"/>
    <w:rsid w:val="006030BB"/>
    <w:rsid w:val="00607E6D"/>
    <w:rsid w:val="00612359"/>
    <w:rsid w:val="00616579"/>
    <w:rsid w:val="006167B7"/>
    <w:rsid w:val="00625DB3"/>
    <w:rsid w:val="0063615A"/>
    <w:rsid w:val="00637AED"/>
    <w:rsid w:val="00643077"/>
    <w:rsid w:val="0066169F"/>
    <w:rsid w:val="00661935"/>
    <w:rsid w:val="0066562F"/>
    <w:rsid w:val="00667269"/>
    <w:rsid w:val="006675DF"/>
    <w:rsid w:val="006708D9"/>
    <w:rsid w:val="006730F8"/>
    <w:rsid w:val="00681887"/>
    <w:rsid w:val="00691375"/>
    <w:rsid w:val="006939E5"/>
    <w:rsid w:val="00694CF0"/>
    <w:rsid w:val="006A054D"/>
    <w:rsid w:val="006A2172"/>
    <w:rsid w:val="006A5E6F"/>
    <w:rsid w:val="006A6223"/>
    <w:rsid w:val="006B093B"/>
    <w:rsid w:val="006B2126"/>
    <w:rsid w:val="006B2957"/>
    <w:rsid w:val="006D36B7"/>
    <w:rsid w:val="006D3F92"/>
    <w:rsid w:val="006D6DCE"/>
    <w:rsid w:val="006D739B"/>
    <w:rsid w:val="006D7A63"/>
    <w:rsid w:val="006E1104"/>
    <w:rsid w:val="006E4EAE"/>
    <w:rsid w:val="006E6A3C"/>
    <w:rsid w:val="006F218B"/>
    <w:rsid w:val="006F6B49"/>
    <w:rsid w:val="00701FD9"/>
    <w:rsid w:val="007027D7"/>
    <w:rsid w:val="00702DD4"/>
    <w:rsid w:val="007039B6"/>
    <w:rsid w:val="007057EA"/>
    <w:rsid w:val="00707F13"/>
    <w:rsid w:val="00715CFB"/>
    <w:rsid w:val="00716936"/>
    <w:rsid w:val="00720156"/>
    <w:rsid w:val="00725CFB"/>
    <w:rsid w:val="007263B2"/>
    <w:rsid w:val="00731584"/>
    <w:rsid w:val="00740E5D"/>
    <w:rsid w:val="007447AC"/>
    <w:rsid w:val="007465B0"/>
    <w:rsid w:val="00746DCD"/>
    <w:rsid w:val="00761BEF"/>
    <w:rsid w:val="00774140"/>
    <w:rsid w:val="007744CC"/>
    <w:rsid w:val="00780AB0"/>
    <w:rsid w:val="00782A2F"/>
    <w:rsid w:val="00782B7D"/>
    <w:rsid w:val="0078424D"/>
    <w:rsid w:val="0078632F"/>
    <w:rsid w:val="00786430"/>
    <w:rsid w:val="007870C8"/>
    <w:rsid w:val="007921D1"/>
    <w:rsid w:val="007929F5"/>
    <w:rsid w:val="007A38BD"/>
    <w:rsid w:val="007A4A1D"/>
    <w:rsid w:val="007A7143"/>
    <w:rsid w:val="007A77D8"/>
    <w:rsid w:val="007B5783"/>
    <w:rsid w:val="007B5F81"/>
    <w:rsid w:val="007C24CB"/>
    <w:rsid w:val="007C5A07"/>
    <w:rsid w:val="007D3899"/>
    <w:rsid w:val="007D5F85"/>
    <w:rsid w:val="007D6976"/>
    <w:rsid w:val="007E6F65"/>
    <w:rsid w:val="007F1D68"/>
    <w:rsid w:val="007F7586"/>
    <w:rsid w:val="007F7BB7"/>
    <w:rsid w:val="008111F3"/>
    <w:rsid w:val="0081720C"/>
    <w:rsid w:val="00817906"/>
    <w:rsid w:val="00822258"/>
    <w:rsid w:val="008270F2"/>
    <w:rsid w:val="008311CA"/>
    <w:rsid w:val="00834260"/>
    <w:rsid w:val="00840B54"/>
    <w:rsid w:val="00841F02"/>
    <w:rsid w:val="00842418"/>
    <w:rsid w:val="0084280A"/>
    <w:rsid w:val="008436D2"/>
    <w:rsid w:val="0085275D"/>
    <w:rsid w:val="0085586A"/>
    <w:rsid w:val="00865AAD"/>
    <w:rsid w:val="00865DA3"/>
    <w:rsid w:val="00870A82"/>
    <w:rsid w:val="00870C02"/>
    <w:rsid w:val="00872AE5"/>
    <w:rsid w:val="0087519F"/>
    <w:rsid w:val="008841C1"/>
    <w:rsid w:val="00892207"/>
    <w:rsid w:val="00897702"/>
    <w:rsid w:val="008A2C11"/>
    <w:rsid w:val="008B11FA"/>
    <w:rsid w:val="008B4E24"/>
    <w:rsid w:val="008B543C"/>
    <w:rsid w:val="008C3FC6"/>
    <w:rsid w:val="008C6FAD"/>
    <w:rsid w:val="008D01E8"/>
    <w:rsid w:val="008D10D0"/>
    <w:rsid w:val="008D4601"/>
    <w:rsid w:val="008D4676"/>
    <w:rsid w:val="008D60C3"/>
    <w:rsid w:val="008E0214"/>
    <w:rsid w:val="008E2D55"/>
    <w:rsid w:val="008E4D6A"/>
    <w:rsid w:val="008E5F09"/>
    <w:rsid w:val="008E64A4"/>
    <w:rsid w:val="008E67AC"/>
    <w:rsid w:val="0090052F"/>
    <w:rsid w:val="00900C98"/>
    <w:rsid w:val="00902E55"/>
    <w:rsid w:val="009072DC"/>
    <w:rsid w:val="00917EA6"/>
    <w:rsid w:val="00923561"/>
    <w:rsid w:val="00924EE0"/>
    <w:rsid w:val="009325E6"/>
    <w:rsid w:val="00933F8A"/>
    <w:rsid w:val="00952C56"/>
    <w:rsid w:val="00954B1D"/>
    <w:rsid w:val="00955CF1"/>
    <w:rsid w:val="009577FA"/>
    <w:rsid w:val="00961895"/>
    <w:rsid w:val="009700F0"/>
    <w:rsid w:val="00972BEA"/>
    <w:rsid w:val="00974AFB"/>
    <w:rsid w:val="00976614"/>
    <w:rsid w:val="00980BFC"/>
    <w:rsid w:val="00993AB2"/>
    <w:rsid w:val="00995FFE"/>
    <w:rsid w:val="009A1430"/>
    <w:rsid w:val="009A1A2C"/>
    <w:rsid w:val="009A4A2E"/>
    <w:rsid w:val="009A595B"/>
    <w:rsid w:val="009A5C90"/>
    <w:rsid w:val="009A5D9F"/>
    <w:rsid w:val="009B212E"/>
    <w:rsid w:val="009B25BE"/>
    <w:rsid w:val="009B366E"/>
    <w:rsid w:val="009C3CF7"/>
    <w:rsid w:val="009D03C8"/>
    <w:rsid w:val="009D0410"/>
    <w:rsid w:val="009D0ACC"/>
    <w:rsid w:val="009D43D0"/>
    <w:rsid w:val="009E3A20"/>
    <w:rsid w:val="009E7337"/>
    <w:rsid w:val="009E79A4"/>
    <w:rsid w:val="009F225E"/>
    <w:rsid w:val="009F3256"/>
    <w:rsid w:val="009F62EA"/>
    <w:rsid w:val="00A00F8E"/>
    <w:rsid w:val="00A01975"/>
    <w:rsid w:val="00A150D3"/>
    <w:rsid w:val="00A15D74"/>
    <w:rsid w:val="00A15E75"/>
    <w:rsid w:val="00A161CD"/>
    <w:rsid w:val="00A265D7"/>
    <w:rsid w:val="00A35702"/>
    <w:rsid w:val="00A4035A"/>
    <w:rsid w:val="00A42AD6"/>
    <w:rsid w:val="00A475A8"/>
    <w:rsid w:val="00A47C2C"/>
    <w:rsid w:val="00A51B2D"/>
    <w:rsid w:val="00A532D1"/>
    <w:rsid w:val="00A5587B"/>
    <w:rsid w:val="00A63F2A"/>
    <w:rsid w:val="00A63FE8"/>
    <w:rsid w:val="00A65090"/>
    <w:rsid w:val="00A704D9"/>
    <w:rsid w:val="00A72E8E"/>
    <w:rsid w:val="00A77278"/>
    <w:rsid w:val="00A779AE"/>
    <w:rsid w:val="00A804BD"/>
    <w:rsid w:val="00A9059B"/>
    <w:rsid w:val="00A93A39"/>
    <w:rsid w:val="00A94C2D"/>
    <w:rsid w:val="00A97B98"/>
    <w:rsid w:val="00AA05B7"/>
    <w:rsid w:val="00AB2E7D"/>
    <w:rsid w:val="00AC7B10"/>
    <w:rsid w:val="00AD171B"/>
    <w:rsid w:val="00AD41A4"/>
    <w:rsid w:val="00AD48DE"/>
    <w:rsid w:val="00AD49C1"/>
    <w:rsid w:val="00AE0A36"/>
    <w:rsid w:val="00AE10C7"/>
    <w:rsid w:val="00AE7091"/>
    <w:rsid w:val="00AF1496"/>
    <w:rsid w:val="00AF2713"/>
    <w:rsid w:val="00B00C93"/>
    <w:rsid w:val="00B1529C"/>
    <w:rsid w:val="00B15531"/>
    <w:rsid w:val="00B20871"/>
    <w:rsid w:val="00B23009"/>
    <w:rsid w:val="00B343B9"/>
    <w:rsid w:val="00B344B4"/>
    <w:rsid w:val="00B35CDA"/>
    <w:rsid w:val="00B443E3"/>
    <w:rsid w:val="00B637AB"/>
    <w:rsid w:val="00B667FB"/>
    <w:rsid w:val="00B66B2D"/>
    <w:rsid w:val="00B66C5F"/>
    <w:rsid w:val="00B73F2F"/>
    <w:rsid w:val="00B74EAA"/>
    <w:rsid w:val="00B75D6B"/>
    <w:rsid w:val="00B76466"/>
    <w:rsid w:val="00B81FA0"/>
    <w:rsid w:val="00B834FF"/>
    <w:rsid w:val="00B90D19"/>
    <w:rsid w:val="00B942F9"/>
    <w:rsid w:val="00BB0E49"/>
    <w:rsid w:val="00BB247D"/>
    <w:rsid w:val="00BB688A"/>
    <w:rsid w:val="00BC0E6C"/>
    <w:rsid w:val="00BC6141"/>
    <w:rsid w:val="00BC7A98"/>
    <w:rsid w:val="00BD0B67"/>
    <w:rsid w:val="00BD3B0C"/>
    <w:rsid w:val="00BD6A25"/>
    <w:rsid w:val="00BD7ED1"/>
    <w:rsid w:val="00BE0317"/>
    <w:rsid w:val="00BE56BC"/>
    <w:rsid w:val="00BE5793"/>
    <w:rsid w:val="00BF0082"/>
    <w:rsid w:val="00BF0681"/>
    <w:rsid w:val="00BF666C"/>
    <w:rsid w:val="00BF748B"/>
    <w:rsid w:val="00C02E1D"/>
    <w:rsid w:val="00C067B5"/>
    <w:rsid w:val="00C1008D"/>
    <w:rsid w:val="00C15CC1"/>
    <w:rsid w:val="00C20FBC"/>
    <w:rsid w:val="00C22588"/>
    <w:rsid w:val="00C233A3"/>
    <w:rsid w:val="00C23902"/>
    <w:rsid w:val="00C2478D"/>
    <w:rsid w:val="00C24DC9"/>
    <w:rsid w:val="00C25F0B"/>
    <w:rsid w:val="00C26F4E"/>
    <w:rsid w:val="00C30848"/>
    <w:rsid w:val="00C32CAA"/>
    <w:rsid w:val="00C345E5"/>
    <w:rsid w:val="00C3492B"/>
    <w:rsid w:val="00C37DD5"/>
    <w:rsid w:val="00C40E8A"/>
    <w:rsid w:val="00C4411C"/>
    <w:rsid w:val="00C445A8"/>
    <w:rsid w:val="00C44F39"/>
    <w:rsid w:val="00C44FEB"/>
    <w:rsid w:val="00C47688"/>
    <w:rsid w:val="00C5415D"/>
    <w:rsid w:val="00C55527"/>
    <w:rsid w:val="00C61C0C"/>
    <w:rsid w:val="00C63881"/>
    <w:rsid w:val="00C64259"/>
    <w:rsid w:val="00C759CB"/>
    <w:rsid w:val="00C76428"/>
    <w:rsid w:val="00C76FBF"/>
    <w:rsid w:val="00C824EA"/>
    <w:rsid w:val="00C87455"/>
    <w:rsid w:val="00C9181F"/>
    <w:rsid w:val="00C93299"/>
    <w:rsid w:val="00C951C4"/>
    <w:rsid w:val="00C96443"/>
    <w:rsid w:val="00CA34F1"/>
    <w:rsid w:val="00CB23E6"/>
    <w:rsid w:val="00CB2834"/>
    <w:rsid w:val="00CB4B17"/>
    <w:rsid w:val="00CB4F14"/>
    <w:rsid w:val="00CB7DA1"/>
    <w:rsid w:val="00CC07D9"/>
    <w:rsid w:val="00CD0273"/>
    <w:rsid w:val="00CE16B5"/>
    <w:rsid w:val="00CE2B30"/>
    <w:rsid w:val="00CE43D3"/>
    <w:rsid w:val="00CE577F"/>
    <w:rsid w:val="00CF063C"/>
    <w:rsid w:val="00CF4F84"/>
    <w:rsid w:val="00CF591F"/>
    <w:rsid w:val="00CF674F"/>
    <w:rsid w:val="00CF74F7"/>
    <w:rsid w:val="00D00C32"/>
    <w:rsid w:val="00D047D0"/>
    <w:rsid w:val="00D06151"/>
    <w:rsid w:val="00D17E45"/>
    <w:rsid w:val="00D2007C"/>
    <w:rsid w:val="00D210C0"/>
    <w:rsid w:val="00D229E0"/>
    <w:rsid w:val="00D24F58"/>
    <w:rsid w:val="00D27457"/>
    <w:rsid w:val="00D31A5A"/>
    <w:rsid w:val="00D31AE3"/>
    <w:rsid w:val="00D33B28"/>
    <w:rsid w:val="00D40F11"/>
    <w:rsid w:val="00D428B3"/>
    <w:rsid w:val="00D43A26"/>
    <w:rsid w:val="00D56226"/>
    <w:rsid w:val="00D654A6"/>
    <w:rsid w:val="00D66627"/>
    <w:rsid w:val="00D81ED2"/>
    <w:rsid w:val="00D865A6"/>
    <w:rsid w:val="00D87CC0"/>
    <w:rsid w:val="00D9064B"/>
    <w:rsid w:val="00D9192F"/>
    <w:rsid w:val="00D94AA0"/>
    <w:rsid w:val="00DA092C"/>
    <w:rsid w:val="00DA0F2F"/>
    <w:rsid w:val="00DA13A2"/>
    <w:rsid w:val="00DA529D"/>
    <w:rsid w:val="00DA7BEB"/>
    <w:rsid w:val="00DB18E1"/>
    <w:rsid w:val="00DB3C46"/>
    <w:rsid w:val="00DC5A00"/>
    <w:rsid w:val="00DD3605"/>
    <w:rsid w:val="00DD5949"/>
    <w:rsid w:val="00DD6F8A"/>
    <w:rsid w:val="00DE0C1E"/>
    <w:rsid w:val="00DE3994"/>
    <w:rsid w:val="00DF4A8F"/>
    <w:rsid w:val="00E00C8B"/>
    <w:rsid w:val="00E01BCD"/>
    <w:rsid w:val="00E04336"/>
    <w:rsid w:val="00E051FD"/>
    <w:rsid w:val="00E1048C"/>
    <w:rsid w:val="00E119AD"/>
    <w:rsid w:val="00E14C92"/>
    <w:rsid w:val="00E15A51"/>
    <w:rsid w:val="00E15DB3"/>
    <w:rsid w:val="00E2570C"/>
    <w:rsid w:val="00E26B6A"/>
    <w:rsid w:val="00E314DB"/>
    <w:rsid w:val="00E31B32"/>
    <w:rsid w:val="00E34BA5"/>
    <w:rsid w:val="00E37830"/>
    <w:rsid w:val="00E44430"/>
    <w:rsid w:val="00E47A9D"/>
    <w:rsid w:val="00E53D3D"/>
    <w:rsid w:val="00E56CE3"/>
    <w:rsid w:val="00E56D87"/>
    <w:rsid w:val="00E61609"/>
    <w:rsid w:val="00E61AFB"/>
    <w:rsid w:val="00E630B6"/>
    <w:rsid w:val="00E64E9B"/>
    <w:rsid w:val="00E66D3E"/>
    <w:rsid w:val="00E715AA"/>
    <w:rsid w:val="00E722E3"/>
    <w:rsid w:val="00E74E0A"/>
    <w:rsid w:val="00E7571B"/>
    <w:rsid w:val="00E7712B"/>
    <w:rsid w:val="00E77146"/>
    <w:rsid w:val="00E8198C"/>
    <w:rsid w:val="00E848E0"/>
    <w:rsid w:val="00E87255"/>
    <w:rsid w:val="00E93F46"/>
    <w:rsid w:val="00E944E4"/>
    <w:rsid w:val="00EA1D7F"/>
    <w:rsid w:val="00EA3171"/>
    <w:rsid w:val="00EB28B2"/>
    <w:rsid w:val="00EB568C"/>
    <w:rsid w:val="00ED4DC6"/>
    <w:rsid w:val="00ED63FD"/>
    <w:rsid w:val="00ED67AC"/>
    <w:rsid w:val="00EE18DD"/>
    <w:rsid w:val="00EE2B67"/>
    <w:rsid w:val="00EF26BD"/>
    <w:rsid w:val="00EF46D6"/>
    <w:rsid w:val="00EF4D09"/>
    <w:rsid w:val="00EF6577"/>
    <w:rsid w:val="00F0452B"/>
    <w:rsid w:val="00F21AF4"/>
    <w:rsid w:val="00F27175"/>
    <w:rsid w:val="00F305B3"/>
    <w:rsid w:val="00F340D1"/>
    <w:rsid w:val="00F36829"/>
    <w:rsid w:val="00F427DC"/>
    <w:rsid w:val="00F44CFF"/>
    <w:rsid w:val="00F4575D"/>
    <w:rsid w:val="00F476AA"/>
    <w:rsid w:val="00F50A48"/>
    <w:rsid w:val="00F56B7B"/>
    <w:rsid w:val="00F65111"/>
    <w:rsid w:val="00F6657C"/>
    <w:rsid w:val="00F71C43"/>
    <w:rsid w:val="00F90707"/>
    <w:rsid w:val="00F959C5"/>
    <w:rsid w:val="00F96B26"/>
    <w:rsid w:val="00FA3C6A"/>
    <w:rsid w:val="00FA5DC2"/>
    <w:rsid w:val="00FB05F7"/>
    <w:rsid w:val="00FB192E"/>
    <w:rsid w:val="00FB1E23"/>
    <w:rsid w:val="00FB3ED5"/>
    <w:rsid w:val="00FB6D26"/>
    <w:rsid w:val="00FC0B85"/>
    <w:rsid w:val="00FC16C5"/>
    <w:rsid w:val="00FC2619"/>
    <w:rsid w:val="00FC5D5F"/>
    <w:rsid w:val="00FC726D"/>
    <w:rsid w:val="00FC7272"/>
    <w:rsid w:val="00FD1C28"/>
    <w:rsid w:val="00FD64CD"/>
    <w:rsid w:val="00FD7ED9"/>
    <w:rsid w:val="00FE40B6"/>
    <w:rsid w:val="00FE5C7F"/>
    <w:rsid w:val="00FF416C"/>
    <w:rsid w:val="00FF4AB4"/>
    <w:rsid w:val="00FF6C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C8EA0"/>
  <w15:docId w15:val="{497ABDE0-E4CA-4A0F-8C20-9A32BFE5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360" w:lineRule="auto"/>
    </w:pPr>
  </w:style>
  <w:style w:type="paragraph" w:styleId="Heading1">
    <w:name w:val="heading 1"/>
    <w:basedOn w:val="Normal"/>
    <w:next w:val="Normal"/>
    <w:qFormat/>
    <w:pPr>
      <w:outlineLvl w:val="0"/>
    </w:pPr>
    <w:rPr>
      <w:color w:val="2E74B5"/>
      <w:sz w:val="32"/>
      <w:szCs w:val="32"/>
    </w:rPr>
  </w:style>
  <w:style w:type="paragraph" w:styleId="Heading2">
    <w:name w:val="heading 2"/>
    <w:basedOn w:val="Normal"/>
    <w:next w:val="Normal"/>
    <w:qFormat/>
    <w:pPr>
      <w:outlineLvl w:val="1"/>
    </w:pPr>
    <w:rPr>
      <w:color w:val="2E74B5"/>
      <w:sz w:val="26"/>
      <w:szCs w:val="26"/>
    </w:rPr>
  </w:style>
  <w:style w:type="paragraph" w:styleId="Heading3">
    <w:name w:val="heading 3"/>
    <w:basedOn w:val="Normal"/>
    <w:next w:val="Normal"/>
    <w:qFormat/>
    <w:pPr>
      <w:outlineLvl w:val="2"/>
    </w:pPr>
    <w:rPr>
      <w:color w:val="1F4D78"/>
    </w:rPr>
  </w:style>
  <w:style w:type="paragraph" w:styleId="Heading4">
    <w:name w:val="heading 4"/>
    <w:basedOn w:val="Normal"/>
    <w:next w:val="Normal"/>
    <w:qFormat/>
    <w:pPr>
      <w:outlineLvl w:val="3"/>
    </w:pPr>
    <w:rPr>
      <w:i/>
      <w:iCs/>
      <w:color w:val="2E74B5"/>
    </w:rPr>
  </w:style>
  <w:style w:type="paragraph" w:styleId="Heading5">
    <w:name w:val="heading 5"/>
    <w:basedOn w:val="Normal"/>
    <w:next w:val="Normal"/>
    <w:qFormat/>
    <w:pPr>
      <w:outlineLvl w:val="4"/>
    </w:pPr>
    <w:rPr>
      <w:color w:val="2E74B5"/>
    </w:rPr>
  </w:style>
  <w:style w:type="paragraph" w:styleId="Heading6">
    <w:name w:val="heading 6"/>
    <w:basedOn w:val="Normal"/>
    <w:next w:val="Normal"/>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FD7ED9"/>
    <w:pPr>
      <w:spacing w:before="100" w:beforeAutospacing="1" w:after="100" w:afterAutospacing="1" w:line="240" w:lineRule="auto"/>
    </w:pPr>
  </w:style>
  <w:style w:type="character" w:styleId="Emphasis">
    <w:name w:val="Emphasis"/>
    <w:basedOn w:val="DefaultParagraphFont"/>
    <w:uiPriority w:val="20"/>
    <w:qFormat/>
    <w:rsid w:val="00FD7ED9"/>
    <w:rPr>
      <w:i/>
      <w:iCs/>
    </w:rPr>
  </w:style>
  <w:style w:type="character" w:styleId="Strong">
    <w:name w:val="Strong"/>
    <w:basedOn w:val="DefaultParagraphFont"/>
    <w:uiPriority w:val="22"/>
    <w:qFormat/>
    <w:rsid w:val="00FD7ED9"/>
    <w:rPr>
      <w:b/>
      <w:bCs/>
    </w:rPr>
  </w:style>
  <w:style w:type="paragraph" w:styleId="NormalWeb">
    <w:name w:val="Normal (Web)"/>
    <w:basedOn w:val="Normal"/>
    <w:uiPriority w:val="99"/>
    <w:unhideWhenUsed/>
    <w:rsid w:val="00D428B3"/>
    <w:pPr>
      <w:spacing w:before="100" w:beforeAutospacing="1" w:after="100" w:afterAutospacing="1" w:line="240" w:lineRule="auto"/>
    </w:pPr>
  </w:style>
  <w:style w:type="paragraph" w:styleId="Revision">
    <w:name w:val="Revision"/>
    <w:hidden/>
    <w:uiPriority w:val="99"/>
    <w:semiHidden/>
    <w:rsid w:val="00C44FEB"/>
  </w:style>
  <w:style w:type="character" w:styleId="CommentReference">
    <w:name w:val="annotation reference"/>
    <w:basedOn w:val="DefaultParagraphFont"/>
    <w:uiPriority w:val="99"/>
    <w:semiHidden/>
    <w:unhideWhenUsed/>
    <w:rsid w:val="004344C5"/>
    <w:rPr>
      <w:sz w:val="16"/>
      <w:szCs w:val="16"/>
    </w:rPr>
  </w:style>
  <w:style w:type="paragraph" w:styleId="CommentText">
    <w:name w:val="annotation text"/>
    <w:basedOn w:val="Normal"/>
    <w:link w:val="CommentTextChar"/>
    <w:uiPriority w:val="99"/>
    <w:unhideWhenUsed/>
    <w:rsid w:val="004344C5"/>
    <w:pPr>
      <w:spacing w:line="240" w:lineRule="auto"/>
    </w:pPr>
    <w:rPr>
      <w:sz w:val="20"/>
      <w:szCs w:val="20"/>
    </w:rPr>
  </w:style>
  <w:style w:type="character" w:customStyle="1" w:styleId="CommentTextChar">
    <w:name w:val="Comment Text Char"/>
    <w:basedOn w:val="DefaultParagraphFont"/>
    <w:link w:val="CommentText"/>
    <w:uiPriority w:val="99"/>
    <w:rsid w:val="004344C5"/>
    <w:rPr>
      <w:sz w:val="20"/>
      <w:szCs w:val="20"/>
    </w:rPr>
  </w:style>
  <w:style w:type="paragraph" w:styleId="CommentSubject">
    <w:name w:val="annotation subject"/>
    <w:basedOn w:val="CommentText"/>
    <w:next w:val="CommentText"/>
    <w:link w:val="CommentSubjectChar"/>
    <w:uiPriority w:val="99"/>
    <w:semiHidden/>
    <w:unhideWhenUsed/>
    <w:rsid w:val="004344C5"/>
    <w:rPr>
      <w:b/>
      <w:bCs/>
    </w:rPr>
  </w:style>
  <w:style w:type="character" w:customStyle="1" w:styleId="CommentSubjectChar">
    <w:name w:val="Comment Subject Char"/>
    <w:basedOn w:val="CommentTextChar"/>
    <w:link w:val="CommentSubject"/>
    <w:uiPriority w:val="99"/>
    <w:semiHidden/>
    <w:rsid w:val="004344C5"/>
    <w:rPr>
      <w:b/>
      <w:bCs/>
      <w:sz w:val="20"/>
      <w:szCs w:val="20"/>
    </w:rPr>
  </w:style>
  <w:style w:type="paragraph" w:styleId="BalloonText">
    <w:name w:val="Balloon Text"/>
    <w:basedOn w:val="Normal"/>
    <w:link w:val="BalloonTextChar"/>
    <w:uiPriority w:val="99"/>
    <w:semiHidden/>
    <w:unhideWhenUsed/>
    <w:rsid w:val="00A94C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C2D"/>
    <w:rPr>
      <w:rFonts w:ascii="Segoe UI" w:hAnsi="Segoe UI" w:cs="Segoe UI"/>
      <w:sz w:val="18"/>
      <w:szCs w:val="18"/>
    </w:rPr>
  </w:style>
  <w:style w:type="table" w:styleId="TableGrid">
    <w:name w:val="Table Grid"/>
    <w:basedOn w:val="TableNormal"/>
    <w:uiPriority w:val="39"/>
    <w:rsid w:val="002C79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7C5A07"/>
    <w:pPr>
      <w:keepNext/>
      <w:spacing w:after="240" w:line="240" w:lineRule="auto"/>
    </w:pPr>
    <w:rPr>
      <w:rFonts w:ascii="Helvetica" w:hAnsi="Helvetica"/>
      <w:b/>
      <w:caps/>
      <w:sz w:val="22"/>
      <w:szCs w:val="20"/>
    </w:rPr>
  </w:style>
  <w:style w:type="character" w:styleId="FollowedHyperlink">
    <w:name w:val="FollowedHyperlink"/>
    <w:basedOn w:val="DefaultParagraphFont"/>
    <w:uiPriority w:val="99"/>
    <w:semiHidden/>
    <w:unhideWhenUsed/>
    <w:rsid w:val="00016930"/>
    <w:rPr>
      <w:color w:val="954F72" w:themeColor="followedHyperlink"/>
      <w:u w:val="single"/>
    </w:rPr>
  </w:style>
  <w:style w:type="table" w:styleId="GridTable1Light-Accent3">
    <w:name w:val="Grid Table 1 Light Accent 3"/>
    <w:basedOn w:val="TableNormal"/>
    <w:uiPriority w:val="46"/>
    <w:rsid w:val="00CB7DA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61AFB"/>
    <w:pPr>
      <w:tabs>
        <w:tab w:val="center" w:pos="4680"/>
        <w:tab w:val="right" w:pos="9360"/>
      </w:tabs>
      <w:spacing w:line="240" w:lineRule="auto"/>
    </w:pPr>
  </w:style>
  <w:style w:type="character" w:customStyle="1" w:styleId="HeaderChar">
    <w:name w:val="Header Char"/>
    <w:basedOn w:val="DefaultParagraphFont"/>
    <w:link w:val="Header"/>
    <w:uiPriority w:val="99"/>
    <w:rsid w:val="00E61AFB"/>
  </w:style>
  <w:style w:type="paragraph" w:styleId="Footer">
    <w:name w:val="footer"/>
    <w:basedOn w:val="Normal"/>
    <w:link w:val="FooterChar"/>
    <w:uiPriority w:val="99"/>
    <w:unhideWhenUsed/>
    <w:rsid w:val="00E61AFB"/>
    <w:pPr>
      <w:tabs>
        <w:tab w:val="center" w:pos="4680"/>
        <w:tab w:val="right" w:pos="9360"/>
      </w:tabs>
      <w:spacing w:line="240" w:lineRule="auto"/>
    </w:pPr>
  </w:style>
  <w:style w:type="character" w:customStyle="1" w:styleId="FooterChar">
    <w:name w:val="Footer Char"/>
    <w:basedOn w:val="DefaultParagraphFont"/>
    <w:link w:val="Footer"/>
    <w:uiPriority w:val="99"/>
    <w:rsid w:val="00E61AFB"/>
  </w:style>
  <w:style w:type="character" w:customStyle="1" w:styleId="UnresolvedMention">
    <w:name w:val="Unresolved Mention"/>
    <w:basedOn w:val="DefaultParagraphFont"/>
    <w:uiPriority w:val="99"/>
    <w:semiHidden/>
    <w:unhideWhenUsed/>
    <w:rsid w:val="00020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2720">
      <w:bodyDiv w:val="1"/>
      <w:marLeft w:val="0"/>
      <w:marRight w:val="0"/>
      <w:marTop w:val="0"/>
      <w:marBottom w:val="0"/>
      <w:divBdr>
        <w:top w:val="none" w:sz="0" w:space="0" w:color="auto"/>
        <w:left w:val="none" w:sz="0" w:space="0" w:color="auto"/>
        <w:bottom w:val="none" w:sz="0" w:space="0" w:color="auto"/>
        <w:right w:val="none" w:sz="0" w:space="0" w:color="auto"/>
      </w:divBdr>
    </w:div>
    <w:div w:id="373238145">
      <w:bodyDiv w:val="1"/>
      <w:marLeft w:val="0"/>
      <w:marRight w:val="0"/>
      <w:marTop w:val="0"/>
      <w:marBottom w:val="0"/>
      <w:divBdr>
        <w:top w:val="none" w:sz="0" w:space="0" w:color="auto"/>
        <w:left w:val="none" w:sz="0" w:space="0" w:color="auto"/>
        <w:bottom w:val="none" w:sz="0" w:space="0" w:color="auto"/>
        <w:right w:val="none" w:sz="0" w:space="0" w:color="auto"/>
      </w:divBdr>
    </w:div>
    <w:div w:id="847797082">
      <w:bodyDiv w:val="1"/>
      <w:marLeft w:val="0"/>
      <w:marRight w:val="0"/>
      <w:marTop w:val="0"/>
      <w:marBottom w:val="0"/>
      <w:divBdr>
        <w:top w:val="none" w:sz="0" w:space="0" w:color="auto"/>
        <w:left w:val="none" w:sz="0" w:space="0" w:color="auto"/>
        <w:bottom w:val="none" w:sz="0" w:space="0" w:color="auto"/>
        <w:right w:val="none" w:sz="0" w:space="0" w:color="auto"/>
      </w:divBdr>
    </w:div>
    <w:div w:id="1379472869">
      <w:bodyDiv w:val="1"/>
      <w:marLeft w:val="0"/>
      <w:marRight w:val="0"/>
      <w:marTop w:val="0"/>
      <w:marBottom w:val="0"/>
      <w:divBdr>
        <w:top w:val="none" w:sz="0" w:space="0" w:color="auto"/>
        <w:left w:val="none" w:sz="0" w:space="0" w:color="auto"/>
        <w:bottom w:val="none" w:sz="0" w:space="0" w:color="auto"/>
        <w:right w:val="none" w:sz="0" w:space="0" w:color="auto"/>
      </w:divBdr>
    </w:div>
    <w:div w:id="1401057460">
      <w:bodyDiv w:val="1"/>
      <w:marLeft w:val="0"/>
      <w:marRight w:val="0"/>
      <w:marTop w:val="0"/>
      <w:marBottom w:val="0"/>
      <w:divBdr>
        <w:top w:val="none" w:sz="0" w:space="0" w:color="auto"/>
        <w:left w:val="none" w:sz="0" w:space="0" w:color="auto"/>
        <w:bottom w:val="none" w:sz="0" w:space="0" w:color="auto"/>
        <w:right w:val="none" w:sz="0" w:space="0" w:color="auto"/>
      </w:divBdr>
    </w:div>
    <w:div w:id="1683509399">
      <w:bodyDiv w:val="1"/>
      <w:marLeft w:val="0"/>
      <w:marRight w:val="0"/>
      <w:marTop w:val="0"/>
      <w:marBottom w:val="0"/>
      <w:divBdr>
        <w:top w:val="none" w:sz="0" w:space="0" w:color="auto"/>
        <w:left w:val="none" w:sz="0" w:space="0" w:color="auto"/>
        <w:bottom w:val="none" w:sz="0" w:space="0" w:color="auto"/>
        <w:right w:val="none" w:sz="0" w:space="0" w:color="auto"/>
      </w:divBdr>
    </w:div>
    <w:div w:id="1844860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9" Type="http://schemas.openxmlformats.org/officeDocument/2006/relationships/hyperlink" Target="https://doi.org/10.22004/ag.econ.265130" TargetMode="External"/><Relationship Id="rId21" Type="http://schemas.openxmlformats.org/officeDocument/2006/relationships/image" Target="media/image12.png"/><Relationship Id="rId34" Type="http://schemas.openxmlformats.org/officeDocument/2006/relationships/hyperlink" Target="https://doi.org/10.7717/peerj.11463" TargetMode="External"/><Relationship Id="rId42" Type="http://schemas.openxmlformats.org/officeDocument/2006/relationships/hyperlink" Target="http://archive.saulibrary.edu.bd:8080/xmlui/handle/123456789/3122" TargetMode="External"/><Relationship Id="rId47" Type="http://schemas.openxmlformats.org/officeDocument/2006/relationships/hyperlink" Target="https://doi.org/10.3389/fpls.2024.1396498" TargetMode="External"/><Relationship Id="rId50" Type="http://schemas.openxmlformats.org/officeDocument/2006/relationships/hyperlink" Target="https://doi.org/10.3390/agronomy10070938" TargetMode="External"/><Relationship Id="rId55" Type="http://schemas.openxmlformats.org/officeDocument/2006/relationships/hyperlink" Target="https://doi.org/10.1038/s41598-018-33952-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3.xml"/><Relationship Id="rId41" Type="http://schemas.openxmlformats.org/officeDocument/2006/relationships/hyperlink" Target="https://doi.org/10.1080/14620316.2014.11513088" TargetMode="External"/><Relationship Id="rId54" Type="http://schemas.openxmlformats.org/officeDocument/2006/relationships/hyperlink" Target="https://doi.org/10.3390/nu120306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32" Type="http://schemas.openxmlformats.org/officeDocument/2006/relationships/hyperlink" Target="https://doi.org/10.1002/9781119776802.ch1" TargetMode="External"/><Relationship Id="rId37" Type="http://schemas.openxmlformats.org/officeDocument/2006/relationships/hyperlink" Target="https://doi.org/10.3389/fsufs.2020.573449" TargetMode="External"/><Relationship Id="rId40" Type="http://schemas.openxmlformats.org/officeDocument/2006/relationships/hyperlink" Target="https://doi.org/10.5445/IR/1000146013" TargetMode="External"/><Relationship Id="rId45" Type="http://schemas.openxmlformats.org/officeDocument/2006/relationships/hyperlink" Target="https://doi.org/10.2135/cropsci1973.0011183X001300060013x" TargetMode="External"/><Relationship Id="rId53" Type="http://schemas.openxmlformats.org/officeDocument/2006/relationships/hyperlink" Target="https://doi.org/10.1038/s41598-024-55325-w" TargetMode="External"/><Relationship Id="rId58" Type="http://schemas.openxmlformats.org/officeDocument/2006/relationships/hyperlink" Target="https://doi.org/10.1016/j.rhisph.2024.100848"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3.xml"/><Relationship Id="rId36" Type="http://schemas.openxmlformats.org/officeDocument/2006/relationships/hyperlink" Target="https://doi.org/10.1080/27658511.2023.2205731" TargetMode="External"/><Relationship Id="rId49" Type="http://schemas.openxmlformats.org/officeDocument/2006/relationships/hyperlink" Target="https://doi.org/10.3390/horticulturae7060132" TargetMode="External"/><Relationship Id="rId57" Type="http://schemas.openxmlformats.org/officeDocument/2006/relationships/hyperlink" Target="https://doi.org/10.3390/seeds3020018" TargetMode="External"/><Relationship Id="rId61"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s://edepot.wur.nl/696303" TargetMode="External"/><Relationship Id="rId44" Type="http://schemas.openxmlformats.org/officeDocument/2006/relationships/hyperlink" Target="https://www.seedtest.org/en/seed-science-and-technology-_content---1--1084.html" TargetMode="External"/><Relationship Id="rId52" Type="http://schemas.openxmlformats.org/officeDocument/2006/relationships/hyperlink" Target="https://doi.org/10.3390/plants11141786" TargetMode="External"/><Relationship Id="rId6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hyperlink" Target="https://doi.org/10.3390/nu7021144" TargetMode="External"/><Relationship Id="rId35" Type="http://schemas.openxmlformats.org/officeDocument/2006/relationships/hyperlink" Target="https://doi.org/10.1071/FP16187" TargetMode="External"/><Relationship Id="rId43" Type="http://schemas.openxmlformats.org/officeDocument/2006/relationships/hyperlink" Target="https://www.seedtest.org/rules" TargetMode="External"/><Relationship Id="rId48" Type="http://schemas.openxmlformats.org/officeDocument/2006/relationships/hyperlink" Target="https://doi.org/10.3390/agronomy13071718" TargetMode="External"/><Relationship Id="rId56" Type="http://schemas.openxmlformats.org/officeDocument/2006/relationships/hyperlink" Target="https://doi.org/10.1186/s12870-025-06376-2" TargetMode="External"/><Relationship Id="rId8" Type="http://schemas.openxmlformats.org/officeDocument/2006/relationships/comments" Target="comments.xml"/><Relationship Id="rId51" Type="http://schemas.openxmlformats.org/officeDocument/2006/relationships/hyperlink" Target="https://doi.org/10.7717/peerj.17828"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33" Type="http://schemas.openxmlformats.org/officeDocument/2006/relationships/hyperlink" Target="https://hdl.handle.net/10568/115720" TargetMode="External"/><Relationship Id="rId38" Type="http://schemas.openxmlformats.org/officeDocument/2006/relationships/hyperlink" Target="https://doi.org/10.1002/fes3.406" TargetMode="External"/><Relationship Id="rId46" Type="http://schemas.openxmlformats.org/officeDocument/2006/relationships/hyperlink" Target="https://doi.org/10.1038/s41598-024-55403-z"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6BC40-494A-4A41-B2D5-4B28FB58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19</Pages>
  <Words>8790</Words>
  <Characters>50104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19</cp:revision>
  <dcterms:created xsi:type="dcterms:W3CDTF">2025-12-20T11:35:00Z</dcterms:created>
  <dcterms:modified xsi:type="dcterms:W3CDTF">2025-12-23T21:34:00Z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d19ef566-dba2-43f0-8526-55218edc9ce4</vt:lpwstr>
  </property>
</Properties>
</file>