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0C" w:rsidRDefault="0031160C" w:rsidP="0031160C">
      <w:pPr>
        <w:spacing w:after="0"/>
        <w:ind w:left="-57" w:right="-57"/>
        <w:rPr>
          <w:rFonts w:cs="Times New Roman"/>
          <w:b/>
          <w:sz w:val="32"/>
          <w:szCs w:val="32"/>
          <w:u w:val="single"/>
        </w:rPr>
      </w:pPr>
      <w:r w:rsidRPr="0031160C">
        <w:rPr>
          <w:rFonts w:cs="Times New Roman"/>
          <w:b/>
          <w:sz w:val="32"/>
          <w:szCs w:val="32"/>
          <w:u w:val="single"/>
        </w:rPr>
        <w:t>Original Research Article</w:t>
      </w:r>
    </w:p>
    <w:p w:rsidR="00A80EAF" w:rsidRPr="0031160C" w:rsidRDefault="00A80EAF" w:rsidP="0031160C">
      <w:pPr>
        <w:spacing w:after="0"/>
        <w:ind w:left="-57" w:right="-57"/>
        <w:rPr>
          <w:rFonts w:cs="Times New Roman"/>
          <w:b/>
          <w:sz w:val="32"/>
          <w:szCs w:val="32"/>
          <w:u w:val="single"/>
        </w:rPr>
      </w:pPr>
    </w:p>
    <w:p w:rsidR="008158B4" w:rsidRPr="00415D54" w:rsidRDefault="008158B4" w:rsidP="008158B4">
      <w:pPr>
        <w:spacing w:after="0"/>
        <w:ind w:left="-57" w:right="-57"/>
        <w:jc w:val="center"/>
        <w:rPr>
          <w:rFonts w:cs="Times New Roman"/>
          <w:b/>
          <w:sz w:val="32"/>
          <w:szCs w:val="32"/>
        </w:rPr>
      </w:pPr>
      <w:r w:rsidRPr="00415D54">
        <w:rPr>
          <w:rFonts w:cs="Times New Roman"/>
          <w:b/>
          <w:sz w:val="32"/>
          <w:szCs w:val="32"/>
        </w:rPr>
        <w:t xml:space="preserve">Assay of urease activity and effect of application of Neem, Shal cakes on urease activity in soils of Sunderban ecosystem </w:t>
      </w:r>
    </w:p>
    <w:p w:rsidR="008158B4" w:rsidRDefault="008158B4" w:rsidP="008158B4">
      <w:pPr>
        <w:spacing w:after="0"/>
        <w:ind w:left="-57" w:right="-57"/>
        <w:jc w:val="center"/>
        <w:rPr>
          <w:b/>
          <w:color w:val="000000" w:themeColor="text1"/>
          <w:sz w:val="20"/>
          <w:szCs w:val="20"/>
        </w:rPr>
      </w:pPr>
    </w:p>
    <w:p w:rsidR="008158B4" w:rsidRDefault="008158B4" w:rsidP="008158B4">
      <w:pPr>
        <w:autoSpaceDE w:val="0"/>
        <w:autoSpaceDN w:val="0"/>
        <w:adjustRightInd w:val="0"/>
        <w:spacing w:after="0"/>
        <w:ind w:left="-57" w:right="-57"/>
        <w:jc w:val="center"/>
        <w:rPr>
          <w:b/>
          <w:sz w:val="24"/>
          <w:szCs w:val="24"/>
        </w:rPr>
      </w:pPr>
    </w:p>
    <w:p w:rsidR="008158B4" w:rsidRDefault="008158B4" w:rsidP="008158B4">
      <w:pPr>
        <w:autoSpaceDE w:val="0"/>
        <w:autoSpaceDN w:val="0"/>
        <w:adjustRightInd w:val="0"/>
        <w:spacing w:after="0"/>
        <w:ind w:left="-57" w:right="-57"/>
        <w:jc w:val="center"/>
        <w:rPr>
          <w:b/>
          <w:sz w:val="24"/>
          <w:szCs w:val="24"/>
        </w:rPr>
      </w:pPr>
      <w:r>
        <w:rPr>
          <w:b/>
          <w:sz w:val="24"/>
          <w:szCs w:val="24"/>
        </w:rPr>
        <w:t>Abstract</w:t>
      </w:r>
    </w:p>
    <w:p w:rsidR="008158B4" w:rsidRDefault="008158B4" w:rsidP="008158B4">
      <w:pPr>
        <w:pStyle w:val="Heading1"/>
        <w:shd w:val="clear" w:color="auto" w:fill="FFFFFF"/>
        <w:spacing w:before="0" w:beforeAutospacing="0" w:after="0" w:afterAutospacing="0" w:line="276" w:lineRule="auto"/>
        <w:ind w:left="-57" w:right="-57"/>
        <w:jc w:val="both"/>
        <w:rPr>
          <w:rStyle w:val="inlineblock"/>
          <w:rFonts w:cs="Arial"/>
          <w:b w:val="0"/>
          <w:color w:val="222222"/>
          <w:sz w:val="18"/>
          <w:szCs w:val="18"/>
        </w:rPr>
      </w:pPr>
      <w:r w:rsidRPr="006F6046">
        <w:rPr>
          <w:b w:val="0"/>
          <w:sz w:val="20"/>
          <w:szCs w:val="20"/>
        </w:rPr>
        <w:t>Urease play a key role in conversion of Urea – N to ammonium –N in soil treated with Urea. Rapid urease activity causes gaseous loss as NH</w:t>
      </w:r>
      <w:r w:rsidRPr="006F6046">
        <w:rPr>
          <w:b w:val="0"/>
          <w:sz w:val="20"/>
          <w:szCs w:val="20"/>
          <w:vertAlign w:val="subscript"/>
        </w:rPr>
        <w:t>3</w:t>
      </w:r>
      <w:r w:rsidRPr="006F6046">
        <w:rPr>
          <w:b w:val="0"/>
          <w:sz w:val="20"/>
          <w:szCs w:val="20"/>
        </w:rPr>
        <w:t>, NO</w:t>
      </w:r>
      <w:r w:rsidRPr="006F6046">
        <w:rPr>
          <w:b w:val="0"/>
          <w:sz w:val="20"/>
          <w:szCs w:val="20"/>
          <w:vertAlign w:val="subscript"/>
        </w:rPr>
        <w:t>2</w:t>
      </w:r>
      <w:r w:rsidRPr="006F6046">
        <w:rPr>
          <w:b w:val="0"/>
          <w:sz w:val="20"/>
          <w:szCs w:val="20"/>
        </w:rPr>
        <w:t>, N</w:t>
      </w:r>
      <w:r w:rsidRPr="006F6046">
        <w:rPr>
          <w:b w:val="0"/>
          <w:sz w:val="20"/>
          <w:szCs w:val="20"/>
          <w:vertAlign w:val="subscript"/>
        </w:rPr>
        <w:t>2</w:t>
      </w:r>
      <w:r w:rsidRPr="006F6046">
        <w:rPr>
          <w:b w:val="0"/>
          <w:sz w:val="20"/>
          <w:szCs w:val="20"/>
        </w:rPr>
        <w:t>O is a concerns for environment</w:t>
      </w:r>
      <w:r w:rsidRPr="006F6046">
        <w:rPr>
          <w:rFonts w:asciiTheme="minorHAnsi" w:hAnsiTheme="minorHAnsi"/>
          <w:b w:val="0"/>
          <w:sz w:val="20"/>
          <w:szCs w:val="20"/>
        </w:rPr>
        <w:t xml:space="preserve"> , whereas low urease activity renders most of the applied urea nitrogen unavailable to plants. In the present study the level of urease activity in six costal soils of sunderban namely </w:t>
      </w:r>
      <w:r w:rsidRPr="006F6046">
        <w:rPr>
          <w:b w:val="0"/>
          <w:sz w:val="20"/>
          <w:szCs w:val="20"/>
        </w:rPr>
        <w:t>Bidya, Sudhanyakhali, Herobhanga, Kultali, Patharpratima&amp;Netidhopani</w:t>
      </w:r>
      <w:r w:rsidRPr="006F6046">
        <w:rPr>
          <w:rFonts w:asciiTheme="minorHAnsi" w:hAnsiTheme="minorHAnsi"/>
          <w:b w:val="0"/>
          <w:sz w:val="20"/>
          <w:szCs w:val="20"/>
        </w:rPr>
        <w:t xml:space="preserve"> was examined.  Soil  urease activity was correlated with soil organic carbon (OC %) , pH, C.E.C, Clay and Silt percentage to understand whether they have any effect on urease activity of soil. Urease activity was found to be negatively correlated with OC % , but no significant correlation with pH, C.E.C, Clay and Silt % was found. It was further observed that </w:t>
      </w:r>
      <w:r w:rsidRPr="006F6046">
        <w:rPr>
          <w:rStyle w:val="inlineblock"/>
          <w:rFonts w:cs="Arial"/>
          <w:b w:val="0"/>
          <w:color w:val="222222"/>
          <w:sz w:val="20"/>
          <w:szCs w:val="20"/>
        </w:rPr>
        <w:t>addition of neem cake and Shal cakes slightly increased urease activity, and as such, no urease inhibition activity of these two cakes were found on costal</w:t>
      </w:r>
      <w:r w:rsidRPr="003B487C">
        <w:rPr>
          <w:rStyle w:val="inlineblock"/>
          <w:rFonts w:cs="Arial"/>
          <w:b w:val="0"/>
          <w:color w:val="222222"/>
          <w:sz w:val="18"/>
          <w:szCs w:val="18"/>
        </w:rPr>
        <w:t xml:space="preserve"> soils of Sunderbans. </w:t>
      </w:r>
    </w:p>
    <w:p w:rsidR="00E26DD2" w:rsidRDefault="00E26DD2" w:rsidP="008158B4">
      <w:pPr>
        <w:pStyle w:val="Heading1"/>
        <w:shd w:val="clear" w:color="auto" w:fill="FFFFFF"/>
        <w:spacing w:before="0" w:beforeAutospacing="0" w:after="0" w:afterAutospacing="0" w:line="276" w:lineRule="auto"/>
        <w:ind w:left="-57" w:right="-57"/>
        <w:jc w:val="both"/>
        <w:rPr>
          <w:rStyle w:val="inlineblock"/>
          <w:rFonts w:cs="Arial"/>
          <w:b w:val="0"/>
          <w:color w:val="222222"/>
          <w:sz w:val="18"/>
          <w:szCs w:val="18"/>
        </w:rPr>
      </w:pPr>
    </w:p>
    <w:p w:rsidR="008158B4" w:rsidRDefault="008158B4" w:rsidP="008158B4">
      <w:pPr>
        <w:pStyle w:val="Heading1"/>
        <w:shd w:val="clear" w:color="auto" w:fill="FFFFFF"/>
        <w:spacing w:before="0" w:beforeAutospacing="0" w:after="0" w:afterAutospacing="0" w:line="276" w:lineRule="auto"/>
        <w:ind w:left="-57" w:right="-57"/>
        <w:jc w:val="both"/>
        <w:rPr>
          <w:rStyle w:val="inlineblock"/>
          <w:rFonts w:cs="Arial"/>
          <w:b w:val="0"/>
          <w:color w:val="222222"/>
          <w:sz w:val="18"/>
          <w:szCs w:val="18"/>
        </w:rPr>
      </w:pPr>
      <w:r>
        <w:rPr>
          <w:rStyle w:val="inlineblock"/>
          <w:rFonts w:cs="Arial"/>
          <w:b w:val="0"/>
          <w:color w:val="222222"/>
          <w:sz w:val="18"/>
          <w:szCs w:val="18"/>
        </w:rPr>
        <w:t xml:space="preserve">Key Word : Urease activity, NeemCake, Shal Cake, Costal soil, </w:t>
      </w:r>
    </w:p>
    <w:p w:rsidR="008158B4" w:rsidRPr="006F6046"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b w:val="0"/>
          <w:sz w:val="18"/>
          <w:szCs w:val="18"/>
        </w:rPr>
      </w:pPr>
    </w:p>
    <w:p w:rsidR="008158B4" w:rsidRPr="00A162CD" w:rsidRDefault="00A162CD" w:rsidP="00A162CD">
      <w:pPr>
        <w:autoSpaceDE w:val="0"/>
        <w:autoSpaceDN w:val="0"/>
        <w:adjustRightInd w:val="0"/>
        <w:spacing w:after="0"/>
        <w:ind w:left="-57" w:right="-57"/>
        <w:rPr>
          <w:b/>
          <w:color w:val="FF0000"/>
          <w:sz w:val="24"/>
          <w:szCs w:val="24"/>
        </w:rPr>
      </w:pPr>
      <w:r>
        <w:rPr>
          <w:b/>
          <w:color w:val="FF0000"/>
          <w:sz w:val="24"/>
          <w:szCs w:val="24"/>
        </w:rPr>
        <w:t>1.</w:t>
      </w:r>
      <w:r w:rsidR="008158B4" w:rsidRPr="00A162CD">
        <w:rPr>
          <w:b/>
          <w:color w:val="FF0000"/>
          <w:sz w:val="24"/>
          <w:szCs w:val="24"/>
        </w:rPr>
        <w:t>Introduction</w:t>
      </w:r>
    </w:p>
    <w:p w:rsidR="008158B4" w:rsidRPr="006D597D" w:rsidRDefault="008158B4" w:rsidP="008158B4">
      <w:pPr>
        <w:autoSpaceDE w:val="0"/>
        <w:autoSpaceDN w:val="0"/>
        <w:adjustRightInd w:val="0"/>
        <w:spacing w:after="0"/>
        <w:ind w:left="-57" w:right="-57"/>
        <w:jc w:val="center"/>
        <w:rPr>
          <w:b/>
          <w:sz w:val="24"/>
          <w:szCs w:val="24"/>
        </w:rPr>
      </w:pPr>
    </w:p>
    <w:p w:rsidR="008158B4" w:rsidRPr="006D597D" w:rsidRDefault="008158B4" w:rsidP="008158B4">
      <w:pPr>
        <w:autoSpaceDE w:val="0"/>
        <w:autoSpaceDN w:val="0"/>
        <w:adjustRightInd w:val="0"/>
        <w:spacing w:after="0"/>
        <w:ind w:left="-57" w:right="-57"/>
        <w:jc w:val="both"/>
        <w:rPr>
          <w:rFonts w:cs="Times New Roman"/>
          <w:sz w:val="24"/>
          <w:szCs w:val="24"/>
        </w:rPr>
      </w:pPr>
      <w:r w:rsidRPr="006D597D">
        <w:rPr>
          <w:sz w:val="24"/>
          <w:szCs w:val="24"/>
        </w:rPr>
        <w:t>Enzymes play unique role in catalyzing different biochemical reactions. The Enzyme urease which catalyses the hydrolysis of urea to CO</w:t>
      </w:r>
      <w:r w:rsidRPr="006D597D">
        <w:rPr>
          <w:sz w:val="24"/>
          <w:szCs w:val="24"/>
          <w:vertAlign w:val="subscript"/>
        </w:rPr>
        <w:t>2</w:t>
      </w:r>
      <w:r w:rsidRPr="006D597D">
        <w:rPr>
          <w:sz w:val="24"/>
          <w:szCs w:val="24"/>
        </w:rPr>
        <w:t xml:space="preserve"> and NH</w:t>
      </w:r>
      <w:r w:rsidRPr="006D597D">
        <w:rPr>
          <w:sz w:val="24"/>
          <w:szCs w:val="24"/>
          <w:vertAlign w:val="subscript"/>
        </w:rPr>
        <w:t>3</w:t>
      </w:r>
      <w:r w:rsidRPr="006D597D">
        <w:rPr>
          <w:sz w:val="24"/>
          <w:szCs w:val="24"/>
        </w:rPr>
        <w:t xml:space="preserve"> has drawn a great deal of attention from the researchers due to ubiquitiousness in living organism as well its role in Urea decomposition. It’s presence is not only detected in higher plants and microorganisms but also in gastric-muscles of man and several animals due to the </w:t>
      </w:r>
      <w:r w:rsidRPr="006D597D">
        <w:rPr>
          <w:sz w:val="24"/>
          <w:szCs w:val="24"/>
          <w:shd w:val="clear" w:color="auto" w:fill="FFFFFF"/>
        </w:rPr>
        <w:t xml:space="preserve">bacterium </w:t>
      </w:r>
      <w:hyperlink r:id="rId7" w:history="1">
        <w:r w:rsidRPr="006D597D">
          <w:rPr>
            <w:rStyle w:val="Hyperlink"/>
            <w:i/>
            <w:iCs/>
            <w:sz w:val="24"/>
            <w:szCs w:val="24"/>
            <w:shd w:val="clear" w:color="auto" w:fill="FFFFFF"/>
          </w:rPr>
          <w:t>Helicobacter pylo</w:t>
        </w:r>
        <w:r w:rsidRPr="006D597D">
          <w:rPr>
            <w:rStyle w:val="Hyperlink"/>
            <w:iCs/>
            <w:sz w:val="24"/>
            <w:szCs w:val="24"/>
            <w:shd w:val="clear" w:color="auto" w:fill="FFFFFF"/>
          </w:rPr>
          <w:t>ri</w:t>
        </w:r>
      </w:hyperlink>
      <w:r w:rsidRPr="006D597D">
        <w:rPr>
          <w:sz w:val="24"/>
          <w:szCs w:val="24"/>
          <w:shd w:val="clear" w:color="auto" w:fill="FFFFFF"/>
        </w:rPr>
        <w:t>,</w:t>
      </w:r>
      <w:r w:rsidRPr="006D597D">
        <w:rPr>
          <w:color w:val="000000"/>
          <w:sz w:val="24"/>
          <w:szCs w:val="24"/>
          <w:shd w:val="clear" w:color="auto" w:fill="FFFFFF"/>
        </w:rPr>
        <w:t xml:space="preserve"> which colonizes the gastric mucosa of humans. </w:t>
      </w:r>
      <w:r w:rsidRPr="006D597D">
        <w:rPr>
          <w:sz w:val="24"/>
          <w:szCs w:val="24"/>
        </w:rPr>
        <w:t>Urease is present in plants like Jack Beans (Hirai et al., 1993; Karmali and Domingos, 1993; Takishima et al., 1988),  mulberry leaves (Hirayama et al., 2000) , soybean (Glycine max) (Polacco and Holland, 1993; 1994), Arabidopsis (Zonia et al., 1995), and also ubiquitous urease , a type of most prevalent urease, is found in vegetative tissues of most plants (Hogan et al., 1983).</w:t>
      </w:r>
    </w:p>
    <w:p w:rsidR="008158B4" w:rsidRPr="006D597D" w:rsidRDefault="008158B4" w:rsidP="008158B4">
      <w:pPr>
        <w:spacing w:after="0"/>
        <w:ind w:left="-57" w:right="-57"/>
        <w:jc w:val="both"/>
        <w:rPr>
          <w:color w:val="282828"/>
          <w:sz w:val="24"/>
          <w:szCs w:val="24"/>
          <w:shd w:val="clear" w:color="auto" w:fill="F7F7F7"/>
        </w:rPr>
      </w:pPr>
      <w:r w:rsidRPr="006D597D">
        <w:rPr>
          <w:sz w:val="24"/>
          <w:szCs w:val="24"/>
        </w:rPr>
        <w:t>Soil Urease play a key role in conversion of Urea – N to ammonium –N in soli treated with Urea. The degree of availability of nitrogen in plant depends on enzyme catalyzed conversion of Urea to Ammonium, as plant absorb nitrogen mainly in the form of ammonium and nitrate. Apart from the role of urease activity in soil in crop production, in recent years ecologists have started paying great attention to this enzyme as it acts on Urea, the largely used fertilizer in India. Urea being soluble in water can easily be leached away, causing concerns for environment. Low enzymatic activity means lower rate of conversion of urea –N  and lower availability of ammonium nitrogen to plant, whereas higher urease activity may lead to rapid conversion of Urea –N to ammonium which then may undergo nitrification process leading to loss of nitrogen as NO</w:t>
      </w:r>
      <w:r w:rsidRPr="006D597D">
        <w:rPr>
          <w:sz w:val="24"/>
          <w:szCs w:val="24"/>
          <w:vertAlign w:val="subscript"/>
        </w:rPr>
        <w:t>2</w:t>
      </w:r>
      <w:r w:rsidRPr="006D597D">
        <w:rPr>
          <w:sz w:val="24"/>
          <w:szCs w:val="24"/>
        </w:rPr>
        <w:t>, NO, N</w:t>
      </w:r>
      <w:r w:rsidRPr="006D597D">
        <w:rPr>
          <w:sz w:val="24"/>
          <w:szCs w:val="24"/>
          <w:vertAlign w:val="subscript"/>
        </w:rPr>
        <w:t>2</w:t>
      </w:r>
      <w:r w:rsidRPr="006D597D">
        <w:rPr>
          <w:sz w:val="24"/>
          <w:szCs w:val="24"/>
        </w:rPr>
        <w:t xml:space="preserve">O accentuating environmental pollution. </w:t>
      </w:r>
      <w:r w:rsidRPr="006D597D">
        <w:rPr>
          <w:color w:val="282828"/>
          <w:sz w:val="24"/>
          <w:szCs w:val="24"/>
          <w:shd w:val="clear" w:color="auto" w:fill="F7F7F7"/>
        </w:rPr>
        <w:t xml:space="preserve">Soil ureolytic microorganisms are considered to be the main source of urease, and among </w:t>
      </w:r>
      <w:r w:rsidRPr="006D597D">
        <w:rPr>
          <w:color w:val="282828"/>
          <w:sz w:val="24"/>
          <w:szCs w:val="24"/>
          <w:shd w:val="clear" w:color="auto" w:fill="F7F7F7"/>
        </w:rPr>
        <w:lastRenderedPageBreak/>
        <w:t>these organisms, bacteria are considered to be the major contributors. Soil ureolytic microorganisms and urease activity are greatly affected by environmental factors. According to some previous research, urease activity is usually positively correlated with soil pH, microbial biomass and soil N fertility (</w:t>
      </w:r>
      <w:hyperlink r:id="rId8" w:anchor="B13" w:history="1">
        <w:r w:rsidRPr="006D597D">
          <w:rPr>
            <w:rStyle w:val="Hyperlink"/>
            <w:sz w:val="24"/>
            <w:szCs w:val="24"/>
            <w:shd w:val="clear" w:color="auto" w:fill="F7F7F7"/>
          </w:rPr>
          <w:t>Fisher et al., 2017</w:t>
        </w:r>
      </w:hyperlink>
      <w:r w:rsidRPr="006D597D">
        <w:rPr>
          <w:color w:val="282828"/>
          <w:sz w:val="24"/>
          <w:szCs w:val="24"/>
          <w:shd w:val="clear" w:color="auto" w:fill="F7F7F7"/>
        </w:rPr>
        <w:t>; </w:t>
      </w:r>
      <w:hyperlink r:id="rId9" w:anchor="B47" w:history="1">
        <w:r w:rsidRPr="006D597D">
          <w:rPr>
            <w:rStyle w:val="Hyperlink"/>
            <w:sz w:val="24"/>
            <w:szCs w:val="24"/>
            <w:shd w:val="clear" w:color="auto" w:fill="F7F7F7"/>
          </w:rPr>
          <w:t>Wang et al., 2018</w:t>
        </w:r>
      </w:hyperlink>
      <w:r w:rsidRPr="006D597D">
        <w:rPr>
          <w:color w:val="282828"/>
          <w:sz w:val="24"/>
          <w:szCs w:val="24"/>
          <w:shd w:val="clear" w:color="auto" w:fill="F7F7F7"/>
        </w:rPr>
        <w:t>; </w:t>
      </w:r>
      <w:hyperlink r:id="rId10" w:anchor="B45" w:history="1">
        <w:r w:rsidRPr="006D597D">
          <w:rPr>
            <w:rStyle w:val="Hyperlink"/>
            <w:sz w:val="24"/>
            <w:szCs w:val="24"/>
            <w:shd w:val="clear" w:color="auto" w:fill="F7F7F7"/>
          </w:rPr>
          <w:t>Sun et al., 2019</w:t>
        </w:r>
      </w:hyperlink>
      <w:r w:rsidRPr="006D597D">
        <w:rPr>
          <w:color w:val="282828"/>
          <w:sz w:val="24"/>
          <w:szCs w:val="24"/>
          <w:shd w:val="clear" w:color="auto" w:fill="F7F7F7"/>
        </w:rPr>
        <w:t>)</w:t>
      </w:r>
    </w:p>
    <w:p w:rsidR="008158B4" w:rsidRPr="006D597D"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b w:val="0"/>
          <w:sz w:val="24"/>
          <w:szCs w:val="24"/>
        </w:rPr>
      </w:pPr>
      <w:r w:rsidRPr="006D597D">
        <w:rPr>
          <w:rFonts w:asciiTheme="minorHAnsi" w:hAnsiTheme="minorHAnsi"/>
          <w:b w:val="0"/>
          <w:sz w:val="24"/>
          <w:szCs w:val="24"/>
        </w:rPr>
        <w:t>Urease activity in soils of west Bengal has not received much attention. The present study aims at understanding the level of urease activity in costal soils of sunderban and correlating the urease activity with soil salinity and soil organic carbon, pH, C.E.C, Clay and Silt percentage to understand whether they have any effect on urease activity of soil.</w:t>
      </w:r>
    </w:p>
    <w:p w:rsidR="008158B4" w:rsidRPr="006D597D"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cs="Arial"/>
          <w:b w:val="0"/>
          <w:color w:val="333333"/>
          <w:sz w:val="24"/>
          <w:szCs w:val="24"/>
          <w:shd w:val="clear" w:color="auto" w:fill="FFFFFF"/>
        </w:rPr>
      </w:pPr>
      <w:r w:rsidRPr="006D597D">
        <w:rPr>
          <w:rFonts w:asciiTheme="minorHAnsi" w:hAnsiTheme="minorHAnsi"/>
          <w:b w:val="0"/>
          <w:sz w:val="24"/>
          <w:szCs w:val="24"/>
        </w:rPr>
        <w:t>Further, neem oil and neem cake are important neem based products for coating urea , known as neem coated urea, which improves the nitrogen use efficiency. Reddy and Mishra, 1983 found that urease activity reduced from 11.8 to 9.4 mg urea kg</w:t>
      </w:r>
      <w:r w:rsidRPr="006D597D">
        <w:rPr>
          <w:rFonts w:asciiTheme="minorHAnsi" w:hAnsiTheme="minorHAnsi"/>
          <w:b w:val="0"/>
          <w:sz w:val="24"/>
          <w:szCs w:val="24"/>
          <w:vertAlign w:val="superscript"/>
        </w:rPr>
        <w:t>-1</w:t>
      </w:r>
      <w:r w:rsidRPr="006D597D">
        <w:rPr>
          <w:rFonts w:asciiTheme="minorHAnsi" w:hAnsiTheme="minorHAnsi"/>
          <w:b w:val="0"/>
          <w:sz w:val="24"/>
          <w:szCs w:val="24"/>
        </w:rPr>
        <w:t xml:space="preserve"> soil hr</w:t>
      </w:r>
      <w:r w:rsidRPr="006D597D">
        <w:rPr>
          <w:rFonts w:asciiTheme="minorHAnsi" w:hAnsiTheme="minorHAnsi"/>
          <w:b w:val="0"/>
          <w:sz w:val="24"/>
          <w:szCs w:val="24"/>
          <w:vertAlign w:val="superscript"/>
        </w:rPr>
        <w:t>-1</w:t>
      </w:r>
      <w:r w:rsidRPr="006D597D">
        <w:rPr>
          <w:rFonts w:asciiTheme="minorHAnsi" w:hAnsiTheme="minorHAnsi"/>
          <w:b w:val="0"/>
          <w:sz w:val="24"/>
          <w:szCs w:val="24"/>
        </w:rPr>
        <w:t xml:space="preserve"> on application of  neem cake (20% w/w) to soil. Similar results was also shown by Suryanarayan Reddy and Chhonkar (1991) at initial stages of application of   2 mg kg</w:t>
      </w:r>
      <w:r w:rsidRPr="006D597D">
        <w:rPr>
          <w:rFonts w:asciiTheme="minorHAnsi" w:hAnsiTheme="minorHAnsi"/>
          <w:b w:val="0"/>
          <w:sz w:val="24"/>
          <w:szCs w:val="24"/>
          <w:vertAlign w:val="superscript"/>
        </w:rPr>
        <w:t xml:space="preserve">-1 </w:t>
      </w:r>
      <w:r w:rsidRPr="006D597D">
        <w:rPr>
          <w:rFonts w:asciiTheme="minorHAnsi" w:hAnsiTheme="minorHAnsi"/>
          <w:b w:val="0"/>
          <w:sz w:val="24"/>
          <w:szCs w:val="24"/>
        </w:rPr>
        <w:t xml:space="preserve">neem cake to sandy clay loam soil. It is also found that </w:t>
      </w:r>
      <w:r w:rsidRPr="006D597D">
        <w:rPr>
          <w:rFonts w:asciiTheme="minorHAnsi" w:hAnsiTheme="minorHAnsi" w:cs="Arial"/>
          <w:b w:val="0"/>
          <w:color w:val="333333"/>
          <w:sz w:val="24"/>
          <w:szCs w:val="24"/>
          <w:shd w:val="clear" w:color="auto" w:fill="FFFFFF"/>
        </w:rPr>
        <w:t xml:space="preserve">neem (Azadirachtaindica) kernel powder (NSKP) seed and neem leaf extract reduces the urease and nitrification activities in different soils. </w:t>
      </w:r>
    </w:p>
    <w:p w:rsidR="008158B4" w:rsidRPr="006D597D"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cs="Arial"/>
          <w:b w:val="0"/>
          <w:color w:val="C00000"/>
          <w:sz w:val="24"/>
          <w:szCs w:val="24"/>
        </w:rPr>
      </w:pPr>
      <w:r w:rsidRPr="006D597D">
        <w:rPr>
          <w:rFonts w:asciiTheme="minorHAnsi" w:hAnsiTheme="minorHAnsi"/>
          <w:b w:val="0"/>
          <w:sz w:val="24"/>
          <w:szCs w:val="24"/>
        </w:rPr>
        <w:t xml:space="preserve">In this present study an attempt has also been made to observe the effect of addition of Neem cake as Urease inhibitor on soils of Sunderban of West Bengal. Similarly effect of addition of Shal cake on the urease activity was also evaluated. This would give us an insight on the effect of these two organic carbon additions of urease activity of coastal soil. </w:t>
      </w:r>
    </w:p>
    <w:p w:rsidR="008158B4" w:rsidRPr="006D597D" w:rsidRDefault="008158B4" w:rsidP="008158B4">
      <w:pPr>
        <w:spacing w:after="0"/>
        <w:ind w:left="-57" w:right="-57"/>
        <w:jc w:val="center"/>
        <w:rPr>
          <w:b/>
          <w:sz w:val="24"/>
          <w:szCs w:val="24"/>
          <w:lang w:val="en-IN"/>
        </w:rPr>
      </w:pPr>
    </w:p>
    <w:p w:rsidR="008158B4" w:rsidRPr="00A162CD" w:rsidRDefault="00A162CD" w:rsidP="00A162CD">
      <w:pPr>
        <w:spacing w:after="0"/>
        <w:ind w:left="-57" w:right="-57"/>
        <w:rPr>
          <w:color w:val="FF0000"/>
          <w:sz w:val="24"/>
          <w:szCs w:val="24"/>
          <w:lang w:val="en-IN"/>
        </w:rPr>
      </w:pPr>
      <w:r>
        <w:rPr>
          <w:b/>
          <w:color w:val="FF0000"/>
          <w:sz w:val="24"/>
          <w:szCs w:val="24"/>
          <w:lang w:val="en-IN"/>
        </w:rPr>
        <w:t>2.</w:t>
      </w:r>
      <w:r w:rsidR="008158B4" w:rsidRPr="00A162CD">
        <w:rPr>
          <w:b/>
          <w:color w:val="FF0000"/>
          <w:sz w:val="24"/>
          <w:szCs w:val="24"/>
          <w:lang w:val="en-IN"/>
        </w:rPr>
        <w:t>Material and method</w:t>
      </w:r>
      <w:r w:rsidR="008158B4" w:rsidRPr="00A162CD">
        <w:rPr>
          <w:color w:val="FF0000"/>
          <w:sz w:val="24"/>
          <w:szCs w:val="24"/>
          <w:lang w:val="en-IN"/>
        </w:rPr>
        <w:t>:</w:t>
      </w:r>
    </w:p>
    <w:p w:rsidR="008158B4" w:rsidRPr="006D597D" w:rsidRDefault="008158B4" w:rsidP="008158B4">
      <w:pPr>
        <w:spacing w:after="0"/>
        <w:ind w:left="-57" w:right="-57"/>
        <w:jc w:val="center"/>
        <w:rPr>
          <w:sz w:val="24"/>
          <w:szCs w:val="24"/>
          <w:lang w:val="en-IN"/>
        </w:rPr>
      </w:pPr>
    </w:p>
    <w:p w:rsidR="008158B4" w:rsidRPr="006D597D" w:rsidRDefault="008158B4" w:rsidP="008158B4">
      <w:pPr>
        <w:spacing w:after="0"/>
        <w:ind w:left="-57" w:right="-57"/>
        <w:rPr>
          <w:sz w:val="24"/>
          <w:szCs w:val="24"/>
        </w:rPr>
      </w:pPr>
      <w:r w:rsidRPr="006D597D">
        <w:rPr>
          <w:sz w:val="24"/>
          <w:szCs w:val="24"/>
          <w:lang w:val="en-IN"/>
        </w:rPr>
        <w:t>The surface coastal soils from six different places of Sunderban were coll</w:t>
      </w:r>
      <w:r w:rsidR="00426C1C" w:rsidRPr="006D597D">
        <w:rPr>
          <w:sz w:val="24"/>
          <w:szCs w:val="24"/>
          <w:lang w:val="en-IN"/>
        </w:rPr>
        <w:t>ected in the month of March 2019</w:t>
      </w:r>
      <w:r w:rsidRPr="006D597D">
        <w:rPr>
          <w:sz w:val="24"/>
          <w:szCs w:val="24"/>
          <w:lang w:val="en-IN"/>
        </w:rPr>
        <w:t>. The sites of soil collection were – Bidya, Sudhanyakhali, Herobhanga, Kultali, Patharpratima&amp;Netidhopani . The Locations are B</w:t>
      </w:r>
      <w:r w:rsidRPr="006D597D">
        <w:rPr>
          <w:sz w:val="24"/>
          <w:szCs w:val="24"/>
        </w:rPr>
        <w:t>idya-approx. 22.05</w:t>
      </w:r>
      <w:r w:rsidRPr="006D597D">
        <w:rPr>
          <w:rFonts w:ascii="Cambria Math" w:hAnsi="Cambria Math" w:cs="Cambria Math"/>
          <w:sz w:val="24"/>
          <w:szCs w:val="24"/>
          <w:vertAlign w:val="superscript"/>
        </w:rPr>
        <w:t xml:space="preserve"> 0 </w:t>
      </w:r>
      <w:r w:rsidRPr="006D597D">
        <w:rPr>
          <w:rFonts w:ascii="Cambria Math" w:hAnsi="Cambria Math" w:cs="Cambria Math"/>
          <w:sz w:val="24"/>
          <w:szCs w:val="24"/>
        </w:rPr>
        <w:t>N</w:t>
      </w:r>
      <w:r w:rsidRPr="006D597D">
        <w:rPr>
          <w:sz w:val="24"/>
          <w:szCs w:val="24"/>
        </w:rPr>
        <w:t>, 88.10</w:t>
      </w:r>
      <w:r w:rsidRPr="006D597D">
        <w:rPr>
          <w:rFonts w:ascii="Cambria Math" w:hAnsi="Cambria Math" w:cs="Cambria Math"/>
          <w:sz w:val="24"/>
          <w:szCs w:val="24"/>
          <w:vertAlign w:val="superscript"/>
        </w:rPr>
        <w:t>0</w:t>
      </w:r>
      <w:r w:rsidRPr="006D597D">
        <w:rPr>
          <w:sz w:val="24"/>
          <w:szCs w:val="24"/>
        </w:rPr>
        <w:t>E, Sudhanyakhali -approx. 22.01</w:t>
      </w:r>
      <w:r w:rsidRPr="006D597D">
        <w:rPr>
          <w:sz w:val="24"/>
          <w:szCs w:val="24"/>
          <w:vertAlign w:val="superscript"/>
        </w:rPr>
        <w:t>0</w:t>
      </w:r>
      <w:r w:rsidRPr="006D597D">
        <w:rPr>
          <w:sz w:val="24"/>
          <w:szCs w:val="24"/>
        </w:rPr>
        <w:t xml:space="preserve">N, 88.54 </w:t>
      </w:r>
      <w:r w:rsidRPr="006D597D">
        <w:rPr>
          <w:sz w:val="24"/>
          <w:szCs w:val="24"/>
          <w:vertAlign w:val="superscript"/>
        </w:rPr>
        <w:t>0</w:t>
      </w:r>
      <w:r w:rsidRPr="006D597D">
        <w:rPr>
          <w:sz w:val="24"/>
          <w:szCs w:val="24"/>
        </w:rPr>
        <w:t xml:space="preserve"> E, Herobhanga- approx. 22.09</w:t>
      </w:r>
      <w:r w:rsidRPr="006D597D">
        <w:rPr>
          <w:sz w:val="24"/>
          <w:szCs w:val="24"/>
          <w:vertAlign w:val="superscript"/>
        </w:rPr>
        <w:t>0</w:t>
      </w:r>
      <w:r w:rsidRPr="006D597D">
        <w:rPr>
          <w:sz w:val="24"/>
          <w:szCs w:val="24"/>
        </w:rPr>
        <w:t>N , 88.95</w:t>
      </w:r>
      <w:r w:rsidRPr="006D597D">
        <w:rPr>
          <w:sz w:val="24"/>
          <w:szCs w:val="24"/>
          <w:vertAlign w:val="superscript"/>
        </w:rPr>
        <w:t>0</w:t>
      </w:r>
      <w:r w:rsidRPr="006D597D">
        <w:rPr>
          <w:sz w:val="24"/>
          <w:szCs w:val="24"/>
        </w:rPr>
        <w:t xml:space="preserve">E, Kultali- approx. 22.815 </w:t>
      </w:r>
      <w:r w:rsidRPr="006D597D">
        <w:rPr>
          <w:sz w:val="24"/>
          <w:szCs w:val="24"/>
          <w:vertAlign w:val="superscript"/>
        </w:rPr>
        <w:t>0</w:t>
      </w:r>
      <w:r w:rsidRPr="006D597D">
        <w:rPr>
          <w:sz w:val="24"/>
          <w:szCs w:val="24"/>
        </w:rPr>
        <w:t xml:space="preserve"> N ,88.5266 </w:t>
      </w:r>
      <w:r w:rsidRPr="006D597D">
        <w:rPr>
          <w:sz w:val="24"/>
          <w:szCs w:val="24"/>
          <w:vertAlign w:val="superscript"/>
        </w:rPr>
        <w:t>0</w:t>
      </w:r>
      <w:r w:rsidRPr="006D597D">
        <w:rPr>
          <w:sz w:val="24"/>
          <w:szCs w:val="24"/>
        </w:rPr>
        <w:t xml:space="preserve"> E, Patharpratima -approx. 21.95</w:t>
      </w:r>
      <w:r w:rsidRPr="006D597D">
        <w:rPr>
          <w:sz w:val="24"/>
          <w:szCs w:val="24"/>
          <w:vertAlign w:val="superscript"/>
        </w:rPr>
        <w:t>0</w:t>
      </w:r>
      <w:r w:rsidRPr="006D597D">
        <w:rPr>
          <w:rFonts w:ascii="Cambria Math" w:hAnsi="Cambria Math" w:cs="Cambria Math"/>
          <w:sz w:val="24"/>
          <w:szCs w:val="24"/>
        </w:rPr>
        <w:t>N</w:t>
      </w:r>
      <w:r w:rsidRPr="006D597D">
        <w:rPr>
          <w:sz w:val="24"/>
          <w:szCs w:val="24"/>
        </w:rPr>
        <w:t>, 88.34</w:t>
      </w:r>
      <w:r w:rsidRPr="006D597D">
        <w:rPr>
          <w:rFonts w:ascii="Cambria Math" w:hAnsi="Cambria Math" w:cs="Cambria Math"/>
          <w:sz w:val="24"/>
          <w:szCs w:val="24"/>
          <w:vertAlign w:val="superscript"/>
        </w:rPr>
        <w:t>0</w:t>
      </w:r>
      <w:r w:rsidRPr="006D597D">
        <w:rPr>
          <w:sz w:val="24"/>
          <w:szCs w:val="24"/>
        </w:rPr>
        <w:t>E, and Netidhopani-approx. 22.07</w:t>
      </w:r>
      <w:r w:rsidRPr="006D597D">
        <w:rPr>
          <w:sz w:val="24"/>
          <w:szCs w:val="24"/>
          <w:vertAlign w:val="superscript"/>
        </w:rPr>
        <w:t>0</w:t>
      </w:r>
      <w:r w:rsidRPr="006D597D">
        <w:rPr>
          <w:sz w:val="24"/>
          <w:szCs w:val="24"/>
        </w:rPr>
        <w:t xml:space="preserve"> N</w:t>
      </w:r>
      <w:r w:rsidRPr="006D597D">
        <w:rPr>
          <w:rStyle w:val="dtet0b"/>
          <w:sz w:val="24"/>
          <w:szCs w:val="24"/>
        </w:rPr>
        <w:t xml:space="preserve">, </w:t>
      </w:r>
      <w:r w:rsidRPr="006D597D">
        <w:rPr>
          <w:sz w:val="24"/>
          <w:szCs w:val="24"/>
        </w:rPr>
        <w:t>88.86</w:t>
      </w:r>
      <w:r w:rsidRPr="006D597D">
        <w:rPr>
          <w:rFonts w:ascii="Cambria Math" w:hAnsi="Cambria Math" w:cs="Cambria Math"/>
          <w:sz w:val="24"/>
          <w:szCs w:val="24"/>
          <w:vertAlign w:val="superscript"/>
        </w:rPr>
        <w:t>0</w:t>
      </w:r>
      <w:r w:rsidRPr="006D597D">
        <w:rPr>
          <w:rFonts w:ascii="Cambria Math" w:hAnsi="Cambria Math" w:cs="Cambria Math"/>
          <w:sz w:val="24"/>
          <w:szCs w:val="24"/>
        </w:rPr>
        <w:t xml:space="preserve"> E.</w:t>
      </w:r>
    </w:p>
    <w:p w:rsidR="008158B4" w:rsidRPr="006D597D" w:rsidRDefault="008158B4" w:rsidP="008158B4">
      <w:pPr>
        <w:spacing w:after="0"/>
        <w:ind w:left="-57" w:right="-57"/>
        <w:jc w:val="both"/>
        <w:rPr>
          <w:sz w:val="24"/>
          <w:szCs w:val="24"/>
          <w:lang w:val="en-IN"/>
        </w:rPr>
      </w:pPr>
      <w:r w:rsidRPr="006D597D">
        <w:rPr>
          <w:sz w:val="24"/>
          <w:szCs w:val="24"/>
          <w:lang w:val="en-IN"/>
        </w:rPr>
        <w:t>The collected soils were air dried and thereafter pulverised with a mortar and pestle. The soils were the sieves by using 2 mm sieve. These powdered soils were then used for carrying out physicochemical studies and urease activity.</w:t>
      </w:r>
    </w:p>
    <w:p w:rsidR="008158B4" w:rsidRPr="00A162CD" w:rsidRDefault="00A162CD" w:rsidP="008158B4">
      <w:pPr>
        <w:spacing w:after="0"/>
        <w:ind w:left="-57" w:right="-57"/>
        <w:jc w:val="both"/>
        <w:rPr>
          <w:b/>
          <w:color w:val="FF0000"/>
          <w:sz w:val="24"/>
          <w:szCs w:val="24"/>
          <w:lang w:val="en-IN"/>
        </w:rPr>
      </w:pPr>
      <w:r>
        <w:rPr>
          <w:b/>
          <w:color w:val="FF0000"/>
          <w:sz w:val="24"/>
          <w:szCs w:val="24"/>
          <w:lang w:val="en-IN"/>
        </w:rPr>
        <w:t>2.1.</w:t>
      </w:r>
      <w:r w:rsidR="008158B4" w:rsidRPr="00A162CD">
        <w:rPr>
          <w:b/>
          <w:color w:val="FF0000"/>
          <w:sz w:val="24"/>
          <w:szCs w:val="24"/>
          <w:lang w:val="en-IN"/>
        </w:rPr>
        <w:t>Method of soil analysis</w:t>
      </w:r>
    </w:p>
    <w:p w:rsidR="008158B4" w:rsidRPr="006D597D" w:rsidRDefault="008158B4" w:rsidP="008158B4">
      <w:pPr>
        <w:spacing w:after="0"/>
        <w:ind w:left="-57" w:right="-57"/>
        <w:jc w:val="both"/>
        <w:rPr>
          <w:sz w:val="24"/>
          <w:szCs w:val="24"/>
          <w:lang w:val="en-IN"/>
        </w:rPr>
      </w:pPr>
      <w:r w:rsidRPr="006D597D">
        <w:rPr>
          <w:sz w:val="24"/>
          <w:szCs w:val="24"/>
          <w:lang w:val="en-IN"/>
        </w:rPr>
        <w:t>pH of different was first measured by a Systronics pH meter. model 324, followed by specific conductivity with the aid of Systronics Conductivity Bridge. Organic Carbon was determined for saline soil was performed by Walkey and Black rapid titration method as all soils have pH &gt;7.5. Chemical analysis soil pH was done by hydrometer method, Texture of soil was determined from triangular chart from percentage of sand, silt and clay content. Other physicochemical measurement performed includes bulk density, particle density water holding capacity followed by C.E.C determination.</w:t>
      </w:r>
    </w:p>
    <w:p w:rsidR="008158B4" w:rsidRPr="00A162CD" w:rsidRDefault="00A162CD" w:rsidP="008158B4">
      <w:pPr>
        <w:spacing w:after="0"/>
        <w:ind w:left="-57" w:right="-57"/>
        <w:jc w:val="both"/>
        <w:rPr>
          <w:b/>
          <w:color w:val="FF0000"/>
          <w:sz w:val="24"/>
          <w:szCs w:val="24"/>
          <w:lang w:val="en-IN"/>
        </w:rPr>
      </w:pPr>
      <w:r>
        <w:rPr>
          <w:b/>
          <w:color w:val="FF0000"/>
          <w:sz w:val="24"/>
          <w:szCs w:val="24"/>
          <w:lang w:val="en-IN"/>
        </w:rPr>
        <w:t>2.2.</w:t>
      </w:r>
      <w:r w:rsidR="008158B4" w:rsidRPr="00A162CD">
        <w:rPr>
          <w:b/>
          <w:color w:val="FF0000"/>
          <w:sz w:val="24"/>
          <w:szCs w:val="24"/>
          <w:lang w:val="en-IN"/>
        </w:rPr>
        <w:t>Reagents and Method of soil urease activity analysis</w:t>
      </w:r>
    </w:p>
    <w:p w:rsidR="008158B4" w:rsidRPr="006D597D" w:rsidRDefault="008158B4" w:rsidP="008158B4">
      <w:pPr>
        <w:spacing w:after="0"/>
        <w:ind w:left="-57" w:right="-57"/>
        <w:jc w:val="both"/>
        <w:rPr>
          <w:sz w:val="24"/>
          <w:szCs w:val="24"/>
          <w:lang w:val="en-IN"/>
        </w:rPr>
      </w:pPr>
      <w:r w:rsidRPr="006D597D">
        <w:rPr>
          <w:sz w:val="24"/>
          <w:szCs w:val="24"/>
          <w:lang w:val="en-IN"/>
        </w:rPr>
        <w:lastRenderedPageBreak/>
        <w:t>Soilurease activity was determined by Doglas and Bremner method 1971 with the help of reagents like (1) KCl-Phenyl Mercuric Acetate (2M KCl-PMA) (2) Tolune (3) Urea solution (4.288 gm /lit containing 2 mg urea –N per ml) . (4) Standard Urea Solution for Standard Curve ( 0.4288 gm dissolved in 2M KCl –PMA containing 100 micro gm urea –N/ml (5). Diacetal Mono Oxime (DAM) solution containing 2.5 g in 100 ml water.(6) ThioSemicarbazide (TSC)  of 0.25 g dissolved in 100 ml water.  (7) Acid reagent containing mixture of 300 ml 85% H</w:t>
      </w:r>
      <w:r w:rsidRPr="006D597D">
        <w:rPr>
          <w:sz w:val="24"/>
          <w:szCs w:val="24"/>
          <w:vertAlign w:val="subscript"/>
          <w:lang w:val="en-IN"/>
        </w:rPr>
        <w:t>3</w:t>
      </w:r>
      <w:r w:rsidRPr="006D597D">
        <w:rPr>
          <w:sz w:val="24"/>
          <w:szCs w:val="24"/>
          <w:lang w:val="en-IN"/>
        </w:rPr>
        <w:t>PO</w:t>
      </w:r>
      <w:r w:rsidRPr="006D597D">
        <w:rPr>
          <w:sz w:val="24"/>
          <w:szCs w:val="24"/>
          <w:vertAlign w:val="subscript"/>
          <w:lang w:val="en-IN"/>
        </w:rPr>
        <w:t>4</w:t>
      </w:r>
      <w:r w:rsidRPr="006D597D">
        <w:rPr>
          <w:sz w:val="24"/>
          <w:szCs w:val="24"/>
          <w:lang w:val="en-IN"/>
        </w:rPr>
        <w:t xml:space="preserve"> and 10 ml H</w:t>
      </w:r>
      <w:r w:rsidRPr="006D597D">
        <w:rPr>
          <w:sz w:val="24"/>
          <w:szCs w:val="24"/>
          <w:vertAlign w:val="subscript"/>
          <w:lang w:val="en-IN"/>
        </w:rPr>
        <w:t>2</w:t>
      </w:r>
      <w:r w:rsidRPr="006D597D">
        <w:rPr>
          <w:sz w:val="24"/>
          <w:szCs w:val="24"/>
          <w:lang w:val="en-IN"/>
        </w:rPr>
        <w:t>SO</w:t>
      </w:r>
      <w:r w:rsidRPr="006D597D">
        <w:rPr>
          <w:sz w:val="24"/>
          <w:szCs w:val="24"/>
          <w:vertAlign w:val="subscript"/>
          <w:lang w:val="en-IN"/>
        </w:rPr>
        <w:t>4</w:t>
      </w:r>
      <w:r w:rsidRPr="006D597D">
        <w:rPr>
          <w:sz w:val="24"/>
          <w:szCs w:val="24"/>
          <w:lang w:val="en-IN"/>
        </w:rPr>
        <w:t xml:space="preserve"> diluted to 500ml. (8) Colour reagent : 25ml DAM solution was added to 10 ml TSC and 500 ml acid reagent to prepare colour reagent.</w:t>
      </w:r>
    </w:p>
    <w:p w:rsidR="008158B4" w:rsidRPr="006D597D" w:rsidRDefault="008158B4" w:rsidP="008158B4">
      <w:pPr>
        <w:spacing w:after="0"/>
        <w:ind w:left="-57" w:right="-57"/>
        <w:jc w:val="both"/>
        <w:rPr>
          <w:sz w:val="24"/>
          <w:szCs w:val="24"/>
          <w:lang w:val="en-IN"/>
        </w:rPr>
      </w:pPr>
      <w:r w:rsidRPr="006D597D">
        <w:rPr>
          <w:sz w:val="24"/>
          <w:szCs w:val="24"/>
          <w:lang w:val="en-IN"/>
        </w:rPr>
        <w:t xml:space="preserve">Using 10 gm soil samples collected from coastal soils of Sunderbansoil , 1 mil tolune and 5 ml substrate urea ,10 ml water incubated at 32 </w:t>
      </w:r>
      <w:r w:rsidRPr="006D597D">
        <w:rPr>
          <w:sz w:val="24"/>
          <w:szCs w:val="24"/>
          <w:vertAlign w:val="superscript"/>
          <w:lang w:val="en-IN"/>
        </w:rPr>
        <w:t>0</w:t>
      </w:r>
      <w:r w:rsidRPr="006D597D">
        <w:rPr>
          <w:sz w:val="24"/>
          <w:szCs w:val="24"/>
          <w:lang w:val="en-IN"/>
        </w:rPr>
        <w:t xml:space="preserve">C for 3 hours. Incubated sample mixture were then treated with 100 ml KCL-PMA and shaken in a mechanical shaker for 1 hour and filtered. To 10 ml filtrate from each six samples were diluted to 100 ml with KCl-PMA solution and 7 ml solution was take from diluted solution to 50 ml volumetric flask followed by addition of 3 ml of 2 (M) KCl-PMA and 30 ml colour reagent. The flasks were placed in an oven for 45 minsat 108 </w:t>
      </w:r>
      <w:r w:rsidRPr="006D597D">
        <w:rPr>
          <w:sz w:val="24"/>
          <w:szCs w:val="24"/>
          <w:vertAlign w:val="superscript"/>
          <w:lang w:val="en-IN"/>
        </w:rPr>
        <w:t>0</w:t>
      </w:r>
      <w:r w:rsidRPr="006D597D">
        <w:rPr>
          <w:sz w:val="24"/>
          <w:szCs w:val="24"/>
          <w:lang w:val="en-IN"/>
        </w:rPr>
        <w:t>C , cooled and colorimetric measurements were carried out with green filter.</w:t>
      </w:r>
    </w:p>
    <w:p w:rsidR="008158B4" w:rsidRPr="006D597D" w:rsidRDefault="008158B4" w:rsidP="008158B4">
      <w:pPr>
        <w:spacing w:after="0"/>
        <w:ind w:left="-57" w:right="-57"/>
        <w:jc w:val="both"/>
        <w:rPr>
          <w:sz w:val="24"/>
          <w:szCs w:val="24"/>
          <w:lang w:val="en-IN"/>
        </w:rPr>
      </w:pPr>
      <w:r w:rsidRPr="006D597D">
        <w:rPr>
          <w:sz w:val="24"/>
          <w:szCs w:val="24"/>
          <w:lang w:val="en-IN"/>
        </w:rPr>
        <w:t xml:space="preserve"> A standard curve was prepared by diluting 10 ml of the standard urea solution to 100 ml 2 (M) KCl-PMA solution, and then taken to 0, 1, 4, 7 ml urea solution in a 50 ml volumetric flask with KCL-PMA sol of 10, 9, 6 and 3 ml were added respectively so that total volume is 10 ml, followed by addition of 30 ml colour reagent. The bottles were heated for 46 min at 108 </w:t>
      </w:r>
      <w:r w:rsidRPr="006D597D">
        <w:rPr>
          <w:sz w:val="24"/>
          <w:szCs w:val="24"/>
          <w:vertAlign w:val="superscript"/>
          <w:lang w:val="en-IN"/>
        </w:rPr>
        <w:t>0</w:t>
      </w:r>
      <w:r w:rsidRPr="006D597D">
        <w:rPr>
          <w:sz w:val="24"/>
          <w:szCs w:val="24"/>
          <w:lang w:val="en-IN"/>
        </w:rPr>
        <w:t>C in a hot air oven. Thereafter the solution were cooled, volume made up and colorimetric determination were carried out using green filter.</w:t>
      </w:r>
    </w:p>
    <w:p w:rsidR="008158B4" w:rsidRPr="006D597D" w:rsidRDefault="008158B4" w:rsidP="008158B4">
      <w:pPr>
        <w:spacing w:after="0"/>
        <w:ind w:left="-57" w:right="-57"/>
        <w:jc w:val="both"/>
        <w:rPr>
          <w:sz w:val="24"/>
          <w:szCs w:val="24"/>
          <w:lang w:val="en-IN"/>
        </w:rPr>
      </w:pPr>
      <w:r w:rsidRPr="006D597D">
        <w:rPr>
          <w:sz w:val="24"/>
          <w:szCs w:val="24"/>
          <w:lang w:val="en-IN"/>
        </w:rPr>
        <w:t>Along with this the effect of addition of oil cakes namely Neem cake and Shal cake on urease activity were also measured by taking 1 gm cake to 10 gm soil, with 5 gm urea sol added to it followed by addition of 10 ml distilled water. Same set up is repeated without oil cake, which constitutes the blank. The flask s were incubated for 4 days at 320C. After incubation the bottles were subjected to shaking my mechanical shaker for 1 hourthe solution is filtered using watman42 filter paper. 10 mi filtrate was diluted to 100 ml in a volumetric flask and colorimetric determination of urease activity was carried out.</w:t>
      </w:r>
    </w:p>
    <w:p w:rsidR="008158B4" w:rsidRPr="006D597D" w:rsidRDefault="008158B4" w:rsidP="008158B4">
      <w:pPr>
        <w:spacing w:after="0"/>
        <w:ind w:left="-57" w:right="-57"/>
        <w:jc w:val="center"/>
        <w:rPr>
          <w:b/>
          <w:sz w:val="24"/>
          <w:szCs w:val="24"/>
          <w:lang w:val="en-IN"/>
        </w:rPr>
      </w:pPr>
    </w:p>
    <w:p w:rsidR="008158B4" w:rsidRPr="00A162CD" w:rsidRDefault="0081149D" w:rsidP="00A162CD">
      <w:pPr>
        <w:spacing w:after="0"/>
        <w:ind w:left="-57" w:right="-57"/>
        <w:rPr>
          <w:b/>
          <w:color w:val="FF0000"/>
          <w:sz w:val="24"/>
          <w:szCs w:val="24"/>
          <w:lang w:val="en-IN"/>
        </w:rPr>
      </w:pPr>
      <w:r>
        <w:rPr>
          <w:b/>
          <w:color w:val="FF0000"/>
          <w:sz w:val="24"/>
          <w:szCs w:val="24"/>
          <w:lang w:val="en-IN"/>
        </w:rPr>
        <w:t>3.</w:t>
      </w:r>
      <w:r w:rsidR="008158B4" w:rsidRPr="00A162CD">
        <w:rPr>
          <w:b/>
          <w:color w:val="FF0000"/>
          <w:sz w:val="24"/>
          <w:szCs w:val="24"/>
          <w:lang w:val="en-IN"/>
        </w:rPr>
        <w:t>Result</w:t>
      </w:r>
      <w:r w:rsidR="0098764E" w:rsidRPr="00A162CD">
        <w:rPr>
          <w:b/>
          <w:color w:val="FF0000"/>
          <w:sz w:val="24"/>
          <w:szCs w:val="24"/>
          <w:lang w:val="en-IN"/>
        </w:rPr>
        <w:t>s</w:t>
      </w:r>
      <w:r w:rsidR="008158B4" w:rsidRPr="00A162CD">
        <w:rPr>
          <w:b/>
          <w:color w:val="FF0000"/>
          <w:sz w:val="24"/>
          <w:szCs w:val="24"/>
          <w:lang w:val="en-IN"/>
        </w:rPr>
        <w:t xml:space="preserve"> and Discussion</w:t>
      </w:r>
      <w:r w:rsidR="0098764E" w:rsidRPr="00A162CD">
        <w:rPr>
          <w:b/>
          <w:color w:val="FF0000"/>
          <w:sz w:val="24"/>
          <w:szCs w:val="24"/>
          <w:lang w:val="en-IN"/>
        </w:rPr>
        <w:t>s</w:t>
      </w:r>
    </w:p>
    <w:p w:rsidR="008158B4" w:rsidRPr="006D597D" w:rsidRDefault="008158B4" w:rsidP="008158B4">
      <w:pPr>
        <w:spacing w:after="0"/>
        <w:ind w:left="-57" w:right="-57"/>
        <w:jc w:val="center"/>
        <w:rPr>
          <w:b/>
          <w:sz w:val="24"/>
          <w:szCs w:val="24"/>
          <w:lang w:val="en-IN"/>
        </w:rPr>
      </w:pPr>
    </w:p>
    <w:p w:rsidR="008158B4" w:rsidRPr="006D597D" w:rsidRDefault="008158B4" w:rsidP="008158B4">
      <w:pPr>
        <w:spacing w:after="0"/>
        <w:ind w:left="-57" w:right="-57"/>
        <w:jc w:val="both"/>
        <w:rPr>
          <w:sz w:val="24"/>
          <w:szCs w:val="24"/>
          <w:lang w:val="en-IN"/>
        </w:rPr>
      </w:pPr>
      <w:r w:rsidRPr="006D597D">
        <w:rPr>
          <w:sz w:val="24"/>
          <w:szCs w:val="24"/>
          <w:lang w:val="en-IN"/>
        </w:rPr>
        <w:t xml:space="preserve">The physicochemical date of six soils of Sunderbans used in the study it is seen that all soils have pH in the alkaline range. In soil water suspension, pH ranged to be 7.40 (Netidhopani) and 8 (Herobhanga). pH of soil-KCl suspension as anticipated was lower in Sudhanyakhali and Patharpratima soils. However in the other soils there was slightly or no lowering of pH. Specific conductivity once again varied considerably with soils. The lowest specific conductivity (3.10) was noted in Patharpratima soil while the highest value of 5.25 dS/m was reported in Bidya soil. Organic carbon content however varied only slightly in the soils studied. The percent of organuic carbon ranged between 0.621 % in Patharpratima and 0.757%  inSudhanyakhali soil. Study of soil separates show predominance of silt and clay in </w:t>
      </w:r>
      <w:r w:rsidRPr="006D597D">
        <w:rPr>
          <w:sz w:val="24"/>
          <w:szCs w:val="24"/>
          <w:lang w:val="en-IN"/>
        </w:rPr>
        <w:lastRenderedPageBreak/>
        <w:t xml:space="preserve">the soil excepting Netidhopani soil, where present sand content was considerably higher in comparison to those of other soils. Such details are presented in Table-1. </w:t>
      </w:r>
    </w:p>
    <w:p w:rsidR="008158B4" w:rsidRPr="006D597D" w:rsidRDefault="008158B4" w:rsidP="008158B4">
      <w:pPr>
        <w:spacing w:after="0"/>
        <w:ind w:left="-57" w:right="-57"/>
        <w:jc w:val="both"/>
        <w:rPr>
          <w:sz w:val="24"/>
          <w:szCs w:val="24"/>
          <w:lang w:val="en-IN"/>
        </w:rPr>
      </w:pPr>
    </w:p>
    <w:p w:rsidR="008158B4" w:rsidRPr="006D597D" w:rsidRDefault="008158B4" w:rsidP="008158B4">
      <w:pPr>
        <w:spacing w:after="0"/>
        <w:ind w:left="-57" w:right="-57"/>
        <w:jc w:val="center"/>
        <w:rPr>
          <w:b/>
          <w:sz w:val="24"/>
          <w:szCs w:val="24"/>
          <w:lang w:val="en-IN"/>
        </w:rPr>
      </w:pPr>
      <w:r w:rsidRPr="006D597D">
        <w:rPr>
          <w:b/>
          <w:sz w:val="24"/>
          <w:szCs w:val="24"/>
          <w:lang w:val="en-IN"/>
        </w:rPr>
        <w:t>Table 1 : Physicochemical properties of different soils of Sunderban</w:t>
      </w:r>
    </w:p>
    <w:tbl>
      <w:tblPr>
        <w:tblStyle w:val="LightShading-Accent11"/>
        <w:tblW w:w="0" w:type="auto"/>
        <w:jc w:val="center"/>
        <w:tblLayout w:type="fixed"/>
        <w:tblLook w:val="04A0"/>
      </w:tblPr>
      <w:tblGrid>
        <w:gridCol w:w="1327"/>
        <w:gridCol w:w="850"/>
        <w:gridCol w:w="993"/>
        <w:gridCol w:w="1134"/>
        <w:gridCol w:w="992"/>
        <w:gridCol w:w="567"/>
        <w:gridCol w:w="567"/>
        <w:gridCol w:w="709"/>
        <w:gridCol w:w="1567"/>
      </w:tblGrid>
      <w:tr w:rsidR="008158B4" w:rsidRPr="006D597D" w:rsidTr="006658C8">
        <w:trPr>
          <w:cnfStyle w:val="100000000000"/>
          <w:jc w:val="center"/>
        </w:trPr>
        <w:tc>
          <w:tcPr>
            <w:cnfStyle w:val="001000000000"/>
            <w:tcW w:w="1327" w:type="dxa"/>
            <w:vMerge w:val="restart"/>
          </w:tcPr>
          <w:p w:rsidR="008158B4" w:rsidRPr="006D597D" w:rsidRDefault="008158B4" w:rsidP="008158B4">
            <w:pPr>
              <w:spacing w:line="276" w:lineRule="auto"/>
              <w:ind w:left="-57" w:right="-57"/>
              <w:jc w:val="both"/>
              <w:rPr>
                <w:sz w:val="20"/>
                <w:szCs w:val="20"/>
                <w:lang w:val="en-IN"/>
              </w:rPr>
            </w:pPr>
            <w:r w:rsidRPr="006D597D">
              <w:rPr>
                <w:sz w:val="20"/>
                <w:szCs w:val="20"/>
                <w:lang w:val="en-IN"/>
              </w:rPr>
              <w:t>Place</w:t>
            </w:r>
          </w:p>
        </w:tc>
        <w:tc>
          <w:tcPr>
            <w:tcW w:w="1843" w:type="dxa"/>
            <w:gridSpan w:val="2"/>
          </w:tcPr>
          <w:p w:rsidR="008158B4" w:rsidRPr="006D597D" w:rsidRDefault="008158B4" w:rsidP="008158B4">
            <w:pPr>
              <w:spacing w:line="276" w:lineRule="auto"/>
              <w:ind w:left="-57" w:right="-57"/>
              <w:jc w:val="center"/>
              <w:cnfStyle w:val="100000000000"/>
              <w:rPr>
                <w:sz w:val="20"/>
                <w:szCs w:val="20"/>
                <w:lang w:val="en-IN"/>
              </w:rPr>
            </w:pPr>
            <w:r w:rsidRPr="006D597D">
              <w:rPr>
                <w:sz w:val="20"/>
                <w:szCs w:val="20"/>
                <w:lang w:val="en-IN"/>
              </w:rPr>
              <w:t>pH</w:t>
            </w:r>
          </w:p>
        </w:tc>
        <w:tc>
          <w:tcPr>
            <w:tcW w:w="1134" w:type="dxa"/>
            <w:vMerge w:val="restart"/>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Specific conductivity(dS/m)</w:t>
            </w:r>
          </w:p>
        </w:tc>
        <w:tc>
          <w:tcPr>
            <w:tcW w:w="992" w:type="dxa"/>
            <w:vMerge w:val="restart"/>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Organic carbon(%)</w:t>
            </w:r>
          </w:p>
        </w:tc>
        <w:tc>
          <w:tcPr>
            <w:tcW w:w="1843" w:type="dxa"/>
            <w:gridSpan w:val="3"/>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Soil separates (%)</w:t>
            </w:r>
          </w:p>
        </w:tc>
        <w:tc>
          <w:tcPr>
            <w:tcW w:w="1567" w:type="dxa"/>
            <w:vMerge w:val="restart"/>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Texture</w:t>
            </w:r>
          </w:p>
        </w:tc>
      </w:tr>
      <w:tr w:rsidR="008158B4" w:rsidRPr="006D597D" w:rsidTr="006658C8">
        <w:trPr>
          <w:cnfStyle w:val="000000100000"/>
          <w:jc w:val="center"/>
        </w:trPr>
        <w:tc>
          <w:tcPr>
            <w:cnfStyle w:val="001000000000"/>
            <w:tcW w:w="1327" w:type="dxa"/>
            <w:vMerge/>
            <w:tcBorders>
              <w:bottom w:val="single" w:sz="4" w:space="0" w:color="auto"/>
            </w:tcBorders>
            <w:shd w:val="clear" w:color="auto" w:fill="auto"/>
          </w:tcPr>
          <w:p w:rsidR="008158B4" w:rsidRPr="006D597D" w:rsidRDefault="008158B4" w:rsidP="008158B4">
            <w:pPr>
              <w:spacing w:line="276" w:lineRule="auto"/>
              <w:ind w:left="-57" w:right="-57"/>
              <w:jc w:val="both"/>
              <w:rPr>
                <w:sz w:val="20"/>
                <w:szCs w:val="20"/>
                <w:lang w:val="en-IN"/>
              </w:rPr>
            </w:pPr>
          </w:p>
        </w:tc>
        <w:tc>
          <w:tcPr>
            <w:tcW w:w="850"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1:2.5in water</w:t>
            </w:r>
          </w:p>
        </w:tc>
        <w:tc>
          <w:tcPr>
            <w:tcW w:w="993"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1:2.5in 1(N) KCl</w:t>
            </w:r>
          </w:p>
        </w:tc>
        <w:tc>
          <w:tcPr>
            <w:tcW w:w="1134" w:type="dxa"/>
            <w:vMerge/>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p>
        </w:tc>
        <w:tc>
          <w:tcPr>
            <w:tcW w:w="992" w:type="dxa"/>
            <w:vMerge/>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p>
        </w:tc>
        <w:tc>
          <w:tcPr>
            <w:tcW w:w="567"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 xml:space="preserve">Sand </w:t>
            </w:r>
          </w:p>
        </w:tc>
        <w:tc>
          <w:tcPr>
            <w:tcW w:w="567"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 xml:space="preserve">Silt </w:t>
            </w:r>
          </w:p>
        </w:tc>
        <w:tc>
          <w:tcPr>
            <w:tcW w:w="709"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 xml:space="preserve">Clay </w:t>
            </w:r>
          </w:p>
        </w:tc>
        <w:tc>
          <w:tcPr>
            <w:tcW w:w="1567" w:type="dxa"/>
            <w:vMerge/>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p>
        </w:tc>
      </w:tr>
      <w:tr w:rsidR="008158B4" w:rsidRPr="006D597D" w:rsidTr="006658C8">
        <w:trPr>
          <w:jc w:val="center"/>
        </w:trPr>
        <w:tc>
          <w:tcPr>
            <w:cnfStyle w:val="001000000000"/>
            <w:tcW w:w="1327" w:type="dxa"/>
            <w:tcBorders>
              <w:top w:val="single" w:sz="4" w:space="0" w:color="auto"/>
              <w:left w:val="nil"/>
              <w:bottom w:val="nil"/>
            </w:tcBorders>
          </w:tcPr>
          <w:p w:rsidR="008158B4" w:rsidRPr="006D597D" w:rsidRDefault="008158B4" w:rsidP="008158B4">
            <w:pPr>
              <w:spacing w:line="276" w:lineRule="auto"/>
              <w:ind w:left="-57" w:right="-57"/>
              <w:jc w:val="both"/>
              <w:rPr>
                <w:sz w:val="20"/>
                <w:szCs w:val="20"/>
                <w:lang w:val="en-IN"/>
              </w:rPr>
            </w:pPr>
            <w:r w:rsidRPr="006D597D">
              <w:rPr>
                <w:sz w:val="20"/>
                <w:szCs w:val="20"/>
                <w:lang w:val="en-IN"/>
              </w:rPr>
              <w:t>Bidya</w:t>
            </w:r>
          </w:p>
        </w:tc>
        <w:tc>
          <w:tcPr>
            <w:tcW w:w="850" w:type="dxa"/>
            <w:tcBorders>
              <w:top w:val="single" w:sz="4" w:space="0" w:color="auto"/>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7.70</w:t>
            </w:r>
          </w:p>
        </w:tc>
        <w:tc>
          <w:tcPr>
            <w:tcW w:w="993" w:type="dxa"/>
            <w:tcBorders>
              <w:top w:val="single" w:sz="4" w:space="0" w:color="auto"/>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7.70</w:t>
            </w:r>
          </w:p>
        </w:tc>
        <w:tc>
          <w:tcPr>
            <w:tcW w:w="1134" w:type="dxa"/>
            <w:tcBorders>
              <w:top w:val="single" w:sz="4" w:space="0" w:color="auto"/>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5.25</w:t>
            </w:r>
          </w:p>
        </w:tc>
        <w:tc>
          <w:tcPr>
            <w:tcW w:w="992" w:type="dxa"/>
            <w:tcBorders>
              <w:top w:val="single" w:sz="4" w:space="0" w:color="auto"/>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0.666</w:t>
            </w:r>
          </w:p>
        </w:tc>
        <w:tc>
          <w:tcPr>
            <w:tcW w:w="567" w:type="dxa"/>
            <w:tcBorders>
              <w:top w:val="single" w:sz="4" w:space="0" w:color="auto"/>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14.13</w:t>
            </w:r>
          </w:p>
        </w:tc>
        <w:tc>
          <w:tcPr>
            <w:tcW w:w="567" w:type="dxa"/>
            <w:tcBorders>
              <w:top w:val="single" w:sz="4" w:space="0" w:color="auto"/>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56.90</w:t>
            </w:r>
          </w:p>
        </w:tc>
        <w:tc>
          <w:tcPr>
            <w:tcW w:w="709" w:type="dxa"/>
            <w:tcBorders>
              <w:top w:val="single" w:sz="4" w:space="0" w:color="auto"/>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28.93</w:t>
            </w:r>
          </w:p>
        </w:tc>
        <w:tc>
          <w:tcPr>
            <w:tcW w:w="1567" w:type="dxa"/>
            <w:tcBorders>
              <w:top w:val="single" w:sz="4" w:space="0" w:color="auto"/>
              <w:bottom w:val="nil"/>
              <w:right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Silty Clay Loam</w:t>
            </w:r>
          </w:p>
        </w:tc>
      </w:tr>
      <w:tr w:rsidR="008158B4" w:rsidRPr="006D597D" w:rsidTr="006658C8">
        <w:trPr>
          <w:cnfStyle w:val="000000100000"/>
          <w:jc w:val="center"/>
        </w:trPr>
        <w:tc>
          <w:tcPr>
            <w:cnfStyle w:val="001000000000"/>
            <w:tcW w:w="1327" w:type="dxa"/>
            <w:tcBorders>
              <w:top w:val="nil"/>
              <w:bottom w:val="nil"/>
            </w:tcBorders>
            <w:shd w:val="clear" w:color="auto" w:fill="auto"/>
          </w:tcPr>
          <w:p w:rsidR="008158B4" w:rsidRPr="006D597D" w:rsidRDefault="008158B4" w:rsidP="008158B4">
            <w:pPr>
              <w:spacing w:line="276" w:lineRule="auto"/>
              <w:ind w:left="-57" w:right="-57"/>
              <w:jc w:val="both"/>
              <w:rPr>
                <w:sz w:val="20"/>
                <w:szCs w:val="20"/>
                <w:lang w:val="en-IN"/>
              </w:rPr>
            </w:pPr>
            <w:r w:rsidRPr="006D597D">
              <w:rPr>
                <w:sz w:val="20"/>
                <w:szCs w:val="20"/>
                <w:lang w:val="en-IN"/>
              </w:rPr>
              <w:t>Sudhanyakhali</w:t>
            </w:r>
          </w:p>
        </w:tc>
        <w:tc>
          <w:tcPr>
            <w:tcW w:w="850"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7.96</w:t>
            </w:r>
          </w:p>
        </w:tc>
        <w:tc>
          <w:tcPr>
            <w:tcW w:w="993" w:type="dxa"/>
            <w:tcBorders>
              <w:top w:val="nil"/>
              <w:bottom w:val="nil"/>
            </w:tcBorders>
            <w:shd w:val="clear" w:color="auto" w:fill="auto"/>
          </w:tcPr>
          <w:p w:rsidR="008158B4" w:rsidRDefault="008158B4" w:rsidP="008158B4">
            <w:pPr>
              <w:spacing w:line="276" w:lineRule="auto"/>
              <w:ind w:left="-57" w:right="-57"/>
              <w:jc w:val="both"/>
              <w:cnfStyle w:val="000000100000"/>
              <w:rPr>
                <w:b/>
                <w:sz w:val="20"/>
                <w:szCs w:val="20"/>
                <w:lang w:val="en-IN"/>
              </w:rPr>
            </w:pPr>
            <w:r w:rsidRPr="006D597D">
              <w:rPr>
                <w:b/>
                <w:sz w:val="20"/>
                <w:szCs w:val="20"/>
                <w:lang w:val="en-IN"/>
              </w:rPr>
              <w:t>7.60</w:t>
            </w:r>
          </w:p>
          <w:p w:rsidR="00C41FBA" w:rsidRPr="006D597D" w:rsidRDefault="00C41FBA" w:rsidP="008158B4">
            <w:pPr>
              <w:spacing w:line="276" w:lineRule="auto"/>
              <w:ind w:left="-57" w:right="-57"/>
              <w:jc w:val="both"/>
              <w:cnfStyle w:val="000000100000"/>
              <w:rPr>
                <w:b/>
                <w:sz w:val="20"/>
                <w:szCs w:val="20"/>
                <w:lang w:val="en-IN"/>
              </w:rPr>
            </w:pPr>
          </w:p>
        </w:tc>
        <w:tc>
          <w:tcPr>
            <w:tcW w:w="1134"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4.10</w:t>
            </w:r>
          </w:p>
        </w:tc>
        <w:tc>
          <w:tcPr>
            <w:tcW w:w="992"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0.757</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19.00</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50.00</w:t>
            </w:r>
          </w:p>
        </w:tc>
        <w:tc>
          <w:tcPr>
            <w:tcW w:w="709"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31.01</w:t>
            </w:r>
          </w:p>
        </w:tc>
        <w:tc>
          <w:tcPr>
            <w:tcW w:w="156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rPr>
            </w:pPr>
            <w:r w:rsidRPr="006D597D">
              <w:rPr>
                <w:b/>
                <w:sz w:val="20"/>
                <w:szCs w:val="20"/>
                <w:lang w:val="en-IN"/>
              </w:rPr>
              <w:t>Silty Clay Loam</w:t>
            </w:r>
          </w:p>
        </w:tc>
      </w:tr>
      <w:tr w:rsidR="008158B4" w:rsidRPr="006D597D" w:rsidTr="006658C8">
        <w:trPr>
          <w:jc w:val="center"/>
        </w:trPr>
        <w:tc>
          <w:tcPr>
            <w:cnfStyle w:val="001000000000"/>
            <w:tcW w:w="1327" w:type="dxa"/>
            <w:tcBorders>
              <w:top w:val="nil"/>
              <w:left w:val="nil"/>
              <w:bottom w:val="nil"/>
            </w:tcBorders>
          </w:tcPr>
          <w:p w:rsidR="008158B4" w:rsidRPr="006D597D" w:rsidRDefault="008158B4" w:rsidP="008158B4">
            <w:pPr>
              <w:spacing w:line="276" w:lineRule="auto"/>
              <w:ind w:left="-57" w:right="-57"/>
              <w:jc w:val="both"/>
              <w:rPr>
                <w:sz w:val="20"/>
                <w:szCs w:val="20"/>
                <w:lang w:val="en-IN"/>
              </w:rPr>
            </w:pPr>
            <w:r w:rsidRPr="006D597D">
              <w:rPr>
                <w:sz w:val="20"/>
                <w:szCs w:val="20"/>
                <w:lang w:val="en-IN"/>
              </w:rPr>
              <w:t>Herobhanga</w:t>
            </w:r>
          </w:p>
        </w:tc>
        <w:tc>
          <w:tcPr>
            <w:tcW w:w="850"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8.00</w:t>
            </w:r>
          </w:p>
        </w:tc>
        <w:tc>
          <w:tcPr>
            <w:tcW w:w="993"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7.90</w:t>
            </w:r>
          </w:p>
        </w:tc>
        <w:tc>
          <w:tcPr>
            <w:tcW w:w="1134"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3.20</w:t>
            </w:r>
          </w:p>
        </w:tc>
        <w:tc>
          <w:tcPr>
            <w:tcW w:w="992"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0.651</w:t>
            </w:r>
          </w:p>
        </w:tc>
        <w:tc>
          <w:tcPr>
            <w:tcW w:w="567"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14.71</w:t>
            </w:r>
          </w:p>
        </w:tc>
        <w:tc>
          <w:tcPr>
            <w:tcW w:w="567"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52.44</w:t>
            </w:r>
          </w:p>
        </w:tc>
        <w:tc>
          <w:tcPr>
            <w:tcW w:w="709"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32.80</w:t>
            </w:r>
          </w:p>
        </w:tc>
        <w:tc>
          <w:tcPr>
            <w:tcW w:w="1567" w:type="dxa"/>
            <w:tcBorders>
              <w:top w:val="nil"/>
              <w:bottom w:val="nil"/>
              <w:right w:val="nil"/>
            </w:tcBorders>
          </w:tcPr>
          <w:p w:rsidR="008158B4" w:rsidRPr="006D597D" w:rsidRDefault="008158B4" w:rsidP="008158B4">
            <w:pPr>
              <w:spacing w:line="276" w:lineRule="auto"/>
              <w:ind w:left="-57" w:right="-57"/>
              <w:jc w:val="both"/>
              <w:cnfStyle w:val="000000000000"/>
              <w:rPr>
                <w:b/>
                <w:sz w:val="20"/>
                <w:szCs w:val="20"/>
              </w:rPr>
            </w:pPr>
            <w:r w:rsidRPr="006D597D">
              <w:rPr>
                <w:b/>
                <w:sz w:val="20"/>
                <w:szCs w:val="20"/>
                <w:lang w:val="en-IN"/>
              </w:rPr>
              <w:t>Silty Clay Loam</w:t>
            </w:r>
          </w:p>
        </w:tc>
      </w:tr>
      <w:tr w:rsidR="008158B4" w:rsidRPr="006D597D" w:rsidTr="006658C8">
        <w:trPr>
          <w:cnfStyle w:val="000000100000"/>
          <w:jc w:val="center"/>
        </w:trPr>
        <w:tc>
          <w:tcPr>
            <w:cnfStyle w:val="001000000000"/>
            <w:tcW w:w="1327" w:type="dxa"/>
            <w:tcBorders>
              <w:top w:val="nil"/>
              <w:bottom w:val="nil"/>
            </w:tcBorders>
            <w:shd w:val="clear" w:color="auto" w:fill="auto"/>
          </w:tcPr>
          <w:p w:rsidR="008158B4" w:rsidRPr="006D597D" w:rsidRDefault="008158B4" w:rsidP="008158B4">
            <w:pPr>
              <w:spacing w:line="276" w:lineRule="auto"/>
              <w:ind w:left="-57" w:right="-57"/>
              <w:jc w:val="both"/>
              <w:rPr>
                <w:sz w:val="20"/>
                <w:szCs w:val="20"/>
                <w:lang w:val="en-IN"/>
              </w:rPr>
            </w:pPr>
            <w:r w:rsidRPr="006D597D">
              <w:rPr>
                <w:sz w:val="20"/>
                <w:szCs w:val="20"/>
                <w:lang w:val="en-IN"/>
              </w:rPr>
              <w:t>Kultali</w:t>
            </w:r>
          </w:p>
        </w:tc>
        <w:tc>
          <w:tcPr>
            <w:tcW w:w="850"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7.84</w:t>
            </w:r>
          </w:p>
        </w:tc>
        <w:tc>
          <w:tcPr>
            <w:tcW w:w="993"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7.80</w:t>
            </w:r>
          </w:p>
        </w:tc>
        <w:tc>
          <w:tcPr>
            <w:tcW w:w="1134"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4.46</w:t>
            </w:r>
          </w:p>
        </w:tc>
        <w:tc>
          <w:tcPr>
            <w:tcW w:w="992"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0.696</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2.76</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63.62</w:t>
            </w:r>
          </w:p>
        </w:tc>
        <w:tc>
          <w:tcPr>
            <w:tcW w:w="709"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33.60</w:t>
            </w:r>
          </w:p>
        </w:tc>
        <w:tc>
          <w:tcPr>
            <w:tcW w:w="156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b/>
                <w:sz w:val="20"/>
                <w:szCs w:val="20"/>
              </w:rPr>
            </w:pPr>
            <w:r w:rsidRPr="006D597D">
              <w:rPr>
                <w:b/>
                <w:sz w:val="20"/>
                <w:szCs w:val="20"/>
                <w:lang w:val="en-IN"/>
              </w:rPr>
              <w:t>Silty Clay Loam</w:t>
            </w:r>
          </w:p>
        </w:tc>
      </w:tr>
      <w:tr w:rsidR="008158B4" w:rsidRPr="006D597D" w:rsidTr="006658C8">
        <w:trPr>
          <w:jc w:val="center"/>
        </w:trPr>
        <w:tc>
          <w:tcPr>
            <w:cnfStyle w:val="001000000000"/>
            <w:tcW w:w="1327" w:type="dxa"/>
            <w:tcBorders>
              <w:top w:val="nil"/>
              <w:left w:val="nil"/>
              <w:bottom w:val="nil"/>
            </w:tcBorders>
          </w:tcPr>
          <w:p w:rsidR="008158B4" w:rsidRPr="006D597D" w:rsidRDefault="008158B4" w:rsidP="008158B4">
            <w:pPr>
              <w:spacing w:line="276" w:lineRule="auto"/>
              <w:ind w:left="-57" w:right="-57"/>
              <w:jc w:val="both"/>
              <w:rPr>
                <w:sz w:val="20"/>
                <w:szCs w:val="20"/>
                <w:lang w:val="en-IN"/>
              </w:rPr>
            </w:pPr>
            <w:r w:rsidRPr="006D597D">
              <w:rPr>
                <w:sz w:val="20"/>
                <w:szCs w:val="20"/>
                <w:lang w:val="en-IN"/>
              </w:rPr>
              <w:t>Patharpratima</w:t>
            </w:r>
          </w:p>
        </w:tc>
        <w:tc>
          <w:tcPr>
            <w:tcW w:w="850"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7.70</w:t>
            </w:r>
          </w:p>
        </w:tc>
        <w:tc>
          <w:tcPr>
            <w:tcW w:w="993"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7.40</w:t>
            </w:r>
          </w:p>
        </w:tc>
        <w:tc>
          <w:tcPr>
            <w:tcW w:w="1134"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3.14</w:t>
            </w:r>
          </w:p>
        </w:tc>
        <w:tc>
          <w:tcPr>
            <w:tcW w:w="992"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0.621</w:t>
            </w:r>
          </w:p>
        </w:tc>
        <w:tc>
          <w:tcPr>
            <w:tcW w:w="567"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3.28</w:t>
            </w:r>
          </w:p>
        </w:tc>
        <w:tc>
          <w:tcPr>
            <w:tcW w:w="567"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68.97</w:t>
            </w:r>
          </w:p>
        </w:tc>
        <w:tc>
          <w:tcPr>
            <w:tcW w:w="709" w:type="dxa"/>
            <w:tcBorders>
              <w:top w:val="nil"/>
              <w:bottom w:val="nil"/>
            </w:tcBorders>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27.75</w:t>
            </w:r>
          </w:p>
        </w:tc>
        <w:tc>
          <w:tcPr>
            <w:tcW w:w="1567" w:type="dxa"/>
            <w:tcBorders>
              <w:top w:val="nil"/>
              <w:bottom w:val="nil"/>
              <w:right w:val="nil"/>
            </w:tcBorders>
          </w:tcPr>
          <w:p w:rsidR="008158B4" w:rsidRPr="006D597D" w:rsidRDefault="008158B4" w:rsidP="008158B4">
            <w:pPr>
              <w:spacing w:line="276" w:lineRule="auto"/>
              <w:ind w:left="-57" w:right="-57"/>
              <w:jc w:val="both"/>
              <w:cnfStyle w:val="000000000000"/>
              <w:rPr>
                <w:b/>
                <w:sz w:val="20"/>
                <w:szCs w:val="20"/>
              </w:rPr>
            </w:pPr>
            <w:r w:rsidRPr="006D597D">
              <w:rPr>
                <w:b/>
                <w:sz w:val="20"/>
                <w:szCs w:val="20"/>
                <w:lang w:val="en-IN"/>
              </w:rPr>
              <w:t>Silty Clay Loam</w:t>
            </w:r>
          </w:p>
        </w:tc>
      </w:tr>
      <w:tr w:rsidR="008158B4" w:rsidRPr="006D597D" w:rsidTr="006658C8">
        <w:trPr>
          <w:cnfStyle w:val="000000100000"/>
          <w:jc w:val="center"/>
        </w:trPr>
        <w:tc>
          <w:tcPr>
            <w:cnfStyle w:val="001000000000"/>
            <w:tcW w:w="1327" w:type="dxa"/>
            <w:tcBorders>
              <w:top w:val="nil"/>
              <w:bottom w:val="single" w:sz="4" w:space="0" w:color="auto"/>
            </w:tcBorders>
            <w:shd w:val="clear" w:color="auto" w:fill="auto"/>
          </w:tcPr>
          <w:p w:rsidR="008158B4" w:rsidRPr="006D597D" w:rsidRDefault="008158B4" w:rsidP="008158B4">
            <w:pPr>
              <w:spacing w:line="276" w:lineRule="auto"/>
              <w:ind w:left="-57" w:right="-57"/>
              <w:jc w:val="both"/>
              <w:rPr>
                <w:sz w:val="20"/>
                <w:szCs w:val="20"/>
                <w:lang w:val="en-IN"/>
              </w:rPr>
            </w:pPr>
            <w:r w:rsidRPr="006D597D">
              <w:rPr>
                <w:sz w:val="20"/>
                <w:szCs w:val="20"/>
                <w:lang w:val="en-IN"/>
              </w:rPr>
              <w:t>Netidhopani</w:t>
            </w:r>
          </w:p>
        </w:tc>
        <w:tc>
          <w:tcPr>
            <w:tcW w:w="850"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7.40</w:t>
            </w:r>
          </w:p>
        </w:tc>
        <w:tc>
          <w:tcPr>
            <w:tcW w:w="993"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7.35</w:t>
            </w:r>
          </w:p>
        </w:tc>
        <w:tc>
          <w:tcPr>
            <w:tcW w:w="1134"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3.33</w:t>
            </w:r>
          </w:p>
        </w:tc>
        <w:tc>
          <w:tcPr>
            <w:tcW w:w="992"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0.740</w:t>
            </w:r>
          </w:p>
        </w:tc>
        <w:tc>
          <w:tcPr>
            <w:tcW w:w="567"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37.50</w:t>
            </w:r>
          </w:p>
        </w:tc>
        <w:tc>
          <w:tcPr>
            <w:tcW w:w="567"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26.58</w:t>
            </w:r>
          </w:p>
        </w:tc>
        <w:tc>
          <w:tcPr>
            <w:tcW w:w="709"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35.89</w:t>
            </w:r>
          </w:p>
        </w:tc>
        <w:tc>
          <w:tcPr>
            <w:tcW w:w="1567"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Clay Loam</w:t>
            </w:r>
          </w:p>
        </w:tc>
      </w:tr>
    </w:tbl>
    <w:p w:rsidR="008158B4" w:rsidRPr="006D597D" w:rsidRDefault="008158B4" w:rsidP="008158B4">
      <w:pPr>
        <w:spacing w:after="0"/>
        <w:ind w:left="-57" w:right="-57"/>
        <w:jc w:val="center"/>
        <w:rPr>
          <w:sz w:val="24"/>
          <w:szCs w:val="24"/>
          <w:lang w:val="en-IN"/>
        </w:rPr>
      </w:pPr>
    </w:p>
    <w:p w:rsidR="008158B4" w:rsidRPr="006D597D" w:rsidRDefault="008158B4" w:rsidP="008158B4">
      <w:pPr>
        <w:spacing w:after="0"/>
        <w:ind w:left="-57" w:right="-57"/>
        <w:jc w:val="center"/>
        <w:rPr>
          <w:sz w:val="24"/>
          <w:szCs w:val="24"/>
          <w:lang w:val="en-IN"/>
        </w:rPr>
      </w:pPr>
      <w:r w:rsidRPr="006D597D">
        <w:rPr>
          <w:sz w:val="24"/>
          <w:szCs w:val="24"/>
          <w:lang w:val="en-IN"/>
        </w:rPr>
        <w:t>Table 2 : Physicochemical properties of different soils of Sunderban</w:t>
      </w:r>
    </w:p>
    <w:tbl>
      <w:tblPr>
        <w:tblStyle w:val="LightShading-Accent11"/>
        <w:tblW w:w="0" w:type="auto"/>
        <w:jc w:val="center"/>
        <w:tblLayout w:type="fixed"/>
        <w:tblLook w:val="04A0"/>
      </w:tblPr>
      <w:tblGrid>
        <w:gridCol w:w="1327"/>
        <w:gridCol w:w="854"/>
        <w:gridCol w:w="993"/>
        <w:gridCol w:w="1134"/>
        <w:gridCol w:w="992"/>
        <w:gridCol w:w="888"/>
      </w:tblGrid>
      <w:tr w:rsidR="008158B4" w:rsidRPr="006D597D" w:rsidTr="006658C8">
        <w:trPr>
          <w:cnfStyle w:val="100000000000"/>
          <w:trHeight w:val="820"/>
          <w:jc w:val="center"/>
        </w:trPr>
        <w:tc>
          <w:tcPr>
            <w:cnfStyle w:val="001000000000"/>
            <w:tcW w:w="1327" w:type="dxa"/>
          </w:tcPr>
          <w:p w:rsidR="008158B4" w:rsidRPr="006D597D" w:rsidRDefault="008158B4" w:rsidP="008158B4">
            <w:pPr>
              <w:spacing w:line="276" w:lineRule="auto"/>
              <w:ind w:left="-57" w:right="-57"/>
              <w:jc w:val="both"/>
              <w:rPr>
                <w:sz w:val="20"/>
                <w:szCs w:val="20"/>
                <w:lang w:val="en-IN"/>
              </w:rPr>
            </w:pPr>
            <w:r w:rsidRPr="006D597D">
              <w:rPr>
                <w:sz w:val="20"/>
                <w:szCs w:val="20"/>
                <w:lang w:val="en-IN"/>
              </w:rPr>
              <w:t>Place</w:t>
            </w:r>
          </w:p>
        </w:tc>
        <w:tc>
          <w:tcPr>
            <w:tcW w:w="854" w:type="dxa"/>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Percentage pore space</w:t>
            </w:r>
          </w:p>
        </w:tc>
        <w:tc>
          <w:tcPr>
            <w:tcW w:w="993" w:type="dxa"/>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Maximum water holding capacity</w:t>
            </w:r>
          </w:p>
        </w:tc>
        <w:tc>
          <w:tcPr>
            <w:tcW w:w="1134" w:type="dxa"/>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Bulk Density g/cm3</w:t>
            </w:r>
          </w:p>
        </w:tc>
        <w:tc>
          <w:tcPr>
            <w:tcW w:w="992" w:type="dxa"/>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 xml:space="preserve">Particle density </w:t>
            </w:r>
          </w:p>
        </w:tc>
        <w:tc>
          <w:tcPr>
            <w:tcW w:w="888" w:type="dxa"/>
          </w:tcPr>
          <w:p w:rsidR="008158B4" w:rsidRPr="006D597D" w:rsidRDefault="008158B4" w:rsidP="008158B4">
            <w:pPr>
              <w:spacing w:line="276" w:lineRule="auto"/>
              <w:ind w:left="-57" w:right="-57"/>
              <w:jc w:val="both"/>
              <w:cnfStyle w:val="100000000000"/>
              <w:rPr>
                <w:sz w:val="20"/>
                <w:szCs w:val="20"/>
                <w:lang w:val="en-IN"/>
              </w:rPr>
            </w:pPr>
            <w:r w:rsidRPr="006D597D">
              <w:rPr>
                <w:sz w:val="20"/>
                <w:szCs w:val="20"/>
                <w:lang w:val="en-IN"/>
              </w:rPr>
              <w:t>C.E.C(c mol/kg)</w:t>
            </w:r>
          </w:p>
        </w:tc>
      </w:tr>
      <w:tr w:rsidR="008158B4" w:rsidRPr="006D597D" w:rsidTr="006658C8">
        <w:trPr>
          <w:cnfStyle w:val="000000100000"/>
          <w:jc w:val="center"/>
        </w:trPr>
        <w:tc>
          <w:tcPr>
            <w:cnfStyle w:val="001000000000"/>
            <w:tcW w:w="1327" w:type="dxa"/>
            <w:shd w:val="clear" w:color="auto" w:fill="auto"/>
          </w:tcPr>
          <w:p w:rsidR="008158B4" w:rsidRPr="006D597D" w:rsidRDefault="008158B4" w:rsidP="008158B4">
            <w:pPr>
              <w:spacing w:line="276" w:lineRule="auto"/>
              <w:ind w:left="-57" w:right="-57"/>
              <w:jc w:val="both"/>
              <w:rPr>
                <w:sz w:val="20"/>
                <w:szCs w:val="20"/>
                <w:lang w:val="en-IN"/>
              </w:rPr>
            </w:pPr>
            <w:r w:rsidRPr="006D597D">
              <w:rPr>
                <w:sz w:val="20"/>
                <w:szCs w:val="20"/>
                <w:lang w:val="en-IN"/>
              </w:rPr>
              <w:t>Bidya</w:t>
            </w:r>
          </w:p>
        </w:tc>
        <w:tc>
          <w:tcPr>
            <w:tcW w:w="854"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56.79</w:t>
            </w:r>
          </w:p>
        </w:tc>
        <w:tc>
          <w:tcPr>
            <w:tcW w:w="993"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56.11</w:t>
            </w:r>
          </w:p>
        </w:tc>
        <w:tc>
          <w:tcPr>
            <w:tcW w:w="1134"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1.12</w:t>
            </w:r>
          </w:p>
        </w:tc>
        <w:tc>
          <w:tcPr>
            <w:tcW w:w="992"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2.59</w:t>
            </w:r>
          </w:p>
        </w:tc>
        <w:tc>
          <w:tcPr>
            <w:tcW w:w="888"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25.05</w:t>
            </w:r>
          </w:p>
        </w:tc>
      </w:tr>
      <w:tr w:rsidR="008158B4" w:rsidRPr="006D597D" w:rsidTr="006658C8">
        <w:trPr>
          <w:jc w:val="center"/>
        </w:trPr>
        <w:tc>
          <w:tcPr>
            <w:cnfStyle w:val="001000000000"/>
            <w:tcW w:w="1327" w:type="dxa"/>
          </w:tcPr>
          <w:p w:rsidR="008158B4" w:rsidRPr="006D597D" w:rsidRDefault="008158B4" w:rsidP="008158B4">
            <w:pPr>
              <w:spacing w:line="276" w:lineRule="auto"/>
              <w:ind w:left="-57" w:right="-57"/>
              <w:jc w:val="both"/>
              <w:rPr>
                <w:sz w:val="20"/>
                <w:szCs w:val="20"/>
                <w:lang w:val="en-IN"/>
              </w:rPr>
            </w:pPr>
            <w:r w:rsidRPr="006D597D">
              <w:rPr>
                <w:sz w:val="20"/>
                <w:szCs w:val="20"/>
                <w:lang w:val="en-IN"/>
              </w:rPr>
              <w:t>Sudhanyakhali</w:t>
            </w:r>
          </w:p>
        </w:tc>
        <w:tc>
          <w:tcPr>
            <w:tcW w:w="854"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57.45</w:t>
            </w:r>
          </w:p>
        </w:tc>
        <w:tc>
          <w:tcPr>
            <w:tcW w:w="993"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55.37</w:t>
            </w:r>
          </w:p>
        </w:tc>
        <w:tc>
          <w:tcPr>
            <w:tcW w:w="1134"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1.11</w:t>
            </w:r>
          </w:p>
        </w:tc>
        <w:tc>
          <w:tcPr>
            <w:tcW w:w="992"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2.61</w:t>
            </w:r>
          </w:p>
        </w:tc>
        <w:tc>
          <w:tcPr>
            <w:tcW w:w="888"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11.39</w:t>
            </w:r>
          </w:p>
        </w:tc>
      </w:tr>
      <w:tr w:rsidR="008158B4" w:rsidRPr="006D597D" w:rsidTr="006658C8">
        <w:trPr>
          <w:cnfStyle w:val="000000100000"/>
          <w:jc w:val="center"/>
        </w:trPr>
        <w:tc>
          <w:tcPr>
            <w:cnfStyle w:val="001000000000"/>
            <w:tcW w:w="1327" w:type="dxa"/>
            <w:shd w:val="clear" w:color="auto" w:fill="auto"/>
          </w:tcPr>
          <w:p w:rsidR="008158B4" w:rsidRPr="006D597D" w:rsidRDefault="008158B4" w:rsidP="008158B4">
            <w:pPr>
              <w:spacing w:line="276" w:lineRule="auto"/>
              <w:ind w:left="-57" w:right="-57"/>
              <w:jc w:val="both"/>
              <w:rPr>
                <w:sz w:val="20"/>
                <w:szCs w:val="20"/>
                <w:lang w:val="en-IN"/>
              </w:rPr>
            </w:pPr>
            <w:r w:rsidRPr="006D597D">
              <w:rPr>
                <w:sz w:val="20"/>
                <w:szCs w:val="20"/>
                <w:lang w:val="en-IN"/>
              </w:rPr>
              <w:t>Herobhanga</w:t>
            </w:r>
          </w:p>
        </w:tc>
        <w:tc>
          <w:tcPr>
            <w:tcW w:w="854"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64.65</w:t>
            </w:r>
          </w:p>
        </w:tc>
        <w:tc>
          <w:tcPr>
            <w:tcW w:w="993"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56.62</w:t>
            </w:r>
          </w:p>
        </w:tc>
        <w:tc>
          <w:tcPr>
            <w:tcW w:w="1134"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1.09</w:t>
            </w:r>
          </w:p>
        </w:tc>
        <w:tc>
          <w:tcPr>
            <w:tcW w:w="992"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3.08</w:t>
            </w:r>
          </w:p>
        </w:tc>
        <w:tc>
          <w:tcPr>
            <w:tcW w:w="888"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24.29</w:t>
            </w:r>
          </w:p>
        </w:tc>
      </w:tr>
      <w:tr w:rsidR="008158B4" w:rsidRPr="006D597D" w:rsidTr="006658C8">
        <w:trPr>
          <w:jc w:val="center"/>
        </w:trPr>
        <w:tc>
          <w:tcPr>
            <w:cnfStyle w:val="001000000000"/>
            <w:tcW w:w="1327" w:type="dxa"/>
          </w:tcPr>
          <w:p w:rsidR="008158B4" w:rsidRPr="006D597D" w:rsidRDefault="008158B4" w:rsidP="008158B4">
            <w:pPr>
              <w:spacing w:line="276" w:lineRule="auto"/>
              <w:ind w:left="-57" w:right="-57"/>
              <w:jc w:val="both"/>
              <w:rPr>
                <w:sz w:val="20"/>
                <w:szCs w:val="20"/>
                <w:lang w:val="en-IN"/>
              </w:rPr>
            </w:pPr>
            <w:r w:rsidRPr="006D597D">
              <w:rPr>
                <w:sz w:val="20"/>
                <w:szCs w:val="20"/>
                <w:lang w:val="en-IN"/>
              </w:rPr>
              <w:t>Kultali</w:t>
            </w:r>
          </w:p>
        </w:tc>
        <w:tc>
          <w:tcPr>
            <w:tcW w:w="854"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53.82</w:t>
            </w:r>
          </w:p>
        </w:tc>
        <w:tc>
          <w:tcPr>
            <w:tcW w:w="993"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49.85</w:t>
            </w:r>
          </w:p>
        </w:tc>
        <w:tc>
          <w:tcPr>
            <w:tcW w:w="1134"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1.14</w:t>
            </w:r>
          </w:p>
        </w:tc>
        <w:tc>
          <w:tcPr>
            <w:tcW w:w="992"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2.47</w:t>
            </w:r>
          </w:p>
        </w:tc>
        <w:tc>
          <w:tcPr>
            <w:tcW w:w="888"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25.04</w:t>
            </w:r>
          </w:p>
        </w:tc>
      </w:tr>
      <w:tr w:rsidR="008158B4" w:rsidRPr="006D597D" w:rsidTr="006658C8">
        <w:trPr>
          <w:cnfStyle w:val="000000100000"/>
          <w:jc w:val="center"/>
        </w:trPr>
        <w:tc>
          <w:tcPr>
            <w:cnfStyle w:val="001000000000"/>
            <w:tcW w:w="1327" w:type="dxa"/>
            <w:shd w:val="clear" w:color="auto" w:fill="auto"/>
          </w:tcPr>
          <w:p w:rsidR="008158B4" w:rsidRPr="006D597D" w:rsidRDefault="008158B4" w:rsidP="008158B4">
            <w:pPr>
              <w:spacing w:line="276" w:lineRule="auto"/>
              <w:ind w:left="-57" w:right="-57"/>
              <w:jc w:val="both"/>
              <w:rPr>
                <w:sz w:val="20"/>
                <w:szCs w:val="20"/>
                <w:lang w:val="en-IN"/>
              </w:rPr>
            </w:pPr>
            <w:r w:rsidRPr="006D597D">
              <w:rPr>
                <w:sz w:val="20"/>
                <w:szCs w:val="20"/>
                <w:lang w:val="en-IN"/>
              </w:rPr>
              <w:t>Patharpratima</w:t>
            </w:r>
          </w:p>
        </w:tc>
        <w:tc>
          <w:tcPr>
            <w:tcW w:w="854"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58.30</w:t>
            </w:r>
          </w:p>
        </w:tc>
        <w:tc>
          <w:tcPr>
            <w:tcW w:w="993"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57.57</w:t>
            </w:r>
          </w:p>
        </w:tc>
        <w:tc>
          <w:tcPr>
            <w:tcW w:w="1134"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1.10</w:t>
            </w:r>
          </w:p>
        </w:tc>
        <w:tc>
          <w:tcPr>
            <w:tcW w:w="992"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2.64</w:t>
            </w:r>
          </w:p>
        </w:tc>
        <w:tc>
          <w:tcPr>
            <w:tcW w:w="888" w:type="dxa"/>
            <w:shd w:val="clear" w:color="auto" w:fill="auto"/>
          </w:tcPr>
          <w:p w:rsidR="008158B4" w:rsidRPr="006D597D" w:rsidRDefault="008158B4" w:rsidP="008158B4">
            <w:pPr>
              <w:spacing w:line="276" w:lineRule="auto"/>
              <w:ind w:left="-57" w:right="-57"/>
              <w:jc w:val="both"/>
              <w:cnfStyle w:val="000000100000"/>
              <w:rPr>
                <w:b/>
                <w:sz w:val="20"/>
                <w:szCs w:val="20"/>
                <w:lang w:val="en-IN"/>
              </w:rPr>
            </w:pPr>
            <w:r w:rsidRPr="006D597D">
              <w:rPr>
                <w:b/>
                <w:sz w:val="20"/>
                <w:szCs w:val="20"/>
                <w:lang w:val="en-IN"/>
              </w:rPr>
              <w:t>21.31</w:t>
            </w:r>
          </w:p>
        </w:tc>
      </w:tr>
      <w:tr w:rsidR="008158B4" w:rsidRPr="006D597D" w:rsidTr="006658C8">
        <w:trPr>
          <w:jc w:val="center"/>
        </w:trPr>
        <w:tc>
          <w:tcPr>
            <w:cnfStyle w:val="001000000000"/>
            <w:tcW w:w="1327" w:type="dxa"/>
          </w:tcPr>
          <w:p w:rsidR="008158B4" w:rsidRPr="006D597D" w:rsidRDefault="008158B4" w:rsidP="008158B4">
            <w:pPr>
              <w:spacing w:line="276" w:lineRule="auto"/>
              <w:ind w:left="-57" w:right="-57"/>
              <w:jc w:val="both"/>
              <w:rPr>
                <w:sz w:val="20"/>
                <w:szCs w:val="20"/>
                <w:lang w:val="en-IN"/>
              </w:rPr>
            </w:pPr>
            <w:r w:rsidRPr="006D597D">
              <w:rPr>
                <w:sz w:val="20"/>
                <w:szCs w:val="20"/>
                <w:lang w:val="en-IN"/>
              </w:rPr>
              <w:t>Netidhopani</w:t>
            </w:r>
          </w:p>
        </w:tc>
        <w:tc>
          <w:tcPr>
            <w:tcW w:w="854"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59.81</w:t>
            </w:r>
          </w:p>
        </w:tc>
        <w:tc>
          <w:tcPr>
            <w:tcW w:w="993"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46.04</w:t>
            </w:r>
          </w:p>
        </w:tc>
        <w:tc>
          <w:tcPr>
            <w:tcW w:w="1134"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1.25</w:t>
            </w:r>
          </w:p>
        </w:tc>
        <w:tc>
          <w:tcPr>
            <w:tcW w:w="992"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3.11</w:t>
            </w:r>
          </w:p>
        </w:tc>
        <w:tc>
          <w:tcPr>
            <w:tcW w:w="888" w:type="dxa"/>
          </w:tcPr>
          <w:p w:rsidR="008158B4" w:rsidRPr="006D597D" w:rsidRDefault="008158B4" w:rsidP="008158B4">
            <w:pPr>
              <w:spacing w:line="276" w:lineRule="auto"/>
              <w:ind w:left="-57" w:right="-57"/>
              <w:jc w:val="both"/>
              <w:cnfStyle w:val="000000000000"/>
              <w:rPr>
                <w:b/>
                <w:sz w:val="20"/>
                <w:szCs w:val="20"/>
                <w:lang w:val="en-IN"/>
              </w:rPr>
            </w:pPr>
            <w:r w:rsidRPr="006D597D">
              <w:rPr>
                <w:b/>
                <w:sz w:val="20"/>
                <w:szCs w:val="20"/>
                <w:lang w:val="en-IN"/>
              </w:rPr>
              <w:t>32.41</w:t>
            </w:r>
          </w:p>
        </w:tc>
      </w:tr>
    </w:tbl>
    <w:p w:rsidR="008158B4" w:rsidRPr="006D597D" w:rsidRDefault="008158B4" w:rsidP="008158B4">
      <w:pPr>
        <w:spacing w:after="0"/>
        <w:ind w:left="-57" w:right="-57"/>
        <w:jc w:val="both"/>
        <w:rPr>
          <w:sz w:val="24"/>
          <w:szCs w:val="24"/>
          <w:lang w:val="en-IN"/>
        </w:rPr>
      </w:pPr>
      <w:r w:rsidRPr="006D597D">
        <w:rPr>
          <w:sz w:val="24"/>
          <w:szCs w:val="24"/>
          <w:lang w:val="en-IN"/>
        </w:rPr>
        <w:t>Percentage pore space, maximum water holding capacity, bulk density and particle of the soil once again did not show a great deal of variation. Percentage pore space ranged between 53.82 (Kultali) and 64.65 (Herobhanga). The range of maximum water holding capacity was from 46.04 (Netidhopani) and 57.57 (Patharpratima). Bulk density ranged between 1.09(g/cm</w:t>
      </w:r>
      <w:r w:rsidRPr="006D597D">
        <w:rPr>
          <w:sz w:val="24"/>
          <w:szCs w:val="24"/>
          <w:vertAlign w:val="superscript"/>
          <w:lang w:val="en-IN"/>
        </w:rPr>
        <w:t>3</w:t>
      </w:r>
      <w:r w:rsidRPr="006D597D">
        <w:rPr>
          <w:sz w:val="24"/>
          <w:szCs w:val="24"/>
          <w:lang w:val="en-IN"/>
        </w:rPr>
        <w:t>) (Hertobhanga) and 1.25 (Netidhopani). In case of particle density the lowest value noted was 2.59 in Bidya soil and highest 3.11 in Netidhopani soil. C.E.C however showed great deal of variation with soil. The lowest CEC of 11.39 was noted in Sudhayakhali soil. In Bidya, Herobhanga, Kultali and Pathapratima soil CEC is twice or more than twice than Sudhanyakhali soil.</w:t>
      </w:r>
    </w:p>
    <w:p w:rsidR="008158B4" w:rsidRPr="006D597D" w:rsidRDefault="008158B4" w:rsidP="008158B4">
      <w:pPr>
        <w:spacing w:after="0"/>
        <w:ind w:left="-57" w:right="-57"/>
        <w:jc w:val="center"/>
        <w:rPr>
          <w:b/>
          <w:sz w:val="24"/>
          <w:szCs w:val="24"/>
          <w:lang w:val="en-IN"/>
        </w:rPr>
      </w:pPr>
      <w:r w:rsidRPr="006D597D">
        <w:rPr>
          <w:b/>
          <w:sz w:val="24"/>
          <w:szCs w:val="24"/>
          <w:lang w:val="en-IN"/>
        </w:rPr>
        <w:t>Table: 3 Soil Urease activity</w:t>
      </w:r>
    </w:p>
    <w:tbl>
      <w:tblPr>
        <w:tblStyle w:val="LightShading-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134"/>
        <w:gridCol w:w="1417"/>
        <w:gridCol w:w="1276"/>
        <w:gridCol w:w="1701"/>
      </w:tblGrid>
      <w:tr w:rsidR="008158B4" w:rsidRPr="006D597D" w:rsidTr="006658C8">
        <w:trPr>
          <w:cnfStyle w:val="100000000000"/>
          <w:trHeight w:val="820"/>
          <w:jc w:val="center"/>
        </w:trPr>
        <w:tc>
          <w:tcPr>
            <w:cnfStyle w:val="001000000000"/>
            <w:tcW w:w="1668" w:type="dxa"/>
            <w:tcBorders>
              <w:top w:val="single" w:sz="4" w:space="0" w:color="auto"/>
              <w:bottom w:val="single" w:sz="4" w:space="0" w:color="auto"/>
            </w:tcBorders>
          </w:tcPr>
          <w:p w:rsidR="008158B4" w:rsidRPr="006D597D" w:rsidRDefault="008158B4" w:rsidP="008158B4">
            <w:pPr>
              <w:spacing w:line="276" w:lineRule="auto"/>
              <w:ind w:left="-57" w:right="-57"/>
              <w:jc w:val="both"/>
              <w:rPr>
                <w:color w:val="1F497D" w:themeColor="text2"/>
                <w:sz w:val="24"/>
                <w:szCs w:val="24"/>
                <w:lang w:val="en-IN"/>
              </w:rPr>
            </w:pPr>
            <w:r w:rsidRPr="006D597D">
              <w:rPr>
                <w:color w:val="1F497D" w:themeColor="text2"/>
                <w:sz w:val="24"/>
                <w:szCs w:val="24"/>
                <w:lang w:val="en-IN"/>
              </w:rPr>
              <w:t>Place</w:t>
            </w:r>
          </w:p>
        </w:tc>
        <w:tc>
          <w:tcPr>
            <w:tcW w:w="992" w:type="dxa"/>
            <w:tcBorders>
              <w:top w:val="single" w:sz="4" w:space="0" w:color="auto"/>
              <w:bottom w:val="single" w:sz="4" w:space="0" w:color="auto"/>
            </w:tcBorders>
          </w:tcPr>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Optical density</w:t>
            </w:r>
          </w:p>
        </w:tc>
        <w:tc>
          <w:tcPr>
            <w:tcW w:w="1134" w:type="dxa"/>
            <w:tcBorders>
              <w:top w:val="single" w:sz="4" w:space="0" w:color="auto"/>
              <w:bottom w:val="single" w:sz="4" w:space="0" w:color="auto"/>
            </w:tcBorders>
          </w:tcPr>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Total urea added</w:t>
            </w:r>
          </w:p>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 xml:space="preserve">(in </w:t>
            </w:r>
            <w:r w:rsidRPr="006D597D">
              <w:rPr>
                <w:color w:val="1F497D" w:themeColor="text2"/>
                <w:sz w:val="24"/>
                <w:szCs w:val="24"/>
                <w:shd w:val="clear" w:color="auto" w:fill="FFFFFF"/>
              </w:rPr>
              <w:t>µ</w:t>
            </w:r>
            <w:r w:rsidRPr="006D597D">
              <w:rPr>
                <w:color w:val="1F497D" w:themeColor="text2"/>
                <w:sz w:val="24"/>
                <w:szCs w:val="24"/>
                <w:lang w:val="en-IN"/>
              </w:rPr>
              <w:t>g)</w:t>
            </w:r>
          </w:p>
        </w:tc>
        <w:tc>
          <w:tcPr>
            <w:tcW w:w="1417" w:type="dxa"/>
            <w:tcBorders>
              <w:top w:val="single" w:sz="4" w:space="0" w:color="auto"/>
              <w:bottom w:val="single" w:sz="4" w:space="0" w:color="auto"/>
            </w:tcBorders>
          </w:tcPr>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Urea remaining</w:t>
            </w:r>
          </w:p>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 xml:space="preserve">(in </w:t>
            </w:r>
            <w:r w:rsidRPr="006D597D">
              <w:rPr>
                <w:color w:val="1F497D" w:themeColor="text2"/>
                <w:sz w:val="24"/>
                <w:szCs w:val="24"/>
                <w:shd w:val="clear" w:color="auto" w:fill="FFFFFF"/>
              </w:rPr>
              <w:t>µ</w:t>
            </w:r>
            <w:r w:rsidRPr="006D597D">
              <w:rPr>
                <w:color w:val="1F497D" w:themeColor="text2"/>
                <w:sz w:val="24"/>
                <w:szCs w:val="24"/>
                <w:lang w:val="en-IN"/>
              </w:rPr>
              <w:t>g)</w:t>
            </w:r>
          </w:p>
        </w:tc>
        <w:tc>
          <w:tcPr>
            <w:tcW w:w="1276" w:type="dxa"/>
            <w:tcBorders>
              <w:top w:val="single" w:sz="4" w:space="0" w:color="auto"/>
              <w:bottom w:val="single" w:sz="4" w:space="0" w:color="auto"/>
            </w:tcBorders>
          </w:tcPr>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Urea hydrolysed</w:t>
            </w:r>
          </w:p>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 xml:space="preserve">(in </w:t>
            </w:r>
            <w:r w:rsidRPr="006D597D">
              <w:rPr>
                <w:color w:val="232323"/>
                <w:sz w:val="24"/>
                <w:szCs w:val="24"/>
                <w:shd w:val="clear" w:color="auto" w:fill="FFFFFF"/>
              </w:rPr>
              <w:t>µ</w:t>
            </w:r>
            <w:r w:rsidRPr="006D597D">
              <w:rPr>
                <w:color w:val="1F497D" w:themeColor="text2"/>
                <w:sz w:val="24"/>
                <w:szCs w:val="24"/>
                <w:lang w:val="en-IN"/>
              </w:rPr>
              <w:t xml:space="preserve">g)  </w:t>
            </w:r>
          </w:p>
        </w:tc>
        <w:tc>
          <w:tcPr>
            <w:tcW w:w="1701" w:type="dxa"/>
            <w:tcBorders>
              <w:top w:val="single" w:sz="4" w:space="0" w:color="auto"/>
              <w:bottom w:val="single" w:sz="4" w:space="0" w:color="auto"/>
            </w:tcBorders>
          </w:tcPr>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Urease activity</w:t>
            </w:r>
          </w:p>
          <w:p w:rsidR="008158B4" w:rsidRPr="006D597D" w:rsidRDefault="008158B4" w:rsidP="008158B4">
            <w:pPr>
              <w:spacing w:line="276" w:lineRule="auto"/>
              <w:ind w:left="-57" w:right="-57"/>
              <w:jc w:val="both"/>
              <w:cnfStyle w:val="100000000000"/>
              <w:rPr>
                <w:color w:val="1F497D" w:themeColor="text2"/>
                <w:sz w:val="24"/>
                <w:szCs w:val="24"/>
                <w:lang w:val="en-IN"/>
              </w:rPr>
            </w:pPr>
            <w:r w:rsidRPr="006D597D">
              <w:rPr>
                <w:color w:val="1F497D" w:themeColor="text2"/>
                <w:sz w:val="24"/>
                <w:szCs w:val="24"/>
                <w:lang w:val="en-IN"/>
              </w:rPr>
              <w:t>(</w:t>
            </w:r>
            <w:r w:rsidRPr="006D597D">
              <w:rPr>
                <w:color w:val="1F497D" w:themeColor="text2"/>
                <w:sz w:val="24"/>
                <w:szCs w:val="24"/>
                <w:shd w:val="clear" w:color="auto" w:fill="FFFFFF"/>
              </w:rPr>
              <w:t>µ</w:t>
            </w:r>
            <w:r w:rsidRPr="006D597D">
              <w:rPr>
                <w:color w:val="1F497D" w:themeColor="text2"/>
                <w:sz w:val="24"/>
                <w:szCs w:val="24"/>
                <w:lang w:val="en-IN"/>
              </w:rPr>
              <w:t>g h</w:t>
            </w:r>
            <w:r w:rsidRPr="006D597D">
              <w:rPr>
                <w:color w:val="1F497D" w:themeColor="text2"/>
                <w:sz w:val="24"/>
                <w:szCs w:val="24"/>
                <w:vertAlign w:val="superscript"/>
                <w:lang w:val="en-IN"/>
              </w:rPr>
              <w:t>-1</w:t>
            </w:r>
            <w:r w:rsidRPr="006D597D">
              <w:rPr>
                <w:color w:val="1F497D" w:themeColor="text2"/>
                <w:sz w:val="24"/>
                <w:szCs w:val="24"/>
                <w:lang w:val="en-IN"/>
              </w:rPr>
              <w:t>/10 gm soil)</w:t>
            </w:r>
          </w:p>
        </w:tc>
      </w:tr>
      <w:tr w:rsidR="008158B4" w:rsidRPr="006D597D" w:rsidTr="006658C8">
        <w:trPr>
          <w:cnfStyle w:val="000000100000"/>
          <w:jc w:val="center"/>
        </w:trPr>
        <w:tc>
          <w:tcPr>
            <w:cnfStyle w:val="001000000000"/>
            <w:tcW w:w="1668" w:type="dxa"/>
            <w:tcBorders>
              <w:top w:val="single" w:sz="4" w:space="0" w:color="auto"/>
              <w:bottom w:val="nil"/>
            </w:tcBorders>
            <w:shd w:val="clear" w:color="auto" w:fill="auto"/>
          </w:tcPr>
          <w:p w:rsidR="008158B4" w:rsidRPr="006D597D" w:rsidRDefault="008158B4" w:rsidP="008158B4">
            <w:pPr>
              <w:spacing w:line="276" w:lineRule="auto"/>
              <w:ind w:left="-57" w:right="-57"/>
              <w:jc w:val="both"/>
              <w:rPr>
                <w:b w:val="0"/>
                <w:sz w:val="24"/>
                <w:szCs w:val="24"/>
                <w:lang w:val="en-IN"/>
              </w:rPr>
            </w:pPr>
            <w:r w:rsidRPr="006D597D">
              <w:rPr>
                <w:b w:val="0"/>
                <w:sz w:val="24"/>
                <w:szCs w:val="24"/>
                <w:lang w:val="en-IN"/>
              </w:rPr>
              <w:t>Bidya</w:t>
            </w:r>
          </w:p>
        </w:tc>
        <w:tc>
          <w:tcPr>
            <w:tcW w:w="992" w:type="dxa"/>
            <w:tcBorders>
              <w:top w:val="single" w:sz="4" w:space="0" w:color="auto"/>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0.31</w:t>
            </w:r>
          </w:p>
        </w:tc>
        <w:tc>
          <w:tcPr>
            <w:tcW w:w="1134" w:type="dxa"/>
            <w:tcBorders>
              <w:top w:val="single" w:sz="4" w:space="0" w:color="auto"/>
              <w:bottom w:val="nil"/>
            </w:tcBorders>
            <w:shd w:val="clear" w:color="auto" w:fill="auto"/>
          </w:tcPr>
          <w:p w:rsidR="008158B4" w:rsidRPr="006D597D" w:rsidRDefault="008158B4" w:rsidP="008158B4">
            <w:pPr>
              <w:spacing w:line="276" w:lineRule="auto"/>
              <w:ind w:left="-57" w:right="-57"/>
              <w:cnfStyle w:val="000000100000"/>
              <w:rPr>
                <w:sz w:val="24"/>
                <w:szCs w:val="24"/>
                <w:lang w:val="en-IN"/>
              </w:rPr>
            </w:pPr>
            <w:r w:rsidRPr="006D597D">
              <w:rPr>
                <w:sz w:val="24"/>
                <w:szCs w:val="24"/>
                <w:lang w:val="en-IN"/>
              </w:rPr>
              <w:t>70</w:t>
            </w:r>
          </w:p>
        </w:tc>
        <w:tc>
          <w:tcPr>
            <w:tcW w:w="1417" w:type="dxa"/>
            <w:tcBorders>
              <w:top w:val="single" w:sz="4" w:space="0" w:color="auto"/>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34</w:t>
            </w:r>
          </w:p>
        </w:tc>
        <w:tc>
          <w:tcPr>
            <w:tcW w:w="1276" w:type="dxa"/>
            <w:tcBorders>
              <w:top w:val="single" w:sz="4" w:space="0" w:color="auto"/>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36</w:t>
            </w:r>
          </w:p>
        </w:tc>
        <w:tc>
          <w:tcPr>
            <w:tcW w:w="1701" w:type="dxa"/>
            <w:tcBorders>
              <w:top w:val="single" w:sz="4" w:space="0" w:color="auto"/>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12</w:t>
            </w:r>
          </w:p>
        </w:tc>
      </w:tr>
      <w:tr w:rsidR="008158B4" w:rsidRPr="006D597D" w:rsidTr="006658C8">
        <w:trPr>
          <w:jc w:val="center"/>
        </w:trPr>
        <w:tc>
          <w:tcPr>
            <w:cnfStyle w:val="001000000000"/>
            <w:tcW w:w="1668" w:type="dxa"/>
            <w:tcBorders>
              <w:top w:val="nil"/>
              <w:left w:val="nil"/>
              <w:bottom w:val="nil"/>
              <w:right w:val="nil"/>
            </w:tcBorders>
          </w:tcPr>
          <w:p w:rsidR="008158B4" w:rsidRPr="006D597D" w:rsidRDefault="008158B4" w:rsidP="008158B4">
            <w:pPr>
              <w:spacing w:line="276" w:lineRule="auto"/>
              <w:ind w:left="-57" w:right="-57"/>
              <w:jc w:val="both"/>
              <w:rPr>
                <w:b w:val="0"/>
                <w:sz w:val="24"/>
                <w:szCs w:val="24"/>
                <w:lang w:val="en-IN"/>
              </w:rPr>
            </w:pPr>
            <w:r w:rsidRPr="006D597D">
              <w:rPr>
                <w:b w:val="0"/>
                <w:sz w:val="24"/>
                <w:szCs w:val="24"/>
                <w:lang w:val="en-IN"/>
              </w:rPr>
              <w:t>Sudhanyakhali</w:t>
            </w:r>
          </w:p>
        </w:tc>
        <w:tc>
          <w:tcPr>
            <w:tcW w:w="992"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0.62</w:t>
            </w:r>
          </w:p>
        </w:tc>
        <w:tc>
          <w:tcPr>
            <w:tcW w:w="1134" w:type="dxa"/>
            <w:tcBorders>
              <w:top w:val="nil"/>
              <w:left w:val="nil"/>
              <w:bottom w:val="nil"/>
              <w:right w:val="nil"/>
            </w:tcBorders>
          </w:tcPr>
          <w:p w:rsidR="008158B4" w:rsidRPr="006D597D" w:rsidRDefault="008158B4" w:rsidP="008158B4">
            <w:pPr>
              <w:spacing w:line="276" w:lineRule="auto"/>
              <w:ind w:left="-57" w:right="-57"/>
              <w:cnfStyle w:val="000000000000"/>
              <w:rPr>
                <w:sz w:val="24"/>
                <w:szCs w:val="24"/>
                <w:lang w:val="en-IN"/>
              </w:rPr>
            </w:pPr>
            <w:r w:rsidRPr="006D597D">
              <w:rPr>
                <w:sz w:val="24"/>
                <w:szCs w:val="24"/>
                <w:lang w:val="en-IN"/>
              </w:rPr>
              <w:t>70</w:t>
            </w:r>
          </w:p>
        </w:tc>
        <w:tc>
          <w:tcPr>
            <w:tcW w:w="1417"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67</w:t>
            </w:r>
          </w:p>
        </w:tc>
        <w:tc>
          <w:tcPr>
            <w:tcW w:w="1276"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3</w:t>
            </w:r>
          </w:p>
        </w:tc>
        <w:tc>
          <w:tcPr>
            <w:tcW w:w="1701"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0.25</w:t>
            </w:r>
          </w:p>
        </w:tc>
      </w:tr>
      <w:tr w:rsidR="008158B4" w:rsidRPr="006D597D" w:rsidTr="006658C8">
        <w:trPr>
          <w:cnfStyle w:val="000000100000"/>
          <w:jc w:val="center"/>
        </w:trPr>
        <w:tc>
          <w:tcPr>
            <w:cnfStyle w:val="001000000000"/>
            <w:tcW w:w="1668" w:type="dxa"/>
            <w:tcBorders>
              <w:top w:val="nil"/>
              <w:bottom w:val="nil"/>
            </w:tcBorders>
            <w:shd w:val="clear" w:color="auto" w:fill="auto"/>
          </w:tcPr>
          <w:p w:rsidR="008158B4" w:rsidRPr="006D597D" w:rsidRDefault="008158B4" w:rsidP="008158B4">
            <w:pPr>
              <w:spacing w:line="276" w:lineRule="auto"/>
              <w:ind w:left="-57" w:right="-57"/>
              <w:jc w:val="both"/>
              <w:rPr>
                <w:b w:val="0"/>
                <w:sz w:val="24"/>
                <w:szCs w:val="24"/>
                <w:lang w:val="en-IN"/>
              </w:rPr>
            </w:pPr>
            <w:r w:rsidRPr="006D597D">
              <w:rPr>
                <w:b w:val="0"/>
                <w:sz w:val="24"/>
                <w:szCs w:val="24"/>
                <w:lang w:val="en-IN"/>
              </w:rPr>
              <w:t>Herobhanga</w:t>
            </w:r>
          </w:p>
        </w:tc>
        <w:tc>
          <w:tcPr>
            <w:tcW w:w="992"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0.27</w:t>
            </w:r>
          </w:p>
        </w:tc>
        <w:tc>
          <w:tcPr>
            <w:tcW w:w="1134" w:type="dxa"/>
            <w:tcBorders>
              <w:top w:val="nil"/>
              <w:bottom w:val="nil"/>
            </w:tcBorders>
            <w:shd w:val="clear" w:color="auto" w:fill="auto"/>
          </w:tcPr>
          <w:p w:rsidR="008158B4" w:rsidRPr="006D597D" w:rsidRDefault="008158B4" w:rsidP="008158B4">
            <w:pPr>
              <w:spacing w:line="276" w:lineRule="auto"/>
              <w:ind w:left="-57" w:right="-57"/>
              <w:cnfStyle w:val="000000100000"/>
              <w:rPr>
                <w:sz w:val="24"/>
                <w:szCs w:val="24"/>
              </w:rPr>
            </w:pPr>
            <w:r w:rsidRPr="006D597D">
              <w:rPr>
                <w:sz w:val="24"/>
                <w:szCs w:val="24"/>
                <w:lang w:val="en-IN"/>
              </w:rPr>
              <w:t>70</w:t>
            </w:r>
          </w:p>
        </w:tc>
        <w:tc>
          <w:tcPr>
            <w:tcW w:w="141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30</w:t>
            </w:r>
          </w:p>
        </w:tc>
        <w:tc>
          <w:tcPr>
            <w:tcW w:w="1276"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40</w:t>
            </w:r>
          </w:p>
        </w:tc>
        <w:tc>
          <w:tcPr>
            <w:tcW w:w="1701"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13.33</w:t>
            </w:r>
          </w:p>
        </w:tc>
      </w:tr>
      <w:tr w:rsidR="008158B4" w:rsidRPr="006D597D" w:rsidTr="006658C8">
        <w:trPr>
          <w:jc w:val="center"/>
        </w:trPr>
        <w:tc>
          <w:tcPr>
            <w:cnfStyle w:val="001000000000"/>
            <w:tcW w:w="1668" w:type="dxa"/>
            <w:tcBorders>
              <w:top w:val="nil"/>
              <w:left w:val="nil"/>
              <w:bottom w:val="nil"/>
              <w:right w:val="nil"/>
            </w:tcBorders>
          </w:tcPr>
          <w:p w:rsidR="008158B4" w:rsidRPr="006D597D" w:rsidRDefault="008158B4" w:rsidP="008158B4">
            <w:pPr>
              <w:spacing w:line="276" w:lineRule="auto"/>
              <w:ind w:left="-57" w:right="-57"/>
              <w:jc w:val="both"/>
              <w:rPr>
                <w:b w:val="0"/>
                <w:sz w:val="24"/>
                <w:szCs w:val="24"/>
                <w:lang w:val="en-IN"/>
              </w:rPr>
            </w:pPr>
            <w:r w:rsidRPr="006D597D">
              <w:rPr>
                <w:b w:val="0"/>
                <w:sz w:val="24"/>
                <w:szCs w:val="24"/>
                <w:lang w:val="en-IN"/>
              </w:rPr>
              <w:t>Kultali</w:t>
            </w:r>
          </w:p>
        </w:tc>
        <w:tc>
          <w:tcPr>
            <w:tcW w:w="992"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0.32</w:t>
            </w:r>
          </w:p>
        </w:tc>
        <w:tc>
          <w:tcPr>
            <w:tcW w:w="1134" w:type="dxa"/>
            <w:tcBorders>
              <w:top w:val="nil"/>
              <w:left w:val="nil"/>
              <w:bottom w:val="nil"/>
              <w:right w:val="nil"/>
            </w:tcBorders>
          </w:tcPr>
          <w:p w:rsidR="008158B4" w:rsidRPr="006D597D" w:rsidRDefault="008158B4" w:rsidP="008158B4">
            <w:pPr>
              <w:spacing w:line="276" w:lineRule="auto"/>
              <w:ind w:left="-57" w:right="-57"/>
              <w:cnfStyle w:val="000000000000"/>
              <w:rPr>
                <w:sz w:val="24"/>
                <w:szCs w:val="24"/>
              </w:rPr>
            </w:pPr>
            <w:r w:rsidRPr="006D597D">
              <w:rPr>
                <w:sz w:val="24"/>
                <w:szCs w:val="24"/>
                <w:lang w:val="en-IN"/>
              </w:rPr>
              <w:t>70</w:t>
            </w:r>
          </w:p>
        </w:tc>
        <w:tc>
          <w:tcPr>
            <w:tcW w:w="1417"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35</w:t>
            </w:r>
          </w:p>
        </w:tc>
        <w:tc>
          <w:tcPr>
            <w:tcW w:w="1276"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35</w:t>
            </w:r>
          </w:p>
        </w:tc>
        <w:tc>
          <w:tcPr>
            <w:tcW w:w="1701" w:type="dxa"/>
            <w:tcBorders>
              <w:top w:val="nil"/>
              <w:left w:val="nil"/>
              <w:bottom w:val="nil"/>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11.66</w:t>
            </w:r>
          </w:p>
        </w:tc>
      </w:tr>
      <w:tr w:rsidR="008158B4" w:rsidRPr="006D597D" w:rsidTr="006658C8">
        <w:trPr>
          <w:cnfStyle w:val="000000100000"/>
          <w:jc w:val="center"/>
        </w:trPr>
        <w:tc>
          <w:tcPr>
            <w:cnfStyle w:val="001000000000"/>
            <w:tcW w:w="1668" w:type="dxa"/>
            <w:tcBorders>
              <w:top w:val="nil"/>
              <w:bottom w:val="nil"/>
            </w:tcBorders>
            <w:shd w:val="clear" w:color="auto" w:fill="auto"/>
          </w:tcPr>
          <w:p w:rsidR="008158B4" w:rsidRPr="006D597D" w:rsidRDefault="008158B4" w:rsidP="008158B4">
            <w:pPr>
              <w:spacing w:line="276" w:lineRule="auto"/>
              <w:ind w:left="-57" w:right="-57"/>
              <w:jc w:val="both"/>
              <w:rPr>
                <w:b w:val="0"/>
                <w:sz w:val="24"/>
                <w:szCs w:val="24"/>
                <w:lang w:val="en-IN"/>
              </w:rPr>
            </w:pPr>
            <w:r w:rsidRPr="006D597D">
              <w:rPr>
                <w:b w:val="0"/>
                <w:sz w:val="24"/>
                <w:szCs w:val="24"/>
                <w:lang w:val="en-IN"/>
              </w:rPr>
              <w:t>Patharpratima</w:t>
            </w:r>
          </w:p>
        </w:tc>
        <w:tc>
          <w:tcPr>
            <w:tcW w:w="992"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0.35</w:t>
            </w:r>
          </w:p>
        </w:tc>
        <w:tc>
          <w:tcPr>
            <w:tcW w:w="1134" w:type="dxa"/>
            <w:tcBorders>
              <w:top w:val="nil"/>
              <w:bottom w:val="nil"/>
            </w:tcBorders>
            <w:shd w:val="clear" w:color="auto" w:fill="auto"/>
          </w:tcPr>
          <w:p w:rsidR="008158B4" w:rsidRPr="006D597D" w:rsidRDefault="008158B4" w:rsidP="008158B4">
            <w:pPr>
              <w:spacing w:line="276" w:lineRule="auto"/>
              <w:ind w:left="-57" w:right="-57"/>
              <w:cnfStyle w:val="000000100000"/>
              <w:rPr>
                <w:sz w:val="24"/>
                <w:szCs w:val="24"/>
              </w:rPr>
            </w:pPr>
            <w:r w:rsidRPr="006D597D">
              <w:rPr>
                <w:sz w:val="24"/>
                <w:szCs w:val="24"/>
                <w:lang w:val="en-IN"/>
              </w:rPr>
              <w:t>70</w:t>
            </w:r>
          </w:p>
        </w:tc>
        <w:tc>
          <w:tcPr>
            <w:tcW w:w="1417"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38</w:t>
            </w:r>
          </w:p>
        </w:tc>
        <w:tc>
          <w:tcPr>
            <w:tcW w:w="1276"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32</w:t>
            </w:r>
          </w:p>
        </w:tc>
        <w:tc>
          <w:tcPr>
            <w:tcW w:w="1701" w:type="dxa"/>
            <w:tcBorders>
              <w:top w:val="nil"/>
              <w:bottom w:val="nil"/>
            </w:tcBorders>
            <w:shd w:val="clear" w:color="auto" w:fill="auto"/>
          </w:tcPr>
          <w:p w:rsidR="008158B4" w:rsidRPr="006D597D" w:rsidRDefault="008158B4" w:rsidP="008158B4">
            <w:pPr>
              <w:spacing w:line="276" w:lineRule="auto"/>
              <w:ind w:left="-57" w:right="-57"/>
              <w:jc w:val="both"/>
              <w:cnfStyle w:val="000000100000"/>
              <w:rPr>
                <w:sz w:val="24"/>
                <w:szCs w:val="24"/>
                <w:lang w:val="en-IN"/>
              </w:rPr>
            </w:pPr>
            <w:r w:rsidRPr="006D597D">
              <w:rPr>
                <w:sz w:val="24"/>
                <w:szCs w:val="24"/>
                <w:lang w:val="en-IN"/>
              </w:rPr>
              <w:t>10.66</w:t>
            </w:r>
          </w:p>
        </w:tc>
      </w:tr>
      <w:tr w:rsidR="008158B4" w:rsidRPr="006D597D" w:rsidTr="006658C8">
        <w:trPr>
          <w:jc w:val="center"/>
        </w:trPr>
        <w:tc>
          <w:tcPr>
            <w:cnfStyle w:val="001000000000"/>
            <w:tcW w:w="1668" w:type="dxa"/>
            <w:tcBorders>
              <w:top w:val="nil"/>
              <w:left w:val="nil"/>
              <w:bottom w:val="single" w:sz="4" w:space="0" w:color="auto"/>
              <w:right w:val="nil"/>
            </w:tcBorders>
          </w:tcPr>
          <w:p w:rsidR="008158B4" w:rsidRPr="006D597D" w:rsidRDefault="008158B4" w:rsidP="008158B4">
            <w:pPr>
              <w:spacing w:line="276" w:lineRule="auto"/>
              <w:ind w:left="-57" w:right="-57"/>
              <w:jc w:val="both"/>
              <w:rPr>
                <w:b w:val="0"/>
                <w:sz w:val="24"/>
                <w:szCs w:val="24"/>
                <w:lang w:val="en-IN"/>
              </w:rPr>
            </w:pPr>
            <w:r w:rsidRPr="006D597D">
              <w:rPr>
                <w:b w:val="0"/>
                <w:sz w:val="24"/>
                <w:szCs w:val="24"/>
                <w:lang w:val="en-IN"/>
              </w:rPr>
              <w:lastRenderedPageBreak/>
              <w:t>Netidhopani</w:t>
            </w:r>
          </w:p>
        </w:tc>
        <w:tc>
          <w:tcPr>
            <w:tcW w:w="992" w:type="dxa"/>
            <w:tcBorders>
              <w:top w:val="nil"/>
              <w:left w:val="nil"/>
              <w:bottom w:val="single" w:sz="4" w:space="0" w:color="auto"/>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0.40</w:t>
            </w:r>
          </w:p>
        </w:tc>
        <w:tc>
          <w:tcPr>
            <w:tcW w:w="1134" w:type="dxa"/>
            <w:tcBorders>
              <w:top w:val="nil"/>
              <w:left w:val="nil"/>
              <w:bottom w:val="single" w:sz="4" w:space="0" w:color="auto"/>
              <w:right w:val="nil"/>
            </w:tcBorders>
          </w:tcPr>
          <w:p w:rsidR="008158B4" w:rsidRPr="006D597D" w:rsidRDefault="008158B4" w:rsidP="008158B4">
            <w:pPr>
              <w:spacing w:line="276" w:lineRule="auto"/>
              <w:ind w:left="-57" w:right="-57"/>
              <w:cnfStyle w:val="000000000000"/>
              <w:rPr>
                <w:sz w:val="24"/>
                <w:szCs w:val="24"/>
              </w:rPr>
            </w:pPr>
            <w:r w:rsidRPr="006D597D">
              <w:rPr>
                <w:sz w:val="24"/>
                <w:szCs w:val="24"/>
                <w:lang w:val="en-IN"/>
              </w:rPr>
              <w:t>70</w:t>
            </w:r>
          </w:p>
        </w:tc>
        <w:tc>
          <w:tcPr>
            <w:tcW w:w="1417" w:type="dxa"/>
            <w:tcBorders>
              <w:top w:val="nil"/>
              <w:left w:val="nil"/>
              <w:bottom w:val="single" w:sz="4" w:space="0" w:color="auto"/>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44</w:t>
            </w:r>
          </w:p>
        </w:tc>
        <w:tc>
          <w:tcPr>
            <w:tcW w:w="1276" w:type="dxa"/>
            <w:tcBorders>
              <w:top w:val="nil"/>
              <w:left w:val="nil"/>
              <w:bottom w:val="single" w:sz="4" w:space="0" w:color="auto"/>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26</w:t>
            </w:r>
          </w:p>
        </w:tc>
        <w:tc>
          <w:tcPr>
            <w:tcW w:w="1701" w:type="dxa"/>
            <w:tcBorders>
              <w:top w:val="nil"/>
              <w:left w:val="nil"/>
              <w:bottom w:val="single" w:sz="4" w:space="0" w:color="auto"/>
              <w:right w:val="nil"/>
            </w:tcBorders>
          </w:tcPr>
          <w:p w:rsidR="008158B4" w:rsidRPr="006D597D" w:rsidRDefault="008158B4" w:rsidP="008158B4">
            <w:pPr>
              <w:spacing w:line="276" w:lineRule="auto"/>
              <w:ind w:left="-57" w:right="-57"/>
              <w:jc w:val="both"/>
              <w:cnfStyle w:val="000000000000"/>
              <w:rPr>
                <w:sz w:val="24"/>
                <w:szCs w:val="24"/>
                <w:lang w:val="en-IN"/>
              </w:rPr>
            </w:pPr>
            <w:r w:rsidRPr="006D597D">
              <w:rPr>
                <w:sz w:val="24"/>
                <w:szCs w:val="24"/>
                <w:lang w:val="en-IN"/>
              </w:rPr>
              <w:t>8.66</w:t>
            </w:r>
          </w:p>
        </w:tc>
      </w:tr>
    </w:tbl>
    <w:p w:rsidR="008158B4" w:rsidRPr="006D597D" w:rsidRDefault="008158B4" w:rsidP="008158B4">
      <w:pPr>
        <w:spacing w:after="0"/>
        <w:ind w:left="-57" w:right="-57"/>
        <w:jc w:val="both"/>
        <w:rPr>
          <w:sz w:val="24"/>
          <w:szCs w:val="24"/>
          <w:lang w:val="en-IN"/>
        </w:rPr>
      </w:pPr>
      <w:r w:rsidRPr="006D597D">
        <w:rPr>
          <w:sz w:val="24"/>
          <w:szCs w:val="24"/>
          <w:lang w:val="en-IN"/>
        </w:rPr>
        <w:t xml:space="preserve">Urease activity data are given in Table 3. The lowest urease activity (0.25 </w:t>
      </w:r>
      <w:r w:rsidRPr="006D597D">
        <w:rPr>
          <w:color w:val="232323"/>
          <w:sz w:val="24"/>
          <w:szCs w:val="24"/>
          <w:shd w:val="clear" w:color="auto" w:fill="FFFFFF"/>
        </w:rPr>
        <w:t>µ</w:t>
      </w:r>
      <w:r w:rsidRPr="006D597D">
        <w:rPr>
          <w:sz w:val="24"/>
          <w:szCs w:val="24"/>
          <w:lang w:val="en-IN"/>
        </w:rPr>
        <w:t>g urea hydrolysed per 10 g soil) was recorded in Sudhanyakhali soil and this value is almost 134</w:t>
      </w:r>
      <w:r w:rsidRPr="006D597D">
        <w:rPr>
          <w:sz w:val="24"/>
          <w:szCs w:val="24"/>
          <w:vertAlign w:val="superscript"/>
          <w:lang w:val="en-IN"/>
        </w:rPr>
        <w:t>th</w:t>
      </w:r>
      <w:r w:rsidRPr="006D597D">
        <w:rPr>
          <w:sz w:val="24"/>
          <w:szCs w:val="24"/>
          <w:lang w:val="en-IN"/>
        </w:rPr>
        <w:t xml:space="preserve"> of the next value of urease activity (8.6</w:t>
      </w:r>
      <w:r w:rsidRPr="006D597D">
        <w:rPr>
          <w:b/>
          <w:bCs/>
          <w:sz w:val="24"/>
          <w:szCs w:val="24"/>
        </w:rPr>
        <w:t xml:space="preserve"> µ</w:t>
      </w:r>
      <w:r w:rsidRPr="006D597D">
        <w:rPr>
          <w:sz w:val="24"/>
          <w:szCs w:val="24"/>
          <w:lang w:val="en-IN"/>
        </w:rPr>
        <w:t>g/h /10 gm soil) noted in Netidhopani Soil. The rest soils have more or less similar urease activity. Thus very low urease activity of Sudhanyakhali soil is quite distinct.</w:t>
      </w:r>
    </w:p>
    <w:p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cs="Times New Roman"/>
          <w:sz w:val="24"/>
          <w:szCs w:val="24"/>
        </w:rPr>
        <w:t xml:space="preserve">When urease activity was plotted against </w:t>
      </w:r>
      <w:r w:rsidRPr="006D597D">
        <w:rPr>
          <w:rFonts w:eastAsia="Times New Roman" w:cs="Calibri"/>
          <w:color w:val="000000"/>
          <w:sz w:val="24"/>
          <w:szCs w:val="24"/>
        </w:rPr>
        <w:t xml:space="preserve">Clay % </w:t>
      </w:r>
      <w:r w:rsidRPr="006D597D">
        <w:rPr>
          <w:rFonts w:cs="Times New Roman"/>
          <w:sz w:val="24"/>
          <w:szCs w:val="24"/>
        </w:rPr>
        <w:t>, was observed (</w:t>
      </w:r>
      <w:r w:rsidRPr="006D597D">
        <w:rPr>
          <w:rFonts w:cs="Times New Roman"/>
          <w:b/>
          <w:sz w:val="24"/>
          <w:szCs w:val="24"/>
        </w:rPr>
        <w:t xml:space="preserve">Figure 1) </w:t>
      </w:r>
      <w:r w:rsidRPr="006D597D">
        <w:rPr>
          <w:rFonts w:cs="Times New Roman"/>
          <w:sz w:val="24"/>
          <w:szCs w:val="24"/>
        </w:rPr>
        <w:t xml:space="preserve">no significant correlation ( r = </w:t>
      </w:r>
      <w:r w:rsidRPr="006D597D">
        <w:rPr>
          <w:rFonts w:ascii="Calibri" w:eastAsia="Times New Roman" w:hAnsi="Calibri" w:cs="Times New Roman"/>
          <w:color w:val="000000"/>
          <w:sz w:val="24"/>
          <w:szCs w:val="24"/>
          <w:lang w:val="en-IN" w:eastAsia="en-IN"/>
        </w:rPr>
        <w:t>0.515703587),</w:t>
      </w:r>
      <w:r w:rsidRPr="006D597D">
        <w:rPr>
          <w:rFonts w:eastAsia="Times New Roman" w:cs="Times New Roman"/>
          <w:sz w:val="24"/>
          <w:szCs w:val="24"/>
          <w:lang w:val="en-IN" w:eastAsia="en-IN"/>
        </w:rPr>
        <w:t xml:space="preserve">at </w:t>
      </w:r>
      <w:r w:rsidRPr="006D597D">
        <w:rPr>
          <w:rFonts w:cs="Times New Roman"/>
          <w:sz w:val="24"/>
          <w:szCs w:val="24"/>
        </w:rPr>
        <w:t>P = 0.2950 which is greater than 0.05 (P&lt;0.05), statistically not significant at 5</w:t>
      </w:r>
      <w:r w:rsidRPr="006D597D">
        <w:rPr>
          <w:rFonts w:eastAsia="Times New Roman" w:cs="Times New Roman"/>
          <w:sz w:val="24"/>
          <w:szCs w:val="24"/>
          <w:lang w:val="en-IN" w:eastAsia="en-IN"/>
        </w:rPr>
        <w:t xml:space="preserve">% level was found. </w:t>
      </w:r>
    </w:p>
    <w:p w:rsidR="008158B4" w:rsidRPr="006D597D" w:rsidRDefault="008158B4" w:rsidP="008158B4">
      <w:pPr>
        <w:autoSpaceDE w:val="0"/>
        <w:autoSpaceDN w:val="0"/>
        <w:adjustRightInd w:val="0"/>
        <w:spacing w:after="0"/>
        <w:ind w:left="-57" w:right="-57"/>
        <w:jc w:val="center"/>
        <w:rPr>
          <w:rFonts w:eastAsia="Times New Roman" w:cs="Times New Roman"/>
          <w:b/>
          <w:sz w:val="24"/>
          <w:szCs w:val="24"/>
          <w:lang w:val="en-IN" w:eastAsia="en-IN"/>
        </w:rPr>
      </w:pPr>
      <w:r w:rsidRPr="006D597D">
        <w:rPr>
          <w:rFonts w:eastAsia="Times New Roman" w:cs="Times New Roman"/>
          <w:b/>
          <w:sz w:val="24"/>
          <w:szCs w:val="24"/>
          <w:lang w:val="en-IN" w:eastAsia="en-IN"/>
        </w:rPr>
        <w:t>Figure-1: Scattered diagram showing relationship between clay %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rPr>
        <w:drawing>
          <wp:inline distT="0" distB="0" distL="0" distR="0">
            <wp:extent cx="4698460" cy="2227634"/>
            <wp:effectExtent l="0" t="0" r="698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eastAsia="Times New Roman" w:cs="Times New Roman"/>
          <w:sz w:val="24"/>
          <w:szCs w:val="24"/>
          <w:lang w:val="en-IN" w:eastAsia="en-IN"/>
        </w:rPr>
        <w:t xml:space="preserve">Similar no correlation between urease activity and CEC ( at r = </w:t>
      </w:r>
      <w:r w:rsidRPr="006D597D">
        <w:rPr>
          <w:rFonts w:ascii="Calibri" w:eastAsia="Times New Roman" w:hAnsi="Calibri" w:cs="Times New Roman"/>
          <w:color w:val="000000"/>
          <w:sz w:val="24"/>
          <w:szCs w:val="24"/>
          <w:lang w:val="en-IN" w:eastAsia="en-IN"/>
        </w:rPr>
        <w:t xml:space="preserve">0.68621596, </w:t>
      </w:r>
      <w:r w:rsidRPr="006D597D">
        <w:rPr>
          <w:rFonts w:eastAsia="Times New Roman" w:cs="Times New Roman"/>
          <w:sz w:val="24"/>
          <w:szCs w:val="24"/>
          <w:lang w:val="en-IN" w:eastAsia="en-IN"/>
        </w:rPr>
        <w:t>P = 0.1322) was found at 5% level of significance (figure-2),</w:t>
      </w:r>
    </w:p>
    <w:p w:rsidR="008158B4" w:rsidRPr="006D597D" w:rsidRDefault="008158B4" w:rsidP="008158B4">
      <w:pPr>
        <w:autoSpaceDE w:val="0"/>
        <w:autoSpaceDN w:val="0"/>
        <w:adjustRightInd w:val="0"/>
        <w:spacing w:after="0"/>
        <w:ind w:left="-57" w:right="-57"/>
        <w:jc w:val="center"/>
        <w:rPr>
          <w:rFonts w:eastAsia="Times New Roman" w:cs="Times New Roman"/>
          <w:b/>
          <w:sz w:val="24"/>
          <w:szCs w:val="24"/>
          <w:lang w:val="en-IN" w:eastAsia="en-IN"/>
        </w:rPr>
      </w:pPr>
      <w:r w:rsidRPr="006D597D">
        <w:rPr>
          <w:rFonts w:eastAsia="Times New Roman" w:cs="Times New Roman"/>
          <w:b/>
          <w:sz w:val="24"/>
          <w:szCs w:val="24"/>
          <w:lang w:val="en-IN" w:eastAsia="en-IN"/>
        </w:rPr>
        <w:t>Figure-2: Scattered diagram showing relationship between CEC and urease activity</w:t>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shd w:val="clear" w:color="auto" w:fill="C0504D" w:themeFill="accent2"/>
        </w:rPr>
        <w:drawing>
          <wp:inline distT="0" distB="0" distL="0" distR="0">
            <wp:extent cx="4980562" cy="2237362"/>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eastAsia="Times New Roman" w:cs="Times New Roman"/>
          <w:sz w:val="24"/>
          <w:szCs w:val="24"/>
          <w:lang w:val="en-IN" w:eastAsia="en-IN"/>
        </w:rPr>
        <w:t>Urease activity and Silt %  ofSunderban costal soil was not correlated at 5% level of significance as found in the present study (</w:t>
      </w:r>
      <w:r w:rsidRPr="006D597D">
        <w:rPr>
          <w:rFonts w:eastAsia="Times New Roman" w:cs="Times New Roman"/>
          <w:b/>
          <w:sz w:val="24"/>
          <w:szCs w:val="24"/>
          <w:lang w:val="en-IN" w:eastAsia="en-IN"/>
        </w:rPr>
        <w:t xml:space="preserve">Figure-3, </w:t>
      </w:r>
      <w:r w:rsidRPr="006D597D">
        <w:rPr>
          <w:rFonts w:eastAsia="Times New Roman" w:cs="Times New Roman"/>
          <w:sz w:val="24"/>
          <w:szCs w:val="24"/>
          <w:lang w:val="en-IN" w:eastAsia="en-IN"/>
        </w:rPr>
        <w:t xml:space="preserve">r= </w:t>
      </w:r>
      <w:r w:rsidRPr="006D597D">
        <w:rPr>
          <w:rFonts w:ascii="Calibri" w:eastAsia="Times New Roman" w:hAnsi="Calibri" w:cs="Times New Roman"/>
          <w:color w:val="000000"/>
          <w:sz w:val="24"/>
          <w:szCs w:val="24"/>
          <w:lang w:val="en-IN" w:eastAsia="en-IN"/>
        </w:rPr>
        <w:t>0.28198004</w:t>
      </w:r>
      <w:r w:rsidRPr="006D597D">
        <w:rPr>
          <w:rFonts w:eastAsia="Times New Roman" w:cs="Times New Roman"/>
          <w:sz w:val="24"/>
          <w:szCs w:val="24"/>
          <w:lang w:val="en-IN" w:eastAsia="en-IN"/>
        </w:rPr>
        <w:t xml:space="preserve">, P = 0.1322). </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Figure-3: Scattered diagram showing relationship between Silt % and urease activity</w:t>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rPr>
        <w:lastRenderedPageBreak/>
        <w:drawing>
          <wp:inline distT="0" distB="0" distL="0" distR="0">
            <wp:extent cx="4902741" cy="217899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t xml:space="preserve">No correlation </w:t>
      </w:r>
      <w:r w:rsidRPr="006D597D">
        <w:rPr>
          <w:rFonts w:cs="Times New Roman"/>
          <w:sz w:val="24"/>
          <w:szCs w:val="24"/>
        </w:rPr>
        <w:t>statistically significant at 5</w:t>
      </w:r>
      <w:r w:rsidRPr="006D597D">
        <w:rPr>
          <w:rFonts w:eastAsia="Times New Roman" w:cs="Times New Roman"/>
          <w:sz w:val="24"/>
          <w:szCs w:val="24"/>
          <w:lang w:val="en-IN" w:eastAsia="en-IN"/>
        </w:rPr>
        <w:t>% level was found between urease activity and pH in 1N KCl (</w:t>
      </w:r>
      <w:r w:rsidRPr="006D597D">
        <w:rPr>
          <w:rFonts w:eastAsia="Times New Roman" w:cs="Times New Roman"/>
          <w:b/>
          <w:sz w:val="24"/>
          <w:szCs w:val="24"/>
          <w:lang w:val="en-IN" w:eastAsia="en-IN"/>
        </w:rPr>
        <w:t xml:space="preserve">Figure-4, </w:t>
      </w:r>
      <w:r w:rsidRPr="006D597D">
        <w:rPr>
          <w:rFonts w:eastAsia="Times New Roman" w:cs="Times New Roman"/>
          <w:sz w:val="24"/>
          <w:szCs w:val="24"/>
          <w:lang w:val="en-IN" w:eastAsia="en-IN"/>
        </w:rPr>
        <w:t xml:space="preserve">r= </w:t>
      </w:r>
      <w:r w:rsidRPr="006D597D">
        <w:rPr>
          <w:rFonts w:ascii="Calibri" w:eastAsia="Times New Roman" w:hAnsi="Calibri" w:cs="Times New Roman"/>
          <w:color w:val="000000"/>
          <w:sz w:val="24"/>
          <w:szCs w:val="24"/>
          <w:lang w:val="en-IN" w:eastAsia="en-IN"/>
        </w:rPr>
        <w:t>0.35014</w:t>
      </w:r>
      <w:r w:rsidRPr="006D597D">
        <w:rPr>
          <w:rFonts w:eastAsia="Times New Roman" w:cs="Times New Roman"/>
          <w:sz w:val="24"/>
          <w:szCs w:val="24"/>
          <w:lang w:val="en-IN" w:eastAsia="en-IN"/>
        </w:rPr>
        <w:t>) &amp; water (</w:t>
      </w:r>
      <w:r w:rsidRPr="006D597D">
        <w:rPr>
          <w:rFonts w:eastAsia="Times New Roman" w:cs="Times New Roman"/>
          <w:b/>
          <w:sz w:val="24"/>
          <w:szCs w:val="24"/>
          <w:lang w:val="en-IN" w:eastAsia="en-IN"/>
        </w:rPr>
        <w:t xml:space="preserve">Figure-5, </w:t>
      </w:r>
      <w:r w:rsidRPr="006D597D">
        <w:rPr>
          <w:rFonts w:eastAsia="Times New Roman" w:cs="Times New Roman"/>
          <w:sz w:val="24"/>
          <w:szCs w:val="24"/>
          <w:lang w:val="en-IN" w:eastAsia="en-IN"/>
        </w:rPr>
        <w:t xml:space="preserve"> r= </w:t>
      </w:r>
      <w:r w:rsidRPr="006D597D">
        <w:rPr>
          <w:rFonts w:ascii="Calibri" w:eastAsia="Times New Roman" w:hAnsi="Calibri" w:cs="Times New Roman"/>
          <w:color w:val="000000"/>
          <w:sz w:val="24"/>
          <w:szCs w:val="24"/>
          <w:lang w:val="en-IN" w:eastAsia="en-IN"/>
        </w:rPr>
        <w:t>-0.1288535)</w:t>
      </w:r>
      <w:r w:rsidRPr="006D597D">
        <w:rPr>
          <w:rFonts w:eastAsia="Times New Roman" w:cs="Times New Roman"/>
          <w:sz w:val="24"/>
          <w:szCs w:val="24"/>
          <w:lang w:val="en-IN" w:eastAsia="en-IN"/>
        </w:rPr>
        <w:t xml:space="preserve">. </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Figure-4: Scattered diagram showing relationship between soil pH (in KCl)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rPr>
        <w:drawing>
          <wp:inline distT="0" distB="0" distL="0" distR="0">
            <wp:extent cx="4854102" cy="2266545"/>
            <wp:effectExtent l="0" t="0" r="3810"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b/>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Figure-5: Scattered diagram showing relationship between soil pH (water)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rPr>
        <w:drawing>
          <wp:inline distT="0" distB="0" distL="0" distR="0">
            <wp:extent cx="4902741" cy="2295727"/>
            <wp:effectExtent l="19050" t="0" r="12159" b="9323"/>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lastRenderedPageBreak/>
        <w:t xml:space="preserve">This is in agreement to the observations made by </w:t>
      </w:r>
      <w:r w:rsidRPr="006D597D">
        <w:rPr>
          <w:sz w:val="24"/>
          <w:szCs w:val="24"/>
        </w:rPr>
        <w:t xml:space="preserve">Chhonkar and Tarafdar, 1994; Hu and Cao, 2007; Shilpashree and Kotur, 2009 </w:t>
      </w:r>
      <w:r w:rsidRPr="006D597D">
        <w:rPr>
          <w:rFonts w:eastAsia="Times New Roman" w:cs="Times New Roman"/>
          <w:sz w:val="24"/>
          <w:szCs w:val="24"/>
          <w:lang w:val="en-IN" w:eastAsia="en-IN"/>
        </w:rPr>
        <w:t>as they also found that urease activity was not correlated with clay%, Silt% and pH of  soils</w:t>
      </w:r>
      <w:r w:rsidRPr="006D597D">
        <w:rPr>
          <w:color w:val="FF0000"/>
          <w:sz w:val="24"/>
          <w:szCs w:val="24"/>
        </w:rPr>
        <w:t>]</w:t>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t xml:space="preserve">However, percentage organic carbon (O.C. %) was found to negatively correlated ( r = </w:t>
      </w:r>
      <w:r w:rsidRPr="006D597D">
        <w:rPr>
          <w:rFonts w:eastAsia="Times New Roman" w:cs="Calibri"/>
          <w:color w:val="000000"/>
          <w:sz w:val="24"/>
          <w:szCs w:val="24"/>
        </w:rPr>
        <w:t xml:space="preserve">-0.7494) </w:t>
      </w:r>
      <w:r w:rsidRPr="006D597D">
        <w:rPr>
          <w:rFonts w:eastAsia="Times New Roman" w:cs="Times New Roman"/>
          <w:sz w:val="24"/>
          <w:szCs w:val="24"/>
          <w:lang w:val="en-IN" w:eastAsia="en-IN"/>
        </w:rPr>
        <w:t>with urease activity, significant at 5% level.</w:t>
      </w:r>
    </w:p>
    <w:p w:rsidR="008158B4" w:rsidRPr="006D597D" w:rsidRDefault="008158B4" w:rsidP="008158B4">
      <w:pPr>
        <w:autoSpaceDE w:val="0"/>
        <w:autoSpaceDN w:val="0"/>
        <w:adjustRightInd w:val="0"/>
        <w:spacing w:after="0"/>
        <w:ind w:left="-57" w:right="-57"/>
        <w:jc w:val="both"/>
        <w:rPr>
          <w:rFonts w:eastAsia="Times New Roman" w:cs="Times New Roman"/>
          <w:b/>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w:t>
      </w:r>
      <w:r w:rsidR="00FC6D5F">
        <w:rPr>
          <w:rFonts w:eastAsia="Times New Roman" w:cs="Times New Roman"/>
          <w:b/>
          <w:sz w:val="24"/>
          <w:szCs w:val="24"/>
          <w:lang w:val="en-IN" w:eastAsia="en-IN"/>
        </w:rPr>
        <w:t>6</w:t>
      </w:r>
      <w:r w:rsidRPr="006D597D">
        <w:rPr>
          <w:rFonts w:eastAsia="Times New Roman" w:cs="Times New Roman"/>
          <w:b/>
          <w:sz w:val="24"/>
          <w:szCs w:val="24"/>
          <w:lang w:val="en-IN" w:eastAsia="en-IN"/>
        </w:rPr>
        <w:t>: Scattered diagram showing relationship between O.C. (%)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noProof/>
          <w:sz w:val="24"/>
          <w:szCs w:val="24"/>
          <w:bdr w:val="double" w:sz="4" w:space="0" w:color="auto"/>
        </w:rPr>
        <w:drawing>
          <wp:inline distT="0" distB="0" distL="0" distR="0">
            <wp:extent cx="4893013" cy="2480553"/>
            <wp:effectExtent l="0" t="0" r="31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58B4" w:rsidRPr="006D597D" w:rsidRDefault="008158B4" w:rsidP="008158B4">
      <w:pPr>
        <w:spacing w:after="0"/>
        <w:ind w:left="-57" w:right="-57"/>
        <w:jc w:val="both"/>
        <w:rPr>
          <w:rFonts w:eastAsia="Times New Roman" w:cs="Times New Roman"/>
          <w:sz w:val="24"/>
          <w:szCs w:val="24"/>
          <w:lang w:val="en-IN" w:eastAsia="en-IN"/>
        </w:rPr>
      </w:pPr>
    </w:p>
    <w:p w:rsidR="008158B4" w:rsidRPr="006D597D" w:rsidRDefault="008158B4" w:rsidP="008158B4">
      <w:pPr>
        <w:spacing w:after="0"/>
        <w:ind w:left="-57" w:right="-57"/>
        <w:jc w:val="both"/>
        <w:rPr>
          <w:sz w:val="24"/>
          <w:szCs w:val="24"/>
        </w:rPr>
      </w:pPr>
      <w:r w:rsidRPr="006D597D">
        <w:rPr>
          <w:rFonts w:eastAsia="Times New Roman" w:cs="Times New Roman"/>
          <w:sz w:val="24"/>
          <w:szCs w:val="24"/>
          <w:lang w:val="en-IN" w:eastAsia="en-IN"/>
        </w:rPr>
        <w:t xml:space="preserve"> This is however quite contrary to the observation made by </w:t>
      </w:r>
      <w:r w:rsidRPr="006D597D">
        <w:rPr>
          <w:sz w:val="24"/>
          <w:szCs w:val="24"/>
        </w:rPr>
        <w:t>Guo et al. (2023) who found that urease activity is not significantly related to soil organic carbon.</w:t>
      </w:r>
    </w:p>
    <w:p w:rsidR="008158B4" w:rsidRPr="006D597D" w:rsidRDefault="008158B4" w:rsidP="008158B4">
      <w:pPr>
        <w:spacing w:after="0"/>
        <w:ind w:left="-57" w:right="-57"/>
        <w:jc w:val="both"/>
        <w:rPr>
          <w:rFonts w:cs="Arial"/>
          <w:color w:val="000000"/>
          <w:sz w:val="24"/>
          <w:szCs w:val="24"/>
          <w:shd w:val="clear" w:color="auto" w:fill="FFFFFF"/>
        </w:rPr>
      </w:pPr>
      <w:r w:rsidRPr="006D597D">
        <w:rPr>
          <w:rFonts w:cs="Arial"/>
          <w:color w:val="1C1D1E"/>
          <w:sz w:val="24"/>
          <w:szCs w:val="24"/>
          <w:shd w:val="clear" w:color="auto" w:fill="FFFFFF"/>
        </w:rPr>
        <w:t>Corstanje, R et al (2007)</w:t>
      </w:r>
      <w:r w:rsidRPr="006D597D">
        <w:rPr>
          <w:rFonts w:cs="Arial"/>
          <w:color w:val="000000"/>
          <w:sz w:val="24"/>
          <w:szCs w:val="24"/>
          <w:shd w:val="clear" w:color="auto" w:fill="FFFFFF"/>
        </w:rPr>
        <w:t xml:space="preserve"> was also found that urease activity and soil organic Carbon were not correlated  at the pasture site, and were also uncorrelated at the shorter scales in the arable site. However, the same was correlated positively and significantly in longer scales of 6 and ≥15-m respectively for the arable site.</w:t>
      </w:r>
    </w:p>
    <w:p w:rsidR="008158B4" w:rsidRPr="006D597D" w:rsidRDefault="008158B4" w:rsidP="008158B4">
      <w:pPr>
        <w:spacing w:after="0"/>
        <w:ind w:left="-57" w:right="-57"/>
        <w:jc w:val="both"/>
        <w:rPr>
          <w:sz w:val="24"/>
          <w:szCs w:val="24"/>
          <w:lang w:val="en-IN"/>
        </w:rPr>
      </w:pPr>
      <w:r w:rsidRPr="006D597D">
        <w:rPr>
          <w:sz w:val="24"/>
          <w:szCs w:val="24"/>
          <w:lang w:val="en-IN"/>
        </w:rPr>
        <w:t xml:space="preserve">The study of soil urease activity is frought with various pitfalls. The methodology of urease estimation is important factorand absence of any single standard method makes comparison of urease activity data almost nonsensical.In using non-buffer method of urease activity determined with and without addition of tolune, mean urease activity were 732 and 1285 respectively. Higher value of urease activity has been obtained by Dalal (1975). Anantha-narayan and Mithyantha (1970) in the study with six Indian soils found urease activity range between 20 and 102. </w:t>
      </w:r>
    </w:p>
    <w:p w:rsidR="008158B4" w:rsidRPr="006D597D" w:rsidRDefault="008158B4" w:rsidP="008158B4">
      <w:pPr>
        <w:spacing w:after="0"/>
        <w:ind w:left="-57" w:right="-57"/>
        <w:jc w:val="both"/>
        <w:rPr>
          <w:color w:val="232323"/>
          <w:sz w:val="24"/>
          <w:szCs w:val="24"/>
        </w:rPr>
      </w:pPr>
      <w:r w:rsidRPr="006D597D">
        <w:rPr>
          <w:sz w:val="24"/>
          <w:szCs w:val="24"/>
          <w:lang w:val="en-IN"/>
        </w:rPr>
        <w:t xml:space="preserve">Thus compared to values obtained by various workers Urease activity in the Sundarban soils studied herein was quite contrasting. However, there are also reports that salinity tends to lower urease activity of soil (Hofmann et al 1953]. In another study of urease activity of deep forest soils of Sunderbans by using method proposed by </w:t>
      </w:r>
      <w:r w:rsidRPr="006D597D">
        <w:rPr>
          <w:color w:val="232323"/>
          <w:sz w:val="24"/>
          <w:szCs w:val="24"/>
          <w:shd w:val="clear" w:color="auto" w:fill="FFFFFF"/>
        </w:rPr>
        <w:t>Ellen, K. and Gerber, H. (1988) Ganguly, D. et. al. found urease activity of 178.67 µg </w:t>
      </w:r>
      <w:r w:rsidRPr="006D597D">
        <w:rPr>
          <w:rStyle w:val="mjxassistivemathml"/>
          <w:color w:val="232323"/>
          <w:sz w:val="24"/>
          <w:szCs w:val="24"/>
          <w:bdr w:val="none" w:sz="0" w:space="0" w:color="auto" w:frame="1"/>
          <w:shd w:val="clear" w:color="auto" w:fill="FFFFFF"/>
        </w:rPr>
        <w:t>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-N produced g</w:t>
      </w:r>
      <w:r w:rsidRPr="006D597D">
        <w:rPr>
          <w:color w:val="232323"/>
          <w:sz w:val="24"/>
          <w:szCs w:val="24"/>
          <w:shd w:val="clear" w:color="auto" w:fill="FFFFFF"/>
          <w:vertAlign w:val="superscript"/>
        </w:rPr>
        <w:t>−1</w:t>
      </w:r>
      <w:r w:rsidRPr="006D597D">
        <w:rPr>
          <w:color w:val="232323"/>
          <w:sz w:val="24"/>
          <w:szCs w:val="24"/>
          <w:shd w:val="clear" w:color="auto" w:fill="FFFFFF"/>
        </w:rPr>
        <w:t> dry wt of soil at the surface soil of Deep forest region during Post monsoon and urease activity of 69.25 µg </w:t>
      </w:r>
      <w:r w:rsidRPr="006D597D">
        <w:rPr>
          <w:rStyle w:val="mjxassistivemathml"/>
          <w:color w:val="232323"/>
          <w:sz w:val="24"/>
          <w:szCs w:val="24"/>
          <w:bdr w:val="none" w:sz="0" w:space="0" w:color="auto" w:frame="1"/>
          <w:shd w:val="clear" w:color="auto" w:fill="FFFFFF"/>
        </w:rPr>
        <w:t>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-N produced g</w:t>
      </w:r>
      <w:r w:rsidRPr="006D597D">
        <w:rPr>
          <w:color w:val="232323"/>
          <w:sz w:val="24"/>
          <w:szCs w:val="24"/>
          <w:shd w:val="clear" w:color="auto" w:fill="FFFFFF"/>
          <w:vertAlign w:val="superscript"/>
        </w:rPr>
        <w:t>−1</w:t>
      </w:r>
      <w:r w:rsidRPr="006D597D">
        <w:rPr>
          <w:color w:val="232323"/>
          <w:sz w:val="24"/>
          <w:szCs w:val="24"/>
          <w:shd w:val="clear" w:color="auto" w:fill="FFFFFF"/>
        </w:rPr>
        <w:t xml:space="preserve"> dry wt of soil from the 60 cm of depth during monsoon. They found thatwith increase in depth in the Deep forest region, soil urease activity decreased. The </w:t>
      </w:r>
      <w:r w:rsidRPr="006D597D">
        <w:rPr>
          <w:color w:val="232323"/>
          <w:sz w:val="24"/>
          <w:szCs w:val="24"/>
          <w:shd w:val="clear" w:color="auto" w:fill="FFFFFF"/>
        </w:rPr>
        <w:lastRenderedPageBreak/>
        <w:t>higher value urease activity may be due to method used, distance from river shore, as well as higher content of Organic Carbon.</w:t>
      </w:r>
    </w:p>
    <w:p w:rsidR="008158B4" w:rsidRPr="006D597D" w:rsidRDefault="008158B4" w:rsidP="008158B4">
      <w:pPr>
        <w:spacing w:after="0"/>
        <w:ind w:left="-57" w:right="-57"/>
        <w:jc w:val="both"/>
        <w:rPr>
          <w:b/>
          <w:bCs/>
          <w:color w:val="232323"/>
          <w:sz w:val="24"/>
          <w:szCs w:val="24"/>
        </w:rPr>
      </w:pPr>
      <w:r w:rsidRPr="006D597D">
        <w:rPr>
          <w:sz w:val="24"/>
          <w:szCs w:val="24"/>
        </w:rPr>
        <w:t xml:space="preserve">For paddy topsoil (0-20 cm) in Japan using Doglus and Bremner method 1970, </w:t>
      </w:r>
      <w:r w:rsidRPr="006D597D">
        <w:rPr>
          <w:color w:val="282828"/>
          <w:sz w:val="24"/>
          <w:szCs w:val="24"/>
          <w:shd w:val="clear" w:color="auto" w:fill="F7F7F7"/>
        </w:rPr>
        <w:t>Rui Zhao</w:t>
      </w:r>
      <w:r w:rsidRPr="006D597D">
        <w:rPr>
          <w:sz w:val="24"/>
          <w:szCs w:val="24"/>
        </w:rPr>
        <w:t xml:space="preserve">  et. al. found mean urease activity to be 20.51</w:t>
      </w:r>
      <w:r w:rsidRPr="006D597D">
        <w:rPr>
          <w:sz w:val="24"/>
          <w:szCs w:val="24"/>
          <w:u w:val="single"/>
        </w:rPr>
        <w:t>+</w:t>
      </w:r>
      <w:r w:rsidRPr="006D597D">
        <w:rPr>
          <w:sz w:val="24"/>
          <w:szCs w:val="24"/>
        </w:rPr>
        <w:t xml:space="preserve"> 0.34 mg</w:t>
      </w:r>
      <w:r w:rsidRPr="006D597D">
        <w:rPr>
          <w:rStyle w:val="mjxassistivemathml"/>
          <w:color w:val="232323"/>
          <w:sz w:val="24"/>
          <w:szCs w:val="24"/>
          <w:bdr w:val="none" w:sz="0" w:space="0" w:color="auto" w:frame="1"/>
          <w:shd w:val="clear" w:color="auto" w:fill="FFFFFF"/>
        </w:rPr>
        <w:t xml:space="preserve"> 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-N.Kg</w:t>
      </w:r>
      <w:r w:rsidRPr="006D597D">
        <w:rPr>
          <w:color w:val="232323"/>
          <w:sz w:val="24"/>
          <w:szCs w:val="24"/>
          <w:shd w:val="clear" w:color="auto" w:fill="FFFFFF"/>
          <w:vertAlign w:val="superscript"/>
        </w:rPr>
        <w:t xml:space="preserve">-1 </w:t>
      </w:r>
      <w:r w:rsidRPr="006D597D">
        <w:rPr>
          <w:color w:val="232323"/>
          <w:sz w:val="24"/>
          <w:szCs w:val="24"/>
          <w:shd w:val="clear" w:color="auto" w:fill="FFFFFF"/>
        </w:rPr>
        <w:t>. 2h</w:t>
      </w:r>
      <w:r w:rsidRPr="006D597D">
        <w:rPr>
          <w:color w:val="232323"/>
          <w:sz w:val="24"/>
          <w:szCs w:val="24"/>
          <w:shd w:val="clear" w:color="auto" w:fill="FFFFFF"/>
          <w:vertAlign w:val="superscript"/>
        </w:rPr>
        <w:t>-1</w:t>
      </w:r>
      <w:r w:rsidRPr="006D597D">
        <w:rPr>
          <w:color w:val="232323"/>
          <w:sz w:val="24"/>
          <w:szCs w:val="24"/>
          <w:shd w:val="clear" w:color="auto" w:fill="FFFFFF"/>
        </w:rPr>
        <w:t xml:space="preserve">which is comparative low value similar to that found under present study using </w:t>
      </w:r>
      <w:r w:rsidRPr="006D597D">
        <w:rPr>
          <w:sz w:val="24"/>
          <w:szCs w:val="24"/>
        </w:rPr>
        <w:t xml:space="preserve">Doglus and Bremner method 1970. Similar result was also obtained by Cookson </w:t>
      </w:r>
      <w:r w:rsidRPr="006D597D">
        <w:rPr>
          <w:rFonts w:cs="Arial"/>
          <w:color w:val="333333"/>
          <w:sz w:val="24"/>
          <w:szCs w:val="24"/>
        </w:rPr>
        <w:t>for costal soil of Oman where urease activities ranged from 0 .10 to 39 . 85 mg NH</w:t>
      </w:r>
      <w:r w:rsidRPr="006D597D">
        <w:rPr>
          <w:rFonts w:cs="Arial"/>
          <w:color w:val="333333"/>
          <w:sz w:val="24"/>
          <w:szCs w:val="24"/>
          <w:vertAlign w:val="subscript"/>
        </w:rPr>
        <w:t>4</w:t>
      </w:r>
      <w:r w:rsidRPr="006D597D">
        <w:rPr>
          <w:rFonts w:cs="Arial"/>
          <w:color w:val="333333"/>
          <w:sz w:val="24"/>
          <w:szCs w:val="24"/>
          <w:vertAlign w:val="superscript"/>
        </w:rPr>
        <w:t>+</w:t>
      </w:r>
      <w:r w:rsidRPr="006D597D">
        <w:rPr>
          <w:rFonts w:cs="Arial"/>
          <w:color w:val="333333"/>
          <w:sz w:val="24"/>
          <w:szCs w:val="24"/>
        </w:rPr>
        <w:t>released g</w:t>
      </w:r>
      <w:r w:rsidRPr="006D597D">
        <w:rPr>
          <w:rFonts w:cs="Arial"/>
          <w:color w:val="333333"/>
          <w:sz w:val="24"/>
          <w:szCs w:val="24"/>
          <w:vertAlign w:val="superscript"/>
        </w:rPr>
        <w:t>-1</w:t>
      </w:r>
      <w:r w:rsidRPr="006D597D">
        <w:rPr>
          <w:rFonts w:cs="Arial"/>
          <w:color w:val="333333"/>
          <w:sz w:val="24"/>
          <w:szCs w:val="24"/>
        </w:rPr>
        <w:t xml:space="preserve"> soil h</w:t>
      </w:r>
      <w:r w:rsidRPr="006D597D">
        <w:rPr>
          <w:rFonts w:cs="Arial"/>
          <w:color w:val="333333"/>
          <w:sz w:val="24"/>
          <w:szCs w:val="24"/>
          <w:vertAlign w:val="superscript"/>
        </w:rPr>
        <w:t>-1</w:t>
      </w:r>
      <w:r w:rsidRPr="006D597D">
        <w:rPr>
          <w:rFonts w:cs="Arial"/>
          <w:color w:val="333333"/>
          <w:sz w:val="24"/>
          <w:szCs w:val="24"/>
        </w:rPr>
        <w:t xml:space="preserve"> at 37</w:t>
      </w:r>
      <w:r w:rsidRPr="006D597D">
        <w:rPr>
          <w:rFonts w:cs="Arial"/>
          <w:color w:val="333333"/>
          <w:sz w:val="24"/>
          <w:szCs w:val="24"/>
          <w:vertAlign w:val="superscript"/>
        </w:rPr>
        <w:t>0</w:t>
      </w:r>
      <w:r w:rsidRPr="006D597D">
        <w:rPr>
          <w:rFonts w:cs="Arial"/>
          <w:color w:val="333333"/>
          <w:sz w:val="24"/>
          <w:szCs w:val="24"/>
        </w:rPr>
        <w:t>C.</w:t>
      </w:r>
    </w:p>
    <w:p w:rsidR="008158B4" w:rsidRDefault="008158B4" w:rsidP="008158B4">
      <w:pPr>
        <w:shd w:val="clear" w:color="auto" w:fill="FFFFFF"/>
        <w:spacing w:after="0"/>
        <w:ind w:left="-57" w:right="-57"/>
        <w:rPr>
          <w:rStyle w:val="inlineblock"/>
          <w:rFonts w:cs="Arial"/>
          <w:color w:val="222222"/>
          <w:sz w:val="24"/>
          <w:szCs w:val="24"/>
        </w:rPr>
      </w:pPr>
      <w:r w:rsidRPr="006D597D">
        <w:rPr>
          <w:rStyle w:val="inlineblock"/>
          <w:rFonts w:cs="Arial"/>
          <w:color w:val="222222"/>
          <w:sz w:val="24"/>
          <w:szCs w:val="24"/>
          <w:vertAlign w:val="superscript"/>
        </w:rPr>
        <w:t> </w:t>
      </w:r>
      <w:r w:rsidRPr="006D597D">
        <w:rPr>
          <w:rStyle w:val="inlineblock"/>
          <w:rFonts w:cs="Arial"/>
          <w:color w:val="222222"/>
          <w:sz w:val="24"/>
          <w:szCs w:val="24"/>
        </w:rPr>
        <w:t xml:space="preserve">Table 4 shows the effect of addition of Neem cake and Mahua  cake on soil Urease activity on coastal soil of Herobhanga and Patharpratima of Sunderban ecosystem. The data shows that addition of neem cake and Shal cakes slightly increased urease activity over blanks. </w:t>
      </w:r>
    </w:p>
    <w:p w:rsidR="00AF4820" w:rsidRPr="006D597D" w:rsidRDefault="00AF4820" w:rsidP="008158B4">
      <w:pPr>
        <w:shd w:val="clear" w:color="auto" w:fill="FFFFFF"/>
        <w:spacing w:after="0"/>
        <w:ind w:left="-57" w:right="-57"/>
        <w:rPr>
          <w:rStyle w:val="inlineblock"/>
          <w:rFonts w:ascii="Arial" w:hAnsi="Arial" w:cs="Arial"/>
          <w:color w:val="222222"/>
          <w:sz w:val="24"/>
          <w:szCs w:val="24"/>
          <w:vertAlign w:val="superscript"/>
        </w:rPr>
      </w:pPr>
    </w:p>
    <w:p w:rsidR="008158B4" w:rsidRPr="006D597D" w:rsidRDefault="008158B4" w:rsidP="008158B4">
      <w:pPr>
        <w:shd w:val="clear" w:color="auto" w:fill="FFFFFF"/>
        <w:spacing w:after="0"/>
        <w:ind w:left="-57" w:right="-57"/>
        <w:jc w:val="center"/>
        <w:rPr>
          <w:rFonts w:cs="Arial"/>
          <w:color w:val="222222"/>
          <w:sz w:val="24"/>
          <w:szCs w:val="24"/>
        </w:rPr>
      </w:pPr>
      <w:r w:rsidRPr="006D597D">
        <w:rPr>
          <w:rStyle w:val="inlineblock"/>
          <w:rFonts w:cs="Arial"/>
          <w:b/>
          <w:color w:val="222222"/>
          <w:sz w:val="24"/>
          <w:szCs w:val="24"/>
        </w:rPr>
        <w:t>Table 4</w:t>
      </w:r>
      <w:r w:rsidRPr="006D597D">
        <w:rPr>
          <w:rStyle w:val="inlineblock"/>
          <w:rFonts w:cs="Arial"/>
          <w:color w:val="222222"/>
          <w:sz w:val="24"/>
          <w:szCs w:val="24"/>
        </w:rPr>
        <w:t xml:space="preserve">: </w:t>
      </w:r>
      <w:r w:rsidRPr="006D597D">
        <w:rPr>
          <w:rStyle w:val="inlineblock"/>
          <w:rFonts w:cs="Arial"/>
          <w:b/>
          <w:color w:val="222222"/>
          <w:sz w:val="24"/>
          <w:szCs w:val="24"/>
        </w:rPr>
        <w:t>Effect of addition of Neem cake  and Shal cake cakes on urease activity</w:t>
      </w:r>
    </w:p>
    <w:tbl>
      <w:tblPr>
        <w:tblStyle w:val="TableGrid"/>
        <w:tblW w:w="10319"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3"/>
        <w:gridCol w:w="1086"/>
        <w:gridCol w:w="681"/>
        <w:gridCol w:w="1085"/>
        <w:gridCol w:w="1011"/>
        <w:gridCol w:w="681"/>
        <w:gridCol w:w="1085"/>
        <w:gridCol w:w="607"/>
        <w:gridCol w:w="894"/>
        <w:gridCol w:w="681"/>
        <w:gridCol w:w="1085"/>
      </w:tblGrid>
      <w:tr w:rsidR="008158B4" w:rsidRPr="006D597D" w:rsidTr="006658C8">
        <w:tc>
          <w:tcPr>
            <w:tcW w:w="1474" w:type="dxa"/>
            <w:vMerge w:val="restart"/>
            <w:tcBorders>
              <w:top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Place</w:t>
            </w:r>
          </w:p>
        </w:tc>
        <w:tc>
          <w:tcPr>
            <w:tcW w:w="1128" w:type="dxa"/>
            <w:vMerge w:val="restart"/>
            <w:tcBorders>
              <w:top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1845"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Optical density</w:t>
            </w:r>
          </w:p>
        </w:tc>
        <w:tc>
          <w:tcPr>
            <w:tcW w:w="995" w:type="dxa"/>
            <w:vMerge w:val="restart"/>
            <w:tcBorders>
              <w:top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Urea added(in</w:t>
            </w:r>
            <w:r w:rsidRPr="006D597D">
              <w:rPr>
                <w:rFonts w:cs="Arial"/>
                <w:b/>
                <w:bCs/>
                <w:color w:val="222222"/>
                <w:sz w:val="18"/>
                <w:szCs w:val="18"/>
              </w:rPr>
              <w:t>µg)</w:t>
            </w:r>
          </w:p>
        </w:tc>
        <w:tc>
          <w:tcPr>
            <w:tcW w:w="1845"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Urea remaining(</w:t>
            </w:r>
            <w:r w:rsidRPr="006D597D">
              <w:rPr>
                <w:rFonts w:cs="Arial"/>
                <w:b/>
                <w:bCs/>
                <w:color w:val="222222"/>
                <w:sz w:val="18"/>
                <w:szCs w:val="18"/>
              </w:rPr>
              <w:t>µg)</w:t>
            </w:r>
          </w:p>
        </w:tc>
        <w:tc>
          <w:tcPr>
            <w:tcW w:w="1187"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Amount of Urea hydrolysed</w:t>
            </w:r>
          </w:p>
        </w:tc>
        <w:tc>
          <w:tcPr>
            <w:tcW w:w="1845"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color w:val="222222"/>
                <w:sz w:val="18"/>
                <w:szCs w:val="18"/>
              </w:rPr>
            </w:pPr>
            <w:r w:rsidRPr="006D597D">
              <w:rPr>
                <w:rFonts w:cs="Arial"/>
                <w:b/>
                <w:color w:val="222222"/>
                <w:sz w:val="18"/>
                <w:szCs w:val="18"/>
              </w:rPr>
              <w:t>Urease activity (</w:t>
            </w:r>
            <w:r w:rsidRPr="006D597D">
              <w:rPr>
                <w:rFonts w:cs="Arial"/>
                <w:b/>
                <w:bCs/>
                <w:color w:val="222222"/>
                <w:sz w:val="18"/>
                <w:szCs w:val="18"/>
              </w:rPr>
              <w:t>µg h</w:t>
            </w:r>
            <w:r w:rsidRPr="006D597D">
              <w:rPr>
                <w:rFonts w:cs="Arial"/>
                <w:b/>
                <w:bCs/>
                <w:color w:val="222222"/>
                <w:sz w:val="18"/>
                <w:szCs w:val="18"/>
                <w:vertAlign w:val="superscript"/>
              </w:rPr>
              <w:t>-1</w:t>
            </w:r>
            <w:r w:rsidRPr="006D597D">
              <w:rPr>
                <w:rFonts w:cs="Arial"/>
                <w:b/>
                <w:bCs/>
                <w:color w:val="222222"/>
                <w:sz w:val="18"/>
                <w:szCs w:val="18"/>
              </w:rPr>
              <w:t>/10 gm soil)</w:t>
            </w:r>
          </w:p>
        </w:tc>
      </w:tr>
      <w:tr w:rsidR="008158B4" w:rsidRPr="006D597D" w:rsidTr="006658C8">
        <w:tc>
          <w:tcPr>
            <w:tcW w:w="1474" w:type="dxa"/>
            <w:vMerge/>
            <w:tcBorders>
              <w:bottom w:val="single" w:sz="4" w:space="0" w:color="auto"/>
            </w:tcBorders>
          </w:tcPr>
          <w:p w:rsidR="008158B4" w:rsidRPr="006D597D" w:rsidRDefault="008158B4" w:rsidP="008158B4">
            <w:pPr>
              <w:spacing w:line="276" w:lineRule="auto"/>
              <w:ind w:left="-57" w:right="-57"/>
              <w:jc w:val="center"/>
              <w:rPr>
                <w:rFonts w:cs="Arial"/>
                <w:color w:val="222222"/>
                <w:sz w:val="18"/>
                <w:szCs w:val="18"/>
              </w:rPr>
            </w:pPr>
          </w:p>
        </w:tc>
        <w:tc>
          <w:tcPr>
            <w:tcW w:w="1128" w:type="dxa"/>
            <w:vMerge/>
            <w:tcBorders>
              <w:bottom w:val="single" w:sz="4" w:space="0" w:color="auto"/>
            </w:tcBorders>
          </w:tcPr>
          <w:p w:rsidR="008158B4" w:rsidRPr="006D597D" w:rsidRDefault="008158B4" w:rsidP="008158B4">
            <w:pPr>
              <w:spacing w:line="276" w:lineRule="auto"/>
              <w:ind w:left="-57" w:right="-57"/>
              <w:jc w:val="center"/>
              <w:rPr>
                <w:rFonts w:cs="Arial"/>
                <w:color w:val="222222"/>
                <w:sz w:val="18"/>
                <w:szCs w:val="18"/>
              </w:rPr>
            </w:pPr>
          </w:p>
        </w:tc>
        <w:tc>
          <w:tcPr>
            <w:tcW w:w="71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995" w:type="dxa"/>
            <w:vMerge/>
            <w:tcBorders>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p>
        </w:tc>
        <w:tc>
          <w:tcPr>
            <w:tcW w:w="71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62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560"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71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r>
      <w:tr w:rsidR="008158B4" w:rsidRPr="006D597D" w:rsidTr="006658C8">
        <w:trPr>
          <w:trHeight w:val="743"/>
        </w:trPr>
        <w:tc>
          <w:tcPr>
            <w:tcW w:w="1474" w:type="dxa"/>
            <w:tcBorders>
              <w:top w:val="single" w:sz="4" w:space="0" w:color="auto"/>
            </w:tcBorders>
          </w:tcPr>
          <w:p w:rsidR="008158B4" w:rsidRPr="006D597D" w:rsidRDefault="008158B4" w:rsidP="008158B4">
            <w:pPr>
              <w:spacing w:line="276" w:lineRule="auto"/>
              <w:ind w:left="-57" w:right="-57"/>
              <w:rPr>
                <w:rFonts w:cs="Arial"/>
                <w:b/>
                <w:color w:val="1F497D" w:themeColor="text2"/>
                <w:sz w:val="18"/>
                <w:szCs w:val="18"/>
              </w:rPr>
            </w:pPr>
            <w:r w:rsidRPr="006D597D">
              <w:rPr>
                <w:rFonts w:cs="Arial"/>
                <w:b/>
                <w:color w:val="1F497D" w:themeColor="text2"/>
                <w:sz w:val="18"/>
                <w:szCs w:val="18"/>
              </w:rPr>
              <w:t>Herobhanga</w:t>
            </w:r>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Neem</w:t>
            </w:r>
          </w:p>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Cake</w:t>
            </w:r>
          </w:p>
        </w:tc>
        <w:tc>
          <w:tcPr>
            <w:tcW w:w="71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0.24</w:t>
            </w:r>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0.20</w:t>
            </w:r>
          </w:p>
        </w:tc>
        <w:tc>
          <w:tcPr>
            <w:tcW w:w="995"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70</w:t>
            </w:r>
          </w:p>
        </w:tc>
        <w:tc>
          <w:tcPr>
            <w:tcW w:w="71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32</w:t>
            </w:r>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22</w:t>
            </w:r>
          </w:p>
        </w:tc>
        <w:tc>
          <w:tcPr>
            <w:tcW w:w="62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38</w:t>
            </w:r>
          </w:p>
        </w:tc>
        <w:tc>
          <w:tcPr>
            <w:tcW w:w="560"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48</w:t>
            </w:r>
          </w:p>
        </w:tc>
        <w:tc>
          <w:tcPr>
            <w:tcW w:w="71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0.395</w:t>
            </w:r>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0.50</w:t>
            </w:r>
          </w:p>
        </w:tc>
      </w:tr>
      <w:tr w:rsidR="008158B4" w:rsidRPr="006D597D" w:rsidTr="006658C8">
        <w:tc>
          <w:tcPr>
            <w:tcW w:w="1474"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b/>
                <w:color w:val="1F497D" w:themeColor="text2"/>
                <w:sz w:val="18"/>
                <w:szCs w:val="18"/>
              </w:rPr>
              <w:t>Patharpratim</w:t>
            </w:r>
            <w:r w:rsidRPr="006D597D">
              <w:rPr>
                <w:rFonts w:cs="Arial"/>
                <w:color w:val="1F497D" w:themeColor="text2"/>
                <w:sz w:val="18"/>
                <w:szCs w:val="18"/>
              </w:rPr>
              <w:t>a</w:t>
            </w:r>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Shal</w:t>
            </w:r>
          </w:p>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Cake</w:t>
            </w:r>
          </w:p>
        </w:tc>
        <w:tc>
          <w:tcPr>
            <w:tcW w:w="71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0.43</w:t>
            </w:r>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0.23</w:t>
            </w:r>
          </w:p>
        </w:tc>
        <w:tc>
          <w:tcPr>
            <w:tcW w:w="995"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70</w:t>
            </w:r>
          </w:p>
        </w:tc>
        <w:tc>
          <w:tcPr>
            <w:tcW w:w="71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46</w:t>
            </w:r>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22</w:t>
            </w:r>
          </w:p>
        </w:tc>
        <w:tc>
          <w:tcPr>
            <w:tcW w:w="62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24</w:t>
            </w:r>
          </w:p>
        </w:tc>
        <w:tc>
          <w:tcPr>
            <w:tcW w:w="560"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48</w:t>
            </w:r>
          </w:p>
        </w:tc>
        <w:tc>
          <w:tcPr>
            <w:tcW w:w="71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0.250</w:t>
            </w:r>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0.50</w:t>
            </w:r>
          </w:p>
        </w:tc>
      </w:tr>
    </w:tbl>
    <w:p w:rsidR="008158B4" w:rsidRPr="006D597D" w:rsidRDefault="008158B4" w:rsidP="008158B4">
      <w:pPr>
        <w:shd w:val="clear" w:color="auto" w:fill="FFFFFF"/>
        <w:spacing w:after="0"/>
        <w:ind w:left="-57" w:right="-57"/>
        <w:rPr>
          <w:rFonts w:ascii="Arial" w:hAnsi="Arial" w:cs="Arial"/>
          <w:color w:val="1F497D" w:themeColor="text2"/>
          <w:sz w:val="24"/>
          <w:szCs w:val="24"/>
        </w:rPr>
      </w:pPr>
    </w:p>
    <w:p w:rsidR="008158B4" w:rsidRPr="006D597D" w:rsidRDefault="008158B4" w:rsidP="008158B4">
      <w:pPr>
        <w:pStyle w:val="Heading1"/>
        <w:shd w:val="clear" w:color="auto" w:fill="FFFFFF"/>
        <w:spacing w:before="0" w:beforeAutospacing="0" w:after="0" w:afterAutospacing="0" w:line="276" w:lineRule="auto"/>
        <w:ind w:left="-57" w:right="-57"/>
        <w:jc w:val="both"/>
        <w:rPr>
          <w:color w:val="C00000"/>
          <w:sz w:val="24"/>
          <w:szCs w:val="24"/>
        </w:rPr>
      </w:pPr>
      <w:r w:rsidRPr="006D597D">
        <w:rPr>
          <w:rStyle w:val="inlineblock"/>
          <w:rFonts w:asciiTheme="minorHAnsi" w:hAnsiTheme="minorHAnsi" w:cs="Arial"/>
          <w:b w:val="0"/>
          <w:color w:val="222222"/>
          <w:sz w:val="24"/>
          <w:szCs w:val="24"/>
        </w:rPr>
        <w:t xml:space="preserve">This observation is quite contrary for neemcake  to the observation made by </w:t>
      </w:r>
      <w:r w:rsidRPr="006D597D">
        <w:rPr>
          <w:rFonts w:asciiTheme="minorHAnsi" w:hAnsiTheme="minorHAnsi"/>
          <w:b w:val="0"/>
          <w:sz w:val="24"/>
          <w:szCs w:val="24"/>
        </w:rPr>
        <w:t>Suryanarayan Reddy and Chhonkar (1991) as well as (Reddy and Mishra, 1983) from agricultural soils in India as they found decrease in urease activity with addition of neem cake. However increase in urease activity in coastal soils of sunderbans is not totally unnatural scince microbes particularly bacteria are responsible for bulk of soil urease activity and addition of organic matter encourages multiplication of bacteria and their metabolic activities.  This view is supported by the observation made by Atere et al ( 2020)  who found that neem cake treated soil has higher urease activity.</w:t>
      </w:r>
    </w:p>
    <w:p w:rsidR="008158B4" w:rsidRPr="0081149D" w:rsidRDefault="0081149D" w:rsidP="0081149D">
      <w:pPr>
        <w:spacing w:after="0"/>
        <w:ind w:left="-57" w:right="-57"/>
        <w:rPr>
          <w:rFonts w:cs="Arial"/>
          <w:b/>
          <w:color w:val="FF0000"/>
          <w:sz w:val="24"/>
          <w:szCs w:val="24"/>
        </w:rPr>
      </w:pPr>
      <w:r>
        <w:rPr>
          <w:rFonts w:cs="Arial"/>
          <w:b/>
          <w:color w:val="FF0000"/>
          <w:sz w:val="24"/>
          <w:szCs w:val="24"/>
        </w:rPr>
        <w:t>4.</w:t>
      </w:r>
      <w:r w:rsidR="008158B4" w:rsidRPr="0081149D">
        <w:rPr>
          <w:rFonts w:cs="Arial"/>
          <w:b/>
          <w:color w:val="FF0000"/>
          <w:sz w:val="24"/>
          <w:szCs w:val="24"/>
        </w:rPr>
        <w:t>Conclusion</w:t>
      </w:r>
    </w:p>
    <w:p w:rsidR="008158B4" w:rsidRDefault="008158B4" w:rsidP="008158B4">
      <w:pPr>
        <w:spacing w:after="0"/>
        <w:ind w:left="-57" w:right="-57"/>
        <w:jc w:val="both"/>
        <w:rPr>
          <w:rStyle w:val="inlineblock"/>
          <w:rFonts w:cs="Arial"/>
          <w:color w:val="222222"/>
          <w:sz w:val="24"/>
          <w:szCs w:val="24"/>
        </w:rPr>
      </w:pPr>
      <w:r w:rsidRPr="006D597D">
        <w:rPr>
          <w:rFonts w:cs="Arial"/>
          <w:color w:val="000000"/>
          <w:sz w:val="24"/>
          <w:szCs w:val="24"/>
        </w:rPr>
        <w:t xml:space="preserve">Coastal soil of Sunderban shows some dictinct character with high salinity , alkaline pH, greater proportion of silt and cation exchange capacity. It also exhibited moderate organic carbon content which ranges from 0.621 to 0.757. However negative correlation of percentage organic carbon with urease activity is a new finding for costal soils.  </w:t>
      </w:r>
      <w:r w:rsidRPr="006D597D">
        <w:rPr>
          <w:rStyle w:val="inlineblock"/>
          <w:rFonts w:cs="Arial"/>
          <w:color w:val="222222"/>
          <w:sz w:val="24"/>
          <w:szCs w:val="24"/>
        </w:rPr>
        <w:t xml:space="preserve">Neemcake and Shal cakes </w:t>
      </w:r>
      <w:r w:rsidRPr="006D597D">
        <w:rPr>
          <w:rFonts w:cs="Arial"/>
          <w:color w:val="000000"/>
          <w:sz w:val="24"/>
          <w:szCs w:val="24"/>
        </w:rPr>
        <w:t>a</w:t>
      </w:r>
      <w:r w:rsidRPr="006D597D">
        <w:rPr>
          <w:rStyle w:val="inlineblock"/>
          <w:rFonts w:cs="Arial"/>
          <w:color w:val="222222"/>
          <w:sz w:val="24"/>
          <w:szCs w:val="24"/>
        </w:rPr>
        <w:t>ddition slightly increased urease activity is another contrasting finding wi</w:t>
      </w:r>
      <w:r w:rsidR="001F67FC" w:rsidRPr="006D597D">
        <w:rPr>
          <w:rStyle w:val="inlineblock"/>
          <w:rFonts w:cs="Arial"/>
          <w:color w:val="222222"/>
          <w:sz w:val="24"/>
          <w:szCs w:val="24"/>
        </w:rPr>
        <w:t>th Sunderban Soils. A detailed</w:t>
      </w:r>
      <w:r w:rsidRPr="006D597D">
        <w:rPr>
          <w:rStyle w:val="inlineblock"/>
          <w:rFonts w:cs="Arial"/>
          <w:color w:val="222222"/>
          <w:sz w:val="24"/>
          <w:szCs w:val="24"/>
        </w:rPr>
        <w:t xml:space="preserve"> study with wider sampling area and larger sample size is however required to reach to a final conclusion.</w:t>
      </w:r>
    </w:p>
    <w:p w:rsidR="00AF4820" w:rsidRPr="006D597D" w:rsidRDefault="00AF4820" w:rsidP="008158B4">
      <w:pPr>
        <w:spacing w:after="0"/>
        <w:ind w:left="-57" w:right="-57"/>
        <w:jc w:val="both"/>
        <w:rPr>
          <w:rStyle w:val="inlineblock"/>
          <w:rFonts w:cs="Arial"/>
          <w:color w:val="222222"/>
          <w:sz w:val="24"/>
          <w:szCs w:val="24"/>
        </w:rPr>
      </w:pPr>
    </w:p>
    <w:p w:rsidR="00C41FBA" w:rsidRDefault="00C41FBA" w:rsidP="00057CFA">
      <w:pPr>
        <w:spacing w:after="0"/>
        <w:ind w:left="-57" w:right="-57"/>
        <w:jc w:val="center"/>
        <w:rPr>
          <w:rStyle w:val="inlineblock"/>
          <w:rFonts w:cs="Arial"/>
          <w:b/>
          <w:color w:val="222222"/>
          <w:sz w:val="24"/>
          <w:szCs w:val="24"/>
        </w:rPr>
      </w:pPr>
    </w:p>
    <w:p w:rsidR="00C73E52" w:rsidRDefault="00C73E52" w:rsidP="00057CFA">
      <w:pPr>
        <w:spacing w:after="0"/>
        <w:ind w:left="-57" w:right="-57"/>
        <w:jc w:val="center"/>
        <w:rPr>
          <w:rStyle w:val="inlineblock"/>
          <w:rFonts w:cs="Arial"/>
          <w:b/>
          <w:color w:val="222222"/>
          <w:sz w:val="24"/>
          <w:szCs w:val="24"/>
        </w:rPr>
      </w:pPr>
    </w:p>
    <w:p w:rsidR="00C73E52" w:rsidRDefault="00C73E52" w:rsidP="00057CFA">
      <w:pPr>
        <w:spacing w:after="0"/>
        <w:ind w:left="-57" w:right="-57"/>
        <w:jc w:val="center"/>
        <w:rPr>
          <w:rStyle w:val="inlineblock"/>
          <w:rFonts w:cs="Arial"/>
          <w:b/>
          <w:color w:val="222222"/>
          <w:sz w:val="24"/>
          <w:szCs w:val="24"/>
        </w:rPr>
      </w:pPr>
    </w:p>
    <w:p w:rsidR="00C73E52" w:rsidRDefault="00C73E52" w:rsidP="00057CFA">
      <w:pPr>
        <w:spacing w:after="0"/>
        <w:ind w:left="-57" w:right="-57"/>
        <w:jc w:val="center"/>
        <w:rPr>
          <w:rStyle w:val="inlineblock"/>
          <w:rFonts w:cs="Arial"/>
          <w:b/>
          <w:color w:val="222222"/>
          <w:sz w:val="24"/>
          <w:szCs w:val="24"/>
        </w:rPr>
      </w:pPr>
      <w:bookmarkStart w:id="0" w:name="_GoBack"/>
      <w:bookmarkEnd w:id="0"/>
    </w:p>
    <w:p w:rsidR="00C41FBA" w:rsidRDefault="00C41FBA" w:rsidP="00057CFA">
      <w:pPr>
        <w:spacing w:after="0"/>
        <w:ind w:left="-57" w:right="-57"/>
        <w:jc w:val="center"/>
        <w:rPr>
          <w:rStyle w:val="inlineblock"/>
          <w:rFonts w:cs="Arial"/>
          <w:b/>
          <w:color w:val="222222"/>
          <w:sz w:val="24"/>
          <w:szCs w:val="24"/>
        </w:rPr>
      </w:pPr>
    </w:p>
    <w:p w:rsidR="00C41FBA" w:rsidRPr="00C41FBA" w:rsidRDefault="00C41FBA" w:rsidP="00C41FBA">
      <w:pPr>
        <w:jc w:val="both"/>
        <w:outlineLvl w:val="0"/>
        <w:rPr>
          <w:rFonts w:ascii="Arial" w:eastAsia="Times New Roman" w:hAnsi="Arial" w:cs="Arial"/>
          <w:lang w:val="en-GB" w:eastAsia="en-GB"/>
        </w:rPr>
      </w:pPr>
      <w:r w:rsidRPr="00C41FBA">
        <w:rPr>
          <w:rFonts w:ascii="Arial" w:eastAsia="Times New Roman" w:hAnsi="Arial" w:cs="Arial"/>
          <w:b/>
          <w:bCs/>
          <w:lang w:val="en-GB" w:eastAsia="en-GB"/>
        </w:rPr>
        <w:lastRenderedPageBreak/>
        <w:t>COMPETING INTERESTS DISCLAIMER:</w:t>
      </w:r>
    </w:p>
    <w:p w:rsidR="00C41FBA" w:rsidRPr="00C41FBA" w:rsidRDefault="00C41FBA" w:rsidP="00C41FBA">
      <w:pPr>
        <w:rPr>
          <w:rFonts w:ascii="Calibri" w:eastAsia="Times New Roman" w:hAnsi="Calibri" w:cs="Times New Roman"/>
          <w:lang w:val="en-GB" w:eastAsia="en-GB"/>
        </w:rPr>
      </w:pPr>
      <w:r w:rsidRPr="00C41FB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C41FBA" w:rsidRDefault="00C41FBA" w:rsidP="00057CFA">
      <w:pPr>
        <w:spacing w:after="0"/>
        <w:ind w:left="-57" w:right="-57"/>
        <w:jc w:val="center"/>
        <w:rPr>
          <w:rStyle w:val="inlineblock"/>
          <w:rFonts w:cs="Arial"/>
          <w:b/>
          <w:color w:val="222222"/>
          <w:sz w:val="24"/>
          <w:szCs w:val="24"/>
        </w:rPr>
      </w:pPr>
    </w:p>
    <w:p w:rsidR="001F67FC" w:rsidRPr="001F67FC" w:rsidRDefault="001F67FC" w:rsidP="008158B4">
      <w:pPr>
        <w:spacing w:after="0"/>
        <w:ind w:left="-57" w:right="-57"/>
        <w:jc w:val="both"/>
        <w:rPr>
          <w:rStyle w:val="inlineblock"/>
          <w:rFonts w:cs="Arial"/>
          <w:b/>
          <w:color w:val="222222"/>
          <w:sz w:val="24"/>
          <w:szCs w:val="24"/>
        </w:rPr>
      </w:pPr>
    </w:p>
    <w:p w:rsidR="008158B4" w:rsidRPr="008158B4" w:rsidRDefault="008158B4" w:rsidP="0081149D">
      <w:pPr>
        <w:adjustRightInd w:val="0"/>
        <w:spacing w:after="0"/>
        <w:ind w:left="-57" w:right="-57"/>
        <w:rPr>
          <w:rFonts w:cs="TimesNewRomanPS-BoldMT"/>
          <w:b/>
          <w:bCs/>
          <w:color w:val="000000"/>
          <w:sz w:val="24"/>
          <w:szCs w:val="24"/>
        </w:rPr>
      </w:pPr>
      <w:r w:rsidRPr="008158B4">
        <w:rPr>
          <w:rFonts w:cs="TimesNewRomanPS-BoldMT"/>
          <w:b/>
          <w:bCs/>
          <w:color w:val="000000"/>
          <w:sz w:val="24"/>
          <w:szCs w:val="24"/>
        </w:rPr>
        <w:t>REFERENCES</w:t>
      </w:r>
    </w:p>
    <w:p w:rsidR="008158B4" w:rsidRPr="00905EF1" w:rsidRDefault="008158B4" w:rsidP="00905EF1">
      <w:pPr>
        <w:spacing w:after="0"/>
        <w:ind w:left="-360"/>
        <w:jc w:val="both"/>
        <w:rPr>
          <w:lang w:val="en-IN"/>
        </w:rPr>
      </w:pPr>
      <w:r w:rsidRPr="00905EF1">
        <w:rPr>
          <w:lang w:val="en-IN"/>
        </w:rPr>
        <w:t>Ananthanarayana, R. and Mithyantha , M. S Uresae activity of the soils of M.R.S Hebbal. Mysore J. Agric Sci. (1970) 4: 109-111]</w:t>
      </w:r>
    </w:p>
    <w:p w:rsidR="00663BF6" w:rsidRDefault="00663BF6" w:rsidP="00905EF1">
      <w:pPr>
        <w:pStyle w:val="Heading1"/>
        <w:shd w:val="clear" w:color="auto" w:fill="FFFFFF"/>
        <w:spacing w:before="0" w:beforeAutospacing="0" w:after="0" w:afterAutospacing="0" w:line="276" w:lineRule="auto"/>
        <w:ind w:left="-360"/>
        <w:jc w:val="both"/>
        <w:rPr>
          <w:rFonts w:asciiTheme="minorHAnsi" w:hAnsiTheme="minorHAnsi"/>
          <w:b w:val="0"/>
          <w:sz w:val="24"/>
          <w:szCs w:val="24"/>
        </w:rPr>
      </w:pPr>
      <w:r w:rsidRPr="00663BF6">
        <w:rPr>
          <w:rFonts w:asciiTheme="minorHAnsi" w:hAnsiTheme="minorHAnsi"/>
          <w:b w:val="0"/>
          <w:sz w:val="24"/>
          <w:szCs w:val="24"/>
        </w:rPr>
        <w:t xml:space="preserve">Atere, C. T., Sangotoye, E. S., &amp; Olawale, B. O. (2020). Effects of glyphosate and neem seed cake addition on microbial respiration and urease activity in an ultisol. *Ife Journal of Agriculture*, *32*(1), 21-32. </w:t>
      </w:r>
      <w:hyperlink r:id="rId17" w:history="1">
        <w:r w:rsidRPr="00C92FB5">
          <w:rPr>
            <w:rStyle w:val="Hyperlink"/>
            <w:rFonts w:asciiTheme="minorHAnsi" w:hAnsiTheme="minorHAnsi"/>
            <w:b w:val="0"/>
            <w:sz w:val="24"/>
            <w:szCs w:val="24"/>
          </w:rPr>
          <w:t>https://journals.oauife.edu.ng/index.php/ija/article/view/260</w:t>
        </w:r>
      </w:hyperlink>
    </w:p>
    <w:p w:rsidR="00663BF6" w:rsidRPr="00663BF6" w:rsidRDefault="00663BF6" w:rsidP="00905EF1">
      <w:pPr>
        <w:pStyle w:val="articlelayoutheaderinfojournaldate"/>
        <w:shd w:val="clear" w:color="auto" w:fill="F7F7F7"/>
        <w:spacing w:before="0" w:beforeAutospacing="0" w:after="0" w:afterAutospacing="0" w:line="276" w:lineRule="auto"/>
        <w:ind w:left="-360"/>
        <w:jc w:val="both"/>
        <w:rPr>
          <w:rFonts w:asciiTheme="minorHAnsi" w:hAnsiTheme="minorHAnsi" w:cs="Arial"/>
          <w:shd w:val="clear" w:color="auto" w:fill="EAEAEA"/>
        </w:rPr>
      </w:pPr>
      <w:r w:rsidRPr="00663BF6">
        <w:rPr>
          <w:rFonts w:asciiTheme="minorHAnsi" w:hAnsiTheme="minorHAnsi"/>
          <w:bCs/>
          <w:kern w:val="36"/>
        </w:rPr>
        <w:t>Chhonkar, P. K., &amp; Tarafdar, J. C. (1984). Accumulation of phosphatases in soils. Journal of the Indian Society of Soil Science, 32, 266-272.</w:t>
      </w:r>
    </w:p>
    <w:p w:rsidR="00663BF6" w:rsidRPr="00905EF1" w:rsidRDefault="00663BF6" w:rsidP="00905EF1">
      <w:pPr>
        <w:spacing w:after="0"/>
        <w:ind w:left="-360"/>
        <w:jc w:val="both"/>
        <w:rPr>
          <w:rFonts w:ascii="Calibri" w:hAnsi="Calibri" w:cs="Times New Roman"/>
          <w:kern w:val="2"/>
          <w:lang w:val="en-IN"/>
        </w:rPr>
      </w:pPr>
      <w:r w:rsidRPr="00905EF1">
        <w:rPr>
          <w:rFonts w:cs="Arial"/>
          <w:shd w:val="clear" w:color="auto" w:fill="EAEAEA"/>
          <w:lang w:val="en-IN" w:eastAsia="en-IN"/>
        </w:rPr>
        <w:t xml:space="preserve">Cookson, P. (1999). Spatial Variation of Soil Urease Activity Around Irrigated Date Palms. Arid Soil Research and Rehabilitation. </w:t>
      </w:r>
      <w:hyperlink r:id="rId18" w:history="1">
        <w:r w:rsidRPr="00905EF1">
          <w:rPr>
            <w:rStyle w:val="Hyperlink"/>
            <w:rFonts w:cs="Arial"/>
            <w:shd w:val="clear" w:color="auto" w:fill="EAEAEA"/>
            <w:lang w:val="en-IN" w:eastAsia="en-IN"/>
          </w:rPr>
          <w:t>https://doi.org/10.1080/089030699263393</w:t>
        </w:r>
      </w:hyperlink>
    </w:p>
    <w:p w:rsidR="00663BF6" w:rsidRPr="00905EF1" w:rsidRDefault="00663BF6" w:rsidP="00905EF1">
      <w:pPr>
        <w:spacing w:after="0"/>
        <w:ind w:left="-360"/>
        <w:jc w:val="both"/>
        <w:rPr>
          <w:shd w:val="clear" w:color="auto" w:fill="F7F7F7"/>
        </w:rPr>
      </w:pPr>
      <w:r w:rsidRPr="00905EF1">
        <w:rPr>
          <w:lang w:val="en-IN"/>
        </w:rPr>
        <w:t xml:space="preserve">Dalal, R. C. (1975). Urease activity in some Trinidad soils. Soil Biology and Biochemistry, 7(1), 5-8. </w:t>
      </w:r>
      <w:hyperlink r:id="rId19" w:history="1">
        <w:r w:rsidRPr="00905EF1">
          <w:rPr>
            <w:rStyle w:val="Hyperlink"/>
            <w:lang w:val="en-IN"/>
          </w:rPr>
          <w:t>https://doi.org/10.1016/0038-0717(75)90022-X</w:t>
        </w:r>
      </w:hyperlink>
    </w:p>
    <w:p w:rsidR="00663BF6" w:rsidRPr="00905EF1" w:rsidRDefault="00663BF6" w:rsidP="00905EF1">
      <w:pPr>
        <w:autoSpaceDE w:val="0"/>
        <w:autoSpaceDN w:val="0"/>
        <w:adjustRightInd w:val="0"/>
        <w:spacing w:after="0"/>
        <w:ind w:left="-360"/>
        <w:rPr>
          <w:rFonts w:eastAsia="TimesNewRoman" w:cs="TimesNewRoman"/>
          <w:lang w:val="en-IN"/>
        </w:rPr>
      </w:pPr>
      <w:r w:rsidRPr="00905EF1">
        <w:rPr>
          <w:shd w:val="clear" w:color="auto" w:fill="F7F7F7"/>
        </w:rPr>
        <w:t xml:space="preserve">Fisher, K. A., Yarwood, S. A., &amp; James, B. R. (2017). Soil urease activity and bacterial ureC gene copy numbers: Effect of pH.Geoderma, 285, 1–8. </w:t>
      </w:r>
      <w:hyperlink r:id="rId20" w:history="1">
        <w:r w:rsidRPr="00905EF1">
          <w:rPr>
            <w:rStyle w:val="Hyperlink"/>
            <w:shd w:val="clear" w:color="auto" w:fill="F7F7F7"/>
          </w:rPr>
          <w:t>https://doi.org/10.1016/j.geoderma.2016.09.012</w:t>
        </w:r>
      </w:hyperlink>
    </w:p>
    <w:p w:rsidR="00663BF6" w:rsidRPr="00905EF1" w:rsidRDefault="00663BF6" w:rsidP="00905EF1">
      <w:pPr>
        <w:autoSpaceDE w:val="0"/>
        <w:autoSpaceDN w:val="0"/>
        <w:adjustRightInd w:val="0"/>
        <w:spacing w:after="0"/>
        <w:ind w:left="-360"/>
        <w:rPr>
          <w:rFonts w:eastAsia="TimesNewRoman" w:cs="TimesNewRoman"/>
          <w:lang w:val="en-IN"/>
        </w:rPr>
      </w:pPr>
      <w:r w:rsidRPr="00905EF1">
        <w:rPr>
          <w:rFonts w:eastAsia="TimesNewRoman" w:cs="TimesNewRoman"/>
          <w:lang w:val="en-IN"/>
        </w:rPr>
        <w:t xml:space="preserve">Hirai, M., Kawai-Hirai, R., Hirai, T., &amp; Ueki, T. (1993). Structural change of jack bean urease induced by addition of surfactants studied with synchrotron-radiation small-angle X-ray scattering. European Journal of Biochemistry, 215(1), 55–61. </w:t>
      </w:r>
      <w:hyperlink r:id="rId21" w:history="1">
        <w:r w:rsidRPr="00905EF1">
          <w:rPr>
            <w:rStyle w:val="Hyperlink"/>
            <w:rFonts w:eastAsia="TimesNewRoman" w:cs="TimesNewRoman"/>
            <w:lang w:val="en-IN"/>
          </w:rPr>
          <w:t>https://doi.org/10.1111/j.1432-1033.1993.tb18006.x</w:t>
        </w:r>
      </w:hyperlink>
    </w:p>
    <w:p w:rsidR="00663BF6" w:rsidRPr="00905EF1" w:rsidRDefault="00663BF6" w:rsidP="00905EF1">
      <w:pPr>
        <w:spacing w:after="0"/>
        <w:ind w:left="-360"/>
        <w:jc w:val="both"/>
        <w:rPr>
          <w:rFonts w:eastAsia="Times New Roman" w:cs="Times New Roman"/>
          <w:lang w:val="en-IN"/>
        </w:rPr>
      </w:pPr>
      <w:r w:rsidRPr="00905EF1">
        <w:rPr>
          <w:rFonts w:eastAsia="TimesNewRoman" w:cs="TimesNewRoman"/>
          <w:lang w:val="en-IN"/>
        </w:rPr>
        <w:t xml:space="preserve">Hirayama, C., Sugimura, M., Saito, H., &amp; Nakamura, M. (2000). Purification and properties of urease from the leaf of mulberry, Morus alba. Phytochemistry, 53(3), 325–330. </w:t>
      </w:r>
      <w:hyperlink r:id="rId22" w:history="1">
        <w:r w:rsidRPr="00905EF1">
          <w:rPr>
            <w:rStyle w:val="Hyperlink"/>
            <w:rFonts w:eastAsia="TimesNewRoman" w:cs="TimesNewRoman"/>
            <w:lang w:val="en-IN"/>
          </w:rPr>
          <w:t>https://doi.org/10.1016/s0031-9422(99)00521-x</w:t>
        </w:r>
      </w:hyperlink>
    </w:p>
    <w:p w:rsidR="008158B4" w:rsidRPr="00905EF1" w:rsidRDefault="008158B4" w:rsidP="00905EF1">
      <w:pPr>
        <w:spacing w:after="0"/>
        <w:ind w:left="-360"/>
        <w:jc w:val="both"/>
        <w:rPr>
          <w:lang w:val="en-IN"/>
        </w:rPr>
      </w:pPr>
      <w:r w:rsidRPr="00905EF1">
        <w:rPr>
          <w:lang w:val="en-IN"/>
        </w:rPr>
        <w:t>Hofmann, E . and Schmidt, W.. Uber das Enzym System on Serer Kulturboder-II. Urease. Biochem. Z. (1953), 324: 125-127.</w:t>
      </w:r>
    </w:p>
    <w:p w:rsidR="00663BF6" w:rsidRPr="00663BF6" w:rsidRDefault="00663BF6" w:rsidP="00905EF1">
      <w:pPr>
        <w:autoSpaceDE w:val="0"/>
        <w:autoSpaceDN w:val="0"/>
        <w:adjustRightInd w:val="0"/>
        <w:spacing w:after="0"/>
        <w:ind w:left="-360"/>
        <w:rPr>
          <w:rFonts w:eastAsia="Times New Roman" w:cs="Times New Roman"/>
        </w:rPr>
      </w:pPr>
      <w:r w:rsidRPr="00905EF1">
        <w:rPr>
          <w:rFonts w:eastAsia="TimesNewRoman" w:cs="TimesNewRoman"/>
          <w:lang w:val="en-IN"/>
        </w:rPr>
        <w:t xml:space="preserve">Hogan, M. E., Swift, I. E., &amp; Done, J. (1983). Urease assay and ammonia release from leaf tissues. Phytochemistry, 22, 663–667. </w:t>
      </w:r>
      <w:hyperlink r:id="rId23" w:history="1">
        <w:r w:rsidRPr="00905EF1">
          <w:rPr>
            <w:rStyle w:val="Hyperlink"/>
            <w:rFonts w:eastAsia="TimesNewRoman" w:cs="TimesNewRoman"/>
            <w:lang w:val="en-IN"/>
          </w:rPr>
          <w:t>https://doi.org/10.1016/S0031-9422(00)86958-7</w:t>
        </w:r>
      </w:hyperlink>
    </w:p>
    <w:p w:rsidR="00663BF6" w:rsidRDefault="00663BF6" w:rsidP="00905EF1">
      <w:pPr>
        <w:spacing w:after="0"/>
        <w:ind w:left="-360"/>
        <w:jc w:val="both"/>
      </w:pPr>
      <w:r w:rsidRPr="00663BF6">
        <w:t xml:space="preserve">Hu, C., &amp; Cao, Z. (2007). Size and activity of soil microbial biomass and soil enzyme activity in long term field experiments. World Journal of Agricultural Sciences, 3(1), 63–70. </w:t>
      </w:r>
      <w:hyperlink r:id="rId24" w:history="1">
        <w:r w:rsidRPr="00C92FB5">
          <w:rPr>
            <w:rStyle w:val="Hyperlink"/>
          </w:rPr>
          <w:t>https://idosi.org/wjas/wjas3(1)/wjas3(1).htm</w:t>
        </w:r>
      </w:hyperlink>
    </w:p>
    <w:p w:rsidR="00663BF6" w:rsidRPr="00905EF1" w:rsidRDefault="00663BF6" w:rsidP="00905EF1">
      <w:pPr>
        <w:autoSpaceDE w:val="0"/>
        <w:autoSpaceDN w:val="0"/>
        <w:adjustRightInd w:val="0"/>
        <w:spacing w:after="0"/>
        <w:ind w:left="-360"/>
        <w:rPr>
          <w:rFonts w:eastAsia="TimesNewRoman" w:cs="TimesNewRoman"/>
          <w:lang w:val="en-IN"/>
        </w:rPr>
      </w:pPr>
      <w:r w:rsidRPr="00663BF6">
        <w:t xml:space="preserve">Guo, J., Xiong, W., Qiu, J., &amp; Wang, G. (2023). Linking soil organic carbon mineralization to soil physicochemical properties and bacterial alpha diversity at different depths following land use changes. Ecological Processes, 12(1), 39. </w:t>
      </w:r>
      <w:hyperlink r:id="rId25" w:history="1">
        <w:r w:rsidRPr="00C92FB5">
          <w:rPr>
            <w:rStyle w:val="Hyperlink"/>
          </w:rPr>
          <w:t>https://doi.org/10.1186/s13717-023-00450-z</w:t>
        </w:r>
      </w:hyperlink>
    </w:p>
    <w:p w:rsidR="00663BF6" w:rsidRPr="00905EF1" w:rsidRDefault="00663BF6" w:rsidP="00905EF1">
      <w:pPr>
        <w:autoSpaceDE w:val="0"/>
        <w:autoSpaceDN w:val="0"/>
        <w:adjustRightInd w:val="0"/>
        <w:spacing w:after="0"/>
        <w:ind w:left="-360"/>
        <w:rPr>
          <w:rFonts w:eastAsia="TimesNewRoman" w:cs="TimesNewRoman"/>
          <w:lang w:val="en-IN"/>
        </w:rPr>
      </w:pPr>
      <w:r w:rsidRPr="00905EF1">
        <w:rPr>
          <w:rFonts w:eastAsia="TimesNewRoman" w:cs="TimesNewRoman"/>
          <w:lang w:val="en-IN"/>
        </w:rPr>
        <w:t xml:space="preserve">Karmali, A., &amp; Domingos, A. (1993). Monoclonal antibodies against urease from Canavalia ensiformis. Biochimie, 75(11), 1001–1006. </w:t>
      </w:r>
      <w:hyperlink r:id="rId26" w:history="1">
        <w:r w:rsidRPr="00905EF1">
          <w:rPr>
            <w:rStyle w:val="Hyperlink"/>
            <w:rFonts w:eastAsia="TimesNewRoman" w:cs="TimesNewRoman"/>
            <w:lang w:val="en-IN"/>
          </w:rPr>
          <w:t>https://doi.org/10.1016/0300-9084(93)90152-i</w:t>
        </w:r>
      </w:hyperlink>
    </w:p>
    <w:p w:rsidR="008158B4" w:rsidRPr="00905EF1" w:rsidRDefault="008158B4" w:rsidP="00905EF1">
      <w:pPr>
        <w:autoSpaceDE w:val="0"/>
        <w:autoSpaceDN w:val="0"/>
        <w:adjustRightInd w:val="0"/>
        <w:spacing w:after="0"/>
        <w:ind w:left="-360"/>
        <w:rPr>
          <w:rFonts w:eastAsia="TimesNewRoman" w:cs="TimesNewRoman"/>
          <w:lang w:val="en-IN"/>
        </w:rPr>
      </w:pPr>
      <w:r w:rsidRPr="00905EF1">
        <w:rPr>
          <w:rFonts w:eastAsia="TimesNewRoman" w:cs="TimesNewRoman"/>
          <w:lang w:val="en-IN"/>
        </w:rPr>
        <w:t>Polacco, J.C. and Holland, M.A. Genetic control of plant ureases; in Genetic Engineering (Setlow, J.K., ed.) (1994)  vol. 16, pp. 33–48, Plenum Press, New York.</w:t>
      </w:r>
    </w:p>
    <w:p w:rsidR="00663BF6" w:rsidRPr="00905EF1" w:rsidRDefault="00663BF6" w:rsidP="00905EF1">
      <w:pPr>
        <w:autoSpaceDE w:val="0"/>
        <w:autoSpaceDN w:val="0"/>
        <w:adjustRightInd w:val="0"/>
        <w:spacing w:after="0"/>
        <w:ind w:left="-360"/>
        <w:rPr>
          <w:rFonts w:ascii="Calibri" w:eastAsia="TimesNewRoman" w:hAnsi="Calibri" w:cs="TimesNewRoman"/>
          <w:kern w:val="2"/>
          <w:lang w:val="en-IN"/>
        </w:rPr>
      </w:pPr>
      <w:r w:rsidRPr="00905EF1">
        <w:rPr>
          <w:rFonts w:cs="Arial"/>
          <w:kern w:val="36"/>
          <w:lang w:val="en-IN" w:eastAsia="en-IN"/>
        </w:rPr>
        <w:t xml:space="preserve">Sriraj, P., Toomsan, B., &amp;Butnan, S. (2022). Effects of Neem Leaf Extract on the Soil Properties, Growth, Yield, and Inorganic Nitrogen Contents of Lettuce. Horticulturae, 8(12), 1104. </w:t>
      </w:r>
      <w:hyperlink r:id="rId27" w:history="1">
        <w:r w:rsidRPr="00905EF1">
          <w:rPr>
            <w:rStyle w:val="Hyperlink"/>
            <w:rFonts w:cs="Arial"/>
            <w:kern w:val="36"/>
            <w:lang w:val="en-IN" w:eastAsia="en-IN"/>
          </w:rPr>
          <w:t>https://doi.org/10.3390/horticulturae8121104</w:t>
        </w:r>
      </w:hyperlink>
    </w:p>
    <w:p w:rsidR="008158B4" w:rsidRPr="00905EF1" w:rsidRDefault="008158B4" w:rsidP="00905EF1">
      <w:pPr>
        <w:autoSpaceDE w:val="0"/>
        <w:autoSpaceDN w:val="0"/>
        <w:adjustRightInd w:val="0"/>
        <w:spacing w:after="0"/>
        <w:ind w:left="-360"/>
        <w:rPr>
          <w:rFonts w:eastAsia="TimesNewRoman" w:cs="TimesNewRoman"/>
          <w:lang w:val="en-IN"/>
        </w:rPr>
      </w:pPr>
      <w:r w:rsidRPr="00663BF6">
        <w:lastRenderedPageBreak/>
        <w:t>Reddy, V. R .M .and Mishra. B .N. Effect of altered soil neem activity and temperature on ammonia volatalisation for surface applied urea. Journal of Indian Society of Soil Science (1983) 31: 143-145.</w:t>
      </w:r>
    </w:p>
    <w:p w:rsidR="00663BF6" w:rsidRPr="00663BF6" w:rsidRDefault="00663BF6" w:rsidP="00905EF1">
      <w:pPr>
        <w:autoSpaceDE w:val="0"/>
        <w:autoSpaceDN w:val="0"/>
        <w:adjustRightInd w:val="0"/>
        <w:spacing w:after="0"/>
        <w:ind w:left="-360"/>
        <w:rPr>
          <w:rFonts w:ascii="Calibri" w:hAnsi="Calibri"/>
          <w:kern w:val="2"/>
        </w:rPr>
      </w:pPr>
      <w:r w:rsidRPr="00905EF1">
        <w:rPr>
          <w:shd w:val="clear" w:color="auto" w:fill="F7F7F7"/>
          <w:lang w:val="en-IN" w:eastAsia="en-IN"/>
        </w:rPr>
        <w:t xml:space="preserve">Zhao, R., Liu, J., Xu, N., He, T., Meng, J., &amp; Liu, Z. (2022). Urea hydrolysis in different farmland soils as affected by long-term biochar application. Frontiers in Environmental Science. </w:t>
      </w:r>
      <w:hyperlink r:id="rId28" w:history="1">
        <w:r w:rsidRPr="00905EF1">
          <w:rPr>
            <w:rStyle w:val="Hyperlink"/>
            <w:shd w:val="clear" w:color="auto" w:fill="F7F7F7"/>
            <w:lang w:val="en-IN" w:eastAsia="en-IN"/>
          </w:rPr>
          <w:t>https://doi.org/10.3389/fenvs.2022.950482</w:t>
        </w:r>
      </w:hyperlink>
    </w:p>
    <w:p w:rsidR="008158B4" w:rsidRPr="00663BF6" w:rsidRDefault="008158B4" w:rsidP="00905EF1">
      <w:pPr>
        <w:autoSpaceDE w:val="0"/>
        <w:autoSpaceDN w:val="0"/>
        <w:adjustRightInd w:val="0"/>
        <w:spacing w:after="0"/>
        <w:ind w:left="-360"/>
      </w:pPr>
      <w:r w:rsidRPr="00663BF6">
        <w:t>Shilpashree, Y.P and Kotur, S.C.. Urease and dehydrogenase activity as related to physico-chemical properties of some soils of Bangalore region. Mysore Journal of Agricultural Research. (2009) 43(4): 803-804.</w:t>
      </w:r>
    </w:p>
    <w:p w:rsidR="008158B4" w:rsidRPr="00663BF6" w:rsidRDefault="005743C6" w:rsidP="00905EF1">
      <w:pPr>
        <w:spacing w:after="0"/>
        <w:ind w:left="-360"/>
        <w:jc w:val="both"/>
      </w:pPr>
      <w:hyperlink r:id="rId29" w:tgtFrame="_blank" w:history="1">
        <w:r w:rsidR="008158B4" w:rsidRPr="00905EF1">
          <w:rPr>
            <w:rStyle w:val="Hyperlink"/>
            <w:color w:val="auto"/>
            <w:sz w:val="24"/>
            <w:szCs w:val="24"/>
          </w:rPr>
          <w:t>Subhajit Das</w:t>
        </w:r>
      </w:hyperlink>
      <w:r w:rsidR="008158B4" w:rsidRPr="00905EF1">
        <w:rPr>
          <w:vertAlign w:val="superscript"/>
        </w:rPr>
        <w:t>*</w:t>
      </w:r>
      <w:r w:rsidR="008158B4" w:rsidRPr="00663BF6">
        <w:t>, </w:t>
      </w:r>
      <w:hyperlink r:id="rId30" w:tgtFrame="_blank" w:history="1">
        <w:r w:rsidR="008158B4" w:rsidRPr="00905EF1">
          <w:rPr>
            <w:rStyle w:val="Hyperlink"/>
            <w:color w:val="auto"/>
            <w:sz w:val="24"/>
            <w:szCs w:val="24"/>
          </w:rPr>
          <w:t>DipnarayanGanguly</w:t>
        </w:r>
      </w:hyperlink>
      <w:r w:rsidR="008158B4" w:rsidRPr="00663BF6">
        <w:t>, </w:t>
      </w:r>
      <w:hyperlink r:id="rId31" w:tgtFrame="_blank" w:history="1">
        <w:r w:rsidR="008158B4" w:rsidRPr="00905EF1">
          <w:rPr>
            <w:rStyle w:val="Hyperlink"/>
            <w:color w:val="auto"/>
            <w:sz w:val="24"/>
            <w:szCs w:val="24"/>
          </w:rPr>
          <w:t>Abhishek Mukherjee</w:t>
        </w:r>
      </w:hyperlink>
      <w:r w:rsidR="008158B4" w:rsidRPr="00663BF6">
        <w:t>, </w:t>
      </w:r>
      <w:hyperlink r:id="rId32" w:tgtFrame="_blank" w:history="1">
        <w:r w:rsidR="008158B4" w:rsidRPr="00905EF1">
          <w:rPr>
            <w:rStyle w:val="Hyperlink"/>
            <w:color w:val="auto"/>
            <w:sz w:val="24"/>
            <w:szCs w:val="24"/>
          </w:rPr>
          <w:t>Sabyasachi Chakraborty</w:t>
        </w:r>
      </w:hyperlink>
      <w:r w:rsidR="008158B4" w:rsidRPr="00663BF6">
        <w:t>, </w:t>
      </w:r>
      <w:hyperlink r:id="rId33" w:tgtFrame="_blank" w:history="1">
        <w:r w:rsidR="008158B4" w:rsidRPr="00905EF1">
          <w:rPr>
            <w:rStyle w:val="Hyperlink"/>
            <w:color w:val="auto"/>
            <w:sz w:val="24"/>
            <w:szCs w:val="24"/>
          </w:rPr>
          <w:t>Tarun Kumar De</w:t>
        </w:r>
      </w:hyperlink>
      <w:r w:rsidR="008158B4" w:rsidRPr="00663BF6">
        <w:t xml:space="preserve">, </w:t>
      </w:r>
      <w:r w:rsidR="008158B4" w:rsidRPr="00905EF1">
        <w:rPr>
          <w:bCs/>
        </w:rPr>
        <w:t xml:space="preserve">Soil Urease Activity of Sundarban Mangrove Ecosystem, India, </w:t>
      </w:r>
      <w:hyperlink r:id="rId34" w:tooltip="Advances in Microbiology" w:history="1">
        <w:r w:rsidR="008158B4" w:rsidRPr="00905EF1">
          <w:rPr>
            <w:rStyle w:val="Hyperlink"/>
            <w:color w:val="auto"/>
            <w:sz w:val="24"/>
            <w:szCs w:val="24"/>
          </w:rPr>
          <w:t>Advances in Microbiology</w:t>
        </w:r>
      </w:hyperlink>
      <w:r w:rsidR="008158B4" w:rsidRPr="00663BF6">
        <w:t>  </w:t>
      </w:r>
      <w:hyperlink r:id="rId35" w:anchor="78714" w:history="1">
        <w:r w:rsidR="008158B4" w:rsidRPr="00905EF1">
          <w:rPr>
            <w:rStyle w:val="Hyperlink"/>
            <w:color w:val="auto"/>
            <w:sz w:val="24"/>
            <w:szCs w:val="24"/>
          </w:rPr>
          <w:t>Vol.7 No.8, August 2017</w:t>
        </w:r>
      </w:hyperlink>
      <w:r w:rsidR="008158B4" w:rsidRPr="00663BF6">
        <w:t>.</w:t>
      </w:r>
      <w:r w:rsidR="008158B4" w:rsidRPr="00905EF1">
        <w:rPr>
          <w:bCs/>
        </w:rPr>
        <w:t>DOI: </w:t>
      </w:r>
      <w:hyperlink r:id="rId36" w:tgtFrame="_blank" w:history="1">
        <w:r w:rsidR="008158B4" w:rsidRPr="00905EF1">
          <w:rPr>
            <w:rStyle w:val="Hyperlink"/>
            <w:color w:val="auto"/>
            <w:sz w:val="24"/>
            <w:szCs w:val="24"/>
          </w:rPr>
          <w:t>10.4236/aim.2017.78048</w:t>
        </w:r>
      </w:hyperlink>
      <w:r w:rsidR="008158B4" w:rsidRPr="00663BF6">
        <w:t> </w:t>
      </w:r>
    </w:p>
    <w:p w:rsidR="008158B4" w:rsidRPr="00905EF1" w:rsidRDefault="008158B4" w:rsidP="00905EF1">
      <w:pPr>
        <w:autoSpaceDE w:val="0"/>
        <w:autoSpaceDN w:val="0"/>
        <w:adjustRightInd w:val="0"/>
        <w:spacing w:after="0"/>
        <w:ind w:left="-360"/>
        <w:rPr>
          <w:rFonts w:eastAsia="TimesNewRoman" w:cs="TimesNewRoman"/>
          <w:lang w:val="en-IN"/>
        </w:rPr>
      </w:pPr>
      <w:r w:rsidRPr="00663BF6">
        <w:t>Suryanarayan, Reddy M. and Chhonkar, P. K.  Urease activity in soil and flood water as influenced by regulatory chemicals and oxygen stress. Journal of Indian Society of Soil Science (1991) 39: 84-88.</w:t>
      </w:r>
    </w:p>
    <w:p w:rsidR="00663BF6" w:rsidRPr="00905EF1" w:rsidRDefault="00663BF6" w:rsidP="00905EF1">
      <w:pPr>
        <w:spacing w:after="0"/>
        <w:ind w:left="-360"/>
        <w:jc w:val="both"/>
        <w:rPr>
          <w:rFonts w:eastAsia="Times New Roman" w:cs="Times New Roman"/>
          <w:shd w:val="clear" w:color="auto" w:fill="F7F7F7"/>
        </w:rPr>
      </w:pPr>
      <w:r w:rsidRPr="00905EF1">
        <w:rPr>
          <w:rFonts w:eastAsia="TimesNewRoman" w:cs="TimesNewRoman"/>
          <w:lang w:val="en-IN"/>
        </w:rPr>
        <w:t xml:space="preserve">Takishima, K., Suga, T., &amp; Mamiya, G. (1988). The structure of jack bean urease. The complete amino acid sequence, limited proteolysis and reactive cysteine residues. European Journal of Biochemistry, 175(1), 151–165. </w:t>
      </w:r>
      <w:hyperlink r:id="rId37" w:history="1">
        <w:r w:rsidRPr="00905EF1">
          <w:rPr>
            <w:rStyle w:val="Hyperlink"/>
            <w:rFonts w:eastAsia="TimesNewRoman" w:cs="TimesNewRoman"/>
            <w:lang w:val="en-IN"/>
          </w:rPr>
          <w:t>https://doi.org/10.1111/j.1432-1033.1988.tb14177.x</w:t>
        </w:r>
      </w:hyperlink>
    </w:p>
    <w:p w:rsidR="00663BF6" w:rsidRPr="00905EF1" w:rsidRDefault="00663BF6" w:rsidP="00905EF1">
      <w:pPr>
        <w:autoSpaceDE w:val="0"/>
        <w:autoSpaceDN w:val="0"/>
        <w:adjustRightInd w:val="0"/>
        <w:spacing w:after="0"/>
        <w:ind w:left="-360"/>
        <w:rPr>
          <w:rFonts w:eastAsia="TimesNewRoman" w:cs="TimesNewRoman"/>
          <w:lang w:val="en-IN"/>
        </w:rPr>
      </w:pPr>
      <w:r w:rsidRPr="00905EF1">
        <w:rPr>
          <w:shd w:val="clear" w:color="auto" w:fill="F7F7F7"/>
        </w:rPr>
        <w:t xml:space="preserve">Wang, L., Luo, X., Liao, H., Chen, W., Wei, D., Cai, P., &amp; Li, J. (2018). Ureolytic microbial community is modulated by fertilization regimes and particle-size fractions in a black soil of northeastern China. Soil Biology and Biochemistry, 116, 171–178. </w:t>
      </w:r>
      <w:hyperlink r:id="rId38" w:history="1">
        <w:r w:rsidRPr="00905EF1">
          <w:rPr>
            <w:rStyle w:val="Hyperlink"/>
            <w:shd w:val="clear" w:color="auto" w:fill="F7F7F7"/>
          </w:rPr>
          <w:t>https://doi.org/10.1016/j.soilbio.2017.10.012</w:t>
        </w:r>
      </w:hyperlink>
    </w:p>
    <w:p w:rsidR="008158B4" w:rsidRPr="00905EF1" w:rsidRDefault="00663BF6" w:rsidP="00905EF1">
      <w:pPr>
        <w:spacing w:after="0"/>
        <w:ind w:left="-360"/>
        <w:jc w:val="both"/>
        <w:rPr>
          <w:color w:val="C00000"/>
          <w:lang w:val="en-IN"/>
        </w:rPr>
      </w:pPr>
      <w:r w:rsidRPr="00905EF1">
        <w:rPr>
          <w:rFonts w:eastAsia="TimesNewRoman" w:cs="TimesNewRoman"/>
          <w:lang w:val="en-IN"/>
        </w:rPr>
        <w:t>Zonia, L. E., Stebbins, N. E., &amp; Polacco, J. C. (1995). Essential role of urease in germination of nitrogen-limited Arabidopsis thaliana seeds. Plant Physiology, 107(4), 1097–1103. https://doi.org/10.1104/pp.107.4.1097</w:t>
      </w:r>
    </w:p>
    <w:p w:rsidR="008158B4" w:rsidRDefault="008158B4" w:rsidP="00057CFA">
      <w:pPr>
        <w:spacing w:after="0"/>
        <w:jc w:val="center"/>
        <w:rPr>
          <w:rFonts w:cs="Arial"/>
          <w:color w:val="000000"/>
          <w:sz w:val="24"/>
          <w:szCs w:val="24"/>
        </w:rPr>
      </w:pPr>
      <w:r>
        <w:rPr>
          <w:rFonts w:cs="Arial"/>
          <w:color w:val="000000"/>
          <w:sz w:val="24"/>
          <w:szCs w:val="24"/>
        </w:rPr>
        <w:t>-----0-----</w:t>
      </w:r>
    </w:p>
    <w:p w:rsidR="008158B4" w:rsidRDefault="008158B4" w:rsidP="00057CFA">
      <w:pPr>
        <w:spacing w:after="0"/>
        <w:jc w:val="both"/>
        <w:rPr>
          <w:rFonts w:cs="Arial"/>
          <w:color w:val="000000"/>
          <w:sz w:val="24"/>
          <w:szCs w:val="24"/>
        </w:rPr>
      </w:pPr>
    </w:p>
    <w:p w:rsidR="005A30F9" w:rsidRDefault="005A30F9" w:rsidP="00057CFA">
      <w:pPr>
        <w:spacing w:after="0"/>
      </w:pPr>
    </w:p>
    <w:sectPr w:rsidR="005A30F9" w:rsidSect="005743C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E40" w:rsidRDefault="00BE2E40" w:rsidP="00C73E52">
      <w:pPr>
        <w:spacing w:after="0" w:line="240" w:lineRule="auto"/>
      </w:pPr>
      <w:r>
        <w:separator/>
      </w:r>
    </w:p>
  </w:endnote>
  <w:endnote w:type="continuationSeparator" w:id="1">
    <w:p w:rsidR="00BE2E40" w:rsidRDefault="00BE2E40" w:rsidP="00C73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52" w:rsidRDefault="00C73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52" w:rsidRDefault="00C73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52" w:rsidRDefault="00C73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E40" w:rsidRDefault="00BE2E40" w:rsidP="00C73E52">
      <w:pPr>
        <w:spacing w:after="0" w:line="240" w:lineRule="auto"/>
      </w:pPr>
      <w:r>
        <w:separator/>
      </w:r>
    </w:p>
  </w:footnote>
  <w:footnote w:type="continuationSeparator" w:id="1">
    <w:p w:rsidR="00BE2E40" w:rsidRDefault="00BE2E40" w:rsidP="00C73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52" w:rsidRDefault="005743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52" w:rsidRDefault="005743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52" w:rsidRDefault="005743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8668C"/>
    <w:multiLevelType w:val="hybridMultilevel"/>
    <w:tmpl w:val="C960195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67230239"/>
    <w:multiLevelType w:val="multilevel"/>
    <w:tmpl w:val="F70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C1984"/>
    <w:rsid w:val="00033101"/>
    <w:rsid w:val="00057CFA"/>
    <w:rsid w:val="00191A05"/>
    <w:rsid w:val="001F67FC"/>
    <w:rsid w:val="00244260"/>
    <w:rsid w:val="002A4BC1"/>
    <w:rsid w:val="0031160C"/>
    <w:rsid w:val="00355AC9"/>
    <w:rsid w:val="003A292F"/>
    <w:rsid w:val="003D5F55"/>
    <w:rsid w:val="00415D54"/>
    <w:rsid w:val="00426C1C"/>
    <w:rsid w:val="00553075"/>
    <w:rsid w:val="005743C6"/>
    <w:rsid w:val="005A30F9"/>
    <w:rsid w:val="005C5BB8"/>
    <w:rsid w:val="006066A2"/>
    <w:rsid w:val="00663BF6"/>
    <w:rsid w:val="006C1984"/>
    <w:rsid w:val="006D597D"/>
    <w:rsid w:val="00737969"/>
    <w:rsid w:val="00777B85"/>
    <w:rsid w:val="0081149D"/>
    <w:rsid w:val="008158B4"/>
    <w:rsid w:val="0081704B"/>
    <w:rsid w:val="00905EF1"/>
    <w:rsid w:val="0098764E"/>
    <w:rsid w:val="009B0F43"/>
    <w:rsid w:val="009F4E99"/>
    <w:rsid w:val="00A162CD"/>
    <w:rsid w:val="00A80EAF"/>
    <w:rsid w:val="00AB7511"/>
    <w:rsid w:val="00AF4820"/>
    <w:rsid w:val="00BE2E40"/>
    <w:rsid w:val="00C41FBA"/>
    <w:rsid w:val="00C46E3F"/>
    <w:rsid w:val="00C73E52"/>
    <w:rsid w:val="00CF23BA"/>
    <w:rsid w:val="00D170DC"/>
    <w:rsid w:val="00D95F76"/>
    <w:rsid w:val="00E26DD2"/>
    <w:rsid w:val="00E82CD0"/>
    <w:rsid w:val="00F9247E"/>
    <w:rsid w:val="00FC5ED4"/>
    <w:rsid w:val="00FC6D5F"/>
    <w:rsid w:val="00FF3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B4"/>
    <w:rPr>
      <w:rFonts w:eastAsiaTheme="minorEastAsia"/>
      <w:lang w:val="en-US"/>
    </w:rPr>
  </w:style>
  <w:style w:type="paragraph" w:styleId="Heading1">
    <w:name w:val="heading 1"/>
    <w:basedOn w:val="Normal"/>
    <w:link w:val="Heading1Char"/>
    <w:uiPriority w:val="9"/>
    <w:qFormat/>
    <w:rsid w:val="008158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8B4"/>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8158B4"/>
    <w:pPr>
      <w:spacing w:after="160" w:line="278" w:lineRule="auto"/>
      <w:ind w:left="720"/>
      <w:contextualSpacing/>
    </w:pPr>
    <w:rPr>
      <w:rFonts w:ascii="Calibri" w:eastAsia="Times New Roman" w:hAnsi="Calibri" w:cs="Times New Roman"/>
      <w:kern w:val="2"/>
      <w:sz w:val="24"/>
      <w:szCs w:val="24"/>
    </w:rPr>
  </w:style>
  <w:style w:type="character" w:styleId="Hyperlink">
    <w:name w:val="Hyperlink"/>
    <w:basedOn w:val="DefaultParagraphFont"/>
    <w:uiPriority w:val="99"/>
    <w:unhideWhenUsed/>
    <w:rsid w:val="008158B4"/>
    <w:rPr>
      <w:color w:val="0000FF"/>
      <w:u w:val="single"/>
    </w:rPr>
  </w:style>
  <w:style w:type="character" w:customStyle="1" w:styleId="InternetLink">
    <w:name w:val="Internet Link"/>
    <w:uiPriority w:val="99"/>
    <w:rsid w:val="008158B4"/>
    <w:rPr>
      <w:color w:val="0000FF"/>
      <w:u w:val="single"/>
    </w:rPr>
  </w:style>
  <w:style w:type="character" w:styleId="Emphasis">
    <w:name w:val="Emphasis"/>
    <w:basedOn w:val="DefaultParagraphFont"/>
    <w:uiPriority w:val="20"/>
    <w:qFormat/>
    <w:rsid w:val="008158B4"/>
    <w:rPr>
      <w:i/>
      <w:iCs/>
    </w:rPr>
  </w:style>
  <w:style w:type="table" w:styleId="TableGrid">
    <w:name w:val="Table Grid"/>
    <w:basedOn w:val="TableNormal"/>
    <w:uiPriority w:val="59"/>
    <w:rsid w:val="008158B4"/>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158B4"/>
    <w:pPr>
      <w:spacing w:after="0" w:line="240" w:lineRule="auto"/>
    </w:pPr>
    <w:rPr>
      <w:rFonts w:eastAsiaTheme="minorEastAsia"/>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jxassistivemathml">
    <w:name w:val="mjx_assistive_mathml"/>
    <w:basedOn w:val="DefaultParagraphFont"/>
    <w:rsid w:val="008158B4"/>
  </w:style>
  <w:style w:type="paragraph" w:customStyle="1" w:styleId="articlelayoutheaderinfojournaldate">
    <w:name w:val="articlelayoutheader__info__journaldate"/>
    <w:basedOn w:val="Normal"/>
    <w:rsid w:val="008158B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inlineblock">
    <w:name w:val="inlineblock"/>
    <w:basedOn w:val="DefaultParagraphFont"/>
    <w:rsid w:val="008158B4"/>
  </w:style>
  <w:style w:type="character" w:customStyle="1" w:styleId="dtet0b">
    <w:name w:val="dtet0b"/>
    <w:basedOn w:val="DefaultParagraphFont"/>
    <w:rsid w:val="008158B4"/>
  </w:style>
  <w:style w:type="paragraph" w:styleId="BalloonText">
    <w:name w:val="Balloon Text"/>
    <w:basedOn w:val="Normal"/>
    <w:link w:val="BalloonTextChar"/>
    <w:uiPriority w:val="99"/>
    <w:semiHidden/>
    <w:unhideWhenUsed/>
    <w:rsid w:val="0081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8B4"/>
    <w:rPr>
      <w:rFonts w:ascii="Tahoma" w:eastAsiaTheme="minorEastAsia" w:hAnsi="Tahoma" w:cs="Tahoma"/>
      <w:sz w:val="16"/>
      <w:szCs w:val="16"/>
      <w:lang w:val="en-US"/>
    </w:rPr>
  </w:style>
  <w:style w:type="character" w:customStyle="1" w:styleId="UnresolvedMention">
    <w:name w:val="Unresolved Mention"/>
    <w:basedOn w:val="DefaultParagraphFont"/>
    <w:uiPriority w:val="99"/>
    <w:semiHidden/>
    <w:unhideWhenUsed/>
    <w:rsid w:val="002A4BC1"/>
    <w:rPr>
      <w:color w:val="605E5C"/>
      <w:shd w:val="clear" w:color="auto" w:fill="E1DFDD"/>
    </w:rPr>
  </w:style>
  <w:style w:type="paragraph" w:styleId="Header">
    <w:name w:val="header"/>
    <w:basedOn w:val="Normal"/>
    <w:link w:val="HeaderChar"/>
    <w:uiPriority w:val="99"/>
    <w:unhideWhenUsed/>
    <w:rsid w:val="00C73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E52"/>
    <w:rPr>
      <w:rFonts w:eastAsiaTheme="minorEastAsia"/>
      <w:lang w:val="en-US"/>
    </w:rPr>
  </w:style>
  <w:style w:type="paragraph" w:styleId="Footer">
    <w:name w:val="footer"/>
    <w:basedOn w:val="Normal"/>
    <w:link w:val="FooterChar"/>
    <w:uiPriority w:val="99"/>
    <w:unhideWhenUsed/>
    <w:rsid w:val="00C73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E52"/>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environmental-science/articles/10.3389/fenvs.2022.950482/full" TargetMode="External"/><Relationship Id="rId13" Type="http://schemas.openxmlformats.org/officeDocument/2006/relationships/chart" Target="charts/chart3.xml"/><Relationship Id="rId18" Type="http://schemas.openxmlformats.org/officeDocument/2006/relationships/hyperlink" Target="https://doi.org/10.1080/089030699263393" TargetMode="External"/><Relationship Id="rId26" Type="http://schemas.openxmlformats.org/officeDocument/2006/relationships/hyperlink" Target="https://doi.org/10.1016/0300-9084(93)90152-i"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111/j.1432-1033.1993.tb18006.x" TargetMode="External"/><Relationship Id="rId34" Type="http://schemas.openxmlformats.org/officeDocument/2006/relationships/hyperlink" Target="https://www.scirp.org/journal/journalarticles?journalid=1000" TargetMode="External"/><Relationship Id="rId42" Type="http://schemas.openxmlformats.org/officeDocument/2006/relationships/footer" Target="footer2.xml"/><Relationship Id="rId7" Type="http://schemas.openxmlformats.org/officeDocument/2006/relationships/hyperlink" Target="https://www.ncbi.nlm.nih.gov/Taxonomy/Browser/wwwtax.cgi?mode=Info&amp;id=210" TargetMode="External"/><Relationship Id="rId12" Type="http://schemas.openxmlformats.org/officeDocument/2006/relationships/chart" Target="charts/chart2.xml"/><Relationship Id="rId17" Type="http://schemas.openxmlformats.org/officeDocument/2006/relationships/hyperlink" Target="https://journals.oauife.edu.ng/index.php/ija/article/view/260" TargetMode="External"/><Relationship Id="rId25" Type="http://schemas.openxmlformats.org/officeDocument/2006/relationships/hyperlink" Target="https://doi.org/10.1186/s13717-023-00450-z" TargetMode="External"/><Relationship Id="rId33" Type="http://schemas.openxmlformats.org/officeDocument/2006/relationships/hyperlink" Target="https://www.scirp.org/journal/articles?searchcode=Tarun+Kumar++De&amp;searchfield=authors&amp;page=1" TargetMode="External"/><Relationship Id="rId38" Type="http://schemas.openxmlformats.org/officeDocument/2006/relationships/hyperlink" Target="https://doi.org/10.1016/j.soilbio.2017.10.01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1016/j.geoderma.2016.09.012" TargetMode="External"/><Relationship Id="rId29" Type="http://schemas.openxmlformats.org/officeDocument/2006/relationships/hyperlink" Target="https://www.scirp.org/journal/articles?searchcode=Subhajit++Das&amp;searchfield=authors&amp;page=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idosi.org/wjas/wjas3(1)/wjas3(1).htm" TargetMode="External"/><Relationship Id="rId32" Type="http://schemas.openxmlformats.org/officeDocument/2006/relationships/hyperlink" Target="https://www.scirp.org/journal/articles?searchcode=Sabyasachi++Chakraborty&amp;searchfield=authors&amp;page=1" TargetMode="External"/><Relationship Id="rId37" Type="http://schemas.openxmlformats.org/officeDocument/2006/relationships/hyperlink" Target="https://doi.org/10.1111/j.1432-1033.1988.tb14177.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16/S0031-9422(00)86958-7" TargetMode="External"/><Relationship Id="rId28" Type="http://schemas.openxmlformats.org/officeDocument/2006/relationships/hyperlink" Target="https://doi.org/10.3389/fenvs.2022.950482" TargetMode="External"/><Relationship Id="rId36" Type="http://schemas.openxmlformats.org/officeDocument/2006/relationships/hyperlink" Target="https://doi.org/10.4236/aim.2017.78048" TargetMode="External"/><Relationship Id="rId10" Type="http://schemas.openxmlformats.org/officeDocument/2006/relationships/hyperlink" Target="https://www.frontiersin.org/journals/environmental-science/articles/10.3389/fenvs.2022.950482/full" TargetMode="External"/><Relationship Id="rId19" Type="http://schemas.openxmlformats.org/officeDocument/2006/relationships/hyperlink" Target="https://doi.org/10.1016/0038-0717(75)90022-X" TargetMode="External"/><Relationship Id="rId31" Type="http://schemas.openxmlformats.org/officeDocument/2006/relationships/hyperlink" Target="https://www.scirp.org/journal/articles?searchcode=Abhishek++Mukherjee&amp;searchfield=authors&amp;page=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frontiersin.org/journals/environmental-science/articles/10.3389/fenvs.2022.950482/full" TargetMode="External"/><Relationship Id="rId14" Type="http://schemas.openxmlformats.org/officeDocument/2006/relationships/chart" Target="charts/chart4.xml"/><Relationship Id="rId22" Type="http://schemas.openxmlformats.org/officeDocument/2006/relationships/hyperlink" Target="https://doi.org/10.1016/s0031-9422(99)00521-x" TargetMode="External"/><Relationship Id="rId27" Type="http://schemas.openxmlformats.org/officeDocument/2006/relationships/hyperlink" Target="https://doi.org/10.3390/horticulturae8121104" TargetMode="External"/><Relationship Id="rId30" Type="http://schemas.openxmlformats.org/officeDocument/2006/relationships/hyperlink" Target="https://www.scirp.org/journal/articles?searchcode=Dipnarayan++Ganguly&amp;searchfield=authors&amp;page=1" TargetMode="External"/><Relationship Id="rId35" Type="http://schemas.openxmlformats.org/officeDocument/2006/relationships/hyperlink" Target="https://www.scirp.org/journal/home?issueid=9854" TargetMode="External"/><Relationship Id="rId43"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Urease_data%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679296372869594"/>
          <c:y val="7.4036881753417244E-2"/>
          <c:w val="0.74727390919710468"/>
          <c:h val="0.76225449091590824"/>
        </c:manualLayout>
      </c:layout>
      <c:scatterChart>
        <c:scatterStyle val="lineMarker"/>
        <c:ser>
          <c:idx val="0"/>
          <c:order val="0"/>
          <c:tx>
            <c:strRef>
              <c:f>Sheet1!$I$9</c:f>
              <c:strCache>
                <c:ptCount val="1"/>
                <c:pt idx="0">
                  <c:v>Clay % </c:v>
                </c:pt>
              </c:strCache>
            </c:strRef>
          </c:tx>
          <c:spPr>
            <a:ln w="28575">
              <a:noFill/>
            </a:ln>
          </c:spPr>
          <c:xVal>
            <c:numRef>
              <c:f>Sheet1!$H$10:$H$15</c:f>
              <c:numCache>
                <c:formatCode>General</c:formatCode>
                <c:ptCount val="6"/>
                <c:pt idx="0">
                  <c:v>12</c:v>
                </c:pt>
                <c:pt idx="1">
                  <c:v>0.25</c:v>
                </c:pt>
                <c:pt idx="2">
                  <c:v>13.33</c:v>
                </c:pt>
                <c:pt idx="3">
                  <c:v>11.66</c:v>
                </c:pt>
                <c:pt idx="4">
                  <c:v>10.66</c:v>
                </c:pt>
                <c:pt idx="5">
                  <c:v>8.66</c:v>
                </c:pt>
              </c:numCache>
            </c:numRef>
          </c:xVal>
          <c:yVal>
            <c:numRef>
              <c:f>Sheet1!$I$10:$I$15</c:f>
              <c:numCache>
                <c:formatCode>General</c:formatCode>
                <c:ptCount val="6"/>
                <c:pt idx="0">
                  <c:v>28.93</c:v>
                </c:pt>
                <c:pt idx="1">
                  <c:v>31.01</c:v>
                </c:pt>
                <c:pt idx="2">
                  <c:v>32.800000000000004</c:v>
                </c:pt>
                <c:pt idx="3">
                  <c:v>33.6</c:v>
                </c:pt>
                <c:pt idx="4">
                  <c:v>27.75</c:v>
                </c:pt>
                <c:pt idx="5">
                  <c:v>35.89</c:v>
                </c:pt>
              </c:numCache>
            </c:numRef>
          </c:yVal>
          <c:extLst xmlns:c16r2="http://schemas.microsoft.com/office/drawing/2015/06/chart">
            <c:ext xmlns:c16="http://schemas.microsoft.com/office/drawing/2014/chart" uri="{C3380CC4-5D6E-409C-BE32-E72D297353CC}">
              <c16:uniqueId val="{00000000-0B92-4C9B-A4D1-1840EC13BBC9}"/>
            </c:ext>
          </c:extLst>
        </c:ser>
        <c:axId val="41286272"/>
        <c:axId val="41383040"/>
      </c:scatterChart>
      <c:valAx>
        <c:axId val="41286272"/>
        <c:scaling>
          <c:orientation val="minMax"/>
        </c:scaling>
        <c:axPos val="b"/>
        <c:majorGridlines/>
        <c:minorGridlines/>
        <c:title>
          <c:tx>
            <c:rich>
              <a:bodyPr/>
              <a:lstStyle/>
              <a:p>
                <a:pPr>
                  <a:defRPr lang="en-IN" sz="900"/>
                </a:pPr>
                <a:r>
                  <a:rPr lang="en-US" sz="900" b="1" i="0" baseline="0">
                    <a:effectLst/>
                  </a:rPr>
                  <a:t>Urease Activity in µg h</a:t>
                </a:r>
                <a:r>
                  <a:rPr lang="en-US" sz="900" b="1" i="0" baseline="30000">
                    <a:effectLst/>
                  </a:rPr>
                  <a:t>-1</a:t>
                </a:r>
                <a:r>
                  <a:rPr lang="en-US" sz="900" b="1" i="0" baseline="0">
                    <a:effectLst/>
                  </a:rPr>
                  <a:t>/10 gm soil </a:t>
                </a:r>
                <a:endParaRPr lang="en-IN" sz="900">
                  <a:effectLst/>
                </a:endParaRPr>
              </a:p>
            </c:rich>
          </c:tx>
        </c:title>
        <c:numFmt formatCode="General" sourceLinked="1"/>
        <c:tickLblPos val="nextTo"/>
        <c:txPr>
          <a:bodyPr/>
          <a:lstStyle/>
          <a:p>
            <a:pPr>
              <a:defRPr lang="en-IN"/>
            </a:pPr>
            <a:endParaRPr lang="en-US"/>
          </a:p>
        </c:txPr>
        <c:crossAx val="41383040"/>
        <c:crosses val="autoZero"/>
        <c:crossBetween val="midCat"/>
      </c:valAx>
      <c:valAx>
        <c:axId val="41383040"/>
        <c:scaling>
          <c:orientation val="minMax"/>
        </c:scaling>
        <c:axPos val="l"/>
        <c:majorGridlines/>
        <c:minorGridlines/>
        <c:title>
          <c:tx>
            <c:rich>
              <a:bodyPr/>
              <a:lstStyle/>
              <a:p>
                <a:pPr>
                  <a:defRPr lang="en-IN"/>
                </a:pPr>
                <a:r>
                  <a:rPr lang="en-IN"/>
                  <a:t>Clay %</a:t>
                </a:r>
              </a:p>
            </c:rich>
          </c:tx>
        </c:title>
        <c:numFmt formatCode="General" sourceLinked="1"/>
        <c:tickLblPos val="nextTo"/>
        <c:txPr>
          <a:bodyPr/>
          <a:lstStyle/>
          <a:p>
            <a:pPr>
              <a:defRPr lang="en-IN"/>
            </a:pPr>
            <a:endParaRPr lang="en-US"/>
          </a:p>
        </c:txPr>
        <c:crossAx val="41286272"/>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866907261592307"/>
          <c:y val="7.8093697191960632E-2"/>
          <c:w val="0.82446981627296589"/>
          <c:h val="0.73808578722180274"/>
        </c:manualLayout>
      </c:layout>
      <c:scatterChart>
        <c:scatterStyle val="lineMarker"/>
        <c:ser>
          <c:idx val="0"/>
          <c:order val="0"/>
          <c:tx>
            <c:strRef>
              <c:f>Sheet1!$L$1</c:f>
              <c:strCache>
                <c:ptCount val="1"/>
                <c:pt idx="0">
                  <c:v>CEC</c:v>
                </c:pt>
              </c:strCache>
            </c:strRef>
          </c:tx>
          <c:spPr>
            <a:ln w="28575">
              <a:noFill/>
            </a:ln>
          </c:spPr>
          <c:trendline>
            <c:trendlineType val="linear"/>
          </c:trendline>
          <c:xVal>
            <c:numRef>
              <c:f>Sheet1!$K$2:$K$7</c:f>
              <c:numCache>
                <c:formatCode>General</c:formatCode>
                <c:ptCount val="6"/>
                <c:pt idx="0">
                  <c:v>12</c:v>
                </c:pt>
                <c:pt idx="1">
                  <c:v>0.25</c:v>
                </c:pt>
                <c:pt idx="2">
                  <c:v>13.33</c:v>
                </c:pt>
                <c:pt idx="3">
                  <c:v>11.66</c:v>
                </c:pt>
                <c:pt idx="4">
                  <c:v>10.66</c:v>
                </c:pt>
                <c:pt idx="5">
                  <c:v>8.66</c:v>
                </c:pt>
              </c:numCache>
            </c:numRef>
          </c:xVal>
          <c:yVal>
            <c:numRef>
              <c:f>Sheet1!$L$2:$L$7</c:f>
              <c:numCache>
                <c:formatCode>General</c:formatCode>
                <c:ptCount val="6"/>
                <c:pt idx="0">
                  <c:v>25.05</c:v>
                </c:pt>
                <c:pt idx="1">
                  <c:v>11.39</c:v>
                </c:pt>
                <c:pt idx="2">
                  <c:v>24.29</c:v>
                </c:pt>
                <c:pt idx="3">
                  <c:v>25.04</c:v>
                </c:pt>
                <c:pt idx="4">
                  <c:v>21.310000000000009</c:v>
                </c:pt>
                <c:pt idx="5">
                  <c:v>32.410000000000004</c:v>
                </c:pt>
              </c:numCache>
            </c:numRef>
          </c:yVal>
          <c:extLst xmlns:c16r2="http://schemas.microsoft.com/office/drawing/2015/06/chart">
            <c:ext xmlns:c16="http://schemas.microsoft.com/office/drawing/2014/chart" uri="{C3380CC4-5D6E-409C-BE32-E72D297353CC}">
              <c16:uniqueId val="{00000001-B0D0-4BE5-9EFF-5E5F173AF50B}"/>
            </c:ext>
          </c:extLst>
        </c:ser>
        <c:axId val="86037248"/>
        <c:axId val="86039552"/>
      </c:scatterChart>
      <c:valAx>
        <c:axId val="86037248"/>
        <c:scaling>
          <c:orientation val="minMax"/>
        </c:scaling>
        <c:axPos val="b"/>
        <c:majorGridlines/>
        <c:minorGridlines/>
        <c:title>
          <c:tx>
            <c:rich>
              <a:bodyPr/>
              <a:lstStyle/>
              <a:p>
                <a:pPr>
                  <a:defRPr lang="en-IN"/>
                </a:pPr>
                <a:r>
                  <a:rPr lang="en-US"/>
                  <a:t>Urease Activity in µg h</a:t>
                </a:r>
                <a:r>
                  <a:rPr lang="en-US" baseline="30000"/>
                  <a:t>-1</a:t>
                </a:r>
                <a:r>
                  <a:rPr lang="en-US"/>
                  <a:t>/10 gm soil</a:t>
                </a:r>
                <a:r>
                  <a:rPr lang="en-US" baseline="0"/>
                  <a:t> </a:t>
                </a:r>
                <a:endParaRPr lang="en-US"/>
              </a:p>
            </c:rich>
          </c:tx>
        </c:title>
        <c:numFmt formatCode="General" sourceLinked="1"/>
        <c:tickLblPos val="nextTo"/>
        <c:txPr>
          <a:bodyPr/>
          <a:lstStyle/>
          <a:p>
            <a:pPr>
              <a:defRPr lang="en-IN"/>
            </a:pPr>
            <a:endParaRPr lang="en-US"/>
          </a:p>
        </c:txPr>
        <c:crossAx val="86039552"/>
        <c:crosses val="autoZero"/>
        <c:crossBetween val="midCat"/>
      </c:valAx>
      <c:valAx>
        <c:axId val="86039552"/>
        <c:scaling>
          <c:orientation val="minMax"/>
        </c:scaling>
        <c:axPos val="l"/>
        <c:majorGridlines/>
        <c:minorGridlines/>
        <c:title>
          <c:tx>
            <c:rich>
              <a:bodyPr/>
              <a:lstStyle/>
              <a:p>
                <a:pPr>
                  <a:defRPr lang="en-IN"/>
                </a:pPr>
                <a:r>
                  <a:rPr lang="en-US"/>
                  <a:t>C.E.C in dS/m</a:t>
                </a:r>
              </a:p>
            </c:rich>
          </c:tx>
          <c:layout>
            <c:manualLayout>
              <c:xMode val="edge"/>
              <c:yMode val="edge"/>
              <c:x val="1.6666666666666677E-2"/>
              <c:y val="0.3206274044511559"/>
            </c:manualLayout>
          </c:layout>
        </c:title>
        <c:numFmt formatCode="General" sourceLinked="1"/>
        <c:tickLblPos val="nextTo"/>
        <c:txPr>
          <a:bodyPr/>
          <a:lstStyle/>
          <a:p>
            <a:pPr>
              <a:defRPr lang="en-IN"/>
            </a:pPr>
            <a:endParaRPr lang="en-US"/>
          </a:p>
        </c:txPr>
        <c:crossAx val="86037248"/>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202195585981969"/>
          <c:y val="0.11191032761529804"/>
          <c:w val="0.82508813461849084"/>
          <c:h val="0.67342845080532965"/>
        </c:manualLayout>
      </c:layout>
      <c:scatterChart>
        <c:scatterStyle val="lineMarker"/>
        <c:ser>
          <c:idx val="0"/>
          <c:order val="0"/>
          <c:tx>
            <c:strRef>
              <c:f>Sheet1!$I$35</c:f>
              <c:strCache>
                <c:ptCount val="1"/>
                <c:pt idx="0">
                  <c:v>Silt</c:v>
                </c:pt>
              </c:strCache>
            </c:strRef>
          </c:tx>
          <c:spPr>
            <a:ln w="28575">
              <a:noFill/>
            </a:ln>
          </c:spPr>
          <c:xVal>
            <c:numRef>
              <c:f>Sheet1!$H$36:$H$41</c:f>
              <c:numCache>
                <c:formatCode>General</c:formatCode>
                <c:ptCount val="6"/>
                <c:pt idx="0">
                  <c:v>12</c:v>
                </c:pt>
                <c:pt idx="1">
                  <c:v>0.25</c:v>
                </c:pt>
                <c:pt idx="2">
                  <c:v>13.33</c:v>
                </c:pt>
                <c:pt idx="3">
                  <c:v>11.66</c:v>
                </c:pt>
                <c:pt idx="4">
                  <c:v>10.66</c:v>
                </c:pt>
                <c:pt idx="5">
                  <c:v>8.66</c:v>
                </c:pt>
              </c:numCache>
            </c:numRef>
          </c:xVal>
          <c:yVal>
            <c:numRef>
              <c:f>Sheet1!$I$36:$I$41</c:f>
              <c:numCache>
                <c:formatCode>General</c:formatCode>
                <c:ptCount val="6"/>
                <c:pt idx="0">
                  <c:v>56.9</c:v>
                </c:pt>
                <c:pt idx="1">
                  <c:v>50</c:v>
                </c:pt>
                <c:pt idx="2">
                  <c:v>52.44</c:v>
                </c:pt>
                <c:pt idx="3">
                  <c:v>63.620000000000012</c:v>
                </c:pt>
                <c:pt idx="4">
                  <c:v>68.97</c:v>
                </c:pt>
                <c:pt idx="5">
                  <c:v>26.58</c:v>
                </c:pt>
              </c:numCache>
            </c:numRef>
          </c:yVal>
          <c:extLst xmlns:c16r2="http://schemas.microsoft.com/office/drawing/2015/06/chart">
            <c:ext xmlns:c16="http://schemas.microsoft.com/office/drawing/2014/chart" uri="{C3380CC4-5D6E-409C-BE32-E72D297353CC}">
              <c16:uniqueId val="{00000000-ECAB-4E6C-AD09-F62666AF4001}"/>
            </c:ext>
          </c:extLst>
        </c:ser>
        <c:axId val="86494208"/>
        <c:axId val="94552448"/>
      </c:scatterChart>
      <c:valAx>
        <c:axId val="86494208"/>
        <c:scaling>
          <c:orientation val="minMax"/>
        </c:scaling>
        <c:axPos val="b"/>
        <c:majorGridlines/>
        <c:minorGridlines/>
        <c:title>
          <c:tx>
            <c:rich>
              <a:bodyPr/>
              <a:lstStyle/>
              <a:p>
                <a:pPr>
                  <a:defRPr lang="en-IN"/>
                </a:pPr>
                <a:r>
                  <a:rPr lang="en-US" sz="900" b="1" i="0" baseline="0">
                    <a:effectLst/>
                  </a:rPr>
                  <a:t>Urease Activity in µg h</a:t>
                </a:r>
                <a:r>
                  <a:rPr lang="en-US" sz="900" b="1" i="0" baseline="30000">
                    <a:effectLst/>
                  </a:rPr>
                  <a:t>-1</a:t>
                </a:r>
                <a:r>
                  <a:rPr lang="en-US" sz="900" b="1" i="0" baseline="0">
                    <a:effectLst/>
                  </a:rPr>
                  <a:t>/10 gm soil</a:t>
                </a:r>
                <a:r>
                  <a:rPr lang="en-US" sz="1800" b="1" i="0" baseline="0">
                    <a:effectLst/>
                  </a:rPr>
                  <a:t> </a:t>
                </a:r>
                <a:endParaRPr lang="en-IN">
                  <a:effectLst/>
                </a:endParaRPr>
              </a:p>
            </c:rich>
          </c:tx>
        </c:title>
        <c:numFmt formatCode="General" sourceLinked="1"/>
        <c:tickLblPos val="nextTo"/>
        <c:txPr>
          <a:bodyPr/>
          <a:lstStyle/>
          <a:p>
            <a:pPr>
              <a:defRPr lang="en-IN"/>
            </a:pPr>
            <a:endParaRPr lang="en-US"/>
          </a:p>
        </c:txPr>
        <c:crossAx val="94552448"/>
        <c:crosses val="autoZero"/>
        <c:crossBetween val="midCat"/>
      </c:valAx>
      <c:valAx>
        <c:axId val="94552448"/>
        <c:scaling>
          <c:orientation val="minMax"/>
        </c:scaling>
        <c:axPos val="l"/>
        <c:majorGridlines/>
        <c:minorGridlines/>
        <c:title>
          <c:tx>
            <c:rich>
              <a:bodyPr/>
              <a:lstStyle/>
              <a:p>
                <a:pPr>
                  <a:defRPr lang="en-IN"/>
                </a:pPr>
                <a:r>
                  <a:rPr lang="en-IN"/>
                  <a:t>Silt%</a:t>
                </a:r>
                <a:r>
                  <a:rPr lang="en-IN" baseline="0"/>
                  <a:t> </a:t>
                </a:r>
                <a:endParaRPr lang="en-IN"/>
              </a:p>
            </c:rich>
          </c:tx>
        </c:title>
        <c:numFmt formatCode="General" sourceLinked="1"/>
        <c:tickLblPos val="nextTo"/>
        <c:txPr>
          <a:bodyPr/>
          <a:lstStyle/>
          <a:p>
            <a:pPr>
              <a:defRPr lang="en-IN"/>
            </a:pPr>
            <a:endParaRPr lang="en-US"/>
          </a:p>
        </c:txPr>
        <c:crossAx val="86494208"/>
        <c:crosses val="autoZero"/>
        <c:crossBetween val="midCat"/>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116420447444074"/>
          <c:y val="0.10232648002333047"/>
          <c:w val="0.8148047494063243"/>
          <c:h val="0.73444808982210552"/>
        </c:manualLayout>
      </c:layout>
      <c:scatterChart>
        <c:scatterStyle val="lineMarker"/>
        <c:ser>
          <c:idx val="0"/>
          <c:order val="0"/>
          <c:tx>
            <c:strRef>
              <c:f>Sheet1!$D$54</c:f>
              <c:strCache>
                <c:ptCount val="1"/>
                <c:pt idx="0">
                  <c:v>pH in 1(N) KCl</c:v>
                </c:pt>
              </c:strCache>
            </c:strRef>
          </c:tx>
          <c:spPr>
            <a:ln w="28575">
              <a:noFill/>
            </a:ln>
          </c:spPr>
          <c:xVal>
            <c:numRef>
              <c:f>Sheet1!$B$55:$B$60</c:f>
              <c:numCache>
                <c:formatCode>General</c:formatCode>
                <c:ptCount val="6"/>
                <c:pt idx="0">
                  <c:v>12</c:v>
                </c:pt>
                <c:pt idx="1">
                  <c:v>0.25</c:v>
                </c:pt>
                <c:pt idx="2">
                  <c:v>13.33</c:v>
                </c:pt>
                <c:pt idx="3">
                  <c:v>11.66</c:v>
                </c:pt>
                <c:pt idx="4">
                  <c:v>10.66</c:v>
                </c:pt>
                <c:pt idx="5">
                  <c:v>8.66</c:v>
                </c:pt>
              </c:numCache>
            </c:numRef>
          </c:xVal>
          <c:yVal>
            <c:numRef>
              <c:f>Sheet1!$D$55:$D$60</c:f>
              <c:numCache>
                <c:formatCode>General</c:formatCode>
                <c:ptCount val="6"/>
                <c:pt idx="0">
                  <c:v>7.7</c:v>
                </c:pt>
                <c:pt idx="1">
                  <c:v>7.6</c:v>
                </c:pt>
                <c:pt idx="2">
                  <c:v>7.9</c:v>
                </c:pt>
                <c:pt idx="3">
                  <c:v>7.8</c:v>
                </c:pt>
                <c:pt idx="4">
                  <c:v>7.4</c:v>
                </c:pt>
                <c:pt idx="5">
                  <c:v>7.35</c:v>
                </c:pt>
              </c:numCache>
            </c:numRef>
          </c:yVal>
          <c:extLst xmlns:c16r2="http://schemas.microsoft.com/office/drawing/2015/06/chart">
            <c:ext xmlns:c16="http://schemas.microsoft.com/office/drawing/2014/chart" uri="{C3380CC4-5D6E-409C-BE32-E72D297353CC}">
              <c16:uniqueId val="{00000000-2EFF-49DF-B3A4-DB0137E4BDA3}"/>
            </c:ext>
          </c:extLst>
        </c:ser>
        <c:axId val="96343168"/>
        <c:axId val="96345472"/>
      </c:scatterChart>
      <c:valAx>
        <c:axId val="96343168"/>
        <c:scaling>
          <c:orientation val="minMax"/>
        </c:scaling>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title>
        <c:numFmt formatCode="General" sourceLinked="1"/>
        <c:tickLblPos val="nextTo"/>
        <c:txPr>
          <a:bodyPr/>
          <a:lstStyle/>
          <a:p>
            <a:pPr>
              <a:defRPr lang="en-IN"/>
            </a:pPr>
            <a:endParaRPr lang="en-US"/>
          </a:p>
        </c:txPr>
        <c:crossAx val="96345472"/>
        <c:crosses val="autoZero"/>
        <c:crossBetween val="midCat"/>
      </c:valAx>
      <c:valAx>
        <c:axId val="96345472"/>
        <c:scaling>
          <c:orientation val="minMax"/>
        </c:scaling>
        <c:axPos val="l"/>
        <c:majorGridlines/>
        <c:minorGridlines/>
        <c:title>
          <c:tx>
            <c:rich>
              <a:bodyPr/>
              <a:lstStyle/>
              <a:p>
                <a:pPr>
                  <a:defRPr lang="en-IN"/>
                </a:pPr>
                <a:r>
                  <a:rPr lang="en-IN"/>
                  <a:t>pH of soil in 1(N) KCl</a:t>
                </a:r>
              </a:p>
            </c:rich>
          </c:tx>
        </c:title>
        <c:numFmt formatCode="General" sourceLinked="1"/>
        <c:tickLblPos val="nextTo"/>
        <c:txPr>
          <a:bodyPr/>
          <a:lstStyle/>
          <a:p>
            <a:pPr>
              <a:defRPr lang="en-IN"/>
            </a:pPr>
            <a:endParaRPr lang="en-US"/>
          </a:p>
        </c:txPr>
        <c:crossAx val="96343168"/>
        <c:crosses val="autoZero"/>
        <c:crossBetween val="midCat"/>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234984266964134"/>
          <c:y val="8.3809181143925188E-2"/>
          <c:w val="0.81745581802274714"/>
          <c:h val="0.73444808982210552"/>
        </c:manualLayout>
      </c:layout>
      <c:scatterChart>
        <c:scatterStyle val="lineMarker"/>
        <c:ser>
          <c:idx val="0"/>
          <c:order val="0"/>
          <c:tx>
            <c:strRef>
              <c:f>Sheet1!$C$54</c:f>
              <c:strCache>
                <c:ptCount val="1"/>
                <c:pt idx="0">
                  <c:v>pH in water</c:v>
                </c:pt>
              </c:strCache>
            </c:strRef>
          </c:tx>
          <c:spPr>
            <a:ln w="28575">
              <a:noFill/>
            </a:ln>
          </c:spPr>
          <c:xVal>
            <c:numRef>
              <c:f>Sheet1!$B$55:$B$60</c:f>
              <c:numCache>
                <c:formatCode>General</c:formatCode>
                <c:ptCount val="6"/>
                <c:pt idx="0">
                  <c:v>12</c:v>
                </c:pt>
                <c:pt idx="1">
                  <c:v>0.25</c:v>
                </c:pt>
                <c:pt idx="2">
                  <c:v>13.33</c:v>
                </c:pt>
                <c:pt idx="3">
                  <c:v>11.66</c:v>
                </c:pt>
                <c:pt idx="4">
                  <c:v>10.66</c:v>
                </c:pt>
                <c:pt idx="5">
                  <c:v>8.66</c:v>
                </c:pt>
              </c:numCache>
            </c:numRef>
          </c:xVal>
          <c:yVal>
            <c:numRef>
              <c:f>Sheet1!$C$55:$C$60</c:f>
              <c:numCache>
                <c:formatCode>General</c:formatCode>
                <c:ptCount val="6"/>
                <c:pt idx="0">
                  <c:v>7.7</c:v>
                </c:pt>
                <c:pt idx="1">
                  <c:v>7.96</c:v>
                </c:pt>
                <c:pt idx="2">
                  <c:v>8</c:v>
                </c:pt>
                <c:pt idx="3">
                  <c:v>7.84</c:v>
                </c:pt>
                <c:pt idx="4">
                  <c:v>7.7</c:v>
                </c:pt>
                <c:pt idx="5">
                  <c:v>7.4</c:v>
                </c:pt>
              </c:numCache>
            </c:numRef>
          </c:yVal>
          <c:extLst xmlns:c16r2="http://schemas.microsoft.com/office/drawing/2015/06/chart">
            <c:ext xmlns:c16="http://schemas.microsoft.com/office/drawing/2014/chart" uri="{C3380CC4-5D6E-409C-BE32-E72D297353CC}">
              <c16:uniqueId val="{00000000-05E4-4840-8064-493B6826E3DE}"/>
            </c:ext>
          </c:extLst>
        </c:ser>
        <c:axId val="41336832"/>
        <c:axId val="41338752"/>
      </c:scatterChart>
      <c:valAx>
        <c:axId val="41336832"/>
        <c:scaling>
          <c:orientation val="minMax"/>
        </c:scaling>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title>
        <c:numFmt formatCode="General" sourceLinked="1"/>
        <c:tickLblPos val="nextTo"/>
        <c:txPr>
          <a:bodyPr/>
          <a:lstStyle/>
          <a:p>
            <a:pPr>
              <a:defRPr lang="en-IN"/>
            </a:pPr>
            <a:endParaRPr lang="en-US"/>
          </a:p>
        </c:txPr>
        <c:crossAx val="41338752"/>
        <c:crosses val="autoZero"/>
        <c:crossBetween val="midCat"/>
      </c:valAx>
      <c:valAx>
        <c:axId val="41338752"/>
        <c:scaling>
          <c:orientation val="minMax"/>
        </c:scaling>
        <c:axPos val="l"/>
        <c:majorGridlines/>
        <c:minorGridlines/>
        <c:title>
          <c:tx>
            <c:rich>
              <a:bodyPr/>
              <a:lstStyle/>
              <a:p>
                <a:pPr>
                  <a:defRPr lang="en-IN"/>
                </a:pPr>
                <a:r>
                  <a:rPr lang="en-IN"/>
                  <a:t>pH of soil in water</a:t>
                </a:r>
              </a:p>
            </c:rich>
          </c:tx>
          <c:layout>
            <c:manualLayout>
              <c:xMode val="edge"/>
              <c:yMode val="edge"/>
              <c:x val="2.2255483998658909E-2"/>
              <c:y val="0.24141884754032328"/>
            </c:manualLayout>
          </c:layout>
        </c:title>
        <c:numFmt formatCode="General" sourceLinked="1"/>
        <c:tickLblPos val="nextTo"/>
        <c:txPr>
          <a:bodyPr/>
          <a:lstStyle/>
          <a:p>
            <a:pPr>
              <a:defRPr lang="en-IN"/>
            </a:pPr>
            <a:endParaRPr lang="en-US"/>
          </a:p>
        </c:txPr>
        <c:crossAx val="41336832"/>
        <c:crosses val="autoZero"/>
        <c:crossBetween val="midCat"/>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588892161128532"/>
          <c:y val="0.10295930750591656"/>
          <c:w val="0.8294201025001664"/>
          <c:h val="0.7063020348262915"/>
        </c:manualLayout>
      </c:layout>
      <c:scatterChart>
        <c:scatterStyle val="lineMarker"/>
        <c:ser>
          <c:idx val="0"/>
          <c:order val="0"/>
          <c:tx>
            <c:strRef>
              <c:f>Sheet1!$C$27</c:f>
              <c:strCache>
                <c:ptCount val="1"/>
                <c:pt idx="0">
                  <c:v>Organic carbon(%)</c:v>
                </c:pt>
              </c:strCache>
            </c:strRef>
          </c:tx>
          <c:spPr>
            <a:ln w="28575">
              <a:noFill/>
            </a:ln>
          </c:spPr>
          <c:trendline>
            <c:trendlineType val="linear"/>
          </c:trendline>
          <c:xVal>
            <c:numRef>
              <c:f>Sheet1!$B$28:$B$33</c:f>
              <c:numCache>
                <c:formatCode>General</c:formatCode>
                <c:ptCount val="6"/>
                <c:pt idx="0">
                  <c:v>12</c:v>
                </c:pt>
                <c:pt idx="1">
                  <c:v>0.25</c:v>
                </c:pt>
                <c:pt idx="2">
                  <c:v>13.33</c:v>
                </c:pt>
                <c:pt idx="3">
                  <c:v>11.66</c:v>
                </c:pt>
                <c:pt idx="4">
                  <c:v>10.66</c:v>
                </c:pt>
                <c:pt idx="5">
                  <c:v>8.66</c:v>
                </c:pt>
              </c:numCache>
            </c:numRef>
          </c:xVal>
          <c:yVal>
            <c:numRef>
              <c:f>Sheet1!$C$28:$C$33</c:f>
              <c:numCache>
                <c:formatCode>General</c:formatCode>
                <c:ptCount val="6"/>
                <c:pt idx="0">
                  <c:v>0.66600000000000048</c:v>
                </c:pt>
                <c:pt idx="1">
                  <c:v>0.75700000000000034</c:v>
                </c:pt>
                <c:pt idx="2">
                  <c:v>0.65100000000000036</c:v>
                </c:pt>
                <c:pt idx="3">
                  <c:v>0.69599999999999995</c:v>
                </c:pt>
                <c:pt idx="4">
                  <c:v>0.62100000000000033</c:v>
                </c:pt>
                <c:pt idx="5">
                  <c:v>0.74000000000000032</c:v>
                </c:pt>
              </c:numCache>
            </c:numRef>
          </c:yVal>
          <c:extLst xmlns:c16r2="http://schemas.microsoft.com/office/drawing/2015/06/chart">
            <c:ext xmlns:c16="http://schemas.microsoft.com/office/drawing/2014/chart" uri="{C3380CC4-5D6E-409C-BE32-E72D297353CC}">
              <c16:uniqueId val="{00000001-B0B1-49FA-872F-ED93A7ABFEFA}"/>
            </c:ext>
          </c:extLst>
        </c:ser>
        <c:axId val="41380096"/>
        <c:axId val="41406848"/>
      </c:scatterChart>
      <c:valAx>
        <c:axId val="41380096"/>
        <c:scaling>
          <c:orientation val="minMax"/>
        </c:scaling>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title>
        <c:numFmt formatCode="General" sourceLinked="1"/>
        <c:tickLblPos val="nextTo"/>
        <c:txPr>
          <a:bodyPr/>
          <a:lstStyle/>
          <a:p>
            <a:pPr>
              <a:defRPr lang="en-IN"/>
            </a:pPr>
            <a:endParaRPr lang="en-US"/>
          </a:p>
        </c:txPr>
        <c:crossAx val="41406848"/>
        <c:crosses val="autoZero"/>
        <c:crossBetween val="midCat"/>
      </c:valAx>
      <c:valAx>
        <c:axId val="41406848"/>
        <c:scaling>
          <c:orientation val="minMax"/>
        </c:scaling>
        <c:axPos val="l"/>
        <c:majorGridlines/>
        <c:minorGridlines/>
        <c:title>
          <c:tx>
            <c:rich>
              <a:bodyPr/>
              <a:lstStyle/>
              <a:p>
                <a:pPr>
                  <a:defRPr lang="en-IN"/>
                </a:pPr>
                <a:r>
                  <a:rPr lang="en-IN"/>
                  <a:t>Organic</a:t>
                </a:r>
                <a:r>
                  <a:rPr lang="en-IN" baseline="0"/>
                  <a:t> Carbo %</a:t>
                </a:r>
                <a:endParaRPr lang="en-IN"/>
              </a:p>
            </c:rich>
          </c:tx>
        </c:title>
        <c:numFmt formatCode="General" sourceLinked="1"/>
        <c:tickLblPos val="nextTo"/>
        <c:txPr>
          <a:bodyPr/>
          <a:lstStyle/>
          <a:p>
            <a:pPr>
              <a:defRPr lang="en-IN"/>
            </a:pPr>
            <a:endParaRPr lang="en-US"/>
          </a:p>
        </c:txPr>
        <c:crossAx val="41380096"/>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ssac</cp:lastModifiedBy>
  <cp:revision>51</cp:revision>
  <dcterms:created xsi:type="dcterms:W3CDTF">2025-11-14T17:55:00Z</dcterms:created>
  <dcterms:modified xsi:type="dcterms:W3CDTF">2025-12-26T09:38:00Z</dcterms:modified>
</cp:coreProperties>
</file>