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E0B" w:rsidRPr="00E964AF" w:rsidRDefault="006C3E0B">
      <w:pPr>
        <w:rPr>
          <w:rFonts w:ascii="Arial" w:hAnsi="Arial" w:cs="Arial"/>
          <w:sz w:val="20"/>
          <w:szCs w:val="20"/>
        </w:rPr>
      </w:pPr>
    </w:p>
    <w:p w:rsidR="006C3E0B" w:rsidRPr="00E964AF" w:rsidRDefault="006C3E0B">
      <w:pPr>
        <w:spacing w:before="16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6C3E0B" w:rsidRPr="00E964AF" w:rsidTr="00DF721E">
        <w:trPr>
          <w:trHeight w:val="292"/>
        </w:trPr>
        <w:tc>
          <w:tcPr>
            <w:tcW w:w="5166" w:type="dxa"/>
          </w:tcPr>
          <w:p w:rsidR="006C3E0B" w:rsidRPr="00E964AF" w:rsidRDefault="0090552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z w:val="20"/>
                <w:szCs w:val="20"/>
              </w:rPr>
              <w:t>Journal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6C3E0B" w:rsidRPr="00E964AF" w:rsidRDefault="00B21C95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905523" w:rsidRPr="00E964A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905523" w:rsidRPr="00E964AF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905523" w:rsidRPr="00E964A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905523" w:rsidRPr="00E964AF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905523" w:rsidRPr="00E964A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905523" w:rsidRPr="00E964AF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905523" w:rsidRPr="00E964A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905523" w:rsidRPr="00E964AF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905523" w:rsidRPr="00E964A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6C3E0B" w:rsidRPr="00E964AF" w:rsidTr="00DF721E">
        <w:trPr>
          <w:trHeight w:val="287"/>
        </w:trPr>
        <w:tc>
          <w:tcPr>
            <w:tcW w:w="5166" w:type="dxa"/>
          </w:tcPr>
          <w:p w:rsidR="006C3E0B" w:rsidRPr="00E964AF" w:rsidRDefault="00905523">
            <w:pPr>
              <w:pStyle w:val="TableParagraph"/>
              <w:spacing w:line="23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z w:val="20"/>
                <w:szCs w:val="20"/>
              </w:rPr>
              <w:t>Manuscript</w:t>
            </w:r>
            <w:r w:rsidRPr="00E964A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6C3E0B" w:rsidRPr="00E964AF" w:rsidRDefault="00905523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964AF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Ms_ARJOM_150759</w:t>
            </w:r>
          </w:p>
        </w:tc>
      </w:tr>
      <w:tr w:rsidR="006C3E0B" w:rsidRPr="00E964AF" w:rsidTr="00DF721E">
        <w:trPr>
          <w:trHeight w:val="652"/>
        </w:trPr>
        <w:tc>
          <w:tcPr>
            <w:tcW w:w="5166" w:type="dxa"/>
          </w:tcPr>
          <w:p w:rsidR="006C3E0B" w:rsidRPr="00E964AF" w:rsidRDefault="0090552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z w:val="20"/>
                <w:szCs w:val="20"/>
              </w:rPr>
              <w:t>Title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of</w:t>
            </w:r>
            <w:r w:rsidRPr="00E964A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6C3E0B" w:rsidRPr="00E964AF" w:rsidRDefault="00905523">
            <w:pPr>
              <w:pStyle w:val="TableParagraph"/>
              <w:spacing w:before="206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964AF">
              <w:rPr>
                <w:rFonts w:ascii="Arial" w:hAnsi="Arial" w:cs="Arial"/>
                <w:b/>
                <w:sz w:val="20"/>
                <w:szCs w:val="20"/>
              </w:rPr>
              <w:t>Extremal</w:t>
            </w:r>
            <w:r w:rsidRPr="00E964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E964A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964A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Cycles</w:t>
            </w:r>
            <w:r w:rsidRPr="00E964A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E964A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Complete</w:t>
            </w:r>
            <w:r w:rsidRPr="00E964A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Diagonal</w:t>
            </w:r>
            <w:r w:rsidRPr="00E964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Connectivity</w:t>
            </w:r>
            <w:r w:rsidRPr="00E964A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964A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Dense</w:t>
            </w:r>
            <w:r w:rsidRPr="00E964A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pacing w:val="-2"/>
                <w:sz w:val="20"/>
                <w:szCs w:val="20"/>
              </w:rPr>
              <w:t>Graphs</w:t>
            </w:r>
          </w:p>
        </w:tc>
      </w:tr>
      <w:tr w:rsidR="006C3E0B" w:rsidRPr="00E964AF" w:rsidTr="00DF721E">
        <w:trPr>
          <w:trHeight w:val="330"/>
        </w:trPr>
        <w:tc>
          <w:tcPr>
            <w:tcW w:w="5166" w:type="dxa"/>
          </w:tcPr>
          <w:p w:rsidR="006C3E0B" w:rsidRPr="00E964AF" w:rsidRDefault="0090552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z w:val="20"/>
                <w:szCs w:val="20"/>
              </w:rPr>
              <w:t>Type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of the</w:t>
            </w:r>
            <w:r w:rsidRPr="00E964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6C3E0B" w:rsidRPr="00E964AF" w:rsidRDefault="006C3E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7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DF721E" w:rsidRPr="00E964AF" w:rsidTr="00DF721E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DF721E" w:rsidRPr="00E964AF" w:rsidRDefault="00DF721E" w:rsidP="00DF721E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E964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964AF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E964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964A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F721E" w:rsidRPr="00E964AF" w:rsidTr="00DF721E">
        <w:trPr>
          <w:trHeight w:val="965"/>
        </w:trPr>
        <w:tc>
          <w:tcPr>
            <w:tcW w:w="5353" w:type="dxa"/>
          </w:tcPr>
          <w:p w:rsidR="00DF721E" w:rsidRPr="00E964AF" w:rsidRDefault="00DF721E" w:rsidP="00DF72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DF721E" w:rsidRPr="00E964AF" w:rsidRDefault="00DF721E" w:rsidP="00DF721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964A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964A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F721E" w:rsidRPr="00E964AF" w:rsidRDefault="00DF721E" w:rsidP="00DF721E">
            <w:pPr>
              <w:pStyle w:val="TableParagraph"/>
              <w:ind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E964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964A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964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E964AF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E964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964AF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E964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E964AF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E964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964AF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E964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964A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964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E964AF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E964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964A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964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964A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E964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964A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DF721E" w:rsidRPr="00E964AF" w:rsidRDefault="00DF721E" w:rsidP="00DF721E">
            <w:pPr>
              <w:pStyle w:val="TableParagraph"/>
              <w:spacing w:line="254" w:lineRule="auto"/>
              <w:ind w:left="105" w:right="737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964A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E964AF">
              <w:rPr>
                <w:rFonts w:ascii="Arial" w:hAnsi="Arial" w:cs="Arial"/>
                <w:sz w:val="20"/>
                <w:szCs w:val="20"/>
              </w:rPr>
              <w:t>(It</w:t>
            </w:r>
            <w:r w:rsidRPr="00E964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is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mandatory</w:t>
            </w:r>
            <w:r w:rsidRPr="00E964A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that</w:t>
            </w:r>
            <w:r w:rsidRPr="00E964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authors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should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write</w:t>
            </w:r>
            <w:r w:rsidRPr="00E964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F721E" w:rsidRPr="00E964AF" w:rsidTr="00DF721E">
        <w:trPr>
          <w:trHeight w:val="1612"/>
        </w:trPr>
        <w:tc>
          <w:tcPr>
            <w:tcW w:w="5353" w:type="dxa"/>
          </w:tcPr>
          <w:p w:rsidR="00DF721E" w:rsidRPr="00E964AF" w:rsidRDefault="00DF721E" w:rsidP="00DF721E">
            <w:pPr>
              <w:pStyle w:val="TableParagraph"/>
              <w:ind w:left="470" w:right="155"/>
              <w:rPr>
                <w:rFonts w:ascii="Arial" w:hAnsi="Arial" w:cs="Arial"/>
                <w:b/>
                <w:sz w:val="20"/>
                <w:szCs w:val="20"/>
              </w:rPr>
            </w:pPr>
            <w:r w:rsidRPr="00E964A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964A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964A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964A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964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964A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964A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964A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DF721E" w:rsidRPr="00E964AF" w:rsidRDefault="00DF721E" w:rsidP="00DF721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z w:val="20"/>
                <w:szCs w:val="20"/>
              </w:rPr>
              <w:t>This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manuscript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addresses</w:t>
            </w:r>
            <w:r w:rsidRPr="00E964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 fundamental</w:t>
            </w:r>
            <w:r w:rsidRPr="00E964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problem in extremal</w:t>
            </w:r>
            <w:r w:rsidRPr="00E964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graph</w:t>
            </w:r>
            <w:r w:rsidRPr="00E964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theory</w:t>
            </w:r>
            <w:r w:rsidRPr="00E964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concerning</w:t>
            </w:r>
            <w:r w:rsidRPr="00E964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edge</w:t>
            </w:r>
            <w:r w:rsidRPr="00E964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thresholds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that guarantee the existence of cycles with complete diagonal connectivity. By establishing an</w:t>
            </w:r>
          </w:p>
          <w:p w:rsidR="00DF721E" w:rsidRPr="00E964AF" w:rsidRDefault="00DF721E" w:rsidP="00DF721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z w:val="20"/>
                <w:szCs w:val="20"/>
              </w:rPr>
              <w:t>Θ(n3/</w:t>
            </w:r>
            <w:proofErr w:type="gramStart"/>
            <w:r w:rsidRPr="00E964AF">
              <w:rPr>
                <w:rFonts w:ascii="Arial" w:hAnsi="Arial" w:cs="Arial"/>
                <w:sz w:val="20"/>
                <w:szCs w:val="20"/>
              </w:rPr>
              <w:t>2)\</w:t>
            </w:r>
            <w:proofErr w:type="gramEnd"/>
            <w:r w:rsidRPr="00E964AF">
              <w:rPr>
                <w:rFonts w:ascii="Arial" w:hAnsi="Arial" w:cs="Arial"/>
                <w:sz w:val="20"/>
                <w:szCs w:val="20"/>
              </w:rPr>
              <w:t>Theta(n^{3/2})Θ(n3/2)</w:t>
            </w:r>
            <w:r w:rsidRPr="00E964A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bound</w:t>
            </w:r>
            <w:r w:rsidRPr="00E964A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that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is</w:t>
            </w:r>
            <w:r w:rsidRPr="00E964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tight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up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to</w:t>
            </w:r>
            <w:r w:rsidRPr="00E964A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constant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factors,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work</w:t>
            </w:r>
            <w:r w:rsidRPr="00E964A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resolves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</w:t>
            </w:r>
            <w:r w:rsidRPr="00E964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meaningful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>open</w:t>
            </w:r>
          </w:p>
          <w:p w:rsidR="00DF721E" w:rsidRPr="00E964AF" w:rsidRDefault="00DF721E" w:rsidP="00DF721E">
            <w:pPr>
              <w:pStyle w:val="TableParagraph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z w:val="20"/>
                <w:szCs w:val="20"/>
              </w:rPr>
              <w:t>direction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related</w:t>
            </w:r>
            <w:r w:rsidRPr="00E964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to</w:t>
            </w:r>
            <w:r w:rsidRPr="00E964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E964AF">
              <w:rPr>
                <w:rFonts w:ascii="Arial" w:hAnsi="Arial" w:cs="Arial"/>
                <w:sz w:val="20"/>
                <w:szCs w:val="20"/>
              </w:rPr>
              <w:t>Erdős</w:t>
            </w:r>
            <w:proofErr w:type="spellEnd"/>
            <w:r w:rsidRPr="00E964AF">
              <w:rPr>
                <w:rFonts w:ascii="Arial" w:hAnsi="Arial" w:cs="Arial"/>
                <w:sz w:val="20"/>
                <w:szCs w:val="20"/>
              </w:rPr>
              <w:t>-type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extremal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problems. The</w:t>
            </w:r>
            <w:r w:rsidRPr="00E964A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E964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of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an</w:t>
            </w:r>
            <w:r w:rsidRPr="00E964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expansion-based</w:t>
            </w:r>
            <w:r w:rsidRPr="00E964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framework</w:t>
            </w:r>
            <w:r w:rsidRPr="00E964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and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parity- sensitive auxiliary constructions significantly enriches the methodological toolbox available to researchers in dense graph analysis. The results are expected to influence further research in extremal combinatorics, robust</w:t>
            </w:r>
          </w:p>
          <w:p w:rsidR="00DF721E" w:rsidRPr="00E964AF" w:rsidRDefault="00DF721E" w:rsidP="00DF721E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z w:val="20"/>
                <w:szCs w:val="20"/>
              </w:rPr>
              <w:t>expansion,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and</w:t>
            </w:r>
            <w:r w:rsidRPr="00E964A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algorithmic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graph</w:t>
            </w:r>
            <w:r w:rsidRPr="00E964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>theory.</w:t>
            </w:r>
          </w:p>
        </w:tc>
        <w:tc>
          <w:tcPr>
            <w:tcW w:w="6443" w:type="dxa"/>
          </w:tcPr>
          <w:p w:rsidR="00DF721E" w:rsidRPr="00E964AF" w:rsidRDefault="00DF721E" w:rsidP="00DF72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1E" w:rsidRPr="00E964AF" w:rsidTr="00DF721E">
        <w:trPr>
          <w:trHeight w:val="226"/>
        </w:trPr>
        <w:tc>
          <w:tcPr>
            <w:tcW w:w="5353" w:type="dxa"/>
            <w:tcBorders>
              <w:bottom w:val="nil"/>
            </w:tcBorders>
          </w:tcPr>
          <w:p w:rsidR="00DF721E" w:rsidRPr="00E964AF" w:rsidRDefault="00DF721E" w:rsidP="00DF721E">
            <w:pPr>
              <w:pStyle w:val="TableParagraph"/>
              <w:spacing w:line="206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E964A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964A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964A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964A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964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</w:tc>
        <w:tc>
          <w:tcPr>
            <w:tcW w:w="9362" w:type="dxa"/>
            <w:tcBorders>
              <w:bottom w:val="nil"/>
            </w:tcBorders>
          </w:tcPr>
          <w:p w:rsidR="00DF721E" w:rsidRPr="00E964AF" w:rsidRDefault="00DF721E" w:rsidP="00DF721E">
            <w:pPr>
              <w:pStyle w:val="TableParagraph"/>
              <w:spacing w:line="207" w:lineRule="exact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3" w:type="dxa"/>
            <w:vMerge w:val="restart"/>
          </w:tcPr>
          <w:p w:rsidR="00DF721E" w:rsidRPr="00E964AF" w:rsidRDefault="00DF721E" w:rsidP="00DF72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1E" w:rsidRPr="00E964AF" w:rsidTr="00DF721E">
        <w:trPr>
          <w:trHeight w:val="220"/>
        </w:trPr>
        <w:tc>
          <w:tcPr>
            <w:tcW w:w="5353" w:type="dxa"/>
            <w:tcBorders>
              <w:top w:val="nil"/>
              <w:bottom w:val="nil"/>
            </w:tcBorders>
          </w:tcPr>
          <w:p w:rsidR="00DF721E" w:rsidRPr="00E964AF" w:rsidRDefault="00DF721E" w:rsidP="00DF721E">
            <w:pPr>
              <w:pStyle w:val="TableParagraph"/>
              <w:spacing w:line="200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E964A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964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964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964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964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964A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964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  <w:tcBorders>
              <w:top w:val="nil"/>
              <w:bottom w:val="nil"/>
            </w:tcBorders>
          </w:tcPr>
          <w:p w:rsidR="00DF721E" w:rsidRPr="00E964AF" w:rsidRDefault="00DF721E" w:rsidP="00DF721E">
            <w:pPr>
              <w:pStyle w:val="TableParagraph"/>
              <w:spacing w:line="200" w:lineRule="exact"/>
              <w:ind w:left="0" w:right="3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title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“Extremal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Analysis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of</w:t>
            </w:r>
            <w:r w:rsidRPr="00E964A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Cycles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with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Complete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Diagonal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Connectivity</w:t>
            </w:r>
            <w:r w:rsidRPr="00E964A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in Dense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Graphs”</w:t>
            </w:r>
            <w:r w:rsidRPr="00E964A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is</w:t>
            </w:r>
            <w:r w:rsidRPr="00E964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>precise,</w:t>
            </w:r>
          </w:p>
        </w:tc>
        <w:tc>
          <w:tcPr>
            <w:tcW w:w="6443" w:type="dxa"/>
            <w:vMerge/>
            <w:tcBorders>
              <w:top w:val="nil"/>
            </w:tcBorders>
          </w:tcPr>
          <w:p w:rsidR="00DF721E" w:rsidRPr="00E964AF" w:rsidRDefault="00DF721E" w:rsidP="00DF72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1E" w:rsidRPr="00E964AF" w:rsidTr="00DF721E">
        <w:trPr>
          <w:trHeight w:val="217"/>
        </w:trPr>
        <w:tc>
          <w:tcPr>
            <w:tcW w:w="5353" w:type="dxa"/>
            <w:tcBorders>
              <w:top w:val="nil"/>
              <w:bottom w:val="nil"/>
            </w:tcBorders>
          </w:tcPr>
          <w:p w:rsidR="00DF721E" w:rsidRPr="00E964AF" w:rsidRDefault="00DF721E" w:rsidP="00DF72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  <w:tcBorders>
              <w:top w:val="nil"/>
              <w:bottom w:val="nil"/>
            </w:tcBorders>
          </w:tcPr>
          <w:p w:rsidR="00DF721E" w:rsidRPr="00E964AF" w:rsidRDefault="00DF721E" w:rsidP="00DF721E">
            <w:pPr>
              <w:pStyle w:val="TableParagraph"/>
              <w:spacing w:line="198" w:lineRule="exact"/>
              <w:ind w:left="0" w:right="3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z w:val="20"/>
                <w:szCs w:val="20"/>
              </w:rPr>
              <w:t>informative,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and</w:t>
            </w:r>
            <w:r w:rsidRPr="00E964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accurately</w:t>
            </w:r>
            <w:r w:rsidRPr="00E964A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reflects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both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technical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content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and</w:t>
            </w:r>
            <w:r w:rsidRPr="00E964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main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E964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of</w:t>
            </w:r>
            <w:r w:rsidRPr="00E964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6443" w:type="dxa"/>
            <w:vMerge/>
            <w:tcBorders>
              <w:top w:val="nil"/>
            </w:tcBorders>
          </w:tcPr>
          <w:p w:rsidR="00DF721E" w:rsidRPr="00E964AF" w:rsidRDefault="00DF721E" w:rsidP="00DF72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1E" w:rsidRPr="00E964AF" w:rsidTr="00DF721E">
        <w:trPr>
          <w:trHeight w:val="567"/>
        </w:trPr>
        <w:tc>
          <w:tcPr>
            <w:tcW w:w="5353" w:type="dxa"/>
            <w:tcBorders>
              <w:top w:val="nil"/>
            </w:tcBorders>
          </w:tcPr>
          <w:p w:rsidR="00DF721E" w:rsidRPr="00E964AF" w:rsidRDefault="00DF721E" w:rsidP="00DF72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  <w:tcBorders>
              <w:top w:val="nil"/>
            </w:tcBorders>
          </w:tcPr>
          <w:p w:rsidR="00DF721E" w:rsidRPr="00E964AF" w:rsidRDefault="00DF721E" w:rsidP="00DF721E">
            <w:pPr>
              <w:pStyle w:val="TableParagraph"/>
              <w:spacing w:line="221" w:lineRule="exact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z w:val="20"/>
                <w:szCs w:val="20"/>
              </w:rPr>
              <w:t>No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change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is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>necessary.</w:t>
            </w:r>
          </w:p>
        </w:tc>
        <w:tc>
          <w:tcPr>
            <w:tcW w:w="6443" w:type="dxa"/>
            <w:vMerge/>
            <w:tcBorders>
              <w:top w:val="nil"/>
            </w:tcBorders>
          </w:tcPr>
          <w:p w:rsidR="00DF721E" w:rsidRPr="00E964AF" w:rsidRDefault="00DF721E" w:rsidP="00DF72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1E" w:rsidRPr="00E964AF" w:rsidTr="00DF721E">
        <w:trPr>
          <w:trHeight w:val="2529"/>
        </w:trPr>
        <w:tc>
          <w:tcPr>
            <w:tcW w:w="5353" w:type="dxa"/>
          </w:tcPr>
          <w:p w:rsidR="00DF721E" w:rsidRPr="00E964AF" w:rsidRDefault="00DF721E" w:rsidP="00DF721E">
            <w:pPr>
              <w:pStyle w:val="TableParagraph"/>
              <w:ind w:left="470" w:right="155"/>
              <w:rPr>
                <w:rFonts w:ascii="Arial" w:hAnsi="Arial" w:cs="Arial"/>
                <w:b/>
                <w:sz w:val="20"/>
                <w:szCs w:val="20"/>
              </w:rPr>
            </w:pPr>
            <w:r w:rsidRPr="00E964A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964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964A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964A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964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964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964A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964A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964A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DF721E" w:rsidRPr="00E964AF" w:rsidRDefault="00DF721E" w:rsidP="00DF721E">
            <w:pPr>
              <w:pStyle w:val="TableParagraph"/>
              <w:spacing w:line="480" w:lineRule="auto"/>
              <w:ind w:left="470" w:right="2375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abstract</w:t>
            </w:r>
            <w:r w:rsidRPr="00E964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is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clear,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focused, and</w:t>
            </w:r>
            <w:r w:rsidRPr="00E964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technically</w:t>
            </w:r>
            <w:r w:rsidRPr="00E964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sound.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It</w:t>
            </w:r>
            <w:r w:rsidRPr="00E964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successfully</w:t>
            </w:r>
            <w:r w:rsidRPr="00E964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highlights: the extremal threshold result, and</w:t>
            </w:r>
            <w:r w:rsidRPr="00E964A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broader</w:t>
            </w:r>
            <w:r w:rsidRPr="00E964A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theoretical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 xml:space="preserve">significance. 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>Suggestion:</w:t>
            </w:r>
          </w:p>
          <w:p w:rsidR="00DF721E" w:rsidRPr="00E964AF" w:rsidRDefault="00DF721E" w:rsidP="00DF721E">
            <w:pPr>
              <w:pStyle w:val="TableParagraph"/>
              <w:spacing w:line="180" w:lineRule="exact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z w:val="20"/>
                <w:szCs w:val="20"/>
              </w:rPr>
              <w:t>A</w:t>
            </w:r>
            <w:r w:rsidRPr="00E964A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brief</w:t>
            </w:r>
            <w:r w:rsidRPr="00E964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clarification</w:t>
            </w:r>
            <w:r w:rsidRPr="00E964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of</w:t>
            </w:r>
            <w:r w:rsidRPr="00E964A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term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“complete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diagonal</w:t>
            </w:r>
            <w:r w:rsidRPr="00E964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connectivity”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(e.g.,</w:t>
            </w:r>
            <w:r w:rsidRPr="00E964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one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short</w:t>
            </w:r>
            <w:r w:rsidRPr="00E964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descriptive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phrase)</w:t>
            </w:r>
            <w:r w:rsidRPr="00E964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>could</w:t>
            </w:r>
          </w:p>
          <w:p w:rsidR="00DF721E" w:rsidRPr="00E964AF" w:rsidRDefault="00DF721E" w:rsidP="00DF721E">
            <w:pPr>
              <w:pStyle w:val="TableParagraph"/>
              <w:spacing w:line="215" w:lineRule="exact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z w:val="20"/>
                <w:szCs w:val="20"/>
              </w:rPr>
              <w:t>improve</w:t>
            </w:r>
            <w:r w:rsidRPr="00E964A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accessibility</w:t>
            </w:r>
            <w:r w:rsidRPr="00E964A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for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non-specialist</w:t>
            </w:r>
            <w:r w:rsidRPr="00E964A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readers,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but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this</w:t>
            </w:r>
            <w:r w:rsidRPr="00E964A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is</w:t>
            </w:r>
            <w:r w:rsidRPr="00E964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optional</w:t>
            </w:r>
            <w:r w:rsidRPr="00E964A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rather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than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>necessary.</w:t>
            </w:r>
          </w:p>
        </w:tc>
        <w:tc>
          <w:tcPr>
            <w:tcW w:w="6443" w:type="dxa"/>
          </w:tcPr>
          <w:p w:rsidR="00DF721E" w:rsidRPr="00E964AF" w:rsidRDefault="00DF721E" w:rsidP="00DF72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1E" w:rsidRPr="00E964AF" w:rsidTr="00DF721E">
        <w:trPr>
          <w:trHeight w:val="1604"/>
        </w:trPr>
        <w:tc>
          <w:tcPr>
            <w:tcW w:w="5353" w:type="dxa"/>
            <w:tcBorders>
              <w:bottom w:val="nil"/>
            </w:tcBorders>
          </w:tcPr>
          <w:p w:rsidR="00DF721E" w:rsidRPr="00E964AF" w:rsidRDefault="00DF721E" w:rsidP="00DF721E">
            <w:pPr>
              <w:pStyle w:val="TableParagraph"/>
              <w:ind w:left="470" w:right="155"/>
              <w:rPr>
                <w:rFonts w:ascii="Arial" w:hAnsi="Arial" w:cs="Arial"/>
                <w:b/>
                <w:sz w:val="20"/>
                <w:szCs w:val="20"/>
              </w:rPr>
            </w:pPr>
            <w:r w:rsidRPr="00E964A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964A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964A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964A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964A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964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964A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  <w:tcBorders>
              <w:bottom w:val="nil"/>
            </w:tcBorders>
          </w:tcPr>
          <w:p w:rsidR="00DF721E" w:rsidRPr="00E964AF" w:rsidRDefault="00DF721E" w:rsidP="00DF721E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  <w:p w:rsidR="00DF721E" w:rsidRPr="00E964AF" w:rsidRDefault="00DF721E" w:rsidP="00DF721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arguments</w:t>
            </w:r>
            <w:r w:rsidRPr="00E964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appear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mathematically</w:t>
            </w:r>
            <w:r w:rsidRPr="00E964A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rigorous</w:t>
            </w:r>
            <w:r w:rsidRPr="00E964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and</w:t>
            </w:r>
            <w:r w:rsidRPr="00E964A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logically</w:t>
            </w:r>
            <w:r w:rsidRPr="00E964A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coherent.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use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of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>auxiliary</w:t>
            </w:r>
          </w:p>
          <w:p w:rsidR="00DF721E" w:rsidRPr="00E964AF" w:rsidRDefault="00DF721E" w:rsidP="00DF721E">
            <w:pPr>
              <w:pStyle w:val="TableParagraph"/>
              <w:spacing w:before="1"/>
              <w:ind w:right="9082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Segoe UI Emoji" w:hAnsi="Segoe UI Emoji" w:cs="Segoe UI Emoji"/>
                <w:spacing w:val="-10"/>
                <w:w w:val="75"/>
                <w:sz w:val="20"/>
                <w:szCs w:val="20"/>
              </w:rPr>
              <w:t>◻</w:t>
            </w:r>
            <w:r w:rsidRPr="00E964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  <w:p w:rsidR="00DF721E" w:rsidRPr="00E964AF" w:rsidRDefault="00DF721E" w:rsidP="00DF721E">
            <w:pPr>
              <w:pStyle w:val="TableParagraph"/>
              <w:spacing w:before="1"/>
              <w:ind w:right="9098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pacing w:val="-10"/>
                <w:sz w:val="20"/>
                <w:szCs w:val="20"/>
              </w:rPr>
              <w:t>C</w:t>
            </w:r>
            <w:r w:rsidRPr="00E964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6443" w:type="dxa"/>
            <w:vMerge w:val="restart"/>
          </w:tcPr>
          <w:p w:rsidR="00DF721E" w:rsidRPr="00E964AF" w:rsidRDefault="00DF721E" w:rsidP="00DF72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1E" w:rsidRPr="00E964AF" w:rsidTr="00DF721E">
        <w:trPr>
          <w:trHeight w:val="684"/>
        </w:trPr>
        <w:tc>
          <w:tcPr>
            <w:tcW w:w="5353" w:type="dxa"/>
            <w:tcBorders>
              <w:top w:val="nil"/>
            </w:tcBorders>
          </w:tcPr>
          <w:p w:rsidR="00DF721E" w:rsidRPr="00E964AF" w:rsidRDefault="00DF721E" w:rsidP="00DF72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  <w:tcBorders>
              <w:top w:val="nil"/>
            </w:tcBorders>
          </w:tcPr>
          <w:p w:rsidR="00DF721E" w:rsidRPr="00E964AF" w:rsidRDefault="00DF721E" w:rsidP="00DF721E">
            <w:pPr>
              <w:pStyle w:val="TableParagraph"/>
              <w:spacing w:before="204" w:line="230" w:lineRule="atLeast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z w:val="20"/>
                <w:szCs w:val="20"/>
              </w:rPr>
              <w:t>-graphs, expansion properties,</w:t>
            </w:r>
            <w:r w:rsidRPr="00E964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and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parity-sensitive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constructions is</w:t>
            </w:r>
            <w:r w:rsidRPr="00E964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well motivated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and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consistently</w:t>
            </w:r>
            <w:r w:rsidRPr="00E964A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applied.</w:t>
            </w:r>
            <w:r w:rsidRPr="00E964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The conclusions</w:t>
            </w:r>
            <w:r w:rsidRPr="00E964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follow</w:t>
            </w:r>
            <w:r w:rsidRPr="00E964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from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stated</w:t>
            </w:r>
            <w:r w:rsidRPr="00E964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lemmas</w:t>
            </w:r>
            <w:r w:rsidRPr="00E964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and</w:t>
            </w:r>
            <w:r w:rsidRPr="00E964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constructions,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and</w:t>
            </w:r>
            <w:r w:rsidRPr="00E964A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no</w:t>
            </w:r>
            <w:r w:rsidRPr="00E964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mathematical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inconsistencies</w:t>
            </w:r>
            <w:r w:rsidRPr="00E964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are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>apparent.</w:t>
            </w:r>
          </w:p>
        </w:tc>
        <w:tc>
          <w:tcPr>
            <w:tcW w:w="6443" w:type="dxa"/>
            <w:vMerge/>
            <w:tcBorders>
              <w:top w:val="nil"/>
            </w:tcBorders>
          </w:tcPr>
          <w:p w:rsidR="00DF721E" w:rsidRPr="00E964AF" w:rsidRDefault="00DF721E" w:rsidP="00DF72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1E" w:rsidRPr="00E964AF" w:rsidTr="00DF721E">
        <w:trPr>
          <w:trHeight w:val="921"/>
        </w:trPr>
        <w:tc>
          <w:tcPr>
            <w:tcW w:w="5353" w:type="dxa"/>
          </w:tcPr>
          <w:p w:rsidR="00DF721E" w:rsidRPr="00E964AF" w:rsidRDefault="00DF721E" w:rsidP="00DF721E">
            <w:pPr>
              <w:pStyle w:val="TableParagraph"/>
              <w:spacing w:before="1"/>
              <w:ind w:left="470" w:right="155"/>
              <w:rPr>
                <w:rFonts w:ascii="Arial" w:hAnsi="Arial" w:cs="Arial"/>
                <w:b/>
                <w:sz w:val="20"/>
                <w:szCs w:val="20"/>
              </w:rPr>
            </w:pPr>
            <w:r w:rsidRPr="00E964A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964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964A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964A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964A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964A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964A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964A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DF721E" w:rsidRPr="00E964AF" w:rsidRDefault="00DF721E" w:rsidP="00DF721E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  <w:p w:rsidR="00DF721E" w:rsidRPr="00E964AF" w:rsidRDefault="00DF721E" w:rsidP="00DF721E">
            <w:pPr>
              <w:pStyle w:val="TableParagraph"/>
              <w:spacing w:line="230" w:lineRule="atLeast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reference</w:t>
            </w:r>
            <w:r w:rsidRPr="00E964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list</w:t>
            </w:r>
            <w:r w:rsidRPr="00E964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is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strong</w:t>
            </w:r>
            <w:r w:rsidRPr="00E964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and</w:t>
            </w:r>
            <w:r w:rsidRPr="00E964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includes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classical</w:t>
            </w:r>
            <w:r w:rsidRPr="00E964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foundational</w:t>
            </w:r>
            <w:r w:rsidRPr="00E964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works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964AF">
              <w:rPr>
                <w:rFonts w:ascii="Arial" w:hAnsi="Arial" w:cs="Arial"/>
                <w:sz w:val="20"/>
                <w:szCs w:val="20"/>
              </w:rPr>
              <w:t>Turán</w:t>
            </w:r>
            <w:proofErr w:type="spellEnd"/>
            <w:r w:rsidRPr="00E964AF">
              <w:rPr>
                <w:rFonts w:ascii="Arial" w:hAnsi="Arial" w:cs="Arial"/>
                <w:sz w:val="20"/>
                <w:szCs w:val="20"/>
              </w:rPr>
              <w:t>,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964AF">
              <w:rPr>
                <w:rFonts w:ascii="Arial" w:hAnsi="Arial" w:cs="Arial"/>
                <w:sz w:val="20"/>
                <w:szCs w:val="20"/>
              </w:rPr>
              <w:t>Erdős</w:t>
            </w:r>
            <w:proofErr w:type="spellEnd"/>
            <w:r w:rsidRPr="00E964AF">
              <w:rPr>
                <w:rFonts w:ascii="Arial" w:hAnsi="Arial" w:cs="Arial"/>
                <w:sz w:val="20"/>
                <w:szCs w:val="20"/>
              </w:rPr>
              <w:t>, Chung)</w:t>
            </w:r>
            <w:r w:rsidRPr="00E964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as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well as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modern developments in expansion, regularity, and extremal methods. The citations are appropriate, relevant, and sufficient to contextualize the contribution.</w:t>
            </w:r>
          </w:p>
        </w:tc>
        <w:tc>
          <w:tcPr>
            <w:tcW w:w="6443" w:type="dxa"/>
          </w:tcPr>
          <w:p w:rsidR="00DF721E" w:rsidRPr="00E964AF" w:rsidRDefault="00DF721E" w:rsidP="00DF72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1E" w:rsidRPr="00E964AF" w:rsidTr="00DF721E">
        <w:trPr>
          <w:trHeight w:val="226"/>
        </w:trPr>
        <w:tc>
          <w:tcPr>
            <w:tcW w:w="5353" w:type="dxa"/>
            <w:tcBorders>
              <w:bottom w:val="nil"/>
            </w:tcBorders>
          </w:tcPr>
          <w:p w:rsidR="00DF721E" w:rsidRPr="00E964AF" w:rsidRDefault="00DF721E" w:rsidP="00DF721E">
            <w:pPr>
              <w:pStyle w:val="TableParagraph"/>
              <w:spacing w:line="206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E964A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964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964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964A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964A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964A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pacing w:val="-2"/>
                <w:sz w:val="20"/>
                <w:szCs w:val="20"/>
              </w:rPr>
              <w:lastRenderedPageBreak/>
              <w:t>suitable</w:t>
            </w:r>
          </w:p>
        </w:tc>
        <w:tc>
          <w:tcPr>
            <w:tcW w:w="9362" w:type="dxa"/>
            <w:tcBorders>
              <w:bottom w:val="nil"/>
            </w:tcBorders>
          </w:tcPr>
          <w:p w:rsidR="00DF721E" w:rsidRPr="00E964AF" w:rsidRDefault="00DF721E" w:rsidP="00DF721E">
            <w:pPr>
              <w:pStyle w:val="TableParagraph"/>
              <w:spacing w:line="207" w:lineRule="exact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Yes.</w:t>
            </w:r>
          </w:p>
        </w:tc>
        <w:tc>
          <w:tcPr>
            <w:tcW w:w="6443" w:type="dxa"/>
            <w:vMerge w:val="restart"/>
          </w:tcPr>
          <w:p w:rsidR="00DF721E" w:rsidRPr="00E964AF" w:rsidRDefault="00DF721E" w:rsidP="00DF72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1E" w:rsidRPr="00E964AF" w:rsidTr="00DF721E">
        <w:trPr>
          <w:trHeight w:val="220"/>
        </w:trPr>
        <w:tc>
          <w:tcPr>
            <w:tcW w:w="5353" w:type="dxa"/>
            <w:tcBorders>
              <w:top w:val="nil"/>
              <w:bottom w:val="nil"/>
            </w:tcBorders>
          </w:tcPr>
          <w:p w:rsidR="00DF721E" w:rsidRPr="00E964AF" w:rsidRDefault="00DF721E" w:rsidP="00DF721E">
            <w:pPr>
              <w:pStyle w:val="TableParagraph"/>
              <w:spacing w:line="200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E964A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964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E964A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communications?</w:t>
            </w:r>
          </w:p>
        </w:tc>
        <w:tc>
          <w:tcPr>
            <w:tcW w:w="9362" w:type="dxa"/>
            <w:tcBorders>
              <w:top w:val="nil"/>
              <w:bottom w:val="nil"/>
            </w:tcBorders>
          </w:tcPr>
          <w:p w:rsidR="00DF721E" w:rsidRPr="00E964AF" w:rsidRDefault="00DF721E" w:rsidP="00DF721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manuscript</w:t>
            </w:r>
            <w:r w:rsidRPr="00E964A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is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written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in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clear,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E964A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academic</w:t>
            </w:r>
            <w:r w:rsidRPr="00E964A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English.</w:t>
            </w:r>
            <w:r w:rsidRPr="00E964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Minor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typographical</w:t>
            </w:r>
            <w:r w:rsidRPr="00E964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or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spacing</w:t>
            </w:r>
            <w:r w:rsidRPr="00E964A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issues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>(e.g.,</w:t>
            </w:r>
          </w:p>
        </w:tc>
        <w:tc>
          <w:tcPr>
            <w:tcW w:w="6443" w:type="dxa"/>
            <w:vMerge/>
            <w:tcBorders>
              <w:top w:val="nil"/>
            </w:tcBorders>
          </w:tcPr>
          <w:p w:rsidR="00DF721E" w:rsidRPr="00E964AF" w:rsidRDefault="00DF721E" w:rsidP="00DF72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1E" w:rsidRPr="00E964AF" w:rsidTr="00DF721E">
        <w:trPr>
          <w:trHeight w:val="218"/>
        </w:trPr>
        <w:tc>
          <w:tcPr>
            <w:tcW w:w="5353" w:type="dxa"/>
            <w:tcBorders>
              <w:top w:val="nil"/>
              <w:bottom w:val="nil"/>
            </w:tcBorders>
          </w:tcPr>
          <w:p w:rsidR="00DF721E" w:rsidRPr="00E964AF" w:rsidRDefault="00DF721E" w:rsidP="00DF72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  <w:tcBorders>
              <w:top w:val="nil"/>
              <w:bottom w:val="nil"/>
            </w:tcBorders>
          </w:tcPr>
          <w:p w:rsidR="00DF721E" w:rsidRPr="00E964AF" w:rsidRDefault="00DF721E" w:rsidP="00DF721E">
            <w:pPr>
              <w:pStyle w:val="TableParagraph"/>
              <w:spacing w:line="198" w:lineRule="exact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z w:val="20"/>
                <w:szCs w:val="20"/>
              </w:rPr>
              <w:t>missing</w:t>
            </w:r>
            <w:r w:rsidRPr="00E964A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spaces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such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as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E964AF">
              <w:rPr>
                <w:rFonts w:ascii="Arial" w:hAnsi="Arial" w:cs="Arial"/>
                <w:sz w:val="20"/>
                <w:szCs w:val="20"/>
              </w:rPr>
              <w:t>frameworkthat</w:t>
            </w:r>
            <w:proofErr w:type="spellEnd"/>
            <w:r w:rsidRPr="00E964AF">
              <w:rPr>
                <w:rFonts w:ascii="Arial" w:hAnsi="Arial" w:cs="Arial"/>
                <w:sz w:val="20"/>
                <w:szCs w:val="20"/>
              </w:rPr>
              <w:t>”)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may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be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corrected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during</w:t>
            </w:r>
            <w:r w:rsidRPr="00E964A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copyediting,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but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they</w:t>
            </w:r>
            <w:r w:rsidRPr="00E964A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do</w:t>
            </w:r>
            <w:r w:rsidRPr="00E964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not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 xml:space="preserve"> affect</w:t>
            </w:r>
          </w:p>
        </w:tc>
        <w:tc>
          <w:tcPr>
            <w:tcW w:w="6443" w:type="dxa"/>
            <w:vMerge/>
            <w:tcBorders>
              <w:top w:val="nil"/>
            </w:tcBorders>
          </w:tcPr>
          <w:p w:rsidR="00DF721E" w:rsidRPr="00E964AF" w:rsidRDefault="00DF721E" w:rsidP="00DF72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1E" w:rsidRPr="00E964AF" w:rsidTr="00DF721E">
        <w:trPr>
          <w:trHeight w:val="226"/>
        </w:trPr>
        <w:tc>
          <w:tcPr>
            <w:tcW w:w="5353" w:type="dxa"/>
            <w:tcBorders>
              <w:top w:val="nil"/>
            </w:tcBorders>
          </w:tcPr>
          <w:p w:rsidR="00DF721E" w:rsidRPr="00E964AF" w:rsidRDefault="00DF721E" w:rsidP="00DF72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  <w:tcBorders>
              <w:top w:val="nil"/>
            </w:tcBorders>
          </w:tcPr>
          <w:p w:rsidR="00DF721E" w:rsidRPr="00E964AF" w:rsidRDefault="00DF721E" w:rsidP="00DF721E">
            <w:pPr>
              <w:pStyle w:val="TableParagraph"/>
              <w:spacing w:line="206" w:lineRule="exact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>comprehension.</w:t>
            </w:r>
          </w:p>
        </w:tc>
        <w:tc>
          <w:tcPr>
            <w:tcW w:w="6443" w:type="dxa"/>
            <w:vMerge/>
            <w:tcBorders>
              <w:top w:val="nil"/>
            </w:tcBorders>
          </w:tcPr>
          <w:p w:rsidR="00DF721E" w:rsidRPr="00E964AF" w:rsidRDefault="00DF721E" w:rsidP="00DF72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1E" w:rsidRPr="00E964AF" w:rsidTr="00DF721E">
        <w:trPr>
          <w:trHeight w:val="1175"/>
        </w:trPr>
        <w:tc>
          <w:tcPr>
            <w:tcW w:w="5353" w:type="dxa"/>
          </w:tcPr>
          <w:p w:rsidR="00DF721E" w:rsidRPr="00E964AF" w:rsidRDefault="00DF721E" w:rsidP="00DF721E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E964AF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DF721E" w:rsidRPr="00E964AF" w:rsidRDefault="00DF721E" w:rsidP="00DF721E">
            <w:pPr>
              <w:pStyle w:val="TableParagraph"/>
              <w:ind w:right="341"/>
              <w:rPr>
                <w:rFonts w:ascii="Arial" w:hAnsi="Arial" w:cs="Arial"/>
                <w:sz w:val="20"/>
                <w:szCs w:val="20"/>
              </w:rPr>
            </w:pPr>
            <w:r w:rsidRPr="00E964AF">
              <w:rPr>
                <w:rFonts w:ascii="Arial" w:hAnsi="Arial" w:cs="Arial"/>
                <w:sz w:val="20"/>
                <w:szCs w:val="20"/>
              </w:rPr>
              <w:t>This is a technically</w:t>
            </w:r>
            <w:r w:rsidRPr="00E964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strong and conceptually</w:t>
            </w:r>
            <w:r w:rsidRPr="00E964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innovative contribution to extremal graph theory. The proposed expansion-driven framework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and</w:t>
            </w:r>
            <w:r w:rsidRPr="00E964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algorithmic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perspective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enhance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the</w:t>
            </w:r>
            <w:r w:rsidRPr="00E964A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manuscript’s</w:t>
            </w:r>
            <w:r w:rsidRPr="00E964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long-term</w:t>
            </w:r>
            <w:r w:rsidRPr="00E964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value.</w:t>
            </w:r>
            <w:r w:rsidRPr="00E964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With</w:t>
            </w:r>
            <w:r w:rsidRPr="00E964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64AF">
              <w:rPr>
                <w:rFonts w:ascii="Arial" w:hAnsi="Arial" w:cs="Arial"/>
                <w:sz w:val="20"/>
                <w:szCs w:val="20"/>
              </w:rPr>
              <w:t>only very minor editorial refinements, the paper is suitable for publication.</w:t>
            </w:r>
          </w:p>
        </w:tc>
        <w:tc>
          <w:tcPr>
            <w:tcW w:w="6443" w:type="dxa"/>
          </w:tcPr>
          <w:p w:rsidR="00DF721E" w:rsidRPr="00E964AF" w:rsidRDefault="00DF721E" w:rsidP="00DF72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721E" w:rsidRPr="00E964AF" w:rsidRDefault="00DF721E">
      <w:pPr>
        <w:rPr>
          <w:rFonts w:ascii="Arial" w:hAnsi="Arial" w:cs="Arial"/>
          <w:sz w:val="20"/>
          <w:szCs w:val="20"/>
        </w:rPr>
      </w:pPr>
    </w:p>
    <w:p w:rsidR="00DF721E" w:rsidRPr="00E964AF" w:rsidRDefault="00DF721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DF721E" w:rsidRPr="00E964AF" w:rsidTr="00DF721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21E" w:rsidRPr="00E964AF" w:rsidRDefault="00DF721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964A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964A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F721E" w:rsidRPr="00E964AF" w:rsidRDefault="00DF721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F721E" w:rsidRPr="00E964AF" w:rsidTr="00DF721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21E" w:rsidRPr="00E964AF" w:rsidRDefault="00DF721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1E" w:rsidRPr="00E964AF" w:rsidRDefault="00DF721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964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21E" w:rsidRPr="00E964AF" w:rsidRDefault="00DF721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964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964A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F721E" w:rsidRPr="00E964AF" w:rsidRDefault="00DF721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721E" w:rsidRPr="00E964AF" w:rsidTr="00DF721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21E" w:rsidRPr="00E964AF" w:rsidRDefault="00DF721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964A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F721E" w:rsidRPr="00E964AF" w:rsidRDefault="00DF721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21E" w:rsidRPr="00E964AF" w:rsidRDefault="00DF721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964A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964A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964A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F721E" w:rsidRPr="00E964AF" w:rsidRDefault="00DF721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21E" w:rsidRPr="00E964AF" w:rsidRDefault="00DF721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F721E" w:rsidRPr="00E964AF" w:rsidRDefault="00DF721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F721E" w:rsidRPr="00E964AF" w:rsidRDefault="00DF721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F721E" w:rsidRPr="00E964AF" w:rsidRDefault="00DF721E" w:rsidP="00DF721E">
      <w:pPr>
        <w:rPr>
          <w:rFonts w:ascii="Arial" w:hAnsi="Arial" w:cs="Arial"/>
          <w:sz w:val="20"/>
          <w:szCs w:val="20"/>
        </w:rPr>
      </w:pPr>
    </w:p>
    <w:p w:rsidR="00DF721E" w:rsidRPr="00E964AF" w:rsidRDefault="00DF721E" w:rsidP="00DF721E">
      <w:pPr>
        <w:rPr>
          <w:rFonts w:ascii="Arial" w:hAnsi="Arial" w:cs="Arial"/>
          <w:sz w:val="20"/>
          <w:szCs w:val="20"/>
        </w:rPr>
      </w:pPr>
    </w:p>
    <w:p w:rsidR="00E964AF" w:rsidRPr="00E964AF" w:rsidRDefault="00E964AF" w:rsidP="00E964A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964AF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DF721E" w:rsidRPr="00E964AF" w:rsidRDefault="00DF721E" w:rsidP="00DF721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E964AF" w:rsidRPr="00E964AF" w:rsidRDefault="00E964AF" w:rsidP="00E964AF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Hlk218782345"/>
      <w:bookmarkStart w:id="3" w:name="_GoBack"/>
      <w:proofErr w:type="spellStart"/>
      <w:r w:rsidRPr="00E964AF">
        <w:rPr>
          <w:rFonts w:ascii="Arial" w:hAnsi="Arial" w:cs="Arial"/>
          <w:b/>
          <w:bCs/>
          <w:sz w:val="20"/>
          <w:szCs w:val="20"/>
          <w:u w:val="single"/>
          <w:lang w:val="en-GB"/>
        </w:rPr>
        <w:t>Mohammadesmail</w:t>
      </w:r>
      <w:proofErr w:type="spellEnd"/>
      <w:r w:rsidRPr="00E964AF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 </w:t>
      </w:r>
      <w:proofErr w:type="spellStart"/>
      <w:r w:rsidRPr="00E964AF">
        <w:rPr>
          <w:rFonts w:ascii="Arial" w:hAnsi="Arial" w:cs="Arial"/>
          <w:b/>
          <w:bCs/>
          <w:sz w:val="20"/>
          <w:szCs w:val="20"/>
          <w:u w:val="single"/>
          <w:lang w:val="en-GB"/>
        </w:rPr>
        <w:t>Nikfar</w:t>
      </w:r>
      <w:proofErr w:type="spellEnd"/>
      <w:r w:rsidRPr="00E964AF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, </w:t>
      </w:r>
      <w:r w:rsidRPr="00E964AF">
        <w:rPr>
          <w:rFonts w:ascii="Arial" w:hAnsi="Arial" w:cs="Arial"/>
          <w:b/>
          <w:bCs/>
          <w:sz w:val="20"/>
          <w:szCs w:val="20"/>
          <w:u w:val="single"/>
          <w:lang w:val="en-GB"/>
        </w:rPr>
        <w:t>Iran</w:t>
      </w:r>
    </w:p>
    <w:bookmarkEnd w:id="1"/>
    <w:bookmarkEnd w:id="2"/>
    <w:bookmarkEnd w:id="3"/>
    <w:p w:rsidR="00DF721E" w:rsidRPr="00E964AF" w:rsidRDefault="00DF721E" w:rsidP="00DF721E">
      <w:pPr>
        <w:rPr>
          <w:rFonts w:ascii="Arial" w:hAnsi="Arial" w:cs="Arial"/>
          <w:sz w:val="20"/>
          <w:szCs w:val="20"/>
        </w:rPr>
      </w:pPr>
    </w:p>
    <w:p w:rsidR="00DF721E" w:rsidRPr="00E964AF" w:rsidRDefault="00DF721E">
      <w:pPr>
        <w:rPr>
          <w:rFonts w:ascii="Arial" w:hAnsi="Arial" w:cs="Arial"/>
          <w:sz w:val="20"/>
          <w:szCs w:val="20"/>
        </w:rPr>
        <w:sectPr w:rsidR="00DF721E" w:rsidRPr="00E964AF">
          <w:headerReference w:type="default" r:id="rId7"/>
          <w:footerReference w:type="default" r:id="rId8"/>
          <w:type w:val="continuous"/>
          <w:pgSz w:w="23820" w:h="16840" w:orient="landscape"/>
          <w:pgMar w:top="1540" w:right="1275" w:bottom="880" w:left="1275" w:header="1276" w:footer="695" w:gutter="0"/>
          <w:pgNumType w:start="1"/>
          <w:cols w:space="720"/>
        </w:sectPr>
      </w:pPr>
    </w:p>
    <w:p w:rsidR="00DF721E" w:rsidRPr="00E964AF" w:rsidRDefault="00DF721E" w:rsidP="00DF721E">
      <w:pPr>
        <w:pStyle w:val="TableParagraph"/>
        <w:rPr>
          <w:rFonts w:ascii="Arial" w:hAnsi="Arial" w:cs="Arial"/>
          <w:sz w:val="20"/>
          <w:szCs w:val="20"/>
        </w:rPr>
      </w:pPr>
    </w:p>
    <w:p w:rsidR="00DF721E" w:rsidRPr="00E964AF" w:rsidRDefault="00DF721E" w:rsidP="00DF721E">
      <w:pPr>
        <w:rPr>
          <w:rFonts w:ascii="Arial" w:hAnsi="Arial" w:cs="Arial"/>
          <w:sz w:val="20"/>
          <w:szCs w:val="20"/>
        </w:rPr>
      </w:pPr>
    </w:p>
    <w:p w:rsidR="00DF721E" w:rsidRPr="00E964AF" w:rsidRDefault="00DF721E" w:rsidP="00DF721E">
      <w:pPr>
        <w:rPr>
          <w:rFonts w:ascii="Arial" w:hAnsi="Arial" w:cs="Arial"/>
          <w:sz w:val="20"/>
          <w:szCs w:val="20"/>
        </w:rPr>
      </w:pPr>
    </w:p>
    <w:p w:rsidR="00DF721E" w:rsidRPr="00E964AF" w:rsidRDefault="00DF721E" w:rsidP="00DF721E">
      <w:pPr>
        <w:rPr>
          <w:rFonts w:ascii="Arial" w:hAnsi="Arial" w:cs="Arial"/>
          <w:sz w:val="20"/>
          <w:szCs w:val="20"/>
        </w:rPr>
      </w:pPr>
    </w:p>
    <w:p w:rsidR="00DF721E" w:rsidRPr="00E964AF" w:rsidRDefault="00DF721E" w:rsidP="00DF721E">
      <w:pPr>
        <w:rPr>
          <w:rFonts w:ascii="Arial" w:hAnsi="Arial" w:cs="Arial"/>
          <w:sz w:val="20"/>
          <w:szCs w:val="20"/>
        </w:rPr>
      </w:pPr>
    </w:p>
    <w:p w:rsidR="00DF721E" w:rsidRPr="00E964AF" w:rsidRDefault="00DF721E" w:rsidP="00DF721E">
      <w:pPr>
        <w:rPr>
          <w:rFonts w:ascii="Arial" w:hAnsi="Arial" w:cs="Arial"/>
          <w:sz w:val="20"/>
          <w:szCs w:val="20"/>
        </w:rPr>
      </w:pPr>
    </w:p>
    <w:p w:rsidR="00DF721E" w:rsidRPr="00E964AF" w:rsidRDefault="00DF721E" w:rsidP="00DF721E">
      <w:pPr>
        <w:rPr>
          <w:rFonts w:ascii="Arial" w:hAnsi="Arial" w:cs="Arial"/>
          <w:sz w:val="20"/>
          <w:szCs w:val="20"/>
        </w:rPr>
      </w:pPr>
    </w:p>
    <w:sectPr w:rsidR="00DF721E" w:rsidRPr="00E964AF">
      <w:pgSz w:w="23820" w:h="16840" w:orient="landscape"/>
      <w:pgMar w:top="1540" w:right="1275" w:bottom="880" w:left="1275" w:header="1276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C95" w:rsidRDefault="00B21C95">
      <w:r>
        <w:separator/>
      </w:r>
    </w:p>
  </w:endnote>
  <w:endnote w:type="continuationSeparator" w:id="0">
    <w:p w:rsidR="00B21C95" w:rsidRDefault="00B2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E0B" w:rsidRDefault="0090552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3E0B" w:rsidRDefault="00905523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P4CH+uEAAAANAQAADwAAAAAAAAAAAAAAAAAFBAAAZHJzL2Rvd25yZXYu&#10;eG1sUEsFBgAAAAAEAAQA8wAAABMFAAAAAA==&#10;" filled="f" stroked="f">
              <v:textbox inset="0,0,0,0">
                <w:txbxContent>
                  <w:p w:rsidR="006C3E0B" w:rsidRDefault="00905523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2169922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3E0B" w:rsidRDefault="00905523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170.85pt;margin-top:796.2pt;width:55.8pt;height:10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CiLOYriAAAADQEAAA8AAAAAAAAAAAAAAAAAAgQAAGRycy9kb3ducmV2Lnht&#10;bFBLBQYAAAAABAAEAPMAAAARBQAAAAA=&#10;" filled="f" stroked="f">
              <v:textbox inset="0,0,0,0">
                <w:txbxContent>
                  <w:p w:rsidR="006C3E0B" w:rsidRDefault="00905523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3943889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3E0B" w:rsidRDefault="00905523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10.55pt;margin-top:796.2pt;width:67.55pt;height:10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" filled="f" stroked="f">
              <v:textbox inset="0,0,0,0">
                <w:txbxContent>
                  <w:p w:rsidR="006C3E0B" w:rsidRDefault="00905523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5474970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3E0B" w:rsidRDefault="00905523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31.1pt;margin-top:796.2pt;width:80.4pt;height:10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Hp1YWeIAAAAOAQAADwAAAAAAAAAAAAAAAAAEBAAAZHJzL2Rvd25yZXYu&#10;eG1sUEsFBgAAAAAEAAQA8wAAABMFAAAAAA==&#10;" filled="f" stroked="f">
              <v:textbox inset="0,0,0,0">
                <w:txbxContent>
                  <w:p w:rsidR="006C3E0B" w:rsidRDefault="00905523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C95" w:rsidRDefault="00B21C95">
      <w:r>
        <w:separator/>
      </w:r>
    </w:p>
  </w:footnote>
  <w:footnote w:type="continuationSeparator" w:id="0">
    <w:p w:rsidR="00B21C95" w:rsidRDefault="00B21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E0B" w:rsidRDefault="0090552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797518</wp:posOffset>
              </wp:positionV>
              <wp:extent cx="110045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0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3E0B" w:rsidRDefault="0090552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2.8pt;width:86.65pt;height:15.4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" filled="f" stroked="f">
              <v:textbox inset="0,0,0,0">
                <w:txbxContent>
                  <w:p w:rsidR="006C3E0B" w:rsidRDefault="0090552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3E0B"/>
    <w:rsid w:val="000D01A0"/>
    <w:rsid w:val="000F63BD"/>
    <w:rsid w:val="00431785"/>
    <w:rsid w:val="006475D2"/>
    <w:rsid w:val="006C3E0B"/>
    <w:rsid w:val="00905523"/>
    <w:rsid w:val="00B21C95"/>
    <w:rsid w:val="00DF721E"/>
    <w:rsid w:val="00E9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6001"/>
  <w15:docId w15:val="{3D04A318-C610-44FC-B876-0CF9DDE4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DF7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21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F7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21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om.com/index.php/ARJ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5</cp:revision>
  <dcterms:created xsi:type="dcterms:W3CDTF">2025-12-27T10:06:00Z</dcterms:created>
  <dcterms:modified xsi:type="dcterms:W3CDTF">2026-01-08T11:02:00Z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2025-12-27T00:00:00Z</vt:filetime>
  </property>
  <property fmtid="{D5CDD505-2E9C-101B-9397-08002B2CF9AE}" pid="5" name="Producer">
    <vt:lpwstr>3-Heights(TM) PDF Security Shell 4.8.25.2 (http://www.pdf-tools.com)</vt:lpwstr>
  </property>
</Properties>
</file>