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0CB8D" w14:textId="77777777" w:rsidR="003A039F" w:rsidRPr="003A039F" w:rsidRDefault="003A039F" w:rsidP="003A039F">
      <w:pPr>
        <w:spacing w:before="100" w:beforeAutospacing="1" w:after="240" w:line="420" w:lineRule="atLeast"/>
        <w:jc w:val="right"/>
        <w:rPr>
          <w:rFonts w:eastAsia="Times New Roman"/>
          <w:b/>
          <w:bCs/>
          <w:i/>
          <w:color w:val="0F1115"/>
          <w:sz w:val="32"/>
          <w:szCs w:val="24"/>
          <w:u w:val="single"/>
          <w:lang w:eastAsia="tr-TR"/>
        </w:rPr>
      </w:pPr>
      <w:r w:rsidRPr="003A039F">
        <w:rPr>
          <w:rFonts w:eastAsia="Times New Roman"/>
          <w:b/>
          <w:bCs/>
          <w:i/>
          <w:color w:val="0F1115"/>
          <w:sz w:val="32"/>
          <w:szCs w:val="24"/>
          <w:u w:val="single"/>
          <w:lang w:eastAsia="tr-TR"/>
        </w:rPr>
        <w:t xml:space="preserve">Original Research Article </w:t>
      </w:r>
    </w:p>
    <w:p w14:paraId="38296523" w14:textId="78599186" w:rsidR="00974477" w:rsidRDefault="005D31CB" w:rsidP="00974477">
      <w:pPr>
        <w:spacing w:before="100" w:beforeAutospacing="1" w:after="240" w:line="420" w:lineRule="atLeast"/>
        <w:jc w:val="center"/>
        <w:rPr>
          <w:rFonts w:eastAsia="Times New Roman"/>
          <w:b/>
          <w:bCs/>
          <w:color w:val="0F1115"/>
          <w:sz w:val="24"/>
          <w:szCs w:val="24"/>
          <w:lang w:eastAsia="tr-TR"/>
        </w:rPr>
      </w:pPr>
      <w:r w:rsidRPr="005D31CB">
        <w:rPr>
          <w:rFonts w:eastAsia="Times New Roman"/>
          <w:b/>
          <w:bCs/>
          <w:color w:val="0F1115"/>
          <w:sz w:val="24"/>
          <w:szCs w:val="24"/>
          <w:lang w:eastAsia="tr-TR"/>
        </w:rPr>
        <w:t>THE GEOGRAPHY OF HIGH-VALUE AGRICULTURE IN T</w:t>
      </w:r>
      <w:r w:rsidR="008B28C4">
        <w:rPr>
          <w:rFonts w:eastAsia="Times New Roman"/>
          <w:b/>
          <w:bCs/>
          <w:color w:val="0F1115"/>
          <w:sz w:val="24"/>
          <w:szCs w:val="24"/>
          <w:lang w:eastAsia="tr-TR"/>
        </w:rPr>
        <w:t>Ü</w:t>
      </w:r>
      <w:r w:rsidRPr="005D31CB">
        <w:rPr>
          <w:rFonts w:eastAsia="Times New Roman"/>
          <w:b/>
          <w:bCs/>
          <w:color w:val="0F1115"/>
          <w:sz w:val="24"/>
          <w:szCs w:val="24"/>
          <w:lang w:eastAsia="tr-TR"/>
        </w:rPr>
        <w:t>RK</w:t>
      </w:r>
      <w:r w:rsidR="008B28C4">
        <w:rPr>
          <w:rFonts w:eastAsia="Times New Roman"/>
          <w:b/>
          <w:bCs/>
          <w:color w:val="0F1115"/>
          <w:sz w:val="24"/>
          <w:szCs w:val="24"/>
          <w:lang w:eastAsia="tr-TR"/>
        </w:rPr>
        <w:t>İYE</w:t>
      </w:r>
      <w:r w:rsidRPr="005D31CB">
        <w:rPr>
          <w:rFonts w:eastAsia="Times New Roman"/>
          <w:b/>
          <w:bCs/>
          <w:color w:val="0F1115"/>
          <w:sz w:val="24"/>
          <w:szCs w:val="24"/>
          <w:lang w:eastAsia="tr-TR"/>
        </w:rPr>
        <w:t>: REGIONAL SPECIALIZATION AND MARKET DYNAMICS</w:t>
      </w:r>
    </w:p>
    <w:p w14:paraId="5B4ED071" w14:textId="77777777" w:rsidR="00974477" w:rsidRDefault="00974477" w:rsidP="00974477">
      <w:pPr>
        <w:spacing w:before="100" w:beforeAutospacing="1" w:after="240" w:line="420" w:lineRule="atLeast"/>
        <w:jc w:val="center"/>
        <w:rPr>
          <w:rFonts w:eastAsia="Times New Roman"/>
          <w:b/>
          <w:bCs/>
          <w:color w:val="0F1115"/>
          <w:sz w:val="24"/>
          <w:szCs w:val="24"/>
          <w:lang w:eastAsia="tr-TR"/>
        </w:rPr>
      </w:pPr>
    </w:p>
    <w:p w14:paraId="1C595E02" w14:textId="77777777" w:rsidR="00452FB4" w:rsidRDefault="005D31CB" w:rsidP="00452FB4">
      <w:pPr>
        <w:spacing w:before="240" w:after="240" w:line="420" w:lineRule="atLeast"/>
        <w:jc w:val="both"/>
        <w:rPr>
          <w:rFonts w:eastAsia="Times New Roman"/>
          <w:color w:val="0F1115"/>
          <w:sz w:val="24"/>
          <w:szCs w:val="24"/>
          <w:lang w:eastAsia="tr-TR"/>
        </w:rPr>
      </w:pPr>
      <w:commentRangeStart w:id="0"/>
      <w:r w:rsidRPr="005D31CB">
        <w:rPr>
          <w:rFonts w:eastAsia="Times New Roman"/>
          <w:b/>
          <w:bCs/>
          <w:color w:val="0F1115"/>
          <w:sz w:val="24"/>
          <w:szCs w:val="24"/>
          <w:lang w:eastAsia="tr-TR"/>
        </w:rPr>
        <w:t>ABSTRACT</w:t>
      </w:r>
      <w:commentRangeEnd w:id="0"/>
      <w:r w:rsidR="00D24B75">
        <w:rPr>
          <w:rStyle w:val="CommentReference"/>
        </w:rPr>
        <w:commentReference w:id="0"/>
      </w:r>
    </w:p>
    <w:p w14:paraId="03563D30" w14:textId="0809BA38" w:rsidR="005D31CB" w:rsidRPr="005D31CB" w:rsidRDefault="005D31CB" w:rsidP="00452FB4">
      <w:pPr>
        <w:spacing w:before="240" w:after="240" w:line="420" w:lineRule="atLeast"/>
        <w:jc w:val="both"/>
        <w:rPr>
          <w:rFonts w:eastAsia="Times New Roman"/>
          <w:color w:val="0F1115"/>
          <w:sz w:val="24"/>
          <w:szCs w:val="24"/>
          <w:lang w:eastAsia="tr-TR"/>
        </w:rPr>
      </w:pPr>
      <w:commentRangeStart w:id="1"/>
      <w:r w:rsidRPr="005D31CB">
        <w:rPr>
          <w:rFonts w:eastAsia="Times New Roman"/>
          <w:color w:val="0F1115"/>
          <w:sz w:val="24"/>
          <w:szCs w:val="24"/>
          <w:lang w:eastAsia="tr-TR"/>
        </w:rPr>
        <w:t>This study analyzes the spatial distribution, regional specialization trends, and the underlying factors shaping these dynamics of high-value agricultural products (fruit, vegetables, ornamental plants) in T</w:t>
      </w:r>
      <w:r w:rsidR="008B28C4">
        <w:rPr>
          <w:rFonts w:eastAsia="Times New Roman"/>
          <w:color w:val="0F1115"/>
          <w:sz w:val="24"/>
          <w:szCs w:val="24"/>
          <w:lang w:eastAsia="tr-TR"/>
        </w:rPr>
        <w:t>ü</w:t>
      </w:r>
      <w:r w:rsidRPr="005D31CB">
        <w:rPr>
          <w:rFonts w:eastAsia="Times New Roman"/>
          <w:color w:val="0F1115"/>
          <w:sz w:val="24"/>
          <w:szCs w:val="24"/>
          <w:lang w:eastAsia="tr-TR"/>
        </w:rPr>
        <w:t>rk</w:t>
      </w:r>
      <w:r w:rsidR="008B28C4">
        <w:rPr>
          <w:rFonts w:eastAsia="Times New Roman"/>
          <w:color w:val="0F1115"/>
          <w:sz w:val="24"/>
          <w:szCs w:val="24"/>
          <w:lang w:eastAsia="tr-TR"/>
        </w:rPr>
        <w:t>iye</w:t>
      </w:r>
      <w:r w:rsidRPr="005D31CB">
        <w:rPr>
          <w:rFonts w:eastAsia="Times New Roman"/>
          <w:color w:val="0F1115"/>
          <w:sz w:val="24"/>
          <w:szCs w:val="24"/>
          <w:lang w:eastAsia="tr-TR"/>
        </w:rPr>
        <w:t xml:space="preserve"> during the 2015-2024 period. </w:t>
      </w:r>
      <w:commentRangeEnd w:id="1"/>
      <w:r w:rsidR="00D24B75">
        <w:rPr>
          <w:rStyle w:val="CommentReference"/>
        </w:rPr>
        <w:commentReference w:id="1"/>
      </w:r>
      <w:r w:rsidRPr="005D31CB">
        <w:rPr>
          <w:rFonts w:eastAsia="Times New Roman"/>
          <w:color w:val="0F1115"/>
          <w:sz w:val="24"/>
          <w:szCs w:val="24"/>
          <w:lang w:eastAsia="tr-TR"/>
        </w:rPr>
        <w:t>Quantitative data analyses reveal that this production does not exhibit a random pattern but rather a distinct</w:t>
      </w:r>
      <w:r w:rsidR="00677E6D">
        <w:rPr>
          <w:rFonts w:eastAsia="Times New Roman"/>
          <w:color w:val="0F1115"/>
          <w:sz w:val="24"/>
          <w:szCs w:val="24"/>
          <w:lang w:eastAsia="tr-TR"/>
        </w:rPr>
        <w:t xml:space="preserve"> </w:t>
      </w:r>
      <w:r w:rsidRPr="005D31CB">
        <w:rPr>
          <w:rFonts w:eastAsia="Times New Roman"/>
          <w:color w:val="0F1115"/>
          <w:sz w:val="24"/>
          <w:szCs w:val="24"/>
          <w:lang w:eastAsia="tr-TR"/>
        </w:rPr>
        <w:t>"geographical clustering". Fruit production has concentrated in the TR3 (Aegean), TRC (Southeastern Anatolia), and TR6 (Mediterranean) regions, driven by climatic advantages and irrigation investments. In vegetable production, the rise of traditional grain regions such as TR7 (Central Anatolia) is noteworthy, facilitated by market proximity and modern irrigation. The most extreme concentration is observed in the ornamental plants sector, which is entirely market- and logistics-oriented; 92.7% of production is clustered in the TR1 (Istanbul), TR3 (Aegean), and TR4 (Eastern Marmara) regions. The research emphasizes that while this specialization model provides productivity and competitive advantage, it simultaneously brings risks associated with climate change, water scarcity, and monoculture. For sustainable growth, product and regional diversification, water efficiency, strengthening of the value chain, and the dissemination of climate-resilient practices are recommended.</w:t>
      </w:r>
    </w:p>
    <w:p w14:paraId="1E761974" w14:textId="6589B6F3" w:rsid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KEYWORDS:</w:t>
      </w:r>
      <w:r w:rsidR="00677E6D">
        <w:rPr>
          <w:rFonts w:eastAsia="Times New Roman"/>
          <w:color w:val="0F1115"/>
          <w:sz w:val="24"/>
          <w:szCs w:val="24"/>
          <w:lang w:eastAsia="tr-TR"/>
        </w:rPr>
        <w:t xml:space="preserve"> </w:t>
      </w:r>
      <w:r w:rsidRPr="005D31CB">
        <w:rPr>
          <w:rFonts w:eastAsia="Times New Roman"/>
          <w:color w:val="0F1115"/>
          <w:sz w:val="24"/>
          <w:szCs w:val="24"/>
          <w:lang w:eastAsia="tr-TR"/>
        </w:rPr>
        <w:t xml:space="preserve">High-value agriculture, regional specialization, geographical clustering, fruit and vegetable geography, ornamental plants, </w:t>
      </w:r>
      <w:r w:rsidR="008B28C4" w:rsidRPr="005D31CB">
        <w:rPr>
          <w:rFonts w:eastAsia="Times New Roman"/>
          <w:color w:val="0F1115"/>
          <w:sz w:val="24"/>
          <w:szCs w:val="24"/>
          <w:lang w:eastAsia="tr-TR"/>
        </w:rPr>
        <w:t>T</w:t>
      </w:r>
      <w:r w:rsidR="008B28C4">
        <w:rPr>
          <w:rFonts w:eastAsia="Times New Roman"/>
          <w:color w:val="0F1115"/>
          <w:sz w:val="24"/>
          <w:szCs w:val="24"/>
          <w:lang w:eastAsia="tr-TR"/>
        </w:rPr>
        <w:t>ü</w:t>
      </w:r>
      <w:r w:rsidR="008B28C4" w:rsidRPr="005D31CB">
        <w:rPr>
          <w:rFonts w:eastAsia="Times New Roman"/>
          <w:color w:val="0F1115"/>
          <w:sz w:val="24"/>
          <w:szCs w:val="24"/>
          <w:lang w:eastAsia="tr-TR"/>
        </w:rPr>
        <w:t>rk</w:t>
      </w:r>
      <w:r w:rsidR="008B28C4">
        <w:rPr>
          <w:rFonts w:eastAsia="Times New Roman"/>
          <w:color w:val="0F1115"/>
          <w:sz w:val="24"/>
          <w:szCs w:val="24"/>
          <w:lang w:eastAsia="tr-TR"/>
        </w:rPr>
        <w:t>iye</w:t>
      </w:r>
      <w:r w:rsidRPr="005D31CB">
        <w:rPr>
          <w:rFonts w:eastAsia="Times New Roman"/>
          <w:color w:val="0F1115"/>
          <w:sz w:val="24"/>
          <w:szCs w:val="24"/>
          <w:lang w:eastAsia="tr-TR"/>
        </w:rPr>
        <w:t xml:space="preserve"> agriculture.</w:t>
      </w:r>
    </w:p>
    <w:p w14:paraId="6F3C67F5" w14:textId="77777777" w:rsidR="00F32D9F" w:rsidRPr="005D31CB" w:rsidRDefault="00F32D9F" w:rsidP="00452FB4">
      <w:pPr>
        <w:spacing w:before="240" w:after="240" w:line="420" w:lineRule="atLeast"/>
        <w:jc w:val="both"/>
        <w:rPr>
          <w:rFonts w:eastAsia="Times New Roman"/>
          <w:color w:val="0F1115"/>
          <w:sz w:val="24"/>
          <w:szCs w:val="24"/>
          <w:lang w:eastAsia="tr-TR"/>
        </w:rPr>
      </w:pPr>
    </w:p>
    <w:p w14:paraId="7B1D4A7A" w14:textId="2DBF2E0C" w:rsidR="00452FB4" w:rsidRPr="00452FB4" w:rsidRDefault="005D31CB" w:rsidP="00452FB4">
      <w:pPr>
        <w:pStyle w:val="ListParagraph"/>
        <w:numPr>
          <w:ilvl w:val="0"/>
          <w:numId w:val="19"/>
        </w:numPr>
        <w:spacing w:before="240" w:after="240" w:line="420" w:lineRule="atLeast"/>
        <w:jc w:val="both"/>
        <w:rPr>
          <w:rFonts w:eastAsia="Times New Roman"/>
          <w:color w:val="0F1115"/>
          <w:sz w:val="24"/>
          <w:szCs w:val="24"/>
          <w:lang w:eastAsia="tr-TR"/>
        </w:rPr>
      </w:pPr>
      <w:r w:rsidRPr="00452FB4">
        <w:rPr>
          <w:rFonts w:eastAsia="Times New Roman"/>
          <w:b/>
          <w:bCs/>
          <w:color w:val="0F1115"/>
          <w:sz w:val="24"/>
          <w:szCs w:val="24"/>
          <w:lang w:eastAsia="tr-TR"/>
        </w:rPr>
        <w:t>INTRODUCTION</w:t>
      </w:r>
    </w:p>
    <w:p w14:paraId="33BB47C4" w14:textId="761D6059" w:rsidR="005D31CB" w:rsidRPr="00452FB4" w:rsidRDefault="005D31CB" w:rsidP="00452FB4">
      <w:pPr>
        <w:spacing w:before="240" w:after="240" w:line="420" w:lineRule="atLeast"/>
        <w:jc w:val="both"/>
        <w:rPr>
          <w:rFonts w:eastAsia="Times New Roman"/>
          <w:color w:val="0F1115"/>
          <w:sz w:val="24"/>
          <w:szCs w:val="24"/>
          <w:lang w:eastAsia="tr-TR"/>
        </w:rPr>
      </w:pPr>
      <w:commentRangeStart w:id="2"/>
      <w:r w:rsidRPr="00452FB4">
        <w:rPr>
          <w:rFonts w:eastAsia="Times New Roman"/>
          <w:color w:val="0F1115"/>
          <w:sz w:val="24"/>
          <w:szCs w:val="24"/>
          <w:lang w:eastAsia="tr-TR"/>
        </w:rPr>
        <w:t>In the global agri-food system,</w:t>
      </w:r>
      <w:r w:rsidR="00452FB4" w:rsidRPr="00452FB4">
        <w:rPr>
          <w:rFonts w:eastAsia="Times New Roman"/>
          <w:color w:val="0F1115"/>
          <w:sz w:val="24"/>
          <w:szCs w:val="24"/>
          <w:lang w:eastAsia="tr-TR"/>
        </w:rPr>
        <w:t xml:space="preserve"> </w:t>
      </w:r>
      <w:r w:rsidRPr="00452FB4">
        <w:rPr>
          <w:rFonts w:eastAsia="Times New Roman"/>
          <w:color w:val="0F1115"/>
          <w:sz w:val="24"/>
          <w:szCs w:val="24"/>
          <w:lang w:eastAsia="tr-TR"/>
        </w:rPr>
        <w:t>high-value (HV) products</w:t>
      </w:r>
      <w:r w:rsidR="00452FB4" w:rsidRPr="00452FB4">
        <w:rPr>
          <w:rFonts w:eastAsia="Times New Roman"/>
          <w:color w:val="0F1115"/>
          <w:sz w:val="24"/>
          <w:szCs w:val="24"/>
          <w:lang w:eastAsia="tr-TR"/>
        </w:rPr>
        <w:t xml:space="preserve"> </w:t>
      </w:r>
      <w:r w:rsidRPr="00452FB4">
        <w:rPr>
          <w:rFonts w:eastAsia="Times New Roman"/>
          <w:color w:val="0F1115"/>
          <w:sz w:val="24"/>
          <w:szCs w:val="24"/>
          <w:lang w:eastAsia="tr-TR"/>
        </w:rPr>
        <w:t>such as fresh fruit, vegetables, and ornamental plants hold critical importance both in terms of export revenues and gross income per unit area</w:t>
      </w:r>
      <w:commentRangeEnd w:id="2"/>
      <w:r w:rsidR="00D24B75">
        <w:rPr>
          <w:rStyle w:val="CommentReference"/>
        </w:rPr>
        <w:commentReference w:id="2"/>
      </w:r>
      <w:r w:rsidRPr="00452FB4">
        <w:rPr>
          <w:rFonts w:eastAsia="Times New Roman"/>
          <w:color w:val="0F1115"/>
          <w:sz w:val="24"/>
          <w:szCs w:val="24"/>
          <w:lang w:eastAsia="tr-TR"/>
        </w:rPr>
        <w:t xml:space="preserve">. </w:t>
      </w:r>
      <w:r w:rsidR="008B28C4" w:rsidRPr="005D31CB">
        <w:rPr>
          <w:rFonts w:eastAsia="Times New Roman"/>
          <w:color w:val="0F1115"/>
          <w:sz w:val="24"/>
          <w:szCs w:val="24"/>
          <w:lang w:eastAsia="tr-TR"/>
        </w:rPr>
        <w:t>T</w:t>
      </w:r>
      <w:r w:rsidR="008B28C4">
        <w:rPr>
          <w:rFonts w:eastAsia="Times New Roman"/>
          <w:color w:val="0F1115"/>
          <w:sz w:val="24"/>
          <w:szCs w:val="24"/>
          <w:lang w:eastAsia="tr-TR"/>
        </w:rPr>
        <w:t>ü</w:t>
      </w:r>
      <w:r w:rsidR="008B28C4" w:rsidRPr="005D31CB">
        <w:rPr>
          <w:rFonts w:eastAsia="Times New Roman"/>
          <w:color w:val="0F1115"/>
          <w:sz w:val="24"/>
          <w:szCs w:val="24"/>
          <w:lang w:eastAsia="tr-TR"/>
        </w:rPr>
        <w:t>rk</w:t>
      </w:r>
      <w:r w:rsidR="008B28C4">
        <w:rPr>
          <w:rFonts w:eastAsia="Times New Roman"/>
          <w:color w:val="0F1115"/>
          <w:sz w:val="24"/>
          <w:szCs w:val="24"/>
          <w:lang w:eastAsia="tr-TR"/>
        </w:rPr>
        <w:t>iye</w:t>
      </w:r>
      <w:r w:rsidRPr="00452FB4">
        <w:rPr>
          <w:rFonts w:eastAsia="Times New Roman"/>
          <w:color w:val="0F1115"/>
          <w:sz w:val="24"/>
          <w:szCs w:val="24"/>
          <w:lang w:eastAsia="tr-TR"/>
        </w:rPr>
        <w:t xml:space="preserve">, with its climatic diversity, geographical location, young labor potential, </w:t>
      </w:r>
      <w:r w:rsidRPr="00452FB4">
        <w:rPr>
          <w:rFonts w:eastAsia="Times New Roman"/>
          <w:color w:val="0F1115"/>
          <w:sz w:val="24"/>
          <w:szCs w:val="24"/>
          <w:lang w:eastAsia="tr-TR"/>
        </w:rPr>
        <w:lastRenderedPageBreak/>
        <w:t>and developing logistics infrastructure, holds a strategic position in this global market (Bashımov, 2017).</w:t>
      </w:r>
    </w:p>
    <w:p w14:paraId="32BCEEC3" w14:textId="1B11ADAF"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 xml:space="preserve">This section analyzes the spatial distribution of high-value agricultural products in </w:t>
      </w:r>
      <w:r w:rsidR="008B28C4" w:rsidRPr="005D31CB">
        <w:rPr>
          <w:rFonts w:eastAsia="Times New Roman"/>
          <w:color w:val="0F1115"/>
          <w:sz w:val="24"/>
          <w:szCs w:val="24"/>
          <w:lang w:eastAsia="tr-TR"/>
        </w:rPr>
        <w:t>T</w:t>
      </w:r>
      <w:r w:rsidR="008B28C4">
        <w:rPr>
          <w:rFonts w:eastAsia="Times New Roman"/>
          <w:color w:val="0F1115"/>
          <w:sz w:val="24"/>
          <w:szCs w:val="24"/>
          <w:lang w:eastAsia="tr-TR"/>
        </w:rPr>
        <w:t>ü</w:t>
      </w:r>
      <w:r w:rsidR="008B28C4" w:rsidRPr="005D31CB">
        <w:rPr>
          <w:rFonts w:eastAsia="Times New Roman"/>
          <w:color w:val="0F1115"/>
          <w:sz w:val="24"/>
          <w:szCs w:val="24"/>
          <w:lang w:eastAsia="tr-TR"/>
        </w:rPr>
        <w:t>rk</w:t>
      </w:r>
      <w:r w:rsidR="008B28C4">
        <w:rPr>
          <w:rFonts w:eastAsia="Times New Roman"/>
          <w:color w:val="0F1115"/>
          <w:sz w:val="24"/>
          <w:szCs w:val="24"/>
          <w:lang w:eastAsia="tr-TR"/>
        </w:rPr>
        <w:t>iye</w:t>
      </w:r>
      <w:r w:rsidRPr="005D31CB">
        <w:rPr>
          <w:rFonts w:eastAsia="Times New Roman"/>
          <w:color w:val="0F1115"/>
          <w:sz w:val="24"/>
          <w:szCs w:val="24"/>
          <w:lang w:eastAsia="tr-TR"/>
        </w:rPr>
        <w:t xml:space="preserve"> and their changing dynamics over the last decade. </w:t>
      </w:r>
      <w:commentRangeStart w:id="3"/>
      <w:r w:rsidRPr="005D31CB">
        <w:rPr>
          <w:rFonts w:eastAsia="Times New Roman"/>
          <w:color w:val="0F1115"/>
          <w:sz w:val="24"/>
          <w:szCs w:val="24"/>
          <w:lang w:eastAsia="tr-TR"/>
        </w:rPr>
        <w:t>Our core argument is that this production exhibits a</w:t>
      </w:r>
      <w:r w:rsidR="00452FB4" w:rsidRPr="00452FB4">
        <w:rPr>
          <w:rFonts w:eastAsia="Times New Roman"/>
          <w:color w:val="0F1115"/>
          <w:sz w:val="24"/>
          <w:szCs w:val="24"/>
          <w:lang w:eastAsia="tr-TR"/>
        </w:rPr>
        <w:t xml:space="preserve"> </w:t>
      </w:r>
      <w:r w:rsidRPr="005D31CB">
        <w:rPr>
          <w:rFonts w:eastAsia="Times New Roman"/>
          <w:color w:val="0F1115"/>
          <w:sz w:val="24"/>
          <w:szCs w:val="24"/>
          <w:lang w:eastAsia="tr-TR"/>
        </w:rPr>
        <w:t>"geographical clustering"</w:t>
      </w:r>
      <w:r w:rsidR="00452FB4" w:rsidRPr="00452FB4">
        <w:rPr>
          <w:rFonts w:eastAsia="Times New Roman"/>
          <w:color w:val="0F1115"/>
          <w:sz w:val="24"/>
          <w:szCs w:val="24"/>
          <w:lang w:eastAsia="tr-TR"/>
        </w:rPr>
        <w:t xml:space="preserve"> </w:t>
      </w:r>
      <w:r w:rsidRPr="005D31CB">
        <w:rPr>
          <w:rFonts w:eastAsia="Times New Roman"/>
          <w:color w:val="0F1115"/>
          <w:sz w:val="24"/>
          <w:szCs w:val="24"/>
          <w:lang w:eastAsia="tr-TR"/>
        </w:rPr>
        <w:t xml:space="preserve">in specific regions, rather than a random distribution. </w:t>
      </w:r>
      <w:commentRangeEnd w:id="3"/>
      <w:r w:rsidR="00D24B75">
        <w:rPr>
          <w:rStyle w:val="CommentReference"/>
        </w:rPr>
        <w:commentReference w:id="3"/>
      </w:r>
      <w:r w:rsidRPr="005D31CB">
        <w:rPr>
          <w:rFonts w:eastAsia="Times New Roman"/>
          <w:color w:val="0F1115"/>
          <w:sz w:val="24"/>
          <w:szCs w:val="24"/>
          <w:lang w:eastAsia="tr-TR"/>
        </w:rPr>
        <w:t xml:space="preserve">This clustering is based on economic and ecological dynamics such as comparative advantages, economies of scale, and market proximity, as emphasized in Paul Krugman's new trade and economic geography theories (Krugman, 1991). </w:t>
      </w:r>
      <w:commentRangeStart w:id="4"/>
      <w:r w:rsidRPr="005D31CB">
        <w:rPr>
          <w:rFonts w:eastAsia="Times New Roman"/>
          <w:color w:val="0F1115"/>
          <w:sz w:val="24"/>
          <w:szCs w:val="24"/>
          <w:lang w:eastAsia="tr-TR"/>
        </w:rPr>
        <w:t xml:space="preserve">In the </w:t>
      </w:r>
      <w:r w:rsidR="008B28C4" w:rsidRPr="005D31CB">
        <w:rPr>
          <w:rFonts w:eastAsia="Times New Roman"/>
          <w:color w:val="0F1115"/>
          <w:sz w:val="24"/>
          <w:szCs w:val="24"/>
          <w:lang w:eastAsia="tr-TR"/>
        </w:rPr>
        <w:t>T</w:t>
      </w:r>
      <w:r w:rsidR="008B28C4">
        <w:rPr>
          <w:rFonts w:eastAsia="Times New Roman"/>
          <w:color w:val="0F1115"/>
          <w:sz w:val="24"/>
          <w:szCs w:val="24"/>
          <w:lang w:eastAsia="tr-TR"/>
        </w:rPr>
        <w:t>ü</w:t>
      </w:r>
      <w:r w:rsidR="008B28C4" w:rsidRPr="005D31CB">
        <w:rPr>
          <w:rFonts w:eastAsia="Times New Roman"/>
          <w:color w:val="0F1115"/>
          <w:sz w:val="24"/>
          <w:szCs w:val="24"/>
          <w:lang w:eastAsia="tr-TR"/>
        </w:rPr>
        <w:t>rk</w:t>
      </w:r>
      <w:r w:rsidR="008B28C4">
        <w:rPr>
          <w:rFonts w:eastAsia="Times New Roman"/>
          <w:color w:val="0F1115"/>
          <w:sz w:val="24"/>
          <w:szCs w:val="24"/>
          <w:lang w:eastAsia="tr-TR"/>
        </w:rPr>
        <w:t>iye</w:t>
      </w:r>
      <w:r w:rsidRPr="005D31CB">
        <w:rPr>
          <w:rFonts w:eastAsia="Times New Roman"/>
          <w:color w:val="0F1115"/>
          <w:sz w:val="24"/>
          <w:szCs w:val="24"/>
          <w:lang w:eastAsia="tr-TR"/>
        </w:rPr>
        <w:t xml:space="preserve"> context, these clusters are shaped by natural climatic advantages, state investments (especially irrigation projects), and access to major consumption/export centers.</w:t>
      </w:r>
      <w:commentRangeEnd w:id="4"/>
      <w:r w:rsidR="00D24B75">
        <w:rPr>
          <w:rStyle w:val="CommentReference"/>
        </w:rPr>
        <w:commentReference w:id="4"/>
      </w:r>
    </w:p>
    <w:p w14:paraId="70D7717B" w14:textId="142979DE" w:rsidR="00452FB4" w:rsidRPr="00452FB4" w:rsidRDefault="005D31CB" w:rsidP="00452FB4">
      <w:pPr>
        <w:pStyle w:val="ListParagraph"/>
        <w:numPr>
          <w:ilvl w:val="0"/>
          <w:numId w:val="19"/>
        </w:numPr>
        <w:spacing w:before="240" w:after="240" w:line="420" w:lineRule="atLeast"/>
        <w:jc w:val="both"/>
        <w:rPr>
          <w:rFonts w:eastAsia="Times New Roman"/>
          <w:color w:val="0F1115"/>
          <w:sz w:val="24"/>
          <w:szCs w:val="24"/>
          <w:lang w:eastAsia="tr-TR"/>
        </w:rPr>
      </w:pPr>
      <w:r w:rsidRPr="00452FB4">
        <w:rPr>
          <w:rFonts w:eastAsia="Times New Roman"/>
          <w:b/>
          <w:bCs/>
          <w:color w:val="0F1115"/>
          <w:sz w:val="24"/>
          <w:szCs w:val="24"/>
          <w:lang w:eastAsia="tr-TR"/>
        </w:rPr>
        <w:t>MATERIALS AND METHODS</w:t>
      </w:r>
    </w:p>
    <w:p w14:paraId="15209066" w14:textId="2EC65128" w:rsidR="005D31CB" w:rsidRPr="00452FB4" w:rsidRDefault="005D31CB" w:rsidP="00452FB4">
      <w:pPr>
        <w:spacing w:before="240" w:after="240" w:line="420" w:lineRule="atLeast"/>
        <w:jc w:val="both"/>
        <w:rPr>
          <w:rFonts w:eastAsia="Times New Roman"/>
          <w:color w:val="0F1115"/>
          <w:sz w:val="24"/>
          <w:szCs w:val="24"/>
          <w:lang w:eastAsia="tr-TR"/>
        </w:rPr>
      </w:pPr>
      <w:r w:rsidRPr="00452FB4">
        <w:rPr>
          <w:rFonts w:eastAsia="Times New Roman"/>
          <w:color w:val="0F1115"/>
          <w:sz w:val="24"/>
          <w:szCs w:val="24"/>
          <w:lang w:eastAsia="tr-TR"/>
        </w:rPr>
        <w:t xml:space="preserve">This research examines the geographical distribution of high-value agriculture in </w:t>
      </w:r>
      <w:r w:rsidR="008B28C4" w:rsidRPr="005D31CB">
        <w:rPr>
          <w:rFonts w:eastAsia="Times New Roman"/>
          <w:color w:val="0F1115"/>
          <w:sz w:val="24"/>
          <w:szCs w:val="24"/>
          <w:lang w:eastAsia="tr-TR"/>
        </w:rPr>
        <w:t>T</w:t>
      </w:r>
      <w:r w:rsidR="008B28C4">
        <w:rPr>
          <w:rFonts w:eastAsia="Times New Roman"/>
          <w:color w:val="0F1115"/>
          <w:sz w:val="24"/>
          <w:szCs w:val="24"/>
          <w:lang w:eastAsia="tr-TR"/>
        </w:rPr>
        <w:t>ü</w:t>
      </w:r>
      <w:r w:rsidR="008B28C4" w:rsidRPr="005D31CB">
        <w:rPr>
          <w:rFonts w:eastAsia="Times New Roman"/>
          <w:color w:val="0F1115"/>
          <w:sz w:val="24"/>
          <w:szCs w:val="24"/>
          <w:lang w:eastAsia="tr-TR"/>
        </w:rPr>
        <w:t>rk</w:t>
      </w:r>
      <w:r w:rsidR="008B28C4">
        <w:rPr>
          <w:rFonts w:eastAsia="Times New Roman"/>
          <w:color w:val="0F1115"/>
          <w:sz w:val="24"/>
          <w:szCs w:val="24"/>
          <w:lang w:eastAsia="tr-TR"/>
        </w:rPr>
        <w:t>iye</w:t>
      </w:r>
      <w:r w:rsidR="008B28C4" w:rsidRPr="00452FB4">
        <w:rPr>
          <w:rFonts w:eastAsia="Times New Roman"/>
          <w:color w:val="0F1115"/>
          <w:sz w:val="24"/>
          <w:szCs w:val="24"/>
          <w:lang w:eastAsia="tr-TR"/>
        </w:rPr>
        <w:t xml:space="preserve"> </w:t>
      </w:r>
      <w:r w:rsidRPr="00452FB4">
        <w:rPr>
          <w:rFonts w:eastAsia="Times New Roman"/>
          <w:color w:val="0F1115"/>
          <w:sz w:val="24"/>
          <w:szCs w:val="24"/>
          <w:lang w:eastAsia="tr-TR"/>
        </w:rPr>
        <w:t>using quantitative data and spatial analysis techniques.</w:t>
      </w:r>
    </w:p>
    <w:p w14:paraId="617BF409" w14:textId="77777777" w:rsidR="00452FB4"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Data Sources</w:t>
      </w:r>
    </w:p>
    <w:p w14:paraId="1D505F91" w14:textId="1F27A796"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The primary data source for the study is the annual</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"Crop Production Statistics"</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published by the</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T</w:t>
      </w:r>
      <w:r w:rsidR="008B28C4">
        <w:rPr>
          <w:rFonts w:eastAsia="Times New Roman"/>
          <w:color w:val="0F1115"/>
          <w:sz w:val="24"/>
          <w:szCs w:val="24"/>
          <w:lang w:eastAsia="tr-TR"/>
        </w:rPr>
        <w:t>ü</w:t>
      </w:r>
      <w:r w:rsidRPr="005D31CB">
        <w:rPr>
          <w:rFonts w:eastAsia="Times New Roman"/>
          <w:color w:val="0F1115"/>
          <w:sz w:val="24"/>
          <w:szCs w:val="24"/>
          <w:lang w:eastAsia="tr-TR"/>
        </w:rPr>
        <w:t>rki</w:t>
      </w:r>
      <w:r w:rsidR="008B28C4">
        <w:rPr>
          <w:rFonts w:eastAsia="Times New Roman"/>
          <w:color w:val="0F1115"/>
          <w:sz w:val="24"/>
          <w:szCs w:val="24"/>
          <w:lang w:eastAsia="tr-TR"/>
        </w:rPr>
        <w:t>ye</w:t>
      </w:r>
      <w:r w:rsidRPr="005D31CB">
        <w:rPr>
          <w:rFonts w:eastAsia="Times New Roman"/>
          <w:color w:val="0F1115"/>
          <w:sz w:val="24"/>
          <w:szCs w:val="24"/>
          <w:lang w:eastAsia="tr-TR"/>
        </w:rPr>
        <w:t xml:space="preserve"> Statistical Institute (TurkStat). </w:t>
      </w:r>
      <w:commentRangeStart w:id="5"/>
      <w:r w:rsidRPr="005D31CB">
        <w:rPr>
          <w:rFonts w:eastAsia="Times New Roman"/>
          <w:color w:val="0F1115"/>
          <w:sz w:val="24"/>
          <w:szCs w:val="24"/>
          <w:lang w:eastAsia="tr-TR"/>
        </w:rPr>
        <w:t>Specifically, datasets for the years</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2020 and 2024</w:t>
      </w:r>
      <w:r w:rsidR="00677E6D">
        <w:rPr>
          <w:rFonts w:eastAsia="Times New Roman"/>
          <w:color w:val="0F1115"/>
          <w:sz w:val="24"/>
          <w:szCs w:val="24"/>
          <w:lang w:eastAsia="tr-TR"/>
        </w:rPr>
        <w:t xml:space="preserve"> </w:t>
      </w:r>
      <w:r w:rsidRPr="005D31CB">
        <w:rPr>
          <w:rFonts w:eastAsia="Times New Roman"/>
          <w:color w:val="0F1115"/>
          <w:sz w:val="24"/>
          <w:szCs w:val="24"/>
          <w:lang w:eastAsia="tr-TR"/>
        </w:rPr>
        <w:t xml:space="preserve">were used in the analyses. </w:t>
      </w:r>
      <w:commentRangeEnd w:id="5"/>
      <w:r w:rsidR="00D24B75">
        <w:rPr>
          <w:rStyle w:val="CommentReference"/>
        </w:rPr>
        <w:commentReference w:id="5"/>
      </w:r>
      <w:r w:rsidRPr="005D31CB">
        <w:rPr>
          <w:rFonts w:eastAsia="Times New Roman"/>
          <w:color w:val="0F1115"/>
          <w:sz w:val="24"/>
          <w:szCs w:val="24"/>
          <w:lang w:eastAsia="tr-TR"/>
        </w:rPr>
        <w:t>The data were compiled at the level of</w:t>
      </w:r>
      <w:r w:rsidR="00452FB4" w:rsidRPr="00452FB4">
        <w:rPr>
          <w:rFonts w:eastAsia="Times New Roman"/>
          <w:color w:val="0F1115"/>
          <w:sz w:val="24"/>
          <w:szCs w:val="24"/>
          <w:lang w:eastAsia="tr-TR"/>
        </w:rPr>
        <w:t xml:space="preserve"> </w:t>
      </w:r>
      <w:r w:rsidRPr="005D31CB">
        <w:rPr>
          <w:rFonts w:eastAsia="Times New Roman"/>
          <w:color w:val="0F1115"/>
          <w:sz w:val="24"/>
          <w:szCs w:val="24"/>
          <w:lang w:eastAsia="tr-TR"/>
        </w:rPr>
        <w:t>12 NUTS-1 Regions</w:t>
      </w:r>
      <w:r w:rsidR="00677E6D">
        <w:rPr>
          <w:rFonts w:eastAsia="Times New Roman"/>
          <w:color w:val="0F1115"/>
          <w:sz w:val="24"/>
          <w:szCs w:val="24"/>
          <w:lang w:eastAsia="tr-TR"/>
        </w:rPr>
        <w:t xml:space="preserve"> </w:t>
      </w:r>
      <w:r w:rsidRPr="005D31CB">
        <w:rPr>
          <w:rFonts w:eastAsia="Times New Roman"/>
          <w:color w:val="0F1115"/>
          <w:sz w:val="24"/>
          <w:szCs w:val="24"/>
          <w:lang w:eastAsia="tr-TR"/>
        </w:rPr>
        <w:t>for the</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fruit,</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vegetable, and</w:t>
      </w:r>
      <w:r w:rsidR="00452FB4" w:rsidRPr="00452FB4">
        <w:rPr>
          <w:rFonts w:eastAsia="Times New Roman"/>
          <w:color w:val="0F1115"/>
          <w:sz w:val="24"/>
          <w:szCs w:val="24"/>
          <w:lang w:eastAsia="tr-TR"/>
        </w:rPr>
        <w:t xml:space="preserve"> </w:t>
      </w:r>
      <w:r w:rsidRPr="005D31CB">
        <w:rPr>
          <w:rFonts w:eastAsia="Times New Roman"/>
          <w:color w:val="0F1115"/>
          <w:sz w:val="24"/>
          <w:szCs w:val="24"/>
          <w:lang w:eastAsia="tr-TR"/>
        </w:rPr>
        <w:t>ornamental plants</w:t>
      </w:r>
      <w:r w:rsidR="00452FB4">
        <w:rPr>
          <w:rFonts w:eastAsia="Times New Roman"/>
          <w:color w:val="0F1115"/>
          <w:sz w:val="24"/>
          <w:szCs w:val="24"/>
          <w:lang w:eastAsia="tr-TR"/>
        </w:rPr>
        <w:t xml:space="preserve"> </w:t>
      </w:r>
      <w:r w:rsidRPr="005D31CB">
        <w:rPr>
          <w:rFonts w:eastAsia="Times New Roman"/>
          <w:color w:val="0F1115"/>
          <w:sz w:val="24"/>
          <w:szCs w:val="24"/>
          <w:lang w:eastAsia="tr-TR"/>
        </w:rPr>
        <w:t>groups as sown/planted areas (decare).</w:t>
      </w:r>
      <w:r w:rsidR="00452FB4" w:rsidRPr="00452FB4">
        <w:rPr>
          <w:rFonts w:eastAsia="Times New Roman"/>
          <w:color w:val="0F1115"/>
          <w:sz w:val="24"/>
          <w:szCs w:val="24"/>
          <w:lang w:eastAsia="tr-TR"/>
        </w:rPr>
        <w:t xml:space="preserve"> </w:t>
      </w:r>
      <w:r w:rsidRPr="005D31CB">
        <w:rPr>
          <w:rFonts w:eastAsia="Times New Roman"/>
          <w:color w:val="0F1115"/>
          <w:sz w:val="24"/>
          <w:szCs w:val="24"/>
          <w:lang w:eastAsia="tr-TR"/>
        </w:rPr>
        <w:t>State Hydraulic Works reports were utilized for supporting qualitative data on investment and transformation.</w:t>
      </w:r>
    </w:p>
    <w:p w14:paraId="2F6EEE3B"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Analytical Methods and Calculations</w:t>
      </w:r>
    </w:p>
    <w:p w14:paraId="4DB61BE2" w14:textId="094D4325" w:rsidR="005D31CB" w:rsidRPr="005D31CB" w:rsidRDefault="005D31CB" w:rsidP="00452FB4">
      <w:pPr>
        <w:numPr>
          <w:ilvl w:val="0"/>
          <w:numId w:val="14"/>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Regional Concentration Analysis:</w:t>
      </w:r>
      <w:r w:rsidR="00677E6D">
        <w:rPr>
          <w:rFonts w:eastAsia="Times New Roman"/>
          <w:color w:val="0F1115"/>
          <w:sz w:val="24"/>
          <w:szCs w:val="24"/>
          <w:lang w:eastAsia="tr-TR"/>
        </w:rPr>
        <w:t xml:space="preserve"> </w:t>
      </w:r>
      <w:r w:rsidRPr="005D31CB">
        <w:rPr>
          <w:rFonts w:eastAsia="Times New Roman"/>
          <w:color w:val="0F1115"/>
          <w:sz w:val="24"/>
          <w:szCs w:val="24"/>
          <w:lang w:eastAsia="tr-TR"/>
        </w:rPr>
        <w:t>For each product group, the combined share of the total production area within the top three regions was calculated. This ratio was used as the primary indicator of the degree of geographical clustering.</w:t>
      </w:r>
    </w:p>
    <w:p w14:paraId="5E588DC2" w14:textId="78D504AE" w:rsidR="005D31CB" w:rsidRPr="005D31CB" w:rsidRDefault="005D31CB" w:rsidP="00452FB4">
      <w:pPr>
        <w:numPr>
          <w:ilvl w:val="0"/>
          <w:numId w:val="14"/>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Temporal Change Analysis:</w:t>
      </w:r>
      <w:r w:rsidR="00677E6D">
        <w:rPr>
          <w:rFonts w:eastAsia="Times New Roman"/>
          <w:color w:val="0F1115"/>
          <w:sz w:val="24"/>
          <w:szCs w:val="24"/>
          <w:lang w:eastAsia="tr-TR"/>
        </w:rPr>
        <w:t xml:space="preserve"> </w:t>
      </w:r>
      <w:r w:rsidRPr="005D31CB">
        <w:rPr>
          <w:rFonts w:eastAsia="Times New Roman"/>
          <w:color w:val="0F1115"/>
          <w:sz w:val="24"/>
          <w:szCs w:val="24"/>
          <w:lang w:eastAsia="tr-TR"/>
        </w:rPr>
        <w:t>Absolute and relative changes in the production areas of regions during the 2020-2024 period were calculated as percentages (%), and shifts among leading regions were identified.</w:t>
      </w:r>
    </w:p>
    <w:p w14:paraId="06433175" w14:textId="6501377E" w:rsidR="005D31CB" w:rsidRPr="005D31CB" w:rsidRDefault="005D31CB" w:rsidP="00452FB4">
      <w:pPr>
        <w:numPr>
          <w:ilvl w:val="0"/>
          <w:numId w:val="14"/>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Comparative Regional Profile Analysis:</w:t>
      </w:r>
      <w:r w:rsidR="00677E6D">
        <w:rPr>
          <w:rFonts w:eastAsia="Times New Roman"/>
          <w:color w:val="0F1115"/>
          <w:sz w:val="24"/>
          <w:szCs w:val="24"/>
          <w:lang w:eastAsia="tr-TR"/>
        </w:rPr>
        <w:t xml:space="preserve"> </w:t>
      </w:r>
      <w:commentRangeStart w:id="6"/>
      <w:r w:rsidRPr="005D31CB">
        <w:rPr>
          <w:rFonts w:eastAsia="Times New Roman"/>
          <w:color w:val="0F1115"/>
          <w:sz w:val="24"/>
          <w:szCs w:val="24"/>
          <w:lang w:eastAsia="tr-TR"/>
        </w:rPr>
        <w:t>By comparing the shares of HV products within the total agricultural area of each region, the degrees of regional specialization and agricultural identities were revealed.</w:t>
      </w:r>
      <w:commentRangeEnd w:id="6"/>
      <w:r w:rsidR="00D24B75">
        <w:rPr>
          <w:rStyle w:val="CommentReference"/>
        </w:rPr>
        <w:commentReference w:id="6"/>
      </w:r>
    </w:p>
    <w:p w14:paraId="2B6E4CA8" w14:textId="77777777" w:rsidR="00677E6D"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lastRenderedPageBreak/>
        <w:t>Visualization and Software</w:t>
      </w:r>
    </w:p>
    <w:p w14:paraId="5ACD1125" w14:textId="1C1B25C2" w:rsid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All statistical calculations and tables were performed using</w:t>
      </w:r>
      <w:r w:rsidR="00CD40FE">
        <w:rPr>
          <w:rFonts w:eastAsia="Times New Roman"/>
          <w:color w:val="0F1115"/>
          <w:sz w:val="24"/>
          <w:szCs w:val="24"/>
          <w:lang w:eastAsia="tr-TR"/>
        </w:rPr>
        <w:t xml:space="preserve"> </w:t>
      </w:r>
      <w:r w:rsidRPr="005D31CB">
        <w:rPr>
          <w:rFonts w:eastAsia="Times New Roman"/>
          <w:b/>
          <w:bCs/>
          <w:color w:val="0F1115"/>
          <w:sz w:val="24"/>
          <w:szCs w:val="24"/>
          <w:lang w:eastAsia="tr-TR"/>
        </w:rPr>
        <w:t>Microsoft Excel</w:t>
      </w:r>
      <w:r w:rsidRPr="005D31CB">
        <w:rPr>
          <w:rFonts w:eastAsia="Times New Roman"/>
          <w:color w:val="0F1115"/>
          <w:sz w:val="24"/>
          <w:szCs w:val="24"/>
          <w:lang w:eastAsia="tr-TR"/>
        </w:rPr>
        <w:t xml:space="preserve">. </w:t>
      </w:r>
      <w:commentRangeStart w:id="7"/>
      <w:r w:rsidRPr="005D31CB">
        <w:rPr>
          <w:rFonts w:eastAsia="Times New Roman"/>
          <w:color w:val="0F1115"/>
          <w:sz w:val="24"/>
          <w:szCs w:val="24"/>
          <w:lang w:eastAsia="tr-TR"/>
        </w:rPr>
        <w:t>The</w:t>
      </w:r>
      <w:r w:rsidR="00CD40FE">
        <w:rPr>
          <w:rFonts w:eastAsia="Times New Roman"/>
          <w:color w:val="0F1115"/>
          <w:sz w:val="24"/>
          <w:szCs w:val="24"/>
          <w:lang w:eastAsia="tr-TR"/>
        </w:rPr>
        <w:t xml:space="preserve"> </w:t>
      </w:r>
      <w:r w:rsidRPr="005D31CB">
        <w:rPr>
          <w:rFonts w:eastAsia="Times New Roman"/>
          <w:b/>
          <w:bCs/>
          <w:color w:val="0F1115"/>
          <w:sz w:val="24"/>
          <w:szCs w:val="24"/>
          <w:lang w:eastAsia="tr-TR"/>
        </w:rPr>
        <w:t>Python</w:t>
      </w:r>
      <w:r w:rsidR="00CD40FE">
        <w:rPr>
          <w:rFonts w:eastAsia="Times New Roman"/>
          <w:color w:val="0F1115"/>
          <w:sz w:val="24"/>
          <w:szCs w:val="24"/>
          <w:lang w:eastAsia="tr-TR"/>
        </w:rPr>
        <w:t xml:space="preserve"> </w:t>
      </w:r>
      <w:r w:rsidRPr="005D31CB">
        <w:rPr>
          <w:rFonts w:eastAsia="Times New Roman"/>
          <w:color w:val="0F1115"/>
          <w:sz w:val="24"/>
          <w:szCs w:val="24"/>
          <w:lang w:eastAsia="tr-TR"/>
        </w:rPr>
        <w:t>programming language and</w:t>
      </w:r>
      <w:r w:rsidR="00CD40FE">
        <w:rPr>
          <w:rFonts w:eastAsia="Times New Roman"/>
          <w:color w:val="0F1115"/>
          <w:sz w:val="24"/>
          <w:szCs w:val="24"/>
          <w:lang w:eastAsia="tr-TR"/>
        </w:rPr>
        <w:t xml:space="preserve"> </w:t>
      </w:r>
      <w:r w:rsidRPr="005D31CB">
        <w:rPr>
          <w:rFonts w:eastAsia="Times New Roman"/>
          <w:b/>
          <w:bCs/>
          <w:color w:val="0F1115"/>
          <w:sz w:val="24"/>
          <w:szCs w:val="24"/>
          <w:lang w:eastAsia="tr-TR"/>
        </w:rPr>
        <w:t>pandas, matplotlib</w:t>
      </w:r>
      <w:r w:rsidRPr="005D31CB">
        <w:rPr>
          <w:rFonts w:eastAsia="Times New Roman"/>
          <w:color w:val="0F1115"/>
          <w:sz w:val="24"/>
          <w:szCs w:val="24"/>
          <w:lang w:eastAsia="tr-TR"/>
        </w:rPr>
        <w:t> libraries were employed for processing datasets and creating thematic maps (choropleth maps) and bar charts.</w:t>
      </w:r>
      <w:commentRangeEnd w:id="7"/>
      <w:r w:rsidR="00D24B75">
        <w:rPr>
          <w:rStyle w:val="CommentReference"/>
        </w:rPr>
        <w:commentReference w:id="7"/>
      </w:r>
      <w:r w:rsidRPr="005D31CB">
        <w:rPr>
          <w:rFonts w:eastAsia="Times New Roman"/>
          <w:color w:val="0F1115"/>
          <w:sz w:val="24"/>
          <w:szCs w:val="24"/>
          <w:lang w:eastAsia="tr-TR"/>
        </w:rPr>
        <w:t xml:space="preserve"> This software combination provided reproducible, verifiable, and effective visual analyses.</w:t>
      </w:r>
    </w:p>
    <w:p w14:paraId="5884409E" w14:textId="77777777" w:rsidR="009821DF" w:rsidRPr="005D31CB" w:rsidRDefault="009821DF" w:rsidP="00452FB4">
      <w:pPr>
        <w:spacing w:before="240" w:after="240" w:line="420" w:lineRule="atLeast"/>
        <w:jc w:val="both"/>
        <w:rPr>
          <w:rFonts w:eastAsia="Times New Roman"/>
          <w:color w:val="0F1115"/>
          <w:sz w:val="24"/>
          <w:szCs w:val="24"/>
          <w:lang w:eastAsia="tr-TR"/>
        </w:rPr>
      </w:pPr>
    </w:p>
    <w:p w14:paraId="0817A8C3"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3. FINDINGS AND DISCUSSION</w:t>
      </w:r>
    </w:p>
    <w:p w14:paraId="2A37DF1B" w14:textId="77777777" w:rsidR="00CD40FE"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 xml:space="preserve">The Geography of </w:t>
      </w:r>
      <w:r w:rsidR="008B28C4" w:rsidRPr="005D31CB">
        <w:rPr>
          <w:rFonts w:eastAsia="Times New Roman"/>
          <w:b/>
          <w:bCs/>
          <w:color w:val="0F1115"/>
          <w:sz w:val="24"/>
          <w:szCs w:val="24"/>
          <w:lang w:eastAsia="tr-TR"/>
        </w:rPr>
        <w:t>T</w:t>
      </w:r>
      <w:r w:rsidR="008B28C4" w:rsidRPr="008B28C4">
        <w:rPr>
          <w:rFonts w:eastAsia="Times New Roman"/>
          <w:b/>
          <w:bCs/>
          <w:color w:val="0F1115"/>
          <w:sz w:val="24"/>
          <w:szCs w:val="24"/>
          <w:lang w:eastAsia="tr-TR"/>
        </w:rPr>
        <w:t>ü</w:t>
      </w:r>
      <w:r w:rsidR="008B28C4" w:rsidRPr="005D31CB">
        <w:rPr>
          <w:rFonts w:eastAsia="Times New Roman"/>
          <w:b/>
          <w:bCs/>
          <w:color w:val="0F1115"/>
          <w:sz w:val="24"/>
          <w:szCs w:val="24"/>
          <w:lang w:eastAsia="tr-TR"/>
        </w:rPr>
        <w:t>rk</w:t>
      </w:r>
      <w:r w:rsidR="008B28C4" w:rsidRPr="008B28C4">
        <w:rPr>
          <w:rFonts w:eastAsia="Times New Roman"/>
          <w:b/>
          <w:bCs/>
          <w:color w:val="0F1115"/>
          <w:sz w:val="24"/>
          <w:szCs w:val="24"/>
          <w:lang w:eastAsia="tr-TR"/>
        </w:rPr>
        <w:t>iye</w:t>
      </w:r>
      <w:r w:rsidR="008B28C4" w:rsidRPr="005D31CB">
        <w:rPr>
          <w:rFonts w:eastAsia="Times New Roman"/>
          <w:b/>
          <w:bCs/>
          <w:color w:val="0F1115"/>
          <w:sz w:val="24"/>
          <w:szCs w:val="24"/>
          <w:lang w:eastAsia="tr-TR"/>
        </w:rPr>
        <w:t xml:space="preserve"> </w:t>
      </w:r>
      <w:r w:rsidRPr="005D31CB">
        <w:rPr>
          <w:rFonts w:eastAsia="Times New Roman"/>
          <w:b/>
          <w:bCs/>
          <w:color w:val="0F1115"/>
          <w:sz w:val="24"/>
          <w:szCs w:val="24"/>
          <w:lang w:eastAsia="tr-TR"/>
        </w:rPr>
        <w:t>Fruit Production</w:t>
      </w:r>
    </w:p>
    <w:p w14:paraId="0EB1FF09" w14:textId="3438EE7C" w:rsidR="005D31CB" w:rsidRPr="005D31CB" w:rsidRDefault="005D31CB" w:rsidP="00452FB4">
      <w:pPr>
        <w:spacing w:before="240" w:after="240" w:line="420" w:lineRule="atLeast"/>
        <w:jc w:val="both"/>
        <w:rPr>
          <w:rFonts w:eastAsia="Times New Roman"/>
          <w:color w:val="0F1115"/>
          <w:sz w:val="24"/>
          <w:szCs w:val="24"/>
          <w:lang w:eastAsia="tr-TR"/>
        </w:rPr>
      </w:pPr>
      <w:commentRangeStart w:id="8"/>
      <w:r w:rsidRPr="005D31CB">
        <w:rPr>
          <w:rFonts w:eastAsia="Times New Roman"/>
          <w:color w:val="0F1115"/>
          <w:sz w:val="24"/>
          <w:szCs w:val="24"/>
          <w:lang w:eastAsia="tr-TR"/>
        </w:rPr>
        <w:t xml:space="preserve">Fruit production areas are among the most dynamic and value-adding components of </w:t>
      </w:r>
      <w:r w:rsidR="008B28C4" w:rsidRPr="005D31CB">
        <w:rPr>
          <w:rFonts w:eastAsia="Times New Roman"/>
          <w:color w:val="0F1115"/>
          <w:sz w:val="24"/>
          <w:szCs w:val="24"/>
          <w:lang w:eastAsia="tr-TR"/>
        </w:rPr>
        <w:t>T</w:t>
      </w:r>
      <w:r w:rsidR="008B28C4">
        <w:rPr>
          <w:rFonts w:eastAsia="Times New Roman"/>
          <w:color w:val="0F1115"/>
          <w:sz w:val="24"/>
          <w:szCs w:val="24"/>
          <w:lang w:eastAsia="tr-TR"/>
        </w:rPr>
        <w:t>ü</w:t>
      </w:r>
      <w:r w:rsidR="008B28C4" w:rsidRPr="005D31CB">
        <w:rPr>
          <w:rFonts w:eastAsia="Times New Roman"/>
          <w:color w:val="0F1115"/>
          <w:sz w:val="24"/>
          <w:szCs w:val="24"/>
          <w:lang w:eastAsia="tr-TR"/>
        </w:rPr>
        <w:t>rk</w:t>
      </w:r>
      <w:r w:rsidR="008B28C4">
        <w:rPr>
          <w:rFonts w:eastAsia="Times New Roman"/>
          <w:color w:val="0F1115"/>
          <w:sz w:val="24"/>
          <w:szCs w:val="24"/>
          <w:lang w:eastAsia="tr-TR"/>
        </w:rPr>
        <w:t>iye</w:t>
      </w:r>
      <w:r w:rsidRPr="005D31CB">
        <w:rPr>
          <w:rFonts w:eastAsia="Times New Roman"/>
          <w:color w:val="0F1115"/>
          <w:sz w:val="24"/>
          <w:szCs w:val="24"/>
          <w:lang w:eastAsia="tr-TR"/>
        </w:rPr>
        <w:t>'s agricultural sector</w:t>
      </w:r>
      <w:commentRangeEnd w:id="8"/>
      <w:r w:rsidR="00D24B75">
        <w:rPr>
          <w:rStyle w:val="CommentReference"/>
        </w:rPr>
        <w:commentReference w:id="8"/>
      </w:r>
      <w:r w:rsidRPr="005D31CB">
        <w:rPr>
          <w:rFonts w:eastAsia="Times New Roman"/>
          <w:color w:val="0F1115"/>
          <w:sz w:val="24"/>
          <w:szCs w:val="24"/>
          <w:lang w:eastAsia="tr-TR"/>
        </w:rPr>
        <w:t xml:space="preserve">. As of 2024, the total fruit area in </w:t>
      </w:r>
      <w:r w:rsidR="008B28C4" w:rsidRPr="005D31CB">
        <w:rPr>
          <w:rFonts w:eastAsia="Times New Roman"/>
          <w:color w:val="0F1115"/>
          <w:sz w:val="24"/>
          <w:szCs w:val="24"/>
          <w:lang w:eastAsia="tr-TR"/>
        </w:rPr>
        <w:t>T</w:t>
      </w:r>
      <w:r w:rsidR="008B28C4">
        <w:rPr>
          <w:rFonts w:eastAsia="Times New Roman"/>
          <w:color w:val="0F1115"/>
          <w:sz w:val="24"/>
          <w:szCs w:val="24"/>
          <w:lang w:eastAsia="tr-TR"/>
        </w:rPr>
        <w:t>ü</w:t>
      </w:r>
      <w:r w:rsidR="008B28C4" w:rsidRPr="005D31CB">
        <w:rPr>
          <w:rFonts w:eastAsia="Times New Roman"/>
          <w:color w:val="0F1115"/>
          <w:sz w:val="24"/>
          <w:szCs w:val="24"/>
          <w:lang w:eastAsia="tr-TR"/>
        </w:rPr>
        <w:t>rk</w:t>
      </w:r>
      <w:r w:rsidR="008B28C4">
        <w:rPr>
          <w:rFonts w:eastAsia="Times New Roman"/>
          <w:color w:val="0F1115"/>
          <w:sz w:val="24"/>
          <w:szCs w:val="24"/>
          <w:lang w:eastAsia="tr-TR"/>
        </w:rPr>
        <w:t>iye</w:t>
      </w:r>
      <w:r w:rsidRPr="005D31CB">
        <w:rPr>
          <w:rFonts w:eastAsia="Times New Roman"/>
          <w:color w:val="0F1115"/>
          <w:sz w:val="24"/>
          <w:szCs w:val="24"/>
          <w:lang w:eastAsia="tr-TR"/>
        </w:rPr>
        <w:t xml:space="preserve"> reached</w:t>
      </w:r>
      <w:r w:rsidR="00CD40FE" w:rsidRPr="00CD40FE">
        <w:rPr>
          <w:rFonts w:eastAsia="Times New Roman"/>
          <w:color w:val="0F1115"/>
          <w:sz w:val="24"/>
          <w:szCs w:val="24"/>
          <w:lang w:eastAsia="tr-TR"/>
        </w:rPr>
        <w:t xml:space="preserve"> </w:t>
      </w:r>
      <w:r w:rsidRPr="005D31CB">
        <w:rPr>
          <w:rFonts w:eastAsia="Times New Roman"/>
          <w:color w:val="0F1115"/>
          <w:sz w:val="24"/>
          <w:szCs w:val="24"/>
          <w:lang w:eastAsia="tr-TR"/>
        </w:rPr>
        <w:t>37.99 million decares. However, an examination of the geographical distribution of this area reveals that production is concentrated in specific regions and this concentration is strengthening.</w:t>
      </w:r>
    </w:p>
    <w:p w14:paraId="5D91A69A"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Table 1. Leading Regions in Fruit Area in 2024 and 2020-2024 Change Analysis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77"/>
        <w:gridCol w:w="1380"/>
        <w:gridCol w:w="2224"/>
        <w:gridCol w:w="1689"/>
        <w:gridCol w:w="1217"/>
        <w:gridCol w:w="1785"/>
      </w:tblGrid>
      <w:tr w:rsidR="005D31CB" w:rsidRPr="005D31CB" w14:paraId="2D272088" w14:textId="77777777" w:rsidTr="00A90455">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7B153D6" w14:textId="77777777" w:rsidR="005D31CB" w:rsidRPr="005D31CB" w:rsidRDefault="005D31CB" w:rsidP="00F819E3">
            <w:pPr>
              <w:spacing w:after="0" w:line="240" w:lineRule="auto"/>
              <w:jc w:val="both"/>
              <w:rPr>
                <w:rFonts w:eastAsia="Times New Roman"/>
                <w:b/>
                <w:bCs/>
                <w:sz w:val="23"/>
                <w:szCs w:val="23"/>
                <w:lang w:eastAsia="tr-TR"/>
              </w:rPr>
            </w:pPr>
            <w:r w:rsidRPr="005D31CB">
              <w:rPr>
                <w:rFonts w:eastAsia="Times New Roman"/>
                <w:b/>
                <w:bCs/>
                <w:sz w:val="23"/>
                <w:szCs w:val="23"/>
                <w:lang w:eastAsia="tr-TR"/>
              </w:rPr>
              <w:t>Rank</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8EA162E" w14:textId="77777777" w:rsidR="005D31CB" w:rsidRPr="005D31CB" w:rsidRDefault="005D31CB" w:rsidP="00F819E3">
            <w:pPr>
              <w:spacing w:after="0" w:line="240" w:lineRule="auto"/>
              <w:jc w:val="both"/>
              <w:rPr>
                <w:rFonts w:eastAsia="Times New Roman"/>
                <w:b/>
                <w:bCs/>
                <w:sz w:val="23"/>
                <w:szCs w:val="23"/>
                <w:lang w:eastAsia="tr-TR"/>
              </w:rPr>
            </w:pPr>
            <w:r w:rsidRPr="005D31CB">
              <w:rPr>
                <w:rFonts w:eastAsia="Times New Roman"/>
                <w:b/>
                <w:bCs/>
                <w:sz w:val="23"/>
                <w:szCs w:val="23"/>
                <w:lang w:eastAsia="tr-TR"/>
              </w:rPr>
              <w:t>Region Code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761A998" w14:textId="77777777" w:rsidR="005D31CB" w:rsidRPr="005D31CB" w:rsidRDefault="005D31CB" w:rsidP="00F819E3">
            <w:pPr>
              <w:spacing w:after="0" w:line="240" w:lineRule="auto"/>
              <w:jc w:val="both"/>
              <w:rPr>
                <w:rFonts w:eastAsia="Times New Roman"/>
                <w:b/>
                <w:bCs/>
                <w:sz w:val="23"/>
                <w:szCs w:val="23"/>
                <w:lang w:eastAsia="tr-TR"/>
              </w:rPr>
            </w:pPr>
            <w:r w:rsidRPr="005D31CB">
              <w:rPr>
                <w:rFonts w:eastAsia="Times New Roman"/>
                <w:b/>
                <w:bCs/>
                <w:sz w:val="23"/>
                <w:szCs w:val="23"/>
                <w:lang w:eastAsia="tr-TR"/>
              </w:rPr>
              <w:t>Region Name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8B3FF9D" w14:textId="77777777" w:rsidR="005D31CB" w:rsidRPr="005D31CB" w:rsidRDefault="005D31CB" w:rsidP="00F819E3">
            <w:pPr>
              <w:spacing w:after="0" w:line="240" w:lineRule="auto"/>
              <w:jc w:val="both"/>
              <w:rPr>
                <w:rFonts w:eastAsia="Times New Roman"/>
                <w:b/>
                <w:bCs/>
                <w:sz w:val="23"/>
                <w:szCs w:val="23"/>
                <w:lang w:eastAsia="tr-TR"/>
              </w:rPr>
            </w:pPr>
            <w:r w:rsidRPr="005D31CB">
              <w:rPr>
                <w:rFonts w:eastAsia="Times New Roman"/>
                <w:b/>
                <w:bCs/>
                <w:sz w:val="23"/>
                <w:szCs w:val="23"/>
                <w:lang w:eastAsia="tr-TR"/>
              </w:rPr>
              <w:t>Fruit Area (da)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C620A3E" w14:textId="77777777" w:rsidR="005D31CB" w:rsidRPr="005D31CB" w:rsidRDefault="005D31CB" w:rsidP="00F819E3">
            <w:pPr>
              <w:spacing w:after="0" w:line="240" w:lineRule="auto"/>
              <w:jc w:val="both"/>
              <w:rPr>
                <w:rFonts w:eastAsia="Times New Roman"/>
                <w:b/>
                <w:bCs/>
                <w:sz w:val="23"/>
                <w:szCs w:val="23"/>
                <w:lang w:eastAsia="tr-TR"/>
              </w:rPr>
            </w:pPr>
            <w:r w:rsidRPr="005D31CB">
              <w:rPr>
                <w:rFonts w:eastAsia="Times New Roman"/>
                <w:b/>
                <w:bCs/>
                <w:sz w:val="23"/>
                <w:szCs w:val="23"/>
                <w:lang w:eastAsia="tr-TR"/>
              </w:rPr>
              <w:t>Share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82FCF0F" w14:textId="77777777" w:rsidR="005D31CB" w:rsidRPr="005D31CB" w:rsidRDefault="005D31CB" w:rsidP="00F819E3">
            <w:pPr>
              <w:spacing w:after="0" w:line="240" w:lineRule="auto"/>
              <w:jc w:val="both"/>
              <w:rPr>
                <w:rFonts w:eastAsia="Times New Roman"/>
                <w:b/>
                <w:bCs/>
                <w:sz w:val="23"/>
                <w:szCs w:val="23"/>
                <w:lang w:eastAsia="tr-TR"/>
              </w:rPr>
            </w:pPr>
            <w:r w:rsidRPr="005D31CB">
              <w:rPr>
                <w:rFonts w:eastAsia="Times New Roman"/>
                <w:b/>
                <w:bCs/>
                <w:sz w:val="23"/>
                <w:szCs w:val="23"/>
                <w:lang w:eastAsia="tr-TR"/>
              </w:rPr>
              <w:t>2020-2024 Change (%)</w:t>
            </w:r>
          </w:p>
        </w:tc>
      </w:tr>
      <w:tr w:rsidR="005D31CB" w:rsidRPr="005D31CB" w14:paraId="71F1CA62" w14:textId="77777777" w:rsidTr="00A90455">
        <w:tc>
          <w:tcPr>
            <w:tcW w:w="0" w:type="auto"/>
            <w:tcBorders>
              <w:top w:val="single" w:sz="4" w:space="0" w:color="auto"/>
            </w:tcBorders>
            <w:tcMar>
              <w:top w:w="150" w:type="dxa"/>
              <w:left w:w="0" w:type="dxa"/>
              <w:bottom w:w="150" w:type="dxa"/>
              <w:right w:w="240" w:type="dxa"/>
            </w:tcMar>
            <w:vAlign w:val="center"/>
            <w:hideMark/>
          </w:tcPr>
          <w:p w14:paraId="5117D015"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1</w:t>
            </w:r>
          </w:p>
        </w:tc>
        <w:tc>
          <w:tcPr>
            <w:tcW w:w="0" w:type="auto"/>
            <w:tcBorders>
              <w:top w:val="single" w:sz="4" w:space="0" w:color="auto"/>
            </w:tcBorders>
            <w:tcMar>
              <w:top w:w="150" w:type="dxa"/>
              <w:left w:w="240" w:type="dxa"/>
              <w:bottom w:w="150" w:type="dxa"/>
              <w:right w:w="240" w:type="dxa"/>
            </w:tcMar>
            <w:vAlign w:val="center"/>
            <w:hideMark/>
          </w:tcPr>
          <w:p w14:paraId="199684D5"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TR3</w:t>
            </w:r>
          </w:p>
        </w:tc>
        <w:tc>
          <w:tcPr>
            <w:tcW w:w="0" w:type="auto"/>
            <w:tcBorders>
              <w:top w:val="single" w:sz="4" w:space="0" w:color="auto"/>
            </w:tcBorders>
            <w:tcMar>
              <w:top w:w="150" w:type="dxa"/>
              <w:left w:w="240" w:type="dxa"/>
              <w:bottom w:w="150" w:type="dxa"/>
              <w:right w:w="240" w:type="dxa"/>
            </w:tcMar>
            <w:vAlign w:val="center"/>
            <w:hideMark/>
          </w:tcPr>
          <w:p w14:paraId="3E7292A1"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Aegean</w:t>
            </w:r>
          </w:p>
        </w:tc>
        <w:tc>
          <w:tcPr>
            <w:tcW w:w="0" w:type="auto"/>
            <w:tcBorders>
              <w:top w:val="single" w:sz="4" w:space="0" w:color="auto"/>
            </w:tcBorders>
            <w:tcMar>
              <w:top w:w="150" w:type="dxa"/>
              <w:left w:w="240" w:type="dxa"/>
              <w:bottom w:w="150" w:type="dxa"/>
              <w:right w:w="240" w:type="dxa"/>
            </w:tcMar>
            <w:vAlign w:val="center"/>
            <w:hideMark/>
          </w:tcPr>
          <w:p w14:paraId="4C700D9E"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8,652,765</w:t>
            </w:r>
          </w:p>
        </w:tc>
        <w:tc>
          <w:tcPr>
            <w:tcW w:w="0" w:type="auto"/>
            <w:tcBorders>
              <w:top w:val="single" w:sz="4" w:space="0" w:color="auto"/>
            </w:tcBorders>
            <w:tcMar>
              <w:top w:w="150" w:type="dxa"/>
              <w:left w:w="240" w:type="dxa"/>
              <w:bottom w:w="150" w:type="dxa"/>
              <w:right w:w="240" w:type="dxa"/>
            </w:tcMar>
            <w:vAlign w:val="center"/>
            <w:hideMark/>
          </w:tcPr>
          <w:p w14:paraId="01C74C2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22.8</w:t>
            </w:r>
          </w:p>
        </w:tc>
        <w:tc>
          <w:tcPr>
            <w:tcW w:w="0" w:type="auto"/>
            <w:tcBorders>
              <w:top w:val="single" w:sz="4" w:space="0" w:color="auto"/>
            </w:tcBorders>
            <w:tcMar>
              <w:top w:w="150" w:type="dxa"/>
              <w:left w:w="240" w:type="dxa"/>
              <w:bottom w:w="150" w:type="dxa"/>
              <w:right w:w="0" w:type="dxa"/>
            </w:tcMar>
            <w:vAlign w:val="center"/>
            <w:hideMark/>
          </w:tcPr>
          <w:p w14:paraId="55C14145"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+2.1</w:t>
            </w:r>
          </w:p>
        </w:tc>
      </w:tr>
      <w:tr w:rsidR="005D31CB" w:rsidRPr="005D31CB" w14:paraId="501EDF5B" w14:textId="77777777" w:rsidTr="00A90455">
        <w:tc>
          <w:tcPr>
            <w:tcW w:w="0" w:type="auto"/>
            <w:tcMar>
              <w:top w:w="150" w:type="dxa"/>
              <w:left w:w="0" w:type="dxa"/>
              <w:bottom w:w="150" w:type="dxa"/>
              <w:right w:w="240" w:type="dxa"/>
            </w:tcMar>
            <w:vAlign w:val="center"/>
            <w:hideMark/>
          </w:tcPr>
          <w:p w14:paraId="63EE0C0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2</w:t>
            </w:r>
          </w:p>
        </w:tc>
        <w:tc>
          <w:tcPr>
            <w:tcW w:w="0" w:type="auto"/>
            <w:tcMar>
              <w:top w:w="150" w:type="dxa"/>
              <w:left w:w="240" w:type="dxa"/>
              <w:bottom w:w="150" w:type="dxa"/>
              <w:right w:w="240" w:type="dxa"/>
            </w:tcMar>
            <w:vAlign w:val="center"/>
            <w:hideMark/>
          </w:tcPr>
          <w:p w14:paraId="3E50879E"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TRC</w:t>
            </w:r>
          </w:p>
        </w:tc>
        <w:tc>
          <w:tcPr>
            <w:tcW w:w="0" w:type="auto"/>
            <w:tcMar>
              <w:top w:w="150" w:type="dxa"/>
              <w:left w:w="240" w:type="dxa"/>
              <w:bottom w:w="150" w:type="dxa"/>
              <w:right w:w="240" w:type="dxa"/>
            </w:tcMar>
            <w:vAlign w:val="center"/>
            <w:hideMark/>
          </w:tcPr>
          <w:p w14:paraId="326F83C7"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Southeastern Anatolia</w:t>
            </w:r>
          </w:p>
        </w:tc>
        <w:tc>
          <w:tcPr>
            <w:tcW w:w="0" w:type="auto"/>
            <w:tcMar>
              <w:top w:w="150" w:type="dxa"/>
              <w:left w:w="240" w:type="dxa"/>
              <w:bottom w:w="150" w:type="dxa"/>
              <w:right w:w="240" w:type="dxa"/>
            </w:tcMar>
            <w:vAlign w:val="center"/>
            <w:hideMark/>
          </w:tcPr>
          <w:p w14:paraId="7B1F38CA"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7,428,396</w:t>
            </w:r>
          </w:p>
        </w:tc>
        <w:tc>
          <w:tcPr>
            <w:tcW w:w="0" w:type="auto"/>
            <w:tcMar>
              <w:top w:w="150" w:type="dxa"/>
              <w:left w:w="240" w:type="dxa"/>
              <w:bottom w:w="150" w:type="dxa"/>
              <w:right w:w="240" w:type="dxa"/>
            </w:tcMar>
            <w:vAlign w:val="center"/>
            <w:hideMark/>
          </w:tcPr>
          <w:p w14:paraId="77D292DE"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19.6</w:t>
            </w:r>
          </w:p>
        </w:tc>
        <w:tc>
          <w:tcPr>
            <w:tcW w:w="0" w:type="auto"/>
            <w:tcMar>
              <w:top w:w="150" w:type="dxa"/>
              <w:left w:w="240" w:type="dxa"/>
              <w:bottom w:w="150" w:type="dxa"/>
              <w:right w:w="0" w:type="dxa"/>
            </w:tcMar>
            <w:vAlign w:val="center"/>
            <w:hideMark/>
          </w:tcPr>
          <w:p w14:paraId="645947A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+20.7</w:t>
            </w:r>
          </w:p>
        </w:tc>
      </w:tr>
      <w:tr w:rsidR="005D31CB" w:rsidRPr="005D31CB" w14:paraId="5CC0CBDB" w14:textId="77777777" w:rsidTr="00A90455">
        <w:tc>
          <w:tcPr>
            <w:tcW w:w="0" w:type="auto"/>
            <w:tcMar>
              <w:top w:w="150" w:type="dxa"/>
              <w:left w:w="0" w:type="dxa"/>
              <w:bottom w:w="150" w:type="dxa"/>
              <w:right w:w="240" w:type="dxa"/>
            </w:tcMar>
            <w:vAlign w:val="center"/>
            <w:hideMark/>
          </w:tcPr>
          <w:p w14:paraId="4B6B926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3</w:t>
            </w:r>
          </w:p>
        </w:tc>
        <w:tc>
          <w:tcPr>
            <w:tcW w:w="0" w:type="auto"/>
            <w:tcMar>
              <w:top w:w="150" w:type="dxa"/>
              <w:left w:w="240" w:type="dxa"/>
              <w:bottom w:w="150" w:type="dxa"/>
              <w:right w:w="240" w:type="dxa"/>
            </w:tcMar>
            <w:vAlign w:val="center"/>
            <w:hideMark/>
          </w:tcPr>
          <w:p w14:paraId="78DC6C4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TR6</w:t>
            </w:r>
          </w:p>
        </w:tc>
        <w:tc>
          <w:tcPr>
            <w:tcW w:w="0" w:type="auto"/>
            <w:tcMar>
              <w:top w:w="150" w:type="dxa"/>
              <w:left w:w="240" w:type="dxa"/>
              <w:bottom w:w="150" w:type="dxa"/>
              <w:right w:w="240" w:type="dxa"/>
            </w:tcMar>
            <w:vAlign w:val="center"/>
            <w:hideMark/>
          </w:tcPr>
          <w:p w14:paraId="3B32F174"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Mediterranean</w:t>
            </w:r>
          </w:p>
        </w:tc>
        <w:tc>
          <w:tcPr>
            <w:tcW w:w="0" w:type="auto"/>
            <w:tcMar>
              <w:top w:w="150" w:type="dxa"/>
              <w:left w:w="240" w:type="dxa"/>
              <w:bottom w:w="150" w:type="dxa"/>
              <w:right w:w="240" w:type="dxa"/>
            </w:tcMar>
            <w:vAlign w:val="center"/>
            <w:hideMark/>
          </w:tcPr>
          <w:p w14:paraId="2C65CD2D"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5,969,725</w:t>
            </w:r>
          </w:p>
        </w:tc>
        <w:tc>
          <w:tcPr>
            <w:tcW w:w="0" w:type="auto"/>
            <w:tcMar>
              <w:top w:w="150" w:type="dxa"/>
              <w:left w:w="240" w:type="dxa"/>
              <w:bottom w:w="150" w:type="dxa"/>
              <w:right w:w="240" w:type="dxa"/>
            </w:tcMar>
            <w:vAlign w:val="center"/>
            <w:hideMark/>
          </w:tcPr>
          <w:p w14:paraId="587D0F9D"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15.7</w:t>
            </w:r>
          </w:p>
        </w:tc>
        <w:tc>
          <w:tcPr>
            <w:tcW w:w="0" w:type="auto"/>
            <w:tcMar>
              <w:top w:w="150" w:type="dxa"/>
              <w:left w:w="240" w:type="dxa"/>
              <w:bottom w:w="150" w:type="dxa"/>
              <w:right w:w="0" w:type="dxa"/>
            </w:tcMar>
            <w:vAlign w:val="center"/>
            <w:hideMark/>
          </w:tcPr>
          <w:p w14:paraId="50CCD2D3"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+7.9</w:t>
            </w:r>
          </w:p>
        </w:tc>
      </w:tr>
      <w:tr w:rsidR="005D31CB" w:rsidRPr="005D31CB" w14:paraId="12AE38E0" w14:textId="77777777" w:rsidTr="00A90455">
        <w:tc>
          <w:tcPr>
            <w:tcW w:w="0" w:type="auto"/>
            <w:tcMar>
              <w:top w:w="150" w:type="dxa"/>
              <w:left w:w="0" w:type="dxa"/>
              <w:bottom w:w="150" w:type="dxa"/>
              <w:right w:w="240" w:type="dxa"/>
            </w:tcMar>
            <w:vAlign w:val="center"/>
            <w:hideMark/>
          </w:tcPr>
          <w:p w14:paraId="6B597D47"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4</w:t>
            </w:r>
          </w:p>
        </w:tc>
        <w:tc>
          <w:tcPr>
            <w:tcW w:w="0" w:type="auto"/>
            <w:tcMar>
              <w:top w:w="150" w:type="dxa"/>
              <w:left w:w="240" w:type="dxa"/>
              <w:bottom w:w="150" w:type="dxa"/>
              <w:right w:w="240" w:type="dxa"/>
            </w:tcMar>
            <w:vAlign w:val="center"/>
            <w:hideMark/>
          </w:tcPr>
          <w:p w14:paraId="6327FC22"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TR9</w:t>
            </w:r>
          </w:p>
        </w:tc>
        <w:tc>
          <w:tcPr>
            <w:tcW w:w="0" w:type="auto"/>
            <w:tcMar>
              <w:top w:w="150" w:type="dxa"/>
              <w:left w:w="240" w:type="dxa"/>
              <w:bottom w:w="150" w:type="dxa"/>
              <w:right w:w="240" w:type="dxa"/>
            </w:tcMar>
            <w:vAlign w:val="center"/>
            <w:hideMark/>
          </w:tcPr>
          <w:p w14:paraId="1000A18F"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Eastern Black Sea</w:t>
            </w:r>
          </w:p>
        </w:tc>
        <w:tc>
          <w:tcPr>
            <w:tcW w:w="0" w:type="auto"/>
            <w:tcMar>
              <w:top w:w="150" w:type="dxa"/>
              <w:left w:w="240" w:type="dxa"/>
              <w:bottom w:w="150" w:type="dxa"/>
              <w:right w:w="240" w:type="dxa"/>
            </w:tcMar>
            <w:vAlign w:val="center"/>
            <w:hideMark/>
          </w:tcPr>
          <w:p w14:paraId="0342B26F"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5,052,886</w:t>
            </w:r>
          </w:p>
        </w:tc>
        <w:tc>
          <w:tcPr>
            <w:tcW w:w="0" w:type="auto"/>
            <w:tcMar>
              <w:top w:w="150" w:type="dxa"/>
              <w:left w:w="240" w:type="dxa"/>
              <w:bottom w:w="150" w:type="dxa"/>
              <w:right w:w="240" w:type="dxa"/>
            </w:tcMar>
            <w:vAlign w:val="center"/>
            <w:hideMark/>
          </w:tcPr>
          <w:p w14:paraId="30C40ABE"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13.3</w:t>
            </w:r>
          </w:p>
        </w:tc>
        <w:tc>
          <w:tcPr>
            <w:tcW w:w="0" w:type="auto"/>
            <w:tcMar>
              <w:top w:w="150" w:type="dxa"/>
              <w:left w:w="240" w:type="dxa"/>
              <w:bottom w:w="150" w:type="dxa"/>
              <w:right w:w="0" w:type="dxa"/>
            </w:tcMar>
            <w:vAlign w:val="center"/>
            <w:hideMark/>
          </w:tcPr>
          <w:p w14:paraId="6BDCDA43"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-0.0</w:t>
            </w:r>
          </w:p>
        </w:tc>
      </w:tr>
      <w:tr w:rsidR="005D31CB" w:rsidRPr="005D31CB" w14:paraId="479370E3" w14:textId="77777777" w:rsidTr="00A90455">
        <w:tc>
          <w:tcPr>
            <w:tcW w:w="0" w:type="auto"/>
            <w:tcMar>
              <w:top w:w="150" w:type="dxa"/>
              <w:left w:w="0" w:type="dxa"/>
              <w:bottom w:w="150" w:type="dxa"/>
              <w:right w:w="240" w:type="dxa"/>
            </w:tcMar>
            <w:vAlign w:val="center"/>
            <w:hideMark/>
          </w:tcPr>
          <w:p w14:paraId="40C898A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5</w:t>
            </w:r>
          </w:p>
        </w:tc>
        <w:tc>
          <w:tcPr>
            <w:tcW w:w="0" w:type="auto"/>
            <w:tcMar>
              <w:top w:w="150" w:type="dxa"/>
              <w:left w:w="240" w:type="dxa"/>
              <w:bottom w:w="150" w:type="dxa"/>
              <w:right w:w="240" w:type="dxa"/>
            </w:tcMar>
            <w:vAlign w:val="center"/>
            <w:hideMark/>
          </w:tcPr>
          <w:p w14:paraId="6A95301B"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TR4</w:t>
            </w:r>
          </w:p>
        </w:tc>
        <w:tc>
          <w:tcPr>
            <w:tcW w:w="0" w:type="auto"/>
            <w:tcMar>
              <w:top w:w="150" w:type="dxa"/>
              <w:left w:w="240" w:type="dxa"/>
              <w:bottom w:w="150" w:type="dxa"/>
              <w:right w:w="240" w:type="dxa"/>
            </w:tcMar>
            <w:vAlign w:val="center"/>
            <w:hideMark/>
          </w:tcPr>
          <w:p w14:paraId="78637C28"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Eastern Marmara</w:t>
            </w:r>
          </w:p>
        </w:tc>
        <w:tc>
          <w:tcPr>
            <w:tcW w:w="0" w:type="auto"/>
            <w:tcMar>
              <w:top w:w="150" w:type="dxa"/>
              <w:left w:w="240" w:type="dxa"/>
              <w:bottom w:w="150" w:type="dxa"/>
              <w:right w:w="240" w:type="dxa"/>
            </w:tcMar>
            <w:vAlign w:val="center"/>
            <w:hideMark/>
          </w:tcPr>
          <w:p w14:paraId="1B9F1081"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2,977,887</w:t>
            </w:r>
          </w:p>
        </w:tc>
        <w:tc>
          <w:tcPr>
            <w:tcW w:w="0" w:type="auto"/>
            <w:tcMar>
              <w:top w:w="150" w:type="dxa"/>
              <w:left w:w="240" w:type="dxa"/>
              <w:bottom w:w="150" w:type="dxa"/>
              <w:right w:w="240" w:type="dxa"/>
            </w:tcMar>
            <w:vAlign w:val="center"/>
            <w:hideMark/>
          </w:tcPr>
          <w:p w14:paraId="4048F603"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7.8</w:t>
            </w:r>
          </w:p>
        </w:tc>
        <w:tc>
          <w:tcPr>
            <w:tcW w:w="0" w:type="auto"/>
            <w:tcMar>
              <w:top w:w="150" w:type="dxa"/>
              <w:left w:w="240" w:type="dxa"/>
              <w:bottom w:w="150" w:type="dxa"/>
              <w:right w:w="0" w:type="dxa"/>
            </w:tcMar>
            <w:vAlign w:val="center"/>
            <w:hideMark/>
          </w:tcPr>
          <w:p w14:paraId="4A12A010"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+6.1</w:t>
            </w:r>
          </w:p>
        </w:tc>
      </w:tr>
      <w:tr w:rsidR="005D31CB" w:rsidRPr="005D31CB" w14:paraId="194E9692" w14:textId="77777777" w:rsidTr="00A90455">
        <w:tc>
          <w:tcPr>
            <w:tcW w:w="0" w:type="auto"/>
            <w:tcMar>
              <w:top w:w="150" w:type="dxa"/>
              <w:left w:w="0" w:type="dxa"/>
              <w:bottom w:w="150" w:type="dxa"/>
              <w:right w:w="240" w:type="dxa"/>
            </w:tcMar>
            <w:vAlign w:val="center"/>
            <w:hideMark/>
          </w:tcPr>
          <w:p w14:paraId="7E5E7D97"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w:t>
            </w:r>
          </w:p>
        </w:tc>
        <w:tc>
          <w:tcPr>
            <w:tcW w:w="0" w:type="auto"/>
            <w:tcMar>
              <w:top w:w="150" w:type="dxa"/>
              <w:left w:w="240" w:type="dxa"/>
              <w:bottom w:w="150" w:type="dxa"/>
              <w:right w:w="240" w:type="dxa"/>
            </w:tcMar>
            <w:vAlign w:val="center"/>
            <w:hideMark/>
          </w:tcPr>
          <w:p w14:paraId="0A0514DA"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Total</w:t>
            </w:r>
          </w:p>
        </w:tc>
        <w:tc>
          <w:tcPr>
            <w:tcW w:w="0" w:type="auto"/>
            <w:tcMar>
              <w:top w:w="150" w:type="dxa"/>
              <w:left w:w="240" w:type="dxa"/>
              <w:bottom w:w="150" w:type="dxa"/>
              <w:right w:w="240" w:type="dxa"/>
            </w:tcMar>
            <w:vAlign w:val="center"/>
            <w:hideMark/>
          </w:tcPr>
          <w:p w14:paraId="7FFDA092" w14:textId="56FD6C13" w:rsidR="005D31CB" w:rsidRPr="005D31CB" w:rsidRDefault="008B28C4" w:rsidP="00F819E3">
            <w:pPr>
              <w:spacing w:after="0" w:line="240" w:lineRule="auto"/>
              <w:jc w:val="both"/>
              <w:rPr>
                <w:rFonts w:eastAsia="Times New Roman"/>
                <w:sz w:val="23"/>
                <w:szCs w:val="23"/>
                <w:lang w:eastAsia="tr-TR"/>
              </w:rPr>
            </w:pPr>
            <w:r w:rsidRPr="005D31CB">
              <w:rPr>
                <w:rFonts w:eastAsia="Times New Roman"/>
                <w:b/>
                <w:bCs/>
                <w:color w:val="0F1115"/>
                <w:sz w:val="24"/>
                <w:szCs w:val="24"/>
                <w:lang w:eastAsia="tr-TR"/>
              </w:rPr>
              <w:t>T</w:t>
            </w:r>
            <w:r w:rsidRPr="008B28C4">
              <w:rPr>
                <w:rFonts w:eastAsia="Times New Roman"/>
                <w:b/>
                <w:bCs/>
                <w:color w:val="0F1115"/>
                <w:sz w:val="24"/>
                <w:szCs w:val="24"/>
                <w:lang w:eastAsia="tr-TR"/>
              </w:rPr>
              <w:t>ü</w:t>
            </w:r>
            <w:r w:rsidRPr="005D31CB">
              <w:rPr>
                <w:rFonts w:eastAsia="Times New Roman"/>
                <w:b/>
                <w:bCs/>
                <w:color w:val="0F1115"/>
                <w:sz w:val="24"/>
                <w:szCs w:val="24"/>
                <w:lang w:eastAsia="tr-TR"/>
              </w:rPr>
              <w:t>rk</w:t>
            </w:r>
            <w:r w:rsidRPr="008B28C4">
              <w:rPr>
                <w:rFonts w:eastAsia="Times New Roman"/>
                <w:b/>
                <w:bCs/>
                <w:color w:val="0F1115"/>
                <w:sz w:val="24"/>
                <w:szCs w:val="24"/>
                <w:lang w:eastAsia="tr-TR"/>
              </w:rPr>
              <w:t>iye</w:t>
            </w:r>
            <w:r w:rsidR="005D31CB" w:rsidRPr="005D31CB">
              <w:rPr>
                <w:rFonts w:eastAsia="Times New Roman"/>
                <w:b/>
                <w:bCs/>
                <w:sz w:val="23"/>
                <w:szCs w:val="23"/>
                <w:lang w:eastAsia="tr-TR"/>
              </w:rPr>
              <w:t xml:space="preserve"> Total</w:t>
            </w:r>
          </w:p>
        </w:tc>
        <w:tc>
          <w:tcPr>
            <w:tcW w:w="0" w:type="auto"/>
            <w:tcMar>
              <w:top w:w="150" w:type="dxa"/>
              <w:left w:w="240" w:type="dxa"/>
              <w:bottom w:w="150" w:type="dxa"/>
              <w:right w:w="240" w:type="dxa"/>
            </w:tcMar>
            <w:vAlign w:val="center"/>
            <w:hideMark/>
          </w:tcPr>
          <w:p w14:paraId="4005F5C7"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37,992,021</w:t>
            </w:r>
          </w:p>
        </w:tc>
        <w:tc>
          <w:tcPr>
            <w:tcW w:w="0" w:type="auto"/>
            <w:tcMar>
              <w:top w:w="150" w:type="dxa"/>
              <w:left w:w="240" w:type="dxa"/>
              <w:bottom w:w="150" w:type="dxa"/>
              <w:right w:w="240" w:type="dxa"/>
            </w:tcMar>
            <w:vAlign w:val="center"/>
            <w:hideMark/>
          </w:tcPr>
          <w:p w14:paraId="3FB2AD22"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b/>
                <w:bCs/>
                <w:sz w:val="23"/>
                <w:szCs w:val="23"/>
                <w:lang w:eastAsia="tr-TR"/>
              </w:rPr>
              <w:t>100.0</w:t>
            </w:r>
          </w:p>
        </w:tc>
        <w:tc>
          <w:tcPr>
            <w:tcW w:w="0" w:type="auto"/>
            <w:tcMar>
              <w:top w:w="150" w:type="dxa"/>
              <w:left w:w="240" w:type="dxa"/>
              <w:bottom w:w="150" w:type="dxa"/>
              <w:right w:w="0" w:type="dxa"/>
            </w:tcMar>
            <w:vAlign w:val="center"/>
            <w:hideMark/>
          </w:tcPr>
          <w:p w14:paraId="44A8C306" w14:textId="77777777" w:rsidR="005D31CB" w:rsidRPr="005D31CB" w:rsidRDefault="005D31CB" w:rsidP="00F819E3">
            <w:pPr>
              <w:spacing w:after="0" w:line="240" w:lineRule="auto"/>
              <w:jc w:val="both"/>
              <w:rPr>
                <w:rFonts w:eastAsia="Times New Roman"/>
                <w:sz w:val="23"/>
                <w:szCs w:val="23"/>
                <w:lang w:eastAsia="tr-TR"/>
              </w:rPr>
            </w:pPr>
            <w:r w:rsidRPr="005D31CB">
              <w:rPr>
                <w:rFonts w:eastAsia="Times New Roman"/>
                <w:sz w:val="23"/>
                <w:szCs w:val="23"/>
                <w:lang w:eastAsia="tr-TR"/>
              </w:rPr>
              <w:t>-</w:t>
            </w:r>
          </w:p>
        </w:tc>
      </w:tr>
    </w:tbl>
    <w:p w14:paraId="76F32D43"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i/>
          <w:iCs/>
          <w:color w:val="0F1115"/>
          <w:sz w:val="24"/>
          <w:szCs w:val="24"/>
          <w:lang w:eastAsia="tr-TR"/>
        </w:rPr>
        <w:t>Source: TurkStat Crop Production Statistics (2020, 2024)</w:t>
      </w:r>
    </w:p>
    <w:p w14:paraId="7D59C951" w14:textId="47BD3259" w:rsidR="002604E0"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The data show that</w:t>
      </w:r>
      <w:r w:rsidR="0056561C">
        <w:rPr>
          <w:rFonts w:eastAsia="Times New Roman"/>
          <w:color w:val="0F1115"/>
          <w:sz w:val="24"/>
          <w:szCs w:val="24"/>
          <w:lang w:eastAsia="tr-TR"/>
        </w:rPr>
        <w:t xml:space="preserve"> </w:t>
      </w:r>
      <w:r w:rsidRPr="005D31CB">
        <w:rPr>
          <w:rFonts w:eastAsia="Times New Roman"/>
          <w:color w:val="0F1115"/>
          <w:sz w:val="24"/>
          <w:szCs w:val="24"/>
          <w:lang w:eastAsia="tr-TR"/>
        </w:rPr>
        <w:t>58.1%</w:t>
      </w:r>
      <w:r w:rsidR="0056561C">
        <w:rPr>
          <w:rFonts w:eastAsia="Times New Roman"/>
          <w:color w:val="0F1115"/>
          <w:sz w:val="24"/>
          <w:szCs w:val="24"/>
          <w:lang w:eastAsia="tr-TR"/>
        </w:rPr>
        <w:t xml:space="preserve"> </w:t>
      </w:r>
      <w:r w:rsidRPr="005D31CB">
        <w:rPr>
          <w:rFonts w:eastAsia="Times New Roman"/>
          <w:color w:val="0F1115"/>
          <w:sz w:val="24"/>
          <w:szCs w:val="24"/>
          <w:lang w:eastAsia="tr-TR"/>
        </w:rPr>
        <w:t xml:space="preserve">of </w:t>
      </w:r>
      <w:r w:rsidR="00970AE1" w:rsidRPr="005D31CB">
        <w:rPr>
          <w:rFonts w:eastAsia="Times New Roman"/>
          <w:color w:val="0F1115"/>
          <w:sz w:val="24"/>
          <w:szCs w:val="24"/>
          <w:lang w:eastAsia="tr-TR"/>
        </w:rPr>
        <w:t>T</w:t>
      </w:r>
      <w:r w:rsidR="00970AE1" w:rsidRPr="0056561C">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sidRPr="0056561C">
        <w:rPr>
          <w:rFonts w:eastAsia="Times New Roman"/>
          <w:color w:val="0F1115"/>
          <w:sz w:val="24"/>
          <w:szCs w:val="24"/>
          <w:lang w:eastAsia="tr-TR"/>
        </w:rPr>
        <w:t xml:space="preserve">iye </w:t>
      </w:r>
      <w:r w:rsidRPr="005D31CB">
        <w:rPr>
          <w:rFonts w:eastAsia="Times New Roman"/>
          <w:color w:val="0F1115"/>
          <w:sz w:val="24"/>
          <w:szCs w:val="24"/>
          <w:lang w:eastAsia="tr-TR"/>
        </w:rPr>
        <w:t>'s fruit area is concentrated in just three regions (TR3 Aegean, TRC Southeastern Anatolia, TR6 Mediterranean). This indicates a distinct geographical specialization pattern. The most striking development in the table is the</w:t>
      </w:r>
      <w:r w:rsidR="0056561C">
        <w:rPr>
          <w:rFonts w:eastAsia="Times New Roman"/>
          <w:color w:val="0F1115"/>
          <w:sz w:val="24"/>
          <w:szCs w:val="24"/>
          <w:lang w:eastAsia="tr-TR"/>
        </w:rPr>
        <w:t xml:space="preserve"> </w:t>
      </w:r>
      <w:r w:rsidRPr="005D31CB">
        <w:rPr>
          <w:rFonts w:eastAsia="Times New Roman"/>
          <w:color w:val="0F1115"/>
          <w:sz w:val="24"/>
          <w:szCs w:val="24"/>
          <w:lang w:eastAsia="tr-TR"/>
        </w:rPr>
        <w:t xml:space="preserve">20.7% </w:t>
      </w:r>
      <w:r w:rsidRPr="005D31CB">
        <w:rPr>
          <w:rFonts w:eastAsia="Times New Roman"/>
          <w:color w:val="0F1115"/>
          <w:sz w:val="24"/>
          <w:szCs w:val="24"/>
          <w:lang w:eastAsia="tr-TR"/>
        </w:rPr>
        <w:lastRenderedPageBreak/>
        <w:t>growth</w:t>
      </w:r>
      <w:r w:rsidR="0056561C">
        <w:rPr>
          <w:rFonts w:eastAsia="Times New Roman"/>
          <w:color w:val="0F1115"/>
          <w:sz w:val="24"/>
          <w:szCs w:val="24"/>
          <w:lang w:eastAsia="tr-TR"/>
        </w:rPr>
        <w:t xml:space="preserve"> </w:t>
      </w:r>
      <w:r w:rsidRPr="005D31CB">
        <w:rPr>
          <w:rFonts w:eastAsia="Times New Roman"/>
          <w:color w:val="0F1115"/>
          <w:sz w:val="24"/>
          <w:szCs w:val="24"/>
          <w:lang w:eastAsia="tr-TR"/>
        </w:rPr>
        <w:t>experienced in the</w:t>
      </w:r>
      <w:r w:rsidR="0056561C">
        <w:rPr>
          <w:rFonts w:eastAsia="Times New Roman"/>
          <w:color w:val="0F1115"/>
          <w:sz w:val="24"/>
          <w:szCs w:val="24"/>
          <w:lang w:eastAsia="tr-TR"/>
        </w:rPr>
        <w:t xml:space="preserve"> </w:t>
      </w:r>
      <w:r w:rsidRPr="005D31CB">
        <w:rPr>
          <w:rFonts w:eastAsia="Times New Roman"/>
          <w:color w:val="0F1115"/>
          <w:sz w:val="24"/>
          <w:szCs w:val="24"/>
          <w:lang w:eastAsia="tr-TR"/>
        </w:rPr>
        <w:t>TRC (Southeastern Anatolia)</w:t>
      </w:r>
      <w:r w:rsidR="0056561C">
        <w:rPr>
          <w:rFonts w:eastAsia="Times New Roman"/>
          <w:color w:val="0F1115"/>
          <w:sz w:val="24"/>
          <w:szCs w:val="24"/>
          <w:lang w:eastAsia="tr-TR"/>
        </w:rPr>
        <w:t xml:space="preserve"> </w:t>
      </w:r>
      <w:r w:rsidRPr="005D31CB">
        <w:rPr>
          <w:rFonts w:eastAsia="Times New Roman"/>
          <w:color w:val="0F1115"/>
          <w:sz w:val="24"/>
          <w:szCs w:val="24"/>
          <w:lang w:eastAsia="tr-TR"/>
        </w:rPr>
        <w:t>region. The fruit area, which was 6.15 million decares in 2020, reached 7.43 million decares in 2024, surpassing the Mediterranean region and rising to second place. Behind this transformation lie the irrigation opportunities provided under the</w:t>
      </w:r>
      <w:r w:rsidR="0056561C">
        <w:rPr>
          <w:rFonts w:eastAsia="Times New Roman"/>
          <w:color w:val="0F1115"/>
          <w:sz w:val="24"/>
          <w:szCs w:val="24"/>
          <w:lang w:eastAsia="tr-TR"/>
        </w:rPr>
        <w:t xml:space="preserve"> </w:t>
      </w:r>
      <w:r w:rsidRPr="005D31CB">
        <w:rPr>
          <w:rFonts w:eastAsia="Times New Roman"/>
          <w:color w:val="0F1115"/>
          <w:sz w:val="24"/>
          <w:szCs w:val="24"/>
          <w:lang w:eastAsia="tr-TR"/>
        </w:rPr>
        <w:t>Southeastern Anatolia Project (GAP)</w:t>
      </w:r>
      <w:r w:rsidR="0056561C">
        <w:rPr>
          <w:rFonts w:eastAsia="Times New Roman"/>
          <w:color w:val="0F1115"/>
          <w:sz w:val="24"/>
          <w:szCs w:val="24"/>
          <w:lang w:eastAsia="tr-TR"/>
        </w:rPr>
        <w:t xml:space="preserve"> </w:t>
      </w:r>
      <w:r w:rsidRPr="005D31CB">
        <w:rPr>
          <w:rFonts w:eastAsia="Times New Roman"/>
          <w:color w:val="0F1115"/>
          <w:sz w:val="24"/>
          <w:szCs w:val="24"/>
          <w:lang w:eastAsia="tr-TR"/>
        </w:rPr>
        <w:t>and intensive investments in high-value products such as pistachio, olive, and apricot (Benek, 2009). This is a concrete example of how state investments can radically alter a region's comparative advantage.</w:t>
      </w:r>
    </w:p>
    <w:p w14:paraId="40415886" w14:textId="77777777" w:rsidR="009821DF" w:rsidRPr="00452FB4" w:rsidRDefault="009821DF" w:rsidP="00FE042A">
      <w:pPr>
        <w:spacing w:after="0" w:line="240" w:lineRule="auto"/>
        <w:jc w:val="both"/>
        <w:rPr>
          <w:rFonts w:eastAsia="Times New Roman"/>
          <w:color w:val="0F1115"/>
          <w:sz w:val="24"/>
          <w:szCs w:val="24"/>
          <w:lang w:eastAsia="tr-TR"/>
        </w:rPr>
      </w:pPr>
    </w:p>
    <w:p w14:paraId="5C73222E" w14:textId="6F2E573F" w:rsidR="002604E0" w:rsidRPr="00452FB4" w:rsidRDefault="002604E0" w:rsidP="00452FB4">
      <w:pPr>
        <w:spacing w:before="240" w:after="240" w:line="420" w:lineRule="atLeast"/>
        <w:jc w:val="both"/>
        <w:rPr>
          <w:rFonts w:eastAsia="Times New Roman"/>
          <w:color w:val="0F1115"/>
          <w:sz w:val="24"/>
          <w:szCs w:val="24"/>
          <w:lang w:eastAsia="tr-TR"/>
        </w:rPr>
      </w:pPr>
      <w:r w:rsidRPr="00452FB4">
        <w:rPr>
          <w:noProof/>
        </w:rPr>
        <w:drawing>
          <wp:inline distT="0" distB="0" distL="0" distR="0" wp14:anchorId="551B5E38" wp14:editId="62E6ACBA">
            <wp:extent cx="5632450" cy="3251200"/>
            <wp:effectExtent l="0" t="0" r="6350" b="6350"/>
            <wp:docPr id="13" name="Grafik 13">
              <a:extLst xmlns:a="http://schemas.openxmlformats.org/drawingml/2006/main">
                <a:ext uri="{FF2B5EF4-FFF2-40B4-BE49-F238E27FC236}">
                  <a16:creationId xmlns:a16="http://schemas.microsoft.com/office/drawing/2014/main" id="{328DBEBF-85C0-41A0-8021-A650CBDC30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392570" w14:textId="333C7E13" w:rsidR="002604E0" w:rsidRPr="005D31CB" w:rsidRDefault="002604E0" w:rsidP="009821DF">
      <w:pPr>
        <w:spacing w:before="240" w:after="240" w:line="240" w:lineRule="auto"/>
        <w:jc w:val="both"/>
        <w:rPr>
          <w:rFonts w:eastAsia="Times New Roman"/>
          <w:color w:val="0F1115"/>
          <w:sz w:val="24"/>
          <w:szCs w:val="24"/>
          <w:lang w:eastAsia="tr-TR"/>
        </w:rPr>
      </w:pPr>
      <w:r w:rsidRPr="00452FB4">
        <w:rPr>
          <w:b/>
          <w:bCs/>
          <w:noProof/>
          <w:color w:val="0F1115"/>
        </w:rPr>
        <w:lastRenderedPageBreak/>
        <w:drawing>
          <wp:inline distT="0" distB="0" distL="0" distR="0" wp14:anchorId="717156C6" wp14:editId="377C4BFD">
            <wp:extent cx="5657850" cy="386715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41358"/>
                    <a:stretch/>
                  </pic:blipFill>
                  <pic:spPr bwMode="auto">
                    <a:xfrm>
                      <a:off x="0" y="0"/>
                      <a:ext cx="5657993" cy="3867248"/>
                    </a:xfrm>
                    <a:prstGeom prst="rect">
                      <a:avLst/>
                    </a:prstGeom>
                    <a:noFill/>
                    <a:ln>
                      <a:noFill/>
                    </a:ln>
                    <a:extLst>
                      <a:ext uri="{53640926-AAD7-44D8-BBD7-CCE9431645EC}">
                        <a14:shadowObscured xmlns:a14="http://schemas.microsoft.com/office/drawing/2010/main"/>
                      </a:ext>
                    </a:extLst>
                  </pic:spPr>
                </pic:pic>
              </a:graphicData>
            </a:graphic>
          </wp:inline>
        </w:drawing>
      </w:r>
    </w:p>
    <w:p w14:paraId="4AA41E80" w14:textId="77777777" w:rsidR="009821DF" w:rsidRDefault="005D31CB" w:rsidP="009821DF">
      <w:pPr>
        <w:spacing w:before="240" w:after="240" w:line="240" w:lineRule="auto"/>
        <w:jc w:val="both"/>
        <w:rPr>
          <w:rFonts w:eastAsia="Times New Roman"/>
          <w:color w:val="0F1115"/>
          <w:sz w:val="24"/>
          <w:szCs w:val="24"/>
          <w:lang w:eastAsia="tr-TR"/>
        </w:rPr>
      </w:pPr>
      <w:r w:rsidRPr="005D31CB">
        <w:rPr>
          <w:rFonts w:eastAsia="Times New Roman"/>
          <w:b/>
          <w:bCs/>
          <w:color w:val="0F1115"/>
          <w:sz w:val="24"/>
          <w:szCs w:val="24"/>
          <w:lang w:eastAsia="tr-TR"/>
        </w:rPr>
        <w:t xml:space="preserve">Figure 1. Regional Distribution of Fruit Areas in </w:t>
      </w:r>
      <w:r w:rsidR="00970AE1" w:rsidRPr="005D31CB">
        <w:rPr>
          <w:rFonts w:eastAsia="Times New Roman"/>
          <w:color w:val="0F1115"/>
          <w:sz w:val="24"/>
          <w:szCs w:val="24"/>
          <w:lang w:eastAsia="tr-TR"/>
        </w:rPr>
        <w:t>T</w:t>
      </w:r>
      <w:r w:rsidR="00970AE1">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Pr>
          <w:rFonts w:eastAsia="Times New Roman"/>
          <w:color w:val="0F1115"/>
          <w:sz w:val="24"/>
          <w:szCs w:val="24"/>
          <w:lang w:eastAsia="tr-TR"/>
        </w:rPr>
        <w:t>iye</w:t>
      </w:r>
      <w:r w:rsidRPr="005D31CB">
        <w:rPr>
          <w:rFonts w:eastAsia="Times New Roman"/>
          <w:b/>
          <w:bCs/>
          <w:color w:val="0F1115"/>
          <w:sz w:val="24"/>
          <w:szCs w:val="24"/>
          <w:lang w:eastAsia="tr-TR"/>
        </w:rPr>
        <w:t xml:space="preserve"> (2024) and 2020-2024 Growth Rate</w:t>
      </w:r>
      <w:r w:rsidR="009821DF">
        <w:rPr>
          <w:rFonts w:eastAsia="Times New Roman"/>
          <w:color w:val="0F1115"/>
          <w:sz w:val="24"/>
          <w:szCs w:val="24"/>
          <w:lang w:eastAsia="tr-TR"/>
        </w:rPr>
        <w:t xml:space="preserve"> </w:t>
      </w:r>
    </w:p>
    <w:p w14:paraId="5C07358E" w14:textId="660D4BCC"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 xml:space="preserve">Figure 1 presents the geographical distribution of fruit production areas in </w:t>
      </w:r>
      <w:r w:rsidR="00970AE1" w:rsidRPr="005D31CB">
        <w:rPr>
          <w:rFonts w:eastAsia="Times New Roman"/>
          <w:color w:val="0F1115"/>
          <w:sz w:val="24"/>
          <w:szCs w:val="24"/>
          <w:lang w:eastAsia="tr-TR"/>
        </w:rPr>
        <w:t>T</w:t>
      </w:r>
      <w:r w:rsidR="00970AE1" w:rsidRPr="004375CB">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sidRPr="004375CB">
        <w:rPr>
          <w:rFonts w:eastAsia="Times New Roman"/>
          <w:color w:val="0F1115"/>
          <w:sz w:val="24"/>
          <w:szCs w:val="24"/>
          <w:lang w:eastAsia="tr-TR"/>
        </w:rPr>
        <w:t xml:space="preserve">iye </w:t>
      </w:r>
      <w:r w:rsidRPr="005D31CB">
        <w:rPr>
          <w:rFonts w:eastAsia="Times New Roman"/>
          <w:color w:val="0F1115"/>
          <w:sz w:val="24"/>
          <w:szCs w:val="24"/>
          <w:lang w:eastAsia="tr-TR"/>
        </w:rPr>
        <w:t xml:space="preserve">in 2024 alongside the regional growth rates for the 2020-2024 period. The data clearly demonstrate that specialization and growth in the sector are not geographically uniform. </w:t>
      </w:r>
      <w:commentRangeStart w:id="9"/>
      <w:r w:rsidRPr="005D31CB">
        <w:rPr>
          <w:rFonts w:eastAsia="Times New Roman"/>
          <w:color w:val="0F1115"/>
          <w:sz w:val="24"/>
          <w:szCs w:val="24"/>
          <w:lang w:eastAsia="tr-TR"/>
        </w:rPr>
        <w:t>The</w:t>
      </w:r>
      <w:r w:rsidR="004375CB">
        <w:rPr>
          <w:rFonts w:eastAsia="Times New Roman"/>
          <w:color w:val="0F1115"/>
          <w:sz w:val="24"/>
          <w:szCs w:val="24"/>
          <w:lang w:eastAsia="tr-TR"/>
        </w:rPr>
        <w:t xml:space="preserve"> </w:t>
      </w:r>
      <w:r w:rsidRPr="005D31CB">
        <w:rPr>
          <w:rFonts w:eastAsia="Times New Roman"/>
          <w:color w:val="0F1115"/>
          <w:sz w:val="24"/>
          <w:szCs w:val="24"/>
          <w:lang w:eastAsia="tr-TR"/>
        </w:rPr>
        <w:t>TRC (Southeastern Anatolia) region stands out as the</w:t>
      </w:r>
      <w:r w:rsidR="00352139">
        <w:rPr>
          <w:rFonts w:eastAsia="Times New Roman"/>
          <w:color w:val="0F1115"/>
          <w:sz w:val="24"/>
          <w:szCs w:val="24"/>
          <w:lang w:eastAsia="tr-TR"/>
        </w:rPr>
        <w:t xml:space="preserve"> </w:t>
      </w:r>
      <w:r w:rsidRPr="005D31CB">
        <w:rPr>
          <w:rFonts w:eastAsia="Times New Roman"/>
          <w:color w:val="0F1115"/>
          <w:sz w:val="24"/>
          <w:szCs w:val="24"/>
          <w:lang w:eastAsia="tr-TR"/>
        </w:rPr>
        <w:t xml:space="preserve">most dynamic expansion hub with an annual growth rate of 20.7%. </w:t>
      </w:r>
      <w:commentRangeEnd w:id="9"/>
      <w:r w:rsidR="00D24B75">
        <w:rPr>
          <w:rStyle w:val="CommentReference"/>
        </w:rPr>
        <w:commentReference w:id="9"/>
      </w:r>
      <w:r w:rsidRPr="005D31CB">
        <w:rPr>
          <w:rFonts w:eastAsia="Times New Roman"/>
          <w:color w:val="0F1115"/>
          <w:sz w:val="24"/>
          <w:szCs w:val="24"/>
          <w:lang w:eastAsia="tr-TR"/>
        </w:rPr>
        <w:t>This extraordinary growth is a direct result of irrigation investments under the Southeastern Anatolia Project (GAP) and investments in high-income products such as pistachio and olive. The traditional fruit production centers,</w:t>
      </w:r>
      <w:r w:rsidR="004375CB">
        <w:rPr>
          <w:rFonts w:eastAsia="Times New Roman"/>
          <w:color w:val="0F1115"/>
          <w:sz w:val="24"/>
          <w:szCs w:val="24"/>
          <w:lang w:eastAsia="tr-TR"/>
        </w:rPr>
        <w:t xml:space="preserve"> </w:t>
      </w:r>
      <w:r w:rsidRPr="005D31CB">
        <w:rPr>
          <w:rFonts w:eastAsia="Times New Roman"/>
          <w:color w:val="0F1115"/>
          <w:sz w:val="24"/>
          <w:szCs w:val="24"/>
          <w:lang w:eastAsia="tr-TR"/>
        </w:rPr>
        <w:t>TR3 (Aegean, 2.1%) and TR6 (Mediterranean, 7.9%), with relatively lower growth rates, can be interpreted as an indicator of already possessing an intensive production infrastructure. These findings reveal how state-supported infrastructure investments</w:t>
      </w:r>
      <w:r w:rsidR="004375CB">
        <w:rPr>
          <w:rFonts w:eastAsia="Times New Roman"/>
          <w:color w:val="0F1115"/>
          <w:sz w:val="24"/>
          <w:szCs w:val="24"/>
          <w:lang w:eastAsia="tr-TR"/>
        </w:rPr>
        <w:t xml:space="preserve"> </w:t>
      </w:r>
      <w:r w:rsidRPr="005D31CB">
        <w:rPr>
          <w:rFonts w:eastAsia="Times New Roman"/>
          <w:color w:val="0F1115"/>
          <w:sz w:val="24"/>
          <w:szCs w:val="24"/>
          <w:lang w:eastAsia="tr-TR"/>
        </w:rPr>
        <w:t xml:space="preserve">can rapidly transform regional comparative advantages in </w:t>
      </w:r>
      <w:r w:rsidR="00970AE1" w:rsidRPr="005D31CB">
        <w:rPr>
          <w:rFonts w:eastAsia="Times New Roman"/>
          <w:color w:val="0F1115"/>
          <w:sz w:val="24"/>
          <w:szCs w:val="24"/>
          <w:lang w:eastAsia="tr-TR"/>
        </w:rPr>
        <w:t>T</w:t>
      </w:r>
      <w:r w:rsidR="00970AE1" w:rsidRPr="004375CB">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sidRPr="004375CB">
        <w:rPr>
          <w:rFonts w:eastAsia="Times New Roman"/>
          <w:color w:val="0F1115"/>
          <w:sz w:val="24"/>
          <w:szCs w:val="24"/>
          <w:lang w:eastAsia="tr-TR"/>
        </w:rPr>
        <w:t xml:space="preserve">iye </w:t>
      </w:r>
      <w:r w:rsidRPr="005D31CB">
        <w:rPr>
          <w:rFonts w:eastAsia="Times New Roman"/>
          <w:color w:val="0F1115"/>
          <w:sz w:val="24"/>
          <w:szCs w:val="24"/>
          <w:lang w:eastAsia="tr-TR"/>
        </w:rPr>
        <w:t>'s fruit-growing geography and highlight the strategic importance of sustainable water management for the sector's growth. The concentration of growth in a region with high water stress points to the critical role of efficient irrigation technologies and basin-based planning for the future sustainability of production.</w:t>
      </w:r>
    </w:p>
    <w:p w14:paraId="7AEC038A" w14:textId="77777777" w:rsidR="004375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Vegetable Production Corridors: The Balance of Domestic Market and Export</w:t>
      </w:r>
    </w:p>
    <w:p w14:paraId="1B9E7070" w14:textId="3E2BCDB4" w:rsid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lastRenderedPageBreak/>
        <w:t>Vegetable production exhibits less geographical concentration compared to fruit; as many vegetable species have broader climate tolerance, and</w:t>
      </w:r>
      <w:r w:rsidR="004375CB">
        <w:rPr>
          <w:rFonts w:eastAsia="Times New Roman"/>
          <w:color w:val="0F1115"/>
          <w:sz w:val="24"/>
          <w:szCs w:val="24"/>
          <w:lang w:eastAsia="tr-TR"/>
        </w:rPr>
        <w:t xml:space="preserve"> </w:t>
      </w:r>
      <w:r w:rsidRPr="005D31CB">
        <w:rPr>
          <w:rFonts w:eastAsia="Times New Roman"/>
          <w:color w:val="0F1115"/>
          <w:sz w:val="24"/>
          <w:szCs w:val="24"/>
          <w:lang w:eastAsia="tr-TR"/>
        </w:rPr>
        <w:t>market proximity (logistics)</w:t>
      </w:r>
      <w:r w:rsidR="004375CB">
        <w:rPr>
          <w:rFonts w:eastAsia="Times New Roman"/>
          <w:color w:val="0F1115"/>
          <w:sz w:val="24"/>
          <w:szCs w:val="24"/>
          <w:lang w:eastAsia="tr-TR"/>
        </w:rPr>
        <w:t xml:space="preserve"> </w:t>
      </w:r>
      <w:r w:rsidRPr="005D31CB">
        <w:rPr>
          <w:rFonts w:eastAsia="Times New Roman"/>
          <w:color w:val="0F1115"/>
          <w:sz w:val="24"/>
          <w:szCs w:val="24"/>
          <w:lang w:eastAsia="tr-TR"/>
        </w:rPr>
        <w:t>plays a much more critical role in determining production location due to fresh consumption. Nevertheless, distinct clusters are observed, especially in regions with export-oriented activities and/or intensive greenhouse cultivation.</w:t>
      </w:r>
    </w:p>
    <w:p w14:paraId="317F45A3" w14:textId="77777777" w:rsidR="00CF6D7E" w:rsidRPr="005D31CB" w:rsidRDefault="00CF6D7E" w:rsidP="00452FB4">
      <w:pPr>
        <w:spacing w:before="240" w:after="240" w:line="420" w:lineRule="atLeast"/>
        <w:jc w:val="both"/>
        <w:rPr>
          <w:rFonts w:eastAsia="Times New Roman"/>
          <w:color w:val="0F1115"/>
          <w:sz w:val="24"/>
          <w:szCs w:val="24"/>
          <w:lang w:eastAsia="tr-TR"/>
        </w:rPr>
      </w:pPr>
    </w:p>
    <w:p w14:paraId="284C4916"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Table 2. Prominent Regions in Vegetable Area in 2024</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77"/>
        <w:gridCol w:w="1739"/>
        <w:gridCol w:w="2135"/>
        <w:gridCol w:w="2448"/>
        <w:gridCol w:w="1496"/>
      </w:tblGrid>
      <w:tr w:rsidR="005D31CB" w:rsidRPr="005D31CB" w14:paraId="7E4413D6" w14:textId="77777777" w:rsidTr="00CF6D7E">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119CA703"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Rank</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1BFE5A6"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Region Code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9D9D6AF"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Region Name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50DFF6C"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Vegetable Area (da)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50C91D8"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Share (%)</w:t>
            </w:r>
          </w:p>
        </w:tc>
      </w:tr>
      <w:tr w:rsidR="005D31CB" w:rsidRPr="005D31CB" w14:paraId="58C6943F" w14:textId="77777777" w:rsidTr="00CF6D7E">
        <w:tc>
          <w:tcPr>
            <w:tcW w:w="0" w:type="auto"/>
            <w:tcBorders>
              <w:top w:val="single" w:sz="4" w:space="0" w:color="auto"/>
            </w:tcBorders>
            <w:tcMar>
              <w:top w:w="150" w:type="dxa"/>
              <w:left w:w="0" w:type="dxa"/>
              <w:bottom w:w="150" w:type="dxa"/>
              <w:right w:w="240" w:type="dxa"/>
            </w:tcMar>
            <w:vAlign w:val="center"/>
            <w:hideMark/>
          </w:tcPr>
          <w:p w14:paraId="14B9E910"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sz w:val="23"/>
                <w:szCs w:val="23"/>
                <w:lang w:eastAsia="tr-TR"/>
              </w:rPr>
              <w:t>1</w:t>
            </w:r>
          </w:p>
        </w:tc>
        <w:tc>
          <w:tcPr>
            <w:tcW w:w="0" w:type="auto"/>
            <w:tcBorders>
              <w:top w:val="single" w:sz="4" w:space="0" w:color="auto"/>
            </w:tcBorders>
            <w:tcMar>
              <w:top w:w="150" w:type="dxa"/>
              <w:left w:w="240" w:type="dxa"/>
              <w:bottom w:w="150" w:type="dxa"/>
              <w:right w:w="240" w:type="dxa"/>
            </w:tcMar>
            <w:vAlign w:val="center"/>
            <w:hideMark/>
          </w:tcPr>
          <w:p w14:paraId="3B2EC914"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TR3</w:t>
            </w:r>
          </w:p>
        </w:tc>
        <w:tc>
          <w:tcPr>
            <w:tcW w:w="0" w:type="auto"/>
            <w:tcBorders>
              <w:top w:val="single" w:sz="4" w:space="0" w:color="auto"/>
            </w:tcBorders>
            <w:tcMar>
              <w:top w:w="150" w:type="dxa"/>
              <w:left w:w="240" w:type="dxa"/>
              <w:bottom w:w="150" w:type="dxa"/>
              <w:right w:w="240" w:type="dxa"/>
            </w:tcMar>
            <w:vAlign w:val="center"/>
            <w:hideMark/>
          </w:tcPr>
          <w:p w14:paraId="0CE4DBEF"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Aegean</w:t>
            </w:r>
          </w:p>
        </w:tc>
        <w:tc>
          <w:tcPr>
            <w:tcW w:w="0" w:type="auto"/>
            <w:tcBorders>
              <w:top w:val="single" w:sz="4" w:space="0" w:color="auto"/>
            </w:tcBorders>
            <w:tcMar>
              <w:top w:w="150" w:type="dxa"/>
              <w:left w:w="240" w:type="dxa"/>
              <w:bottom w:w="150" w:type="dxa"/>
              <w:right w:w="240" w:type="dxa"/>
            </w:tcMar>
            <w:vAlign w:val="center"/>
            <w:hideMark/>
          </w:tcPr>
          <w:p w14:paraId="42D6273B"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1,175,632</w:t>
            </w:r>
          </w:p>
        </w:tc>
        <w:tc>
          <w:tcPr>
            <w:tcW w:w="0" w:type="auto"/>
            <w:tcBorders>
              <w:top w:val="single" w:sz="4" w:space="0" w:color="auto"/>
            </w:tcBorders>
            <w:tcMar>
              <w:top w:w="150" w:type="dxa"/>
              <w:left w:w="240" w:type="dxa"/>
              <w:bottom w:w="150" w:type="dxa"/>
              <w:right w:w="0" w:type="dxa"/>
            </w:tcMar>
            <w:vAlign w:val="center"/>
            <w:hideMark/>
          </w:tcPr>
          <w:p w14:paraId="2CABE03F"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15.9</w:t>
            </w:r>
          </w:p>
        </w:tc>
      </w:tr>
      <w:tr w:rsidR="005D31CB" w:rsidRPr="005D31CB" w14:paraId="7041A612" w14:textId="77777777" w:rsidTr="00CF6D7E">
        <w:tc>
          <w:tcPr>
            <w:tcW w:w="0" w:type="auto"/>
            <w:tcMar>
              <w:top w:w="150" w:type="dxa"/>
              <w:left w:w="0" w:type="dxa"/>
              <w:bottom w:w="150" w:type="dxa"/>
              <w:right w:w="240" w:type="dxa"/>
            </w:tcMar>
            <w:vAlign w:val="center"/>
            <w:hideMark/>
          </w:tcPr>
          <w:p w14:paraId="55321A0A"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sz w:val="23"/>
                <w:szCs w:val="23"/>
                <w:lang w:eastAsia="tr-TR"/>
              </w:rPr>
              <w:t>2</w:t>
            </w:r>
          </w:p>
        </w:tc>
        <w:tc>
          <w:tcPr>
            <w:tcW w:w="0" w:type="auto"/>
            <w:tcMar>
              <w:top w:w="150" w:type="dxa"/>
              <w:left w:w="240" w:type="dxa"/>
              <w:bottom w:w="150" w:type="dxa"/>
              <w:right w:w="240" w:type="dxa"/>
            </w:tcMar>
            <w:vAlign w:val="center"/>
            <w:hideMark/>
          </w:tcPr>
          <w:p w14:paraId="7E1DD3B6"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TR7</w:t>
            </w:r>
          </w:p>
        </w:tc>
        <w:tc>
          <w:tcPr>
            <w:tcW w:w="0" w:type="auto"/>
            <w:tcMar>
              <w:top w:w="150" w:type="dxa"/>
              <w:left w:w="240" w:type="dxa"/>
              <w:bottom w:w="150" w:type="dxa"/>
              <w:right w:w="240" w:type="dxa"/>
            </w:tcMar>
            <w:vAlign w:val="center"/>
            <w:hideMark/>
          </w:tcPr>
          <w:p w14:paraId="594FE467"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Central Anatolia</w:t>
            </w:r>
          </w:p>
        </w:tc>
        <w:tc>
          <w:tcPr>
            <w:tcW w:w="0" w:type="auto"/>
            <w:tcMar>
              <w:top w:w="150" w:type="dxa"/>
              <w:left w:w="240" w:type="dxa"/>
              <w:bottom w:w="150" w:type="dxa"/>
              <w:right w:w="240" w:type="dxa"/>
            </w:tcMar>
            <w:vAlign w:val="center"/>
            <w:hideMark/>
          </w:tcPr>
          <w:p w14:paraId="68FA23D9"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918,247</w:t>
            </w:r>
          </w:p>
        </w:tc>
        <w:tc>
          <w:tcPr>
            <w:tcW w:w="0" w:type="auto"/>
            <w:tcMar>
              <w:top w:w="150" w:type="dxa"/>
              <w:left w:w="240" w:type="dxa"/>
              <w:bottom w:w="150" w:type="dxa"/>
              <w:right w:w="0" w:type="dxa"/>
            </w:tcMar>
            <w:vAlign w:val="center"/>
            <w:hideMark/>
          </w:tcPr>
          <w:p w14:paraId="5F3E3344"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12.4</w:t>
            </w:r>
          </w:p>
        </w:tc>
      </w:tr>
      <w:tr w:rsidR="005D31CB" w:rsidRPr="005D31CB" w14:paraId="05E7D925" w14:textId="77777777" w:rsidTr="00CF6D7E">
        <w:tc>
          <w:tcPr>
            <w:tcW w:w="0" w:type="auto"/>
            <w:tcMar>
              <w:top w:w="150" w:type="dxa"/>
              <w:left w:w="0" w:type="dxa"/>
              <w:bottom w:w="150" w:type="dxa"/>
              <w:right w:w="240" w:type="dxa"/>
            </w:tcMar>
            <w:vAlign w:val="center"/>
            <w:hideMark/>
          </w:tcPr>
          <w:p w14:paraId="218CEFBC"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sz w:val="23"/>
                <w:szCs w:val="23"/>
                <w:lang w:eastAsia="tr-TR"/>
              </w:rPr>
              <w:t>3</w:t>
            </w:r>
          </w:p>
        </w:tc>
        <w:tc>
          <w:tcPr>
            <w:tcW w:w="0" w:type="auto"/>
            <w:tcMar>
              <w:top w:w="150" w:type="dxa"/>
              <w:left w:w="240" w:type="dxa"/>
              <w:bottom w:w="150" w:type="dxa"/>
              <w:right w:w="240" w:type="dxa"/>
            </w:tcMar>
            <w:vAlign w:val="center"/>
            <w:hideMark/>
          </w:tcPr>
          <w:p w14:paraId="36D5C80E"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TR6</w:t>
            </w:r>
          </w:p>
        </w:tc>
        <w:tc>
          <w:tcPr>
            <w:tcW w:w="0" w:type="auto"/>
            <w:tcMar>
              <w:top w:w="150" w:type="dxa"/>
              <w:left w:w="240" w:type="dxa"/>
              <w:bottom w:w="150" w:type="dxa"/>
              <w:right w:w="240" w:type="dxa"/>
            </w:tcMar>
            <w:vAlign w:val="center"/>
            <w:hideMark/>
          </w:tcPr>
          <w:p w14:paraId="426882E0"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Mediterranean</w:t>
            </w:r>
          </w:p>
        </w:tc>
        <w:tc>
          <w:tcPr>
            <w:tcW w:w="0" w:type="auto"/>
            <w:tcMar>
              <w:top w:w="150" w:type="dxa"/>
              <w:left w:w="240" w:type="dxa"/>
              <w:bottom w:w="150" w:type="dxa"/>
              <w:right w:w="240" w:type="dxa"/>
            </w:tcMar>
            <w:vAlign w:val="center"/>
            <w:hideMark/>
          </w:tcPr>
          <w:p w14:paraId="3E719149"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914,247</w:t>
            </w:r>
          </w:p>
        </w:tc>
        <w:tc>
          <w:tcPr>
            <w:tcW w:w="0" w:type="auto"/>
            <w:tcMar>
              <w:top w:w="150" w:type="dxa"/>
              <w:left w:w="240" w:type="dxa"/>
              <w:bottom w:w="150" w:type="dxa"/>
              <w:right w:w="0" w:type="dxa"/>
            </w:tcMar>
            <w:vAlign w:val="center"/>
            <w:hideMark/>
          </w:tcPr>
          <w:p w14:paraId="25DF630E"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12.3</w:t>
            </w:r>
          </w:p>
        </w:tc>
      </w:tr>
    </w:tbl>
    <w:p w14:paraId="2A8217BD"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i/>
          <w:iCs/>
          <w:color w:val="0F1115"/>
          <w:sz w:val="24"/>
          <w:szCs w:val="24"/>
          <w:lang w:eastAsia="tr-TR"/>
        </w:rPr>
        <w:t>Source: TurkStat Crop Production Statistics (2024)</w:t>
      </w:r>
    </w:p>
    <w:p w14:paraId="3078DDED" w14:textId="67118F68" w:rsidR="00AE5DA9"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The most noteworthy development here is the rise of</w:t>
      </w:r>
      <w:r w:rsidR="00AE5DA9" w:rsidRPr="00AE5DA9">
        <w:rPr>
          <w:rFonts w:eastAsia="Times New Roman"/>
          <w:color w:val="0F1115"/>
          <w:sz w:val="24"/>
          <w:szCs w:val="24"/>
          <w:lang w:eastAsia="tr-TR"/>
        </w:rPr>
        <w:t xml:space="preserve"> </w:t>
      </w:r>
      <w:r w:rsidRPr="005D31CB">
        <w:rPr>
          <w:rFonts w:eastAsia="Times New Roman"/>
          <w:color w:val="0F1115"/>
          <w:sz w:val="24"/>
          <w:szCs w:val="24"/>
          <w:lang w:eastAsia="tr-TR"/>
        </w:rPr>
        <w:t>TR7 (Central Anatolia), traditionally known as a grain and fallow region, to</w:t>
      </w:r>
      <w:r w:rsidR="00AE5DA9" w:rsidRPr="00AE5DA9">
        <w:rPr>
          <w:rFonts w:eastAsia="Times New Roman"/>
          <w:color w:val="0F1115"/>
          <w:sz w:val="24"/>
          <w:szCs w:val="24"/>
          <w:lang w:eastAsia="tr-TR"/>
        </w:rPr>
        <w:t xml:space="preserve"> </w:t>
      </w:r>
      <w:r w:rsidRPr="005D31CB">
        <w:rPr>
          <w:rFonts w:eastAsia="Times New Roman"/>
          <w:color w:val="0F1115"/>
          <w:sz w:val="24"/>
          <w:szCs w:val="24"/>
          <w:lang w:eastAsia="tr-TR"/>
        </w:rPr>
        <w:t>second place in vegetable area, overtaking the traditional vegetable base TR6 (Mediterranean) region. Behind this transformation lie the spread of modern irrigation projects in areas like the Konya Plain, investments in greenhouse cultivation, and domestic market demand from major cities (Ankara, Konya, Kayseri). This situation demonstrates that a region's agricultural profile is not static and can be transformed by infrastructure investments and market dynamics.</w:t>
      </w:r>
    </w:p>
    <w:p w14:paraId="27B7683E" w14:textId="77777777" w:rsidR="00F30801" w:rsidRPr="00452FB4" w:rsidRDefault="00F30801" w:rsidP="00452FB4">
      <w:pPr>
        <w:spacing w:before="240" w:after="240" w:line="420" w:lineRule="atLeast"/>
        <w:jc w:val="both"/>
        <w:rPr>
          <w:rFonts w:eastAsia="Times New Roman"/>
          <w:color w:val="0F1115"/>
          <w:sz w:val="24"/>
          <w:szCs w:val="24"/>
          <w:lang w:eastAsia="tr-TR"/>
        </w:rPr>
      </w:pPr>
    </w:p>
    <w:p w14:paraId="2F68D483" w14:textId="63AD7CA8" w:rsidR="00433C33" w:rsidRPr="005D31CB" w:rsidRDefault="00433C33" w:rsidP="00F30801">
      <w:pPr>
        <w:spacing w:before="240" w:after="240" w:line="420" w:lineRule="atLeast"/>
        <w:jc w:val="center"/>
        <w:rPr>
          <w:rFonts w:eastAsia="Times New Roman"/>
          <w:color w:val="0F1115"/>
          <w:sz w:val="24"/>
          <w:szCs w:val="24"/>
          <w:lang w:eastAsia="tr-TR"/>
        </w:rPr>
      </w:pPr>
      <w:r w:rsidRPr="00452FB4">
        <w:rPr>
          <w:noProof/>
        </w:rPr>
        <w:lastRenderedPageBreak/>
        <w:drawing>
          <wp:inline distT="0" distB="0" distL="0" distR="0" wp14:anchorId="1194156C" wp14:editId="757B5AD7">
            <wp:extent cx="5245100" cy="2425700"/>
            <wp:effectExtent l="0" t="0" r="12700" b="12700"/>
            <wp:docPr id="15" name="Grafik 15">
              <a:extLst xmlns:a="http://schemas.openxmlformats.org/drawingml/2006/main">
                <a:ext uri="{FF2B5EF4-FFF2-40B4-BE49-F238E27FC236}">
                  <a16:creationId xmlns:a16="http://schemas.microsoft.com/office/drawing/2014/main" id="{94FB38AE-700B-442F-A5F6-FC790819A9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44FE0F" w14:textId="0978336E" w:rsidR="00AE5DA9"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Figure 2. Leading Regions in Vegetable Area, 2024</w:t>
      </w:r>
      <w:r w:rsidR="00AE5DA9">
        <w:rPr>
          <w:rFonts w:eastAsia="Times New Roman"/>
          <w:color w:val="0F1115"/>
          <w:sz w:val="24"/>
          <w:szCs w:val="24"/>
          <w:lang w:eastAsia="tr-TR"/>
        </w:rPr>
        <w:t xml:space="preserve"> </w:t>
      </w:r>
    </w:p>
    <w:p w14:paraId="6359BE01" w14:textId="77777777" w:rsidR="00C21050" w:rsidRPr="00F30801" w:rsidRDefault="00C21050" w:rsidP="00452FB4">
      <w:pPr>
        <w:spacing w:before="240" w:after="240" w:line="420" w:lineRule="atLeast"/>
        <w:jc w:val="both"/>
        <w:rPr>
          <w:rFonts w:eastAsia="Times New Roman"/>
          <w:color w:val="0F1115"/>
          <w:sz w:val="24"/>
          <w:szCs w:val="24"/>
          <w:lang w:eastAsia="tr-TR"/>
        </w:rPr>
      </w:pPr>
    </w:p>
    <w:p w14:paraId="2A06C7D0" w14:textId="22840F78"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Table 3. Vegetable Area (da) for Years 2020-2024</w:t>
      </w:r>
    </w:p>
    <w:tbl>
      <w:tblPr>
        <w:tblW w:w="8931"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68"/>
        <w:gridCol w:w="1283"/>
        <w:gridCol w:w="1280"/>
        <w:gridCol w:w="1280"/>
        <w:gridCol w:w="1280"/>
        <w:gridCol w:w="1040"/>
      </w:tblGrid>
      <w:tr w:rsidR="00F30801" w:rsidRPr="005D31CB" w14:paraId="71E4A2DE" w14:textId="77777777" w:rsidTr="00F30801">
        <w:trPr>
          <w:tblHeader/>
        </w:trPr>
        <w:tc>
          <w:tcPr>
            <w:tcW w:w="2977" w:type="dxa"/>
            <w:tcBorders>
              <w:top w:val="single" w:sz="4" w:space="0" w:color="auto"/>
              <w:bottom w:val="single" w:sz="4" w:space="0" w:color="auto"/>
            </w:tcBorders>
            <w:tcMar>
              <w:top w:w="150" w:type="dxa"/>
              <w:left w:w="0" w:type="dxa"/>
              <w:bottom w:w="150" w:type="dxa"/>
              <w:right w:w="240" w:type="dxa"/>
            </w:tcMar>
            <w:vAlign w:val="center"/>
            <w:hideMark/>
          </w:tcPr>
          <w:p w14:paraId="612C3188" w14:textId="77777777" w:rsidR="005D31CB" w:rsidRPr="005D31CB" w:rsidRDefault="005D31CB" w:rsidP="00F30801">
            <w:pPr>
              <w:spacing w:after="0" w:line="240" w:lineRule="auto"/>
              <w:jc w:val="both"/>
              <w:rPr>
                <w:rFonts w:eastAsia="Times New Roman"/>
                <w:b/>
                <w:bCs/>
                <w:sz w:val="20"/>
                <w:szCs w:val="20"/>
                <w:lang w:eastAsia="tr-TR"/>
              </w:rPr>
            </w:pPr>
            <w:r w:rsidRPr="005D31CB">
              <w:rPr>
                <w:rFonts w:eastAsia="Times New Roman"/>
                <w:b/>
                <w:bCs/>
                <w:sz w:val="20"/>
                <w:szCs w:val="20"/>
                <w:lang w:eastAsia="tr-TR"/>
              </w:rPr>
              <w:t>Region / Year</w:t>
            </w:r>
          </w:p>
        </w:tc>
        <w:tc>
          <w:tcPr>
            <w:tcW w:w="1284" w:type="dxa"/>
            <w:tcBorders>
              <w:top w:val="single" w:sz="4" w:space="0" w:color="auto"/>
              <w:bottom w:val="single" w:sz="4" w:space="0" w:color="auto"/>
            </w:tcBorders>
            <w:tcMar>
              <w:top w:w="150" w:type="dxa"/>
              <w:left w:w="240" w:type="dxa"/>
              <w:bottom w:w="150" w:type="dxa"/>
              <w:right w:w="240" w:type="dxa"/>
            </w:tcMar>
            <w:vAlign w:val="center"/>
            <w:hideMark/>
          </w:tcPr>
          <w:p w14:paraId="7775065E" w14:textId="77777777" w:rsidR="005D31CB" w:rsidRPr="005D31CB" w:rsidRDefault="005D31CB" w:rsidP="00F30801">
            <w:pPr>
              <w:spacing w:after="0" w:line="240" w:lineRule="auto"/>
              <w:jc w:val="both"/>
              <w:rPr>
                <w:rFonts w:eastAsia="Times New Roman"/>
                <w:b/>
                <w:bCs/>
                <w:sz w:val="20"/>
                <w:szCs w:val="20"/>
                <w:lang w:eastAsia="tr-TR"/>
              </w:rPr>
            </w:pPr>
            <w:r w:rsidRPr="005D31CB">
              <w:rPr>
                <w:rFonts w:eastAsia="Times New Roman"/>
                <w:b/>
                <w:bCs/>
                <w:sz w:val="20"/>
                <w:szCs w:val="20"/>
                <w:lang w:eastAsia="tr-TR"/>
              </w:rPr>
              <w:t>2020</w:t>
            </w:r>
          </w:p>
        </w:tc>
        <w:tc>
          <w:tcPr>
            <w:tcW w:w="1280" w:type="dxa"/>
            <w:tcBorders>
              <w:top w:val="single" w:sz="4" w:space="0" w:color="auto"/>
              <w:bottom w:val="single" w:sz="4" w:space="0" w:color="auto"/>
            </w:tcBorders>
            <w:tcMar>
              <w:top w:w="150" w:type="dxa"/>
              <w:left w:w="240" w:type="dxa"/>
              <w:bottom w:w="150" w:type="dxa"/>
              <w:right w:w="240" w:type="dxa"/>
            </w:tcMar>
            <w:vAlign w:val="center"/>
            <w:hideMark/>
          </w:tcPr>
          <w:p w14:paraId="5F824DCA" w14:textId="77777777" w:rsidR="005D31CB" w:rsidRPr="005D31CB" w:rsidRDefault="005D31CB" w:rsidP="00F30801">
            <w:pPr>
              <w:spacing w:after="0" w:line="240" w:lineRule="auto"/>
              <w:jc w:val="both"/>
              <w:rPr>
                <w:rFonts w:eastAsia="Times New Roman"/>
                <w:b/>
                <w:bCs/>
                <w:sz w:val="20"/>
                <w:szCs w:val="20"/>
                <w:lang w:eastAsia="tr-TR"/>
              </w:rPr>
            </w:pPr>
            <w:r w:rsidRPr="005D31CB">
              <w:rPr>
                <w:rFonts w:eastAsia="Times New Roman"/>
                <w:b/>
                <w:bCs/>
                <w:sz w:val="20"/>
                <w:szCs w:val="20"/>
                <w:lang w:eastAsia="tr-TR"/>
              </w:rPr>
              <w:t>2021</w:t>
            </w:r>
          </w:p>
        </w:tc>
        <w:tc>
          <w:tcPr>
            <w:tcW w:w="1280" w:type="dxa"/>
            <w:tcBorders>
              <w:top w:val="single" w:sz="4" w:space="0" w:color="auto"/>
              <w:bottom w:val="single" w:sz="4" w:space="0" w:color="auto"/>
            </w:tcBorders>
            <w:tcMar>
              <w:top w:w="150" w:type="dxa"/>
              <w:left w:w="240" w:type="dxa"/>
              <w:bottom w:w="150" w:type="dxa"/>
              <w:right w:w="240" w:type="dxa"/>
            </w:tcMar>
            <w:vAlign w:val="center"/>
            <w:hideMark/>
          </w:tcPr>
          <w:p w14:paraId="24EF3226" w14:textId="77777777" w:rsidR="005D31CB" w:rsidRPr="005D31CB" w:rsidRDefault="005D31CB" w:rsidP="00F30801">
            <w:pPr>
              <w:spacing w:after="0" w:line="240" w:lineRule="auto"/>
              <w:jc w:val="both"/>
              <w:rPr>
                <w:rFonts w:eastAsia="Times New Roman"/>
                <w:b/>
                <w:bCs/>
                <w:sz w:val="20"/>
                <w:szCs w:val="20"/>
                <w:lang w:eastAsia="tr-TR"/>
              </w:rPr>
            </w:pPr>
            <w:r w:rsidRPr="005D31CB">
              <w:rPr>
                <w:rFonts w:eastAsia="Times New Roman"/>
                <w:b/>
                <w:bCs/>
                <w:sz w:val="20"/>
                <w:szCs w:val="20"/>
                <w:lang w:eastAsia="tr-TR"/>
              </w:rPr>
              <w:t>2022</w:t>
            </w:r>
          </w:p>
        </w:tc>
        <w:tc>
          <w:tcPr>
            <w:tcW w:w="1280" w:type="dxa"/>
            <w:tcBorders>
              <w:top w:val="single" w:sz="4" w:space="0" w:color="auto"/>
              <w:bottom w:val="single" w:sz="4" w:space="0" w:color="auto"/>
            </w:tcBorders>
            <w:tcMar>
              <w:top w:w="150" w:type="dxa"/>
              <w:left w:w="240" w:type="dxa"/>
              <w:bottom w:w="150" w:type="dxa"/>
              <w:right w:w="240" w:type="dxa"/>
            </w:tcMar>
            <w:vAlign w:val="center"/>
            <w:hideMark/>
          </w:tcPr>
          <w:p w14:paraId="0763A7A3" w14:textId="77777777" w:rsidR="005D31CB" w:rsidRPr="005D31CB" w:rsidRDefault="005D31CB" w:rsidP="00F30801">
            <w:pPr>
              <w:spacing w:after="0" w:line="240" w:lineRule="auto"/>
              <w:jc w:val="both"/>
              <w:rPr>
                <w:rFonts w:eastAsia="Times New Roman"/>
                <w:b/>
                <w:bCs/>
                <w:sz w:val="20"/>
                <w:szCs w:val="20"/>
                <w:lang w:eastAsia="tr-TR"/>
              </w:rPr>
            </w:pPr>
            <w:r w:rsidRPr="005D31CB">
              <w:rPr>
                <w:rFonts w:eastAsia="Times New Roman"/>
                <w:b/>
                <w:bCs/>
                <w:sz w:val="20"/>
                <w:szCs w:val="20"/>
                <w:lang w:eastAsia="tr-TR"/>
              </w:rPr>
              <w:t>2023</w:t>
            </w:r>
          </w:p>
        </w:tc>
        <w:tc>
          <w:tcPr>
            <w:tcW w:w="830" w:type="dxa"/>
            <w:tcBorders>
              <w:top w:val="single" w:sz="4" w:space="0" w:color="auto"/>
              <w:bottom w:val="single" w:sz="4" w:space="0" w:color="auto"/>
            </w:tcBorders>
            <w:tcMar>
              <w:top w:w="150" w:type="dxa"/>
              <w:left w:w="240" w:type="dxa"/>
              <w:bottom w:w="150" w:type="dxa"/>
              <w:right w:w="240" w:type="dxa"/>
            </w:tcMar>
            <w:vAlign w:val="center"/>
            <w:hideMark/>
          </w:tcPr>
          <w:p w14:paraId="1522C4CD" w14:textId="77777777" w:rsidR="005D31CB" w:rsidRPr="005D31CB" w:rsidRDefault="005D31CB" w:rsidP="00F30801">
            <w:pPr>
              <w:spacing w:after="0" w:line="240" w:lineRule="auto"/>
              <w:jc w:val="both"/>
              <w:rPr>
                <w:rFonts w:eastAsia="Times New Roman"/>
                <w:b/>
                <w:bCs/>
                <w:sz w:val="20"/>
                <w:szCs w:val="20"/>
                <w:lang w:eastAsia="tr-TR"/>
              </w:rPr>
            </w:pPr>
            <w:r w:rsidRPr="005D31CB">
              <w:rPr>
                <w:rFonts w:eastAsia="Times New Roman"/>
                <w:b/>
                <w:bCs/>
                <w:sz w:val="20"/>
                <w:szCs w:val="20"/>
                <w:lang w:eastAsia="tr-TR"/>
              </w:rPr>
              <w:t>2024</w:t>
            </w:r>
          </w:p>
        </w:tc>
      </w:tr>
      <w:tr w:rsidR="00F30801" w:rsidRPr="005D31CB" w14:paraId="65440BD1" w14:textId="77777777" w:rsidTr="00F30801">
        <w:tc>
          <w:tcPr>
            <w:tcW w:w="2977" w:type="dxa"/>
            <w:tcBorders>
              <w:top w:val="single" w:sz="4" w:space="0" w:color="auto"/>
            </w:tcBorders>
            <w:tcMar>
              <w:top w:w="150" w:type="dxa"/>
              <w:left w:w="0" w:type="dxa"/>
              <w:bottom w:w="150" w:type="dxa"/>
              <w:right w:w="240" w:type="dxa"/>
            </w:tcMar>
            <w:vAlign w:val="center"/>
            <w:hideMark/>
          </w:tcPr>
          <w:p w14:paraId="6B4919E7"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Mediterranean - TR6</w:t>
            </w:r>
          </w:p>
        </w:tc>
        <w:tc>
          <w:tcPr>
            <w:tcW w:w="1284" w:type="dxa"/>
            <w:tcBorders>
              <w:top w:val="single" w:sz="4" w:space="0" w:color="auto"/>
            </w:tcBorders>
            <w:tcMar>
              <w:top w:w="150" w:type="dxa"/>
              <w:left w:w="240" w:type="dxa"/>
              <w:bottom w:w="150" w:type="dxa"/>
              <w:right w:w="240" w:type="dxa"/>
            </w:tcMar>
            <w:vAlign w:val="center"/>
            <w:hideMark/>
          </w:tcPr>
          <w:p w14:paraId="6E73AB7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1,634,888</w:t>
            </w:r>
          </w:p>
        </w:tc>
        <w:tc>
          <w:tcPr>
            <w:tcW w:w="1280" w:type="dxa"/>
            <w:tcBorders>
              <w:top w:val="single" w:sz="4" w:space="0" w:color="auto"/>
            </w:tcBorders>
            <w:tcMar>
              <w:top w:w="150" w:type="dxa"/>
              <w:left w:w="240" w:type="dxa"/>
              <w:bottom w:w="150" w:type="dxa"/>
              <w:right w:w="240" w:type="dxa"/>
            </w:tcMar>
            <w:vAlign w:val="center"/>
            <w:hideMark/>
          </w:tcPr>
          <w:p w14:paraId="66864B33"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1,541,056</w:t>
            </w:r>
          </w:p>
        </w:tc>
        <w:tc>
          <w:tcPr>
            <w:tcW w:w="1280" w:type="dxa"/>
            <w:tcBorders>
              <w:top w:val="single" w:sz="4" w:space="0" w:color="auto"/>
            </w:tcBorders>
            <w:tcMar>
              <w:top w:w="150" w:type="dxa"/>
              <w:left w:w="240" w:type="dxa"/>
              <w:bottom w:w="150" w:type="dxa"/>
              <w:right w:w="240" w:type="dxa"/>
            </w:tcMar>
            <w:vAlign w:val="center"/>
            <w:hideMark/>
          </w:tcPr>
          <w:p w14:paraId="48FFC250"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1,435,388</w:t>
            </w:r>
          </w:p>
        </w:tc>
        <w:tc>
          <w:tcPr>
            <w:tcW w:w="1280" w:type="dxa"/>
            <w:tcBorders>
              <w:top w:val="single" w:sz="4" w:space="0" w:color="auto"/>
            </w:tcBorders>
            <w:tcMar>
              <w:top w:w="150" w:type="dxa"/>
              <w:left w:w="240" w:type="dxa"/>
              <w:bottom w:w="150" w:type="dxa"/>
              <w:right w:w="240" w:type="dxa"/>
            </w:tcMar>
            <w:vAlign w:val="center"/>
            <w:hideMark/>
          </w:tcPr>
          <w:p w14:paraId="16CE484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1,393,400</w:t>
            </w:r>
          </w:p>
        </w:tc>
        <w:tc>
          <w:tcPr>
            <w:tcW w:w="830" w:type="dxa"/>
            <w:tcBorders>
              <w:top w:val="single" w:sz="4" w:space="0" w:color="auto"/>
            </w:tcBorders>
            <w:tcMar>
              <w:top w:w="150" w:type="dxa"/>
              <w:left w:w="240" w:type="dxa"/>
              <w:bottom w:w="150" w:type="dxa"/>
              <w:right w:w="0" w:type="dxa"/>
            </w:tcMar>
            <w:vAlign w:val="center"/>
            <w:hideMark/>
          </w:tcPr>
          <w:p w14:paraId="02B7EE77"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1,425,836</w:t>
            </w:r>
          </w:p>
        </w:tc>
      </w:tr>
      <w:tr w:rsidR="00F30801" w:rsidRPr="005D31CB" w14:paraId="27E486A6" w14:textId="77777777" w:rsidTr="00F30801">
        <w:tc>
          <w:tcPr>
            <w:tcW w:w="2977" w:type="dxa"/>
            <w:tcMar>
              <w:top w:w="150" w:type="dxa"/>
              <w:left w:w="0" w:type="dxa"/>
              <w:bottom w:w="150" w:type="dxa"/>
              <w:right w:w="240" w:type="dxa"/>
            </w:tcMar>
            <w:vAlign w:val="center"/>
            <w:hideMark/>
          </w:tcPr>
          <w:p w14:paraId="7E8640CB" w14:textId="2F47CE06"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Western Anatolia- TR5</w:t>
            </w:r>
          </w:p>
        </w:tc>
        <w:tc>
          <w:tcPr>
            <w:tcW w:w="1284" w:type="dxa"/>
            <w:tcMar>
              <w:top w:w="150" w:type="dxa"/>
              <w:left w:w="240" w:type="dxa"/>
              <w:bottom w:w="150" w:type="dxa"/>
              <w:right w:w="240" w:type="dxa"/>
            </w:tcMar>
            <w:vAlign w:val="center"/>
            <w:hideMark/>
          </w:tcPr>
          <w:p w14:paraId="7F70A3D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865,690</w:t>
            </w:r>
          </w:p>
        </w:tc>
        <w:tc>
          <w:tcPr>
            <w:tcW w:w="1280" w:type="dxa"/>
            <w:tcMar>
              <w:top w:w="150" w:type="dxa"/>
              <w:left w:w="240" w:type="dxa"/>
              <w:bottom w:w="150" w:type="dxa"/>
              <w:right w:w="240" w:type="dxa"/>
            </w:tcMar>
            <w:vAlign w:val="center"/>
            <w:hideMark/>
          </w:tcPr>
          <w:p w14:paraId="1F4AE8FE"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885,827</w:t>
            </w:r>
          </w:p>
        </w:tc>
        <w:tc>
          <w:tcPr>
            <w:tcW w:w="1280" w:type="dxa"/>
            <w:tcMar>
              <w:top w:w="150" w:type="dxa"/>
              <w:left w:w="240" w:type="dxa"/>
              <w:bottom w:w="150" w:type="dxa"/>
              <w:right w:w="240" w:type="dxa"/>
            </w:tcMar>
            <w:vAlign w:val="center"/>
            <w:hideMark/>
          </w:tcPr>
          <w:p w14:paraId="17D9296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882,758</w:t>
            </w:r>
          </w:p>
        </w:tc>
        <w:tc>
          <w:tcPr>
            <w:tcW w:w="1280" w:type="dxa"/>
            <w:tcMar>
              <w:top w:w="150" w:type="dxa"/>
              <w:left w:w="240" w:type="dxa"/>
              <w:bottom w:w="150" w:type="dxa"/>
              <w:right w:w="240" w:type="dxa"/>
            </w:tcMar>
            <w:vAlign w:val="center"/>
            <w:hideMark/>
          </w:tcPr>
          <w:p w14:paraId="0116E337"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864,388</w:t>
            </w:r>
          </w:p>
        </w:tc>
        <w:tc>
          <w:tcPr>
            <w:tcW w:w="830" w:type="dxa"/>
            <w:tcMar>
              <w:top w:w="150" w:type="dxa"/>
              <w:left w:w="240" w:type="dxa"/>
              <w:bottom w:w="150" w:type="dxa"/>
              <w:right w:w="0" w:type="dxa"/>
            </w:tcMar>
            <w:vAlign w:val="center"/>
            <w:hideMark/>
          </w:tcPr>
          <w:p w14:paraId="66175353"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897,372</w:t>
            </w:r>
          </w:p>
        </w:tc>
      </w:tr>
      <w:tr w:rsidR="00F30801" w:rsidRPr="005D31CB" w14:paraId="17A4E2A7" w14:textId="77777777" w:rsidTr="00F30801">
        <w:tc>
          <w:tcPr>
            <w:tcW w:w="2977" w:type="dxa"/>
            <w:tcMar>
              <w:top w:w="150" w:type="dxa"/>
              <w:left w:w="0" w:type="dxa"/>
              <w:bottom w:w="150" w:type="dxa"/>
              <w:right w:w="240" w:type="dxa"/>
            </w:tcMar>
            <w:vAlign w:val="center"/>
            <w:hideMark/>
          </w:tcPr>
          <w:p w14:paraId="050E580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Western Black Sea - TR8</w:t>
            </w:r>
          </w:p>
        </w:tc>
        <w:tc>
          <w:tcPr>
            <w:tcW w:w="1284" w:type="dxa"/>
            <w:tcMar>
              <w:top w:w="150" w:type="dxa"/>
              <w:left w:w="240" w:type="dxa"/>
              <w:bottom w:w="150" w:type="dxa"/>
              <w:right w:w="240" w:type="dxa"/>
            </w:tcMar>
            <w:vAlign w:val="center"/>
            <w:hideMark/>
          </w:tcPr>
          <w:p w14:paraId="125420E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771,009</w:t>
            </w:r>
          </w:p>
        </w:tc>
        <w:tc>
          <w:tcPr>
            <w:tcW w:w="1280" w:type="dxa"/>
            <w:tcMar>
              <w:top w:w="150" w:type="dxa"/>
              <w:left w:w="240" w:type="dxa"/>
              <w:bottom w:w="150" w:type="dxa"/>
              <w:right w:w="240" w:type="dxa"/>
            </w:tcMar>
            <w:vAlign w:val="center"/>
            <w:hideMark/>
          </w:tcPr>
          <w:p w14:paraId="407FB46F"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762,723</w:t>
            </w:r>
          </w:p>
        </w:tc>
        <w:tc>
          <w:tcPr>
            <w:tcW w:w="1280" w:type="dxa"/>
            <w:tcMar>
              <w:top w:w="150" w:type="dxa"/>
              <w:left w:w="240" w:type="dxa"/>
              <w:bottom w:w="150" w:type="dxa"/>
              <w:right w:w="240" w:type="dxa"/>
            </w:tcMar>
            <w:vAlign w:val="center"/>
            <w:hideMark/>
          </w:tcPr>
          <w:p w14:paraId="7E39D0B9"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689,532</w:t>
            </w:r>
          </w:p>
        </w:tc>
        <w:tc>
          <w:tcPr>
            <w:tcW w:w="1280" w:type="dxa"/>
            <w:tcMar>
              <w:top w:w="150" w:type="dxa"/>
              <w:left w:w="240" w:type="dxa"/>
              <w:bottom w:w="150" w:type="dxa"/>
              <w:right w:w="240" w:type="dxa"/>
            </w:tcMar>
            <w:vAlign w:val="center"/>
            <w:hideMark/>
          </w:tcPr>
          <w:p w14:paraId="0B095793"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656,248</w:t>
            </w:r>
          </w:p>
        </w:tc>
        <w:tc>
          <w:tcPr>
            <w:tcW w:w="830" w:type="dxa"/>
            <w:tcMar>
              <w:top w:w="150" w:type="dxa"/>
              <w:left w:w="240" w:type="dxa"/>
              <w:bottom w:w="150" w:type="dxa"/>
              <w:right w:w="0" w:type="dxa"/>
            </w:tcMar>
            <w:vAlign w:val="center"/>
            <w:hideMark/>
          </w:tcPr>
          <w:p w14:paraId="00715A61"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664,579</w:t>
            </w:r>
          </w:p>
        </w:tc>
      </w:tr>
      <w:tr w:rsidR="00F30801" w:rsidRPr="005D31CB" w14:paraId="540A113D" w14:textId="77777777" w:rsidTr="00F30801">
        <w:tc>
          <w:tcPr>
            <w:tcW w:w="2977" w:type="dxa"/>
            <w:tcMar>
              <w:top w:w="150" w:type="dxa"/>
              <w:left w:w="0" w:type="dxa"/>
              <w:bottom w:w="150" w:type="dxa"/>
              <w:right w:w="240" w:type="dxa"/>
            </w:tcMar>
            <w:vAlign w:val="center"/>
            <w:hideMark/>
          </w:tcPr>
          <w:p w14:paraId="2B97E8F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Western Marmara - TR2</w:t>
            </w:r>
          </w:p>
        </w:tc>
        <w:tc>
          <w:tcPr>
            <w:tcW w:w="1284" w:type="dxa"/>
            <w:tcMar>
              <w:top w:w="150" w:type="dxa"/>
              <w:left w:w="240" w:type="dxa"/>
              <w:bottom w:w="150" w:type="dxa"/>
              <w:right w:w="240" w:type="dxa"/>
            </w:tcMar>
            <w:vAlign w:val="center"/>
            <w:hideMark/>
          </w:tcPr>
          <w:p w14:paraId="7DD188A9"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582,684</w:t>
            </w:r>
          </w:p>
        </w:tc>
        <w:tc>
          <w:tcPr>
            <w:tcW w:w="1280" w:type="dxa"/>
            <w:tcMar>
              <w:top w:w="150" w:type="dxa"/>
              <w:left w:w="240" w:type="dxa"/>
              <w:bottom w:w="150" w:type="dxa"/>
              <w:right w:w="240" w:type="dxa"/>
            </w:tcMar>
            <w:vAlign w:val="center"/>
            <w:hideMark/>
          </w:tcPr>
          <w:p w14:paraId="6A74A8AD"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520,712</w:t>
            </w:r>
          </w:p>
        </w:tc>
        <w:tc>
          <w:tcPr>
            <w:tcW w:w="1280" w:type="dxa"/>
            <w:tcMar>
              <w:top w:w="150" w:type="dxa"/>
              <w:left w:w="240" w:type="dxa"/>
              <w:bottom w:w="150" w:type="dxa"/>
              <w:right w:w="240" w:type="dxa"/>
            </w:tcMar>
            <w:vAlign w:val="center"/>
            <w:hideMark/>
          </w:tcPr>
          <w:p w14:paraId="1877DF06"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489,267</w:t>
            </w:r>
          </w:p>
        </w:tc>
        <w:tc>
          <w:tcPr>
            <w:tcW w:w="1280" w:type="dxa"/>
            <w:tcMar>
              <w:top w:w="150" w:type="dxa"/>
              <w:left w:w="240" w:type="dxa"/>
              <w:bottom w:w="150" w:type="dxa"/>
              <w:right w:w="240" w:type="dxa"/>
            </w:tcMar>
            <w:vAlign w:val="center"/>
            <w:hideMark/>
          </w:tcPr>
          <w:p w14:paraId="49B3AB6B"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459,149</w:t>
            </w:r>
          </w:p>
        </w:tc>
        <w:tc>
          <w:tcPr>
            <w:tcW w:w="830" w:type="dxa"/>
            <w:tcMar>
              <w:top w:w="150" w:type="dxa"/>
              <w:left w:w="240" w:type="dxa"/>
              <w:bottom w:w="150" w:type="dxa"/>
              <w:right w:w="0" w:type="dxa"/>
            </w:tcMar>
            <w:vAlign w:val="center"/>
            <w:hideMark/>
          </w:tcPr>
          <w:p w14:paraId="0CC3F13B"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502,656</w:t>
            </w:r>
          </w:p>
        </w:tc>
      </w:tr>
      <w:tr w:rsidR="00F30801" w:rsidRPr="005D31CB" w14:paraId="0931EC5E" w14:textId="77777777" w:rsidTr="00F30801">
        <w:tc>
          <w:tcPr>
            <w:tcW w:w="2977" w:type="dxa"/>
            <w:tcMar>
              <w:top w:w="150" w:type="dxa"/>
              <w:left w:w="0" w:type="dxa"/>
              <w:bottom w:w="150" w:type="dxa"/>
              <w:right w:w="240" w:type="dxa"/>
            </w:tcMar>
            <w:vAlign w:val="center"/>
            <w:hideMark/>
          </w:tcPr>
          <w:p w14:paraId="214442D4"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Eastern Black Sea - TR9</w:t>
            </w:r>
          </w:p>
        </w:tc>
        <w:tc>
          <w:tcPr>
            <w:tcW w:w="1284" w:type="dxa"/>
            <w:tcMar>
              <w:top w:w="150" w:type="dxa"/>
              <w:left w:w="240" w:type="dxa"/>
              <w:bottom w:w="150" w:type="dxa"/>
              <w:right w:w="240" w:type="dxa"/>
            </w:tcMar>
            <w:vAlign w:val="center"/>
            <w:hideMark/>
          </w:tcPr>
          <w:p w14:paraId="52C4878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84,458</w:t>
            </w:r>
          </w:p>
        </w:tc>
        <w:tc>
          <w:tcPr>
            <w:tcW w:w="1280" w:type="dxa"/>
            <w:tcMar>
              <w:top w:w="150" w:type="dxa"/>
              <w:left w:w="240" w:type="dxa"/>
              <w:bottom w:w="150" w:type="dxa"/>
              <w:right w:w="240" w:type="dxa"/>
            </w:tcMar>
            <w:vAlign w:val="center"/>
            <w:hideMark/>
          </w:tcPr>
          <w:p w14:paraId="5890D91B"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87,589</w:t>
            </w:r>
          </w:p>
        </w:tc>
        <w:tc>
          <w:tcPr>
            <w:tcW w:w="1280" w:type="dxa"/>
            <w:tcMar>
              <w:top w:w="150" w:type="dxa"/>
              <w:left w:w="240" w:type="dxa"/>
              <w:bottom w:w="150" w:type="dxa"/>
              <w:right w:w="240" w:type="dxa"/>
            </w:tcMar>
            <w:vAlign w:val="center"/>
            <w:hideMark/>
          </w:tcPr>
          <w:p w14:paraId="47E5B314"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83,011</w:t>
            </w:r>
          </w:p>
        </w:tc>
        <w:tc>
          <w:tcPr>
            <w:tcW w:w="1280" w:type="dxa"/>
            <w:tcMar>
              <w:top w:w="150" w:type="dxa"/>
              <w:left w:w="240" w:type="dxa"/>
              <w:bottom w:w="150" w:type="dxa"/>
              <w:right w:w="240" w:type="dxa"/>
            </w:tcMar>
            <w:vAlign w:val="center"/>
            <w:hideMark/>
          </w:tcPr>
          <w:p w14:paraId="5213F10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81,095</w:t>
            </w:r>
          </w:p>
        </w:tc>
        <w:tc>
          <w:tcPr>
            <w:tcW w:w="830" w:type="dxa"/>
            <w:tcMar>
              <w:top w:w="150" w:type="dxa"/>
              <w:left w:w="240" w:type="dxa"/>
              <w:bottom w:w="150" w:type="dxa"/>
              <w:right w:w="0" w:type="dxa"/>
            </w:tcMar>
            <w:vAlign w:val="center"/>
            <w:hideMark/>
          </w:tcPr>
          <w:p w14:paraId="6212E040"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80,095</w:t>
            </w:r>
          </w:p>
        </w:tc>
      </w:tr>
      <w:tr w:rsidR="00F30801" w:rsidRPr="005D31CB" w14:paraId="6F5C0D0A" w14:textId="77777777" w:rsidTr="00F30801">
        <w:tc>
          <w:tcPr>
            <w:tcW w:w="2977" w:type="dxa"/>
            <w:tcMar>
              <w:top w:w="150" w:type="dxa"/>
              <w:left w:w="0" w:type="dxa"/>
              <w:bottom w:w="150" w:type="dxa"/>
              <w:right w:w="240" w:type="dxa"/>
            </w:tcMar>
            <w:vAlign w:val="center"/>
            <w:hideMark/>
          </w:tcPr>
          <w:p w14:paraId="5B4581F4"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Eastern Marmara - TR4</w:t>
            </w:r>
          </w:p>
        </w:tc>
        <w:tc>
          <w:tcPr>
            <w:tcW w:w="1284" w:type="dxa"/>
            <w:tcMar>
              <w:top w:w="150" w:type="dxa"/>
              <w:left w:w="240" w:type="dxa"/>
              <w:bottom w:w="150" w:type="dxa"/>
              <w:right w:w="240" w:type="dxa"/>
            </w:tcMar>
            <w:vAlign w:val="center"/>
            <w:hideMark/>
          </w:tcPr>
          <w:p w14:paraId="14974323"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691,770</w:t>
            </w:r>
          </w:p>
        </w:tc>
        <w:tc>
          <w:tcPr>
            <w:tcW w:w="1280" w:type="dxa"/>
            <w:tcMar>
              <w:top w:w="150" w:type="dxa"/>
              <w:left w:w="240" w:type="dxa"/>
              <w:bottom w:w="150" w:type="dxa"/>
              <w:right w:w="240" w:type="dxa"/>
            </w:tcMar>
            <w:vAlign w:val="center"/>
            <w:hideMark/>
          </w:tcPr>
          <w:p w14:paraId="09F752D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666,752</w:t>
            </w:r>
          </w:p>
        </w:tc>
        <w:tc>
          <w:tcPr>
            <w:tcW w:w="1280" w:type="dxa"/>
            <w:tcMar>
              <w:top w:w="150" w:type="dxa"/>
              <w:left w:w="240" w:type="dxa"/>
              <w:bottom w:w="150" w:type="dxa"/>
              <w:right w:w="240" w:type="dxa"/>
            </w:tcMar>
            <w:vAlign w:val="center"/>
            <w:hideMark/>
          </w:tcPr>
          <w:p w14:paraId="70327DC9"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610,411</w:t>
            </w:r>
          </w:p>
        </w:tc>
        <w:tc>
          <w:tcPr>
            <w:tcW w:w="1280" w:type="dxa"/>
            <w:tcMar>
              <w:top w:w="150" w:type="dxa"/>
              <w:left w:w="240" w:type="dxa"/>
              <w:bottom w:w="150" w:type="dxa"/>
              <w:right w:w="240" w:type="dxa"/>
            </w:tcMar>
            <w:vAlign w:val="center"/>
            <w:hideMark/>
          </w:tcPr>
          <w:p w14:paraId="5C108D3E"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621,269</w:t>
            </w:r>
          </w:p>
        </w:tc>
        <w:tc>
          <w:tcPr>
            <w:tcW w:w="830" w:type="dxa"/>
            <w:tcMar>
              <w:top w:w="150" w:type="dxa"/>
              <w:left w:w="240" w:type="dxa"/>
              <w:bottom w:w="150" w:type="dxa"/>
              <w:right w:w="0" w:type="dxa"/>
            </w:tcMar>
            <w:vAlign w:val="center"/>
            <w:hideMark/>
          </w:tcPr>
          <w:p w14:paraId="02075BDE"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700,375</w:t>
            </w:r>
          </w:p>
        </w:tc>
      </w:tr>
      <w:tr w:rsidR="00F30801" w:rsidRPr="005D31CB" w14:paraId="0F283C3D" w14:textId="77777777" w:rsidTr="00F30801">
        <w:tc>
          <w:tcPr>
            <w:tcW w:w="2977" w:type="dxa"/>
            <w:tcMar>
              <w:top w:w="150" w:type="dxa"/>
              <w:left w:w="0" w:type="dxa"/>
              <w:bottom w:w="150" w:type="dxa"/>
              <w:right w:w="240" w:type="dxa"/>
            </w:tcMar>
            <w:vAlign w:val="center"/>
            <w:hideMark/>
          </w:tcPr>
          <w:p w14:paraId="396D3E15"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Aegean - TR3</w:t>
            </w:r>
          </w:p>
        </w:tc>
        <w:tc>
          <w:tcPr>
            <w:tcW w:w="1284" w:type="dxa"/>
            <w:tcMar>
              <w:top w:w="150" w:type="dxa"/>
              <w:left w:w="240" w:type="dxa"/>
              <w:bottom w:w="150" w:type="dxa"/>
              <w:right w:w="240" w:type="dxa"/>
            </w:tcMar>
            <w:vAlign w:val="center"/>
            <w:hideMark/>
          </w:tcPr>
          <w:p w14:paraId="2EF3895E"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1,294,249</w:t>
            </w:r>
          </w:p>
        </w:tc>
        <w:tc>
          <w:tcPr>
            <w:tcW w:w="1280" w:type="dxa"/>
            <w:tcMar>
              <w:top w:w="150" w:type="dxa"/>
              <w:left w:w="240" w:type="dxa"/>
              <w:bottom w:w="150" w:type="dxa"/>
              <w:right w:w="240" w:type="dxa"/>
            </w:tcMar>
            <w:vAlign w:val="center"/>
            <w:hideMark/>
          </w:tcPr>
          <w:p w14:paraId="4FE9978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1,161,006</w:t>
            </w:r>
          </w:p>
        </w:tc>
        <w:tc>
          <w:tcPr>
            <w:tcW w:w="1280" w:type="dxa"/>
            <w:tcMar>
              <w:top w:w="150" w:type="dxa"/>
              <w:left w:w="240" w:type="dxa"/>
              <w:bottom w:w="150" w:type="dxa"/>
              <w:right w:w="240" w:type="dxa"/>
            </w:tcMar>
            <w:vAlign w:val="center"/>
            <w:hideMark/>
          </w:tcPr>
          <w:p w14:paraId="4F677268"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1,104,170</w:t>
            </w:r>
          </w:p>
        </w:tc>
        <w:tc>
          <w:tcPr>
            <w:tcW w:w="1280" w:type="dxa"/>
            <w:tcMar>
              <w:top w:w="150" w:type="dxa"/>
              <w:left w:w="240" w:type="dxa"/>
              <w:bottom w:w="150" w:type="dxa"/>
              <w:right w:w="240" w:type="dxa"/>
            </w:tcMar>
            <w:vAlign w:val="center"/>
            <w:hideMark/>
          </w:tcPr>
          <w:p w14:paraId="4E9CE17D"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1,121,586</w:t>
            </w:r>
          </w:p>
        </w:tc>
        <w:tc>
          <w:tcPr>
            <w:tcW w:w="830" w:type="dxa"/>
            <w:tcMar>
              <w:top w:w="150" w:type="dxa"/>
              <w:left w:w="240" w:type="dxa"/>
              <w:bottom w:w="150" w:type="dxa"/>
              <w:right w:w="0" w:type="dxa"/>
            </w:tcMar>
            <w:vAlign w:val="center"/>
            <w:hideMark/>
          </w:tcPr>
          <w:p w14:paraId="73834CD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1,175,632</w:t>
            </w:r>
          </w:p>
        </w:tc>
      </w:tr>
      <w:tr w:rsidR="00F30801" w:rsidRPr="005D31CB" w14:paraId="55505D8A" w14:textId="77777777" w:rsidTr="00F30801">
        <w:tc>
          <w:tcPr>
            <w:tcW w:w="2977" w:type="dxa"/>
            <w:tcMar>
              <w:top w:w="150" w:type="dxa"/>
              <w:left w:w="0" w:type="dxa"/>
              <w:bottom w:w="150" w:type="dxa"/>
              <w:right w:w="240" w:type="dxa"/>
            </w:tcMar>
            <w:vAlign w:val="center"/>
            <w:hideMark/>
          </w:tcPr>
          <w:p w14:paraId="159B9926"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Southeastern Anatolia - TRC</w:t>
            </w:r>
          </w:p>
        </w:tc>
        <w:tc>
          <w:tcPr>
            <w:tcW w:w="1284" w:type="dxa"/>
            <w:tcMar>
              <w:top w:w="150" w:type="dxa"/>
              <w:left w:w="240" w:type="dxa"/>
              <w:bottom w:w="150" w:type="dxa"/>
              <w:right w:w="240" w:type="dxa"/>
            </w:tcMar>
            <w:vAlign w:val="center"/>
            <w:hideMark/>
          </w:tcPr>
          <w:p w14:paraId="0D4F07FF"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616,749</w:t>
            </w:r>
          </w:p>
        </w:tc>
        <w:tc>
          <w:tcPr>
            <w:tcW w:w="1280" w:type="dxa"/>
            <w:tcMar>
              <w:top w:w="150" w:type="dxa"/>
              <w:left w:w="240" w:type="dxa"/>
              <w:bottom w:w="150" w:type="dxa"/>
              <w:right w:w="240" w:type="dxa"/>
            </w:tcMar>
            <w:vAlign w:val="center"/>
            <w:hideMark/>
          </w:tcPr>
          <w:p w14:paraId="2BF2762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627,089</w:t>
            </w:r>
          </w:p>
        </w:tc>
        <w:tc>
          <w:tcPr>
            <w:tcW w:w="1280" w:type="dxa"/>
            <w:tcMar>
              <w:top w:w="150" w:type="dxa"/>
              <w:left w:w="240" w:type="dxa"/>
              <w:bottom w:w="150" w:type="dxa"/>
              <w:right w:w="240" w:type="dxa"/>
            </w:tcMar>
            <w:vAlign w:val="center"/>
            <w:hideMark/>
          </w:tcPr>
          <w:p w14:paraId="0FABE966"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622,365</w:t>
            </w:r>
          </w:p>
        </w:tc>
        <w:tc>
          <w:tcPr>
            <w:tcW w:w="1280" w:type="dxa"/>
            <w:tcMar>
              <w:top w:w="150" w:type="dxa"/>
              <w:left w:w="240" w:type="dxa"/>
              <w:bottom w:w="150" w:type="dxa"/>
              <w:right w:w="240" w:type="dxa"/>
            </w:tcMar>
            <w:vAlign w:val="center"/>
            <w:hideMark/>
          </w:tcPr>
          <w:p w14:paraId="5125B41D"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634,633</w:t>
            </w:r>
          </w:p>
        </w:tc>
        <w:tc>
          <w:tcPr>
            <w:tcW w:w="830" w:type="dxa"/>
            <w:tcMar>
              <w:top w:w="150" w:type="dxa"/>
              <w:left w:w="240" w:type="dxa"/>
              <w:bottom w:w="150" w:type="dxa"/>
              <w:right w:w="0" w:type="dxa"/>
            </w:tcMar>
            <w:vAlign w:val="center"/>
            <w:hideMark/>
          </w:tcPr>
          <w:p w14:paraId="2E7B9002"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663,749</w:t>
            </w:r>
          </w:p>
        </w:tc>
      </w:tr>
      <w:tr w:rsidR="00F30801" w:rsidRPr="005D31CB" w14:paraId="412D09FC" w14:textId="77777777" w:rsidTr="00F30801">
        <w:tc>
          <w:tcPr>
            <w:tcW w:w="2977" w:type="dxa"/>
            <w:tcMar>
              <w:top w:w="150" w:type="dxa"/>
              <w:left w:w="0" w:type="dxa"/>
              <w:bottom w:w="150" w:type="dxa"/>
              <w:right w:w="240" w:type="dxa"/>
            </w:tcMar>
            <w:vAlign w:val="center"/>
            <w:hideMark/>
          </w:tcPr>
          <w:p w14:paraId="0721558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Northeastern Anatolia - TRA</w:t>
            </w:r>
          </w:p>
        </w:tc>
        <w:tc>
          <w:tcPr>
            <w:tcW w:w="1284" w:type="dxa"/>
            <w:tcMar>
              <w:top w:w="150" w:type="dxa"/>
              <w:left w:w="240" w:type="dxa"/>
              <w:bottom w:w="150" w:type="dxa"/>
              <w:right w:w="240" w:type="dxa"/>
            </w:tcMar>
            <w:vAlign w:val="center"/>
            <w:hideMark/>
          </w:tcPr>
          <w:p w14:paraId="24DB8A3E"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87,369</w:t>
            </w:r>
          </w:p>
        </w:tc>
        <w:tc>
          <w:tcPr>
            <w:tcW w:w="1280" w:type="dxa"/>
            <w:tcMar>
              <w:top w:w="150" w:type="dxa"/>
              <w:left w:w="240" w:type="dxa"/>
              <w:bottom w:w="150" w:type="dxa"/>
              <w:right w:w="240" w:type="dxa"/>
            </w:tcMar>
            <w:vAlign w:val="center"/>
            <w:hideMark/>
          </w:tcPr>
          <w:p w14:paraId="155330B6"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85,491</w:t>
            </w:r>
          </w:p>
        </w:tc>
        <w:tc>
          <w:tcPr>
            <w:tcW w:w="1280" w:type="dxa"/>
            <w:tcMar>
              <w:top w:w="150" w:type="dxa"/>
              <w:left w:w="240" w:type="dxa"/>
              <w:bottom w:w="150" w:type="dxa"/>
              <w:right w:w="240" w:type="dxa"/>
            </w:tcMar>
            <w:vAlign w:val="center"/>
            <w:hideMark/>
          </w:tcPr>
          <w:p w14:paraId="338074D5"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82,037</w:t>
            </w:r>
          </w:p>
        </w:tc>
        <w:tc>
          <w:tcPr>
            <w:tcW w:w="1280" w:type="dxa"/>
            <w:tcMar>
              <w:top w:w="150" w:type="dxa"/>
              <w:left w:w="240" w:type="dxa"/>
              <w:bottom w:w="150" w:type="dxa"/>
              <w:right w:w="240" w:type="dxa"/>
            </w:tcMar>
            <w:vAlign w:val="center"/>
            <w:hideMark/>
          </w:tcPr>
          <w:p w14:paraId="620EEA7D"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75,334</w:t>
            </w:r>
          </w:p>
        </w:tc>
        <w:tc>
          <w:tcPr>
            <w:tcW w:w="830" w:type="dxa"/>
            <w:tcMar>
              <w:top w:w="150" w:type="dxa"/>
              <w:left w:w="240" w:type="dxa"/>
              <w:bottom w:w="150" w:type="dxa"/>
              <w:right w:w="0" w:type="dxa"/>
            </w:tcMar>
            <w:vAlign w:val="center"/>
            <w:hideMark/>
          </w:tcPr>
          <w:p w14:paraId="7146B8D0"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73,786</w:t>
            </w:r>
          </w:p>
        </w:tc>
      </w:tr>
      <w:tr w:rsidR="00F30801" w:rsidRPr="005D31CB" w14:paraId="12D80C15" w14:textId="77777777" w:rsidTr="00F30801">
        <w:tc>
          <w:tcPr>
            <w:tcW w:w="2977" w:type="dxa"/>
            <w:tcMar>
              <w:top w:w="150" w:type="dxa"/>
              <w:left w:w="0" w:type="dxa"/>
              <w:bottom w:w="150" w:type="dxa"/>
              <w:right w:w="240" w:type="dxa"/>
            </w:tcMar>
            <w:vAlign w:val="center"/>
            <w:hideMark/>
          </w:tcPr>
          <w:p w14:paraId="77E4DD4A"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Central Anatolia - TR7</w:t>
            </w:r>
          </w:p>
        </w:tc>
        <w:tc>
          <w:tcPr>
            <w:tcW w:w="1284" w:type="dxa"/>
            <w:tcMar>
              <w:top w:w="150" w:type="dxa"/>
              <w:left w:w="240" w:type="dxa"/>
              <w:bottom w:w="150" w:type="dxa"/>
              <w:right w:w="240" w:type="dxa"/>
            </w:tcMar>
            <w:vAlign w:val="center"/>
            <w:hideMark/>
          </w:tcPr>
          <w:p w14:paraId="220A4A6F"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886,071</w:t>
            </w:r>
          </w:p>
        </w:tc>
        <w:tc>
          <w:tcPr>
            <w:tcW w:w="1280" w:type="dxa"/>
            <w:tcMar>
              <w:top w:w="150" w:type="dxa"/>
              <w:left w:w="240" w:type="dxa"/>
              <w:bottom w:w="150" w:type="dxa"/>
              <w:right w:w="240" w:type="dxa"/>
            </w:tcMar>
            <w:vAlign w:val="center"/>
            <w:hideMark/>
          </w:tcPr>
          <w:p w14:paraId="7FD6432F"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937,047</w:t>
            </w:r>
          </w:p>
        </w:tc>
        <w:tc>
          <w:tcPr>
            <w:tcW w:w="1280" w:type="dxa"/>
            <w:tcMar>
              <w:top w:w="150" w:type="dxa"/>
              <w:left w:w="240" w:type="dxa"/>
              <w:bottom w:w="150" w:type="dxa"/>
              <w:right w:w="240" w:type="dxa"/>
            </w:tcMar>
            <w:vAlign w:val="center"/>
            <w:hideMark/>
          </w:tcPr>
          <w:p w14:paraId="59DC717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900,762</w:t>
            </w:r>
          </w:p>
        </w:tc>
        <w:tc>
          <w:tcPr>
            <w:tcW w:w="1280" w:type="dxa"/>
            <w:tcMar>
              <w:top w:w="150" w:type="dxa"/>
              <w:left w:w="240" w:type="dxa"/>
              <w:bottom w:w="150" w:type="dxa"/>
              <w:right w:w="240" w:type="dxa"/>
            </w:tcMar>
            <w:vAlign w:val="center"/>
            <w:hideMark/>
          </w:tcPr>
          <w:p w14:paraId="78FA955C"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891,180</w:t>
            </w:r>
          </w:p>
        </w:tc>
        <w:tc>
          <w:tcPr>
            <w:tcW w:w="830" w:type="dxa"/>
            <w:tcMar>
              <w:top w:w="150" w:type="dxa"/>
              <w:left w:w="240" w:type="dxa"/>
              <w:bottom w:w="150" w:type="dxa"/>
              <w:right w:w="0" w:type="dxa"/>
            </w:tcMar>
            <w:vAlign w:val="center"/>
            <w:hideMark/>
          </w:tcPr>
          <w:p w14:paraId="4040D92B"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918,247</w:t>
            </w:r>
          </w:p>
        </w:tc>
      </w:tr>
      <w:tr w:rsidR="00F30801" w:rsidRPr="005D31CB" w14:paraId="78078600" w14:textId="77777777" w:rsidTr="00F30801">
        <w:tc>
          <w:tcPr>
            <w:tcW w:w="2977" w:type="dxa"/>
            <w:tcMar>
              <w:top w:w="150" w:type="dxa"/>
              <w:left w:w="0" w:type="dxa"/>
              <w:bottom w:w="150" w:type="dxa"/>
              <w:right w:w="240" w:type="dxa"/>
            </w:tcMar>
            <w:vAlign w:val="center"/>
            <w:hideMark/>
          </w:tcPr>
          <w:p w14:paraId="055443B8"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Eastern Anatolia - TRB</w:t>
            </w:r>
          </w:p>
        </w:tc>
        <w:tc>
          <w:tcPr>
            <w:tcW w:w="1284" w:type="dxa"/>
            <w:tcMar>
              <w:top w:w="150" w:type="dxa"/>
              <w:left w:w="240" w:type="dxa"/>
              <w:bottom w:w="150" w:type="dxa"/>
              <w:right w:w="240" w:type="dxa"/>
            </w:tcMar>
            <w:vAlign w:val="center"/>
            <w:hideMark/>
          </w:tcPr>
          <w:p w14:paraId="0CB6A544"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248,828</w:t>
            </w:r>
          </w:p>
        </w:tc>
        <w:tc>
          <w:tcPr>
            <w:tcW w:w="1280" w:type="dxa"/>
            <w:tcMar>
              <w:top w:w="150" w:type="dxa"/>
              <w:left w:w="240" w:type="dxa"/>
              <w:bottom w:w="150" w:type="dxa"/>
              <w:right w:w="240" w:type="dxa"/>
            </w:tcMar>
            <w:vAlign w:val="center"/>
            <w:hideMark/>
          </w:tcPr>
          <w:p w14:paraId="55EED6C0"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249,705</w:t>
            </w:r>
          </w:p>
        </w:tc>
        <w:tc>
          <w:tcPr>
            <w:tcW w:w="1280" w:type="dxa"/>
            <w:tcMar>
              <w:top w:w="150" w:type="dxa"/>
              <w:left w:w="240" w:type="dxa"/>
              <w:bottom w:w="150" w:type="dxa"/>
              <w:right w:w="240" w:type="dxa"/>
            </w:tcMar>
            <w:vAlign w:val="center"/>
            <w:hideMark/>
          </w:tcPr>
          <w:p w14:paraId="46B174AB"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249,096</w:t>
            </w:r>
          </w:p>
        </w:tc>
        <w:tc>
          <w:tcPr>
            <w:tcW w:w="1280" w:type="dxa"/>
            <w:tcMar>
              <w:top w:w="150" w:type="dxa"/>
              <w:left w:w="240" w:type="dxa"/>
              <w:bottom w:w="150" w:type="dxa"/>
              <w:right w:w="240" w:type="dxa"/>
            </w:tcMar>
            <w:vAlign w:val="center"/>
            <w:hideMark/>
          </w:tcPr>
          <w:p w14:paraId="20D593B2"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298,107</w:t>
            </w:r>
          </w:p>
        </w:tc>
        <w:tc>
          <w:tcPr>
            <w:tcW w:w="830" w:type="dxa"/>
            <w:tcMar>
              <w:top w:w="150" w:type="dxa"/>
              <w:left w:w="240" w:type="dxa"/>
              <w:bottom w:w="150" w:type="dxa"/>
              <w:right w:w="0" w:type="dxa"/>
            </w:tcMar>
            <w:vAlign w:val="center"/>
            <w:hideMark/>
          </w:tcPr>
          <w:p w14:paraId="3C8FE9C2"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278,695</w:t>
            </w:r>
          </w:p>
        </w:tc>
      </w:tr>
      <w:tr w:rsidR="00F30801" w:rsidRPr="005D31CB" w14:paraId="2C0E5B92" w14:textId="77777777" w:rsidTr="00F30801">
        <w:tc>
          <w:tcPr>
            <w:tcW w:w="2977" w:type="dxa"/>
            <w:tcMar>
              <w:top w:w="150" w:type="dxa"/>
              <w:left w:w="0" w:type="dxa"/>
              <w:bottom w:w="150" w:type="dxa"/>
              <w:right w:w="240" w:type="dxa"/>
            </w:tcMar>
            <w:vAlign w:val="center"/>
            <w:hideMark/>
          </w:tcPr>
          <w:p w14:paraId="53AC95A0" w14:textId="68C5D670" w:rsidR="005D31CB" w:rsidRPr="005D31CB" w:rsidRDefault="00970AE1" w:rsidP="00F30801">
            <w:pPr>
              <w:spacing w:after="0" w:line="240" w:lineRule="auto"/>
              <w:rPr>
                <w:rFonts w:eastAsia="Times New Roman"/>
                <w:sz w:val="20"/>
                <w:szCs w:val="20"/>
                <w:lang w:eastAsia="tr-TR"/>
              </w:rPr>
            </w:pPr>
            <w:r w:rsidRPr="005D31CB">
              <w:rPr>
                <w:rFonts w:eastAsia="Times New Roman"/>
                <w:color w:val="0F1115"/>
                <w:sz w:val="20"/>
                <w:szCs w:val="20"/>
                <w:lang w:eastAsia="tr-TR"/>
              </w:rPr>
              <w:t>T</w:t>
            </w:r>
            <w:r w:rsidRPr="00F30801">
              <w:rPr>
                <w:rFonts w:eastAsia="Times New Roman"/>
                <w:color w:val="0F1115"/>
                <w:sz w:val="20"/>
                <w:szCs w:val="20"/>
                <w:lang w:eastAsia="tr-TR"/>
              </w:rPr>
              <w:t>ü</w:t>
            </w:r>
            <w:r w:rsidRPr="005D31CB">
              <w:rPr>
                <w:rFonts w:eastAsia="Times New Roman"/>
                <w:color w:val="0F1115"/>
                <w:sz w:val="20"/>
                <w:szCs w:val="20"/>
                <w:lang w:eastAsia="tr-TR"/>
              </w:rPr>
              <w:t>rk</w:t>
            </w:r>
            <w:r w:rsidRPr="00F30801">
              <w:rPr>
                <w:rFonts w:eastAsia="Times New Roman"/>
                <w:color w:val="0F1115"/>
                <w:sz w:val="20"/>
                <w:szCs w:val="20"/>
                <w:lang w:eastAsia="tr-TR"/>
              </w:rPr>
              <w:t>iye</w:t>
            </w:r>
            <w:r w:rsidR="005D31CB" w:rsidRPr="005D31CB">
              <w:rPr>
                <w:rFonts w:eastAsia="Times New Roman"/>
                <w:sz w:val="20"/>
                <w:szCs w:val="20"/>
                <w:lang w:eastAsia="tr-TR"/>
              </w:rPr>
              <w:t xml:space="preserve"> - TR</w:t>
            </w:r>
          </w:p>
        </w:tc>
        <w:tc>
          <w:tcPr>
            <w:tcW w:w="1284" w:type="dxa"/>
            <w:tcMar>
              <w:top w:w="150" w:type="dxa"/>
              <w:left w:w="240" w:type="dxa"/>
              <w:bottom w:w="150" w:type="dxa"/>
              <w:right w:w="240" w:type="dxa"/>
            </w:tcMar>
            <w:vAlign w:val="center"/>
            <w:hideMark/>
          </w:tcPr>
          <w:p w14:paraId="1EF4FD0F"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7,792,463</w:t>
            </w:r>
          </w:p>
        </w:tc>
        <w:tc>
          <w:tcPr>
            <w:tcW w:w="1280" w:type="dxa"/>
            <w:tcMar>
              <w:top w:w="150" w:type="dxa"/>
              <w:left w:w="240" w:type="dxa"/>
              <w:bottom w:w="150" w:type="dxa"/>
              <w:right w:w="240" w:type="dxa"/>
            </w:tcMar>
            <w:vAlign w:val="center"/>
            <w:hideMark/>
          </w:tcPr>
          <w:p w14:paraId="379CEB70"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7,553,346</w:t>
            </w:r>
          </w:p>
        </w:tc>
        <w:tc>
          <w:tcPr>
            <w:tcW w:w="1280" w:type="dxa"/>
            <w:tcMar>
              <w:top w:w="150" w:type="dxa"/>
              <w:left w:w="240" w:type="dxa"/>
              <w:bottom w:w="150" w:type="dxa"/>
              <w:right w:w="240" w:type="dxa"/>
            </w:tcMar>
            <w:vAlign w:val="center"/>
            <w:hideMark/>
          </w:tcPr>
          <w:p w14:paraId="1A00EA00"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7,176,802</w:t>
            </w:r>
          </w:p>
        </w:tc>
        <w:tc>
          <w:tcPr>
            <w:tcW w:w="1280" w:type="dxa"/>
            <w:tcMar>
              <w:top w:w="150" w:type="dxa"/>
              <w:left w:w="240" w:type="dxa"/>
              <w:bottom w:w="150" w:type="dxa"/>
              <w:right w:w="240" w:type="dxa"/>
            </w:tcMar>
            <w:vAlign w:val="center"/>
            <w:hideMark/>
          </w:tcPr>
          <w:p w14:paraId="301DD253"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7,122,641</w:t>
            </w:r>
          </w:p>
        </w:tc>
        <w:tc>
          <w:tcPr>
            <w:tcW w:w="830" w:type="dxa"/>
            <w:tcMar>
              <w:top w:w="150" w:type="dxa"/>
              <w:left w:w="240" w:type="dxa"/>
              <w:bottom w:w="150" w:type="dxa"/>
              <w:right w:w="0" w:type="dxa"/>
            </w:tcMar>
            <w:vAlign w:val="center"/>
            <w:hideMark/>
          </w:tcPr>
          <w:p w14:paraId="031A8935"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7,406,857</w:t>
            </w:r>
          </w:p>
        </w:tc>
      </w:tr>
      <w:tr w:rsidR="00F30801" w:rsidRPr="005D31CB" w14:paraId="10958A73" w14:textId="77777777" w:rsidTr="00F30801">
        <w:tc>
          <w:tcPr>
            <w:tcW w:w="2977" w:type="dxa"/>
            <w:tcMar>
              <w:top w:w="150" w:type="dxa"/>
              <w:left w:w="0" w:type="dxa"/>
              <w:bottom w:w="150" w:type="dxa"/>
              <w:right w:w="240" w:type="dxa"/>
            </w:tcMar>
            <w:vAlign w:val="center"/>
            <w:hideMark/>
          </w:tcPr>
          <w:p w14:paraId="3DDBB50D"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Istanbul - TR1</w:t>
            </w:r>
          </w:p>
        </w:tc>
        <w:tc>
          <w:tcPr>
            <w:tcW w:w="1284" w:type="dxa"/>
            <w:tcMar>
              <w:top w:w="150" w:type="dxa"/>
              <w:left w:w="240" w:type="dxa"/>
              <w:bottom w:w="150" w:type="dxa"/>
              <w:right w:w="240" w:type="dxa"/>
            </w:tcMar>
            <w:vAlign w:val="center"/>
            <w:hideMark/>
          </w:tcPr>
          <w:p w14:paraId="30BD895E"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28,698</w:t>
            </w:r>
          </w:p>
        </w:tc>
        <w:tc>
          <w:tcPr>
            <w:tcW w:w="1280" w:type="dxa"/>
            <w:tcMar>
              <w:top w:w="150" w:type="dxa"/>
              <w:left w:w="240" w:type="dxa"/>
              <w:bottom w:w="150" w:type="dxa"/>
              <w:right w:w="240" w:type="dxa"/>
            </w:tcMar>
            <w:vAlign w:val="center"/>
            <w:hideMark/>
          </w:tcPr>
          <w:p w14:paraId="724BA639"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28,349</w:t>
            </w:r>
          </w:p>
        </w:tc>
        <w:tc>
          <w:tcPr>
            <w:tcW w:w="1280" w:type="dxa"/>
            <w:tcMar>
              <w:top w:w="150" w:type="dxa"/>
              <w:left w:w="240" w:type="dxa"/>
              <w:bottom w:w="150" w:type="dxa"/>
              <w:right w:w="240" w:type="dxa"/>
            </w:tcMar>
            <w:vAlign w:val="center"/>
            <w:hideMark/>
          </w:tcPr>
          <w:p w14:paraId="5B34D90F"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28,005</w:t>
            </w:r>
          </w:p>
        </w:tc>
        <w:tc>
          <w:tcPr>
            <w:tcW w:w="1280" w:type="dxa"/>
            <w:tcMar>
              <w:top w:w="150" w:type="dxa"/>
              <w:left w:w="240" w:type="dxa"/>
              <w:bottom w:w="150" w:type="dxa"/>
              <w:right w:w="240" w:type="dxa"/>
            </w:tcMar>
            <w:vAlign w:val="center"/>
            <w:hideMark/>
          </w:tcPr>
          <w:p w14:paraId="1577F423"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26,252</w:t>
            </w:r>
          </w:p>
        </w:tc>
        <w:tc>
          <w:tcPr>
            <w:tcW w:w="830" w:type="dxa"/>
            <w:tcMar>
              <w:top w:w="150" w:type="dxa"/>
              <w:left w:w="240" w:type="dxa"/>
              <w:bottom w:w="150" w:type="dxa"/>
              <w:right w:w="0" w:type="dxa"/>
            </w:tcMar>
            <w:vAlign w:val="center"/>
            <w:hideMark/>
          </w:tcPr>
          <w:p w14:paraId="35DD9478" w14:textId="77777777" w:rsidR="005D31CB" w:rsidRPr="005D31CB" w:rsidRDefault="005D31CB" w:rsidP="00F30801">
            <w:pPr>
              <w:spacing w:after="0" w:line="240" w:lineRule="auto"/>
              <w:rPr>
                <w:rFonts w:eastAsia="Times New Roman"/>
                <w:sz w:val="20"/>
                <w:szCs w:val="20"/>
                <w:lang w:eastAsia="tr-TR"/>
              </w:rPr>
            </w:pPr>
            <w:r w:rsidRPr="005D31CB">
              <w:rPr>
                <w:rFonts w:eastAsia="Times New Roman"/>
                <w:sz w:val="20"/>
                <w:szCs w:val="20"/>
                <w:lang w:eastAsia="tr-TR"/>
              </w:rPr>
              <w:t>25,835</w:t>
            </w:r>
          </w:p>
        </w:tc>
      </w:tr>
    </w:tbl>
    <w:p w14:paraId="0ABADBE2" w14:textId="48D20C83" w:rsidR="00433C33" w:rsidRPr="00452FB4" w:rsidRDefault="00433C33" w:rsidP="00F30801">
      <w:pPr>
        <w:spacing w:before="240" w:after="240" w:line="420" w:lineRule="atLeast"/>
        <w:jc w:val="center"/>
        <w:rPr>
          <w:rFonts w:eastAsia="Times New Roman"/>
          <w:b/>
          <w:bCs/>
          <w:color w:val="0F1115"/>
          <w:sz w:val="24"/>
          <w:szCs w:val="24"/>
          <w:lang w:eastAsia="tr-TR"/>
        </w:rPr>
      </w:pPr>
      <w:r w:rsidRPr="00452FB4">
        <w:rPr>
          <w:rFonts w:eastAsia="Times New Roman"/>
          <w:b/>
          <w:bCs/>
          <w:noProof/>
          <w:color w:val="0F1115"/>
          <w:sz w:val="24"/>
          <w:szCs w:val="24"/>
          <w:lang w:eastAsia="tr-TR"/>
        </w:rPr>
        <w:lastRenderedPageBreak/>
        <w:drawing>
          <wp:inline distT="0" distB="0" distL="0" distR="0" wp14:anchorId="2F80AAE5" wp14:editId="27DC4457">
            <wp:extent cx="5670550" cy="3066751"/>
            <wp:effectExtent l="0" t="0" r="6350" b="63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1717" cy="3094423"/>
                    </a:xfrm>
                    <a:prstGeom prst="rect">
                      <a:avLst/>
                    </a:prstGeom>
                    <a:noFill/>
                  </pic:spPr>
                </pic:pic>
              </a:graphicData>
            </a:graphic>
          </wp:inline>
        </w:drawing>
      </w:r>
    </w:p>
    <w:p w14:paraId="624D41C4" w14:textId="77777777" w:rsidR="00C21050" w:rsidRDefault="005D31CB" w:rsidP="00452FB4">
      <w:pPr>
        <w:spacing w:before="240" w:after="240" w:line="420" w:lineRule="atLeast"/>
        <w:jc w:val="both"/>
        <w:rPr>
          <w:rFonts w:eastAsia="Times New Roman"/>
          <w:b/>
          <w:bCs/>
          <w:color w:val="0F1115"/>
          <w:sz w:val="24"/>
          <w:szCs w:val="24"/>
          <w:lang w:eastAsia="tr-TR"/>
        </w:rPr>
      </w:pPr>
      <w:r w:rsidRPr="005D31CB">
        <w:rPr>
          <w:rFonts w:eastAsia="Times New Roman"/>
          <w:b/>
          <w:bCs/>
          <w:color w:val="0F1115"/>
          <w:sz w:val="24"/>
          <w:szCs w:val="24"/>
          <w:lang w:eastAsia="tr-TR"/>
        </w:rPr>
        <w:t xml:space="preserve">Figure 3. Annual Change in Total Vegetable Area in </w:t>
      </w:r>
      <w:r w:rsidR="00970AE1" w:rsidRPr="005D31CB">
        <w:rPr>
          <w:rFonts w:eastAsia="Times New Roman"/>
          <w:color w:val="0F1115"/>
          <w:sz w:val="24"/>
          <w:szCs w:val="24"/>
          <w:lang w:eastAsia="tr-TR"/>
        </w:rPr>
        <w:t>T</w:t>
      </w:r>
      <w:r w:rsidR="00970AE1">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Pr>
          <w:rFonts w:eastAsia="Times New Roman"/>
          <w:color w:val="0F1115"/>
          <w:sz w:val="24"/>
          <w:szCs w:val="24"/>
          <w:lang w:eastAsia="tr-TR"/>
        </w:rPr>
        <w:t>iye</w:t>
      </w:r>
      <w:r w:rsidR="00970AE1" w:rsidRPr="005D31CB">
        <w:rPr>
          <w:rFonts w:eastAsia="Times New Roman"/>
          <w:b/>
          <w:bCs/>
          <w:color w:val="0F1115"/>
          <w:sz w:val="24"/>
          <w:szCs w:val="24"/>
          <w:lang w:eastAsia="tr-TR"/>
        </w:rPr>
        <w:t xml:space="preserve"> </w:t>
      </w:r>
      <w:r w:rsidRPr="005D31CB">
        <w:rPr>
          <w:rFonts w:eastAsia="Times New Roman"/>
          <w:b/>
          <w:bCs/>
          <w:color w:val="0F1115"/>
          <w:sz w:val="24"/>
          <w:szCs w:val="24"/>
          <w:lang w:eastAsia="tr-TR"/>
        </w:rPr>
        <w:t>'s 12 Statistical Regions (2020-2024)</w:t>
      </w:r>
    </w:p>
    <w:p w14:paraId="53ED22DC" w14:textId="04DB0B4D"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br/>
        <w:t>Figure 3 and Table 3 show the annual change in the total vegetable area across</w:t>
      </w:r>
      <w:r w:rsidR="00970AE1">
        <w:rPr>
          <w:rFonts w:eastAsia="Times New Roman"/>
          <w:color w:val="0F1115"/>
          <w:sz w:val="24"/>
          <w:szCs w:val="24"/>
          <w:lang w:eastAsia="tr-TR"/>
        </w:rPr>
        <w:t xml:space="preserve"> </w:t>
      </w:r>
      <w:r w:rsidR="00970AE1" w:rsidRPr="005D31CB">
        <w:rPr>
          <w:rFonts w:eastAsia="Times New Roman"/>
          <w:color w:val="0F1115"/>
          <w:sz w:val="24"/>
          <w:szCs w:val="24"/>
          <w:lang w:eastAsia="tr-TR"/>
        </w:rPr>
        <w:t>T</w:t>
      </w:r>
      <w:r w:rsidR="00970AE1">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Pr>
          <w:rFonts w:eastAsia="Times New Roman"/>
          <w:color w:val="0F1115"/>
          <w:sz w:val="24"/>
          <w:szCs w:val="24"/>
          <w:lang w:eastAsia="tr-TR"/>
        </w:rPr>
        <w:t>iye</w:t>
      </w:r>
      <w:r w:rsidR="00970AE1" w:rsidRPr="005D31CB">
        <w:rPr>
          <w:rFonts w:eastAsia="Times New Roman"/>
          <w:color w:val="0F1115"/>
          <w:sz w:val="24"/>
          <w:szCs w:val="24"/>
          <w:lang w:eastAsia="tr-TR"/>
        </w:rPr>
        <w:t xml:space="preserve"> </w:t>
      </w:r>
      <w:r w:rsidRPr="005D31CB">
        <w:rPr>
          <w:rFonts w:eastAsia="Times New Roman"/>
          <w:color w:val="0F1115"/>
          <w:sz w:val="24"/>
          <w:szCs w:val="24"/>
          <w:lang w:eastAsia="tr-TR"/>
        </w:rPr>
        <w:t xml:space="preserve">'s 12 statistical regions during the 2020-2024 period. The general trend is an approximately 5% decrease in </w:t>
      </w:r>
      <w:r w:rsidR="00970AE1" w:rsidRPr="005D31CB">
        <w:rPr>
          <w:rFonts w:eastAsia="Times New Roman"/>
          <w:color w:val="0F1115"/>
          <w:sz w:val="24"/>
          <w:szCs w:val="24"/>
          <w:lang w:eastAsia="tr-TR"/>
        </w:rPr>
        <w:t>T</w:t>
      </w:r>
      <w:r w:rsidR="00970AE1" w:rsidRPr="00C21050">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sidRPr="00C21050">
        <w:rPr>
          <w:rFonts w:eastAsia="Times New Roman"/>
          <w:color w:val="0F1115"/>
          <w:sz w:val="24"/>
          <w:szCs w:val="24"/>
          <w:lang w:eastAsia="tr-TR"/>
        </w:rPr>
        <w:t xml:space="preserve">iye </w:t>
      </w:r>
      <w:r w:rsidRPr="005D31CB">
        <w:rPr>
          <w:rFonts w:eastAsia="Times New Roman"/>
          <w:color w:val="0F1115"/>
          <w:sz w:val="24"/>
          <w:szCs w:val="24"/>
          <w:lang w:eastAsia="tr-TR"/>
        </w:rPr>
        <w:t xml:space="preserve">'s total vegetable area, from 7.79 million decares in 2020 to 7.41 million decares in 2024. However, different regional dynamics underlie this decline. While areas in traditional vegetable production centers such as the Mediterranean (TR6), Aegean (TR3), and Eastern Marmara (TR4) have decreased significantly, the Western Anatolia (TR5), Central Anatolia (TR7), and Southeastern Anatolia (TRC) regions have recorded significant increases. Particularly in Central Anatolia (TR7), vegetable area increased by 3.6%, reaching 918 thousand decares with the spread of modern irrigation projects and greenhouse cultivation, making the region a rising center in </w:t>
      </w:r>
      <w:r w:rsidR="00970AE1" w:rsidRPr="005D31CB">
        <w:rPr>
          <w:rFonts w:eastAsia="Times New Roman"/>
          <w:color w:val="0F1115"/>
          <w:sz w:val="24"/>
          <w:szCs w:val="24"/>
          <w:lang w:eastAsia="tr-TR"/>
        </w:rPr>
        <w:t>T</w:t>
      </w:r>
      <w:r w:rsidR="00970AE1">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Pr>
          <w:rFonts w:eastAsia="Times New Roman"/>
          <w:color w:val="0F1115"/>
          <w:sz w:val="24"/>
          <w:szCs w:val="24"/>
          <w:lang w:eastAsia="tr-TR"/>
        </w:rPr>
        <w:t>iye</w:t>
      </w:r>
      <w:r w:rsidR="00970AE1" w:rsidRPr="005D31CB">
        <w:rPr>
          <w:rFonts w:eastAsia="Times New Roman"/>
          <w:color w:val="0F1115"/>
          <w:sz w:val="24"/>
          <w:szCs w:val="24"/>
          <w:lang w:eastAsia="tr-TR"/>
        </w:rPr>
        <w:t xml:space="preserve"> </w:t>
      </w:r>
      <w:r w:rsidRPr="005D31CB">
        <w:rPr>
          <w:rFonts w:eastAsia="Times New Roman"/>
          <w:color w:val="0F1115"/>
          <w:sz w:val="24"/>
          <w:szCs w:val="24"/>
          <w:lang w:eastAsia="tr-TR"/>
        </w:rPr>
        <w:t>'s vegetable production geography. In Southeastern Anatolia (TRC), a growth of 7.6% was observed, influenced by GAP irrigation investments. This distribution indicates a tendency for vegetable production to shift from traditional areas dependent on climatic advantages towards interior regions where factors such as irrigation infrastructure and market access are decisive.</w:t>
      </w:r>
    </w:p>
    <w:p w14:paraId="39DC803E" w14:textId="77777777" w:rsidR="00C21050" w:rsidRDefault="005D31CB" w:rsidP="00452FB4">
      <w:pPr>
        <w:spacing w:before="240" w:after="240" w:line="420" w:lineRule="atLeast"/>
        <w:jc w:val="both"/>
        <w:rPr>
          <w:rFonts w:eastAsia="Times New Roman"/>
          <w:color w:val="0F1115"/>
          <w:sz w:val="24"/>
          <w:szCs w:val="24"/>
          <w:lang w:eastAsia="tr-TR"/>
        </w:rPr>
      </w:pPr>
      <w:bookmarkStart w:id="10" w:name="_Hlk219244410"/>
      <w:r w:rsidRPr="005D31CB">
        <w:rPr>
          <w:rFonts w:eastAsia="Times New Roman"/>
          <w:b/>
          <w:bCs/>
          <w:color w:val="0F1115"/>
          <w:sz w:val="24"/>
          <w:szCs w:val="24"/>
          <w:lang w:eastAsia="tr-TR"/>
        </w:rPr>
        <w:t>Private Sector's Geographical Dominance: Extreme Concentration in Ornamental Plants</w:t>
      </w:r>
    </w:p>
    <w:p w14:paraId="4B5F3DE5" w14:textId="786E486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lastRenderedPageBreak/>
        <w:t xml:space="preserve">The ornamental plants (cut flowers, potted plants, seedlings) sector represents the peak of spatial concentration in </w:t>
      </w:r>
      <w:r w:rsidR="00970AE1" w:rsidRPr="005D31CB">
        <w:rPr>
          <w:rFonts w:eastAsia="Times New Roman"/>
          <w:color w:val="0F1115"/>
          <w:sz w:val="24"/>
          <w:szCs w:val="24"/>
          <w:lang w:eastAsia="tr-TR"/>
        </w:rPr>
        <w:t>T</w:t>
      </w:r>
      <w:r w:rsidR="00970AE1">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Pr>
          <w:rFonts w:eastAsia="Times New Roman"/>
          <w:color w:val="0F1115"/>
          <w:sz w:val="24"/>
          <w:szCs w:val="24"/>
          <w:lang w:eastAsia="tr-TR"/>
        </w:rPr>
        <w:t>iye</w:t>
      </w:r>
      <w:r w:rsidRPr="005D31CB">
        <w:rPr>
          <w:rFonts w:eastAsia="Times New Roman"/>
          <w:color w:val="0F1115"/>
          <w:sz w:val="24"/>
          <w:szCs w:val="24"/>
          <w:lang w:eastAsia="tr-TR"/>
        </w:rPr>
        <w:t xml:space="preserve"> agriculture—a field entirely driven by market and logistics. Production is extremely densely locked into centers that are the heart of consumption and the main gates for exports.</w:t>
      </w:r>
    </w:p>
    <w:p w14:paraId="1FD64A38"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Table 4. Regional Distribution of Ornamental Plants Area in 2024</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99"/>
        <w:gridCol w:w="2474"/>
        <w:gridCol w:w="1419"/>
        <w:gridCol w:w="1496"/>
      </w:tblGrid>
      <w:tr w:rsidR="005D31CB" w:rsidRPr="005D31CB" w14:paraId="32291752" w14:textId="77777777" w:rsidTr="00C21050">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7AE9F984"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Region Code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D163F7A"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Region Name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98E1558"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Area (da)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AD5ABB5" w14:textId="77777777" w:rsidR="005D31CB" w:rsidRPr="005D31CB" w:rsidRDefault="005D31CB" w:rsidP="00452FB4">
            <w:pPr>
              <w:spacing w:after="0" w:line="375" w:lineRule="atLeast"/>
              <w:jc w:val="both"/>
              <w:rPr>
                <w:rFonts w:eastAsia="Times New Roman"/>
                <w:b/>
                <w:bCs/>
                <w:sz w:val="23"/>
                <w:szCs w:val="23"/>
                <w:lang w:eastAsia="tr-TR"/>
              </w:rPr>
            </w:pPr>
            <w:r w:rsidRPr="005D31CB">
              <w:rPr>
                <w:rFonts w:eastAsia="Times New Roman"/>
                <w:b/>
                <w:bCs/>
                <w:sz w:val="23"/>
                <w:szCs w:val="23"/>
                <w:lang w:eastAsia="tr-TR"/>
              </w:rPr>
              <w:t>Share (%)</w:t>
            </w:r>
          </w:p>
        </w:tc>
      </w:tr>
      <w:tr w:rsidR="005D31CB" w:rsidRPr="005D31CB" w14:paraId="7BFCE850" w14:textId="77777777" w:rsidTr="00C21050">
        <w:tc>
          <w:tcPr>
            <w:tcW w:w="0" w:type="auto"/>
            <w:tcBorders>
              <w:top w:val="single" w:sz="4" w:space="0" w:color="auto"/>
            </w:tcBorders>
            <w:tcMar>
              <w:top w:w="150" w:type="dxa"/>
              <w:left w:w="0" w:type="dxa"/>
              <w:bottom w:w="150" w:type="dxa"/>
              <w:right w:w="240" w:type="dxa"/>
            </w:tcMar>
            <w:vAlign w:val="center"/>
            <w:hideMark/>
          </w:tcPr>
          <w:p w14:paraId="6D707316"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TR1</w:t>
            </w:r>
          </w:p>
        </w:tc>
        <w:tc>
          <w:tcPr>
            <w:tcW w:w="0" w:type="auto"/>
            <w:tcBorders>
              <w:top w:val="single" w:sz="4" w:space="0" w:color="auto"/>
            </w:tcBorders>
            <w:tcMar>
              <w:top w:w="150" w:type="dxa"/>
              <w:left w:w="240" w:type="dxa"/>
              <w:bottom w:w="150" w:type="dxa"/>
              <w:right w:w="240" w:type="dxa"/>
            </w:tcMar>
            <w:vAlign w:val="center"/>
            <w:hideMark/>
          </w:tcPr>
          <w:p w14:paraId="0DFC0C14"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Istanbul</w:t>
            </w:r>
          </w:p>
        </w:tc>
        <w:tc>
          <w:tcPr>
            <w:tcW w:w="0" w:type="auto"/>
            <w:tcBorders>
              <w:top w:val="single" w:sz="4" w:space="0" w:color="auto"/>
            </w:tcBorders>
            <w:tcMar>
              <w:top w:w="150" w:type="dxa"/>
              <w:left w:w="240" w:type="dxa"/>
              <w:bottom w:w="150" w:type="dxa"/>
              <w:right w:w="240" w:type="dxa"/>
            </w:tcMar>
            <w:vAlign w:val="center"/>
            <w:hideMark/>
          </w:tcPr>
          <w:p w14:paraId="19682320"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22,494.9</w:t>
            </w:r>
          </w:p>
        </w:tc>
        <w:tc>
          <w:tcPr>
            <w:tcW w:w="0" w:type="auto"/>
            <w:tcBorders>
              <w:top w:val="single" w:sz="4" w:space="0" w:color="auto"/>
            </w:tcBorders>
            <w:tcMar>
              <w:top w:w="150" w:type="dxa"/>
              <w:left w:w="240" w:type="dxa"/>
              <w:bottom w:w="150" w:type="dxa"/>
              <w:right w:w="0" w:type="dxa"/>
            </w:tcMar>
            <w:vAlign w:val="center"/>
            <w:hideMark/>
          </w:tcPr>
          <w:p w14:paraId="4B183D85"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38.1</w:t>
            </w:r>
          </w:p>
        </w:tc>
      </w:tr>
      <w:tr w:rsidR="005D31CB" w:rsidRPr="005D31CB" w14:paraId="19ADC027" w14:textId="77777777" w:rsidTr="00C21050">
        <w:tc>
          <w:tcPr>
            <w:tcW w:w="0" w:type="auto"/>
            <w:tcMar>
              <w:top w:w="150" w:type="dxa"/>
              <w:left w:w="0" w:type="dxa"/>
              <w:bottom w:w="150" w:type="dxa"/>
              <w:right w:w="240" w:type="dxa"/>
            </w:tcMar>
            <w:vAlign w:val="center"/>
            <w:hideMark/>
          </w:tcPr>
          <w:p w14:paraId="30692C77"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TR3</w:t>
            </w:r>
          </w:p>
        </w:tc>
        <w:tc>
          <w:tcPr>
            <w:tcW w:w="0" w:type="auto"/>
            <w:tcMar>
              <w:top w:w="150" w:type="dxa"/>
              <w:left w:w="240" w:type="dxa"/>
              <w:bottom w:w="150" w:type="dxa"/>
              <w:right w:w="240" w:type="dxa"/>
            </w:tcMar>
            <w:vAlign w:val="center"/>
            <w:hideMark/>
          </w:tcPr>
          <w:p w14:paraId="4DDB9E2E"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Aegean (Izmir)</w:t>
            </w:r>
          </w:p>
        </w:tc>
        <w:tc>
          <w:tcPr>
            <w:tcW w:w="0" w:type="auto"/>
            <w:tcMar>
              <w:top w:w="150" w:type="dxa"/>
              <w:left w:w="240" w:type="dxa"/>
              <w:bottom w:w="150" w:type="dxa"/>
              <w:right w:w="240" w:type="dxa"/>
            </w:tcMar>
            <w:vAlign w:val="center"/>
            <w:hideMark/>
          </w:tcPr>
          <w:p w14:paraId="7D503974"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18,951.4</w:t>
            </w:r>
          </w:p>
        </w:tc>
        <w:tc>
          <w:tcPr>
            <w:tcW w:w="0" w:type="auto"/>
            <w:tcMar>
              <w:top w:w="150" w:type="dxa"/>
              <w:left w:w="240" w:type="dxa"/>
              <w:bottom w:w="150" w:type="dxa"/>
              <w:right w:w="0" w:type="dxa"/>
            </w:tcMar>
            <w:vAlign w:val="center"/>
            <w:hideMark/>
          </w:tcPr>
          <w:p w14:paraId="09B902D1"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32.1</w:t>
            </w:r>
          </w:p>
        </w:tc>
      </w:tr>
      <w:tr w:rsidR="005D31CB" w:rsidRPr="005D31CB" w14:paraId="4EC6686D" w14:textId="77777777" w:rsidTr="00C21050">
        <w:tc>
          <w:tcPr>
            <w:tcW w:w="0" w:type="auto"/>
            <w:tcMar>
              <w:top w:w="150" w:type="dxa"/>
              <w:left w:w="0" w:type="dxa"/>
              <w:bottom w:w="150" w:type="dxa"/>
              <w:right w:w="240" w:type="dxa"/>
            </w:tcMar>
            <w:vAlign w:val="center"/>
            <w:hideMark/>
          </w:tcPr>
          <w:p w14:paraId="39B162CC"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TR4</w:t>
            </w:r>
          </w:p>
        </w:tc>
        <w:tc>
          <w:tcPr>
            <w:tcW w:w="0" w:type="auto"/>
            <w:tcMar>
              <w:top w:w="150" w:type="dxa"/>
              <w:left w:w="240" w:type="dxa"/>
              <w:bottom w:w="150" w:type="dxa"/>
              <w:right w:w="240" w:type="dxa"/>
            </w:tcMar>
            <w:vAlign w:val="center"/>
            <w:hideMark/>
          </w:tcPr>
          <w:p w14:paraId="652802A6"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Eastern Marmara</w:t>
            </w:r>
          </w:p>
        </w:tc>
        <w:tc>
          <w:tcPr>
            <w:tcW w:w="0" w:type="auto"/>
            <w:tcMar>
              <w:top w:w="150" w:type="dxa"/>
              <w:left w:w="240" w:type="dxa"/>
              <w:bottom w:w="150" w:type="dxa"/>
              <w:right w:w="240" w:type="dxa"/>
            </w:tcMar>
            <w:vAlign w:val="center"/>
            <w:hideMark/>
          </w:tcPr>
          <w:p w14:paraId="4AFA92A4"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13,277.4</w:t>
            </w:r>
          </w:p>
        </w:tc>
        <w:tc>
          <w:tcPr>
            <w:tcW w:w="0" w:type="auto"/>
            <w:tcMar>
              <w:top w:w="150" w:type="dxa"/>
              <w:left w:w="240" w:type="dxa"/>
              <w:bottom w:w="150" w:type="dxa"/>
              <w:right w:w="0" w:type="dxa"/>
            </w:tcMar>
            <w:vAlign w:val="center"/>
            <w:hideMark/>
          </w:tcPr>
          <w:p w14:paraId="09D86C7B"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22.5</w:t>
            </w:r>
          </w:p>
        </w:tc>
      </w:tr>
      <w:tr w:rsidR="005D31CB" w:rsidRPr="005D31CB" w14:paraId="1FBF0B25" w14:textId="77777777" w:rsidTr="00C21050">
        <w:tc>
          <w:tcPr>
            <w:tcW w:w="0" w:type="auto"/>
            <w:tcMar>
              <w:top w:w="150" w:type="dxa"/>
              <w:left w:w="0" w:type="dxa"/>
              <w:bottom w:w="150" w:type="dxa"/>
              <w:right w:w="240" w:type="dxa"/>
            </w:tcMar>
            <w:vAlign w:val="center"/>
            <w:hideMark/>
          </w:tcPr>
          <w:p w14:paraId="2CA0EADA"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Other</w:t>
            </w:r>
          </w:p>
        </w:tc>
        <w:tc>
          <w:tcPr>
            <w:tcW w:w="0" w:type="auto"/>
            <w:tcMar>
              <w:top w:w="150" w:type="dxa"/>
              <w:left w:w="240" w:type="dxa"/>
              <w:bottom w:w="150" w:type="dxa"/>
              <w:right w:w="240" w:type="dxa"/>
            </w:tcMar>
            <w:vAlign w:val="center"/>
            <w:hideMark/>
          </w:tcPr>
          <w:p w14:paraId="345E6B16"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sz w:val="23"/>
                <w:szCs w:val="23"/>
                <w:lang w:eastAsia="tr-TR"/>
              </w:rPr>
              <w:t>Remaining 9 Regions</w:t>
            </w:r>
          </w:p>
        </w:tc>
        <w:tc>
          <w:tcPr>
            <w:tcW w:w="0" w:type="auto"/>
            <w:tcMar>
              <w:top w:w="150" w:type="dxa"/>
              <w:left w:w="240" w:type="dxa"/>
              <w:bottom w:w="150" w:type="dxa"/>
              <w:right w:w="240" w:type="dxa"/>
            </w:tcMar>
            <w:vAlign w:val="center"/>
            <w:hideMark/>
          </w:tcPr>
          <w:p w14:paraId="253F062F"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5,267.6</w:t>
            </w:r>
          </w:p>
        </w:tc>
        <w:tc>
          <w:tcPr>
            <w:tcW w:w="0" w:type="auto"/>
            <w:tcMar>
              <w:top w:w="150" w:type="dxa"/>
              <w:left w:w="240" w:type="dxa"/>
              <w:bottom w:w="150" w:type="dxa"/>
              <w:right w:w="0" w:type="dxa"/>
            </w:tcMar>
            <w:vAlign w:val="center"/>
            <w:hideMark/>
          </w:tcPr>
          <w:p w14:paraId="7DDCEEB8"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7.3</w:t>
            </w:r>
          </w:p>
        </w:tc>
      </w:tr>
      <w:tr w:rsidR="005D31CB" w:rsidRPr="005D31CB" w14:paraId="0C6121A6" w14:textId="77777777" w:rsidTr="00C21050">
        <w:tc>
          <w:tcPr>
            <w:tcW w:w="0" w:type="auto"/>
            <w:tcMar>
              <w:top w:w="150" w:type="dxa"/>
              <w:left w:w="0" w:type="dxa"/>
              <w:bottom w:w="150" w:type="dxa"/>
              <w:right w:w="240" w:type="dxa"/>
            </w:tcMar>
            <w:vAlign w:val="center"/>
            <w:hideMark/>
          </w:tcPr>
          <w:p w14:paraId="7F1B5F7B"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Total</w:t>
            </w:r>
          </w:p>
        </w:tc>
        <w:tc>
          <w:tcPr>
            <w:tcW w:w="0" w:type="auto"/>
            <w:tcMar>
              <w:top w:w="150" w:type="dxa"/>
              <w:left w:w="240" w:type="dxa"/>
              <w:bottom w:w="150" w:type="dxa"/>
              <w:right w:w="240" w:type="dxa"/>
            </w:tcMar>
            <w:vAlign w:val="center"/>
            <w:hideMark/>
          </w:tcPr>
          <w:p w14:paraId="582AF81B" w14:textId="67DCF080" w:rsidR="005D31CB" w:rsidRPr="005D31CB" w:rsidRDefault="00970AE1" w:rsidP="00452FB4">
            <w:pPr>
              <w:spacing w:after="0" w:line="375" w:lineRule="atLeast"/>
              <w:jc w:val="both"/>
              <w:rPr>
                <w:rFonts w:eastAsia="Times New Roman"/>
                <w:sz w:val="23"/>
                <w:szCs w:val="23"/>
                <w:lang w:eastAsia="tr-TR"/>
              </w:rPr>
            </w:pPr>
            <w:r w:rsidRPr="005D31CB">
              <w:rPr>
                <w:rFonts w:eastAsia="Times New Roman"/>
                <w:b/>
                <w:bCs/>
                <w:color w:val="0F1115"/>
                <w:sz w:val="24"/>
                <w:szCs w:val="24"/>
                <w:lang w:eastAsia="tr-TR"/>
              </w:rPr>
              <w:t>T</w:t>
            </w:r>
            <w:r w:rsidRPr="00970AE1">
              <w:rPr>
                <w:rFonts w:eastAsia="Times New Roman"/>
                <w:b/>
                <w:bCs/>
                <w:color w:val="0F1115"/>
                <w:sz w:val="24"/>
                <w:szCs w:val="24"/>
                <w:lang w:eastAsia="tr-TR"/>
              </w:rPr>
              <w:t>ü</w:t>
            </w:r>
            <w:r w:rsidRPr="005D31CB">
              <w:rPr>
                <w:rFonts w:eastAsia="Times New Roman"/>
                <w:b/>
                <w:bCs/>
                <w:color w:val="0F1115"/>
                <w:sz w:val="24"/>
                <w:szCs w:val="24"/>
                <w:lang w:eastAsia="tr-TR"/>
              </w:rPr>
              <w:t>rk</w:t>
            </w:r>
            <w:r w:rsidRPr="00970AE1">
              <w:rPr>
                <w:rFonts w:eastAsia="Times New Roman"/>
                <w:b/>
                <w:bCs/>
                <w:color w:val="0F1115"/>
                <w:sz w:val="24"/>
                <w:szCs w:val="24"/>
                <w:lang w:eastAsia="tr-TR"/>
              </w:rPr>
              <w:t>iye</w:t>
            </w:r>
            <w:r w:rsidR="005D31CB" w:rsidRPr="005D31CB">
              <w:rPr>
                <w:rFonts w:eastAsia="Times New Roman"/>
                <w:b/>
                <w:bCs/>
                <w:sz w:val="23"/>
                <w:szCs w:val="23"/>
                <w:lang w:eastAsia="tr-TR"/>
              </w:rPr>
              <w:t xml:space="preserve"> Total</w:t>
            </w:r>
          </w:p>
        </w:tc>
        <w:tc>
          <w:tcPr>
            <w:tcW w:w="0" w:type="auto"/>
            <w:tcMar>
              <w:top w:w="150" w:type="dxa"/>
              <w:left w:w="240" w:type="dxa"/>
              <w:bottom w:w="150" w:type="dxa"/>
              <w:right w:w="240" w:type="dxa"/>
            </w:tcMar>
            <w:vAlign w:val="center"/>
            <w:hideMark/>
          </w:tcPr>
          <w:p w14:paraId="037CF88E"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59,991.3</w:t>
            </w:r>
          </w:p>
        </w:tc>
        <w:tc>
          <w:tcPr>
            <w:tcW w:w="0" w:type="auto"/>
            <w:tcMar>
              <w:top w:w="150" w:type="dxa"/>
              <w:left w:w="240" w:type="dxa"/>
              <w:bottom w:w="150" w:type="dxa"/>
              <w:right w:w="0" w:type="dxa"/>
            </w:tcMar>
            <w:vAlign w:val="center"/>
            <w:hideMark/>
          </w:tcPr>
          <w:p w14:paraId="6C5823C5" w14:textId="77777777" w:rsidR="005D31CB" w:rsidRPr="005D31CB" w:rsidRDefault="005D31CB" w:rsidP="00452FB4">
            <w:pPr>
              <w:spacing w:after="0" w:line="375" w:lineRule="atLeast"/>
              <w:jc w:val="both"/>
              <w:rPr>
                <w:rFonts w:eastAsia="Times New Roman"/>
                <w:sz w:val="23"/>
                <w:szCs w:val="23"/>
                <w:lang w:eastAsia="tr-TR"/>
              </w:rPr>
            </w:pPr>
            <w:r w:rsidRPr="005D31CB">
              <w:rPr>
                <w:rFonts w:eastAsia="Times New Roman"/>
                <w:b/>
                <w:bCs/>
                <w:sz w:val="23"/>
                <w:szCs w:val="23"/>
                <w:lang w:eastAsia="tr-TR"/>
              </w:rPr>
              <w:t>100.0</w:t>
            </w:r>
          </w:p>
        </w:tc>
      </w:tr>
    </w:tbl>
    <w:p w14:paraId="05549222"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i/>
          <w:iCs/>
          <w:color w:val="0F1115"/>
          <w:sz w:val="24"/>
          <w:szCs w:val="24"/>
          <w:lang w:eastAsia="tr-TR"/>
        </w:rPr>
        <w:t>Source: TurkStat Crop Production Statistics (2024)</w:t>
      </w:r>
    </w:p>
    <w:p w14:paraId="1876D801" w14:textId="239BBB80" w:rsid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A striking</w:t>
      </w:r>
      <w:r w:rsidR="00295132" w:rsidRPr="00295132">
        <w:rPr>
          <w:rFonts w:eastAsia="Times New Roman"/>
          <w:color w:val="0F1115"/>
          <w:sz w:val="24"/>
          <w:szCs w:val="24"/>
          <w:lang w:eastAsia="tr-TR"/>
        </w:rPr>
        <w:t xml:space="preserve"> </w:t>
      </w:r>
      <w:r w:rsidRPr="005D31CB">
        <w:rPr>
          <w:rFonts w:eastAsia="Times New Roman"/>
          <w:color w:val="0F1115"/>
          <w:sz w:val="24"/>
          <w:szCs w:val="24"/>
          <w:lang w:eastAsia="tr-TR"/>
        </w:rPr>
        <w:t>92.7%</w:t>
      </w:r>
      <w:r w:rsidR="00295132" w:rsidRPr="00295132">
        <w:rPr>
          <w:rFonts w:eastAsia="Times New Roman"/>
          <w:color w:val="0F1115"/>
          <w:sz w:val="24"/>
          <w:szCs w:val="24"/>
          <w:lang w:eastAsia="tr-TR"/>
        </w:rPr>
        <w:t xml:space="preserve"> </w:t>
      </w:r>
      <w:r w:rsidRPr="005D31CB">
        <w:rPr>
          <w:rFonts w:eastAsia="Times New Roman"/>
          <w:color w:val="0F1115"/>
          <w:sz w:val="24"/>
          <w:szCs w:val="24"/>
          <w:lang w:eastAsia="tr-TR"/>
        </w:rPr>
        <w:t xml:space="preserve">of </w:t>
      </w:r>
      <w:r w:rsidR="00970AE1" w:rsidRPr="005D31CB">
        <w:rPr>
          <w:rFonts w:eastAsia="Times New Roman"/>
          <w:color w:val="0F1115"/>
          <w:sz w:val="24"/>
          <w:szCs w:val="24"/>
          <w:lang w:eastAsia="tr-TR"/>
        </w:rPr>
        <w:t>T</w:t>
      </w:r>
      <w:r w:rsidR="00970AE1" w:rsidRPr="00295132">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sidRPr="00295132">
        <w:rPr>
          <w:rFonts w:eastAsia="Times New Roman"/>
          <w:color w:val="0F1115"/>
          <w:sz w:val="24"/>
          <w:szCs w:val="24"/>
          <w:lang w:eastAsia="tr-TR"/>
        </w:rPr>
        <w:t>iye</w:t>
      </w:r>
      <w:r w:rsidR="00970AE1" w:rsidRPr="005D31CB">
        <w:rPr>
          <w:rFonts w:eastAsia="Times New Roman"/>
          <w:color w:val="0F1115"/>
          <w:sz w:val="24"/>
          <w:szCs w:val="24"/>
          <w:lang w:eastAsia="tr-TR"/>
        </w:rPr>
        <w:t xml:space="preserve"> </w:t>
      </w:r>
      <w:r w:rsidRPr="005D31CB">
        <w:rPr>
          <w:rFonts w:eastAsia="Times New Roman"/>
          <w:color w:val="0F1115"/>
          <w:sz w:val="24"/>
          <w:szCs w:val="24"/>
          <w:lang w:eastAsia="tr-TR"/>
        </w:rPr>
        <w:t>'s ornamental plant area is clustered in just three regions (TR1 Istanbul, TR3 Aegean/Izmir, TR4 Eastern Marmara) (Table 4). This situation proves the sector's absolute dependence on massive local consumption centers like Istanbul and export facilities such as the airport/port in Izmir (Taşçıoğlu &amp; Sayın, 2005). TR4 (Sakarya, Kocaeli, Yalova, Bursa, Bilecik) has become a critical part of this cluster due to its proximity to the Istanbul market and suitable microclimate characteristics. This model is an example of the decisive role of "market potential" in determining production location, as described in Krugman's economic geography theory.</w:t>
      </w:r>
    </w:p>
    <w:p w14:paraId="2874D3E6" w14:textId="77777777" w:rsidR="00295132" w:rsidRPr="00452FB4" w:rsidRDefault="00295132" w:rsidP="00452FB4">
      <w:pPr>
        <w:spacing w:before="240" w:after="240" w:line="420" w:lineRule="atLeast"/>
        <w:jc w:val="both"/>
        <w:rPr>
          <w:rFonts w:eastAsia="Times New Roman"/>
          <w:color w:val="0F1115"/>
          <w:sz w:val="24"/>
          <w:szCs w:val="24"/>
          <w:lang w:eastAsia="tr-TR"/>
        </w:rPr>
      </w:pPr>
    </w:p>
    <w:p w14:paraId="2DF45376" w14:textId="11329602" w:rsidR="00F92186" w:rsidRPr="005D31CB" w:rsidRDefault="00F92186" w:rsidP="00452FB4">
      <w:pPr>
        <w:spacing w:before="240" w:after="240" w:line="420" w:lineRule="atLeast"/>
        <w:jc w:val="both"/>
        <w:rPr>
          <w:rFonts w:eastAsia="Times New Roman"/>
          <w:color w:val="0F1115"/>
          <w:sz w:val="24"/>
          <w:szCs w:val="24"/>
          <w:lang w:eastAsia="tr-TR"/>
        </w:rPr>
      </w:pPr>
      <w:r w:rsidRPr="00452FB4">
        <w:rPr>
          <w:noProof/>
        </w:rPr>
        <w:lastRenderedPageBreak/>
        <w:drawing>
          <wp:inline distT="0" distB="0" distL="0" distR="0" wp14:anchorId="5CB190C8" wp14:editId="24C4CC05">
            <wp:extent cx="5760720" cy="3280236"/>
            <wp:effectExtent l="0" t="0" r="11430" b="15875"/>
            <wp:docPr id="17" name="Grafik 17">
              <a:extLst xmlns:a="http://schemas.openxmlformats.org/drawingml/2006/main">
                <a:ext uri="{FF2B5EF4-FFF2-40B4-BE49-F238E27FC236}">
                  <a16:creationId xmlns:a16="http://schemas.microsoft.com/office/drawing/2014/main" id="{562C202A-8494-4D55-B7E9-FFD3DA3AB1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66D864" w14:textId="77777777" w:rsidR="00295132"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Figure 4. Regional Distribution of Ornamental Plants Area, 2024</w:t>
      </w:r>
    </w:p>
    <w:p w14:paraId="224953F0" w14:textId="711554E5"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 xml:space="preserve">Figure 4 clearly demonstrates the extreme geographical concentration of ornamental plant production in </w:t>
      </w:r>
      <w:r w:rsidR="00970AE1" w:rsidRPr="005D31CB">
        <w:rPr>
          <w:rFonts w:eastAsia="Times New Roman"/>
          <w:color w:val="0F1115"/>
          <w:sz w:val="24"/>
          <w:szCs w:val="24"/>
          <w:lang w:eastAsia="tr-TR"/>
        </w:rPr>
        <w:t>T</w:t>
      </w:r>
      <w:r w:rsidR="00970AE1">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Pr>
          <w:rFonts w:eastAsia="Times New Roman"/>
          <w:color w:val="0F1115"/>
          <w:sz w:val="24"/>
          <w:szCs w:val="24"/>
          <w:lang w:eastAsia="tr-TR"/>
        </w:rPr>
        <w:t>iye</w:t>
      </w:r>
      <w:r w:rsidRPr="005D31CB">
        <w:rPr>
          <w:rFonts w:eastAsia="Times New Roman"/>
          <w:color w:val="0F1115"/>
          <w:sz w:val="24"/>
          <w:szCs w:val="24"/>
          <w:lang w:eastAsia="tr-TR"/>
        </w:rPr>
        <w:t xml:space="preserve"> in 2024. 92.7% (55,724 decares) of the total production area of 59,991 decares is clustered in only three regions (TR1 Istanbul, TR3 Aegean/Izmir, and TR4 Eastern Marmara). This distribution reflects the sector's absolute logistical dependence on consumption and export centers. The TR1 (Istanbul) region ranks first with a 38.1% share, showing the determining influence of the presence of a massive local market with a population exceeding 16 million and wholesale distribution centers on production location. The TR3 (Aegean) and TR4 (Eastern Marmara) regions, with shares of 32.1% and 22.5% respectively, form the other critical pillars of this intensive cluster, thanks to their proximity to the Istanbul market, suitable microclimate conditions, and access to air/sea export corridors in Izmir. The fact that the combined share of the remaining nine regions is only 7.3% proves that the geographical flexibility of ornamental plant production is extremely limited and that "market potential" has become a dominant factor in the spatial organization of production, as foreseen in Paul Krugman's economic geography theory.</w:t>
      </w:r>
    </w:p>
    <w:bookmarkEnd w:id="10"/>
    <w:p w14:paraId="01584094" w14:textId="77777777" w:rsidR="00295132"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Dynamics of Specialization, Gains, and Future Risks</w:t>
      </w:r>
    </w:p>
    <w:p w14:paraId="7225F327" w14:textId="267C15AC"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 xml:space="preserve">The analyses clearly reveal three main driving forces shaping the geography of high-value agriculture in </w:t>
      </w:r>
      <w:r w:rsidR="00970AE1" w:rsidRPr="005D31CB">
        <w:rPr>
          <w:rFonts w:eastAsia="Times New Roman"/>
          <w:color w:val="0F1115"/>
          <w:sz w:val="24"/>
          <w:szCs w:val="24"/>
          <w:lang w:eastAsia="tr-TR"/>
        </w:rPr>
        <w:t>T</w:t>
      </w:r>
      <w:r w:rsidR="00970AE1">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Pr>
          <w:rFonts w:eastAsia="Times New Roman"/>
          <w:color w:val="0F1115"/>
          <w:sz w:val="24"/>
          <w:szCs w:val="24"/>
          <w:lang w:eastAsia="tr-TR"/>
        </w:rPr>
        <w:t>iye</w:t>
      </w:r>
      <w:r w:rsidRPr="005D31CB">
        <w:rPr>
          <w:rFonts w:eastAsia="Times New Roman"/>
          <w:color w:val="0F1115"/>
          <w:sz w:val="24"/>
          <w:szCs w:val="24"/>
          <w:lang w:eastAsia="tr-TR"/>
        </w:rPr>
        <w:t>:</w:t>
      </w:r>
    </w:p>
    <w:p w14:paraId="34EE1E9F" w14:textId="1986FB24" w:rsidR="005D31CB" w:rsidRPr="005D31CB" w:rsidRDefault="005D31CB" w:rsidP="00452FB4">
      <w:pPr>
        <w:numPr>
          <w:ilvl w:val="0"/>
          <w:numId w:val="15"/>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lastRenderedPageBreak/>
        <w:t>Absolute Climate and Natural Resource Advantage:</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The natural superiorities of the Mediterranean (TR6) and Aegean (TR3) regions, such as mild winters and long, hot summers, formed the basis of traditional fruit and vegetable strongholds.</w:t>
      </w:r>
    </w:p>
    <w:p w14:paraId="2E19928E" w14:textId="16FADAEC" w:rsidR="005D31CB" w:rsidRPr="005D31CB" w:rsidRDefault="005D31CB" w:rsidP="00452FB4">
      <w:pPr>
        <w:numPr>
          <w:ilvl w:val="0"/>
          <w:numId w:val="15"/>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State Investments and Infrastructure Transformation:</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The massive transformation experienced in the TRC (Southeastern Anatolia) region thanks to GAP projects is evidence of how the state's irrigation and rural infrastructure investments can fundamentally change a region's comparative advantage.</w:t>
      </w:r>
    </w:p>
    <w:p w14:paraId="26180E6E" w14:textId="0217DEDF" w:rsidR="005D31CB" w:rsidRPr="005D31CB" w:rsidRDefault="005D31CB" w:rsidP="00452FB4">
      <w:pPr>
        <w:numPr>
          <w:ilvl w:val="0"/>
          <w:numId w:val="15"/>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Market and Logistics-Oriented Clustering:</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As seen especially in the ornamental plants sector, proximity to major consumption centers and export points can become the strongest factor determining the geography of production.</w:t>
      </w:r>
    </w:p>
    <w:p w14:paraId="03EE5853" w14:textId="2FAA2E44"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This high degree of geographical specialization provides significant gains in terms of productivity, knowledge accumulation, branding, and market access. However, it also brings significant risks. Extreme heat, drought, and frost events caused by</w:t>
      </w:r>
      <w:r w:rsidR="00295132" w:rsidRPr="00295132">
        <w:rPr>
          <w:rFonts w:eastAsia="Times New Roman"/>
          <w:color w:val="0F1115"/>
          <w:sz w:val="24"/>
          <w:szCs w:val="24"/>
          <w:lang w:eastAsia="tr-TR"/>
        </w:rPr>
        <w:t xml:space="preserve"> </w:t>
      </w:r>
      <w:r w:rsidRPr="005D31CB">
        <w:rPr>
          <w:rFonts w:eastAsia="Times New Roman"/>
          <w:color w:val="0F1115"/>
          <w:sz w:val="24"/>
          <w:szCs w:val="24"/>
          <w:lang w:eastAsia="tr-TR"/>
        </w:rPr>
        <w:t>climate change</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directly threaten these regions where production is excessively concentrated (Göçmez &amp; İşçioğlu, 2004). Additionally, disease risk, dependency on single-crop production, and excessive pressure on water resources are other important problem areas.</w:t>
      </w:r>
    </w:p>
    <w:p w14:paraId="69BF0AC4"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For maintaining sustainability and competitiveness in the future, the following policies are of great importance:</w:t>
      </w:r>
    </w:p>
    <w:p w14:paraId="610CFE42" w14:textId="3F14F73D" w:rsidR="005D31CB" w:rsidRPr="005D31CB" w:rsidRDefault="005D31CB" w:rsidP="00452FB4">
      <w:pPr>
        <w:numPr>
          <w:ilvl w:val="0"/>
          <w:numId w:val="16"/>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Product and Regional Diversification:</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Development of alternative products and production regions to reduce excessive dependency on a single region/product.</w:t>
      </w:r>
    </w:p>
    <w:p w14:paraId="4A8309E2" w14:textId="01863B8E" w:rsidR="005D31CB" w:rsidRPr="005D31CB" w:rsidRDefault="005D31CB" w:rsidP="00452FB4">
      <w:pPr>
        <w:numPr>
          <w:ilvl w:val="0"/>
          <w:numId w:val="16"/>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Maximization of Water Use Efficiency:</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Widespread adoption of precision irrigation systems like drip irrigation in all regions where high-value agriculture is practiced.</w:t>
      </w:r>
    </w:p>
    <w:p w14:paraId="201F1020" w14:textId="512CCA0A" w:rsidR="005D31CB" w:rsidRPr="005D31CB" w:rsidRDefault="005D31CB" w:rsidP="00452FB4">
      <w:pPr>
        <w:numPr>
          <w:ilvl w:val="0"/>
          <w:numId w:val="16"/>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Strengthening the Value Chain:</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Enhancing product value through protection of geographical indications, branding, cold chain logistics, and processing facility investments.</w:t>
      </w:r>
    </w:p>
    <w:p w14:paraId="62BA5A1D" w14:textId="140FF026" w:rsidR="005D31CB" w:rsidRPr="005D31CB" w:rsidRDefault="005D31CB" w:rsidP="00452FB4">
      <w:pPr>
        <w:numPr>
          <w:ilvl w:val="0"/>
          <w:numId w:val="16"/>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Climate-Resilient Agricultural Practices:</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Adaptation of drought- and heat-resistant varieties, investment in smart greenhouse technologies, and microclimate management.</w:t>
      </w:r>
    </w:p>
    <w:p w14:paraId="221FF71C" w14:textId="241B236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 xml:space="preserve">In summary, </w:t>
      </w:r>
      <w:r w:rsidR="00970AE1" w:rsidRPr="005D31CB">
        <w:rPr>
          <w:rFonts w:eastAsia="Times New Roman"/>
          <w:color w:val="0F1115"/>
          <w:sz w:val="24"/>
          <w:szCs w:val="24"/>
          <w:lang w:eastAsia="tr-TR"/>
        </w:rPr>
        <w:t>T</w:t>
      </w:r>
      <w:r w:rsidR="00970AE1">
        <w:rPr>
          <w:rFonts w:eastAsia="Times New Roman"/>
          <w:color w:val="0F1115"/>
          <w:sz w:val="24"/>
          <w:szCs w:val="24"/>
          <w:lang w:eastAsia="tr-TR"/>
        </w:rPr>
        <w:t>ü</w:t>
      </w:r>
      <w:r w:rsidR="00970AE1" w:rsidRPr="005D31CB">
        <w:rPr>
          <w:rFonts w:eastAsia="Times New Roman"/>
          <w:color w:val="0F1115"/>
          <w:sz w:val="24"/>
          <w:szCs w:val="24"/>
          <w:lang w:eastAsia="tr-TR"/>
        </w:rPr>
        <w:t>rk</w:t>
      </w:r>
      <w:r w:rsidR="00970AE1">
        <w:rPr>
          <w:rFonts w:eastAsia="Times New Roman"/>
          <w:color w:val="0F1115"/>
          <w:sz w:val="24"/>
          <w:szCs w:val="24"/>
          <w:lang w:eastAsia="tr-TR"/>
        </w:rPr>
        <w:t>iye</w:t>
      </w:r>
      <w:r w:rsidR="00970AE1" w:rsidRPr="005D31CB">
        <w:rPr>
          <w:rFonts w:eastAsia="Times New Roman"/>
          <w:color w:val="0F1115"/>
          <w:sz w:val="24"/>
          <w:szCs w:val="24"/>
          <w:lang w:eastAsia="tr-TR"/>
        </w:rPr>
        <w:t xml:space="preserve"> </w:t>
      </w:r>
      <w:r w:rsidRPr="005D31CB">
        <w:rPr>
          <w:rFonts w:eastAsia="Times New Roman"/>
          <w:color w:val="0F1115"/>
          <w:sz w:val="24"/>
          <w:szCs w:val="24"/>
          <w:lang w:eastAsia="tr-TR"/>
        </w:rPr>
        <w:t xml:space="preserve">'s high-value agricultural map is a dynamic and constantly evolving mosaic. The market brush and the colors of nature shaping this mosaic can carry the country's </w:t>
      </w:r>
      <w:r w:rsidRPr="005D31CB">
        <w:rPr>
          <w:rFonts w:eastAsia="Times New Roman"/>
          <w:color w:val="0F1115"/>
          <w:sz w:val="24"/>
          <w:szCs w:val="24"/>
          <w:lang w:eastAsia="tr-TR"/>
        </w:rPr>
        <w:lastRenderedPageBreak/>
        <w:t>agriculture towards long-term prosperity and competitiveness only when used in harmony with rational policy interventions and sustainability-focused investments.</w:t>
      </w:r>
    </w:p>
    <w:p w14:paraId="5A609B47" w14:textId="4731E462" w:rsidR="00295132" w:rsidRPr="00295132" w:rsidRDefault="005D31CB" w:rsidP="00295132">
      <w:pPr>
        <w:pStyle w:val="ListParagraph"/>
        <w:numPr>
          <w:ilvl w:val="0"/>
          <w:numId w:val="15"/>
        </w:numPr>
        <w:spacing w:before="240" w:after="240" w:line="420" w:lineRule="atLeast"/>
        <w:jc w:val="both"/>
        <w:rPr>
          <w:rFonts w:eastAsia="Times New Roman"/>
          <w:color w:val="0F1115"/>
          <w:sz w:val="24"/>
          <w:szCs w:val="24"/>
          <w:lang w:eastAsia="tr-TR"/>
        </w:rPr>
      </w:pPr>
      <w:commentRangeStart w:id="11"/>
      <w:r w:rsidRPr="00295132">
        <w:rPr>
          <w:rFonts w:eastAsia="Times New Roman"/>
          <w:b/>
          <w:bCs/>
          <w:color w:val="0F1115"/>
          <w:sz w:val="24"/>
          <w:szCs w:val="24"/>
          <w:lang w:eastAsia="tr-TR"/>
        </w:rPr>
        <w:t>CONCLUSION</w:t>
      </w:r>
      <w:commentRangeEnd w:id="11"/>
      <w:r w:rsidR="00D24B75">
        <w:rPr>
          <w:rStyle w:val="CommentReference"/>
        </w:rPr>
        <w:commentReference w:id="11"/>
      </w:r>
    </w:p>
    <w:p w14:paraId="3F57A837" w14:textId="4060BDDD" w:rsidR="005D31CB" w:rsidRPr="00295132" w:rsidRDefault="005D31CB" w:rsidP="00295132">
      <w:pPr>
        <w:spacing w:before="240" w:after="240" w:line="420" w:lineRule="atLeast"/>
        <w:jc w:val="both"/>
        <w:rPr>
          <w:rFonts w:eastAsia="Times New Roman"/>
          <w:color w:val="0F1115"/>
          <w:sz w:val="24"/>
          <w:szCs w:val="24"/>
          <w:lang w:eastAsia="tr-TR"/>
        </w:rPr>
      </w:pPr>
      <w:r w:rsidRPr="00295132">
        <w:rPr>
          <w:rFonts w:eastAsia="Times New Roman"/>
          <w:color w:val="0F1115"/>
          <w:sz w:val="24"/>
          <w:szCs w:val="24"/>
          <w:lang w:eastAsia="tr-TR"/>
        </w:rPr>
        <w:t xml:space="preserve">The analyses clearly reveal three main driving forces shaping the geography of high-value agriculture in </w:t>
      </w:r>
      <w:r w:rsidR="00970AE1" w:rsidRPr="00295132">
        <w:rPr>
          <w:rFonts w:eastAsia="Times New Roman"/>
          <w:color w:val="0F1115"/>
          <w:sz w:val="24"/>
          <w:szCs w:val="24"/>
          <w:lang w:eastAsia="tr-TR"/>
        </w:rPr>
        <w:t>Türkiye</w:t>
      </w:r>
      <w:r w:rsidRPr="00295132">
        <w:rPr>
          <w:rFonts w:eastAsia="Times New Roman"/>
          <w:color w:val="0F1115"/>
          <w:sz w:val="24"/>
          <w:szCs w:val="24"/>
          <w:lang w:eastAsia="tr-TR"/>
        </w:rPr>
        <w:t>:</w:t>
      </w:r>
    </w:p>
    <w:p w14:paraId="20DD24EB" w14:textId="5F44032C" w:rsidR="005D31CB" w:rsidRPr="005D31CB" w:rsidRDefault="005D31CB" w:rsidP="00452FB4">
      <w:pPr>
        <w:numPr>
          <w:ilvl w:val="0"/>
          <w:numId w:val="17"/>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Absolute Climate and Natural Resource Advantage:</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The natural superiorities of the Mediterranean (TR6) and Aegean (TR3) regions, such as mild winters and long, hot summers, formed the basis of traditional fruit and vegetable strongholds.</w:t>
      </w:r>
    </w:p>
    <w:p w14:paraId="5EDE042A" w14:textId="1706D124" w:rsidR="005D31CB" w:rsidRPr="005D31CB" w:rsidRDefault="005D31CB" w:rsidP="00452FB4">
      <w:pPr>
        <w:numPr>
          <w:ilvl w:val="0"/>
          <w:numId w:val="17"/>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State Investments and Infrastructure Transformation:</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The massive transformation experienced in the TRC (Southeastern Anatolia) region thanks to GAP projects is evidence of how the state's irrigation and rural infrastructure investments can fundamentally change a region's comparative advantage.</w:t>
      </w:r>
    </w:p>
    <w:p w14:paraId="0652B353" w14:textId="2E72AD29" w:rsidR="005D31CB" w:rsidRPr="005D31CB" w:rsidRDefault="005D31CB" w:rsidP="00452FB4">
      <w:pPr>
        <w:numPr>
          <w:ilvl w:val="0"/>
          <w:numId w:val="17"/>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Market and Logistics-Oriented Clustering:</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As seen especially in the ornamental plants sector, proximity to major consumption centers (Istanbul) and export points (Izmir) can become the strongest factor determining the geography of production.</w:t>
      </w:r>
    </w:p>
    <w:p w14:paraId="2DB6387E" w14:textId="6C2C8153"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This high degree of geographical specialization provides significant gains in terms of</w:t>
      </w:r>
      <w:r w:rsidR="00295132" w:rsidRPr="00295132">
        <w:rPr>
          <w:rFonts w:eastAsia="Times New Roman"/>
          <w:color w:val="0F1115"/>
          <w:sz w:val="24"/>
          <w:szCs w:val="24"/>
          <w:lang w:eastAsia="tr-TR"/>
        </w:rPr>
        <w:t xml:space="preserve"> </w:t>
      </w:r>
      <w:r w:rsidRPr="005D31CB">
        <w:rPr>
          <w:rFonts w:eastAsia="Times New Roman"/>
          <w:color w:val="0F1115"/>
          <w:sz w:val="24"/>
          <w:szCs w:val="24"/>
          <w:lang w:eastAsia="tr-TR"/>
        </w:rPr>
        <w:t>economies of scale, specialized labor and knowledge accumulation, increased productivity, and easy market access. However, it also brings significant risks. The extreme heat, drought, and frost events caused by</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climate change</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directly threaten these regions where production is excessively concentrated. Additionally,</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disease risk, dependency on single-crop production (monoculture), and excessive pressure on water resources</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are other important problem areas.</w:t>
      </w:r>
    </w:p>
    <w:p w14:paraId="42A1FC3C"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For maintaining sustainability and competitiveness in the future, the following policy recommendations are of great importance:</w:t>
      </w:r>
    </w:p>
    <w:p w14:paraId="5B56680E" w14:textId="40B0EA0E" w:rsidR="005D31CB" w:rsidRPr="005D31CB" w:rsidRDefault="005D31CB" w:rsidP="00452FB4">
      <w:pPr>
        <w:numPr>
          <w:ilvl w:val="0"/>
          <w:numId w:val="18"/>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Product and Regional Diversification:</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Development of alternative products and climate-resilient production regions (e.g., elevated Black Sea regions) to reduce excessive dependency on a single region/product.</w:t>
      </w:r>
    </w:p>
    <w:p w14:paraId="1CE2CE42" w14:textId="226850FA" w:rsidR="005D31CB" w:rsidRPr="005D31CB" w:rsidRDefault="005D31CB" w:rsidP="00452FB4">
      <w:pPr>
        <w:numPr>
          <w:ilvl w:val="0"/>
          <w:numId w:val="18"/>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Maximization of Water Use Efficiency:</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Widespread adoption of precision irrigation systems like drip irrigation and water harvesting techniques in all regions where high-value agriculture is practiced.</w:t>
      </w:r>
    </w:p>
    <w:p w14:paraId="440F8667" w14:textId="2864262D" w:rsidR="005D31CB" w:rsidRPr="005D31CB" w:rsidRDefault="005D31CB" w:rsidP="00452FB4">
      <w:pPr>
        <w:numPr>
          <w:ilvl w:val="0"/>
          <w:numId w:val="18"/>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lastRenderedPageBreak/>
        <w:t>Strengthening the Value Chain:</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Enhancing product value and market power through protection of geographical indications, branding, cold chain logistics, and processing facility investments.</w:t>
      </w:r>
    </w:p>
    <w:p w14:paraId="22A401C0" w14:textId="5780F2FE" w:rsidR="005D31CB" w:rsidRPr="005D31CB" w:rsidRDefault="005D31CB" w:rsidP="00452FB4">
      <w:pPr>
        <w:numPr>
          <w:ilvl w:val="0"/>
          <w:numId w:val="18"/>
        </w:numPr>
        <w:spacing w:before="100" w:beforeAutospacing="1" w:after="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Climate-Resilient Agricultural Practices and R&amp;D:</w:t>
      </w:r>
      <w:r w:rsidR="00295132">
        <w:rPr>
          <w:rFonts w:eastAsia="Times New Roman"/>
          <w:color w:val="0F1115"/>
          <w:sz w:val="24"/>
          <w:szCs w:val="24"/>
          <w:lang w:eastAsia="tr-TR"/>
        </w:rPr>
        <w:t xml:space="preserve"> </w:t>
      </w:r>
      <w:r w:rsidRPr="005D31CB">
        <w:rPr>
          <w:rFonts w:eastAsia="Times New Roman"/>
          <w:color w:val="0F1115"/>
          <w:sz w:val="24"/>
          <w:szCs w:val="24"/>
          <w:lang w:eastAsia="tr-TR"/>
        </w:rPr>
        <w:t>Adaptation of drought- and heat-resistant varieties, investment in smart greenhouse technologies, microclimate management, and climate risk early warning systems.</w:t>
      </w:r>
    </w:p>
    <w:p w14:paraId="08E3DE8C" w14:textId="4E0865EE" w:rsid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color w:val="0F1115"/>
          <w:sz w:val="24"/>
          <w:szCs w:val="24"/>
          <w:lang w:eastAsia="tr-TR"/>
        </w:rPr>
        <w:t xml:space="preserve">In conclusion, </w:t>
      </w:r>
      <w:r w:rsidR="00FC1270" w:rsidRPr="005D31CB">
        <w:rPr>
          <w:rFonts w:eastAsia="Times New Roman"/>
          <w:color w:val="0F1115"/>
          <w:sz w:val="24"/>
          <w:szCs w:val="24"/>
          <w:lang w:eastAsia="tr-TR"/>
        </w:rPr>
        <w:t>T</w:t>
      </w:r>
      <w:r w:rsidR="00FC1270">
        <w:rPr>
          <w:rFonts w:eastAsia="Times New Roman"/>
          <w:color w:val="0F1115"/>
          <w:sz w:val="24"/>
          <w:szCs w:val="24"/>
          <w:lang w:eastAsia="tr-TR"/>
        </w:rPr>
        <w:t>ü</w:t>
      </w:r>
      <w:r w:rsidR="00FC1270" w:rsidRPr="005D31CB">
        <w:rPr>
          <w:rFonts w:eastAsia="Times New Roman"/>
          <w:color w:val="0F1115"/>
          <w:sz w:val="24"/>
          <w:szCs w:val="24"/>
          <w:lang w:eastAsia="tr-TR"/>
        </w:rPr>
        <w:t>rk</w:t>
      </w:r>
      <w:r w:rsidR="00FC1270">
        <w:rPr>
          <w:rFonts w:eastAsia="Times New Roman"/>
          <w:color w:val="0F1115"/>
          <w:sz w:val="24"/>
          <w:szCs w:val="24"/>
          <w:lang w:eastAsia="tr-TR"/>
        </w:rPr>
        <w:t>iye</w:t>
      </w:r>
      <w:r w:rsidRPr="005D31CB">
        <w:rPr>
          <w:rFonts w:eastAsia="Times New Roman"/>
          <w:color w:val="0F1115"/>
          <w:sz w:val="24"/>
          <w:szCs w:val="24"/>
          <w:lang w:eastAsia="tr-TR"/>
        </w:rPr>
        <w:t>'s high-value agricultural map is a dynamic and constantly evolving mosaic. The market brush and the colors of nature shaping this mosaic can carry the country's agriculture towards long-term prosperity, resilience, and global competitiveness only when used in harmony with rational policy interventions, strategic infrastructure investments, and a sustainability-focused vision.</w:t>
      </w:r>
    </w:p>
    <w:p w14:paraId="333B31B4" w14:textId="77777777" w:rsidR="009168E1" w:rsidRPr="005D31CB" w:rsidRDefault="009168E1" w:rsidP="00452FB4">
      <w:pPr>
        <w:spacing w:before="240" w:after="240" w:line="420" w:lineRule="atLeast"/>
        <w:jc w:val="both"/>
        <w:rPr>
          <w:rFonts w:eastAsia="Times New Roman"/>
          <w:color w:val="0F1115"/>
          <w:sz w:val="24"/>
          <w:szCs w:val="24"/>
          <w:lang w:eastAsia="tr-TR"/>
        </w:rPr>
      </w:pPr>
    </w:p>
    <w:p w14:paraId="28DD5264" w14:textId="77777777" w:rsidR="005D31CB" w:rsidRPr="005D31CB" w:rsidRDefault="005D31CB" w:rsidP="00452FB4">
      <w:pPr>
        <w:spacing w:before="240" w:after="240" w:line="420" w:lineRule="atLeast"/>
        <w:jc w:val="both"/>
        <w:rPr>
          <w:rFonts w:eastAsia="Times New Roman"/>
          <w:color w:val="0F1115"/>
          <w:sz w:val="24"/>
          <w:szCs w:val="24"/>
          <w:lang w:eastAsia="tr-TR"/>
        </w:rPr>
      </w:pPr>
      <w:r w:rsidRPr="005D31CB">
        <w:rPr>
          <w:rFonts w:eastAsia="Times New Roman"/>
          <w:b/>
          <w:bCs/>
          <w:color w:val="0F1115"/>
          <w:sz w:val="24"/>
          <w:szCs w:val="24"/>
          <w:lang w:eastAsia="tr-TR"/>
        </w:rPr>
        <w:t>REFERENCES</w:t>
      </w:r>
    </w:p>
    <w:p w14:paraId="119EDFEF" w14:textId="77777777" w:rsidR="00A7530A" w:rsidRPr="00A7530A" w:rsidRDefault="00A7530A" w:rsidP="00A7530A">
      <w:pPr>
        <w:tabs>
          <w:tab w:val="left" w:pos="1779"/>
        </w:tabs>
        <w:rPr>
          <w:rFonts w:eastAsia="Times New Roman"/>
          <w:color w:val="0F1115"/>
          <w:sz w:val="24"/>
          <w:szCs w:val="24"/>
          <w:lang w:eastAsia="tr-TR"/>
        </w:rPr>
      </w:pPr>
      <w:r w:rsidRPr="00A7530A">
        <w:rPr>
          <w:rFonts w:eastAsia="Times New Roman"/>
          <w:color w:val="0F1115"/>
          <w:sz w:val="24"/>
          <w:szCs w:val="24"/>
          <w:lang w:eastAsia="tr-TR"/>
        </w:rPr>
        <w:t>Bashimov, G. (2017). Comparative advantage of Türkiye in agricultural and food products. Turkish Journal of Agriculture and Natural Sciences, 4(3), 319-330.</w:t>
      </w:r>
    </w:p>
    <w:p w14:paraId="1701814F" w14:textId="77777777" w:rsidR="00A7530A" w:rsidRPr="00A7530A" w:rsidRDefault="00A7530A" w:rsidP="00A7530A">
      <w:pPr>
        <w:tabs>
          <w:tab w:val="left" w:pos="1779"/>
        </w:tabs>
        <w:rPr>
          <w:rFonts w:eastAsia="Times New Roman"/>
          <w:color w:val="0F1115"/>
          <w:sz w:val="24"/>
          <w:szCs w:val="24"/>
          <w:lang w:eastAsia="tr-TR"/>
        </w:rPr>
      </w:pPr>
      <w:r w:rsidRPr="00A7530A">
        <w:rPr>
          <w:rFonts w:eastAsia="Times New Roman"/>
          <w:color w:val="0F1115"/>
          <w:sz w:val="24"/>
          <w:szCs w:val="24"/>
          <w:lang w:eastAsia="tr-TR"/>
        </w:rPr>
        <w:t>Benek, S. (2009). The Southeastern Anatolia Project (GAP) in terms of its emergence, development trajectory and effects on the region. Ankara University Faculty of Political Sciences Journal, 64(03), 45-71.</w:t>
      </w:r>
    </w:p>
    <w:p w14:paraId="2FCA70FE" w14:textId="77777777" w:rsidR="00A7530A" w:rsidRPr="00A7530A" w:rsidRDefault="00A7530A" w:rsidP="00A7530A">
      <w:pPr>
        <w:tabs>
          <w:tab w:val="left" w:pos="1779"/>
        </w:tabs>
        <w:rPr>
          <w:rFonts w:eastAsia="Times New Roman"/>
          <w:color w:val="0F1115"/>
          <w:sz w:val="24"/>
          <w:szCs w:val="24"/>
          <w:lang w:eastAsia="tr-TR"/>
        </w:rPr>
      </w:pPr>
      <w:r w:rsidRPr="00A7530A">
        <w:rPr>
          <w:rFonts w:eastAsia="Times New Roman"/>
          <w:color w:val="0F1115"/>
          <w:sz w:val="24"/>
          <w:szCs w:val="24"/>
          <w:lang w:eastAsia="tr-TR"/>
        </w:rPr>
        <w:t>Göçmez, G., &amp; İşçioğlu, A. (2004). Groundwater level changes in the Konya closed basin. National Symposium on Groundwater, 23-24.</w:t>
      </w:r>
    </w:p>
    <w:p w14:paraId="045D8A15" w14:textId="77777777" w:rsidR="00A7530A" w:rsidRPr="00A7530A" w:rsidRDefault="00A7530A" w:rsidP="00A7530A">
      <w:pPr>
        <w:tabs>
          <w:tab w:val="left" w:pos="1779"/>
        </w:tabs>
        <w:rPr>
          <w:rFonts w:eastAsia="Times New Roman"/>
          <w:color w:val="0F1115"/>
          <w:sz w:val="24"/>
          <w:szCs w:val="24"/>
          <w:lang w:eastAsia="tr-TR"/>
        </w:rPr>
      </w:pPr>
      <w:r w:rsidRPr="00A7530A">
        <w:rPr>
          <w:rFonts w:eastAsia="Times New Roman"/>
          <w:color w:val="0F1115"/>
          <w:sz w:val="24"/>
          <w:szCs w:val="24"/>
          <w:lang w:eastAsia="tr-TR"/>
        </w:rPr>
        <w:t>Krugman, P. (1991). Geography and trade. Cambridge. MIT Press. 1991b. Increasing returns and economic geography. Journal of Political Economy, 99(31), 483-99.</w:t>
      </w:r>
    </w:p>
    <w:p w14:paraId="1386F7E3" w14:textId="77777777" w:rsidR="00A7530A" w:rsidRPr="00A7530A" w:rsidRDefault="00A7530A" w:rsidP="00A7530A">
      <w:pPr>
        <w:tabs>
          <w:tab w:val="left" w:pos="1779"/>
        </w:tabs>
        <w:rPr>
          <w:rFonts w:eastAsia="Times New Roman"/>
          <w:color w:val="0F1115"/>
          <w:sz w:val="24"/>
          <w:szCs w:val="24"/>
          <w:lang w:eastAsia="tr-TR"/>
        </w:rPr>
      </w:pPr>
      <w:r w:rsidRPr="00A7530A">
        <w:rPr>
          <w:rFonts w:eastAsia="Times New Roman"/>
          <w:color w:val="0F1115"/>
          <w:sz w:val="24"/>
          <w:szCs w:val="24"/>
          <w:lang w:eastAsia="tr-TR"/>
        </w:rPr>
        <w:t>Taşçıoğlu, Y., &amp; Sayın, C. (2005). CUT FLOWER PRODUCTION AND EXPORT STRUCTURE IN Türkiye. Akdeniz University Journal of the Faculty of Agriculture, 18(3), 343-354.</w:t>
      </w:r>
    </w:p>
    <w:p w14:paraId="48717B67" w14:textId="3403B707" w:rsidR="00585B0B" w:rsidRPr="00585B0B" w:rsidRDefault="00A7530A" w:rsidP="00A7530A">
      <w:pPr>
        <w:tabs>
          <w:tab w:val="left" w:pos="1779"/>
        </w:tabs>
      </w:pPr>
      <w:r w:rsidRPr="00A7530A">
        <w:rPr>
          <w:rFonts w:eastAsia="Times New Roman"/>
          <w:color w:val="0F1115"/>
          <w:sz w:val="24"/>
          <w:szCs w:val="24"/>
          <w:lang w:eastAsia="tr-TR"/>
        </w:rPr>
        <w:t xml:space="preserve">TURKSTAT. (2024). Crop Production Statistics Methodology. Turkish Statistical Institute. </w:t>
      </w:r>
      <w:hyperlink r:id="rId15" w:history="1">
        <w:r w:rsidRPr="00B50851">
          <w:rPr>
            <w:rStyle w:val="Hyperlink"/>
            <w:rFonts w:eastAsia="Times New Roman"/>
            <w:sz w:val="24"/>
            <w:szCs w:val="24"/>
            <w:lang w:eastAsia="tr-TR"/>
          </w:rPr>
          <w:t>https://data.tuik.gov.tr/Bulten/Index?p=Bitkisel-Uretim-Istatistikleri-2023-49393</w:t>
        </w:r>
      </w:hyperlink>
      <w:r>
        <w:rPr>
          <w:rFonts w:eastAsia="Times New Roman"/>
          <w:color w:val="0F1115"/>
          <w:sz w:val="24"/>
          <w:szCs w:val="24"/>
          <w:lang w:eastAsia="tr-TR"/>
        </w:rPr>
        <w:t xml:space="preserve"> </w:t>
      </w:r>
    </w:p>
    <w:sectPr w:rsidR="00585B0B" w:rsidRPr="00585B0B" w:rsidSect="00DF5789">
      <w:headerReference w:type="even" r:id="rId16"/>
      <w:headerReference w:type="default" r:id="rId17"/>
      <w:footerReference w:type="even" r:id="rId18"/>
      <w:footerReference w:type="default" r:id="rId19"/>
      <w:headerReference w:type="first" r:id="rId20"/>
      <w:footerReference w:type="first" r:id="rId21"/>
      <w:pgSz w:w="11906" w:h="16838" w:code="9"/>
      <w:pgMar w:top="1417" w:right="1417" w:bottom="1417" w:left="1417" w:header="851"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asim Kamal Mallick" w:date="2026-01-14T01:05:00Z" w:initials="HM">
    <w:p w14:paraId="098A42F3" w14:textId="3096B90C" w:rsidR="00D24B75" w:rsidRDefault="00D24B75">
      <w:pPr>
        <w:pStyle w:val="CommentText"/>
      </w:pPr>
      <w:r>
        <w:rPr>
          <w:rStyle w:val="CommentReference"/>
        </w:rPr>
        <w:annotationRef/>
      </w:r>
      <w:r w:rsidRPr="00D24B75">
        <w:t xml:space="preserve">The abstract is </w:t>
      </w:r>
      <w:r w:rsidRPr="00D24B75">
        <w:rPr>
          <w:b/>
          <w:bCs/>
        </w:rPr>
        <w:t>well written rhetorically</w:t>
      </w:r>
      <w:r w:rsidRPr="00D24B75">
        <w:t xml:space="preserve">, but it </w:t>
      </w:r>
      <w:r w:rsidRPr="00D24B75">
        <w:rPr>
          <w:b/>
          <w:bCs/>
        </w:rPr>
        <w:t>systematically misrepresents the scope, methods, and strength of the analysis</w:t>
      </w:r>
      <w:r w:rsidRPr="00D24B75">
        <w:t xml:space="preserve">. Almost every sentence contains </w:t>
      </w:r>
      <w:r w:rsidRPr="00D24B75">
        <w:rPr>
          <w:b/>
          <w:bCs/>
        </w:rPr>
        <w:t>overclaiming or conceptual inflation</w:t>
      </w:r>
      <w:r w:rsidRPr="00D24B75">
        <w:t xml:space="preserve"> relative to what the paper actually does.</w:t>
      </w:r>
    </w:p>
  </w:comment>
  <w:comment w:id="1" w:author="Hasim Kamal Mallick" w:date="2026-01-14T01:02:00Z" w:initials="HM">
    <w:p w14:paraId="196BC24C" w14:textId="73D8074E" w:rsidR="00D24B75" w:rsidRPr="00D24B75" w:rsidRDefault="00D24B75" w:rsidP="00D24B75">
      <w:pPr>
        <w:pStyle w:val="CommentText"/>
        <w:rPr>
          <w:lang w:val="en-IN"/>
        </w:rPr>
      </w:pPr>
      <w:r>
        <w:rPr>
          <w:rStyle w:val="CommentReference"/>
        </w:rPr>
        <w:annotationRef/>
      </w:r>
      <w:r w:rsidRPr="00D24B75">
        <w:rPr>
          <w:lang w:val="en-IN"/>
        </w:rPr>
        <w:t xml:space="preserve"> Empirical analysis uses </w:t>
      </w:r>
      <w:r w:rsidRPr="00D24B75">
        <w:rPr>
          <w:b/>
          <w:bCs/>
          <w:lang w:val="en-IN"/>
        </w:rPr>
        <w:t>2020 and 2024 only</w:t>
      </w:r>
    </w:p>
    <w:p w14:paraId="5609A77D" w14:textId="467820AC" w:rsidR="00D24B75" w:rsidRPr="00D24B75" w:rsidRDefault="00D24B75" w:rsidP="00D24B75">
      <w:pPr>
        <w:pStyle w:val="CommentText"/>
        <w:rPr>
          <w:lang w:val="en-IN"/>
        </w:rPr>
      </w:pPr>
      <w:r w:rsidRPr="00D24B75">
        <w:rPr>
          <w:lang w:val="en-IN"/>
        </w:rPr>
        <w:t xml:space="preserve"> No data, tables, or figures for 2015–2019</w:t>
      </w:r>
    </w:p>
    <w:p w14:paraId="59EE0F56" w14:textId="4B6B43FF" w:rsidR="00D24B75" w:rsidRDefault="00D24B75">
      <w:pPr>
        <w:pStyle w:val="CommentText"/>
      </w:pPr>
    </w:p>
  </w:comment>
  <w:comment w:id="2" w:author="Hasim Kamal Mallick" w:date="2026-01-14T00:00:00Z" w:initials="HM">
    <w:p w14:paraId="2D0B2C08" w14:textId="0D4DAB54" w:rsidR="00D24B75" w:rsidRDefault="00D24B75">
      <w:pPr>
        <w:pStyle w:val="CommentText"/>
      </w:pPr>
      <w:r>
        <w:rPr>
          <w:rStyle w:val="CommentReference"/>
        </w:rPr>
        <w:annotationRef/>
      </w:r>
      <w:r w:rsidRPr="00D24B75">
        <w:t>Provide a clear economic definition of HV products (e.g., value per unit area, perishability, market differentiation) and qualify the export-revenue claim by specifying niche or income-intensity relevance.</w:t>
      </w:r>
    </w:p>
  </w:comment>
  <w:comment w:id="3" w:author="Hasim Kamal Mallick" w:date="2026-01-14T00:04:00Z" w:initials="HM">
    <w:p w14:paraId="1961522B" w14:textId="57667502" w:rsidR="00D24B75" w:rsidRDefault="00D24B75">
      <w:pPr>
        <w:pStyle w:val="CommentText"/>
      </w:pPr>
      <w:r>
        <w:rPr>
          <w:rStyle w:val="CommentReference"/>
        </w:rPr>
        <w:annotationRef/>
      </w:r>
      <w:r w:rsidRPr="00D24B75">
        <w:t>The concept of “geographical clustering” is introduced but not operationalized. It remains unclear whether clustering is statistically measured or descriptively inferred.</w:t>
      </w:r>
    </w:p>
  </w:comment>
  <w:comment w:id="4" w:author="Hasim Kamal Mallick" w:date="2026-01-14T00:07:00Z" w:initials="HM">
    <w:p w14:paraId="2A870274" w14:textId="02FFA4CD" w:rsidR="00D24B75" w:rsidRDefault="00D24B75">
      <w:pPr>
        <w:pStyle w:val="CommentText"/>
      </w:pPr>
      <w:r>
        <w:rPr>
          <w:rStyle w:val="CommentReference"/>
        </w:rPr>
        <w:annotationRef/>
      </w:r>
      <w:r w:rsidRPr="00D24B75">
        <w:t>Expand the discussion to include additional policy and institutional factors such as subsidies, regional development programs, or market institutions.</w:t>
      </w:r>
    </w:p>
  </w:comment>
  <w:comment w:id="5" w:author="Hasim Kamal Mallick" w:date="2026-01-14T00:15:00Z" w:initials="HM">
    <w:p w14:paraId="0E191FD4" w14:textId="60569A5B" w:rsidR="00D24B75" w:rsidRDefault="00D24B75">
      <w:pPr>
        <w:pStyle w:val="CommentText"/>
      </w:pPr>
      <w:r>
        <w:rPr>
          <w:rStyle w:val="CommentReference"/>
        </w:rPr>
        <w:annotationRef/>
      </w:r>
      <w:r w:rsidRPr="00D24B75">
        <w:t xml:space="preserve">Justify the selection of these years (e.g., data availability, policy milestones) or clarify that the analysis captures </w:t>
      </w:r>
      <w:r w:rsidRPr="00D24B75">
        <w:rPr>
          <w:b/>
          <w:bCs/>
        </w:rPr>
        <w:t>period-to-period change</w:t>
      </w:r>
      <w:r w:rsidRPr="00D24B75">
        <w:t>, not long-term trends.</w:t>
      </w:r>
    </w:p>
  </w:comment>
  <w:comment w:id="6" w:author="Hasim Kamal Mallick" w:date="2026-01-14T00:19:00Z" w:initials="HM">
    <w:p w14:paraId="135295AA" w14:textId="66158077" w:rsidR="00D24B75" w:rsidRDefault="00D24B75">
      <w:pPr>
        <w:pStyle w:val="CommentText"/>
      </w:pPr>
      <w:r>
        <w:rPr>
          <w:rStyle w:val="CommentReference"/>
        </w:rPr>
        <w:annotationRef/>
      </w:r>
      <w:r w:rsidRPr="00D24B75">
        <w:t>The concept of “regional specialization” is invoked without reference to standard specialization metrics.</w:t>
      </w:r>
    </w:p>
  </w:comment>
  <w:comment w:id="7" w:author="Hasim Kamal Mallick" w:date="2026-01-14T00:16:00Z" w:initials="HM">
    <w:p w14:paraId="4A568026" w14:textId="42409F5A" w:rsidR="00D24B75" w:rsidRDefault="00D24B75">
      <w:pPr>
        <w:pStyle w:val="CommentText"/>
      </w:pPr>
      <w:r>
        <w:rPr>
          <w:rStyle w:val="CommentReference"/>
        </w:rPr>
        <w:annotationRef/>
      </w:r>
      <w:r w:rsidRPr="00D24B75">
        <w:t>Software usage is appropriate; however, versions and reproducibility details are not provided.</w:t>
      </w:r>
    </w:p>
  </w:comment>
  <w:comment w:id="8" w:author="Hasim Kamal Mallick" w:date="2026-01-14T00:21:00Z" w:initials="HM">
    <w:p w14:paraId="25F1C523" w14:textId="371ECE34" w:rsidR="00D24B75" w:rsidRDefault="00D24B75">
      <w:pPr>
        <w:pStyle w:val="CommentText"/>
      </w:pPr>
      <w:r>
        <w:rPr>
          <w:rStyle w:val="CommentReference"/>
        </w:rPr>
        <w:annotationRef/>
      </w:r>
      <w:r w:rsidRPr="00D24B75">
        <w:t>support this statement with a reference</w:t>
      </w:r>
    </w:p>
  </w:comment>
  <w:comment w:id="9" w:author="Hasim Kamal Mallick" w:date="2026-01-14T00:38:00Z" w:initials="HM">
    <w:p w14:paraId="527A2D4A" w14:textId="58B2EA61" w:rsidR="00D24B75" w:rsidRDefault="00D24B75">
      <w:pPr>
        <w:pStyle w:val="CommentText"/>
      </w:pPr>
      <w:r>
        <w:rPr>
          <w:rStyle w:val="CommentReference"/>
        </w:rPr>
        <w:annotationRef/>
      </w:r>
      <w:r w:rsidRPr="00D24B75">
        <w:t xml:space="preserve">The growth rate cited (20.7%) is a </w:t>
      </w:r>
      <w:r w:rsidRPr="00D24B75">
        <w:rPr>
          <w:b/>
          <w:bCs/>
        </w:rPr>
        <w:t>cumulative period change</w:t>
      </w:r>
      <w:r w:rsidRPr="00D24B75">
        <w:t>, not an annual growth rate.</w:t>
      </w:r>
    </w:p>
  </w:comment>
  <w:comment w:id="11" w:author="Hasim Kamal Mallick" w:date="2026-01-14T00:57:00Z" w:initials="HM">
    <w:p w14:paraId="5B9F7825" w14:textId="5C8E5072" w:rsidR="00D24B75" w:rsidRPr="00D24B75" w:rsidRDefault="00D24B75" w:rsidP="00D24B75">
      <w:pPr>
        <w:pStyle w:val="CommentText"/>
        <w:numPr>
          <w:ilvl w:val="0"/>
          <w:numId w:val="20"/>
        </w:numPr>
        <w:rPr>
          <w:lang w:val="en-IN"/>
        </w:rPr>
      </w:pPr>
      <w:r>
        <w:rPr>
          <w:rStyle w:val="CommentReference"/>
        </w:rPr>
        <w:annotationRef/>
      </w:r>
      <w:r w:rsidRPr="00D24B75">
        <w:rPr>
          <w:lang w:val="en-IN"/>
        </w:rPr>
        <w:t xml:space="preserve">Discussion </w:t>
      </w:r>
      <w:r>
        <w:rPr>
          <w:lang w:val="en-IN"/>
        </w:rPr>
        <w:t>-</w:t>
      </w:r>
      <w:r w:rsidRPr="00D24B75">
        <w:rPr>
          <w:lang w:val="en-IN"/>
        </w:rPr>
        <w:t xml:space="preserve"> interpret results</w:t>
      </w:r>
    </w:p>
    <w:p w14:paraId="0FD110C4" w14:textId="5EEAA428" w:rsidR="00D24B75" w:rsidRPr="00D24B75" w:rsidRDefault="00D24B75" w:rsidP="00D24B75">
      <w:pPr>
        <w:pStyle w:val="CommentText"/>
        <w:numPr>
          <w:ilvl w:val="0"/>
          <w:numId w:val="20"/>
        </w:numPr>
        <w:rPr>
          <w:lang w:val="en-IN"/>
        </w:rPr>
      </w:pPr>
      <w:r w:rsidRPr="00D24B75">
        <w:rPr>
          <w:lang w:val="en-IN"/>
        </w:rPr>
        <w:t xml:space="preserve">Conclusion </w:t>
      </w:r>
      <w:r>
        <w:rPr>
          <w:lang w:val="en-IN"/>
        </w:rPr>
        <w:t>-</w:t>
      </w:r>
      <w:r w:rsidRPr="00D24B75">
        <w:rPr>
          <w:lang w:val="en-IN"/>
        </w:rPr>
        <w:t xml:space="preserve"> contribution, limits, future research</w:t>
      </w:r>
    </w:p>
    <w:p w14:paraId="627CE334" w14:textId="1B163E36" w:rsidR="00D24B75" w:rsidRPr="00D24B75" w:rsidRDefault="00D24B75" w:rsidP="00D24B75">
      <w:pPr>
        <w:pStyle w:val="CommentText"/>
        <w:rPr>
          <w:lang w:val="en-IN"/>
        </w:rPr>
      </w:pPr>
      <w:bookmarkStart w:id="12" w:name="_GoBack"/>
      <w:bookmarkEnd w:id="12"/>
    </w:p>
    <w:p w14:paraId="46640632" w14:textId="6C251DFA" w:rsidR="00D24B75" w:rsidRDefault="00D24B7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8A42F3" w15:done="0"/>
  <w15:commentEx w15:paraId="59EE0F56" w15:done="0"/>
  <w15:commentEx w15:paraId="2D0B2C08" w15:done="0"/>
  <w15:commentEx w15:paraId="1961522B" w15:done="0"/>
  <w15:commentEx w15:paraId="2A870274" w15:done="0"/>
  <w15:commentEx w15:paraId="0E191FD4" w15:done="0"/>
  <w15:commentEx w15:paraId="135295AA" w15:done="0"/>
  <w15:commentEx w15:paraId="4A568026" w15:done="0"/>
  <w15:commentEx w15:paraId="25F1C523" w15:done="0"/>
  <w15:commentEx w15:paraId="527A2D4A" w15:done="0"/>
  <w15:commentEx w15:paraId="466406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7AD334" w16cex:dateUtc="2026-01-13T19:35:00Z"/>
  <w16cex:commentExtensible w16cex:durableId="0B155B27" w16cex:dateUtc="2026-01-13T19:32:00Z"/>
  <w16cex:commentExtensible w16cex:durableId="45B56FB5" w16cex:dateUtc="2026-01-13T18:30:00Z"/>
  <w16cex:commentExtensible w16cex:durableId="4309BCF2" w16cex:dateUtc="2026-01-13T18:34:00Z"/>
  <w16cex:commentExtensible w16cex:durableId="6AB32076" w16cex:dateUtc="2026-01-13T18:37:00Z"/>
  <w16cex:commentExtensible w16cex:durableId="5BFF2AF4" w16cex:dateUtc="2026-01-13T18:45:00Z"/>
  <w16cex:commentExtensible w16cex:durableId="35167AFB" w16cex:dateUtc="2026-01-13T18:49:00Z"/>
  <w16cex:commentExtensible w16cex:durableId="177E2404" w16cex:dateUtc="2026-01-13T18:46:00Z"/>
  <w16cex:commentExtensible w16cex:durableId="17701184" w16cex:dateUtc="2026-01-13T18:51:00Z"/>
  <w16cex:commentExtensible w16cex:durableId="1AE4C95E" w16cex:dateUtc="2026-01-13T19:08:00Z"/>
  <w16cex:commentExtensible w16cex:durableId="06934B61" w16cex:dateUtc="2026-01-13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8A42F3" w16cid:durableId="457AD334"/>
  <w16cid:commentId w16cid:paraId="59EE0F56" w16cid:durableId="0B155B27"/>
  <w16cid:commentId w16cid:paraId="2D0B2C08" w16cid:durableId="45B56FB5"/>
  <w16cid:commentId w16cid:paraId="1961522B" w16cid:durableId="4309BCF2"/>
  <w16cid:commentId w16cid:paraId="2A870274" w16cid:durableId="6AB32076"/>
  <w16cid:commentId w16cid:paraId="0E191FD4" w16cid:durableId="5BFF2AF4"/>
  <w16cid:commentId w16cid:paraId="135295AA" w16cid:durableId="35167AFB"/>
  <w16cid:commentId w16cid:paraId="4A568026" w16cid:durableId="177E2404"/>
  <w16cid:commentId w16cid:paraId="25F1C523" w16cid:durableId="17701184"/>
  <w16cid:commentId w16cid:paraId="527A2D4A" w16cid:durableId="1AE4C95E"/>
  <w16cid:commentId w16cid:paraId="46640632" w16cid:durableId="06934B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44FDC" w14:textId="77777777" w:rsidR="000278F1" w:rsidRDefault="000278F1" w:rsidP="000132F9">
      <w:pPr>
        <w:spacing w:after="0" w:line="240" w:lineRule="auto"/>
      </w:pPr>
      <w:r>
        <w:separator/>
      </w:r>
    </w:p>
  </w:endnote>
  <w:endnote w:type="continuationSeparator" w:id="0">
    <w:p w14:paraId="4CEBFB97" w14:textId="77777777" w:rsidR="000278F1" w:rsidRDefault="000278F1" w:rsidP="0001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4CB98" w14:textId="77777777" w:rsidR="000132F9" w:rsidRDefault="00013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D0EF" w14:textId="77777777" w:rsidR="000132F9" w:rsidRDefault="00013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49BE8" w14:textId="77777777" w:rsidR="000132F9" w:rsidRDefault="00013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F34CD" w14:textId="77777777" w:rsidR="000278F1" w:rsidRDefault="000278F1" w:rsidP="000132F9">
      <w:pPr>
        <w:spacing w:after="0" w:line="240" w:lineRule="auto"/>
      </w:pPr>
      <w:r>
        <w:separator/>
      </w:r>
    </w:p>
  </w:footnote>
  <w:footnote w:type="continuationSeparator" w:id="0">
    <w:p w14:paraId="02EE474F" w14:textId="77777777" w:rsidR="000278F1" w:rsidRDefault="000278F1" w:rsidP="00013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C77A9" w14:textId="58751A1D" w:rsidR="000132F9" w:rsidRDefault="000278F1">
    <w:pPr>
      <w:pStyle w:val="Header"/>
    </w:pPr>
    <w:r>
      <w:rPr>
        <w:noProof/>
      </w:rPr>
      <w:pict w14:anchorId="7933E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29454"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BFBF1" w14:textId="105B21E7" w:rsidR="000132F9" w:rsidRDefault="000278F1">
    <w:pPr>
      <w:pStyle w:val="Header"/>
    </w:pPr>
    <w:r>
      <w:rPr>
        <w:noProof/>
      </w:rPr>
      <w:pict w14:anchorId="01B82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29455"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1C203" w14:textId="6409C966" w:rsidR="000132F9" w:rsidRDefault="000278F1">
    <w:pPr>
      <w:pStyle w:val="Header"/>
    </w:pPr>
    <w:r>
      <w:rPr>
        <w:noProof/>
      </w:rPr>
      <w:pict w14:anchorId="1B63F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29453"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760A"/>
    <w:multiLevelType w:val="multilevel"/>
    <w:tmpl w:val="3EE64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CB47FC"/>
    <w:multiLevelType w:val="multilevel"/>
    <w:tmpl w:val="81504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67A3E"/>
    <w:multiLevelType w:val="hybridMultilevel"/>
    <w:tmpl w:val="26282F12"/>
    <w:lvl w:ilvl="0" w:tplc="BF5CDB1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0E271A"/>
    <w:multiLevelType w:val="multilevel"/>
    <w:tmpl w:val="86829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6B043A"/>
    <w:multiLevelType w:val="multilevel"/>
    <w:tmpl w:val="C2DC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B1022"/>
    <w:multiLevelType w:val="multilevel"/>
    <w:tmpl w:val="33B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70A35"/>
    <w:multiLevelType w:val="multilevel"/>
    <w:tmpl w:val="8B4EC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A2FD7"/>
    <w:multiLevelType w:val="multilevel"/>
    <w:tmpl w:val="F6E0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D194D"/>
    <w:multiLevelType w:val="hybridMultilevel"/>
    <w:tmpl w:val="5ACA58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A8E393E"/>
    <w:multiLevelType w:val="multilevel"/>
    <w:tmpl w:val="624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F6FDF"/>
    <w:multiLevelType w:val="multilevel"/>
    <w:tmpl w:val="0B9CDB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C1878"/>
    <w:multiLevelType w:val="multilevel"/>
    <w:tmpl w:val="B3E4C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F668CF"/>
    <w:multiLevelType w:val="multilevel"/>
    <w:tmpl w:val="17CE8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C97FF5"/>
    <w:multiLevelType w:val="multilevel"/>
    <w:tmpl w:val="398E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9D72A7"/>
    <w:multiLevelType w:val="multilevel"/>
    <w:tmpl w:val="8488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62E00"/>
    <w:multiLevelType w:val="multilevel"/>
    <w:tmpl w:val="EC948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D37094"/>
    <w:multiLevelType w:val="multilevel"/>
    <w:tmpl w:val="6058A9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D63976"/>
    <w:multiLevelType w:val="multilevel"/>
    <w:tmpl w:val="3EEA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32205C"/>
    <w:multiLevelType w:val="multilevel"/>
    <w:tmpl w:val="666C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1F20E6"/>
    <w:multiLevelType w:val="multilevel"/>
    <w:tmpl w:val="9A7C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19"/>
  </w:num>
  <w:num w:numId="4">
    <w:abstractNumId w:val="6"/>
  </w:num>
  <w:num w:numId="5">
    <w:abstractNumId w:val="3"/>
  </w:num>
  <w:num w:numId="6">
    <w:abstractNumId w:val="1"/>
  </w:num>
  <w:num w:numId="7">
    <w:abstractNumId w:val="10"/>
  </w:num>
  <w:num w:numId="8">
    <w:abstractNumId w:val="11"/>
  </w:num>
  <w:num w:numId="9">
    <w:abstractNumId w:val="18"/>
  </w:num>
  <w:num w:numId="10">
    <w:abstractNumId w:val="8"/>
  </w:num>
  <w:num w:numId="11">
    <w:abstractNumId w:val="17"/>
  </w:num>
  <w:num w:numId="12">
    <w:abstractNumId w:val="12"/>
  </w:num>
  <w:num w:numId="13">
    <w:abstractNumId w:val="4"/>
  </w:num>
  <w:num w:numId="14">
    <w:abstractNumId w:val="5"/>
  </w:num>
  <w:num w:numId="15">
    <w:abstractNumId w:val="0"/>
  </w:num>
  <w:num w:numId="16">
    <w:abstractNumId w:val="14"/>
  </w:num>
  <w:num w:numId="17">
    <w:abstractNumId w:val="15"/>
  </w:num>
  <w:num w:numId="18">
    <w:abstractNumId w:val="9"/>
  </w:num>
  <w:num w:numId="19">
    <w:abstractNumId w:val="2"/>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sim Kamal Mallick">
    <w15:presenceInfo w15:providerId="Windows Live" w15:userId="3ba2afbab1418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04"/>
    <w:rsid w:val="00006E84"/>
    <w:rsid w:val="000132F9"/>
    <w:rsid w:val="000278F1"/>
    <w:rsid w:val="00066B22"/>
    <w:rsid w:val="000D0C0F"/>
    <w:rsid w:val="000F4F06"/>
    <w:rsid w:val="00111C78"/>
    <w:rsid w:val="00144B28"/>
    <w:rsid w:val="001833FB"/>
    <w:rsid w:val="00187AA2"/>
    <w:rsid w:val="001F6E93"/>
    <w:rsid w:val="00216C44"/>
    <w:rsid w:val="00235AC6"/>
    <w:rsid w:val="002604E0"/>
    <w:rsid w:val="00264509"/>
    <w:rsid w:val="00280BD8"/>
    <w:rsid w:val="00295132"/>
    <w:rsid w:val="002F6D44"/>
    <w:rsid w:val="00333905"/>
    <w:rsid w:val="00351F79"/>
    <w:rsid w:val="00352139"/>
    <w:rsid w:val="00375886"/>
    <w:rsid w:val="003A039F"/>
    <w:rsid w:val="003D7BF5"/>
    <w:rsid w:val="003E2AC9"/>
    <w:rsid w:val="00433C33"/>
    <w:rsid w:val="004375CB"/>
    <w:rsid w:val="00452FB4"/>
    <w:rsid w:val="004F6B04"/>
    <w:rsid w:val="005052B6"/>
    <w:rsid w:val="00523FC3"/>
    <w:rsid w:val="00554F5C"/>
    <w:rsid w:val="0056561C"/>
    <w:rsid w:val="00585B0B"/>
    <w:rsid w:val="005920A2"/>
    <w:rsid w:val="005D31CB"/>
    <w:rsid w:val="00606D0D"/>
    <w:rsid w:val="0060726A"/>
    <w:rsid w:val="00610D7B"/>
    <w:rsid w:val="0066309A"/>
    <w:rsid w:val="00677E6D"/>
    <w:rsid w:val="006F4330"/>
    <w:rsid w:val="00715EC0"/>
    <w:rsid w:val="007551C7"/>
    <w:rsid w:val="00760939"/>
    <w:rsid w:val="00762C14"/>
    <w:rsid w:val="007A554A"/>
    <w:rsid w:val="007B3C08"/>
    <w:rsid w:val="007E2E4C"/>
    <w:rsid w:val="00802C6B"/>
    <w:rsid w:val="0080649A"/>
    <w:rsid w:val="00817169"/>
    <w:rsid w:val="008224C7"/>
    <w:rsid w:val="00834DAA"/>
    <w:rsid w:val="008B07E2"/>
    <w:rsid w:val="008B28C4"/>
    <w:rsid w:val="008C7F07"/>
    <w:rsid w:val="008D120D"/>
    <w:rsid w:val="008F4A98"/>
    <w:rsid w:val="009168E1"/>
    <w:rsid w:val="009477CF"/>
    <w:rsid w:val="00970AE1"/>
    <w:rsid w:val="00974477"/>
    <w:rsid w:val="009821DF"/>
    <w:rsid w:val="009925F8"/>
    <w:rsid w:val="00993245"/>
    <w:rsid w:val="009D1110"/>
    <w:rsid w:val="00A062A5"/>
    <w:rsid w:val="00A0710D"/>
    <w:rsid w:val="00A46F84"/>
    <w:rsid w:val="00A7530A"/>
    <w:rsid w:val="00A90455"/>
    <w:rsid w:val="00AA6820"/>
    <w:rsid w:val="00AE5DA9"/>
    <w:rsid w:val="00B562D7"/>
    <w:rsid w:val="00B708BC"/>
    <w:rsid w:val="00B806BF"/>
    <w:rsid w:val="00BB3839"/>
    <w:rsid w:val="00C21050"/>
    <w:rsid w:val="00C37737"/>
    <w:rsid w:val="00C8276A"/>
    <w:rsid w:val="00C82D46"/>
    <w:rsid w:val="00CA3CAC"/>
    <w:rsid w:val="00CC7E5F"/>
    <w:rsid w:val="00CD40FE"/>
    <w:rsid w:val="00CF6D7E"/>
    <w:rsid w:val="00D00DEA"/>
    <w:rsid w:val="00D24B75"/>
    <w:rsid w:val="00D5325B"/>
    <w:rsid w:val="00D75317"/>
    <w:rsid w:val="00DC2A57"/>
    <w:rsid w:val="00DF5683"/>
    <w:rsid w:val="00DF5789"/>
    <w:rsid w:val="00E720C4"/>
    <w:rsid w:val="00EA0CC5"/>
    <w:rsid w:val="00EF6404"/>
    <w:rsid w:val="00F071DE"/>
    <w:rsid w:val="00F30801"/>
    <w:rsid w:val="00F32D9F"/>
    <w:rsid w:val="00F67805"/>
    <w:rsid w:val="00F819E3"/>
    <w:rsid w:val="00F856CA"/>
    <w:rsid w:val="00F92186"/>
    <w:rsid w:val="00FC1270"/>
    <w:rsid w:val="00FE042A"/>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46FD5E"/>
  <w15:chartTrackingRefBased/>
  <w15:docId w15:val="{018B0C9F-8D78-427D-AC15-4412B504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B0B"/>
  </w:style>
  <w:style w:type="paragraph" w:styleId="Heading1">
    <w:name w:val="heading 1"/>
    <w:basedOn w:val="Normal"/>
    <w:next w:val="Normal"/>
    <w:link w:val="Heading1Char"/>
    <w:uiPriority w:val="9"/>
    <w:qFormat/>
    <w:rsid w:val="000D0C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D0C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85B0B"/>
    <w:pPr>
      <w:spacing w:before="100" w:beforeAutospacing="1" w:after="100" w:afterAutospacing="1" w:line="240" w:lineRule="auto"/>
      <w:outlineLvl w:val="2"/>
    </w:pPr>
    <w:rPr>
      <w:rFonts w:eastAsia="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5B0B"/>
    <w:rPr>
      <w:rFonts w:eastAsia="Times New Roman"/>
      <w:b/>
      <w:bCs/>
      <w:sz w:val="27"/>
      <w:szCs w:val="27"/>
      <w:lang w:eastAsia="tr-TR"/>
    </w:rPr>
  </w:style>
  <w:style w:type="character" w:styleId="Strong">
    <w:name w:val="Strong"/>
    <w:basedOn w:val="DefaultParagraphFont"/>
    <w:uiPriority w:val="22"/>
    <w:qFormat/>
    <w:rsid w:val="00585B0B"/>
    <w:rPr>
      <w:b/>
      <w:bCs/>
    </w:rPr>
  </w:style>
  <w:style w:type="paragraph" w:customStyle="1" w:styleId="ds-markdown-paragraph">
    <w:name w:val="ds-markdown-paragraph"/>
    <w:basedOn w:val="Normal"/>
    <w:rsid w:val="00585B0B"/>
    <w:pPr>
      <w:spacing w:before="100" w:beforeAutospacing="1" w:after="100" w:afterAutospacing="1" w:line="240" w:lineRule="auto"/>
    </w:pPr>
    <w:rPr>
      <w:rFonts w:eastAsia="Times New Roman"/>
      <w:sz w:val="24"/>
      <w:szCs w:val="24"/>
      <w:lang w:eastAsia="tr-TR"/>
    </w:rPr>
  </w:style>
  <w:style w:type="character" w:styleId="Emphasis">
    <w:name w:val="Emphasis"/>
    <w:basedOn w:val="DefaultParagraphFont"/>
    <w:uiPriority w:val="20"/>
    <w:qFormat/>
    <w:rsid w:val="00585B0B"/>
    <w:rPr>
      <w:i/>
      <w:iCs/>
    </w:rPr>
  </w:style>
  <w:style w:type="character" w:customStyle="1" w:styleId="ng-star-inserted">
    <w:name w:val="ng-star-inserted"/>
    <w:basedOn w:val="DefaultParagraphFont"/>
    <w:rsid w:val="002F6D44"/>
  </w:style>
  <w:style w:type="character" w:customStyle="1" w:styleId="Heading1Char">
    <w:name w:val="Heading 1 Char"/>
    <w:basedOn w:val="DefaultParagraphFont"/>
    <w:link w:val="Heading1"/>
    <w:uiPriority w:val="9"/>
    <w:rsid w:val="000D0C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D0C0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10D7B"/>
    <w:rPr>
      <w:color w:val="0563C1" w:themeColor="hyperlink"/>
      <w:u w:val="single"/>
    </w:rPr>
  </w:style>
  <w:style w:type="character" w:styleId="UnresolvedMention">
    <w:name w:val="Unresolved Mention"/>
    <w:basedOn w:val="DefaultParagraphFont"/>
    <w:uiPriority w:val="99"/>
    <w:semiHidden/>
    <w:unhideWhenUsed/>
    <w:rsid w:val="00066B22"/>
    <w:rPr>
      <w:color w:val="605E5C"/>
      <w:shd w:val="clear" w:color="auto" w:fill="E1DFDD"/>
    </w:rPr>
  </w:style>
  <w:style w:type="paragraph" w:styleId="ListParagraph">
    <w:name w:val="List Paragraph"/>
    <w:basedOn w:val="Normal"/>
    <w:uiPriority w:val="34"/>
    <w:qFormat/>
    <w:rsid w:val="00452FB4"/>
    <w:pPr>
      <w:ind w:left="720"/>
      <w:contextualSpacing/>
    </w:pPr>
  </w:style>
  <w:style w:type="paragraph" w:styleId="Header">
    <w:name w:val="header"/>
    <w:basedOn w:val="Normal"/>
    <w:link w:val="HeaderChar"/>
    <w:uiPriority w:val="99"/>
    <w:unhideWhenUsed/>
    <w:rsid w:val="00013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2F9"/>
  </w:style>
  <w:style w:type="paragraph" w:styleId="Footer">
    <w:name w:val="footer"/>
    <w:basedOn w:val="Normal"/>
    <w:link w:val="FooterChar"/>
    <w:uiPriority w:val="99"/>
    <w:unhideWhenUsed/>
    <w:rsid w:val="00013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2F9"/>
  </w:style>
  <w:style w:type="character" w:styleId="CommentReference">
    <w:name w:val="annotation reference"/>
    <w:basedOn w:val="DefaultParagraphFont"/>
    <w:uiPriority w:val="99"/>
    <w:semiHidden/>
    <w:unhideWhenUsed/>
    <w:rsid w:val="00D24B75"/>
    <w:rPr>
      <w:sz w:val="16"/>
      <w:szCs w:val="16"/>
    </w:rPr>
  </w:style>
  <w:style w:type="paragraph" w:styleId="CommentText">
    <w:name w:val="annotation text"/>
    <w:basedOn w:val="Normal"/>
    <w:link w:val="CommentTextChar"/>
    <w:uiPriority w:val="99"/>
    <w:semiHidden/>
    <w:unhideWhenUsed/>
    <w:rsid w:val="00D24B75"/>
    <w:pPr>
      <w:spacing w:line="240" w:lineRule="auto"/>
    </w:pPr>
    <w:rPr>
      <w:sz w:val="20"/>
      <w:szCs w:val="20"/>
    </w:rPr>
  </w:style>
  <w:style w:type="character" w:customStyle="1" w:styleId="CommentTextChar">
    <w:name w:val="Comment Text Char"/>
    <w:basedOn w:val="DefaultParagraphFont"/>
    <w:link w:val="CommentText"/>
    <w:uiPriority w:val="99"/>
    <w:semiHidden/>
    <w:rsid w:val="00D24B75"/>
    <w:rPr>
      <w:sz w:val="20"/>
      <w:szCs w:val="20"/>
    </w:rPr>
  </w:style>
  <w:style w:type="paragraph" w:styleId="CommentSubject">
    <w:name w:val="annotation subject"/>
    <w:basedOn w:val="CommentText"/>
    <w:next w:val="CommentText"/>
    <w:link w:val="CommentSubjectChar"/>
    <w:uiPriority w:val="99"/>
    <w:semiHidden/>
    <w:unhideWhenUsed/>
    <w:rsid w:val="00D24B75"/>
    <w:rPr>
      <w:b/>
      <w:bCs/>
    </w:rPr>
  </w:style>
  <w:style w:type="character" w:customStyle="1" w:styleId="CommentSubjectChar">
    <w:name w:val="Comment Subject Char"/>
    <w:basedOn w:val="CommentTextChar"/>
    <w:link w:val="CommentSubject"/>
    <w:uiPriority w:val="99"/>
    <w:semiHidden/>
    <w:rsid w:val="00D24B75"/>
    <w:rPr>
      <w:b/>
      <w:bCs/>
      <w:sz w:val="20"/>
      <w:szCs w:val="20"/>
    </w:rPr>
  </w:style>
  <w:style w:type="paragraph" w:styleId="NormalWeb">
    <w:name w:val="Normal (Web)"/>
    <w:basedOn w:val="Normal"/>
    <w:uiPriority w:val="99"/>
    <w:semiHidden/>
    <w:unhideWhenUsed/>
    <w:rsid w:val="00D24B75"/>
    <w:rPr>
      <w:sz w:val="24"/>
      <w:szCs w:val="24"/>
    </w:rPr>
  </w:style>
  <w:style w:type="paragraph" w:styleId="BalloonText">
    <w:name w:val="Balloon Text"/>
    <w:basedOn w:val="Normal"/>
    <w:link w:val="BalloonTextChar"/>
    <w:uiPriority w:val="99"/>
    <w:semiHidden/>
    <w:unhideWhenUsed/>
    <w:rsid w:val="00A06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820851">
      <w:bodyDiv w:val="1"/>
      <w:marLeft w:val="0"/>
      <w:marRight w:val="0"/>
      <w:marTop w:val="0"/>
      <w:marBottom w:val="0"/>
      <w:divBdr>
        <w:top w:val="none" w:sz="0" w:space="0" w:color="auto"/>
        <w:left w:val="none" w:sz="0" w:space="0" w:color="auto"/>
        <w:bottom w:val="none" w:sz="0" w:space="0" w:color="auto"/>
        <w:right w:val="none" w:sz="0" w:space="0" w:color="auto"/>
      </w:divBdr>
    </w:div>
    <w:div w:id="432820817">
      <w:bodyDiv w:val="1"/>
      <w:marLeft w:val="0"/>
      <w:marRight w:val="0"/>
      <w:marTop w:val="0"/>
      <w:marBottom w:val="0"/>
      <w:divBdr>
        <w:top w:val="none" w:sz="0" w:space="0" w:color="auto"/>
        <w:left w:val="none" w:sz="0" w:space="0" w:color="auto"/>
        <w:bottom w:val="none" w:sz="0" w:space="0" w:color="auto"/>
        <w:right w:val="none" w:sz="0" w:space="0" w:color="auto"/>
      </w:divBdr>
    </w:div>
    <w:div w:id="484442616">
      <w:bodyDiv w:val="1"/>
      <w:marLeft w:val="0"/>
      <w:marRight w:val="0"/>
      <w:marTop w:val="0"/>
      <w:marBottom w:val="0"/>
      <w:divBdr>
        <w:top w:val="none" w:sz="0" w:space="0" w:color="auto"/>
        <w:left w:val="none" w:sz="0" w:space="0" w:color="auto"/>
        <w:bottom w:val="none" w:sz="0" w:space="0" w:color="auto"/>
        <w:right w:val="none" w:sz="0" w:space="0" w:color="auto"/>
      </w:divBdr>
    </w:div>
    <w:div w:id="545682504">
      <w:bodyDiv w:val="1"/>
      <w:marLeft w:val="0"/>
      <w:marRight w:val="0"/>
      <w:marTop w:val="0"/>
      <w:marBottom w:val="0"/>
      <w:divBdr>
        <w:top w:val="none" w:sz="0" w:space="0" w:color="auto"/>
        <w:left w:val="none" w:sz="0" w:space="0" w:color="auto"/>
        <w:bottom w:val="none" w:sz="0" w:space="0" w:color="auto"/>
        <w:right w:val="none" w:sz="0" w:space="0" w:color="auto"/>
      </w:divBdr>
    </w:div>
    <w:div w:id="663556403">
      <w:bodyDiv w:val="1"/>
      <w:marLeft w:val="0"/>
      <w:marRight w:val="0"/>
      <w:marTop w:val="0"/>
      <w:marBottom w:val="0"/>
      <w:divBdr>
        <w:top w:val="none" w:sz="0" w:space="0" w:color="auto"/>
        <w:left w:val="none" w:sz="0" w:space="0" w:color="auto"/>
        <w:bottom w:val="none" w:sz="0" w:space="0" w:color="auto"/>
        <w:right w:val="none" w:sz="0" w:space="0" w:color="auto"/>
      </w:divBdr>
      <w:divsChild>
        <w:div w:id="1821997045">
          <w:marLeft w:val="0"/>
          <w:marRight w:val="0"/>
          <w:marTop w:val="0"/>
          <w:marBottom w:val="0"/>
          <w:divBdr>
            <w:top w:val="none" w:sz="0" w:space="0" w:color="auto"/>
            <w:left w:val="none" w:sz="0" w:space="0" w:color="auto"/>
            <w:bottom w:val="none" w:sz="0" w:space="0" w:color="auto"/>
            <w:right w:val="none" w:sz="0" w:space="0" w:color="auto"/>
          </w:divBdr>
        </w:div>
        <w:div w:id="588318046">
          <w:marLeft w:val="0"/>
          <w:marRight w:val="0"/>
          <w:marTop w:val="0"/>
          <w:marBottom w:val="0"/>
          <w:divBdr>
            <w:top w:val="none" w:sz="0" w:space="0" w:color="auto"/>
            <w:left w:val="none" w:sz="0" w:space="0" w:color="auto"/>
            <w:bottom w:val="none" w:sz="0" w:space="0" w:color="auto"/>
            <w:right w:val="none" w:sz="0" w:space="0" w:color="auto"/>
          </w:divBdr>
        </w:div>
        <w:div w:id="1938900206">
          <w:marLeft w:val="0"/>
          <w:marRight w:val="0"/>
          <w:marTop w:val="0"/>
          <w:marBottom w:val="0"/>
          <w:divBdr>
            <w:top w:val="none" w:sz="0" w:space="0" w:color="auto"/>
            <w:left w:val="none" w:sz="0" w:space="0" w:color="auto"/>
            <w:bottom w:val="none" w:sz="0" w:space="0" w:color="auto"/>
            <w:right w:val="none" w:sz="0" w:space="0" w:color="auto"/>
          </w:divBdr>
        </w:div>
        <w:div w:id="56899330">
          <w:marLeft w:val="0"/>
          <w:marRight w:val="0"/>
          <w:marTop w:val="0"/>
          <w:marBottom w:val="0"/>
          <w:divBdr>
            <w:top w:val="none" w:sz="0" w:space="0" w:color="auto"/>
            <w:left w:val="none" w:sz="0" w:space="0" w:color="auto"/>
            <w:bottom w:val="none" w:sz="0" w:space="0" w:color="auto"/>
            <w:right w:val="none" w:sz="0" w:space="0" w:color="auto"/>
          </w:divBdr>
        </w:div>
        <w:div w:id="1452825650">
          <w:marLeft w:val="0"/>
          <w:marRight w:val="0"/>
          <w:marTop w:val="0"/>
          <w:marBottom w:val="0"/>
          <w:divBdr>
            <w:top w:val="none" w:sz="0" w:space="0" w:color="auto"/>
            <w:left w:val="none" w:sz="0" w:space="0" w:color="auto"/>
            <w:bottom w:val="none" w:sz="0" w:space="0" w:color="auto"/>
            <w:right w:val="none" w:sz="0" w:space="0" w:color="auto"/>
          </w:divBdr>
        </w:div>
        <w:div w:id="438917702">
          <w:marLeft w:val="0"/>
          <w:marRight w:val="0"/>
          <w:marTop w:val="0"/>
          <w:marBottom w:val="0"/>
          <w:divBdr>
            <w:top w:val="none" w:sz="0" w:space="0" w:color="auto"/>
            <w:left w:val="none" w:sz="0" w:space="0" w:color="auto"/>
            <w:bottom w:val="none" w:sz="0" w:space="0" w:color="auto"/>
            <w:right w:val="none" w:sz="0" w:space="0" w:color="auto"/>
          </w:divBdr>
        </w:div>
        <w:div w:id="1256981189">
          <w:marLeft w:val="0"/>
          <w:marRight w:val="0"/>
          <w:marTop w:val="0"/>
          <w:marBottom w:val="0"/>
          <w:divBdr>
            <w:top w:val="none" w:sz="0" w:space="0" w:color="auto"/>
            <w:left w:val="none" w:sz="0" w:space="0" w:color="auto"/>
            <w:bottom w:val="none" w:sz="0" w:space="0" w:color="auto"/>
            <w:right w:val="none" w:sz="0" w:space="0" w:color="auto"/>
          </w:divBdr>
        </w:div>
        <w:div w:id="1215510790">
          <w:marLeft w:val="0"/>
          <w:marRight w:val="0"/>
          <w:marTop w:val="0"/>
          <w:marBottom w:val="0"/>
          <w:divBdr>
            <w:top w:val="none" w:sz="0" w:space="0" w:color="auto"/>
            <w:left w:val="none" w:sz="0" w:space="0" w:color="auto"/>
            <w:bottom w:val="none" w:sz="0" w:space="0" w:color="auto"/>
            <w:right w:val="none" w:sz="0" w:space="0" w:color="auto"/>
          </w:divBdr>
        </w:div>
        <w:div w:id="973408960">
          <w:marLeft w:val="0"/>
          <w:marRight w:val="0"/>
          <w:marTop w:val="0"/>
          <w:marBottom w:val="0"/>
          <w:divBdr>
            <w:top w:val="none" w:sz="0" w:space="0" w:color="auto"/>
            <w:left w:val="none" w:sz="0" w:space="0" w:color="auto"/>
            <w:bottom w:val="none" w:sz="0" w:space="0" w:color="auto"/>
            <w:right w:val="none" w:sz="0" w:space="0" w:color="auto"/>
          </w:divBdr>
        </w:div>
        <w:div w:id="595408">
          <w:marLeft w:val="0"/>
          <w:marRight w:val="0"/>
          <w:marTop w:val="0"/>
          <w:marBottom w:val="0"/>
          <w:divBdr>
            <w:top w:val="none" w:sz="0" w:space="0" w:color="auto"/>
            <w:left w:val="none" w:sz="0" w:space="0" w:color="auto"/>
            <w:bottom w:val="none" w:sz="0" w:space="0" w:color="auto"/>
            <w:right w:val="none" w:sz="0" w:space="0" w:color="auto"/>
          </w:divBdr>
        </w:div>
        <w:div w:id="1568223630">
          <w:marLeft w:val="0"/>
          <w:marRight w:val="0"/>
          <w:marTop w:val="0"/>
          <w:marBottom w:val="0"/>
          <w:divBdr>
            <w:top w:val="none" w:sz="0" w:space="0" w:color="auto"/>
            <w:left w:val="none" w:sz="0" w:space="0" w:color="auto"/>
            <w:bottom w:val="none" w:sz="0" w:space="0" w:color="auto"/>
            <w:right w:val="none" w:sz="0" w:space="0" w:color="auto"/>
          </w:divBdr>
        </w:div>
        <w:div w:id="648485255">
          <w:marLeft w:val="0"/>
          <w:marRight w:val="0"/>
          <w:marTop w:val="0"/>
          <w:marBottom w:val="0"/>
          <w:divBdr>
            <w:top w:val="none" w:sz="0" w:space="0" w:color="auto"/>
            <w:left w:val="none" w:sz="0" w:space="0" w:color="auto"/>
            <w:bottom w:val="none" w:sz="0" w:space="0" w:color="auto"/>
            <w:right w:val="none" w:sz="0" w:space="0" w:color="auto"/>
          </w:divBdr>
        </w:div>
        <w:div w:id="1810245197">
          <w:marLeft w:val="0"/>
          <w:marRight w:val="0"/>
          <w:marTop w:val="0"/>
          <w:marBottom w:val="0"/>
          <w:divBdr>
            <w:top w:val="none" w:sz="0" w:space="0" w:color="auto"/>
            <w:left w:val="none" w:sz="0" w:space="0" w:color="auto"/>
            <w:bottom w:val="none" w:sz="0" w:space="0" w:color="auto"/>
            <w:right w:val="none" w:sz="0" w:space="0" w:color="auto"/>
          </w:divBdr>
        </w:div>
        <w:div w:id="1889216677">
          <w:marLeft w:val="0"/>
          <w:marRight w:val="0"/>
          <w:marTop w:val="0"/>
          <w:marBottom w:val="0"/>
          <w:divBdr>
            <w:top w:val="none" w:sz="0" w:space="0" w:color="auto"/>
            <w:left w:val="none" w:sz="0" w:space="0" w:color="auto"/>
            <w:bottom w:val="none" w:sz="0" w:space="0" w:color="auto"/>
            <w:right w:val="none" w:sz="0" w:space="0" w:color="auto"/>
          </w:divBdr>
        </w:div>
        <w:div w:id="1184593503">
          <w:marLeft w:val="0"/>
          <w:marRight w:val="0"/>
          <w:marTop w:val="0"/>
          <w:marBottom w:val="0"/>
          <w:divBdr>
            <w:top w:val="none" w:sz="0" w:space="0" w:color="auto"/>
            <w:left w:val="none" w:sz="0" w:space="0" w:color="auto"/>
            <w:bottom w:val="none" w:sz="0" w:space="0" w:color="auto"/>
            <w:right w:val="none" w:sz="0" w:space="0" w:color="auto"/>
          </w:divBdr>
        </w:div>
        <w:div w:id="1218396492">
          <w:marLeft w:val="0"/>
          <w:marRight w:val="0"/>
          <w:marTop w:val="0"/>
          <w:marBottom w:val="0"/>
          <w:divBdr>
            <w:top w:val="none" w:sz="0" w:space="0" w:color="auto"/>
            <w:left w:val="none" w:sz="0" w:space="0" w:color="auto"/>
            <w:bottom w:val="none" w:sz="0" w:space="0" w:color="auto"/>
            <w:right w:val="none" w:sz="0" w:space="0" w:color="auto"/>
          </w:divBdr>
        </w:div>
        <w:div w:id="348605956">
          <w:marLeft w:val="0"/>
          <w:marRight w:val="0"/>
          <w:marTop w:val="0"/>
          <w:marBottom w:val="0"/>
          <w:divBdr>
            <w:top w:val="none" w:sz="0" w:space="0" w:color="auto"/>
            <w:left w:val="none" w:sz="0" w:space="0" w:color="auto"/>
            <w:bottom w:val="none" w:sz="0" w:space="0" w:color="auto"/>
            <w:right w:val="none" w:sz="0" w:space="0" w:color="auto"/>
          </w:divBdr>
        </w:div>
        <w:div w:id="112943432">
          <w:marLeft w:val="0"/>
          <w:marRight w:val="0"/>
          <w:marTop w:val="0"/>
          <w:marBottom w:val="0"/>
          <w:divBdr>
            <w:top w:val="none" w:sz="0" w:space="0" w:color="auto"/>
            <w:left w:val="none" w:sz="0" w:space="0" w:color="auto"/>
            <w:bottom w:val="none" w:sz="0" w:space="0" w:color="auto"/>
            <w:right w:val="none" w:sz="0" w:space="0" w:color="auto"/>
          </w:divBdr>
        </w:div>
        <w:div w:id="719402936">
          <w:marLeft w:val="0"/>
          <w:marRight w:val="0"/>
          <w:marTop w:val="0"/>
          <w:marBottom w:val="0"/>
          <w:divBdr>
            <w:top w:val="none" w:sz="0" w:space="0" w:color="auto"/>
            <w:left w:val="none" w:sz="0" w:space="0" w:color="auto"/>
            <w:bottom w:val="none" w:sz="0" w:space="0" w:color="auto"/>
            <w:right w:val="none" w:sz="0" w:space="0" w:color="auto"/>
          </w:divBdr>
        </w:div>
        <w:div w:id="819149127">
          <w:marLeft w:val="0"/>
          <w:marRight w:val="0"/>
          <w:marTop w:val="0"/>
          <w:marBottom w:val="0"/>
          <w:divBdr>
            <w:top w:val="none" w:sz="0" w:space="0" w:color="auto"/>
            <w:left w:val="none" w:sz="0" w:space="0" w:color="auto"/>
            <w:bottom w:val="none" w:sz="0" w:space="0" w:color="auto"/>
            <w:right w:val="none" w:sz="0" w:space="0" w:color="auto"/>
          </w:divBdr>
        </w:div>
        <w:div w:id="1793357507">
          <w:marLeft w:val="0"/>
          <w:marRight w:val="0"/>
          <w:marTop w:val="0"/>
          <w:marBottom w:val="0"/>
          <w:divBdr>
            <w:top w:val="none" w:sz="0" w:space="0" w:color="auto"/>
            <w:left w:val="none" w:sz="0" w:space="0" w:color="auto"/>
            <w:bottom w:val="none" w:sz="0" w:space="0" w:color="auto"/>
            <w:right w:val="none" w:sz="0" w:space="0" w:color="auto"/>
          </w:divBdr>
        </w:div>
        <w:div w:id="1390303493">
          <w:marLeft w:val="0"/>
          <w:marRight w:val="0"/>
          <w:marTop w:val="0"/>
          <w:marBottom w:val="0"/>
          <w:divBdr>
            <w:top w:val="none" w:sz="0" w:space="0" w:color="auto"/>
            <w:left w:val="none" w:sz="0" w:space="0" w:color="auto"/>
            <w:bottom w:val="none" w:sz="0" w:space="0" w:color="auto"/>
            <w:right w:val="none" w:sz="0" w:space="0" w:color="auto"/>
          </w:divBdr>
        </w:div>
        <w:div w:id="1209536060">
          <w:marLeft w:val="0"/>
          <w:marRight w:val="0"/>
          <w:marTop w:val="0"/>
          <w:marBottom w:val="0"/>
          <w:divBdr>
            <w:top w:val="none" w:sz="0" w:space="0" w:color="auto"/>
            <w:left w:val="none" w:sz="0" w:space="0" w:color="auto"/>
            <w:bottom w:val="none" w:sz="0" w:space="0" w:color="auto"/>
            <w:right w:val="none" w:sz="0" w:space="0" w:color="auto"/>
          </w:divBdr>
        </w:div>
        <w:div w:id="685834514">
          <w:marLeft w:val="0"/>
          <w:marRight w:val="0"/>
          <w:marTop w:val="0"/>
          <w:marBottom w:val="0"/>
          <w:divBdr>
            <w:top w:val="none" w:sz="0" w:space="0" w:color="auto"/>
            <w:left w:val="none" w:sz="0" w:space="0" w:color="auto"/>
            <w:bottom w:val="none" w:sz="0" w:space="0" w:color="auto"/>
            <w:right w:val="none" w:sz="0" w:space="0" w:color="auto"/>
          </w:divBdr>
        </w:div>
        <w:div w:id="126628253">
          <w:marLeft w:val="0"/>
          <w:marRight w:val="0"/>
          <w:marTop w:val="0"/>
          <w:marBottom w:val="0"/>
          <w:divBdr>
            <w:top w:val="none" w:sz="0" w:space="0" w:color="auto"/>
            <w:left w:val="none" w:sz="0" w:space="0" w:color="auto"/>
            <w:bottom w:val="none" w:sz="0" w:space="0" w:color="auto"/>
            <w:right w:val="none" w:sz="0" w:space="0" w:color="auto"/>
          </w:divBdr>
        </w:div>
        <w:div w:id="1471361901">
          <w:marLeft w:val="0"/>
          <w:marRight w:val="0"/>
          <w:marTop w:val="0"/>
          <w:marBottom w:val="0"/>
          <w:divBdr>
            <w:top w:val="none" w:sz="0" w:space="0" w:color="auto"/>
            <w:left w:val="none" w:sz="0" w:space="0" w:color="auto"/>
            <w:bottom w:val="none" w:sz="0" w:space="0" w:color="auto"/>
            <w:right w:val="none" w:sz="0" w:space="0" w:color="auto"/>
          </w:divBdr>
        </w:div>
        <w:div w:id="1961648428">
          <w:marLeft w:val="0"/>
          <w:marRight w:val="0"/>
          <w:marTop w:val="0"/>
          <w:marBottom w:val="0"/>
          <w:divBdr>
            <w:top w:val="none" w:sz="0" w:space="0" w:color="auto"/>
            <w:left w:val="none" w:sz="0" w:space="0" w:color="auto"/>
            <w:bottom w:val="none" w:sz="0" w:space="0" w:color="auto"/>
            <w:right w:val="none" w:sz="0" w:space="0" w:color="auto"/>
          </w:divBdr>
        </w:div>
        <w:div w:id="154154787">
          <w:marLeft w:val="0"/>
          <w:marRight w:val="0"/>
          <w:marTop w:val="0"/>
          <w:marBottom w:val="0"/>
          <w:divBdr>
            <w:top w:val="none" w:sz="0" w:space="0" w:color="auto"/>
            <w:left w:val="none" w:sz="0" w:space="0" w:color="auto"/>
            <w:bottom w:val="none" w:sz="0" w:space="0" w:color="auto"/>
            <w:right w:val="none" w:sz="0" w:space="0" w:color="auto"/>
          </w:divBdr>
        </w:div>
        <w:div w:id="1573395842">
          <w:marLeft w:val="0"/>
          <w:marRight w:val="0"/>
          <w:marTop w:val="0"/>
          <w:marBottom w:val="0"/>
          <w:divBdr>
            <w:top w:val="none" w:sz="0" w:space="0" w:color="auto"/>
            <w:left w:val="none" w:sz="0" w:space="0" w:color="auto"/>
            <w:bottom w:val="none" w:sz="0" w:space="0" w:color="auto"/>
            <w:right w:val="none" w:sz="0" w:space="0" w:color="auto"/>
          </w:divBdr>
        </w:div>
        <w:div w:id="428354738">
          <w:marLeft w:val="0"/>
          <w:marRight w:val="0"/>
          <w:marTop w:val="0"/>
          <w:marBottom w:val="0"/>
          <w:divBdr>
            <w:top w:val="none" w:sz="0" w:space="0" w:color="auto"/>
            <w:left w:val="none" w:sz="0" w:space="0" w:color="auto"/>
            <w:bottom w:val="none" w:sz="0" w:space="0" w:color="auto"/>
            <w:right w:val="none" w:sz="0" w:space="0" w:color="auto"/>
          </w:divBdr>
        </w:div>
        <w:div w:id="1024400711">
          <w:marLeft w:val="0"/>
          <w:marRight w:val="0"/>
          <w:marTop w:val="0"/>
          <w:marBottom w:val="0"/>
          <w:divBdr>
            <w:top w:val="none" w:sz="0" w:space="0" w:color="auto"/>
            <w:left w:val="none" w:sz="0" w:space="0" w:color="auto"/>
            <w:bottom w:val="none" w:sz="0" w:space="0" w:color="auto"/>
            <w:right w:val="none" w:sz="0" w:space="0" w:color="auto"/>
          </w:divBdr>
        </w:div>
        <w:div w:id="1076051916">
          <w:marLeft w:val="0"/>
          <w:marRight w:val="0"/>
          <w:marTop w:val="0"/>
          <w:marBottom w:val="0"/>
          <w:divBdr>
            <w:top w:val="none" w:sz="0" w:space="0" w:color="auto"/>
            <w:left w:val="none" w:sz="0" w:space="0" w:color="auto"/>
            <w:bottom w:val="none" w:sz="0" w:space="0" w:color="auto"/>
            <w:right w:val="none" w:sz="0" w:space="0" w:color="auto"/>
          </w:divBdr>
        </w:div>
        <w:div w:id="458107775">
          <w:marLeft w:val="0"/>
          <w:marRight w:val="0"/>
          <w:marTop w:val="0"/>
          <w:marBottom w:val="0"/>
          <w:divBdr>
            <w:top w:val="none" w:sz="0" w:space="0" w:color="auto"/>
            <w:left w:val="none" w:sz="0" w:space="0" w:color="auto"/>
            <w:bottom w:val="none" w:sz="0" w:space="0" w:color="auto"/>
            <w:right w:val="none" w:sz="0" w:space="0" w:color="auto"/>
          </w:divBdr>
        </w:div>
        <w:div w:id="1321739677">
          <w:marLeft w:val="0"/>
          <w:marRight w:val="0"/>
          <w:marTop w:val="0"/>
          <w:marBottom w:val="0"/>
          <w:divBdr>
            <w:top w:val="none" w:sz="0" w:space="0" w:color="auto"/>
            <w:left w:val="none" w:sz="0" w:space="0" w:color="auto"/>
            <w:bottom w:val="none" w:sz="0" w:space="0" w:color="auto"/>
            <w:right w:val="none" w:sz="0" w:space="0" w:color="auto"/>
          </w:divBdr>
        </w:div>
        <w:div w:id="197158814">
          <w:marLeft w:val="0"/>
          <w:marRight w:val="0"/>
          <w:marTop w:val="0"/>
          <w:marBottom w:val="0"/>
          <w:divBdr>
            <w:top w:val="none" w:sz="0" w:space="0" w:color="auto"/>
            <w:left w:val="none" w:sz="0" w:space="0" w:color="auto"/>
            <w:bottom w:val="none" w:sz="0" w:space="0" w:color="auto"/>
            <w:right w:val="none" w:sz="0" w:space="0" w:color="auto"/>
          </w:divBdr>
        </w:div>
        <w:div w:id="818380681">
          <w:marLeft w:val="0"/>
          <w:marRight w:val="0"/>
          <w:marTop w:val="0"/>
          <w:marBottom w:val="0"/>
          <w:divBdr>
            <w:top w:val="none" w:sz="0" w:space="0" w:color="auto"/>
            <w:left w:val="none" w:sz="0" w:space="0" w:color="auto"/>
            <w:bottom w:val="none" w:sz="0" w:space="0" w:color="auto"/>
            <w:right w:val="none" w:sz="0" w:space="0" w:color="auto"/>
          </w:divBdr>
        </w:div>
        <w:div w:id="1593051669">
          <w:marLeft w:val="0"/>
          <w:marRight w:val="0"/>
          <w:marTop w:val="0"/>
          <w:marBottom w:val="0"/>
          <w:divBdr>
            <w:top w:val="none" w:sz="0" w:space="0" w:color="auto"/>
            <w:left w:val="none" w:sz="0" w:space="0" w:color="auto"/>
            <w:bottom w:val="none" w:sz="0" w:space="0" w:color="auto"/>
            <w:right w:val="none" w:sz="0" w:space="0" w:color="auto"/>
          </w:divBdr>
        </w:div>
        <w:div w:id="1508977616">
          <w:marLeft w:val="0"/>
          <w:marRight w:val="0"/>
          <w:marTop w:val="0"/>
          <w:marBottom w:val="0"/>
          <w:divBdr>
            <w:top w:val="none" w:sz="0" w:space="0" w:color="auto"/>
            <w:left w:val="none" w:sz="0" w:space="0" w:color="auto"/>
            <w:bottom w:val="none" w:sz="0" w:space="0" w:color="auto"/>
            <w:right w:val="none" w:sz="0" w:space="0" w:color="auto"/>
          </w:divBdr>
        </w:div>
        <w:div w:id="1820687655">
          <w:marLeft w:val="0"/>
          <w:marRight w:val="0"/>
          <w:marTop w:val="0"/>
          <w:marBottom w:val="0"/>
          <w:divBdr>
            <w:top w:val="none" w:sz="0" w:space="0" w:color="auto"/>
            <w:left w:val="none" w:sz="0" w:space="0" w:color="auto"/>
            <w:bottom w:val="none" w:sz="0" w:space="0" w:color="auto"/>
            <w:right w:val="none" w:sz="0" w:space="0" w:color="auto"/>
          </w:divBdr>
        </w:div>
        <w:div w:id="1655449350">
          <w:marLeft w:val="0"/>
          <w:marRight w:val="0"/>
          <w:marTop w:val="0"/>
          <w:marBottom w:val="0"/>
          <w:divBdr>
            <w:top w:val="none" w:sz="0" w:space="0" w:color="auto"/>
            <w:left w:val="none" w:sz="0" w:space="0" w:color="auto"/>
            <w:bottom w:val="none" w:sz="0" w:space="0" w:color="auto"/>
            <w:right w:val="none" w:sz="0" w:space="0" w:color="auto"/>
          </w:divBdr>
        </w:div>
        <w:div w:id="460419223">
          <w:marLeft w:val="0"/>
          <w:marRight w:val="0"/>
          <w:marTop w:val="0"/>
          <w:marBottom w:val="0"/>
          <w:divBdr>
            <w:top w:val="none" w:sz="0" w:space="0" w:color="auto"/>
            <w:left w:val="none" w:sz="0" w:space="0" w:color="auto"/>
            <w:bottom w:val="none" w:sz="0" w:space="0" w:color="auto"/>
            <w:right w:val="none" w:sz="0" w:space="0" w:color="auto"/>
          </w:divBdr>
        </w:div>
        <w:div w:id="1976983035">
          <w:marLeft w:val="0"/>
          <w:marRight w:val="0"/>
          <w:marTop w:val="0"/>
          <w:marBottom w:val="0"/>
          <w:divBdr>
            <w:top w:val="none" w:sz="0" w:space="0" w:color="auto"/>
            <w:left w:val="none" w:sz="0" w:space="0" w:color="auto"/>
            <w:bottom w:val="none" w:sz="0" w:space="0" w:color="auto"/>
            <w:right w:val="none" w:sz="0" w:space="0" w:color="auto"/>
          </w:divBdr>
        </w:div>
        <w:div w:id="78870602">
          <w:marLeft w:val="0"/>
          <w:marRight w:val="0"/>
          <w:marTop w:val="0"/>
          <w:marBottom w:val="0"/>
          <w:divBdr>
            <w:top w:val="none" w:sz="0" w:space="0" w:color="auto"/>
            <w:left w:val="none" w:sz="0" w:space="0" w:color="auto"/>
            <w:bottom w:val="none" w:sz="0" w:space="0" w:color="auto"/>
            <w:right w:val="none" w:sz="0" w:space="0" w:color="auto"/>
          </w:divBdr>
        </w:div>
        <w:div w:id="1340548088">
          <w:marLeft w:val="0"/>
          <w:marRight w:val="0"/>
          <w:marTop w:val="0"/>
          <w:marBottom w:val="0"/>
          <w:divBdr>
            <w:top w:val="none" w:sz="0" w:space="0" w:color="auto"/>
            <w:left w:val="none" w:sz="0" w:space="0" w:color="auto"/>
            <w:bottom w:val="none" w:sz="0" w:space="0" w:color="auto"/>
            <w:right w:val="none" w:sz="0" w:space="0" w:color="auto"/>
          </w:divBdr>
        </w:div>
        <w:div w:id="2097435982">
          <w:marLeft w:val="0"/>
          <w:marRight w:val="0"/>
          <w:marTop w:val="0"/>
          <w:marBottom w:val="0"/>
          <w:divBdr>
            <w:top w:val="none" w:sz="0" w:space="0" w:color="auto"/>
            <w:left w:val="none" w:sz="0" w:space="0" w:color="auto"/>
            <w:bottom w:val="none" w:sz="0" w:space="0" w:color="auto"/>
            <w:right w:val="none" w:sz="0" w:space="0" w:color="auto"/>
          </w:divBdr>
        </w:div>
        <w:div w:id="1118142375">
          <w:marLeft w:val="0"/>
          <w:marRight w:val="0"/>
          <w:marTop w:val="0"/>
          <w:marBottom w:val="0"/>
          <w:divBdr>
            <w:top w:val="none" w:sz="0" w:space="0" w:color="auto"/>
            <w:left w:val="none" w:sz="0" w:space="0" w:color="auto"/>
            <w:bottom w:val="none" w:sz="0" w:space="0" w:color="auto"/>
            <w:right w:val="none" w:sz="0" w:space="0" w:color="auto"/>
          </w:divBdr>
        </w:div>
        <w:div w:id="1604802221">
          <w:marLeft w:val="0"/>
          <w:marRight w:val="0"/>
          <w:marTop w:val="0"/>
          <w:marBottom w:val="0"/>
          <w:divBdr>
            <w:top w:val="none" w:sz="0" w:space="0" w:color="auto"/>
            <w:left w:val="none" w:sz="0" w:space="0" w:color="auto"/>
            <w:bottom w:val="none" w:sz="0" w:space="0" w:color="auto"/>
            <w:right w:val="none" w:sz="0" w:space="0" w:color="auto"/>
          </w:divBdr>
        </w:div>
        <w:div w:id="1415785702">
          <w:marLeft w:val="0"/>
          <w:marRight w:val="0"/>
          <w:marTop w:val="0"/>
          <w:marBottom w:val="0"/>
          <w:divBdr>
            <w:top w:val="none" w:sz="0" w:space="0" w:color="auto"/>
            <w:left w:val="none" w:sz="0" w:space="0" w:color="auto"/>
            <w:bottom w:val="none" w:sz="0" w:space="0" w:color="auto"/>
            <w:right w:val="none" w:sz="0" w:space="0" w:color="auto"/>
          </w:divBdr>
        </w:div>
        <w:div w:id="410397533">
          <w:marLeft w:val="0"/>
          <w:marRight w:val="0"/>
          <w:marTop w:val="0"/>
          <w:marBottom w:val="0"/>
          <w:divBdr>
            <w:top w:val="none" w:sz="0" w:space="0" w:color="auto"/>
            <w:left w:val="none" w:sz="0" w:space="0" w:color="auto"/>
            <w:bottom w:val="none" w:sz="0" w:space="0" w:color="auto"/>
            <w:right w:val="none" w:sz="0" w:space="0" w:color="auto"/>
          </w:divBdr>
        </w:div>
        <w:div w:id="500437756">
          <w:marLeft w:val="0"/>
          <w:marRight w:val="0"/>
          <w:marTop w:val="0"/>
          <w:marBottom w:val="0"/>
          <w:divBdr>
            <w:top w:val="none" w:sz="0" w:space="0" w:color="auto"/>
            <w:left w:val="none" w:sz="0" w:space="0" w:color="auto"/>
            <w:bottom w:val="none" w:sz="0" w:space="0" w:color="auto"/>
            <w:right w:val="none" w:sz="0" w:space="0" w:color="auto"/>
          </w:divBdr>
        </w:div>
        <w:div w:id="259221430">
          <w:marLeft w:val="0"/>
          <w:marRight w:val="0"/>
          <w:marTop w:val="0"/>
          <w:marBottom w:val="0"/>
          <w:divBdr>
            <w:top w:val="none" w:sz="0" w:space="0" w:color="auto"/>
            <w:left w:val="none" w:sz="0" w:space="0" w:color="auto"/>
            <w:bottom w:val="none" w:sz="0" w:space="0" w:color="auto"/>
            <w:right w:val="none" w:sz="0" w:space="0" w:color="auto"/>
          </w:divBdr>
        </w:div>
        <w:div w:id="1682243882">
          <w:marLeft w:val="0"/>
          <w:marRight w:val="0"/>
          <w:marTop w:val="0"/>
          <w:marBottom w:val="0"/>
          <w:divBdr>
            <w:top w:val="none" w:sz="0" w:space="0" w:color="auto"/>
            <w:left w:val="none" w:sz="0" w:space="0" w:color="auto"/>
            <w:bottom w:val="none" w:sz="0" w:space="0" w:color="auto"/>
            <w:right w:val="none" w:sz="0" w:space="0" w:color="auto"/>
          </w:divBdr>
        </w:div>
        <w:div w:id="849413601">
          <w:marLeft w:val="0"/>
          <w:marRight w:val="0"/>
          <w:marTop w:val="0"/>
          <w:marBottom w:val="0"/>
          <w:divBdr>
            <w:top w:val="none" w:sz="0" w:space="0" w:color="auto"/>
            <w:left w:val="none" w:sz="0" w:space="0" w:color="auto"/>
            <w:bottom w:val="none" w:sz="0" w:space="0" w:color="auto"/>
            <w:right w:val="none" w:sz="0" w:space="0" w:color="auto"/>
          </w:divBdr>
        </w:div>
        <w:div w:id="541135519">
          <w:marLeft w:val="0"/>
          <w:marRight w:val="0"/>
          <w:marTop w:val="0"/>
          <w:marBottom w:val="0"/>
          <w:divBdr>
            <w:top w:val="none" w:sz="0" w:space="0" w:color="auto"/>
            <w:left w:val="none" w:sz="0" w:space="0" w:color="auto"/>
            <w:bottom w:val="none" w:sz="0" w:space="0" w:color="auto"/>
            <w:right w:val="none" w:sz="0" w:space="0" w:color="auto"/>
          </w:divBdr>
        </w:div>
        <w:div w:id="1565674615">
          <w:marLeft w:val="0"/>
          <w:marRight w:val="0"/>
          <w:marTop w:val="0"/>
          <w:marBottom w:val="0"/>
          <w:divBdr>
            <w:top w:val="none" w:sz="0" w:space="0" w:color="auto"/>
            <w:left w:val="none" w:sz="0" w:space="0" w:color="auto"/>
            <w:bottom w:val="none" w:sz="0" w:space="0" w:color="auto"/>
            <w:right w:val="none" w:sz="0" w:space="0" w:color="auto"/>
          </w:divBdr>
        </w:div>
        <w:div w:id="111171177">
          <w:marLeft w:val="0"/>
          <w:marRight w:val="0"/>
          <w:marTop w:val="0"/>
          <w:marBottom w:val="0"/>
          <w:divBdr>
            <w:top w:val="none" w:sz="0" w:space="0" w:color="auto"/>
            <w:left w:val="none" w:sz="0" w:space="0" w:color="auto"/>
            <w:bottom w:val="none" w:sz="0" w:space="0" w:color="auto"/>
            <w:right w:val="none" w:sz="0" w:space="0" w:color="auto"/>
          </w:divBdr>
        </w:div>
        <w:div w:id="267860468">
          <w:marLeft w:val="0"/>
          <w:marRight w:val="0"/>
          <w:marTop w:val="0"/>
          <w:marBottom w:val="0"/>
          <w:divBdr>
            <w:top w:val="none" w:sz="0" w:space="0" w:color="auto"/>
            <w:left w:val="none" w:sz="0" w:space="0" w:color="auto"/>
            <w:bottom w:val="none" w:sz="0" w:space="0" w:color="auto"/>
            <w:right w:val="none" w:sz="0" w:space="0" w:color="auto"/>
          </w:divBdr>
        </w:div>
        <w:div w:id="1325010727">
          <w:marLeft w:val="0"/>
          <w:marRight w:val="0"/>
          <w:marTop w:val="0"/>
          <w:marBottom w:val="0"/>
          <w:divBdr>
            <w:top w:val="none" w:sz="0" w:space="0" w:color="auto"/>
            <w:left w:val="none" w:sz="0" w:space="0" w:color="auto"/>
            <w:bottom w:val="none" w:sz="0" w:space="0" w:color="auto"/>
            <w:right w:val="none" w:sz="0" w:space="0" w:color="auto"/>
          </w:divBdr>
        </w:div>
        <w:div w:id="1463499438">
          <w:marLeft w:val="0"/>
          <w:marRight w:val="0"/>
          <w:marTop w:val="0"/>
          <w:marBottom w:val="0"/>
          <w:divBdr>
            <w:top w:val="none" w:sz="0" w:space="0" w:color="auto"/>
            <w:left w:val="none" w:sz="0" w:space="0" w:color="auto"/>
            <w:bottom w:val="none" w:sz="0" w:space="0" w:color="auto"/>
            <w:right w:val="none" w:sz="0" w:space="0" w:color="auto"/>
          </w:divBdr>
        </w:div>
        <w:div w:id="1302349709">
          <w:marLeft w:val="0"/>
          <w:marRight w:val="0"/>
          <w:marTop w:val="0"/>
          <w:marBottom w:val="0"/>
          <w:divBdr>
            <w:top w:val="none" w:sz="0" w:space="0" w:color="auto"/>
            <w:left w:val="none" w:sz="0" w:space="0" w:color="auto"/>
            <w:bottom w:val="none" w:sz="0" w:space="0" w:color="auto"/>
            <w:right w:val="none" w:sz="0" w:space="0" w:color="auto"/>
          </w:divBdr>
        </w:div>
        <w:div w:id="299965254">
          <w:marLeft w:val="0"/>
          <w:marRight w:val="0"/>
          <w:marTop w:val="0"/>
          <w:marBottom w:val="0"/>
          <w:divBdr>
            <w:top w:val="none" w:sz="0" w:space="0" w:color="auto"/>
            <w:left w:val="none" w:sz="0" w:space="0" w:color="auto"/>
            <w:bottom w:val="none" w:sz="0" w:space="0" w:color="auto"/>
            <w:right w:val="none" w:sz="0" w:space="0" w:color="auto"/>
          </w:divBdr>
        </w:div>
        <w:div w:id="1687173305">
          <w:marLeft w:val="0"/>
          <w:marRight w:val="0"/>
          <w:marTop w:val="0"/>
          <w:marBottom w:val="0"/>
          <w:divBdr>
            <w:top w:val="none" w:sz="0" w:space="0" w:color="auto"/>
            <w:left w:val="none" w:sz="0" w:space="0" w:color="auto"/>
            <w:bottom w:val="none" w:sz="0" w:space="0" w:color="auto"/>
            <w:right w:val="none" w:sz="0" w:space="0" w:color="auto"/>
          </w:divBdr>
        </w:div>
        <w:div w:id="681786757">
          <w:marLeft w:val="0"/>
          <w:marRight w:val="0"/>
          <w:marTop w:val="0"/>
          <w:marBottom w:val="0"/>
          <w:divBdr>
            <w:top w:val="none" w:sz="0" w:space="0" w:color="auto"/>
            <w:left w:val="none" w:sz="0" w:space="0" w:color="auto"/>
            <w:bottom w:val="none" w:sz="0" w:space="0" w:color="auto"/>
            <w:right w:val="none" w:sz="0" w:space="0" w:color="auto"/>
          </w:divBdr>
        </w:div>
        <w:div w:id="651640063">
          <w:marLeft w:val="0"/>
          <w:marRight w:val="0"/>
          <w:marTop w:val="0"/>
          <w:marBottom w:val="0"/>
          <w:divBdr>
            <w:top w:val="none" w:sz="0" w:space="0" w:color="auto"/>
            <w:left w:val="none" w:sz="0" w:space="0" w:color="auto"/>
            <w:bottom w:val="none" w:sz="0" w:space="0" w:color="auto"/>
            <w:right w:val="none" w:sz="0" w:space="0" w:color="auto"/>
          </w:divBdr>
        </w:div>
        <w:div w:id="271212208">
          <w:marLeft w:val="0"/>
          <w:marRight w:val="0"/>
          <w:marTop w:val="0"/>
          <w:marBottom w:val="0"/>
          <w:divBdr>
            <w:top w:val="none" w:sz="0" w:space="0" w:color="auto"/>
            <w:left w:val="none" w:sz="0" w:space="0" w:color="auto"/>
            <w:bottom w:val="none" w:sz="0" w:space="0" w:color="auto"/>
            <w:right w:val="none" w:sz="0" w:space="0" w:color="auto"/>
          </w:divBdr>
        </w:div>
        <w:div w:id="435641508">
          <w:marLeft w:val="0"/>
          <w:marRight w:val="0"/>
          <w:marTop w:val="0"/>
          <w:marBottom w:val="0"/>
          <w:divBdr>
            <w:top w:val="none" w:sz="0" w:space="0" w:color="auto"/>
            <w:left w:val="none" w:sz="0" w:space="0" w:color="auto"/>
            <w:bottom w:val="none" w:sz="0" w:space="0" w:color="auto"/>
            <w:right w:val="none" w:sz="0" w:space="0" w:color="auto"/>
          </w:divBdr>
        </w:div>
        <w:div w:id="761560602">
          <w:marLeft w:val="0"/>
          <w:marRight w:val="0"/>
          <w:marTop w:val="0"/>
          <w:marBottom w:val="0"/>
          <w:divBdr>
            <w:top w:val="none" w:sz="0" w:space="0" w:color="auto"/>
            <w:left w:val="none" w:sz="0" w:space="0" w:color="auto"/>
            <w:bottom w:val="none" w:sz="0" w:space="0" w:color="auto"/>
            <w:right w:val="none" w:sz="0" w:space="0" w:color="auto"/>
          </w:divBdr>
        </w:div>
        <w:div w:id="1288854454">
          <w:marLeft w:val="0"/>
          <w:marRight w:val="0"/>
          <w:marTop w:val="0"/>
          <w:marBottom w:val="0"/>
          <w:divBdr>
            <w:top w:val="none" w:sz="0" w:space="0" w:color="auto"/>
            <w:left w:val="none" w:sz="0" w:space="0" w:color="auto"/>
            <w:bottom w:val="none" w:sz="0" w:space="0" w:color="auto"/>
            <w:right w:val="none" w:sz="0" w:space="0" w:color="auto"/>
          </w:divBdr>
        </w:div>
        <w:div w:id="1949434934">
          <w:marLeft w:val="0"/>
          <w:marRight w:val="0"/>
          <w:marTop w:val="0"/>
          <w:marBottom w:val="0"/>
          <w:divBdr>
            <w:top w:val="none" w:sz="0" w:space="0" w:color="auto"/>
            <w:left w:val="none" w:sz="0" w:space="0" w:color="auto"/>
            <w:bottom w:val="none" w:sz="0" w:space="0" w:color="auto"/>
            <w:right w:val="none" w:sz="0" w:space="0" w:color="auto"/>
          </w:divBdr>
        </w:div>
        <w:div w:id="354379907">
          <w:marLeft w:val="0"/>
          <w:marRight w:val="0"/>
          <w:marTop w:val="0"/>
          <w:marBottom w:val="0"/>
          <w:divBdr>
            <w:top w:val="none" w:sz="0" w:space="0" w:color="auto"/>
            <w:left w:val="none" w:sz="0" w:space="0" w:color="auto"/>
            <w:bottom w:val="none" w:sz="0" w:space="0" w:color="auto"/>
            <w:right w:val="none" w:sz="0" w:space="0" w:color="auto"/>
          </w:divBdr>
        </w:div>
        <w:div w:id="534729416">
          <w:marLeft w:val="0"/>
          <w:marRight w:val="0"/>
          <w:marTop w:val="0"/>
          <w:marBottom w:val="0"/>
          <w:divBdr>
            <w:top w:val="none" w:sz="0" w:space="0" w:color="auto"/>
            <w:left w:val="none" w:sz="0" w:space="0" w:color="auto"/>
            <w:bottom w:val="none" w:sz="0" w:space="0" w:color="auto"/>
            <w:right w:val="none" w:sz="0" w:space="0" w:color="auto"/>
          </w:divBdr>
        </w:div>
        <w:div w:id="1740863687">
          <w:marLeft w:val="0"/>
          <w:marRight w:val="0"/>
          <w:marTop w:val="0"/>
          <w:marBottom w:val="0"/>
          <w:divBdr>
            <w:top w:val="none" w:sz="0" w:space="0" w:color="auto"/>
            <w:left w:val="none" w:sz="0" w:space="0" w:color="auto"/>
            <w:bottom w:val="none" w:sz="0" w:space="0" w:color="auto"/>
            <w:right w:val="none" w:sz="0" w:space="0" w:color="auto"/>
          </w:divBdr>
        </w:div>
        <w:div w:id="119613115">
          <w:marLeft w:val="0"/>
          <w:marRight w:val="0"/>
          <w:marTop w:val="0"/>
          <w:marBottom w:val="0"/>
          <w:divBdr>
            <w:top w:val="none" w:sz="0" w:space="0" w:color="auto"/>
            <w:left w:val="none" w:sz="0" w:space="0" w:color="auto"/>
            <w:bottom w:val="none" w:sz="0" w:space="0" w:color="auto"/>
            <w:right w:val="none" w:sz="0" w:space="0" w:color="auto"/>
          </w:divBdr>
        </w:div>
        <w:div w:id="1651061451">
          <w:marLeft w:val="0"/>
          <w:marRight w:val="0"/>
          <w:marTop w:val="0"/>
          <w:marBottom w:val="0"/>
          <w:divBdr>
            <w:top w:val="none" w:sz="0" w:space="0" w:color="auto"/>
            <w:left w:val="none" w:sz="0" w:space="0" w:color="auto"/>
            <w:bottom w:val="none" w:sz="0" w:space="0" w:color="auto"/>
            <w:right w:val="none" w:sz="0" w:space="0" w:color="auto"/>
          </w:divBdr>
        </w:div>
        <w:div w:id="989484138">
          <w:marLeft w:val="0"/>
          <w:marRight w:val="0"/>
          <w:marTop w:val="0"/>
          <w:marBottom w:val="0"/>
          <w:divBdr>
            <w:top w:val="none" w:sz="0" w:space="0" w:color="auto"/>
            <w:left w:val="none" w:sz="0" w:space="0" w:color="auto"/>
            <w:bottom w:val="none" w:sz="0" w:space="0" w:color="auto"/>
            <w:right w:val="none" w:sz="0" w:space="0" w:color="auto"/>
          </w:divBdr>
        </w:div>
        <w:div w:id="2083524250">
          <w:marLeft w:val="0"/>
          <w:marRight w:val="0"/>
          <w:marTop w:val="0"/>
          <w:marBottom w:val="0"/>
          <w:divBdr>
            <w:top w:val="none" w:sz="0" w:space="0" w:color="auto"/>
            <w:left w:val="none" w:sz="0" w:space="0" w:color="auto"/>
            <w:bottom w:val="none" w:sz="0" w:space="0" w:color="auto"/>
            <w:right w:val="none" w:sz="0" w:space="0" w:color="auto"/>
          </w:divBdr>
        </w:div>
        <w:div w:id="2015843117">
          <w:marLeft w:val="0"/>
          <w:marRight w:val="0"/>
          <w:marTop w:val="0"/>
          <w:marBottom w:val="0"/>
          <w:divBdr>
            <w:top w:val="none" w:sz="0" w:space="0" w:color="auto"/>
            <w:left w:val="none" w:sz="0" w:space="0" w:color="auto"/>
            <w:bottom w:val="none" w:sz="0" w:space="0" w:color="auto"/>
            <w:right w:val="none" w:sz="0" w:space="0" w:color="auto"/>
          </w:divBdr>
        </w:div>
        <w:div w:id="1953974193">
          <w:marLeft w:val="0"/>
          <w:marRight w:val="0"/>
          <w:marTop w:val="0"/>
          <w:marBottom w:val="0"/>
          <w:divBdr>
            <w:top w:val="none" w:sz="0" w:space="0" w:color="auto"/>
            <w:left w:val="none" w:sz="0" w:space="0" w:color="auto"/>
            <w:bottom w:val="none" w:sz="0" w:space="0" w:color="auto"/>
            <w:right w:val="none" w:sz="0" w:space="0" w:color="auto"/>
          </w:divBdr>
        </w:div>
        <w:div w:id="2117366604">
          <w:marLeft w:val="0"/>
          <w:marRight w:val="0"/>
          <w:marTop w:val="0"/>
          <w:marBottom w:val="0"/>
          <w:divBdr>
            <w:top w:val="none" w:sz="0" w:space="0" w:color="auto"/>
            <w:left w:val="none" w:sz="0" w:space="0" w:color="auto"/>
            <w:bottom w:val="none" w:sz="0" w:space="0" w:color="auto"/>
            <w:right w:val="none" w:sz="0" w:space="0" w:color="auto"/>
          </w:divBdr>
        </w:div>
        <w:div w:id="1557280403">
          <w:marLeft w:val="0"/>
          <w:marRight w:val="0"/>
          <w:marTop w:val="0"/>
          <w:marBottom w:val="0"/>
          <w:divBdr>
            <w:top w:val="none" w:sz="0" w:space="0" w:color="auto"/>
            <w:left w:val="none" w:sz="0" w:space="0" w:color="auto"/>
            <w:bottom w:val="none" w:sz="0" w:space="0" w:color="auto"/>
            <w:right w:val="none" w:sz="0" w:space="0" w:color="auto"/>
          </w:divBdr>
        </w:div>
        <w:div w:id="1211259830">
          <w:marLeft w:val="0"/>
          <w:marRight w:val="0"/>
          <w:marTop w:val="0"/>
          <w:marBottom w:val="0"/>
          <w:divBdr>
            <w:top w:val="none" w:sz="0" w:space="0" w:color="auto"/>
            <w:left w:val="none" w:sz="0" w:space="0" w:color="auto"/>
            <w:bottom w:val="none" w:sz="0" w:space="0" w:color="auto"/>
            <w:right w:val="none" w:sz="0" w:space="0" w:color="auto"/>
          </w:divBdr>
        </w:div>
        <w:div w:id="1960992588">
          <w:marLeft w:val="0"/>
          <w:marRight w:val="0"/>
          <w:marTop w:val="0"/>
          <w:marBottom w:val="0"/>
          <w:divBdr>
            <w:top w:val="none" w:sz="0" w:space="0" w:color="auto"/>
            <w:left w:val="none" w:sz="0" w:space="0" w:color="auto"/>
            <w:bottom w:val="none" w:sz="0" w:space="0" w:color="auto"/>
            <w:right w:val="none" w:sz="0" w:space="0" w:color="auto"/>
          </w:divBdr>
        </w:div>
        <w:div w:id="501238554">
          <w:marLeft w:val="0"/>
          <w:marRight w:val="0"/>
          <w:marTop w:val="0"/>
          <w:marBottom w:val="0"/>
          <w:divBdr>
            <w:top w:val="none" w:sz="0" w:space="0" w:color="auto"/>
            <w:left w:val="none" w:sz="0" w:space="0" w:color="auto"/>
            <w:bottom w:val="none" w:sz="0" w:space="0" w:color="auto"/>
            <w:right w:val="none" w:sz="0" w:space="0" w:color="auto"/>
          </w:divBdr>
        </w:div>
        <w:div w:id="919486809">
          <w:marLeft w:val="0"/>
          <w:marRight w:val="0"/>
          <w:marTop w:val="0"/>
          <w:marBottom w:val="0"/>
          <w:divBdr>
            <w:top w:val="none" w:sz="0" w:space="0" w:color="auto"/>
            <w:left w:val="none" w:sz="0" w:space="0" w:color="auto"/>
            <w:bottom w:val="none" w:sz="0" w:space="0" w:color="auto"/>
            <w:right w:val="none" w:sz="0" w:space="0" w:color="auto"/>
          </w:divBdr>
        </w:div>
        <w:div w:id="136458415">
          <w:marLeft w:val="0"/>
          <w:marRight w:val="0"/>
          <w:marTop w:val="0"/>
          <w:marBottom w:val="0"/>
          <w:divBdr>
            <w:top w:val="none" w:sz="0" w:space="0" w:color="auto"/>
            <w:left w:val="none" w:sz="0" w:space="0" w:color="auto"/>
            <w:bottom w:val="none" w:sz="0" w:space="0" w:color="auto"/>
            <w:right w:val="none" w:sz="0" w:space="0" w:color="auto"/>
          </w:divBdr>
        </w:div>
        <w:div w:id="989094439">
          <w:marLeft w:val="0"/>
          <w:marRight w:val="0"/>
          <w:marTop w:val="0"/>
          <w:marBottom w:val="0"/>
          <w:divBdr>
            <w:top w:val="none" w:sz="0" w:space="0" w:color="auto"/>
            <w:left w:val="none" w:sz="0" w:space="0" w:color="auto"/>
            <w:bottom w:val="none" w:sz="0" w:space="0" w:color="auto"/>
            <w:right w:val="none" w:sz="0" w:space="0" w:color="auto"/>
          </w:divBdr>
        </w:div>
        <w:div w:id="84615676">
          <w:marLeft w:val="0"/>
          <w:marRight w:val="0"/>
          <w:marTop w:val="0"/>
          <w:marBottom w:val="0"/>
          <w:divBdr>
            <w:top w:val="none" w:sz="0" w:space="0" w:color="auto"/>
            <w:left w:val="none" w:sz="0" w:space="0" w:color="auto"/>
            <w:bottom w:val="none" w:sz="0" w:space="0" w:color="auto"/>
            <w:right w:val="none" w:sz="0" w:space="0" w:color="auto"/>
          </w:divBdr>
        </w:div>
        <w:div w:id="1153182104">
          <w:marLeft w:val="0"/>
          <w:marRight w:val="0"/>
          <w:marTop w:val="0"/>
          <w:marBottom w:val="0"/>
          <w:divBdr>
            <w:top w:val="none" w:sz="0" w:space="0" w:color="auto"/>
            <w:left w:val="none" w:sz="0" w:space="0" w:color="auto"/>
            <w:bottom w:val="none" w:sz="0" w:space="0" w:color="auto"/>
            <w:right w:val="none" w:sz="0" w:space="0" w:color="auto"/>
          </w:divBdr>
        </w:div>
        <w:div w:id="895045274">
          <w:marLeft w:val="0"/>
          <w:marRight w:val="0"/>
          <w:marTop w:val="0"/>
          <w:marBottom w:val="0"/>
          <w:divBdr>
            <w:top w:val="none" w:sz="0" w:space="0" w:color="auto"/>
            <w:left w:val="none" w:sz="0" w:space="0" w:color="auto"/>
            <w:bottom w:val="none" w:sz="0" w:space="0" w:color="auto"/>
            <w:right w:val="none" w:sz="0" w:space="0" w:color="auto"/>
          </w:divBdr>
        </w:div>
        <w:div w:id="2044479287">
          <w:marLeft w:val="0"/>
          <w:marRight w:val="0"/>
          <w:marTop w:val="0"/>
          <w:marBottom w:val="0"/>
          <w:divBdr>
            <w:top w:val="none" w:sz="0" w:space="0" w:color="auto"/>
            <w:left w:val="none" w:sz="0" w:space="0" w:color="auto"/>
            <w:bottom w:val="none" w:sz="0" w:space="0" w:color="auto"/>
            <w:right w:val="none" w:sz="0" w:space="0" w:color="auto"/>
          </w:divBdr>
        </w:div>
        <w:div w:id="495193900">
          <w:marLeft w:val="0"/>
          <w:marRight w:val="0"/>
          <w:marTop w:val="0"/>
          <w:marBottom w:val="0"/>
          <w:divBdr>
            <w:top w:val="none" w:sz="0" w:space="0" w:color="auto"/>
            <w:left w:val="none" w:sz="0" w:space="0" w:color="auto"/>
            <w:bottom w:val="none" w:sz="0" w:space="0" w:color="auto"/>
            <w:right w:val="none" w:sz="0" w:space="0" w:color="auto"/>
          </w:divBdr>
        </w:div>
        <w:div w:id="632179237">
          <w:marLeft w:val="0"/>
          <w:marRight w:val="0"/>
          <w:marTop w:val="0"/>
          <w:marBottom w:val="0"/>
          <w:divBdr>
            <w:top w:val="none" w:sz="0" w:space="0" w:color="auto"/>
            <w:left w:val="none" w:sz="0" w:space="0" w:color="auto"/>
            <w:bottom w:val="none" w:sz="0" w:space="0" w:color="auto"/>
            <w:right w:val="none" w:sz="0" w:space="0" w:color="auto"/>
          </w:divBdr>
        </w:div>
        <w:div w:id="463625477">
          <w:marLeft w:val="0"/>
          <w:marRight w:val="0"/>
          <w:marTop w:val="0"/>
          <w:marBottom w:val="0"/>
          <w:divBdr>
            <w:top w:val="none" w:sz="0" w:space="0" w:color="auto"/>
            <w:left w:val="none" w:sz="0" w:space="0" w:color="auto"/>
            <w:bottom w:val="none" w:sz="0" w:space="0" w:color="auto"/>
            <w:right w:val="none" w:sz="0" w:space="0" w:color="auto"/>
          </w:divBdr>
        </w:div>
        <w:div w:id="441460711">
          <w:marLeft w:val="0"/>
          <w:marRight w:val="0"/>
          <w:marTop w:val="0"/>
          <w:marBottom w:val="0"/>
          <w:divBdr>
            <w:top w:val="none" w:sz="0" w:space="0" w:color="auto"/>
            <w:left w:val="none" w:sz="0" w:space="0" w:color="auto"/>
            <w:bottom w:val="none" w:sz="0" w:space="0" w:color="auto"/>
            <w:right w:val="none" w:sz="0" w:space="0" w:color="auto"/>
          </w:divBdr>
        </w:div>
        <w:div w:id="1874806695">
          <w:marLeft w:val="0"/>
          <w:marRight w:val="0"/>
          <w:marTop w:val="0"/>
          <w:marBottom w:val="0"/>
          <w:divBdr>
            <w:top w:val="none" w:sz="0" w:space="0" w:color="auto"/>
            <w:left w:val="none" w:sz="0" w:space="0" w:color="auto"/>
            <w:bottom w:val="none" w:sz="0" w:space="0" w:color="auto"/>
            <w:right w:val="none" w:sz="0" w:space="0" w:color="auto"/>
          </w:divBdr>
        </w:div>
        <w:div w:id="1899782252">
          <w:marLeft w:val="0"/>
          <w:marRight w:val="0"/>
          <w:marTop w:val="0"/>
          <w:marBottom w:val="0"/>
          <w:divBdr>
            <w:top w:val="none" w:sz="0" w:space="0" w:color="auto"/>
            <w:left w:val="none" w:sz="0" w:space="0" w:color="auto"/>
            <w:bottom w:val="none" w:sz="0" w:space="0" w:color="auto"/>
            <w:right w:val="none" w:sz="0" w:space="0" w:color="auto"/>
          </w:divBdr>
        </w:div>
        <w:div w:id="855463712">
          <w:marLeft w:val="0"/>
          <w:marRight w:val="0"/>
          <w:marTop w:val="0"/>
          <w:marBottom w:val="0"/>
          <w:divBdr>
            <w:top w:val="none" w:sz="0" w:space="0" w:color="auto"/>
            <w:left w:val="none" w:sz="0" w:space="0" w:color="auto"/>
            <w:bottom w:val="none" w:sz="0" w:space="0" w:color="auto"/>
            <w:right w:val="none" w:sz="0" w:space="0" w:color="auto"/>
          </w:divBdr>
        </w:div>
        <w:div w:id="213591428">
          <w:marLeft w:val="0"/>
          <w:marRight w:val="0"/>
          <w:marTop w:val="0"/>
          <w:marBottom w:val="0"/>
          <w:divBdr>
            <w:top w:val="none" w:sz="0" w:space="0" w:color="auto"/>
            <w:left w:val="none" w:sz="0" w:space="0" w:color="auto"/>
            <w:bottom w:val="none" w:sz="0" w:space="0" w:color="auto"/>
            <w:right w:val="none" w:sz="0" w:space="0" w:color="auto"/>
          </w:divBdr>
        </w:div>
        <w:div w:id="1391688147">
          <w:marLeft w:val="0"/>
          <w:marRight w:val="0"/>
          <w:marTop w:val="0"/>
          <w:marBottom w:val="0"/>
          <w:divBdr>
            <w:top w:val="none" w:sz="0" w:space="0" w:color="auto"/>
            <w:left w:val="none" w:sz="0" w:space="0" w:color="auto"/>
            <w:bottom w:val="none" w:sz="0" w:space="0" w:color="auto"/>
            <w:right w:val="none" w:sz="0" w:space="0" w:color="auto"/>
          </w:divBdr>
        </w:div>
        <w:div w:id="924848602">
          <w:marLeft w:val="0"/>
          <w:marRight w:val="0"/>
          <w:marTop w:val="0"/>
          <w:marBottom w:val="0"/>
          <w:divBdr>
            <w:top w:val="none" w:sz="0" w:space="0" w:color="auto"/>
            <w:left w:val="none" w:sz="0" w:space="0" w:color="auto"/>
            <w:bottom w:val="none" w:sz="0" w:space="0" w:color="auto"/>
            <w:right w:val="none" w:sz="0" w:space="0" w:color="auto"/>
          </w:divBdr>
        </w:div>
        <w:div w:id="1579367837">
          <w:marLeft w:val="0"/>
          <w:marRight w:val="0"/>
          <w:marTop w:val="0"/>
          <w:marBottom w:val="0"/>
          <w:divBdr>
            <w:top w:val="none" w:sz="0" w:space="0" w:color="auto"/>
            <w:left w:val="none" w:sz="0" w:space="0" w:color="auto"/>
            <w:bottom w:val="none" w:sz="0" w:space="0" w:color="auto"/>
            <w:right w:val="none" w:sz="0" w:space="0" w:color="auto"/>
          </w:divBdr>
        </w:div>
        <w:div w:id="927621006">
          <w:marLeft w:val="0"/>
          <w:marRight w:val="0"/>
          <w:marTop w:val="0"/>
          <w:marBottom w:val="0"/>
          <w:divBdr>
            <w:top w:val="none" w:sz="0" w:space="0" w:color="auto"/>
            <w:left w:val="none" w:sz="0" w:space="0" w:color="auto"/>
            <w:bottom w:val="none" w:sz="0" w:space="0" w:color="auto"/>
            <w:right w:val="none" w:sz="0" w:space="0" w:color="auto"/>
          </w:divBdr>
        </w:div>
        <w:div w:id="1767574550">
          <w:marLeft w:val="0"/>
          <w:marRight w:val="0"/>
          <w:marTop w:val="0"/>
          <w:marBottom w:val="0"/>
          <w:divBdr>
            <w:top w:val="none" w:sz="0" w:space="0" w:color="auto"/>
            <w:left w:val="none" w:sz="0" w:space="0" w:color="auto"/>
            <w:bottom w:val="none" w:sz="0" w:space="0" w:color="auto"/>
            <w:right w:val="none" w:sz="0" w:space="0" w:color="auto"/>
          </w:divBdr>
        </w:div>
        <w:div w:id="701251464">
          <w:marLeft w:val="0"/>
          <w:marRight w:val="0"/>
          <w:marTop w:val="0"/>
          <w:marBottom w:val="0"/>
          <w:divBdr>
            <w:top w:val="none" w:sz="0" w:space="0" w:color="auto"/>
            <w:left w:val="none" w:sz="0" w:space="0" w:color="auto"/>
            <w:bottom w:val="none" w:sz="0" w:space="0" w:color="auto"/>
            <w:right w:val="none" w:sz="0" w:space="0" w:color="auto"/>
          </w:divBdr>
        </w:div>
        <w:div w:id="1555967263">
          <w:marLeft w:val="0"/>
          <w:marRight w:val="0"/>
          <w:marTop w:val="0"/>
          <w:marBottom w:val="0"/>
          <w:divBdr>
            <w:top w:val="none" w:sz="0" w:space="0" w:color="auto"/>
            <w:left w:val="none" w:sz="0" w:space="0" w:color="auto"/>
            <w:bottom w:val="none" w:sz="0" w:space="0" w:color="auto"/>
            <w:right w:val="none" w:sz="0" w:space="0" w:color="auto"/>
          </w:divBdr>
        </w:div>
        <w:div w:id="523057903">
          <w:marLeft w:val="0"/>
          <w:marRight w:val="0"/>
          <w:marTop w:val="0"/>
          <w:marBottom w:val="0"/>
          <w:divBdr>
            <w:top w:val="none" w:sz="0" w:space="0" w:color="auto"/>
            <w:left w:val="none" w:sz="0" w:space="0" w:color="auto"/>
            <w:bottom w:val="none" w:sz="0" w:space="0" w:color="auto"/>
            <w:right w:val="none" w:sz="0" w:space="0" w:color="auto"/>
          </w:divBdr>
        </w:div>
        <w:div w:id="138154194">
          <w:marLeft w:val="0"/>
          <w:marRight w:val="0"/>
          <w:marTop w:val="0"/>
          <w:marBottom w:val="0"/>
          <w:divBdr>
            <w:top w:val="none" w:sz="0" w:space="0" w:color="auto"/>
            <w:left w:val="none" w:sz="0" w:space="0" w:color="auto"/>
            <w:bottom w:val="none" w:sz="0" w:space="0" w:color="auto"/>
            <w:right w:val="none" w:sz="0" w:space="0" w:color="auto"/>
          </w:divBdr>
        </w:div>
        <w:div w:id="1701779099">
          <w:marLeft w:val="0"/>
          <w:marRight w:val="0"/>
          <w:marTop w:val="0"/>
          <w:marBottom w:val="0"/>
          <w:divBdr>
            <w:top w:val="none" w:sz="0" w:space="0" w:color="auto"/>
            <w:left w:val="none" w:sz="0" w:space="0" w:color="auto"/>
            <w:bottom w:val="none" w:sz="0" w:space="0" w:color="auto"/>
            <w:right w:val="none" w:sz="0" w:space="0" w:color="auto"/>
          </w:divBdr>
        </w:div>
        <w:div w:id="1346597585">
          <w:marLeft w:val="0"/>
          <w:marRight w:val="0"/>
          <w:marTop w:val="0"/>
          <w:marBottom w:val="0"/>
          <w:divBdr>
            <w:top w:val="none" w:sz="0" w:space="0" w:color="auto"/>
            <w:left w:val="none" w:sz="0" w:space="0" w:color="auto"/>
            <w:bottom w:val="none" w:sz="0" w:space="0" w:color="auto"/>
            <w:right w:val="none" w:sz="0" w:space="0" w:color="auto"/>
          </w:divBdr>
        </w:div>
        <w:div w:id="1821842905">
          <w:marLeft w:val="0"/>
          <w:marRight w:val="0"/>
          <w:marTop w:val="0"/>
          <w:marBottom w:val="0"/>
          <w:divBdr>
            <w:top w:val="none" w:sz="0" w:space="0" w:color="auto"/>
            <w:left w:val="none" w:sz="0" w:space="0" w:color="auto"/>
            <w:bottom w:val="none" w:sz="0" w:space="0" w:color="auto"/>
            <w:right w:val="none" w:sz="0" w:space="0" w:color="auto"/>
          </w:divBdr>
        </w:div>
        <w:div w:id="508297552">
          <w:marLeft w:val="0"/>
          <w:marRight w:val="0"/>
          <w:marTop w:val="0"/>
          <w:marBottom w:val="0"/>
          <w:divBdr>
            <w:top w:val="none" w:sz="0" w:space="0" w:color="auto"/>
            <w:left w:val="none" w:sz="0" w:space="0" w:color="auto"/>
            <w:bottom w:val="none" w:sz="0" w:space="0" w:color="auto"/>
            <w:right w:val="none" w:sz="0" w:space="0" w:color="auto"/>
          </w:divBdr>
        </w:div>
        <w:div w:id="1656571539">
          <w:marLeft w:val="0"/>
          <w:marRight w:val="0"/>
          <w:marTop w:val="0"/>
          <w:marBottom w:val="0"/>
          <w:divBdr>
            <w:top w:val="none" w:sz="0" w:space="0" w:color="auto"/>
            <w:left w:val="none" w:sz="0" w:space="0" w:color="auto"/>
            <w:bottom w:val="none" w:sz="0" w:space="0" w:color="auto"/>
            <w:right w:val="none" w:sz="0" w:space="0" w:color="auto"/>
          </w:divBdr>
        </w:div>
        <w:div w:id="511917512">
          <w:marLeft w:val="0"/>
          <w:marRight w:val="0"/>
          <w:marTop w:val="0"/>
          <w:marBottom w:val="0"/>
          <w:divBdr>
            <w:top w:val="none" w:sz="0" w:space="0" w:color="auto"/>
            <w:left w:val="none" w:sz="0" w:space="0" w:color="auto"/>
            <w:bottom w:val="none" w:sz="0" w:space="0" w:color="auto"/>
            <w:right w:val="none" w:sz="0" w:space="0" w:color="auto"/>
          </w:divBdr>
        </w:div>
        <w:div w:id="799423929">
          <w:marLeft w:val="0"/>
          <w:marRight w:val="0"/>
          <w:marTop w:val="0"/>
          <w:marBottom w:val="0"/>
          <w:divBdr>
            <w:top w:val="none" w:sz="0" w:space="0" w:color="auto"/>
            <w:left w:val="none" w:sz="0" w:space="0" w:color="auto"/>
            <w:bottom w:val="none" w:sz="0" w:space="0" w:color="auto"/>
            <w:right w:val="none" w:sz="0" w:space="0" w:color="auto"/>
          </w:divBdr>
        </w:div>
        <w:div w:id="185099001">
          <w:marLeft w:val="0"/>
          <w:marRight w:val="0"/>
          <w:marTop w:val="0"/>
          <w:marBottom w:val="0"/>
          <w:divBdr>
            <w:top w:val="none" w:sz="0" w:space="0" w:color="auto"/>
            <w:left w:val="none" w:sz="0" w:space="0" w:color="auto"/>
            <w:bottom w:val="none" w:sz="0" w:space="0" w:color="auto"/>
            <w:right w:val="none" w:sz="0" w:space="0" w:color="auto"/>
          </w:divBdr>
        </w:div>
        <w:div w:id="341980262">
          <w:marLeft w:val="0"/>
          <w:marRight w:val="0"/>
          <w:marTop w:val="0"/>
          <w:marBottom w:val="0"/>
          <w:divBdr>
            <w:top w:val="none" w:sz="0" w:space="0" w:color="auto"/>
            <w:left w:val="none" w:sz="0" w:space="0" w:color="auto"/>
            <w:bottom w:val="none" w:sz="0" w:space="0" w:color="auto"/>
            <w:right w:val="none" w:sz="0" w:space="0" w:color="auto"/>
          </w:divBdr>
        </w:div>
        <w:div w:id="1016275408">
          <w:marLeft w:val="0"/>
          <w:marRight w:val="0"/>
          <w:marTop w:val="0"/>
          <w:marBottom w:val="0"/>
          <w:divBdr>
            <w:top w:val="none" w:sz="0" w:space="0" w:color="auto"/>
            <w:left w:val="none" w:sz="0" w:space="0" w:color="auto"/>
            <w:bottom w:val="none" w:sz="0" w:space="0" w:color="auto"/>
            <w:right w:val="none" w:sz="0" w:space="0" w:color="auto"/>
          </w:divBdr>
        </w:div>
        <w:div w:id="854616906">
          <w:marLeft w:val="0"/>
          <w:marRight w:val="0"/>
          <w:marTop w:val="0"/>
          <w:marBottom w:val="0"/>
          <w:divBdr>
            <w:top w:val="none" w:sz="0" w:space="0" w:color="auto"/>
            <w:left w:val="none" w:sz="0" w:space="0" w:color="auto"/>
            <w:bottom w:val="none" w:sz="0" w:space="0" w:color="auto"/>
            <w:right w:val="none" w:sz="0" w:space="0" w:color="auto"/>
          </w:divBdr>
        </w:div>
        <w:div w:id="699164808">
          <w:marLeft w:val="0"/>
          <w:marRight w:val="0"/>
          <w:marTop w:val="0"/>
          <w:marBottom w:val="0"/>
          <w:divBdr>
            <w:top w:val="none" w:sz="0" w:space="0" w:color="auto"/>
            <w:left w:val="none" w:sz="0" w:space="0" w:color="auto"/>
            <w:bottom w:val="none" w:sz="0" w:space="0" w:color="auto"/>
            <w:right w:val="none" w:sz="0" w:space="0" w:color="auto"/>
          </w:divBdr>
        </w:div>
        <w:div w:id="1136023349">
          <w:marLeft w:val="0"/>
          <w:marRight w:val="0"/>
          <w:marTop w:val="0"/>
          <w:marBottom w:val="0"/>
          <w:divBdr>
            <w:top w:val="none" w:sz="0" w:space="0" w:color="auto"/>
            <w:left w:val="none" w:sz="0" w:space="0" w:color="auto"/>
            <w:bottom w:val="none" w:sz="0" w:space="0" w:color="auto"/>
            <w:right w:val="none" w:sz="0" w:space="0" w:color="auto"/>
          </w:divBdr>
        </w:div>
      </w:divsChild>
    </w:div>
    <w:div w:id="893852096">
      <w:bodyDiv w:val="1"/>
      <w:marLeft w:val="0"/>
      <w:marRight w:val="0"/>
      <w:marTop w:val="0"/>
      <w:marBottom w:val="0"/>
      <w:divBdr>
        <w:top w:val="none" w:sz="0" w:space="0" w:color="auto"/>
        <w:left w:val="none" w:sz="0" w:space="0" w:color="auto"/>
        <w:bottom w:val="none" w:sz="0" w:space="0" w:color="auto"/>
        <w:right w:val="none" w:sz="0" w:space="0" w:color="auto"/>
      </w:divBdr>
    </w:div>
    <w:div w:id="1700930632">
      <w:bodyDiv w:val="1"/>
      <w:marLeft w:val="0"/>
      <w:marRight w:val="0"/>
      <w:marTop w:val="0"/>
      <w:marBottom w:val="0"/>
      <w:divBdr>
        <w:top w:val="none" w:sz="0" w:space="0" w:color="auto"/>
        <w:left w:val="none" w:sz="0" w:space="0" w:color="auto"/>
        <w:bottom w:val="none" w:sz="0" w:space="0" w:color="auto"/>
        <w:right w:val="none" w:sz="0" w:space="0" w:color="auto"/>
      </w:divBdr>
      <w:divsChild>
        <w:div w:id="487672874">
          <w:marLeft w:val="0"/>
          <w:marRight w:val="0"/>
          <w:marTop w:val="0"/>
          <w:marBottom w:val="0"/>
          <w:divBdr>
            <w:top w:val="none" w:sz="0" w:space="0" w:color="auto"/>
            <w:left w:val="none" w:sz="0" w:space="0" w:color="auto"/>
            <w:bottom w:val="none" w:sz="0" w:space="0" w:color="auto"/>
            <w:right w:val="none" w:sz="0" w:space="0" w:color="auto"/>
          </w:divBdr>
          <w:divsChild>
            <w:div w:id="9526299">
              <w:marLeft w:val="0"/>
              <w:marRight w:val="0"/>
              <w:marTop w:val="0"/>
              <w:marBottom w:val="0"/>
              <w:divBdr>
                <w:top w:val="none" w:sz="0" w:space="0" w:color="auto"/>
                <w:left w:val="none" w:sz="0" w:space="0" w:color="auto"/>
                <w:bottom w:val="none" w:sz="0" w:space="0" w:color="auto"/>
                <w:right w:val="none" w:sz="0" w:space="0" w:color="auto"/>
              </w:divBdr>
              <w:divsChild>
                <w:div w:id="161088919">
                  <w:marLeft w:val="0"/>
                  <w:marRight w:val="0"/>
                  <w:marTop w:val="0"/>
                  <w:marBottom w:val="0"/>
                  <w:divBdr>
                    <w:top w:val="none" w:sz="0" w:space="0" w:color="auto"/>
                    <w:left w:val="none" w:sz="0" w:space="0" w:color="auto"/>
                    <w:bottom w:val="none" w:sz="0" w:space="0" w:color="auto"/>
                    <w:right w:val="none" w:sz="0" w:space="0" w:color="auto"/>
                  </w:divBdr>
                </w:div>
                <w:div w:id="1435395418">
                  <w:marLeft w:val="0"/>
                  <w:marRight w:val="0"/>
                  <w:marTop w:val="0"/>
                  <w:marBottom w:val="0"/>
                  <w:divBdr>
                    <w:top w:val="none" w:sz="0" w:space="0" w:color="auto"/>
                    <w:left w:val="none" w:sz="0" w:space="0" w:color="auto"/>
                    <w:bottom w:val="none" w:sz="0" w:space="0" w:color="auto"/>
                    <w:right w:val="none" w:sz="0" w:space="0" w:color="auto"/>
                  </w:divBdr>
                </w:div>
                <w:div w:id="1091664617">
                  <w:marLeft w:val="0"/>
                  <w:marRight w:val="0"/>
                  <w:marTop w:val="0"/>
                  <w:marBottom w:val="0"/>
                  <w:divBdr>
                    <w:top w:val="none" w:sz="0" w:space="0" w:color="auto"/>
                    <w:left w:val="none" w:sz="0" w:space="0" w:color="auto"/>
                    <w:bottom w:val="none" w:sz="0" w:space="0" w:color="auto"/>
                    <w:right w:val="none" w:sz="0" w:space="0" w:color="auto"/>
                  </w:divBdr>
                </w:div>
                <w:div w:id="1497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0302">
      <w:bodyDiv w:val="1"/>
      <w:marLeft w:val="0"/>
      <w:marRight w:val="0"/>
      <w:marTop w:val="0"/>
      <w:marBottom w:val="0"/>
      <w:divBdr>
        <w:top w:val="none" w:sz="0" w:space="0" w:color="auto"/>
        <w:left w:val="none" w:sz="0" w:space="0" w:color="auto"/>
        <w:bottom w:val="none" w:sz="0" w:space="0" w:color="auto"/>
        <w:right w:val="none" w:sz="0" w:space="0" w:color="auto"/>
      </w:divBdr>
      <w:divsChild>
        <w:div w:id="1316296116">
          <w:marLeft w:val="0"/>
          <w:marRight w:val="0"/>
          <w:marTop w:val="0"/>
          <w:marBottom w:val="0"/>
          <w:divBdr>
            <w:top w:val="none" w:sz="0" w:space="0" w:color="auto"/>
            <w:left w:val="none" w:sz="0" w:space="0" w:color="auto"/>
            <w:bottom w:val="none" w:sz="0" w:space="0" w:color="auto"/>
            <w:right w:val="none" w:sz="0" w:space="0" w:color="auto"/>
          </w:divBdr>
          <w:divsChild>
            <w:div w:id="60298340">
              <w:marLeft w:val="0"/>
              <w:marRight w:val="0"/>
              <w:marTop w:val="0"/>
              <w:marBottom w:val="0"/>
              <w:divBdr>
                <w:top w:val="none" w:sz="0" w:space="0" w:color="auto"/>
                <w:left w:val="none" w:sz="0" w:space="0" w:color="auto"/>
                <w:bottom w:val="none" w:sz="0" w:space="0" w:color="auto"/>
                <w:right w:val="none" w:sz="0" w:space="0" w:color="auto"/>
              </w:divBdr>
              <w:divsChild>
                <w:div w:id="2036686173">
                  <w:marLeft w:val="0"/>
                  <w:marRight w:val="0"/>
                  <w:marTop w:val="0"/>
                  <w:marBottom w:val="0"/>
                  <w:divBdr>
                    <w:top w:val="none" w:sz="0" w:space="0" w:color="auto"/>
                    <w:left w:val="none" w:sz="0" w:space="0" w:color="auto"/>
                    <w:bottom w:val="none" w:sz="0" w:space="0" w:color="auto"/>
                    <w:right w:val="none" w:sz="0" w:space="0" w:color="auto"/>
                  </w:divBdr>
                </w:div>
                <w:div w:id="130948737">
                  <w:marLeft w:val="0"/>
                  <w:marRight w:val="0"/>
                  <w:marTop w:val="0"/>
                  <w:marBottom w:val="0"/>
                  <w:divBdr>
                    <w:top w:val="none" w:sz="0" w:space="0" w:color="auto"/>
                    <w:left w:val="none" w:sz="0" w:space="0" w:color="auto"/>
                    <w:bottom w:val="none" w:sz="0" w:space="0" w:color="auto"/>
                    <w:right w:val="none" w:sz="0" w:space="0" w:color="auto"/>
                  </w:divBdr>
                </w:div>
                <w:div w:id="107277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82941">
      <w:bodyDiv w:val="1"/>
      <w:marLeft w:val="0"/>
      <w:marRight w:val="0"/>
      <w:marTop w:val="0"/>
      <w:marBottom w:val="0"/>
      <w:divBdr>
        <w:top w:val="none" w:sz="0" w:space="0" w:color="auto"/>
        <w:left w:val="none" w:sz="0" w:space="0" w:color="auto"/>
        <w:bottom w:val="none" w:sz="0" w:space="0" w:color="auto"/>
        <w:right w:val="none" w:sz="0" w:space="0" w:color="auto"/>
      </w:divBdr>
    </w:div>
    <w:div w:id="2078237862">
      <w:bodyDiv w:val="1"/>
      <w:marLeft w:val="0"/>
      <w:marRight w:val="0"/>
      <w:marTop w:val="0"/>
      <w:marBottom w:val="0"/>
      <w:divBdr>
        <w:top w:val="none" w:sz="0" w:space="0" w:color="auto"/>
        <w:left w:val="none" w:sz="0" w:space="0" w:color="auto"/>
        <w:bottom w:val="none" w:sz="0" w:space="0" w:color="auto"/>
        <w:right w:val="none" w:sz="0" w:space="0" w:color="auto"/>
      </w:divBdr>
      <w:divsChild>
        <w:div w:id="99109705">
          <w:marLeft w:val="0"/>
          <w:marRight w:val="0"/>
          <w:marTop w:val="0"/>
          <w:marBottom w:val="0"/>
          <w:divBdr>
            <w:top w:val="none" w:sz="0" w:space="0" w:color="auto"/>
            <w:left w:val="none" w:sz="0" w:space="0" w:color="auto"/>
            <w:bottom w:val="none" w:sz="0" w:space="0" w:color="auto"/>
            <w:right w:val="none" w:sz="0" w:space="0" w:color="auto"/>
          </w:divBdr>
          <w:divsChild>
            <w:div w:id="48068173">
              <w:marLeft w:val="0"/>
              <w:marRight w:val="0"/>
              <w:marTop w:val="0"/>
              <w:marBottom w:val="0"/>
              <w:divBdr>
                <w:top w:val="none" w:sz="0" w:space="0" w:color="auto"/>
                <w:left w:val="none" w:sz="0" w:space="0" w:color="auto"/>
                <w:bottom w:val="none" w:sz="0" w:space="0" w:color="auto"/>
                <w:right w:val="none" w:sz="0" w:space="0" w:color="auto"/>
              </w:divBdr>
              <w:divsChild>
                <w:div w:id="1103526210">
                  <w:marLeft w:val="0"/>
                  <w:marRight w:val="0"/>
                  <w:marTop w:val="0"/>
                  <w:marBottom w:val="0"/>
                  <w:divBdr>
                    <w:top w:val="none" w:sz="0" w:space="0" w:color="auto"/>
                    <w:left w:val="none" w:sz="0" w:space="0" w:color="auto"/>
                    <w:bottom w:val="none" w:sz="0" w:space="0" w:color="auto"/>
                    <w:right w:val="none" w:sz="0" w:space="0" w:color="auto"/>
                  </w:divBdr>
                </w:div>
                <w:div w:id="385181387">
                  <w:marLeft w:val="0"/>
                  <w:marRight w:val="0"/>
                  <w:marTop w:val="0"/>
                  <w:marBottom w:val="0"/>
                  <w:divBdr>
                    <w:top w:val="none" w:sz="0" w:space="0" w:color="auto"/>
                    <w:left w:val="none" w:sz="0" w:space="0" w:color="auto"/>
                    <w:bottom w:val="none" w:sz="0" w:space="0" w:color="auto"/>
                    <w:right w:val="none" w:sz="0" w:space="0" w:color="auto"/>
                  </w:divBdr>
                </w:div>
                <w:div w:id="1883715009">
                  <w:marLeft w:val="0"/>
                  <w:marRight w:val="0"/>
                  <w:marTop w:val="0"/>
                  <w:marBottom w:val="0"/>
                  <w:divBdr>
                    <w:top w:val="none" w:sz="0" w:space="0" w:color="auto"/>
                    <w:left w:val="none" w:sz="0" w:space="0" w:color="auto"/>
                    <w:bottom w:val="none" w:sz="0" w:space="0" w:color="auto"/>
                    <w:right w:val="none" w:sz="0" w:space="0" w:color="auto"/>
                  </w:divBdr>
                </w:div>
                <w:div w:id="13231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7445">
      <w:bodyDiv w:val="1"/>
      <w:marLeft w:val="0"/>
      <w:marRight w:val="0"/>
      <w:marTop w:val="0"/>
      <w:marBottom w:val="0"/>
      <w:divBdr>
        <w:top w:val="none" w:sz="0" w:space="0" w:color="auto"/>
        <w:left w:val="none" w:sz="0" w:space="0" w:color="auto"/>
        <w:bottom w:val="none" w:sz="0" w:space="0" w:color="auto"/>
        <w:right w:val="none" w:sz="0" w:space="0" w:color="auto"/>
      </w:divBdr>
      <w:divsChild>
        <w:div w:id="1057776777">
          <w:marLeft w:val="0"/>
          <w:marRight w:val="0"/>
          <w:marTop w:val="0"/>
          <w:marBottom w:val="0"/>
          <w:divBdr>
            <w:top w:val="none" w:sz="0" w:space="0" w:color="auto"/>
            <w:left w:val="none" w:sz="0" w:space="0" w:color="auto"/>
            <w:bottom w:val="none" w:sz="0" w:space="0" w:color="auto"/>
            <w:right w:val="none" w:sz="0" w:space="0" w:color="auto"/>
          </w:divBdr>
          <w:divsChild>
            <w:div w:id="652754106">
              <w:marLeft w:val="0"/>
              <w:marRight w:val="0"/>
              <w:marTop w:val="0"/>
              <w:marBottom w:val="0"/>
              <w:divBdr>
                <w:top w:val="none" w:sz="0" w:space="0" w:color="auto"/>
                <w:left w:val="none" w:sz="0" w:space="0" w:color="auto"/>
                <w:bottom w:val="none" w:sz="0" w:space="0" w:color="auto"/>
                <w:right w:val="none" w:sz="0" w:space="0" w:color="auto"/>
              </w:divBdr>
              <w:divsChild>
                <w:div w:id="476343618">
                  <w:marLeft w:val="0"/>
                  <w:marRight w:val="0"/>
                  <w:marTop w:val="0"/>
                  <w:marBottom w:val="0"/>
                  <w:divBdr>
                    <w:top w:val="none" w:sz="0" w:space="0" w:color="auto"/>
                    <w:left w:val="none" w:sz="0" w:space="0" w:color="auto"/>
                    <w:bottom w:val="none" w:sz="0" w:space="0" w:color="auto"/>
                    <w:right w:val="none" w:sz="0" w:space="0" w:color="auto"/>
                  </w:divBdr>
                </w:div>
                <w:div w:id="1275672589">
                  <w:marLeft w:val="0"/>
                  <w:marRight w:val="0"/>
                  <w:marTop w:val="0"/>
                  <w:marBottom w:val="0"/>
                  <w:divBdr>
                    <w:top w:val="none" w:sz="0" w:space="0" w:color="auto"/>
                    <w:left w:val="none" w:sz="0" w:space="0" w:color="auto"/>
                    <w:bottom w:val="none" w:sz="0" w:space="0" w:color="auto"/>
                    <w:right w:val="none" w:sz="0" w:space="0" w:color="auto"/>
                  </w:divBdr>
                </w:div>
                <w:div w:id="664167628">
                  <w:marLeft w:val="0"/>
                  <w:marRight w:val="0"/>
                  <w:marTop w:val="0"/>
                  <w:marBottom w:val="0"/>
                  <w:divBdr>
                    <w:top w:val="none" w:sz="0" w:space="0" w:color="auto"/>
                    <w:left w:val="none" w:sz="0" w:space="0" w:color="auto"/>
                    <w:bottom w:val="none" w:sz="0" w:space="0" w:color="auto"/>
                    <w:right w:val="none" w:sz="0" w:space="0" w:color="auto"/>
                  </w:divBdr>
                </w:div>
                <w:div w:id="18985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ata.tuik.gov.tr/Bulten/Index?p=Bitkisel-Uretim-Istatistikleri-2023-49393" TargetMode="External"/><Relationship Id="rId23" Type="http://schemas.microsoft.com/office/2011/relationships/people" Target="people.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esktop\t&#252;ik%20tar&#305;m%20alanlar&#305;\grafik%20ve%20tablola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Sayfa1!$S$33</c:f>
              <c:strCache>
                <c:ptCount val="1"/>
                <c:pt idx="0">
                  <c:v>Fruit Area (da)</c:v>
                </c:pt>
              </c:strCache>
            </c:strRef>
          </c:tx>
          <c:spPr>
            <a:solidFill>
              <a:schemeClr val="accent1"/>
            </a:solidFill>
            <a:ln>
              <a:noFill/>
            </a:ln>
            <a:effectLst/>
            <a:sp3d/>
          </c:spPr>
          <c:invertIfNegative val="0"/>
          <c:dPt>
            <c:idx val="0"/>
            <c:invertIfNegative val="0"/>
            <c:bubble3D val="0"/>
            <c:spPr>
              <a:solidFill>
                <a:srgbClr val="FF0000"/>
              </a:solidFill>
              <a:ln>
                <a:noFill/>
              </a:ln>
              <a:effectLst/>
              <a:sp3d/>
            </c:spPr>
            <c:extLst>
              <c:ext xmlns:c16="http://schemas.microsoft.com/office/drawing/2014/chart" uri="{C3380CC4-5D6E-409C-BE32-E72D297353CC}">
                <c16:uniqueId val="{00000001-C245-4F0B-8E88-2AB58B8C1EAC}"/>
              </c:ext>
            </c:extLst>
          </c:dPt>
          <c:dPt>
            <c:idx val="1"/>
            <c:invertIfNegative val="0"/>
            <c:bubble3D val="0"/>
            <c:spPr>
              <a:solidFill>
                <a:srgbClr val="7030A0"/>
              </a:solidFill>
              <a:ln>
                <a:noFill/>
              </a:ln>
              <a:effectLst/>
              <a:sp3d/>
            </c:spPr>
            <c:extLst>
              <c:ext xmlns:c16="http://schemas.microsoft.com/office/drawing/2014/chart" uri="{C3380CC4-5D6E-409C-BE32-E72D297353CC}">
                <c16:uniqueId val="{00000003-C245-4F0B-8E88-2AB58B8C1EAC}"/>
              </c:ext>
            </c:extLst>
          </c:dPt>
          <c:dPt>
            <c:idx val="2"/>
            <c:invertIfNegative val="0"/>
            <c:bubble3D val="0"/>
            <c:spPr>
              <a:solidFill>
                <a:schemeClr val="bg1">
                  <a:lumMod val="50000"/>
                </a:schemeClr>
              </a:solidFill>
              <a:ln>
                <a:noFill/>
              </a:ln>
              <a:effectLst/>
              <a:sp3d/>
            </c:spPr>
            <c:extLst>
              <c:ext xmlns:c16="http://schemas.microsoft.com/office/drawing/2014/chart" uri="{C3380CC4-5D6E-409C-BE32-E72D297353CC}">
                <c16:uniqueId val="{00000005-C245-4F0B-8E88-2AB58B8C1EAC}"/>
              </c:ext>
            </c:extLst>
          </c:dPt>
          <c:dPt>
            <c:idx val="4"/>
            <c:invertIfNegative val="0"/>
            <c:bubble3D val="0"/>
            <c:spPr>
              <a:solidFill>
                <a:schemeClr val="accent2">
                  <a:lumMod val="75000"/>
                </a:schemeClr>
              </a:solidFill>
              <a:ln>
                <a:noFill/>
              </a:ln>
              <a:effectLst/>
              <a:sp3d/>
            </c:spPr>
            <c:extLst>
              <c:ext xmlns:c16="http://schemas.microsoft.com/office/drawing/2014/chart" uri="{C3380CC4-5D6E-409C-BE32-E72D297353CC}">
                <c16:uniqueId val="{00000007-C245-4F0B-8E88-2AB58B8C1EAC}"/>
              </c:ext>
            </c:extLst>
          </c:dPt>
          <c:dPt>
            <c:idx val="5"/>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09-C245-4F0B-8E88-2AB58B8C1EAC}"/>
              </c:ext>
            </c:extLst>
          </c:dPt>
          <c:dLbls>
            <c:dLbl>
              <c:idx val="4"/>
              <c:layout>
                <c:manualLayout>
                  <c:x val="2.222222222222211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45-4F0B-8E88-2AB58B8C1E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Sayfa1!$R$34:$R$39</c:f>
              <c:strCache>
                <c:ptCount val="6"/>
                <c:pt idx="0">
                  <c:v>Aegean</c:v>
                </c:pt>
                <c:pt idx="1">
                  <c:v>Southeastern Anatolia</c:v>
                </c:pt>
                <c:pt idx="2">
                  <c:v>Mediterranean</c:v>
                </c:pt>
                <c:pt idx="3">
                  <c:v>Eastern Black Sea</c:v>
                </c:pt>
                <c:pt idx="4">
                  <c:v>Eastern Marmara</c:v>
                </c:pt>
                <c:pt idx="5">
                  <c:v>Turkey Total</c:v>
                </c:pt>
              </c:strCache>
            </c:strRef>
          </c:cat>
          <c:val>
            <c:numRef>
              <c:f>Sayfa1!$S$34:$S$39</c:f>
              <c:numCache>
                <c:formatCode>#,##0</c:formatCode>
                <c:ptCount val="6"/>
                <c:pt idx="0">
                  <c:v>8652765</c:v>
                </c:pt>
                <c:pt idx="1">
                  <c:v>7428396</c:v>
                </c:pt>
                <c:pt idx="2">
                  <c:v>5969725</c:v>
                </c:pt>
                <c:pt idx="3">
                  <c:v>5052886</c:v>
                </c:pt>
                <c:pt idx="4">
                  <c:v>2977887</c:v>
                </c:pt>
                <c:pt idx="5">
                  <c:v>37992021</c:v>
                </c:pt>
              </c:numCache>
            </c:numRef>
          </c:val>
          <c:extLst>
            <c:ext xmlns:c16="http://schemas.microsoft.com/office/drawing/2014/chart" uri="{C3380CC4-5D6E-409C-BE32-E72D297353CC}">
              <c16:uniqueId val="{0000000A-C245-4F0B-8E88-2AB58B8C1EAC}"/>
            </c:ext>
          </c:extLst>
        </c:ser>
        <c:dLbls>
          <c:showLegendKey val="0"/>
          <c:showVal val="0"/>
          <c:showCatName val="0"/>
          <c:showSerName val="0"/>
          <c:showPercent val="0"/>
          <c:showBubbleSize val="0"/>
        </c:dLbls>
        <c:gapWidth val="150"/>
        <c:shape val="box"/>
        <c:axId val="1243986879"/>
        <c:axId val="1243987295"/>
        <c:axId val="0"/>
      </c:bar3DChart>
      <c:catAx>
        <c:axId val="12439868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3987295"/>
        <c:crosses val="autoZero"/>
        <c:auto val="1"/>
        <c:lblAlgn val="ctr"/>
        <c:lblOffset val="100"/>
        <c:noMultiLvlLbl val="0"/>
      </c:catAx>
      <c:valAx>
        <c:axId val="12439872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39868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67908932197954897"/>
          <c:y val="0.22014925373134328"/>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3.6309723162432743E-2"/>
          <c:y val="3.5066694088612051E-2"/>
          <c:w val="0.56713685110628131"/>
          <c:h val="0.93535256786931475"/>
        </c:manualLayout>
      </c:layout>
      <c:pieChart>
        <c:varyColors val="1"/>
        <c:ser>
          <c:idx val="0"/>
          <c:order val="0"/>
          <c:tx>
            <c:strRef>
              <c:f>Sayfa1!$Z$38</c:f>
              <c:strCache>
                <c:ptCount val="1"/>
                <c:pt idx="0">
                  <c:v>Vegetable Area (da)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E35-4E5C-869A-8E1215D755A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E35-4E5C-869A-8E1215D755A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E35-4E5C-869A-8E1215D755A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Sayfa1!$X$39:$Y$41</c:f>
              <c:multiLvlStrCache>
                <c:ptCount val="3"/>
                <c:lvl>
                  <c:pt idx="0">
                    <c:v>Aegean</c:v>
                  </c:pt>
                  <c:pt idx="1">
                    <c:v>Central Anatolia</c:v>
                  </c:pt>
                  <c:pt idx="2">
                    <c:v>Mediterranean</c:v>
                  </c:pt>
                </c:lvl>
                <c:lvl>
                  <c:pt idx="0">
                    <c:v>TR3</c:v>
                  </c:pt>
                  <c:pt idx="1">
                    <c:v>TR7</c:v>
                  </c:pt>
                  <c:pt idx="2">
                    <c:v>TR6</c:v>
                  </c:pt>
                </c:lvl>
              </c:multiLvlStrCache>
            </c:multiLvlStrRef>
          </c:cat>
          <c:val>
            <c:numRef>
              <c:f>Sayfa1!$Z$39:$Z$41</c:f>
              <c:numCache>
                <c:formatCode>#,##0</c:formatCode>
                <c:ptCount val="3"/>
                <c:pt idx="0">
                  <c:v>1175632</c:v>
                </c:pt>
                <c:pt idx="1">
                  <c:v>918247</c:v>
                </c:pt>
                <c:pt idx="2">
                  <c:v>914247</c:v>
                </c:pt>
              </c:numCache>
            </c:numRef>
          </c:val>
          <c:extLst>
            <c:ext xmlns:c16="http://schemas.microsoft.com/office/drawing/2014/chart" uri="{C3380CC4-5D6E-409C-BE32-E72D297353CC}">
              <c16:uniqueId val="{00000006-5E35-4E5C-869A-8E1215D755A7}"/>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4837495991734062"/>
          <c:y val="0.35867493242449172"/>
          <c:w val="0.33220917803826555"/>
          <c:h val="0.208489246679985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Sayfa1!$AC$73</c:f>
              <c:strCache>
                <c:ptCount val="1"/>
                <c:pt idx="0">
                  <c:v>Area (da)</c:v>
                </c:pt>
              </c:strCache>
            </c:strRef>
          </c:tx>
          <c:spPr>
            <a:solidFill>
              <a:schemeClr val="accent1"/>
            </a:solidFill>
            <a:ln>
              <a:noFill/>
            </a:ln>
            <a:effectLst/>
          </c:spPr>
          <c:invertIfNegative val="0"/>
          <c:dPt>
            <c:idx val="0"/>
            <c:invertIfNegative val="0"/>
            <c:bubble3D val="0"/>
            <c:spPr>
              <a:solidFill>
                <a:srgbClr val="00B0F0"/>
              </a:solidFill>
              <a:ln>
                <a:noFill/>
              </a:ln>
              <a:effectLst/>
            </c:spPr>
            <c:extLst>
              <c:ext xmlns:c16="http://schemas.microsoft.com/office/drawing/2014/chart" uri="{C3380CC4-5D6E-409C-BE32-E72D297353CC}">
                <c16:uniqueId val="{00000001-1DEE-4D6A-AADB-6E3C41A27C9F}"/>
              </c:ext>
            </c:extLst>
          </c:dPt>
          <c:dPt>
            <c:idx val="1"/>
            <c:invertIfNegative val="0"/>
            <c:bubble3D val="0"/>
            <c:spPr>
              <a:solidFill>
                <a:srgbClr val="FFFF00"/>
              </a:solidFill>
              <a:ln>
                <a:noFill/>
              </a:ln>
              <a:effectLst/>
            </c:spPr>
            <c:extLst>
              <c:ext xmlns:c16="http://schemas.microsoft.com/office/drawing/2014/chart" uri="{C3380CC4-5D6E-409C-BE32-E72D297353CC}">
                <c16:uniqueId val="{00000003-1DEE-4D6A-AADB-6E3C41A27C9F}"/>
              </c:ext>
            </c:extLst>
          </c:dPt>
          <c:dPt>
            <c:idx val="2"/>
            <c:invertIfNegative val="0"/>
            <c:bubble3D val="0"/>
            <c:spPr>
              <a:solidFill>
                <a:srgbClr val="7030A0"/>
              </a:solidFill>
              <a:ln>
                <a:noFill/>
              </a:ln>
              <a:effectLst/>
            </c:spPr>
            <c:extLst>
              <c:ext xmlns:c16="http://schemas.microsoft.com/office/drawing/2014/chart" uri="{C3380CC4-5D6E-409C-BE32-E72D297353CC}">
                <c16:uniqueId val="{00000005-1DEE-4D6A-AADB-6E3C41A27C9F}"/>
              </c:ext>
            </c:extLst>
          </c:dPt>
          <c:dPt>
            <c:idx val="3"/>
            <c:invertIfNegative val="0"/>
            <c:bubble3D val="0"/>
            <c:spPr>
              <a:solidFill>
                <a:schemeClr val="accent6">
                  <a:lumMod val="75000"/>
                </a:schemeClr>
              </a:solidFill>
              <a:ln>
                <a:noFill/>
              </a:ln>
              <a:effectLst/>
            </c:spPr>
            <c:extLst>
              <c:ext xmlns:c16="http://schemas.microsoft.com/office/drawing/2014/chart" uri="{C3380CC4-5D6E-409C-BE32-E72D297353CC}">
                <c16:uniqueId val="{00000007-1DEE-4D6A-AADB-6E3C41A27C9F}"/>
              </c:ext>
            </c:extLst>
          </c:dPt>
          <c:dPt>
            <c:idx val="4"/>
            <c:invertIfNegative val="0"/>
            <c:bubble3D val="0"/>
            <c:spPr>
              <a:solidFill>
                <a:srgbClr val="FF0000"/>
              </a:solidFill>
              <a:ln>
                <a:noFill/>
              </a:ln>
              <a:effectLst/>
            </c:spPr>
            <c:extLst>
              <c:ext xmlns:c16="http://schemas.microsoft.com/office/drawing/2014/chart" uri="{C3380CC4-5D6E-409C-BE32-E72D297353CC}">
                <c16:uniqueId val="{00000009-1DEE-4D6A-AADB-6E3C41A27C9F}"/>
              </c:ext>
            </c:extLst>
          </c:dPt>
          <c:cat>
            <c:multiLvlStrRef>
              <c:f>Sayfa1!$AA$74:$AB$78</c:f>
              <c:multiLvlStrCache>
                <c:ptCount val="5"/>
                <c:lvl>
                  <c:pt idx="0">
                    <c:v>Istanbul</c:v>
                  </c:pt>
                  <c:pt idx="1">
                    <c:v>Aegean (Izmir)</c:v>
                  </c:pt>
                  <c:pt idx="2">
                    <c:v>Eastern Marmara</c:v>
                  </c:pt>
                  <c:pt idx="3">
                    <c:v>Remaining 9 Regions</c:v>
                  </c:pt>
                  <c:pt idx="4">
                    <c:v>Turkey Total</c:v>
                  </c:pt>
                </c:lvl>
                <c:lvl>
                  <c:pt idx="0">
                    <c:v>TR1</c:v>
                  </c:pt>
                  <c:pt idx="1">
                    <c:v>TR3</c:v>
                  </c:pt>
                  <c:pt idx="2">
                    <c:v>TR4</c:v>
                  </c:pt>
                  <c:pt idx="3">
                    <c:v>Other</c:v>
                  </c:pt>
                  <c:pt idx="4">
                    <c:v>Total</c:v>
                  </c:pt>
                </c:lvl>
              </c:multiLvlStrCache>
            </c:multiLvlStrRef>
          </c:cat>
          <c:val>
            <c:numRef>
              <c:f>Sayfa1!$AC$74:$AC$78</c:f>
              <c:numCache>
                <c:formatCode>#,##0.00</c:formatCode>
                <c:ptCount val="5"/>
                <c:pt idx="0">
                  <c:v>22494.9</c:v>
                </c:pt>
                <c:pt idx="1">
                  <c:v>18951.400000000001</c:v>
                </c:pt>
                <c:pt idx="2">
                  <c:v>13277.4</c:v>
                </c:pt>
                <c:pt idx="3">
                  <c:v>5267.6</c:v>
                </c:pt>
                <c:pt idx="4">
                  <c:v>59991.3</c:v>
                </c:pt>
              </c:numCache>
            </c:numRef>
          </c:val>
          <c:extLst>
            <c:ext xmlns:c16="http://schemas.microsoft.com/office/drawing/2014/chart" uri="{C3380CC4-5D6E-409C-BE32-E72D297353CC}">
              <c16:uniqueId val="{0000000A-1DEE-4D6A-AADB-6E3C41A27C9F}"/>
            </c:ext>
          </c:extLst>
        </c:ser>
        <c:dLbls>
          <c:showLegendKey val="0"/>
          <c:showVal val="0"/>
          <c:showCatName val="0"/>
          <c:showSerName val="0"/>
          <c:showPercent val="0"/>
          <c:showBubbleSize val="0"/>
        </c:dLbls>
        <c:gapWidth val="182"/>
        <c:axId val="1153240431"/>
        <c:axId val="1153241679"/>
      </c:barChart>
      <c:catAx>
        <c:axId val="11532404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3241679"/>
        <c:crosses val="autoZero"/>
        <c:auto val="1"/>
        <c:lblAlgn val="ctr"/>
        <c:lblOffset val="100"/>
        <c:noMultiLvlLbl val="0"/>
      </c:catAx>
      <c:valAx>
        <c:axId val="1153241679"/>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32404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13</Pages>
  <Words>3027</Words>
  <Characters>17256</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Kaplan</dc:creator>
  <cp:keywords/>
  <dc:description/>
  <cp:lastModifiedBy>SDI 1181</cp:lastModifiedBy>
  <cp:revision>6</cp:revision>
  <dcterms:created xsi:type="dcterms:W3CDTF">2026-01-13T19:37:00Z</dcterms:created>
  <dcterms:modified xsi:type="dcterms:W3CDTF">2026-01-17T05:45:00Z</dcterms:modified>
</cp:coreProperties>
</file>