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AFAA9" w14:textId="77777777" w:rsidR="001A61C7" w:rsidRDefault="00B35927" w:rsidP="001A61C7">
      <w:pPr>
        <w:spacing w:after="120" w:line="360" w:lineRule="auto"/>
        <w:ind w:left="-900" w:right="-1008"/>
        <w:jc w:val="center"/>
        <w:rPr>
          <w:rFonts w:ascii="Times New Roman" w:hAnsi="Times New Roman" w:cs="Times New Roman"/>
          <w:b/>
          <w:sz w:val="28"/>
          <w:szCs w:val="28"/>
        </w:rPr>
      </w:pPr>
      <w:r w:rsidRPr="000C2316">
        <w:rPr>
          <w:rFonts w:ascii="Times New Roman" w:hAnsi="Times New Roman" w:cs="Times New Roman"/>
          <w:b/>
          <w:sz w:val="28"/>
          <w:szCs w:val="28"/>
        </w:rPr>
        <w:t xml:space="preserve">Synergistic Effects of </w:t>
      </w:r>
      <w:proofErr w:type="spellStart"/>
      <w:r w:rsidRPr="000C2316">
        <w:rPr>
          <w:rStyle w:val="Emphasis"/>
          <w:rFonts w:ascii="Times New Roman" w:hAnsi="Times New Roman" w:cs="Times New Roman"/>
          <w:b/>
          <w:sz w:val="28"/>
          <w:szCs w:val="28"/>
        </w:rPr>
        <w:t>Azospirillum</w:t>
      </w:r>
      <w:proofErr w:type="spellEnd"/>
      <w:r w:rsidRPr="000C2316">
        <w:rPr>
          <w:rFonts w:ascii="Times New Roman" w:hAnsi="Times New Roman" w:cs="Times New Roman"/>
          <w:b/>
          <w:sz w:val="28"/>
          <w:szCs w:val="28"/>
        </w:rPr>
        <w:t xml:space="preserve"> and </w:t>
      </w:r>
      <w:r w:rsidRPr="000C2316">
        <w:rPr>
          <w:rStyle w:val="Emphasis"/>
          <w:rFonts w:ascii="Times New Roman" w:hAnsi="Times New Roman" w:cs="Times New Roman"/>
          <w:b/>
          <w:sz w:val="28"/>
          <w:szCs w:val="28"/>
        </w:rPr>
        <w:t>Pseudomonas</w:t>
      </w:r>
      <w:r w:rsidRPr="000C2316">
        <w:rPr>
          <w:rFonts w:ascii="Times New Roman" w:hAnsi="Times New Roman" w:cs="Times New Roman"/>
          <w:b/>
          <w:sz w:val="28"/>
          <w:szCs w:val="28"/>
        </w:rPr>
        <w:t xml:space="preserve"> Inoculation on Growth and Yield of Chilli (</w:t>
      </w:r>
      <w:r w:rsidRPr="000C2316">
        <w:rPr>
          <w:rStyle w:val="Emphasis"/>
          <w:rFonts w:ascii="Times New Roman" w:hAnsi="Times New Roman" w:cs="Times New Roman"/>
          <w:b/>
          <w:sz w:val="28"/>
          <w:szCs w:val="28"/>
        </w:rPr>
        <w:t>Capsicum annuum</w:t>
      </w:r>
      <w:r w:rsidRPr="000C2316">
        <w:rPr>
          <w:rFonts w:ascii="Times New Roman" w:hAnsi="Times New Roman" w:cs="Times New Roman"/>
          <w:b/>
          <w:sz w:val="28"/>
          <w:szCs w:val="28"/>
        </w:rPr>
        <w:t xml:space="preserve"> L.)</w:t>
      </w:r>
    </w:p>
    <w:p w14:paraId="7A6C3817" w14:textId="02A02507" w:rsidR="000B242C" w:rsidRDefault="000B242C" w:rsidP="000B242C">
      <w:pPr>
        <w:spacing w:line="240" w:lineRule="auto"/>
        <w:rPr>
          <w:rFonts w:ascii="Times New Roman" w:hAnsi="Times New Roman" w:cs="Times New Roman"/>
          <w:i/>
          <w:iCs/>
          <w:lang w:val="pt-BR"/>
        </w:rPr>
      </w:pPr>
    </w:p>
    <w:p w14:paraId="54B930B8" w14:textId="77777777" w:rsidR="00611FAA" w:rsidRPr="009B3FEA" w:rsidRDefault="00611FAA" w:rsidP="000B242C">
      <w:pPr>
        <w:spacing w:line="240" w:lineRule="auto"/>
        <w:rPr>
          <w:rFonts w:ascii="Times New Roman" w:hAnsi="Times New Roman" w:cs="Times New Roman"/>
          <w:i/>
          <w:iCs/>
          <w:lang w:val="pt-BR"/>
        </w:rPr>
      </w:pPr>
    </w:p>
    <w:p w14:paraId="71E08E07" w14:textId="2552F7B0" w:rsidR="00DB64D1" w:rsidRPr="001A61C7" w:rsidRDefault="00456BA5" w:rsidP="001A61C7">
      <w:pPr>
        <w:spacing w:after="120" w:line="360" w:lineRule="auto"/>
        <w:ind w:left="-900" w:right="-1008"/>
        <w:rPr>
          <w:rFonts w:ascii="Times New Roman" w:hAnsi="Times New Roman" w:cs="Times New Roman"/>
          <w:b/>
          <w:sz w:val="28"/>
          <w:szCs w:val="28"/>
        </w:rPr>
      </w:pPr>
      <w:r w:rsidRPr="009B3FEA">
        <w:rPr>
          <w:rFonts w:ascii="Times New Roman" w:eastAsia="Times New Roman" w:hAnsi="Times New Roman" w:cs="Times New Roman"/>
          <w:b/>
          <w:bCs/>
          <w:sz w:val="24"/>
          <w:szCs w:val="24"/>
          <w:lang w:val="pt-BR" w:eastAsia="en-US"/>
        </w:rPr>
        <w:t xml:space="preserve">       </w:t>
      </w:r>
      <w:r w:rsidR="00DB64D1" w:rsidRPr="001A61C7">
        <w:rPr>
          <w:rFonts w:ascii="Times New Roman" w:eastAsia="Times New Roman" w:hAnsi="Times New Roman" w:cs="Times New Roman"/>
          <w:b/>
          <w:bCs/>
          <w:sz w:val="24"/>
          <w:szCs w:val="24"/>
          <w:lang w:val="en-US" w:eastAsia="en-US"/>
        </w:rPr>
        <w:t>ABSTRACT</w:t>
      </w:r>
    </w:p>
    <w:p w14:paraId="71E08E08" w14:textId="77777777" w:rsidR="004C2AC9" w:rsidRPr="004C2AC9" w:rsidRDefault="00DB64D1" w:rsidP="004C2AC9">
      <w:pPr>
        <w:spacing w:before="100" w:beforeAutospacing="1" w:after="100" w:afterAutospacing="1" w:line="360" w:lineRule="auto"/>
        <w:ind w:left="-450" w:right="-601"/>
        <w:jc w:val="both"/>
        <w:rPr>
          <w:rFonts w:ascii="Times New Roman" w:eastAsia="Times New Roman" w:hAnsi="Times New Roman" w:cs="Times New Roman"/>
          <w:sz w:val="24"/>
          <w:szCs w:val="24"/>
          <w:lang w:val="en-US" w:eastAsia="en-US"/>
        </w:rPr>
      </w:pPr>
      <w:r w:rsidRPr="00DB64D1">
        <w:rPr>
          <w:rFonts w:ascii="Times New Roman" w:eastAsia="Times New Roman" w:hAnsi="Times New Roman" w:cs="Times New Roman"/>
          <w:sz w:val="24"/>
          <w:szCs w:val="24"/>
          <w:lang w:val="en-US" w:eastAsia="en-US"/>
        </w:rPr>
        <w:t xml:space="preserve">The excessive use of chemical fertilizers in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cultivation has raised concerns regarding soil health and environmental sustainability. Plant Growth-Promoting Rhizobacteria (PGPR) offer an eco-friendly alternative by enhancing nutrient availability and plant growth through biological processes. The present study evaluated the individual and combined effects of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i/>
          <w:iCs/>
          <w:sz w:val="24"/>
          <w:szCs w:val="24"/>
          <w:lang w:val="en-US" w:eastAsia="en-US"/>
        </w:rPr>
        <w:t xml:space="preserve"> </w:t>
      </w:r>
      <w:proofErr w:type="spellStart"/>
      <w:r w:rsidRPr="00DB64D1">
        <w:rPr>
          <w:rFonts w:ascii="Times New Roman" w:eastAsia="Times New Roman" w:hAnsi="Times New Roman" w:cs="Times New Roman"/>
          <w:i/>
          <w:iCs/>
          <w:sz w:val="24"/>
          <w:szCs w:val="24"/>
          <w:lang w:val="en-US" w:eastAsia="en-US"/>
        </w:rPr>
        <w:t>brasilense</w:t>
      </w:r>
      <w:proofErr w:type="spellEnd"/>
      <w:r w:rsidRPr="00DB64D1">
        <w:rPr>
          <w:rFonts w:ascii="Times New Roman" w:eastAsia="Times New Roman" w:hAnsi="Times New Roman" w:cs="Times New Roman"/>
          <w:sz w:val="24"/>
          <w:szCs w:val="24"/>
          <w:lang w:val="en-US" w:eastAsia="en-US"/>
        </w:rPr>
        <w:t xml:space="preserve"> and </w:t>
      </w:r>
      <w:r w:rsidRPr="00DB64D1">
        <w:rPr>
          <w:rFonts w:ascii="Times New Roman" w:eastAsia="Times New Roman" w:hAnsi="Times New Roman" w:cs="Times New Roman"/>
          <w:i/>
          <w:iCs/>
          <w:sz w:val="24"/>
          <w:szCs w:val="24"/>
          <w:lang w:val="en-US" w:eastAsia="en-US"/>
        </w:rPr>
        <w:t>Pseudomonas fluorescens</w:t>
      </w:r>
      <w:r w:rsidRPr="00DB64D1">
        <w:rPr>
          <w:rFonts w:ascii="Times New Roman" w:eastAsia="Times New Roman" w:hAnsi="Times New Roman" w:cs="Times New Roman"/>
          <w:sz w:val="24"/>
          <w:szCs w:val="24"/>
          <w:lang w:val="en-US" w:eastAsia="en-US"/>
        </w:rPr>
        <w:t xml:space="preserve"> on the growth and yield of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w:t>
      </w:r>
      <w:r w:rsidRPr="00DB64D1">
        <w:rPr>
          <w:rFonts w:ascii="Times New Roman" w:eastAsia="Times New Roman" w:hAnsi="Times New Roman" w:cs="Times New Roman"/>
          <w:i/>
          <w:iCs/>
          <w:sz w:val="24"/>
          <w:szCs w:val="24"/>
          <w:lang w:val="en-US" w:eastAsia="en-US"/>
        </w:rPr>
        <w:t xml:space="preserve">Capsicum </w:t>
      </w:r>
      <w:proofErr w:type="spellStart"/>
      <w:r w:rsidRPr="00DB64D1">
        <w:rPr>
          <w:rFonts w:ascii="Times New Roman" w:eastAsia="Times New Roman" w:hAnsi="Times New Roman" w:cs="Times New Roman"/>
          <w:i/>
          <w:iCs/>
          <w:sz w:val="24"/>
          <w:szCs w:val="24"/>
          <w:lang w:val="en-US" w:eastAsia="en-US"/>
        </w:rPr>
        <w:t>annuum</w:t>
      </w:r>
      <w:proofErr w:type="spellEnd"/>
      <w:r w:rsidRPr="00DB64D1">
        <w:rPr>
          <w:rFonts w:ascii="Times New Roman" w:eastAsia="Times New Roman" w:hAnsi="Times New Roman" w:cs="Times New Roman"/>
          <w:sz w:val="24"/>
          <w:szCs w:val="24"/>
          <w:lang w:val="en-US" w:eastAsia="en-US"/>
        </w:rPr>
        <w:t xml:space="preserve"> L.). Rhizosphere soil samples were collected, PGPR were isolated and screened for plant growth-promoting traits, and efficient isolates were evaluated under pot culture conditions. Results revealed that co-inoculation of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sz w:val="24"/>
          <w:szCs w:val="24"/>
          <w:lang w:val="en-US" w:eastAsia="en-US"/>
        </w:rPr>
        <w:t xml:space="preserve"> and </w:t>
      </w:r>
      <w:r w:rsidRPr="00DB64D1">
        <w:rPr>
          <w:rFonts w:ascii="Times New Roman" w:eastAsia="Times New Roman" w:hAnsi="Times New Roman" w:cs="Times New Roman"/>
          <w:i/>
          <w:iCs/>
          <w:sz w:val="24"/>
          <w:szCs w:val="24"/>
          <w:lang w:val="en-US" w:eastAsia="en-US"/>
        </w:rPr>
        <w:t>Pseudomonas</w:t>
      </w:r>
      <w:r w:rsidRPr="00DB64D1">
        <w:rPr>
          <w:rFonts w:ascii="Times New Roman" w:eastAsia="Times New Roman" w:hAnsi="Times New Roman" w:cs="Times New Roman"/>
          <w:sz w:val="24"/>
          <w:szCs w:val="24"/>
          <w:lang w:val="en-US" w:eastAsia="en-US"/>
        </w:rPr>
        <w:t xml:space="preserve"> along with 75% recommended dose of fertilizers significantly increased plant height, number of branches, dry matter production, and fruit yield compared to control and single inoculation treatments. The synergistic effect of dual inoculation improved nutrient use efficiency and reduced dependence on chemical fertilizers. The study concludes that combined application of PGPR can be an effective strategy for sustainable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production.</w:t>
      </w:r>
    </w:p>
    <w:p w14:paraId="71E08E09" w14:textId="77777777" w:rsidR="00DB64D1" w:rsidRPr="00DB64D1" w:rsidRDefault="00DB64D1" w:rsidP="00DB64D1">
      <w:pPr>
        <w:spacing w:before="100" w:beforeAutospacing="1" w:after="100" w:afterAutospacing="1" w:line="360" w:lineRule="auto"/>
        <w:ind w:left="-450" w:right="-601"/>
        <w:jc w:val="both"/>
        <w:rPr>
          <w:rFonts w:ascii="Times New Roman" w:eastAsia="Times New Roman" w:hAnsi="Times New Roman" w:cs="Times New Roman"/>
          <w:sz w:val="24"/>
          <w:szCs w:val="24"/>
          <w:lang w:val="en-US" w:eastAsia="en-US"/>
        </w:rPr>
      </w:pPr>
      <w:r w:rsidRPr="00DB64D1">
        <w:rPr>
          <w:rFonts w:ascii="Times New Roman" w:eastAsia="Times New Roman" w:hAnsi="Times New Roman" w:cs="Times New Roman"/>
          <w:b/>
          <w:bCs/>
          <w:sz w:val="24"/>
          <w:szCs w:val="24"/>
          <w:lang w:val="en-US" w:eastAsia="en-US"/>
        </w:rPr>
        <w:t>Keywords:</w:t>
      </w:r>
      <w:r w:rsidRPr="00DB64D1">
        <w:rPr>
          <w:rFonts w:ascii="Times New Roman" w:eastAsia="Times New Roman" w:hAnsi="Times New Roman" w:cs="Times New Roman"/>
          <w:sz w:val="24"/>
          <w:szCs w:val="24"/>
          <w:lang w:val="en-US" w:eastAsia="en-US"/>
        </w:rPr>
        <w:t xml:space="preserve"> PGPR,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sz w:val="24"/>
          <w:szCs w:val="24"/>
          <w:lang w:val="en-US" w:eastAsia="en-US"/>
        </w:rPr>
        <w:t xml:space="preserve">, </w:t>
      </w:r>
      <w:r w:rsidRPr="00DB64D1">
        <w:rPr>
          <w:rFonts w:ascii="Times New Roman" w:eastAsia="Times New Roman" w:hAnsi="Times New Roman" w:cs="Times New Roman"/>
          <w:i/>
          <w:iCs/>
          <w:sz w:val="24"/>
          <w:szCs w:val="24"/>
          <w:lang w:val="en-US" w:eastAsia="en-US"/>
        </w:rPr>
        <w:t>Pseudomonas</w:t>
      </w:r>
      <w:r w:rsidRPr="00DB64D1">
        <w:rPr>
          <w:rFonts w:ascii="Times New Roman" w:eastAsia="Times New Roman" w:hAnsi="Times New Roman" w:cs="Times New Roman"/>
          <w:sz w:val="24"/>
          <w:szCs w:val="24"/>
          <w:lang w:val="en-US" w:eastAsia="en-US"/>
        </w:rPr>
        <w:t xml:space="preserve">,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sustainable agriculture, biofertilizers</w:t>
      </w:r>
    </w:p>
    <w:p w14:paraId="71E08E0A" w14:textId="77777777" w:rsidR="004C2AC9" w:rsidRPr="00BF0634" w:rsidRDefault="004C2AC9" w:rsidP="004C2AC9">
      <w:pPr>
        <w:pStyle w:val="Heading2"/>
        <w:ind w:left="-720" w:right="-421"/>
        <w:jc w:val="both"/>
        <w:rPr>
          <w:sz w:val="24"/>
          <w:szCs w:val="24"/>
        </w:rPr>
      </w:pPr>
      <w:r w:rsidRPr="00BF0634">
        <w:rPr>
          <w:rStyle w:val="Strong"/>
          <w:rFonts w:eastAsiaTheme="minorEastAsia"/>
          <w:b/>
          <w:bCs/>
          <w:sz w:val="24"/>
          <w:szCs w:val="24"/>
        </w:rPr>
        <w:t>1. INTRODUCTION</w:t>
      </w:r>
    </w:p>
    <w:p w14:paraId="71E08E0B" w14:textId="77777777" w:rsidR="004C2AC9" w:rsidRDefault="004C2AC9" w:rsidP="00BF0634">
      <w:pPr>
        <w:pStyle w:val="NormalWeb"/>
        <w:spacing w:line="360" w:lineRule="auto"/>
        <w:ind w:left="-720" w:right="-421"/>
        <w:jc w:val="both"/>
      </w:pPr>
      <w:proofErr w:type="spellStart"/>
      <w:r>
        <w:t>Chilli</w:t>
      </w:r>
      <w:proofErr w:type="spellEnd"/>
      <w:r>
        <w:t xml:space="preserve"> (</w:t>
      </w:r>
      <w:r>
        <w:rPr>
          <w:rStyle w:val="Emphasis"/>
        </w:rPr>
        <w:t xml:space="preserve">Capsicum </w:t>
      </w:r>
      <w:proofErr w:type="spellStart"/>
      <w:r w:rsidRPr="0015374A">
        <w:rPr>
          <w:rStyle w:val="Emphasis"/>
          <w:color w:val="FF0000"/>
        </w:rPr>
        <w:t>annuum</w:t>
      </w:r>
      <w:proofErr w:type="spellEnd"/>
      <w:r w:rsidRPr="0015374A">
        <w:rPr>
          <w:color w:val="FF0000"/>
        </w:rPr>
        <w:t xml:space="preserve"> </w:t>
      </w:r>
      <w:r>
        <w:t xml:space="preserve">L.) is an economically important vegetable and spice crop cultivated widely in tropical and subtropical regions. It contributes significantly to food security, nutrition and farm income due to its high content of vitamins, antioxidants and </w:t>
      </w:r>
      <w:proofErr w:type="spellStart"/>
      <w:r>
        <w:t>capsaicinoids</w:t>
      </w:r>
      <w:proofErr w:type="spellEnd"/>
      <w:r>
        <w:t xml:space="preserve"> (</w:t>
      </w:r>
      <w:proofErr w:type="spellStart"/>
      <w:r>
        <w:t>Bosland</w:t>
      </w:r>
      <w:proofErr w:type="spellEnd"/>
      <w:r>
        <w:t xml:space="preserve"> &amp; </w:t>
      </w:r>
      <w:proofErr w:type="spellStart"/>
      <w:r>
        <w:t>Votava</w:t>
      </w:r>
      <w:proofErr w:type="spellEnd"/>
      <w:r>
        <w:t xml:space="preserve">, 2012). However, </w:t>
      </w:r>
      <w:proofErr w:type="spellStart"/>
      <w:r>
        <w:t>chilli</w:t>
      </w:r>
      <w:proofErr w:type="spellEnd"/>
      <w:r>
        <w:t xml:space="preserve"> productivity remains inconsistent owing to declining soil fertility, imbalanced nutrient management and excessive use of chemical fertilizers (</w:t>
      </w:r>
      <w:proofErr w:type="spellStart"/>
      <w:r>
        <w:t>Shyam</w:t>
      </w:r>
      <w:proofErr w:type="spellEnd"/>
      <w:r>
        <w:t xml:space="preserve"> &amp; </w:t>
      </w:r>
      <w:proofErr w:type="spellStart"/>
      <w:r>
        <w:t>Narzary</w:t>
      </w:r>
      <w:proofErr w:type="spellEnd"/>
      <w:r>
        <w:t>, 2024; Shetty et al., 2025).</w:t>
      </w:r>
    </w:p>
    <w:p w14:paraId="71E08E0C" w14:textId="77777777" w:rsidR="004C2AC9" w:rsidRDefault="004C2AC9" w:rsidP="00BF0634">
      <w:pPr>
        <w:pStyle w:val="NormalWeb"/>
        <w:spacing w:line="360" w:lineRule="auto"/>
        <w:ind w:left="-720" w:right="-421"/>
        <w:jc w:val="both"/>
      </w:pPr>
      <w:r>
        <w:t xml:space="preserve">Long-term application of synthetic fertilizers has been reported to degrade soil structure, reduce microbial diversity and lower nutrient use efficiency, thereby threatening the sustainability of intensive cropping systems (Hasan et al., 2024; </w:t>
      </w:r>
      <w:proofErr w:type="spellStart"/>
      <w:r>
        <w:t>Mmotla</w:t>
      </w:r>
      <w:proofErr w:type="spellEnd"/>
      <w:r>
        <w:t xml:space="preserve"> et al., 2025). These challenges have </w:t>
      </w:r>
      <w:r>
        <w:lastRenderedPageBreak/>
        <w:t>accelerated the search for biological alternatives capable of maintaining crop productivity while preserving soil health.</w:t>
      </w:r>
    </w:p>
    <w:p w14:paraId="71E08E0D" w14:textId="18859817" w:rsidR="004C2AC9" w:rsidRDefault="004C2AC9" w:rsidP="00BF0634">
      <w:pPr>
        <w:pStyle w:val="NormalWeb"/>
        <w:spacing w:line="360" w:lineRule="auto"/>
        <w:ind w:left="-720" w:right="-421"/>
        <w:jc w:val="both"/>
      </w:pPr>
      <w:r>
        <w:t>Plant Growth-Promoting Rhizobacteria (PGPR) represent a promising approach for sustainable agriculture due to their multifunctional role in enhancing plant growth and nutrient acquisition. PGPR colonize the rhizosphere and promote plant growth directly through biological nitrogen fixation, phosphate solubilization and phytohormone production, and indirectly through siderophore production and suppression of soil-borne pathogens (</w:t>
      </w:r>
      <w:proofErr w:type="spellStart"/>
      <w:r>
        <w:t>Vessey</w:t>
      </w:r>
      <w:proofErr w:type="spellEnd"/>
      <w:r>
        <w:t>, 2003; Yang et al., 2024). Recent studies have emphasized their role in improving nutrient cycling, root system architecture and plant resilience under reduced fertilizer regimes (</w:t>
      </w:r>
      <w:proofErr w:type="spellStart"/>
      <w:r w:rsidR="009A7B68" w:rsidRPr="00BC0F79">
        <w:t>Nandni</w:t>
      </w:r>
      <w:proofErr w:type="spellEnd"/>
      <w:r w:rsidR="009A7B68" w:rsidRPr="00BC0F79">
        <w:t> Sharma</w:t>
      </w:r>
      <w:r>
        <w:t xml:space="preserve">, 2024; </w:t>
      </w:r>
      <w:proofErr w:type="spellStart"/>
      <w:r>
        <w:t>Heliyon</w:t>
      </w:r>
      <w:proofErr w:type="spellEnd"/>
      <w:r>
        <w:t>, 2024).</w:t>
      </w:r>
    </w:p>
    <w:p w14:paraId="71E08E0E" w14:textId="77777777" w:rsidR="004C2AC9" w:rsidRDefault="004C2AC9" w:rsidP="00BF0634">
      <w:pPr>
        <w:pStyle w:val="NormalWeb"/>
        <w:spacing w:line="360" w:lineRule="auto"/>
        <w:ind w:left="-720" w:right="-421"/>
        <w:jc w:val="both"/>
      </w:pPr>
      <w:r>
        <w:t xml:space="preserve">Among PGPR, </w:t>
      </w:r>
      <w:proofErr w:type="spellStart"/>
      <w:r>
        <w:rPr>
          <w:rStyle w:val="Emphasis"/>
        </w:rPr>
        <w:t>Azospirillum</w:t>
      </w:r>
      <w:proofErr w:type="spellEnd"/>
      <w:r>
        <w:t xml:space="preserve"> spp. are well-known associative nitrogen fixers that enhance root proliferation and nutrient uptake efficiency (Bashan &amp; de-Bashan, 2010), while </w:t>
      </w:r>
      <w:r>
        <w:rPr>
          <w:rStyle w:val="Emphasis"/>
        </w:rPr>
        <w:t>Pseudomonas</w:t>
      </w:r>
      <w:r>
        <w:t xml:space="preserve"> spp. are recognized for their phosphate-solubilizing capacity, siderophore production and biocontrol activity (Glick, 2012). Several studies have reported positive effects of individual PGPR inoculation on </w:t>
      </w:r>
      <w:proofErr w:type="spellStart"/>
      <w:r>
        <w:t>chilli</w:t>
      </w:r>
      <w:proofErr w:type="spellEnd"/>
      <w:r>
        <w:t xml:space="preserve"> and other </w:t>
      </w:r>
      <w:proofErr w:type="spellStart"/>
      <w:r>
        <w:t>solanaceous</w:t>
      </w:r>
      <w:proofErr w:type="spellEnd"/>
      <w:r>
        <w:t xml:space="preserve"> crops (Bharathi et al., 2004; </w:t>
      </w:r>
      <w:proofErr w:type="spellStart"/>
      <w:r>
        <w:t>Ordookhani</w:t>
      </w:r>
      <w:proofErr w:type="spellEnd"/>
      <w:r>
        <w:t xml:space="preserve"> et al., 2010). However, recent literature indicates that PGPR consortia often outperform single-strain inoculants due to synergistic interactions between complementary functional traits (</w:t>
      </w:r>
      <w:proofErr w:type="spellStart"/>
      <w:r>
        <w:t>Keerthana</w:t>
      </w:r>
      <w:proofErr w:type="spellEnd"/>
      <w:r>
        <w:t xml:space="preserve"> et al., 2024; Yang et al., 2024).</w:t>
      </w:r>
    </w:p>
    <w:p w14:paraId="3522E1F9" w14:textId="77777777" w:rsidR="00B137E6" w:rsidRDefault="004C2AC9" w:rsidP="00C1793A">
      <w:pPr>
        <w:pStyle w:val="NormalWeb"/>
        <w:spacing w:line="360" w:lineRule="auto"/>
        <w:ind w:left="-720" w:right="-421"/>
        <w:jc w:val="both"/>
      </w:pPr>
      <w:r>
        <w:t xml:space="preserve">Despite growing evidence, limited information is available on the combined application of </w:t>
      </w:r>
      <w:proofErr w:type="spellStart"/>
      <w:r>
        <w:rPr>
          <w:rStyle w:val="Emphasis"/>
        </w:rPr>
        <w:t>Azospirillum</w:t>
      </w:r>
      <w:proofErr w:type="spellEnd"/>
      <w:r>
        <w:t xml:space="preserve"> and </w:t>
      </w:r>
      <w:r>
        <w:rPr>
          <w:rStyle w:val="Emphasis"/>
        </w:rPr>
        <w:t>Pseudomonas</w:t>
      </w:r>
      <w:r>
        <w:t xml:space="preserve"> under reduced fertilizer input conditions in </w:t>
      </w:r>
      <w:proofErr w:type="spellStart"/>
      <w:r>
        <w:t>chilli</w:t>
      </w:r>
      <w:proofErr w:type="spellEnd"/>
      <w:r>
        <w:t xml:space="preserve"> cultivation. Therefore, the present study aimed to evaluate the synergistic effects of these PGPR on growth and yield of </w:t>
      </w:r>
      <w:proofErr w:type="spellStart"/>
      <w:r>
        <w:t>chilli</w:t>
      </w:r>
      <w:proofErr w:type="spellEnd"/>
      <w:r>
        <w:t>, with the objective of developing a sustainable nutrient management strategy that reduces chemical fertilizer dependency.</w:t>
      </w:r>
    </w:p>
    <w:p w14:paraId="2DC5E616" w14:textId="77777777" w:rsidR="002C582B" w:rsidRDefault="00B137E6" w:rsidP="002C582B">
      <w:pPr>
        <w:pStyle w:val="NormalWeb"/>
        <w:spacing w:line="360" w:lineRule="auto"/>
        <w:ind w:left="-720" w:right="-421"/>
        <w:jc w:val="both"/>
        <w:rPr>
          <w:rStyle w:val="Strong"/>
          <w:rFonts w:eastAsiaTheme="minorEastAsia"/>
        </w:rPr>
      </w:pPr>
      <w:r w:rsidRPr="00B137E6">
        <w:t>2</w:t>
      </w:r>
      <w:r w:rsidR="00B35E0F" w:rsidRPr="00B137E6">
        <w:rPr>
          <w:rStyle w:val="Strong"/>
          <w:rFonts w:eastAsiaTheme="minorEastAsia"/>
        </w:rPr>
        <w:t>. MATERIALS AND METHODS</w:t>
      </w:r>
    </w:p>
    <w:p w14:paraId="71E08E29" w14:textId="4E62578F" w:rsidR="009A5D36" w:rsidRDefault="009A5D36" w:rsidP="002C582B">
      <w:pPr>
        <w:pStyle w:val="NormalWeb"/>
        <w:spacing w:line="360" w:lineRule="auto"/>
        <w:ind w:left="-720" w:right="-421"/>
        <w:jc w:val="both"/>
      </w:pPr>
      <w:r>
        <w:rPr>
          <w:rStyle w:val="Strong"/>
          <w:rFonts w:eastAsiaTheme="minorEastAsia"/>
        </w:rPr>
        <w:t>2.1. Study area and soil sampling</w:t>
      </w:r>
    </w:p>
    <w:p w14:paraId="71E08E2A" w14:textId="741A506A" w:rsidR="009A5D36" w:rsidRDefault="009A5D36" w:rsidP="002C582B">
      <w:pPr>
        <w:pStyle w:val="NormalWeb"/>
        <w:spacing w:line="360" w:lineRule="auto"/>
        <w:ind w:left="-720" w:right="-421"/>
        <w:jc w:val="both"/>
      </w:pPr>
      <w:r>
        <w:t xml:space="preserve">Rhizosphere soil samples were collected from </w:t>
      </w:r>
      <w:proofErr w:type="spellStart"/>
      <w:r>
        <w:t>chilli</w:t>
      </w:r>
      <w:proofErr w:type="spellEnd"/>
      <w:r>
        <w:t xml:space="preserve"> (</w:t>
      </w:r>
      <w:r>
        <w:rPr>
          <w:rStyle w:val="Emphasis"/>
        </w:rPr>
        <w:t xml:space="preserve">Capsicum </w:t>
      </w:r>
      <w:proofErr w:type="spellStart"/>
      <w:r>
        <w:rPr>
          <w:rStyle w:val="Emphasis"/>
        </w:rPr>
        <w:t>annuum</w:t>
      </w:r>
      <w:proofErr w:type="spellEnd"/>
      <w:r>
        <w:t xml:space="preserve"> L.) fields located at fifteen different sites in </w:t>
      </w:r>
      <w:proofErr w:type="spellStart"/>
      <w:r w:rsidR="00DE3B83">
        <w:t>Namakkal</w:t>
      </w:r>
      <w:proofErr w:type="spellEnd"/>
      <w:r>
        <w:t xml:space="preserve"> district, Tamil Nadu, India. The region is characterized by a tropical climate with moderate rainfall and sandy loam to clay loam soils. Healthy </w:t>
      </w:r>
      <w:proofErr w:type="spellStart"/>
      <w:r>
        <w:t>chilli</w:t>
      </w:r>
      <w:proofErr w:type="spellEnd"/>
      <w:r>
        <w:t xml:space="preserve"> plants at the flowering stage were carefully uprooted, and loosely adhered soil was removed by gentle </w:t>
      </w:r>
      <w:r>
        <w:lastRenderedPageBreak/>
        <w:t>shaking. The soil tightly adhering to the root system was considered rhizosphere soil and collected aseptically.</w:t>
      </w:r>
    </w:p>
    <w:p w14:paraId="73D9B9A0" w14:textId="77777777" w:rsidR="00154620" w:rsidRDefault="009A5D36" w:rsidP="00154620">
      <w:pPr>
        <w:pStyle w:val="NormalWeb"/>
        <w:spacing w:line="360" w:lineRule="auto"/>
        <w:ind w:left="-720" w:right="-421"/>
        <w:jc w:val="both"/>
      </w:pPr>
      <w:r>
        <w:t xml:space="preserve">The collected soil samples were placed in sterile polyethylene bags, transported to the laboratory under refrigerated conditions, and processed within 24 h. Samples were air-dried, sieved (2 mm mesh), and stored at 4 °C for further microbiological and </w:t>
      </w:r>
      <w:proofErr w:type="spellStart"/>
      <w:r>
        <w:t>physico</w:t>
      </w:r>
      <w:proofErr w:type="spellEnd"/>
      <w:r>
        <w:t>-chemical analyses.</w:t>
      </w:r>
    </w:p>
    <w:p w14:paraId="71E08E2D" w14:textId="6912086A" w:rsidR="009A5D36" w:rsidRPr="00B938C1" w:rsidRDefault="009A5D36" w:rsidP="00154620">
      <w:pPr>
        <w:pStyle w:val="NormalWeb"/>
        <w:spacing w:line="360" w:lineRule="auto"/>
        <w:ind w:left="-720" w:right="-421"/>
        <w:jc w:val="both"/>
      </w:pPr>
      <w:r w:rsidRPr="00B938C1">
        <w:rPr>
          <w:rStyle w:val="Strong"/>
          <w:rFonts w:eastAsiaTheme="minorEastAsia"/>
        </w:rPr>
        <w:t xml:space="preserve">2.2. </w:t>
      </w:r>
      <w:proofErr w:type="spellStart"/>
      <w:r w:rsidRPr="00B938C1">
        <w:rPr>
          <w:rStyle w:val="Strong"/>
          <w:rFonts w:eastAsiaTheme="minorEastAsia"/>
        </w:rPr>
        <w:t>Physico</w:t>
      </w:r>
      <w:proofErr w:type="spellEnd"/>
      <w:r w:rsidRPr="00B938C1">
        <w:rPr>
          <w:rStyle w:val="Strong"/>
          <w:rFonts w:eastAsiaTheme="minorEastAsia"/>
        </w:rPr>
        <w:t>-chemical analysis of soil</w:t>
      </w:r>
    </w:p>
    <w:p w14:paraId="46DCEAEE" w14:textId="77777777" w:rsidR="006947F4" w:rsidRDefault="009A5D36" w:rsidP="006947F4">
      <w:pPr>
        <w:pStyle w:val="NormalWeb"/>
        <w:spacing w:line="360" w:lineRule="auto"/>
        <w:ind w:left="-720" w:right="-421"/>
        <w:jc w:val="both"/>
      </w:pPr>
      <w:r>
        <w:t xml:space="preserve">Soil samples were </w:t>
      </w:r>
      <w:proofErr w:type="spellStart"/>
      <w:r>
        <w:t>analysed</w:t>
      </w:r>
      <w:proofErr w:type="spellEnd"/>
      <w:r>
        <w:t xml:space="preserve"> for pH, electrical conductivity (EC), organic carbon, and available macronutrients using standard procedures. Soil pH and EC were measured in a 1:2.5 soil–water suspension using a digital pH and conductivity meter. Organic carbon content was determined by the Walkley and Black wet oxidation method. Available nitrogen was estimated using the alkaline permanganate method, available phosphorus by the Olsen method, and available potassium by flame photometry following neutral ammonium acetate extraction.</w:t>
      </w:r>
    </w:p>
    <w:p w14:paraId="71E08E30" w14:textId="36D28FA1" w:rsidR="009A5D36" w:rsidRDefault="009A5D36" w:rsidP="006947F4">
      <w:pPr>
        <w:pStyle w:val="NormalWeb"/>
        <w:spacing w:line="360" w:lineRule="auto"/>
        <w:ind w:left="-720" w:right="-421"/>
        <w:jc w:val="both"/>
      </w:pPr>
      <w:r>
        <w:rPr>
          <w:rStyle w:val="Strong"/>
          <w:rFonts w:eastAsiaTheme="minorEastAsia"/>
        </w:rPr>
        <w:t>2.3. Enumeration of rhizosphere microorganisms</w:t>
      </w:r>
    </w:p>
    <w:p w14:paraId="43D66440" w14:textId="77777777" w:rsidR="00952500" w:rsidRDefault="009A5D36" w:rsidP="00952500">
      <w:pPr>
        <w:pStyle w:val="NormalWeb"/>
        <w:spacing w:line="360" w:lineRule="auto"/>
        <w:ind w:left="-720" w:right="-421"/>
        <w:jc w:val="both"/>
      </w:pPr>
      <w:r>
        <w:t>The population of bacteria, fungi, and actinomycetes in rhizosphere soils was determined using the serial dilution and spread plate technique. Nutrient agar, potato dextrose agar, and actinomycetes isolation agar were used for bacteria, fungi, and actinomycetes, respectively. Plates were incubated at 28 ± 2 °C, and colony-forming units (CFU) were counted and expressed as CFU g⁻¹ of dry soil.</w:t>
      </w:r>
    </w:p>
    <w:p w14:paraId="71E08E33" w14:textId="7BB758CB" w:rsidR="009A5D36" w:rsidRDefault="00957AF5" w:rsidP="00952500">
      <w:pPr>
        <w:pStyle w:val="NormalWeb"/>
        <w:spacing w:line="360" w:lineRule="auto"/>
        <w:ind w:left="-720" w:right="-421"/>
        <w:jc w:val="both"/>
      </w:pPr>
      <w:r>
        <w:rPr>
          <w:rStyle w:val="Strong"/>
          <w:rFonts w:eastAsiaTheme="minorEastAsia"/>
        </w:rPr>
        <w:t>2.4. Isolation,</w:t>
      </w:r>
      <w:r w:rsidR="009A5D36">
        <w:rPr>
          <w:rStyle w:val="Strong"/>
          <w:rFonts w:eastAsiaTheme="minorEastAsia"/>
        </w:rPr>
        <w:t xml:space="preserve"> purification </w:t>
      </w:r>
      <w:r>
        <w:rPr>
          <w:rStyle w:val="Strong"/>
          <w:rFonts w:eastAsiaTheme="minorEastAsia"/>
        </w:rPr>
        <w:t xml:space="preserve">and characterization </w:t>
      </w:r>
      <w:r w:rsidR="009A5D36">
        <w:rPr>
          <w:rStyle w:val="Strong"/>
          <w:rFonts w:eastAsiaTheme="minorEastAsia"/>
        </w:rPr>
        <w:t>of PGPR</w:t>
      </w:r>
    </w:p>
    <w:p w14:paraId="78BDFAB9" w14:textId="77777777" w:rsidR="002C17E7" w:rsidRDefault="009A5D36" w:rsidP="002C17E7">
      <w:pPr>
        <w:pStyle w:val="NormalWeb"/>
        <w:spacing w:line="360" w:lineRule="auto"/>
        <w:ind w:left="-720" w:right="-421"/>
        <w:jc w:val="both"/>
      </w:pPr>
      <w:r>
        <w:t xml:space="preserve">Plant Growth Promoting Rhizobacteria (PGPR) were isolated from rhizosphere soil using selective enrichment techniques. </w:t>
      </w:r>
      <w:proofErr w:type="spellStart"/>
      <w:r>
        <w:rPr>
          <w:rStyle w:val="Emphasis"/>
        </w:rPr>
        <w:t>Azospirillum</w:t>
      </w:r>
      <w:proofErr w:type="spellEnd"/>
      <w:r>
        <w:t xml:space="preserve"> spp. were isolated using nitrogen-free malate medium, while </w:t>
      </w:r>
      <w:r>
        <w:rPr>
          <w:rStyle w:val="Emphasis"/>
        </w:rPr>
        <w:t>Pseudomonas</w:t>
      </w:r>
      <w:r>
        <w:t xml:space="preserve"> spp. were isolated on King’s B medium. Distinct colonies were picked and purified through repeated streaking. Pure cultures were maintained on respective agar slants at 4 °C and as glycerol stocks (20%) at −80 °C for long-term storage.</w:t>
      </w:r>
      <w:r w:rsidR="00957AF5" w:rsidRPr="00957AF5">
        <w:t xml:space="preserve"> </w:t>
      </w:r>
      <w:r w:rsidR="00957AF5">
        <w:t>Morphological and biochemical tests were performed for preliminary identification.</w:t>
      </w:r>
    </w:p>
    <w:p w14:paraId="12A4855C" w14:textId="77777777" w:rsidR="0015374A" w:rsidRDefault="0015374A" w:rsidP="002C17E7">
      <w:pPr>
        <w:pStyle w:val="NormalWeb"/>
        <w:spacing w:line="360" w:lineRule="auto"/>
        <w:ind w:left="-720" w:right="-421"/>
        <w:jc w:val="both"/>
      </w:pPr>
    </w:p>
    <w:p w14:paraId="4C9CC8CD" w14:textId="77777777" w:rsidR="0015374A" w:rsidRDefault="0015374A" w:rsidP="002C17E7">
      <w:pPr>
        <w:pStyle w:val="NormalWeb"/>
        <w:spacing w:line="360" w:lineRule="auto"/>
        <w:ind w:left="-720" w:right="-421"/>
        <w:jc w:val="both"/>
      </w:pPr>
    </w:p>
    <w:p w14:paraId="71E08E35" w14:textId="3EA27060" w:rsidR="00B35E0F" w:rsidRPr="002C17E7" w:rsidRDefault="00B35E0F" w:rsidP="002C17E7">
      <w:pPr>
        <w:pStyle w:val="NormalWeb"/>
        <w:spacing w:line="360" w:lineRule="auto"/>
        <w:ind w:left="-720" w:right="-421"/>
        <w:jc w:val="both"/>
      </w:pPr>
      <w:r w:rsidRPr="002C17E7">
        <w:rPr>
          <w:rStyle w:val="Strong"/>
        </w:rPr>
        <w:lastRenderedPageBreak/>
        <w:t>2.</w:t>
      </w:r>
      <w:r w:rsidR="00536D8E" w:rsidRPr="002C17E7">
        <w:rPr>
          <w:rStyle w:val="Strong"/>
        </w:rPr>
        <w:t>5</w:t>
      </w:r>
      <w:r w:rsidRPr="002C17E7">
        <w:rPr>
          <w:rStyle w:val="Strong"/>
        </w:rPr>
        <w:t xml:space="preserve"> Screening for plant growth-promoting traits</w:t>
      </w:r>
    </w:p>
    <w:p w14:paraId="34140768" w14:textId="40ABCE86" w:rsidR="00DF2A22" w:rsidRPr="00577442" w:rsidRDefault="00B35E0F" w:rsidP="00577442">
      <w:pPr>
        <w:pStyle w:val="NormalWeb"/>
        <w:spacing w:line="360" w:lineRule="auto"/>
        <w:ind w:left="-720" w:right="-421"/>
        <w:jc w:val="both"/>
        <w:rPr>
          <w:rStyle w:val="Strong"/>
          <w:b w:val="0"/>
          <w:bCs w:val="0"/>
        </w:rPr>
      </w:pPr>
      <w:r>
        <w:t>Isolates were screened for nitrogen fixation, phosphate solubilization, siderophore production, acid phosphatase activity and phytohormone (IAA and GA₃) production using standard methods.</w:t>
      </w:r>
    </w:p>
    <w:p w14:paraId="244903AA" w14:textId="264805D2" w:rsidR="0085249A" w:rsidRPr="00DF2A22" w:rsidRDefault="00B35E0F" w:rsidP="0085249A">
      <w:pPr>
        <w:pStyle w:val="NormalWeb"/>
        <w:spacing w:line="360" w:lineRule="auto"/>
        <w:ind w:left="-720" w:right="-421"/>
        <w:jc w:val="both"/>
        <w:rPr>
          <w:rStyle w:val="Strong"/>
        </w:rPr>
      </w:pPr>
      <w:r w:rsidRPr="00DF2A22">
        <w:rPr>
          <w:rStyle w:val="Strong"/>
        </w:rPr>
        <w:t>2.</w:t>
      </w:r>
      <w:r w:rsidR="0085249A" w:rsidRPr="00DF2A22">
        <w:rPr>
          <w:rStyle w:val="Strong"/>
        </w:rPr>
        <w:t xml:space="preserve">6 </w:t>
      </w:r>
      <w:r w:rsidRPr="00DF2A22">
        <w:rPr>
          <w:rStyle w:val="Strong"/>
        </w:rPr>
        <w:t>Pot culture experiment</w:t>
      </w:r>
    </w:p>
    <w:p w14:paraId="2226FA36" w14:textId="77777777" w:rsidR="00337274" w:rsidRDefault="00957AF5" w:rsidP="00337274">
      <w:pPr>
        <w:pStyle w:val="NormalWeb"/>
        <w:spacing w:line="360" w:lineRule="auto"/>
        <w:ind w:left="-720" w:right="-421"/>
        <w:jc w:val="both"/>
      </w:pPr>
      <w:r w:rsidRPr="00B71E4E">
        <w:t xml:space="preserve">Pot </w:t>
      </w:r>
      <w:proofErr w:type="gramStart"/>
      <w:r w:rsidRPr="00B71E4E">
        <w:t>experiment were</w:t>
      </w:r>
      <w:proofErr w:type="gramEnd"/>
      <w:r w:rsidRPr="00B71E4E">
        <w:t xml:space="preserve"> conducted during </w:t>
      </w:r>
      <w:r w:rsidR="00E21263">
        <w:t>September</w:t>
      </w:r>
      <w:r w:rsidRPr="00B71E4E">
        <w:t xml:space="preserve"> 20</w:t>
      </w:r>
      <w:r w:rsidR="00E21263">
        <w:t>24</w:t>
      </w:r>
      <w:r w:rsidRPr="00B71E4E">
        <w:t xml:space="preserve"> to </w:t>
      </w:r>
      <w:r w:rsidR="00C40E0D">
        <w:t>February</w:t>
      </w:r>
      <w:r w:rsidRPr="00B71E4E">
        <w:t xml:space="preserve"> </w:t>
      </w:r>
      <w:r w:rsidRPr="00B71E4E">
        <w:rPr>
          <w:spacing w:val="-4"/>
        </w:rPr>
        <w:t>20</w:t>
      </w:r>
      <w:r w:rsidR="00C40E0D">
        <w:rPr>
          <w:spacing w:val="-4"/>
        </w:rPr>
        <w:t>25</w:t>
      </w:r>
      <w:r w:rsidRPr="00B71E4E">
        <w:rPr>
          <w:spacing w:val="-4"/>
        </w:rPr>
        <w:t xml:space="preserve"> in the </w:t>
      </w:r>
      <w:proofErr w:type="spellStart"/>
      <w:r w:rsidR="00E7156E">
        <w:rPr>
          <w:spacing w:val="-4"/>
        </w:rPr>
        <w:t>M.</w:t>
      </w:r>
      <w:r w:rsidR="000A6AEF">
        <w:rPr>
          <w:spacing w:val="-4"/>
        </w:rPr>
        <w:t>S.Swaminathan</w:t>
      </w:r>
      <w:proofErr w:type="spellEnd"/>
      <w:r w:rsidR="00E7156E">
        <w:rPr>
          <w:spacing w:val="-4"/>
        </w:rPr>
        <w:t xml:space="preserve"> </w:t>
      </w:r>
      <w:proofErr w:type="spellStart"/>
      <w:r w:rsidR="00E7156E">
        <w:rPr>
          <w:spacing w:val="-4"/>
        </w:rPr>
        <w:t>Vayal</w:t>
      </w:r>
      <w:proofErr w:type="spellEnd"/>
      <w:r w:rsidR="00E7156E">
        <w:rPr>
          <w:spacing w:val="-4"/>
        </w:rPr>
        <w:t xml:space="preserve"> </w:t>
      </w:r>
      <w:proofErr w:type="spellStart"/>
      <w:r w:rsidR="00E7156E">
        <w:rPr>
          <w:spacing w:val="-4"/>
        </w:rPr>
        <w:t>Kudam</w:t>
      </w:r>
      <w:proofErr w:type="spellEnd"/>
      <w:r w:rsidR="00E7156E">
        <w:rPr>
          <w:spacing w:val="-4"/>
        </w:rPr>
        <w:t xml:space="preserve">, </w:t>
      </w:r>
      <w:r w:rsidRPr="00B71E4E">
        <w:rPr>
          <w:spacing w:val="-4"/>
        </w:rPr>
        <w:t xml:space="preserve">Department of </w:t>
      </w:r>
      <w:r w:rsidR="007E0E9C">
        <w:rPr>
          <w:spacing w:val="-4"/>
        </w:rPr>
        <w:t>Agricultural Engineering,</w:t>
      </w:r>
      <w:r w:rsidRPr="00B71E4E">
        <w:rPr>
          <w:spacing w:val="-4"/>
        </w:rPr>
        <w:t xml:space="preserve"> </w:t>
      </w:r>
      <w:proofErr w:type="spellStart"/>
      <w:r w:rsidR="007E0E9C">
        <w:rPr>
          <w:spacing w:val="-4"/>
        </w:rPr>
        <w:t>Paavai</w:t>
      </w:r>
      <w:proofErr w:type="spellEnd"/>
      <w:r w:rsidR="007E0E9C">
        <w:rPr>
          <w:spacing w:val="-4"/>
        </w:rPr>
        <w:t xml:space="preserve"> Engineering College</w:t>
      </w:r>
      <w:r w:rsidR="0028439B">
        <w:rPr>
          <w:spacing w:val="-4"/>
        </w:rPr>
        <w:t xml:space="preserve">, </w:t>
      </w:r>
      <w:proofErr w:type="spellStart"/>
      <w:r w:rsidR="0028439B">
        <w:rPr>
          <w:spacing w:val="-4"/>
        </w:rPr>
        <w:t>Namakkal</w:t>
      </w:r>
      <w:proofErr w:type="spellEnd"/>
      <w:r w:rsidR="0028439B">
        <w:rPr>
          <w:spacing w:val="-4"/>
        </w:rPr>
        <w:t>.</w:t>
      </w:r>
      <w:r w:rsidRPr="00B71E4E">
        <w:t xml:space="preserve"> The annual mean minimum </w:t>
      </w:r>
      <w:r w:rsidRPr="00B71E4E">
        <w:rPr>
          <w:spacing w:val="-4"/>
        </w:rPr>
        <w:t>and maximum temperature of experimental area is 2</w:t>
      </w:r>
      <w:r w:rsidR="00025ABA">
        <w:rPr>
          <w:spacing w:val="-4"/>
        </w:rPr>
        <w:t>8</w:t>
      </w:r>
      <w:r w:rsidRPr="00B71E4E">
        <w:rPr>
          <w:spacing w:val="-4"/>
        </w:rPr>
        <w:t xml:space="preserve">° and </w:t>
      </w:r>
      <w:r w:rsidR="00025ABA">
        <w:rPr>
          <w:spacing w:val="-4"/>
        </w:rPr>
        <w:t>39</w:t>
      </w:r>
      <w:r w:rsidRPr="00B71E4E">
        <w:rPr>
          <w:spacing w:val="-4"/>
        </w:rPr>
        <w:t>°C respectively</w:t>
      </w:r>
      <w:r w:rsidRPr="00B71E4E">
        <w:t xml:space="preserve"> and the mean highest and lowest relative humidity was 96 and 78 percent respectively. The mean annual rainfall of this area is </w:t>
      </w:r>
      <w:r w:rsidR="0015202F">
        <w:t>75</w:t>
      </w:r>
      <w:r w:rsidRPr="00B71E4E">
        <w:t xml:space="preserve">0 mm. The </w:t>
      </w:r>
      <w:proofErr w:type="spellStart"/>
      <w:r w:rsidRPr="00B71E4E">
        <w:t>physico</w:t>
      </w:r>
      <w:proofErr w:type="spellEnd"/>
      <w:r w:rsidRPr="00B71E4E">
        <w:t xml:space="preserve">-chemical properties of the soil were </w:t>
      </w:r>
      <w:proofErr w:type="spellStart"/>
      <w:r w:rsidRPr="00B71E4E">
        <w:t>analysed</w:t>
      </w:r>
      <w:proofErr w:type="spellEnd"/>
      <w:r w:rsidRPr="00B71E4E">
        <w:t>.</w:t>
      </w:r>
    </w:p>
    <w:p w14:paraId="695E0895" w14:textId="77777777" w:rsidR="00AB05F5" w:rsidRDefault="00337274" w:rsidP="00AB05F5">
      <w:pPr>
        <w:pStyle w:val="NormalWeb"/>
        <w:spacing w:line="360" w:lineRule="auto"/>
        <w:ind w:left="-720" w:right="-421"/>
        <w:jc w:val="both"/>
        <w:rPr>
          <w:b/>
          <w:sz w:val="26"/>
          <w:szCs w:val="26"/>
        </w:rPr>
      </w:pPr>
      <w:r>
        <w:rPr>
          <w:b/>
          <w:sz w:val="26"/>
          <w:szCs w:val="26"/>
        </w:rPr>
        <w:t>2</w:t>
      </w:r>
      <w:r w:rsidR="00957AF5" w:rsidRPr="00167E83">
        <w:rPr>
          <w:b/>
          <w:sz w:val="26"/>
          <w:szCs w:val="26"/>
        </w:rPr>
        <w:t>.</w:t>
      </w:r>
      <w:r>
        <w:rPr>
          <w:b/>
          <w:sz w:val="26"/>
          <w:szCs w:val="26"/>
        </w:rPr>
        <w:t>6</w:t>
      </w:r>
      <w:r w:rsidR="007F794B">
        <w:rPr>
          <w:b/>
          <w:sz w:val="26"/>
          <w:szCs w:val="26"/>
        </w:rPr>
        <w:t>.</w:t>
      </w:r>
      <w:r w:rsidR="00957AF5" w:rsidRPr="00167E83">
        <w:rPr>
          <w:b/>
          <w:sz w:val="26"/>
          <w:szCs w:val="26"/>
        </w:rPr>
        <w:t>1 Preparation of pots and seed inoculation</w:t>
      </w:r>
    </w:p>
    <w:p w14:paraId="29A3B637" w14:textId="64900347" w:rsidR="00AB05F5" w:rsidRPr="00AB05F5" w:rsidRDefault="00957AF5" w:rsidP="00AB05F5">
      <w:pPr>
        <w:pStyle w:val="NormalWeb"/>
        <w:spacing w:line="360" w:lineRule="auto"/>
        <w:ind w:left="-720" w:right="-421"/>
        <w:jc w:val="both"/>
      </w:pPr>
      <w:r w:rsidRPr="00AB05F5">
        <w:t xml:space="preserve">The pots are filled with land soil and sand in the ratio of 1:1. The seeds of </w:t>
      </w:r>
      <w:proofErr w:type="spellStart"/>
      <w:r w:rsidRPr="00AB05F5">
        <w:t>chilli</w:t>
      </w:r>
      <w:proofErr w:type="spellEnd"/>
      <w:r w:rsidRPr="00AB05F5">
        <w:t xml:space="preserve"> Var. </w:t>
      </w:r>
      <w:r w:rsidR="00A7024C">
        <w:t>K2</w:t>
      </w:r>
      <w:r w:rsidRPr="00AB05F5">
        <w:t xml:space="preserve"> was surface sterilized with 80 per cent ethanol and 0.1 per cent mercuric chloride and washed the seeds with sterile distilled water for 3 to 4 times.</w:t>
      </w:r>
    </w:p>
    <w:p w14:paraId="13E9FDAB" w14:textId="792E1C98" w:rsidR="00A63068" w:rsidRDefault="00957AF5" w:rsidP="00A63068">
      <w:pPr>
        <w:pStyle w:val="NormalWeb"/>
        <w:spacing w:line="360" w:lineRule="auto"/>
        <w:ind w:left="-720" w:right="-421"/>
        <w:jc w:val="both"/>
      </w:pPr>
      <w:r w:rsidRPr="00AB05F5">
        <w:t>The seeds were mixed with carrier based rhizobacterial inoculants as single as well as co-inoculum of organisms separately having a cell load of 1x1 0</w:t>
      </w:r>
      <w:r w:rsidRPr="00AB05F5">
        <w:rPr>
          <w:vertAlign w:val="superscript"/>
        </w:rPr>
        <w:t>9</w:t>
      </w:r>
      <w:r w:rsidRPr="00AB05F5">
        <w:t>cfu ml⁻</w:t>
      </w:r>
      <w:r w:rsidRPr="00AB05F5">
        <w:rPr>
          <w:vertAlign w:val="superscript"/>
        </w:rPr>
        <w:t>1</w:t>
      </w:r>
      <w:r w:rsidRPr="00AB05F5">
        <w:t xml:space="preserve"> and shade dried for 30 min. After shade drying, the seeds were sown at 25 seeds per pot and finally five </w:t>
      </w:r>
      <w:proofErr w:type="gramStart"/>
      <w:r w:rsidRPr="00AB05F5">
        <w:t>seedling</w:t>
      </w:r>
      <w:proofErr w:type="gramEnd"/>
      <w:r w:rsidRPr="00AB05F5">
        <w:t xml:space="preserve"> were maintained. In all the treatments except treatment T</w:t>
      </w:r>
      <w:r w:rsidRPr="00AB05F5">
        <w:rPr>
          <w:vertAlign w:val="subscript"/>
        </w:rPr>
        <w:t xml:space="preserve">1 </w:t>
      </w:r>
      <w:r w:rsidRPr="00AB05F5">
        <w:t>(Control)100% K was applied</w:t>
      </w:r>
      <w:r w:rsidR="00A651C8">
        <w:t xml:space="preserve">. </w:t>
      </w:r>
      <w:r w:rsidRPr="00AB05F5">
        <w:t>A control pot without inoculation was also maintained. The experiment was conducted in completely randomized block (CRD) design with three replications. The treatments are as follows:</w:t>
      </w:r>
    </w:p>
    <w:p w14:paraId="35D848A5" w14:textId="77777777" w:rsidR="000605BA" w:rsidRDefault="000605BA" w:rsidP="00A63068">
      <w:pPr>
        <w:pStyle w:val="NormalWeb"/>
        <w:spacing w:line="360" w:lineRule="auto"/>
        <w:ind w:left="-720" w:right="-421"/>
        <w:jc w:val="both"/>
      </w:pPr>
    </w:p>
    <w:p w14:paraId="0C0D6F79" w14:textId="70EE867D" w:rsidR="000605BA" w:rsidRDefault="000605BA" w:rsidP="00A63068">
      <w:pPr>
        <w:pStyle w:val="NormalWeb"/>
        <w:spacing w:line="360" w:lineRule="auto"/>
        <w:ind w:left="-720" w:right="-421"/>
        <w:jc w:val="both"/>
      </w:pPr>
      <w:r>
        <w:t xml:space="preserve">Chart 1. </w:t>
      </w:r>
      <w:r w:rsidRPr="000605BA">
        <w:t>Treatments</w:t>
      </w:r>
      <w:r>
        <w:t xml:space="preser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110"/>
      </w:tblGrid>
      <w:tr w:rsidR="00A63068" w:rsidRPr="00167E83" w14:paraId="51B81527" w14:textId="77777777" w:rsidTr="009B3FEA">
        <w:trPr>
          <w:jc w:val="center"/>
        </w:trPr>
        <w:tc>
          <w:tcPr>
            <w:tcW w:w="558" w:type="dxa"/>
            <w:vAlign w:val="center"/>
          </w:tcPr>
          <w:p w14:paraId="4F6FDF75"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1</w:t>
            </w:r>
          </w:p>
        </w:tc>
        <w:tc>
          <w:tcPr>
            <w:tcW w:w="7110" w:type="dxa"/>
            <w:vAlign w:val="center"/>
          </w:tcPr>
          <w:p w14:paraId="11DC766E"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Control</w:t>
            </w:r>
          </w:p>
        </w:tc>
      </w:tr>
      <w:tr w:rsidR="00A63068" w:rsidRPr="00167E83" w14:paraId="604943AC" w14:textId="77777777" w:rsidTr="009B3FEA">
        <w:trPr>
          <w:jc w:val="center"/>
        </w:trPr>
        <w:tc>
          <w:tcPr>
            <w:tcW w:w="558" w:type="dxa"/>
            <w:vAlign w:val="center"/>
          </w:tcPr>
          <w:p w14:paraId="1E10660B"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2</w:t>
            </w:r>
          </w:p>
        </w:tc>
        <w:tc>
          <w:tcPr>
            <w:tcW w:w="7110" w:type="dxa"/>
            <w:vAlign w:val="center"/>
          </w:tcPr>
          <w:p w14:paraId="7627648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100% NPK</w:t>
            </w:r>
          </w:p>
        </w:tc>
      </w:tr>
      <w:tr w:rsidR="00A63068" w:rsidRPr="009B3FEA" w14:paraId="60871222" w14:textId="77777777" w:rsidTr="009B3FEA">
        <w:trPr>
          <w:jc w:val="center"/>
        </w:trPr>
        <w:tc>
          <w:tcPr>
            <w:tcW w:w="558" w:type="dxa"/>
            <w:vAlign w:val="center"/>
          </w:tcPr>
          <w:p w14:paraId="75B5FE37"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3</w:t>
            </w:r>
          </w:p>
        </w:tc>
        <w:tc>
          <w:tcPr>
            <w:tcW w:w="7110" w:type="dxa"/>
            <w:vAlign w:val="center"/>
          </w:tcPr>
          <w:p w14:paraId="61E670ED"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75% N + 100% P&amp;K </w:t>
            </w:r>
            <w:r w:rsidRPr="009B3FEA">
              <w:rPr>
                <w:i/>
                <w:sz w:val="26"/>
                <w:szCs w:val="26"/>
                <w:lang w:val="pt-BR"/>
              </w:rPr>
              <w:t xml:space="preserve">+ A.brasilense </w:t>
            </w:r>
          </w:p>
        </w:tc>
      </w:tr>
      <w:tr w:rsidR="00A63068" w:rsidRPr="009B3FEA" w14:paraId="31358CA5" w14:textId="77777777" w:rsidTr="009B3FEA">
        <w:trPr>
          <w:jc w:val="center"/>
        </w:trPr>
        <w:tc>
          <w:tcPr>
            <w:tcW w:w="558" w:type="dxa"/>
            <w:vAlign w:val="center"/>
          </w:tcPr>
          <w:p w14:paraId="38CF7A9E"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4</w:t>
            </w:r>
          </w:p>
        </w:tc>
        <w:tc>
          <w:tcPr>
            <w:tcW w:w="7110" w:type="dxa"/>
            <w:vAlign w:val="center"/>
          </w:tcPr>
          <w:p w14:paraId="0A9FD831"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100% N&amp;K +75% P + </w:t>
            </w:r>
            <w:r w:rsidRPr="009B3FEA">
              <w:rPr>
                <w:i/>
                <w:sz w:val="26"/>
                <w:szCs w:val="26"/>
                <w:lang w:val="pt-BR"/>
              </w:rPr>
              <w:t xml:space="preserve">P.fluorescens  </w:t>
            </w:r>
          </w:p>
        </w:tc>
      </w:tr>
      <w:tr w:rsidR="00A63068" w:rsidRPr="009B3FEA" w14:paraId="3E906D7C" w14:textId="77777777" w:rsidTr="009B3FEA">
        <w:trPr>
          <w:jc w:val="center"/>
        </w:trPr>
        <w:tc>
          <w:tcPr>
            <w:tcW w:w="558" w:type="dxa"/>
            <w:vAlign w:val="center"/>
          </w:tcPr>
          <w:p w14:paraId="6E615C4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lastRenderedPageBreak/>
              <w:t>T</w:t>
            </w:r>
            <w:r w:rsidRPr="00167E83">
              <w:rPr>
                <w:sz w:val="26"/>
                <w:szCs w:val="26"/>
                <w:vertAlign w:val="subscript"/>
              </w:rPr>
              <w:t>5</w:t>
            </w:r>
          </w:p>
        </w:tc>
        <w:tc>
          <w:tcPr>
            <w:tcW w:w="7110" w:type="dxa"/>
            <w:vAlign w:val="center"/>
          </w:tcPr>
          <w:p w14:paraId="281EBEF4"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75% N&amp;P + 100% K + </w:t>
            </w:r>
            <w:r w:rsidRPr="009B3FEA">
              <w:rPr>
                <w:i/>
                <w:sz w:val="26"/>
                <w:szCs w:val="26"/>
                <w:lang w:val="pt-BR"/>
              </w:rPr>
              <w:t xml:space="preserve">A.brasilense + P.fluorescens </w:t>
            </w:r>
          </w:p>
        </w:tc>
      </w:tr>
      <w:tr w:rsidR="00A63068" w:rsidRPr="009B3FEA" w14:paraId="5C53FDE4" w14:textId="77777777" w:rsidTr="009B3FEA">
        <w:trPr>
          <w:jc w:val="center"/>
        </w:trPr>
        <w:tc>
          <w:tcPr>
            <w:tcW w:w="558" w:type="dxa"/>
            <w:vAlign w:val="center"/>
          </w:tcPr>
          <w:p w14:paraId="45C4F587"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6</w:t>
            </w:r>
          </w:p>
        </w:tc>
        <w:tc>
          <w:tcPr>
            <w:tcW w:w="7110" w:type="dxa"/>
            <w:vAlign w:val="center"/>
          </w:tcPr>
          <w:p w14:paraId="300C20D3"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50%N + 100% P&amp;K + </w:t>
            </w:r>
            <w:r w:rsidRPr="009B3FEA">
              <w:rPr>
                <w:i/>
                <w:sz w:val="26"/>
                <w:szCs w:val="26"/>
                <w:lang w:val="pt-BR"/>
              </w:rPr>
              <w:t xml:space="preserve">A.brasilense </w:t>
            </w:r>
          </w:p>
        </w:tc>
      </w:tr>
      <w:tr w:rsidR="00A63068" w:rsidRPr="009B3FEA" w14:paraId="5BFAEE14" w14:textId="77777777" w:rsidTr="009B3FEA">
        <w:trPr>
          <w:jc w:val="center"/>
        </w:trPr>
        <w:tc>
          <w:tcPr>
            <w:tcW w:w="558" w:type="dxa"/>
            <w:vAlign w:val="center"/>
          </w:tcPr>
          <w:p w14:paraId="1D3FF95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7</w:t>
            </w:r>
          </w:p>
        </w:tc>
        <w:tc>
          <w:tcPr>
            <w:tcW w:w="7110" w:type="dxa"/>
            <w:vAlign w:val="center"/>
          </w:tcPr>
          <w:p w14:paraId="3A4DF69E"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15374A">
              <w:rPr>
                <w:rStyle w:val="Bodytext9NotItalic"/>
                <w:i w:val="0"/>
                <w:iCs w:val="0"/>
                <w:color w:val="FF0000"/>
                <w:sz w:val="26"/>
                <w:szCs w:val="26"/>
                <w:lang w:val="pt-BR"/>
              </w:rPr>
              <w:t>100%</w:t>
            </w:r>
            <w:r w:rsidRPr="009B3FEA">
              <w:rPr>
                <w:sz w:val="26"/>
                <w:szCs w:val="26"/>
                <w:lang w:val="pt-BR"/>
              </w:rPr>
              <w:t xml:space="preserve"> N&amp;K +</w:t>
            </w:r>
            <w:r w:rsidRPr="009B3FEA">
              <w:rPr>
                <w:i/>
                <w:sz w:val="26"/>
                <w:szCs w:val="26"/>
                <w:lang w:val="pt-BR"/>
              </w:rPr>
              <w:t xml:space="preserve"> </w:t>
            </w:r>
            <w:r w:rsidRPr="009B3FEA">
              <w:rPr>
                <w:sz w:val="26"/>
                <w:szCs w:val="26"/>
                <w:lang w:val="pt-BR"/>
              </w:rPr>
              <w:t xml:space="preserve">50% P + </w:t>
            </w:r>
            <w:r w:rsidRPr="009B3FEA">
              <w:rPr>
                <w:i/>
                <w:sz w:val="26"/>
                <w:szCs w:val="26"/>
                <w:lang w:val="pt-BR"/>
              </w:rPr>
              <w:t xml:space="preserve">P.fluorescens  </w:t>
            </w:r>
          </w:p>
        </w:tc>
      </w:tr>
      <w:tr w:rsidR="00A63068" w:rsidRPr="009B3FEA" w14:paraId="779F55B7" w14:textId="77777777" w:rsidTr="009B3FEA">
        <w:trPr>
          <w:jc w:val="center"/>
        </w:trPr>
        <w:tc>
          <w:tcPr>
            <w:tcW w:w="558" w:type="dxa"/>
            <w:vAlign w:val="center"/>
          </w:tcPr>
          <w:p w14:paraId="448C5792"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8</w:t>
            </w:r>
          </w:p>
        </w:tc>
        <w:tc>
          <w:tcPr>
            <w:tcW w:w="7110" w:type="dxa"/>
            <w:vAlign w:val="center"/>
          </w:tcPr>
          <w:p w14:paraId="570861DE"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15374A">
              <w:rPr>
                <w:rStyle w:val="Bodytext9NotItalic"/>
                <w:i w:val="0"/>
                <w:iCs w:val="0"/>
                <w:color w:val="FF0000"/>
                <w:sz w:val="26"/>
                <w:szCs w:val="26"/>
                <w:lang w:val="pt-BR"/>
              </w:rPr>
              <w:t>50%</w:t>
            </w:r>
            <w:r w:rsidRPr="009B3FEA">
              <w:rPr>
                <w:sz w:val="26"/>
                <w:szCs w:val="26"/>
                <w:lang w:val="pt-BR"/>
              </w:rPr>
              <w:t xml:space="preserve"> N&amp;P +100%K+</w:t>
            </w:r>
            <w:r w:rsidRPr="009B3FEA">
              <w:rPr>
                <w:i/>
                <w:sz w:val="26"/>
                <w:szCs w:val="26"/>
                <w:lang w:val="pt-BR"/>
              </w:rPr>
              <w:t xml:space="preserve"> A.brasilense + P.fluorescens </w:t>
            </w:r>
          </w:p>
        </w:tc>
      </w:tr>
    </w:tbl>
    <w:p w14:paraId="2CCBD473" w14:textId="4EE87E3C" w:rsidR="00A63068" w:rsidRPr="008A0FC5" w:rsidRDefault="00B35E0F" w:rsidP="00577442">
      <w:pPr>
        <w:pStyle w:val="NormalWeb"/>
        <w:spacing w:line="360" w:lineRule="auto"/>
        <w:ind w:left="-720" w:right="-421"/>
        <w:jc w:val="both"/>
        <w:rPr>
          <w:rStyle w:val="Strong"/>
        </w:rPr>
      </w:pPr>
      <w:r w:rsidRPr="008A0FC5">
        <w:rPr>
          <w:rStyle w:val="Strong"/>
        </w:rPr>
        <w:t>2.</w:t>
      </w:r>
      <w:r w:rsidR="008A0FC5">
        <w:rPr>
          <w:rStyle w:val="Strong"/>
        </w:rPr>
        <w:t xml:space="preserve">7 </w:t>
      </w:r>
      <w:r w:rsidRPr="008A0FC5">
        <w:rPr>
          <w:rStyle w:val="Strong"/>
        </w:rPr>
        <w:t>Observations and statistical analysis</w:t>
      </w:r>
    </w:p>
    <w:p w14:paraId="13733164" w14:textId="0AEC1864" w:rsidR="00A63068" w:rsidRPr="00B70320" w:rsidRDefault="00C55959" w:rsidP="00B70320">
      <w:pPr>
        <w:pStyle w:val="NormalWeb"/>
        <w:spacing w:line="360" w:lineRule="auto"/>
        <w:ind w:left="-720" w:right="-421"/>
        <w:jc w:val="both"/>
        <w:rPr>
          <w:b/>
        </w:rPr>
      </w:pPr>
      <w:r w:rsidRPr="00F91937">
        <w:rPr>
          <w:b/>
        </w:rPr>
        <w:t>Biometric observation</w:t>
      </w:r>
      <w:r w:rsidR="00B70320">
        <w:rPr>
          <w:b/>
        </w:rPr>
        <w:t xml:space="preserve">: </w:t>
      </w:r>
      <w:r w:rsidRPr="001463A1">
        <w:t xml:space="preserve">Five plants were chosen for each treatment for recording the biometric observation. Plant samples were taken at periodic intervals </w:t>
      </w:r>
      <w:r w:rsidRPr="001463A1">
        <w:rPr>
          <w:i/>
        </w:rPr>
        <w:t>viz.</w:t>
      </w:r>
      <w:r w:rsidRPr="001463A1">
        <w:t>, 25</w:t>
      </w:r>
      <w:r w:rsidRPr="001463A1">
        <w:rPr>
          <w:vertAlign w:val="superscript"/>
        </w:rPr>
        <w:t>th</w:t>
      </w:r>
      <w:r w:rsidRPr="001463A1">
        <w:t>, 50</w:t>
      </w:r>
      <w:r w:rsidRPr="001463A1">
        <w:rPr>
          <w:vertAlign w:val="superscript"/>
        </w:rPr>
        <w:t>th</w:t>
      </w:r>
      <w:r w:rsidRPr="001463A1">
        <w:t>, 75</w:t>
      </w:r>
      <w:r w:rsidRPr="001463A1">
        <w:rPr>
          <w:vertAlign w:val="superscript"/>
        </w:rPr>
        <w:t>th</w:t>
      </w:r>
      <w:r w:rsidRPr="001463A1">
        <w:t>and 100</w:t>
      </w:r>
      <w:r w:rsidRPr="001463A1">
        <w:rPr>
          <w:vertAlign w:val="superscript"/>
        </w:rPr>
        <w:t>th</w:t>
      </w:r>
      <w:r w:rsidRPr="001463A1">
        <w:t xml:space="preserve"> day after sowing.</w:t>
      </w:r>
    </w:p>
    <w:p w14:paraId="2D79C7C6" w14:textId="49A8C726" w:rsidR="00FE33D6" w:rsidRPr="00DE38AC" w:rsidRDefault="00C55959" w:rsidP="00B70320">
      <w:pPr>
        <w:pStyle w:val="NormalWeb"/>
        <w:spacing w:line="360" w:lineRule="auto"/>
        <w:ind w:left="-720" w:right="-421"/>
        <w:jc w:val="both"/>
        <w:rPr>
          <w:b/>
        </w:rPr>
      </w:pPr>
      <w:r w:rsidRPr="00DE38AC">
        <w:rPr>
          <w:b/>
        </w:rPr>
        <w:t>Plant height</w:t>
      </w:r>
      <w:r w:rsidR="00B70320">
        <w:rPr>
          <w:b/>
        </w:rPr>
        <w:t xml:space="preserve">: </w:t>
      </w:r>
      <w:r w:rsidRPr="00DE38AC">
        <w:t>Plant height was recorded from the ground level to the tip of terminal bud on 25, 50, 75 and 100 DAS expressed in cm</w:t>
      </w:r>
      <w:r w:rsidRPr="00DE38AC">
        <w:rPr>
          <w:b/>
        </w:rPr>
        <w:t>.</w:t>
      </w:r>
    </w:p>
    <w:p w14:paraId="34606E5E" w14:textId="46D4BE7D" w:rsidR="00FE33D6" w:rsidRPr="00B70320" w:rsidRDefault="00C55959" w:rsidP="00B70320">
      <w:pPr>
        <w:pStyle w:val="NormalWeb"/>
        <w:spacing w:line="360" w:lineRule="auto"/>
        <w:ind w:left="-720" w:right="-421"/>
        <w:jc w:val="both"/>
        <w:rPr>
          <w:b/>
        </w:rPr>
      </w:pPr>
      <w:r w:rsidRPr="00DE38AC">
        <w:rPr>
          <w:b/>
        </w:rPr>
        <w:t>Germination percentage</w:t>
      </w:r>
      <w:r w:rsidR="00B70320">
        <w:rPr>
          <w:b/>
        </w:rPr>
        <w:t xml:space="preserve">: </w:t>
      </w:r>
      <w:r w:rsidRPr="00DE38AC">
        <w:t xml:space="preserve">Germination percentage was computed by recording total number of </w:t>
      </w:r>
      <w:proofErr w:type="spellStart"/>
      <w:r w:rsidRPr="00DE38AC">
        <w:t>chilli</w:t>
      </w:r>
      <w:proofErr w:type="spellEnd"/>
      <w:r w:rsidRPr="00DE38AC">
        <w:t xml:space="preserve"> plants germinated against number of seeds sown in each plot on seventh day after sowing.</w:t>
      </w:r>
    </w:p>
    <w:p w14:paraId="2FBE0BFE" w14:textId="763095DA" w:rsidR="00D26971" w:rsidRPr="00B70320" w:rsidRDefault="00C55959" w:rsidP="00B70320">
      <w:pPr>
        <w:pStyle w:val="NormalWeb"/>
        <w:spacing w:line="360" w:lineRule="auto"/>
        <w:ind w:left="-720" w:right="-421"/>
        <w:jc w:val="both"/>
        <w:rPr>
          <w:b/>
        </w:rPr>
      </w:pPr>
      <w:proofErr w:type="spellStart"/>
      <w:r w:rsidRPr="00DE38AC">
        <w:rPr>
          <w:b/>
        </w:rPr>
        <w:t>Vigour</w:t>
      </w:r>
      <w:proofErr w:type="spellEnd"/>
      <w:r w:rsidRPr="00DE38AC">
        <w:rPr>
          <w:b/>
        </w:rPr>
        <w:t xml:space="preserve"> Index</w:t>
      </w:r>
      <w:r w:rsidR="00B70320">
        <w:rPr>
          <w:b/>
        </w:rPr>
        <w:t xml:space="preserve">: </w:t>
      </w:r>
      <w:proofErr w:type="spellStart"/>
      <w:r w:rsidRPr="00DE38AC">
        <w:t>Vigour</w:t>
      </w:r>
      <w:proofErr w:type="spellEnd"/>
      <w:r w:rsidRPr="00DE38AC">
        <w:t xml:space="preserve"> index was computed on 15 DAS using the following procedure suggested by Abdul </w:t>
      </w:r>
      <w:proofErr w:type="spellStart"/>
      <w:r w:rsidRPr="00DE38AC">
        <w:t>Balli</w:t>
      </w:r>
      <w:proofErr w:type="spellEnd"/>
      <w:r w:rsidRPr="00DE38AC">
        <w:t xml:space="preserve"> and Anderson (1973).</w:t>
      </w:r>
    </w:p>
    <w:p w14:paraId="3859F365" w14:textId="43DFA8CE" w:rsidR="00D26971" w:rsidRPr="00DE38AC" w:rsidRDefault="00D26971" w:rsidP="00D26971">
      <w:pPr>
        <w:pStyle w:val="NormalWeb"/>
        <w:spacing w:line="360" w:lineRule="auto"/>
        <w:ind w:left="-720" w:right="-421"/>
        <w:jc w:val="both"/>
      </w:pPr>
      <w:r w:rsidRPr="00DE38AC">
        <w:t xml:space="preserve">                               </w:t>
      </w:r>
      <w:proofErr w:type="spellStart"/>
      <w:r w:rsidR="00C55959" w:rsidRPr="00DE38AC">
        <w:t>Vigour</w:t>
      </w:r>
      <w:proofErr w:type="spellEnd"/>
      <w:r w:rsidR="00C55959" w:rsidRPr="00DE38AC">
        <w:t xml:space="preserve"> Index = Germination percentage × Shoot length</w:t>
      </w:r>
    </w:p>
    <w:p w14:paraId="617A85D0" w14:textId="67C645CF" w:rsidR="00D26971" w:rsidRPr="00427799" w:rsidRDefault="00C55959" w:rsidP="00427799">
      <w:pPr>
        <w:pStyle w:val="NormalWeb"/>
        <w:spacing w:line="360" w:lineRule="auto"/>
        <w:ind w:left="-720" w:right="-421"/>
        <w:jc w:val="both"/>
        <w:rPr>
          <w:b/>
        </w:rPr>
      </w:pPr>
      <w:r w:rsidRPr="00DE38AC">
        <w:rPr>
          <w:b/>
        </w:rPr>
        <w:t>Dry matter production (DMP)</w:t>
      </w:r>
      <w:r w:rsidR="00427799">
        <w:rPr>
          <w:b/>
        </w:rPr>
        <w:t xml:space="preserve">: </w:t>
      </w:r>
      <w:r w:rsidRPr="00DE38AC">
        <w:t xml:space="preserve">Five plants were removed at random from each treatment plot without </w:t>
      </w:r>
      <w:r w:rsidRPr="00DE38AC">
        <w:rPr>
          <w:spacing w:val="-2"/>
        </w:rPr>
        <w:t>damaging the roots and washed. The samples were sun dried initially for 24 h</w:t>
      </w:r>
      <w:r w:rsidRPr="00DE38AC">
        <w:t xml:space="preserve"> and subsequently oven dried at 80° C to attain a constant weight. Then, the DMP was recorded on 25, 50, 75 and 100 DAS expressed in g plant</w:t>
      </w:r>
      <w:r w:rsidRPr="00DE38AC">
        <w:rPr>
          <w:vertAlign w:val="superscript"/>
        </w:rPr>
        <w:t>-1</w:t>
      </w:r>
      <w:r w:rsidRPr="00DE38AC">
        <w:t>.</w:t>
      </w:r>
    </w:p>
    <w:p w14:paraId="367B044E" w14:textId="4357904E" w:rsidR="00D26971" w:rsidRPr="003F0F24" w:rsidRDefault="00C55959" w:rsidP="003F0F24">
      <w:pPr>
        <w:pStyle w:val="NormalWeb"/>
        <w:spacing w:line="360" w:lineRule="auto"/>
        <w:ind w:left="-720" w:right="-421"/>
        <w:jc w:val="both"/>
        <w:rPr>
          <w:b/>
        </w:rPr>
      </w:pPr>
      <w:r w:rsidRPr="00DE38AC">
        <w:rPr>
          <w:b/>
        </w:rPr>
        <w:t>Number of fruits</w:t>
      </w:r>
      <w:r w:rsidR="003F0F24">
        <w:rPr>
          <w:b/>
        </w:rPr>
        <w:t xml:space="preserve">: </w:t>
      </w:r>
      <w:r w:rsidRPr="00DE38AC">
        <w:t>The number of fruits were recorded at harvested period.</w:t>
      </w:r>
    </w:p>
    <w:p w14:paraId="7C349C5D" w14:textId="6168366F" w:rsidR="00D26971" w:rsidRPr="003F0F24" w:rsidRDefault="00C55959" w:rsidP="003F0F24">
      <w:pPr>
        <w:pStyle w:val="NormalWeb"/>
        <w:spacing w:line="360" w:lineRule="auto"/>
        <w:ind w:left="-720" w:right="-421"/>
        <w:jc w:val="both"/>
        <w:rPr>
          <w:b/>
        </w:rPr>
      </w:pPr>
      <w:r w:rsidRPr="00DE38AC">
        <w:rPr>
          <w:b/>
        </w:rPr>
        <w:t>Fruit weight</w:t>
      </w:r>
      <w:r w:rsidR="003F0F24">
        <w:rPr>
          <w:b/>
        </w:rPr>
        <w:t xml:space="preserve">: </w:t>
      </w:r>
      <w:r w:rsidRPr="00DE38AC">
        <w:t>The average fruit weight of five plants selected as randomly recorded and expressed as g/fruit.</w:t>
      </w:r>
    </w:p>
    <w:p w14:paraId="6E2E9821" w14:textId="796C0B86" w:rsidR="009A7030" w:rsidRPr="003F0F24" w:rsidRDefault="00C55959" w:rsidP="003F0F24">
      <w:pPr>
        <w:pStyle w:val="NormalWeb"/>
        <w:spacing w:line="360" w:lineRule="auto"/>
        <w:ind w:left="-720" w:right="-421"/>
        <w:jc w:val="both"/>
        <w:rPr>
          <w:b/>
        </w:rPr>
      </w:pPr>
      <w:r w:rsidRPr="00DE38AC">
        <w:rPr>
          <w:b/>
        </w:rPr>
        <w:t>Fruit yield</w:t>
      </w:r>
      <w:r w:rsidR="003F0F24">
        <w:rPr>
          <w:b/>
        </w:rPr>
        <w:t xml:space="preserve">: </w:t>
      </w:r>
      <w:r w:rsidRPr="00DE38AC">
        <w:t>The fruit yield of five plants were taken from each treatment and expressed as g/plant in pot experiment and also converted to tones/ha using spacing of 45 x 30 cm.</w:t>
      </w:r>
    </w:p>
    <w:p w14:paraId="53D39E0A" w14:textId="77777777" w:rsidR="009A7030" w:rsidRPr="00DE38AC" w:rsidRDefault="00BD38C9" w:rsidP="009A7030">
      <w:pPr>
        <w:pStyle w:val="NormalWeb"/>
        <w:spacing w:line="360" w:lineRule="auto"/>
        <w:ind w:left="-720" w:right="-421"/>
        <w:jc w:val="both"/>
      </w:pPr>
      <w:r w:rsidRPr="00DE38AC">
        <w:rPr>
          <w:rStyle w:val="Strong"/>
          <w:rFonts w:eastAsiaTheme="minorEastAsia"/>
        </w:rPr>
        <w:lastRenderedPageBreak/>
        <w:t>Statistical analysis</w:t>
      </w:r>
    </w:p>
    <w:p w14:paraId="32BAE386" w14:textId="46B75436" w:rsidR="000862BA" w:rsidRPr="000862BA" w:rsidRDefault="00BD38C9" w:rsidP="000862BA">
      <w:pPr>
        <w:pStyle w:val="NormalWeb"/>
        <w:spacing w:line="360" w:lineRule="auto"/>
        <w:ind w:left="-720" w:right="-421"/>
        <w:jc w:val="both"/>
      </w:pPr>
      <w:r w:rsidRPr="00DE38AC">
        <w:t>Experimental data were subjected to statistical analysis using analysis of variance (ANOVA). Treatment means were compared using the critical difference (CD) test at 5% probability level. All statistical analyses were performed following standard agricultural statistical procedures.</w:t>
      </w:r>
    </w:p>
    <w:p w14:paraId="2F8EA5ED" w14:textId="65BD8597" w:rsidR="005D43AD" w:rsidRPr="005D43AD" w:rsidRDefault="005720DE" w:rsidP="005D43AD">
      <w:pPr>
        <w:pStyle w:val="NormalWeb"/>
        <w:spacing w:line="360" w:lineRule="auto"/>
        <w:ind w:left="-720" w:right="-421"/>
        <w:jc w:val="both"/>
        <w:rPr>
          <w:b/>
          <w:bCs/>
        </w:rPr>
      </w:pPr>
      <w:r>
        <w:rPr>
          <w:b/>
          <w:bCs/>
        </w:rPr>
        <w:t xml:space="preserve">3. </w:t>
      </w:r>
      <w:r w:rsidR="005D43AD" w:rsidRPr="005D43AD">
        <w:rPr>
          <w:b/>
          <w:bCs/>
        </w:rPr>
        <w:t>RESULTS AND DISCUSSION</w:t>
      </w:r>
    </w:p>
    <w:p w14:paraId="0E803923" w14:textId="4E2A9B08" w:rsidR="005D43AD" w:rsidRPr="005D43AD" w:rsidRDefault="005D43AD" w:rsidP="005D43AD">
      <w:pPr>
        <w:pStyle w:val="NormalWeb"/>
        <w:spacing w:line="360" w:lineRule="auto"/>
        <w:ind w:left="-720" w:right="-421"/>
        <w:jc w:val="both"/>
        <w:rPr>
          <w:b/>
          <w:bCs/>
        </w:rPr>
      </w:pPr>
      <w:r w:rsidRPr="005D43AD">
        <w:rPr>
          <w:b/>
          <w:bCs/>
        </w:rPr>
        <w:t xml:space="preserve">3.1 Germination Percentage and Seedling </w:t>
      </w:r>
      <w:proofErr w:type="spellStart"/>
      <w:r w:rsidRPr="005D43AD">
        <w:rPr>
          <w:b/>
          <w:bCs/>
        </w:rPr>
        <w:t>Vigour</w:t>
      </w:r>
      <w:proofErr w:type="spellEnd"/>
    </w:p>
    <w:p w14:paraId="681CA47E" w14:textId="2BED9C54" w:rsidR="005D43AD" w:rsidRPr="005D43AD" w:rsidRDefault="005D43AD" w:rsidP="005D43AD">
      <w:pPr>
        <w:pStyle w:val="NormalWeb"/>
        <w:spacing w:line="360" w:lineRule="auto"/>
        <w:ind w:left="-720" w:right="-421"/>
        <w:jc w:val="both"/>
      </w:pPr>
      <w:r w:rsidRPr="005D43AD">
        <w:t xml:space="preserve">PGPR inoculation significantly influenced seed germination and early seedling </w:t>
      </w:r>
      <w:proofErr w:type="spellStart"/>
      <w:r w:rsidRPr="005D43AD">
        <w:t>vigour</w:t>
      </w:r>
      <w:proofErr w:type="spellEnd"/>
      <w:r w:rsidRPr="005D43AD">
        <w:t xml:space="preserve"> of </w:t>
      </w:r>
      <w:proofErr w:type="spellStart"/>
      <w:r w:rsidRPr="005D43AD">
        <w:t>chilli</w:t>
      </w:r>
      <w:proofErr w:type="spellEnd"/>
      <w:r w:rsidRPr="005D43AD">
        <w:t xml:space="preserve">. Dual inoculation treatments, particularly T5 (75% N &amp; P + 100% K + </w:t>
      </w:r>
      <w:proofErr w:type="spellStart"/>
      <w:r w:rsidRPr="005D43AD">
        <w:rPr>
          <w:i/>
          <w:iCs/>
        </w:rPr>
        <w:t>Azospirillum</w:t>
      </w:r>
      <w:proofErr w:type="spellEnd"/>
      <w:r w:rsidRPr="005D43AD">
        <w:rPr>
          <w:i/>
          <w:iCs/>
        </w:rPr>
        <w:t xml:space="preserve"> </w:t>
      </w:r>
      <w:proofErr w:type="spellStart"/>
      <w:r w:rsidRPr="005D43AD">
        <w:rPr>
          <w:i/>
          <w:iCs/>
        </w:rPr>
        <w:t>brasilense</w:t>
      </w:r>
      <w:proofErr w:type="spellEnd"/>
      <w:r w:rsidRPr="005D43AD">
        <w:t xml:space="preserve"> + </w:t>
      </w:r>
      <w:r w:rsidRPr="005D43AD">
        <w:rPr>
          <w:i/>
          <w:iCs/>
        </w:rPr>
        <w:t>Pseudomonas fluorescens</w:t>
      </w:r>
      <w:r w:rsidRPr="005D43AD">
        <w:t>), recorded the highest germination percentage</w:t>
      </w:r>
      <w:r w:rsidR="00341620">
        <w:t xml:space="preserve"> (</w:t>
      </w:r>
      <w:r w:rsidR="00341620" w:rsidRPr="00C54EE0">
        <w:rPr>
          <w:sz w:val="26"/>
          <w:szCs w:val="26"/>
        </w:rPr>
        <w:t>95.21%</w:t>
      </w:r>
      <w:r w:rsidR="00341620">
        <w:rPr>
          <w:sz w:val="26"/>
          <w:szCs w:val="26"/>
        </w:rPr>
        <w:t>)</w:t>
      </w:r>
      <w:r w:rsidRPr="005D43AD">
        <w:t xml:space="preserve"> and </w:t>
      </w:r>
      <w:proofErr w:type="spellStart"/>
      <w:r w:rsidRPr="005D43AD">
        <w:t>vigour</w:t>
      </w:r>
      <w:proofErr w:type="spellEnd"/>
      <w:r w:rsidRPr="005D43AD">
        <w:t xml:space="preserve"> index</w:t>
      </w:r>
      <w:r w:rsidR="00673A72">
        <w:t xml:space="preserve"> (1298)</w:t>
      </w:r>
      <w:r w:rsidRPr="005D43AD">
        <w:t xml:space="preserve"> compared to the control and single inoculation treatments. Reduced germination and </w:t>
      </w:r>
      <w:proofErr w:type="spellStart"/>
      <w:r w:rsidRPr="005D43AD">
        <w:t>vigour</w:t>
      </w:r>
      <w:proofErr w:type="spellEnd"/>
      <w:r w:rsidRPr="005D43AD">
        <w:t xml:space="preserve"> were consistently observed in the uninoculated control</w:t>
      </w:r>
      <w:r w:rsidR="00162B50">
        <w:t xml:space="preserve"> </w:t>
      </w:r>
      <w:r w:rsidR="00616D6D">
        <w:t>(Table</w:t>
      </w:r>
      <w:r w:rsidR="00EF7841">
        <w:t>-1 &amp; Figure-1).</w:t>
      </w:r>
    </w:p>
    <w:p w14:paraId="2603EA2B" w14:textId="77777777" w:rsidR="00BA0D0D" w:rsidRDefault="005D43AD" w:rsidP="00BA0D0D">
      <w:pPr>
        <w:pStyle w:val="NormalWeb"/>
        <w:spacing w:line="360" w:lineRule="auto"/>
        <w:ind w:left="-720" w:right="-421"/>
        <w:jc w:val="both"/>
      </w:pPr>
      <w:r w:rsidRPr="005D43AD">
        <w:t xml:space="preserve">The improvement in germination and </w:t>
      </w:r>
      <w:proofErr w:type="spellStart"/>
      <w:r w:rsidRPr="005D43AD">
        <w:t>vigour</w:t>
      </w:r>
      <w:proofErr w:type="spellEnd"/>
      <w:r w:rsidRPr="005D43AD">
        <w:t xml:space="preserve"> under PGPR treatments can be attributed to the production of phytohormones such as indole-3-acetic acid (IAA) and </w:t>
      </w:r>
      <w:proofErr w:type="spellStart"/>
      <w:r w:rsidRPr="005D43AD">
        <w:t>gibberellic</w:t>
      </w:r>
      <w:proofErr w:type="spellEnd"/>
      <w:r w:rsidRPr="005D43AD">
        <w:t xml:space="preserve"> acid by </w:t>
      </w:r>
      <w:proofErr w:type="spellStart"/>
      <w:r w:rsidRPr="005D43AD">
        <w:rPr>
          <w:i/>
          <w:iCs/>
        </w:rPr>
        <w:t>Azospirillum</w:t>
      </w:r>
      <w:proofErr w:type="spellEnd"/>
      <w:r w:rsidRPr="005D43AD">
        <w:t xml:space="preserve"> and </w:t>
      </w:r>
      <w:r w:rsidRPr="005D43AD">
        <w:rPr>
          <w:i/>
          <w:iCs/>
        </w:rPr>
        <w:t>Pseudomonas</w:t>
      </w:r>
      <w:r w:rsidRPr="005D43AD">
        <w:t xml:space="preserve">, which stimulate cell elongation and early seedling growth (Bashan &amp; de-Bashan, 2010; Glick, 2012). Similar enhancements in seedling </w:t>
      </w:r>
      <w:proofErr w:type="spellStart"/>
      <w:r w:rsidRPr="005D43AD">
        <w:t>vigour</w:t>
      </w:r>
      <w:proofErr w:type="spellEnd"/>
      <w:r w:rsidRPr="005D43AD">
        <w:t xml:space="preserve"> due to PGPR inoculation have been reported in </w:t>
      </w:r>
      <w:proofErr w:type="spellStart"/>
      <w:r w:rsidRPr="005D43AD">
        <w:t>chilli</w:t>
      </w:r>
      <w:proofErr w:type="spellEnd"/>
      <w:r w:rsidRPr="005D43AD">
        <w:t xml:space="preserve"> and other </w:t>
      </w:r>
      <w:proofErr w:type="spellStart"/>
      <w:r w:rsidRPr="005D43AD">
        <w:t>solanaceous</w:t>
      </w:r>
      <w:proofErr w:type="spellEnd"/>
      <w:r w:rsidRPr="005D43AD">
        <w:t xml:space="preserve"> crops (</w:t>
      </w:r>
      <w:proofErr w:type="spellStart"/>
      <w:r w:rsidRPr="005D43AD">
        <w:t>Ordookhani</w:t>
      </w:r>
      <w:proofErr w:type="spellEnd"/>
      <w:r w:rsidRPr="005D43AD">
        <w:t xml:space="preserve"> et al., 2010; </w:t>
      </w:r>
      <w:proofErr w:type="spellStart"/>
      <w:r w:rsidRPr="005D43AD">
        <w:t>Shyam</w:t>
      </w:r>
      <w:proofErr w:type="spellEnd"/>
      <w:r w:rsidRPr="005D43AD">
        <w:t xml:space="preserve"> &amp; </w:t>
      </w:r>
      <w:proofErr w:type="spellStart"/>
      <w:r w:rsidRPr="005D43AD">
        <w:t>Narzary</w:t>
      </w:r>
      <w:proofErr w:type="spellEnd"/>
      <w:r w:rsidRPr="005D43AD">
        <w:t>, 2024). The superior performance of dual inoculation highlights synergistic interactions between nitrogen fixation and phosphate solubilization processes.</w:t>
      </w:r>
    </w:p>
    <w:p w14:paraId="6223835F" w14:textId="53380F1C" w:rsidR="00BF1475" w:rsidRPr="00C52BDF" w:rsidRDefault="00680CAD" w:rsidP="00D435A7">
      <w:pPr>
        <w:pStyle w:val="NormalWeb"/>
        <w:spacing w:line="276" w:lineRule="auto"/>
        <w:ind w:left="-720" w:right="-421"/>
        <w:jc w:val="both"/>
      </w:pPr>
      <w:r>
        <w:rPr>
          <w:b/>
          <w:noProof/>
        </w:rPr>
        <w:pict w14:anchorId="60EF9492">
          <v:rect id="_x0000_s1028" style="position:absolute;left:0;text-align:left;margin-left:624.6pt;margin-top:-71.55pt;width:70.5pt;height:51pt;z-index:251659264" stroked="f"/>
        </w:pict>
      </w:r>
      <w:r w:rsidR="00BF1475" w:rsidRPr="00C52BDF">
        <w:rPr>
          <w:b/>
        </w:rPr>
        <w:t>Table-1.  Effect of PGPR inoculation on the</w:t>
      </w:r>
      <w:r w:rsidR="00BA0D0D" w:rsidRPr="00C52BDF">
        <w:rPr>
          <w:b/>
        </w:rPr>
        <w:t xml:space="preserve"> </w:t>
      </w:r>
      <w:r w:rsidR="00BF1475" w:rsidRPr="00C52BDF">
        <w:rPr>
          <w:b/>
        </w:rPr>
        <w:t>germination</w:t>
      </w:r>
      <w:r w:rsidR="00BA0D0D" w:rsidRPr="00C52BDF">
        <w:rPr>
          <w:b/>
        </w:rPr>
        <w:t xml:space="preserve"> </w:t>
      </w:r>
      <w:r w:rsidR="00BF1475" w:rsidRPr="00C52BDF">
        <w:rPr>
          <w:b/>
        </w:rPr>
        <w:t xml:space="preserve">percentage and </w:t>
      </w:r>
      <w:proofErr w:type="spellStart"/>
      <w:r w:rsidR="00BF1475" w:rsidRPr="00C52BDF">
        <w:rPr>
          <w:b/>
        </w:rPr>
        <w:t>vigour</w:t>
      </w:r>
      <w:proofErr w:type="spellEnd"/>
      <w:r w:rsidR="00BF1475" w:rsidRPr="00C52BDF">
        <w:rPr>
          <w:b/>
        </w:rPr>
        <w:t xml:space="preserve"> index of </w:t>
      </w:r>
      <w:proofErr w:type="spellStart"/>
      <w:r w:rsidR="00BF1475" w:rsidRPr="00C52BDF">
        <w:rPr>
          <w:b/>
        </w:rPr>
        <w:t>chilli</w:t>
      </w:r>
      <w:proofErr w:type="spellEnd"/>
      <w:r w:rsidR="00BF1475" w:rsidRPr="00C52BDF">
        <w:rPr>
          <w:b/>
        </w:rPr>
        <w:t xml:space="preserve"> variety </w:t>
      </w:r>
      <w:r w:rsidR="00D435A7">
        <w:rPr>
          <w:b/>
        </w:rPr>
        <w:t>K2</w:t>
      </w:r>
      <w:r w:rsidR="00BF1475" w:rsidRPr="00C52BDF">
        <w:rPr>
          <w:b/>
        </w:rPr>
        <w:t xml:space="preserve"> under pot culture condition</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77"/>
        <w:gridCol w:w="1536"/>
        <w:gridCol w:w="1406"/>
      </w:tblGrid>
      <w:tr w:rsidR="00BF1475" w:rsidRPr="00C54EE0" w14:paraId="1F4B55B2" w14:textId="77777777" w:rsidTr="009424CE">
        <w:trPr>
          <w:trHeight w:val="499"/>
          <w:jc w:val="center"/>
        </w:trPr>
        <w:tc>
          <w:tcPr>
            <w:tcW w:w="816" w:type="dxa"/>
            <w:vAlign w:val="center"/>
          </w:tcPr>
          <w:p w14:paraId="0773C7A8"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S.NO</w:t>
            </w:r>
          </w:p>
        </w:tc>
        <w:tc>
          <w:tcPr>
            <w:tcW w:w="6207" w:type="dxa"/>
            <w:vAlign w:val="center"/>
          </w:tcPr>
          <w:p w14:paraId="7FBF19F8"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Treatments</w:t>
            </w:r>
          </w:p>
        </w:tc>
        <w:tc>
          <w:tcPr>
            <w:tcW w:w="1503" w:type="dxa"/>
            <w:vAlign w:val="center"/>
          </w:tcPr>
          <w:p w14:paraId="61544A29"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Germination (%)</w:t>
            </w:r>
          </w:p>
        </w:tc>
        <w:tc>
          <w:tcPr>
            <w:tcW w:w="1409" w:type="dxa"/>
            <w:vAlign w:val="center"/>
          </w:tcPr>
          <w:p w14:paraId="79ADE587" w14:textId="77777777" w:rsidR="00BF1475" w:rsidRPr="00471C64" w:rsidRDefault="00BF1475" w:rsidP="00AB048B">
            <w:pPr>
              <w:spacing w:after="120" w:line="240" w:lineRule="auto"/>
              <w:rPr>
                <w:rFonts w:ascii="Times New Roman" w:hAnsi="Times New Roman"/>
                <w:b/>
                <w:sz w:val="24"/>
                <w:szCs w:val="24"/>
              </w:rPr>
            </w:pPr>
            <w:r w:rsidRPr="00471C64">
              <w:rPr>
                <w:rFonts w:ascii="Times New Roman" w:hAnsi="Times New Roman"/>
                <w:b/>
                <w:sz w:val="24"/>
                <w:szCs w:val="24"/>
              </w:rPr>
              <w:t>Vigour Index</w:t>
            </w:r>
          </w:p>
        </w:tc>
      </w:tr>
      <w:tr w:rsidR="00BF1475" w:rsidRPr="00C54EE0" w14:paraId="3887531A" w14:textId="77777777" w:rsidTr="009424CE">
        <w:trPr>
          <w:trHeight w:val="126"/>
          <w:jc w:val="center"/>
        </w:trPr>
        <w:tc>
          <w:tcPr>
            <w:tcW w:w="816" w:type="dxa"/>
          </w:tcPr>
          <w:p w14:paraId="282345A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w:t>
            </w:r>
          </w:p>
        </w:tc>
        <w:tc>
          <w:tcPr>
            <w:tcW w:w="6207" w:type="dxa"/>
            <w:vAlign w:val="center"/>
          </w:tcPr>
          <w:p w14:paraId="6C334BFD" w14:textId="77777777" w:rsidR="00BF1475" w:rsidRPr="00471C64" w:rsidRDefault="00BF1475" w:rsidP="00AB048B">
            <w:pPr>
              <w:spacing w:after="120" w:line="240" w:lineRule="auto"/>
              <w:rPr>
                <w:rFonts w:ascii="Times New Roman" w:hAnsi="Times New Roman"/>
                <w:sz w:val="24"/>
                <w:szCs w:val="24"/>
                <w:vertAlign w:val="subscript"/>
              </w:rPr>
            </w:pPr>
            <w:r w:rsidRPr="00471C64">
              <w:rPr>
                <w:rFonts w:ascii="Times New Roman" w:hAnsi="Times New Roman"/>
                <w:sz w:val="24"/>
                <w:szCs w:val="24"/>
              </w:rPr>
              <w:t>T</w:t>
            </w:r>
            <w:r w:rsidRPr="00471C64">
              <w:rPr>
                <w:rFonts w:ascii="Times New Roman" w:hAnsi="Times New Roman"/>
                <w:sz w:val="24"/>
                <w:szCs w:val="24"/>
                <w:vertAlign w:val="subscript"/>
              </w:rPr>
              <w:t xml:space="preserve">0 – </w:t>
            </w:r>
            <w:r w:rsidRPr="00471C64">
              <w:rPr>
                <w:rFonts w:ascii="Times New Roman" w:hAnsi="Times New Roman"/>
                <w:sz w:val="24"/>
                <w:szCs w:val="24"/>
              </w:rPr>
              <w:t>Control</w:t>
            </w:r>
          </w:p>
        </w:tc>
        <w:tc>
          <w:tcPr>
            <w:tcW w:w="1503" w:type="dxa"/>
            <w:vAlign w:val="center"/>
          </w:tcPr>
          <w:p w14:paraId="06F71795"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71.98</w:t>
            </w:r>
          </w:p>
        </w:tc>
        <w:tc>
          <w:tcPr>
            <w:tcW w:w="1409" w:type="dxa"/>
            <w:vAlign w:val="center"/>
          </w:tcPr>
          <w:p w14:paraId="50506D8B"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889</w:t>
            </w:r>
          </w:p>
        </w:tc>
      </w:tr>
      <w:tr w:rsidR="00BF1475" w:rsidRPr="00C54EE0" w14:paraId="44272FEF" w14:textId="77777777" w:rsidTr="009424CE">
        <w:trPr>
          <w:trHeight w:val="119"/>
          <w:jc w:val="center"/>
        </w:trPr>
        <w:tc>
          <w:tcPr>
            <w:tcW w:w="816" w:type="dxa"/>
            <w:vAlign w:val="center"/>
          </w:tcPr>
          <w:p w14:paraId="3A8BCB9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2.</w:t>
            </w:r>
          </w:p>
        </w:tc>
        <w:tc>
          <w:tcPr>
            <w:tcW w:w="6207" w:type="dxa"/>
            <w:vAlign w:val="center"/>
          </w:tcPr>
          <w:p w14:paraId="200EFE3C" w14:textId="77777777" w:rsidR="00BF1475" w:rsidRPr="00471C64" w:rsidRDefault="00BF1475" w:rsidP="00AB048B">
            <w:pPr>
              <w:spacing w:after="120" w:line="240" w:lineRule="auto"/>
              <w:rPr>
                <w:rFonts w:ascii="Times New Roman" w:hAnsi="Times New Roman"/>
                <w:sz w:val="24"/>
                <w:szCs w:val="24"/>
              </w:rPr>
            </w:pPr>
            <w:r w:rsidRPr="00471C64">
              <w:rPr>
                <w:rFonts w:ascii="Times New Roman" w:hAnsi="Times New Roman"/>
                <w:sz w:val="24"/>
                <w:szCs w:val="24"/>
              </w:rPr>
              <w:t>T</w:t>
            </w:r>
            <w:r w:rsidRPr="00471C64">
              <w:rPr>
                <w:rFonts w:ascii="Times New Roman" w:hAnsi="Times New Roman"/>
                <w:sz w:val="24"/>
                <w:szCs w:val="24"/>
                <w:vertAlign w:val="subscript"/>
              </w:rPr>
              <w:t xml:space="preserve">2 </w:t>
            </w:r>
            <w:r w:rsidRPr="00471C64">
              <w:rPr>
                <w:rFonts w:ascii="Constantia" w:hAnsi="Constantia"/>
                <w:sz w:val="24"/>
                <w:szCs w:val="24"/>
              </w:rPr>
              <w:t>‐</w:t>
            </w:r>
            <w:r w:rsidRPr="00471C64">
              <w:rPr>
                <w:rFonts w:ascii="Times New Roman" w:hAnsi="Times New Roman"/>
                <w:sz w:val="24"/>
                <w:szCs w:val="24"/>
              </w:rPr>
              <w:t xml:space="preserve"> 100% NPK</w:t>
            </w:r>
          </w:p>
        </w:tc>
        <w:tc>
          <w:tcPr>
            <w:tcW w:w="1503" w:type="dxa"/>
            <w:vAlign w:val="center"/>
          </w:tcPr>
          <w:p w14:paraId="7A3C001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90.01</w:t>
            </w:r>
          </w:p>
        </w:tc>
        <w:tc>
          <w:tcPr>
            <w:tcW w:w="1409" w:type="dxa"/>
            <w:vAlign w:val="center"/>
          </w:tcPr>
          <w:p w14:paraId="6ADD3AD7"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1224</w:t>
            </w:r>
          </w:p>
        </w:tc>
      </w:tr>
      <w:tr w:rsidR="00BF1475" w:rsidRPr="00C54EE0" w14:paraId="5B049C71" w14:textId="77777777" w:rsidTr="009424CE">
        <w:trPr>
          <w:trHeight w:val="61"/>
          <w:jc w:val="center"/>
        </w:trPr>
        <w:tc>
          <w:tcPr>
            <w:tcW w:w="816" w:type="dxa"/>
            <w:vAlign w:val="center"/>
          </w:tcPr>
          <w:p w14:paraId="2E66B7F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3.</w:t>
            </w:r>
          </w:p>
        </w:tc>
        <w:tc>
          <w:tcPr>
            <w:tcW w:w="6207" w:type="dxa"/>
            <w:vAlign w:val="center"/>
          </w:tcPr>
          <w:p w14:paraId="35AC7E42" w14:textId="5EEB58A1"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A.brasilense</w:t>
            </w:r>
          </w:p>
        </w:tc>
        <w:tc>
          <w:tcPr>
            <w:tcW w:w="1503" w:type="dxa"/>
            <w:vAlign w:val="center"/>
          </w:tcPr>
          <w:p w14:paraId="357489A9"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88.43</w:t>
            </w:r>
          </w:p>
        </w:tc>
        <w:tc>
          <w:tcPr>
            <w:tcW w:w="1409" w:type="dxa"/>
            <w:vAlign w:val="center"/>
          </w:tcPr>
          <w:p w14:paraId="52D1F082"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1107</w:t>
            </w:r>
          </w:p>
        </w:tc>
      </w:tr>
      <w:tr w:rsidR="00BF1475" w:rsidRPr="00C54EE0" w14:paraId="71732C8D" w14:textId="77777777" w:rsidTr="009424CE">
        <w:trPr>
          <w:trHeight w:val="61"/>
          <w:jc w:val="center"/>
        </w:trPr>
        <w:tc>
          <w:tcPr>
            <w:tcW w:w="816" w:type="dxa"/>
            <w:vAlign w:val="center"/>
          </w:tcPr>
          <w:p w14:paraId="5AF2867F"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4.</w:t>
            </w:r>
          </w:p>
        </w:tc>
        <w:tc>
          <w:tcPr>
            <w:tcW w:w="6207" w:type="dxa"/>
            <w:vAlign w:val="center"/>
          </w:tcPr>
          <w:p w14:paraId="251EA21C" w14:textId="741FF38A"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1503" w:type="dxa"/>
            <w:vAlign w:val="center"/>
          </w:tcPr>
          <w:p w14:paraId="233DDC3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83.29</w:t>
            </w:r>
          </w:p>
        </w:tc>
        <w:tc>
          <w:tcPr>
            <w:tcW w:w="1409" w:type="dxa"/>
            <w:vAlign w:val="center"/>
          </w:tcPr>
          <w:p w14:paraId="173543B5"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1076</w:t>
            </w:r>
          </w:p>
        </w:tc>
      </w:tr>
      <w:tr w:rsidR="00BF1475" w:rsidRPr="00C54EE0" w14:paraId="6EC5CC00" w14:textId="77777777" w:rsidTr="009424CE">
        <w:trPr>
          <w:trHeight w:val="61"/>
          <w:jc w:val="center"/>
        </w:trPr>
        <w:tc>
          <w:tcPr>
            <w:tcW w:w="816" w:type="dxa"/>
            <w:vAlign w:val="center"/>
          </w:tcPr>
          <w:p w14:paraId="6A81071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5.</w:t>
            </w:r>
          </w:p>
        </w:tc>
        <w:tc>
          <w:tcPr>
            <w:tcW w:w="6207" w:type="dxa"/>
            <w:vAlign w:val="center"/>
          </w:tcPr>
          <w:p w14:paraId="72FA16E1" w14:textId="1EDE5D06" w:rsidR="00BF1475" w:rsidRPr="009B3FEA" w:rsidRDefault="00BF1475" w:rsidP="00AB048B">
            <w:pPr>
              <w:spacing w:after="120" w:line="240" w:lineRule="auto"/>
              <w:ind w:right="-60"/>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 +</w:t>
            </w:r>
            <w:r w:rsidRPr="009B3FEA">
              <w:rPr>
                <w:rFonts w:ascii="Times New Roman" w:hAnsi="Times New Roman"/>
                <w:i/>
                <w:iCs/>
                <w:sz w:val="24"/>
                <w:szCs w:val="24"/>
                <w:lang w:val="pt-BR"/>
              </w:rPr>
              <w:t xml:space="preserve"> P.</w:t>
            </w:r>
            <w:r w:rsidRPr="009B3FEA">
              <w:rPr>
                <w:rFonts w:ascii="Times New Roman" w:hAnsi="Times New Roman"/>
                <w:i/>
                <w:sz w:val="24"/>
                <w:szCs w:val="24"/>
                <w:lang w:val="pt-BR"/>
              </w:rPr>
              <w:t xml:space="preserve"> fluorescens </w:t>
            </w:r>
          </w:p>
        </w:tc>
        <w:tc>
          <w:tcPr>
            <w:tcW w:w="1503" w:type="dxa"/>
            <w:vAlign w:val="center"/>
          </w:tcPr>
          <w:p w14:paraId="7F4CBCE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95.21</w:t>
            </w:r>
          </w:p>
        </w:tc>
        <w:tc>
          <w:tcPr>
            <w:tcW w:w="1409" w:type="dxa"/>
            <w:vAlign w:val="center"/>
          </w:tcPr>
          <w:p w14:paraId="3DF80432"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1298</w:t>
            </w:r>
          </w:p>
        </w:tc>
      </w:tr>
      <w:tr w:rsidR="00BF1475" w:rsidRPr="00C54EE0" w14:paraId="1C912E57" w14:textId="77777777" w:rsidTr="009424CE">
        <w:trPr>
          <w:trHeight w:val="61"/>
          <w:jc w:val="center"/>
        </w:trPr>
        <w:tc>
          <w:tcPr>
            <w:tcW w:w="816" w:type="dxa"/>
            <w:vAlign w:val="center"/>
          </w:tcPr>
          <w:p w14:paraId="35301409"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6.</w:t>
            </w:r>
          </w:p>
        </w:tc>
        <w:tc>
          <w:tcPr>
            <w:tcW w:w="6207" w:type="dxa"/>
            <w:vAlign w:val="center"/>
          </w:tcPr>
          <w:p w14:paraId="107D76D0" w14:textId="3BEB06CF" w:rsidR="00BF1475" w:rsidRPr="009B3FEA" w:rsidRDefault="00BF1475" w:rsidP="00AB048B">
            <w:pPr>
              <w:spacing w:after="120" w:line="240" w:lineRule="auto"/>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1503" w:type="dxa"/>
            <w:vAlign w:val="center"/>
          </w:tcPr>
          <w:p w14:paraId="3843BF5D"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75.99</w:t>
            </w:r>
          </w:p>
        </w:tc>
        <w:tc>
          <w:tcPr>
            <w:tcW w:w="1409" w:type="dxa"/>
            <w:vAlign w:val="center"/>
          </w:tcPr>
          <w:p w14:paraId="1A11164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932</w:t>
            </w:r>
          </w:p>
        </w:tc>
      </w:tr>
      <w:tr w:rsidR="00BF1475" w:rsidRPr="00C54EE0" w14:paraId="14BAB5D8" w14:textId="77777777" w:rsidTr="009424CE">
        <w:trPr>
          <w:trHeight w:val="246"/>
          <w:jc w:val="center"/>
        </w:trPr>
        <w:tc>
          <w:tcPr>
            <w:tcW w:w="816" w:type="dxa"/>
            <w:vAlign w:val="center"/>
          </w:tcPr>
          <w:p w14:paraId="08AB7316"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w:t>
            </w:r>
          </w:p>
        </w:tc>
        <w:tc>
          <w:tcPr>
            <w:tcW w:w="6207" w:type="dxa"/>
            <w:vAlign w:val="center"/>
          </w:tcPr>
          <w:p w14:paraId="346ABE4D" w14:textId="1D74D975"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1503" w:type="dxa"/>
            <w:vAlign w:val="center"/>
          </w:tcPr>
          <w:p w14:paraId="7E13695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79.06</w:t>
            </w:r>
          </w:p>
        </w:tc>
        <w:tc>
          <w:tcPr>
            <w:tcW w:w="1409" w:type="dxa"/>
            <w:vAlign w:val="center"/>
          </w:tcPr>
          <w:p w14:paraId="49BDE30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989</w:t>
            </w:r>
          </w:p>
        </w:tc>
      </w:tr>
      <w:tr w:rsidR="00BF1475" w:rsidRPr="00C54EE0" w14:paraId="24D0FDEF" w14:textId="77777777" w:rsidTr="009424CE">
        <w:trPr>
          <w:trHeight w:val="61"/>
          <w:jc w:val="center"/>
        </w:trPr>
        <w:tc>
          <w:tcPr>
            <w:tcW w:w="816" w:type="dxa"/>
            <w:vAlign w:val="center"/>
          </w:tcPr>
          <w:p w14:paraId="59DEEB72"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lastRenderedPageBreak/>
              <w:t>8.</w:t>
            </w:r>
          </w:p>
        </w:tc>
        <w:tc>
          <w:tcPr>
            <w:tcW w:w="6207" w:type="dxa"/>
            <w:vAlign w:val="center"/>
          </w:tcPr>
          <w:p w14:paraId="57FB554C" w14:textId="2627E0C9" w:rsidR="00BF1475" w:rsidRPr="009B3FEA" w:rsidRDefault="00BF1475" w:rsidP="003835BD">
            <w:pPr>
              <w:spacing w:after="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r w:rsidRPr="009B3FEA">
              <w:rPr>
                <w:rFonts w:ascii="Times New Roman" w:hAnsi="Times New Roman"/>
                <w:i/>
                <w:iCs/>
                <w:sz w:val="24"/>
                <w:szCs w:val="24"/>
                <w:lang w:val="pt-BR"/>
              </w:rPr>
              <w:t>+ P.</w:t>
            </w:r>
            <w:r w:rsidRPr="009B3FEA">
              <w:rPr>
                <w:rFonts w:ascii="Times New Roman" w:hAnsi="Times New Roman"/>
                <w:i/>
                <w:sz w:val="24"/>
                <w:szCs w:val="24"/>
                <w:lang w:val="pt-BR"/>
              </w:rPr>
              <w:t xml:space="preserve"> fluorescens </w:t>
            </w:r>
          </w:p>
        </w:tc>
        <w:tc>
          <w:tcPr>
            <w:tcW w:w="1503" w:type="dxa"/>
            <w:vAlign w:val="center"/>
          </w:tcPr>
          <w:p w14:paraId="60041920"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72.07</w:t>
            </w:r>
          </w:p>
        </w:tc>
        <w:tc>
          <w:tcPr>
            <w:tcW w:w="1409" w:type="dxa"/>
            <w:vAlign w:val="center"/>
          </w:tcPr>
          <w:p w14:paraId="1844DCA2"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913</w:t>
            </w:r>
          </w:p>
        </w:tc>
      </w:tr>
      <w:tr w:rsidR="00BF1475" w:rsidRPr="00C54EE0" w14:paraId="37F53203" w14:textId="77777777" w:rsidTr="009424CE">
        <w:trPr>
          <w:trHeight w:val="61"/>
          <w:jc w:val="center"/>
        </w:trPr>
        <w:tc>
          <w:tcPr>
            <w:tcW w:w="7023" w:type="dxa"/>
            <w:gridSpan w:val="2"/>
            <w:vAlign w:val="center"/>
          </w:tcPr>
          <w:p w14:paraId="00AA6D74" w14:textId="751F49B5" w:rsidR="00BF1475" w:rsidRPr="00471C64" w:rsidRDefault="00BF1475" w:rsidP="003835BD">
            <w:pPr>
              <w:spacing w:before="120" w:after="0" w:line="240" w:lineRule="auto"/>
              <w:jc w:val="center"/>
              <w:rPr>
                <w:rFonts w:ascii="Times New Roman" w:hAnsi="Times New Roman"/>
                <w:sz w:val="24"/>
                <w:szCs w:val="24"/>
              </w:rPr>
            </w:pPr>
            <w:proofErr w:type="spellStart"/>
            <w:r w:rsidRPr="00471C64">
              <w:rPr>
                <w:rFonts w:ascii="Times New Roman" w:hAnsi="Times New Roman"/>
                <w:sz w:val="24"/>
                <w:szCs w:val="24"/>
              </w:rPr>
              <w:t>S</w:t>
            </w:r>
            <w:r w:rsidR="00C9505E" w:rsidRPr="00471C64">
              <w:rPr>
                <w:rFonts w:ascii="Times New Roman" w:hAnsi="Times New Roman"/>
                <w:sz w:val="24"/>
                <w:szCs w:val="24"/>
              </w:rPr>
              <w:t>e</w:t>
            </w:r>
            <w:r w:rsidRPr="00471C64">
              <w:rPr>
                <w:rFonts w:ascii="Times New Roman" w:hAnsi="Times New Roman"/>
                <w:sz w:val="24"/>
                <w:szCs w:val="24"/>
              </w:rPr>
              <w:t>d</w:t>
            </w:r>
            <w:proofErr w:type="spellEnd"/>
          </w:p>
        </w:tc>
        <w:tc>
          <w:tcPr>
            <w:tcW w:w="1503" w:type="dxa"/>
            <w:vAlign w:val="center"/>
          </w:tcPr>
          <w:p w14:paraId="2535B463"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0.58</w:t>
            </w:r>
          </w:p>
        </w:tc>
        <w:tc>
          <w:tcPr>
            <w:tcW w:w="1409" w:type="dxa"/>
            <w:vAlign w:val="center"/>
          </w:tcPr>
          <w:p w14:paraId="18560B1E"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3.80</w:t>
            </w:r>
          </w:p>
        </w:tc>
      </w:tr>
      <w:tr w:rsidR="00BF1475" w:rsidRPr="00C54EE0" w14:paraId="41D999A8" w14:textId="77777777" w:rsidTr="009424CE">
        <w:trPr>
          <w:trHeight w:val="223"/>
          <w:jc w:val="center"/>
        </w:trPr>
        <w:tc>
          <w:tcPr>
            <w:tcW w:w="7023" w:type="dxa"/>
            <w:gridSpan w:val="2"/>
            <w:vAlign w:val="center"/>
          </w:tcPr>
          <w:p w14:paraId="548C7072"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CD(P=0.05)</w:t>
            </w:r>
          </w:p>
        </w:tc>
        <w:tc>
          <w:tcPr>
            <w:tcW w:w="1503" w:type="dxa"/>
            <w:vAlign w:val="center"/>
          </w:tcPr>
          <w:p w14:paraId="2AC2B55C"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1.25</w:t>
            </w:r>
          </w:p>
        </w:tc>
        <w:tc>
          <w:tcPr>
            <w:tcW w:w="1409" w:type="dxa"/>
            <w:vAlign w:val="center"/>
          </w:tcPr>
          <w:p w14:paraId="0AB44C23"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8.40</w:t>
            </w:r>
          </w:p>
        </w:tc>
      </w:tr>
    </w:tbl>
    <w:p w14:paraId="53E88BAF" w14:textId="2A6819A0" w:rsidR="00BF1475" w:rsidRPr="00C54EE0" w:rsidRDefault="00BF1475" w:rsidP="00BF1475">
      <w:pPr>
        <w:spacing w:after="160" w:line="259" w:lineRule="auto"/>
        <w:rPr>
          <w:b/>
          <w:sz w:val="26"/>
          <w:szCs w:val="26"/>
        </w:rPr>
      </w:pPr>
    </w:p>
    <w:p w14:paraId="25207BE2" w14:textId="77777777" w:rsidR="00A2769D" w:rsidRDefault="00811B88" w:rsidP="00A2769D">
      <w:pPr>
        <w:pStyle w:val="NormalWeb"/>
        <w:spacing w:line="360" w:lineRule="auto"/>
        <w:ind w:left="-720" w:right="-421"/>
        <w:jc w:val="both"/>
        <w:rPr>
          <w:b/>
          <w:sz w:val="26"/>
          <w:szCs w:val="26"/>
        </w:rPr>
      </w:pPr>
      <w:r w:rsidRPr="00C54EE0">
        <w:rPr>
          <w:noProof/>
          <w:lang w:val="en-IN" w:eastAsia="en-IN" w:bidi="hi-IN"/>
        </w:rPr>
        <w:drawing>
          <wp:inline distT="0" distB="0" distL="0" distR="0" wp14:anchorId="7E213F5A" wp14:editId="2AD48257">
            <wp:extent cx="5181600" cy="2561968"/>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745D78" w14:textId="11B9EF5D" w:rsidR="00F37687" w:rsidRPr="00E3734B" w:rsidRDefault="00F37687" w:rsidP="00A2769D">
      <w:pPr>
        <w:pStyle w:val="NormalWeb"/>
        <w:spacing w:line="360" w:lineRule="auto"/>
        <w:ind w:left="-720" w:right="-421"/>
        <w:jc w:val="both"/>
        <w:rPr>
          <w:b/>
          <w:sz w:val="26"/>
          <w:szCs w:val="26"/>
        </w:rPr>
      </w:pPr>
      <w:r w:rsidRPr="00E3734B">
        <w:rPr>
          <w:b/>
        </w:rPr>
        <w:t xml:space="preserve">Fig. 1: Effect of PGPR inoculation on the germination percentage and </w:t>
      </w:r>
      <w:proofErr w:type="spellStart"/>
      <w:r w:rsidRPr="00E3734B">
        <w:rPr>
          <w:b/>
        </w:rPr>
        <w:t>vigour</w:t>
      </w:r>
      <w:proofErr w:type="spellEnd"/>
      <w:r w:rsidRPr="00E3734B">
        <w:rPr>
          <w:b/>
        </w:rPr>
        <w:t xml:space="preserve"> index of </w:t>
      </w:r>
      <w:proofErr w:type="spellStart"/>
      <w:r w:rsidRPr="00E3734B">
        <w:rPr>
          <w:b/>
        </w:rPr>
        <w:t>chilli</w:t>
      </w:r>
      <w:proofErr w:type="spellEnd"/>
      <w:r w:rsidRPr="00E3734B">
        <w:rPr>
          <w:b/>
        </w:rPr>
        <w:t xml:space="preserve"> variety </w:t>
      </w:r>
      <w:r w:rsidR="004C137D" w:rsidRPr="00E3734B">
        <w:rPr>
          <w:b/>
        </w:rPr>
        <w:t>K2</w:t>
      </w:r>
      <w:r w:rsidRPr="00E3734B">
        <w:rPr>
          <w:b/>
        </w:rPr>
        <w:t xml:space="preserve"> under pot culture condition</w:t>
      </w:r>
    </w:p>
    <w:p w14:paraId="38F0DB6A" w14:textId="77777777" w:rsidR="00CF0003" w:rsidRPr="00CF0003" w:rsidRDefault="00CF0003" w:rsidP="00CF0003">
      <w:pPr>
        <w:pStyle w:val="NormalWeb"/>
        <w:spacing w:line="360" w:lineRule="auto"/>
        <w:ind w:left="-720" w:right="-421"/>
        <w:jc w:val="both"/>
        <w:rPr>
          <w:b/>
          <w:bCs/>
        </w:rPr>
      </w:pPr>
      <w:r w:rsidRPr="00CF0003">
        <w:rPr>
          <w:b/>
          <w:bCs/>
        </w:rPr>
        <w:t>3.2 Plant Height</w:t>
      </w:r>
    </w:p>
    <w:p w14:paraId="0B1E3506" w14:textId="76223F74" w:rsidR="00CF0003" w:rsidRPr="00CF0003" w:rsidRDefault="00CF0003" w:rsidP="00CF0003">
      <w:pPr>
        <w:pStyle w:val="NormalWeb"/>
        <w:spacing w:line="360" w:lineRule="auto"/>
        <w:ind w:left="-720" w:right="-421"/>
        <w:jc w:val="both"/>
      </w:pPr>
      <w:r w:rsidRPr="00CF0003">
        <w:t>Plant height increased significantly with PGPR inoculation at all growth stages (25, 50, 75 and 100 DAS). Dual inoculation treatments (T5 and T8) consistently produced taller plants than single inoculation, chemical fertilizer alone, and control treatments. At 100 DAS, T5 recorded the maximum plant height</w:t>
      </w:r>
      <w:r w:rsidR="008F6C99">
        <w:t xml:space="preserve"> (</w:t>
      </w:r>
      <w:r w:rsidR="008F6C99" w:rsidRPr="00C54EE0">
        <w:rPr>
          <w:sz w:val="26"/>
          <w:szCs w:val="26"/>
        </w:rPr>
        <w:t>99.03</w:t>
      </w:r>
      <w:r w:rsidR="00045A48">
        <w:rPr>
          <w:sz w:val="26"/>
          <w:szCs w:val="26"/>
        </w:rPr>
        <w:t xml:space="preserve"> cm</w:t>
      </w:r>
      <w:r w:rsidR="008F6C99">
        <w:rPr>
          <w:sz w:val="26"/>
          <w:szCs w:val="26"/>
        </w:rPr>
        <w:t>)</w:t>
      </w:r>
      <w:r w:rsidRPr="00CF0003">
        <w:t>, indicating a sustained positive effect of PGPR throughout the crop growth period</w:t>
      </w:r>
      <w:r w:rsidR="006B2F42">
        <w:t>. (Table-2 &amp; Figure-2).</w:t>
      </w:r>
    </w:p>
    <w:p w14:paraId="00146B53" w14:textId="05EDADCC" w:rsidR="00C6653C" w:rsidRDefault="00CF0003" w:rsidP="00FB3687">
      <w:pPr>
        <w:pStyle w:val="NormalWeb"/>
        <w:spacing w:line="360" w:lineRule="auto"/>
        <w:ind w:left="-720" w:right="-421"/>
        <w:jc w:val="both"/>
      </w:pPr>
      <w:r w:rsidRPr="00CF0003">
        <w:t xml:space="preserve">The enhanced plant height under co-inoculation may be attributed to improved nitrogen availability through associative nitrogen fixation by </w:t>
      </w:r>
      <w:proofErr w:type="spellStart"/>
      <w:r w:rsidRPr="00CF0003">
        <w:rPr>
          <w:i/>
          <w:iCs/>
        </w:rPr>
        <w:t>Azospirillum</w:t>
      </w:r>
      <w:proofErr w:type="spellEnd"/>
      <w:r w:rsidRPr="00CF0003">
        <w:t xml:space="preserve"> and enhanced phosphorus solubilization by </w:t>
      </w:r>
      <w:r w:rsidRPr="00CF0003">
        <w:rPr>
          <w:i/>
          <w:iCs/>
        </w:rPr>
        <w:t>Pseudomonas</w:t>
      </w:r>
      <w:r w:rsidRPr="00CF0003">
        <w:t>, leading to better nutrient uptake and photosynthetic efficiency (</w:t>
      </w:r>
      <w:proofErr w:type="spellStart"/>
      <w:r w:rsidRPr="00CF0003">
        <w:t>Vessey</w:t>
      </w:r>
      <w:proofErr w:type="spellEnd"/>
      <w:r w:rsidRPr="00CF0003">
        <w:t xml:space="preserve">, 2003; Yang et al., 2024). Increased plant height due to PGPR inoculation has been widely reported in </w:t>
      </w:r>
      <w:proofErr w:type="spellStart"/>
      <w:r w:rsidRPr="00CF0003">
        <w:t>chilli</w:t>
      </w:r>
      <w:proofErr w:type="spellEnd"/>
      <w:r w:rsidRPr="00CF0003">
        <w:t xml:space="preserve"> and other vegetable crops, especially under reduced fertilizer regimes (Bharathi et al., 2004; Hasan et al., 2024). The present findings confirm that PGPR consortia are more effective than single-strain inoculation.</w:t>
      </w:r>
    </w:p>
    <w:p w14:paraId="41D1D7AC" w14:textId="6E2EAFE4" w:rsidR="00EE67BD" w:rsidRPr="000127AB" w:rsidRDefault="00EE67BD" w:rsidP="006E14C1">
      <w:pPr>
        <w:pStyle w:val="NormalWeb"/>
        <w:ind w:left="-720" w:right="-421"/>
        <w:jc w:val="both"/>
      </w:pPr>
      <w:proofErr w:type="gramStart"/>
      <w:r w:rsidRPr="000127AB">
        <w:rPr>
          <w:b/>
        </w:rPr>
        <w:lastRenderedPageBreak/>
        <w:t xml:space="preserve">Table </w:t>
      </w:r>
      <w:r w:rsidR="000127AB" w:rsidRPr="00B577A8">
        <w:rPr>
          <w:b/>
          <w:color w:val="FF0000"/>
        </w:rPr>
        <w:t>2</w:t>
      </w:r>
      <w:r w:rsidR="00B577A8" w:rsidRPr="00B577A8">
        <w:rPr>
          <w:b/>
          <w:color w:val="FF0000"/>
        </w:rPr>
        <w:t>.</w:t>
      </w:r>
      <w:proofErr w:type="gramEnd"/>
      <w:r w:rsidR="00B577A8">
        <w:rPr>
          <w:b/>
        </w:rPr>
        <w:t xml:space="preserve"> </w:t>
      </w:r>
      <w:r w:rsidRPr="000127AB">
        <w:rPr>
          <w:b/>
        </w:rPr>
        <w:t xml:space="preserve"> Effect of PGPR inoculation on the plant height </w:t>
      </w:r>
      <w:proofErr w:type="spellStart"/>
      <w:r w:rsidRPr="000127AB">
        <w:rPr>
          <w:b/>
        </w:rPr>
        <w:t>chilli</w:t>
      </w:r>
      <w:proofErr w:type="spellEnd"/>
      <w:r w:rsidRPr="000127AB">
        <w:rPr>
          <w:b/>
        </w:rPr>
        <w:t xml:space="preserve"> variety </w:t>
      </w:r>
      <w:r w:rsidR="000127AB" w:rsidRPr="000127AB">
        <w:rPr>
          <w:b/>
        </w:rPr>
        <w:t xml:space="preserve">K2 </w:t>
      </w:r>
      <w:r w:rsidRPr="000127AB">
        <w:rPr>
          <w:b/>
        </w:rPr>
        <w:t>under pot culture condition</w:t>
      </w:r>
    </w:p>
    <w:tbl>
      <w:tblPr>
        <w:tblW w:w="5490"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94"/>
        <w:gridCol w:w="1078"/>
        <w:gridCol w:w="1020"/>
        <w:gridCol w:w="876"/>
        <w:gridCol w:w="876"/>
        <w:gridCol w:w="1099"/>
      </w:tblGrid>
      <w:tr w:rsidR="00E50637" w:rsidRPr="00C54EE0" w14:paraId="5C24046B" w14:textId="77777777" w:rsidTr="000862BA">
        <w:trPr>
          <w:trHeight w:val="275"/>
        </w:trPr>
        <w:tc>
          <w:tcPr>
            <w:tcW w:w="436" w:type="pct"/>
            <w:vMerge w:val="restart"/>
          </w:tcPr>
          <w:p w14:paraId="2A4BC3A4" w14:textId="77777777" w:rsidR="00EE67BD" w:rsidRPr="000862BA" w:rsidRDefault="00EE67BD" w:rsidP="00E50637">
            <w:pPr>
              <w:spacing w:before="80" w:after="0" w:line="240" w:lineRule="auto"/>
              <w:rPr>
                <w:rFonts w:ascii="Times New Roman" w:hAnsi="Times New Roman"/>
                <w:b/>
                <w:sz w:val="24"/>
                <w:szCs w:val="24"/>
              </w:rPr>
            </w:pPr>
          </w:p>
          <w:p w14:paraId="379D4278"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S.NO</w:t>
            </w:r>
          </w:p>
        </w:tc>
        <w:tc>
          <w:tcPr>
            <w:tcW w:w="1919" w:type="pct"/>
            <w:vMerge w:val="restart"/>
            <w:vAlign w:val="center"/>
          </w:tcPr>
          <w:p w14:paraId="270BD1E8"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Treatment</w:t>
            </w:r>
          </w:p>
        </w:tc>
        <w:tc>
          <w:tcPr>
            <w:tcW w:w="2644" w:type="pct"/>
            <w:gridSpan w:val="5"/>
            <w:vAlign w:val="center"/>
          </w:tcPr>
          <w:p w14:paraId="0B8082BB" w14:textId="77777777" w:rsidR="00EE67BD" w:rsidRPr="000862BA" w:rsidRDefault="00EE67BD" w:rsidP="00E50637">
            <w:pPr>
              <w:tabs>
                <w:tab w:val="left" w:pos="1032"/>
              </w:tabs>
              <w:spacing w:before="80" w:after="0" w:line="240" w:lineRule="auto"/>
              <w:jc w:val="center"/>
              <w:rPr>
                <w:rFonts w:ascii="Times New Roman" w:hAnsi="Times New Roman"/>
                <w:b/>
                <w:sz w:val="24"/>
                <w:szCs w:val="24"/>
              </w:rPr>
            </w:pPr>
            <w:r w:rsidRPr="000862BA">
              <w:rPr>
                <w:rFonts w:ascii="Times New Roman" w:hAnsi="Times New Roman"/>
                <w:b/>
                <w:sz w:val="24"/>
                <w:szCs w:val="24"/>
              </w:rPr>
              <w:t>Plant height (cm plant</w:t>
            </w:r>
            <w:r w:rsidRPr="000862BA">
              <w:rPr>
                <w:rFonts w:ascii="Times New Roman" w:hAnsi="Times New Roman"/>
                <w:b/>
                <w:sz w:val="24"/>
                <w:szCs w:val="24"/>
                <w:vertAlign w:val="superscript"/>
              </w:rPr>
              <w:t>-1</w:t>
            </w:r>
            <w:r w:rsidRPr="000862BA">
              <w:rPr>
                <w:rFonts w:ascii="Times New Roman" w:hAnsi="Times New Roman"/>
                <w:b/>
                <w:sz w:val="24"/>
                <w:szCs w:val="24"/>
              </w:rPr>
              <w:t>)</w:t>
            </w:r>
          </w:p>
        </w:tc>
      </w:tr>
      <w:tr w:rsidR="00E50637" w:rsidRPr="00C54EE0" w14:paraId="2ADC3F2F" w14:textId="77777777" w:rsidTr="000862BA">
        <w:trPr>
          <w:trHeight w:val="147"/>
        </w:trPr>
        <w:tc>
          <w:tcPr>
            <w:tcW w:w="436" w:type="pct"/>
            <w:vMerge/>
          </w:tcPr>
          <w:p w14:paraId="6CCA5775" w14:textId="77777777" w:rsidR="00EE67BD" w:rsidRPr="000862BA" w:rsidRDefault="00EE67BD" w:rsidP="00E50637">
            <w:pPr>
              <w:spacing w:before="80" w:after="0" w:line="240" w:lineRule="auto"/>
              <w:jc w:val="center"/>
              <w:rPr>
                <w:rFonts w:ascii="Times New Roman" w:hAnsi="Times New Roman"/>
                <w:b/>
                <w:sz w:val="24"/>
                <w:szCs w:val="24"/>
              </w:rPr>
            </w:pPr>
          </w:p>
        </w:tc>
        <w:tc>
          <w:tcPr>
            <w:tcW w:w="1919" w:type="pct"/>
            <w:vMerge/>
            <w:vAlign w:val="center"/>
          </w:tcPr>
          <w:p w14:paraId="298A147F" w14:textId="77777777" w:rsidR="00EE67BD" w:rsidRPr="000862BA" w:rsidRDefault="00EE67BD" w:rsidP="00E50637">
            <w:pPr>
              <w:spacing w:before="80" w:after="0" w:line="240" w:lineRule="auto"/>
              <w:jc w:val="center"/>
              <w:rPr>
                <w:rFonts w:ascii="Times New Roman" w:hAnsi="Times New Roman"/>
                <w:b/>
                <w:sz w:val="24"/>
                <w:szCs w:val="24"/>
              </w:rPr>
            </w:pPr>
          </w:p>
        </w:tc>
        <w:tc>
          <w:tcPr>
            <w:tcW w:w="2644" w:type="pct"/>
            <w:gridSpan w:val="5"/>
            <w:vAlign w:val="center"/>
          </w:tcPr>
          <w:p w14:paraId="314122AE"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Sampling period in days</w:t>
            </w:r>
          </w:p>
        </w:tc>
      </w:tr>
      <w:tr w:rsidR="00E50637" w:rsidRPr="00C54EE0" w14:paraId="06F12AD5" w14:textId="77777777" w:rsidTr="000862BA">
        <w:trPr>
          <w:trHeight w:val="147"/>
        </w:trPr>
        <w:tc>
          <w:tcPr>
            <w:tcW w:w="436" w:type="pct"/>
            <w:vMerge/>
          </w:tcPr>
          <w:p w14:paraId="5E70BCF9" w14:textId="77777777" w:rsidR="00EE67BD" w:rsidRPr="000862BA" w:rsidRDefault="00EE67BD" w:rsidP="00E50637">
            <w:pPr>
              <w:spacing w:before="80" w:after="0" w:line="240" w:lineRule="auto"/>
              <w:jc w:val="center"/>
              <w:rPr>
                <w:rFonts w:ascii="Times New Roman" w:hAnsi="Times New Roman"/>
                <w:b/>
                <w:sz w:val="24"/>
                <w:szCs w:val="24"/>
              </w:rPr>
            </w:pPr>
          </w:p>
        </w:tc>
        <w:tc>
          <w:tcPr>
            <w:tcW w:w="1919" w:type="pct"/>
            <w:vMerge/>
            <w:vAlign w:val="center"/>
          </w:tcPr>
          <w:p w14:paraId="260E8090" w14:textId="77777777" w:rsidR="00EE67BD" w:rsidRPr="000862BA" w:rsidRDefault="00EE67BD" w:rsidP="00E50637">
            <w:pPr>
              <w:spacing w:before="80" w:after="0" w:line="240" w:lineRule="auto"/>
              <w:jc w:val="center"/>
              <w:rPr>
                <w:rFonts w:ascii="Times New Roman" w:hAnsi="Times New Roman"/>
                <w:b/>
                <w:sz w:val="24"/>
                <w:szCs w:val="24"/>
              </w:rPr>
            </w:pPr>
          </w:p>
        </w:tc>
        <w:tc>
          <w:tcPr>
            <w:tcW w:w="576" w:type="pct"/>
            <w:vAlign w:val="center"/>
          </w:tcPr>
          <w:p w14:paraId="1566E191"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25 </w:t>
            </w:r>
            <w:r w:rsidRPr="000862BA">
              <w:rPr>
                <w:rFonts w:ascii="Times New Roman" w:hAnsi="Times New Roman"/>
                <w:b/>
              </w:rPr>
              <w:br/>
              <w:t>DAP</w:t>
            </w:r>
          </w:p>
        </w:tc>
        <w:tc>
          <w:tcPr>
            <w:tcW w:w="545" w:type="pct"/>
            <w:vAlign w:val="center"/>
          </w:tcPr>
          <w:p w14:paraId="26E83592"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50 </w:t>
            </w:r>
            <w:r w:rsidRPr="000862BA">
              <w:rPr>
                <w:rFonts w:ascii="Times New Roman" w:hAnsi="Times New Roman"/>
                <w:b/>
              </w:rPr>
              <w:br/>
              <w:t>DAP</w:t>
            </w:r>
          </w:p>
        </w:tc>
        <w:tc>
          <w:tcPr>
            <w:tcW w:w="468" w:type="pct"/>
            <w:vAlign w:val="center"/>
          </w:tcPr>
          <w:p w14:paraId="355BD6DD"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75 </w:t>
            </w:r>
            <w:r w:rsidRPr="000862BA">
              <w:rPr>
                <w:rFonts w:ascii="Times New Roman" w:hAnsi="Times New Roman"/>
                <w:b/>
              </w:rPr>
              <w:br/>
              <w:t>DAP</w:t>
            </w:r>
          </w:p>
        </w:tc>
        <w:tc>
          <w:tcPr>
            <w:tcW w:w="468" w:type="pct"/>
          </w:tcPr>
          <w:p w14:paraId="1F4EB84D"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100 </w:t>
            </w:r>
            <w:r w:rsidRPr="000862BA">
              <w:rPr>
                <w:rFonts w:ascii="Times New Roman" w:hAnsi="Times New Roman"/>
                <w:b/>
              </w:rPr>
              <w:br/>
              <w:t>DAP</w:t>
            </w:r>
          </w:p>
        </w:tc>
        <w:tc>
          <w:tcPr>
            <w:tcW w:w="587" w:type="pct"/>
            <w:vAlign w:val="center"/>
          </w:tcPr>
          <w:p w14:paraId="2A01178C" w14:textId="77777777" w:rsidR="00EE67BD" w:rsidRPr="000862BA" w:rsidRDefault="00EE67BD" w:rsidP="00E50637">
            <w:pPr>
              <w:tabs>
                <w:tab w:val="left" w:pos="1775"/>
              </w:tabs>
              <w:spacing w:before="80" w:after="0" w:line="240" w:lineRule="auto"/>
              <w:jc w:val="center"/>
              <w:rPr>
                <w:rFonts w:ascii="Times New Roman" w:hAnsi="Times New Roman"/>
                <w:b/>
              </w:rPr>
            </w:pPr>
            <w:r w:rsidRPr="000862BA">
              <w:rPr>
                <w:rFonts w:ascii="Times New Roman" w:hAnsi="Times New Roman"/>
                <w:b/>
              </w:rPr>
              <w:t>At Harvest</w:t>
            </w:r>
          </w:p>
        </w:tc>
      </w:tr>
      <w:tr w:rsidR="00E50637" w:rsidRPr="00C54EE0" w14:paraId="653E4A82" w14:textId="77777777" w:rsidTr="000862BA">
        <w:trPr>
          <w:trHeight w:val="275"/>
        </w:trPr>
        <w:tc>
          <w:tcPr>
            <w:tcW w:w="436" w:type="pct"/>
          </w:tcPr>
          <w:p w14:paraId="6D04E01A" w14:textId="77777777" w:rsidR="00EE67BD" w:rsidRPr="00E50637" w:rsidRDefault="00EE67BD" w:rsidP="00E50637">
            <w:pPr>
              <w:tabs>
                <w:tab w:val="center" w:pos="846"/>
                <w:tab w:val="left" w:pos="1032"/>
                <w:tab w:val="left" w:pos="1331"/>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1</w:t>
            </w:r>
          </w:p>
        </w:tc>
        <w:tc>
          <w:tcPr>
            <w:tcW w:w="1919" w:type="pct"/>
            <w:vAlign w:val="center"/>
          </w:tcPr>
          <w:p w14:paraId="6F164485" w14:textId="70DD5261" w:rsidR="00EE67BD" w:rsidRPr="00E50637" w:rsidRDefault="00EE67BD" w:rsidP="00E50637">
            <w:pPr>
              <w:spacing w:before="80" w:after="0" w:line="240" w:lineRule="auto"/>
              <w:ind w:left="564" w:hanging="396"/>
              <w:rPr>
                <w:rFonts w:ascii="Times New Roman" w:hAnsi="Times New Roman"/>
                <w:sz w:val="24"/>
                <w:szCs w:val="24"/>
                <w:vertAlign w:val="subscript"/>
              </w:rPr>
            </w:pPr>
            <w:r w:rsidRPr="00E50637">
              <w:rPr>
                <w:rFonts w:ascii="Times New Roman" w:hAnsi="Times New Roman"/>
                <w:sz w:val="24"/>
                <w:szCs w:val="24"/>
              </w:rPr>
              <w:t>T</w:t>
            </w:r>
            <w:r w:rsidRPr="00E50637">
              <w:rPr>
                <w:rFonts w:ascii="Times New Roman" w:hAnsi="Times New Roman"/>
                <w:sz w:val="24"/>
                <w:szCs w:val="24"/>
                <w:vertAlign w:val="subscript"/>
              </w:rPr>
              <w:t xml:space="preserve">0 – </w:t>
            </w:r>
            <w:r w:rsidRPr="00E50637">
              <w:rPr>
                <w:rFonts w:ascii="Times New Roman" w:hAnsi="Times New Roman"/>
                <w:sz w:val="24"/>
                <w:szCs w:val="24"/>
              </w:rPr>
              <w:t>Control</w:t>
            </w:r>
            <w:r w:rsidR="00E50637" w:rsidRPr="00E50637">
              <w:rPr>
                <w:rFonts w:ascii="Times New Roman" w:hAnsi="Times New Roman"/>
                <w:sz w:val="24"/>
                <w:szCs w:val="24"/>
              </w:rPr>
              <w:t xml:space="preserve">                                 </w:t>
            </w:r>
          </w:p>
        </w:tc>
        <w:tc>
          <w:tcPr>
            <w:tcW w:w="576" w:type="pct"/>
            <w:vAlign w:val="center"/>
          </w:tcPr>
          <w:p w14:paraId="444FA4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9.31</w:t>
            </w:r>
          </w:p>
        </w:tc>
        <w:tc>
          <w:tcPr>
            <w:tcW w:w="545" w:type="pct"/>
            <w:vAlign w:val="center"/>
          </w:tcPr>
          <w:p w14:paraId="3E7695ED"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20.08</w:t>
            </w:r>
          </w:p>
        </w:tc>
        <w:tc>
          <w:tcPr>
            <w:tcW w:w="468" w:type="pct"/>
            <w:vAlign w:val="center"/>
          </w:tcPr>
          <w:p w14:paraId="666274A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41.30</w:t>
            </w:r>
          </w:p>
        </w:tc>
        <w:tc>
          <w:tcPr>
            <w:tcW w:w="468" w:type="pct"/>
            <w:vAlign w:val="center"/>
          </w:tcPr>
          <w:p w14:paraId="6A22C09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59.31</w:t>
            </w:r>
          </w:p>
        </w:tc>
        <w:tc>
          <w:tcPr>
            <w:tcW w:w="587" w:type="pct"/>
            <w:vAlign w:val="center"/>
          </w:tcPr>
          <w:p w14:paraId="5242BC4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70.06</w:t>
            </w:r>
          </w:p>
        </w:tc>
      </w:tr>
      <w:tr w:rsidR="00E50637" w:rsidRPr="00C54EE0" w14:paraId="23813793" w14:textId="77777777" w:rsidTr="000862BA">
        <w:trPr>
          <w:trHeight w:val="306"/>
        </w:trPr>
        <w:tc>
          <w:tcPr>
            <w:tcW w:w="436" w:type="pct"/>
          </w:tcPr>
          <w:p w14:paraId="21BD3F16"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2</w:t>
            </w:r>
          </w:p>
        </w:tc>
        <w:tc>
          <w:tcPr>
            <w:tcW w:w="1919" w:type="pct"/>
            <w:vAlign w:val="center"/>
          </w:tcPr>
          <w:p w14:paraId="7429EB02" w14:textId="77777777" w:rsidR="00EE67BD" w:rsidRPr="00E50637" w:rsidRDefault="00EE67BD" w:rsidP="00E50637">
            <w:pPr>
              <w:spacing w:before="80" w:after="0" w:line="240" w:lineRule="auto"/>
              <w:ind w:left="564" w:hanging="396"/>
              <w:rPr>
                <w:rFonts w:ascii="Times New Roman" w:hAnsi="Times New Roman"/>
                <w:sz w:val="24"/>
                <w:szCs w:val="24"/>
              </w:rPr>
            </w:pPr>
            <w:r w:rsidRPr="00E50637">
              <w:rPr>
                <w:rFonts w:ascii="Times New Roman" w:hAnsi="Times New Roman"/>
                <w:sz w:val="24"/>
                <w:szCs w:val="24"/>
              </w:rPr>
              <w:t>T</w:t>
            </w:r>
            <w:r w:rsidRPr="00E50637">
              <w:rPr>
                <w:rFonts w:ascii="Times New Roman" w:hAnsi="Times New Roman"/>
                <w:sz w:val="24"/>
                <w:szCs w:val="24"/>
                <w:vertAlign w:val="subscript"/>
              </w:rPr>
              <w:t xml:space="preserve">2 </w:t>
            </w:r>
            <w:r w:rsidRPr="00E50637">
              <w:rPr>
                <w:rFonts w:ascii="Constantia" w:hAnsi="Constantia"/>
                <w:sz w:val="24"/>
                <w:szCs w:val="24"/>
              </w:rPr>
              <w:t>‐</w:t>
            </w:r>
            <w:r w:rsidRPr="00E50637">
              <w:rPr>
                <w:rFonts w:ascii="Times New Roman" w:hAnsi="Times New Roman"/>
                <w:sz w:val="24"/>
                <w:szCs w:val="24"/>
              </w:rPr>
              <w:t xml:space="preserve"> 100% NPK</w:t>
            </w:r>
          </w:p>
        </w:tc>
        <w:tc>
          <w:tcPr>
            <w:tcW w:w="576" w:type="pct"/>
            <w:vAlign w:val="center"/>
          </w:tcPr>
          <w:p w14:paraId="07299887"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19.84</w:t>
            </w:r>
          </w:p>
        </w:tc>
        <w:tc>
          <w:tcPr>
            <w:tcW w:w="545" w:type="pct"/>
            <w:vAlign w:val="center"/>
          </w:tcPr>
          <w:p w14:paraId="61CD1CA0"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34.66</w:t>
            </w:r>
          </w:p>
        </w:tc>
        <w:tc>
          <w:tcPr>
            <w:tcW w:w="468" w:type="pct"/>
            <w:vAlign w:val="center"/>
          </w:tcPr>
          <w:p w14:paraId="14D01F10"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62.47</w:t>
            </w:r>
          </w:p>
        </w:tc>
        <w:tc>
          <w:tcPr>
            <w:tcW w:w="468" w:type="pct"/>
            <w:vAlign w:val="center"/>
          </w:tcPr>
          <w:p w14:paraId="0F4462B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87.68</w:t>
            </w:r>
          </w:p>
        </w:tc>
        <w:tc>
          <w:tcPr>
            <w:tcW w:w="587" w:type="pct"/>
            <w:vAlign w:val="center"/>
          </w:tcPr>
          <w:p w14:paraId="4D8C896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97.09</w:t>
            </w:r>
          </w:p>
        </w:tc>
      </w:tr>
      <w:tr w:rsidR="00E50637" w:rsidRPr="00C54EE0" w14:paraId="3D041DA6" w14:textId="77777777" w:rsidTr="000862BA">
        <w:trPr>
          <w:trHeight w:val="306"/>
        </w:trPr>
        <w:tc>
          <w:tcPr>
            <w:tcW w:w="436" w:type="pct"/>
          </w:tcPr>
          <w:p w14:paraId="2F3DCA7C"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3</w:t>
            </w:r>
          </w:p>
        </w:tc>
        <w:tc>
          <w:tcPr>
            <w:tcW w:w="1919" w:type="pct"/>
            <w:vAlign w:val="center"/>
          </w:tcPr>
          <w:p w14:paraId="708DC6D8" w14:textId="6A2F50D7"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A.brasilense</w:t>
            </w:r>
          </w:p>
        </w:tc>
        <w:tc>
          <w:tcPr>
            <w:tcW w:w="576" w:type="pct"/>
            <w:vAlign w:val="center"/>
          </w:tcPr>
          <w:p w14:paraId="0A12377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18.00</w:t>
            </w:r>
          </w:p>
        </w:tc>
        <w:tc>
          <w:tcPr>
            <w:tcW w:w="545" w:type="pct"/>
            <w:vAlign w:val="center"/>
          </w:tcPr>
          <w:p w14:paraId="77E6B8C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32.83</w:t>
            </w:r>
          </w:p>
        </w:tc>
        <w:tc>
          <w:tcPr>
            <w:tcW w:w="468" w:type="pct"/>
            <w:vAlign w:val="center"/>
          </w:tcPr>
          <w:p w14:paraId="694AACD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61.76</w:t>
            </w:r>
          </w:p>
        </w:tc>
        <w:tc>
          <w:tcPr>
            <w:tcW w:w="468" w:type="pct"/>
            <w:vAlign w:val="center"/>
          </w:tcPr>
          <w:p w14:paraId="70D671B9"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73.42</w:t>
            </w:r>
          </w:p>
        </w:tc>
        <w:tc>
          <w:tcPr>
            <w:tcW w:w="587" w:type="pct"/>
            <w:vAlign w:val="center"/>
          </w:tcPr>
          <w:p w14:paraId="6DD5C56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93.45</w:t>
            </w:r>
          </w:p>
        </w:tc>
      </w:tr>
      <w:tr w:rsidR="00E50637" w:rsidRPr="00C54EE0" w14:paraId="0B780E2E" w14:textId="77777777" w:rsidTr="000862BA">
        <w:trPr>
          <w:trHeight w:val="51"/>
        </w:trPr>
        <w:tc>
          <w:tcPr>
            <w:tcW w:w="436" w:type="pct"/>
          </w:tcPr>
          <w:p w14:paraId="61F2398D"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4</w:t>
            </w:r>
          </w:p>
        </w:tc>
        <w:tc>
          <w:tcPr>
            <w:tcW w:w="1919" w:type="pct"/>
            <w:vAlign w:val="center"/>
          </w:tcPr>
          <w:p w14:paraId="2496C4AB" w14:textId="097358DC"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576" w:type="pct"/>
            <w:vAlign w:val="center"/>
          </w:tcPr>
          <w:p w14:paraId="4703A3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17.35</w:t>
            </w:r>
          </w:p>
        </w:tc>
        <w:tc>
          <w:tcPr>
            <w:tcW w:w="545" w:type="pct"/>
            <w:vAlign w:val="center"/>
          </w:tcPr>
          <w:p w14:paraId="71B4595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31.43</w:t>
            </w:r>
          </w:p>
        </w:tc>
        <w:tc>
          <w:tcPr>
            <w:tcW w:w="468" w:type="pct"/>
            <w:vAlign w:val="center"/>
          </w:tcPr>
          <w:p w14:paraId="2ED553AD"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58.32</w:t>
            </w:r>
          </w:p>
        </w:tc>
        <w:tc>
          <w:tcPr>
            <w:tcW w:w="468" w:type="pct"/>
            <w:vAlign w:val="center"/>
          </w:tcPr>
          <w:p w14:paraId="48F7D64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71.76</w:t>
            </w:r>
          </w:p>
        </w:tc>
        <w:tc>
          <w:tcPr>
            <w:tcW w:w="587" w:type="pct"/>
            <w:vAlign w:val="center"/>
          </w:tcPr>
          <w:p w14:paraId="66E572F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90.23</w:t>
            </w:r>
          </w:p>
        </w:tc>
      </w:tr>
      <w:tr w:rsidR="00E50637" w:rsidRPr="00C54EE0" w14:paraId="49B1C6F0" w14:textId="77777777" w:rsidTr="000862BA">
        <w:trPr>
          <w:trHeight w:val="581"/>
        </w:trPr>
        <w:tc>
          <w:tcPr>
            <w:tcW w:w="436" w:type="pct"/>
          </w:tcPr>
          <w:p w14:paraId="17C4A0C7"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5</w:t>
            </w:r>
          </w:p>
        </w:tc>
        <w:tc>
          <w:tcPr>
            <w:tcW w:w="1919" w:type="pct"/>
            <w:vAlign w:val="center"/>
          </w:tcPr>
          <w:p w14:paraId="6D58B042" w14:textId="4778337D" w:rsidR="00EE67BD" w:rsidRPr="009B3FEA" w:rsidRDefault="00EE67BD" w:rsidP="00E50637">
            <w:pPr>
              <w:spacing w:before="80" w:after="0" w:line="240" w:lineRule="auto"/>
              <w:ind w:left="564" w:right="-60" w:hanging="396"/>
              <w:rPr>
                <w:rFonts w:ascii="Times New Roman" w:hAnsi="Times New Roman"/>
                <w:i/>
                <w:iCs/>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 +</w:t>
            </w:r>
            <w:r w:rsidRPr="009B3FEA">
              <w:rPr>
                <w:rFonts w:ascii="Times New Roman" w:hAnsi="Times New Roman"/>
                <w:i/>
                <w:iCs/>
                <w:sz w:val="24"/>
                <w:szCs w:val="24"/>
                <w:lang w:val="pt-BR"/>
              </w:rPr>
              <w:t xml:space="preserve"> P.</w:t>
            </w:r>
            <w:r w:rsidRPr="009B3FEA">
              <w:rPr>
                <w:rFonts w:ascii="Times New Roman" w:hAnsi="Times New Roman"/>
                <w:i/>
                <w:sz w:val="24"/>
                <w:szCs w:val="24"/>
                <w:lang w:val="pt-BR"/>
              </w:rPr>
              <w:t xml:space="preserve"> fluorescens</w:t>
            </w:r>
          </w:p>
        </w:tc>
        <w:tc>
          <w:tcPr>
            <w:tcW w:w="576" w:type="pct"/>
            <w:vAlign w:val="center"/>
          </w:tcPr>
          <w:p w14:paraId="7E6EB62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20.37</w:t>
            </w:r>
          </w:p>
        </w:tc>
        <w:tc>
          <w:tcPr>
            <w:tcW w:w="545" w:type="pct"/>
            <w:vAlign w:val="center"/>
          </w:tcPr>
          <w:p w14:paraId="784E0E64"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35.17</w:t>
            </w:r>
          </w:p>
        </w:tc>
        <w:tc>
          <w:tcPr>
            <w:tcW w:w="468" w:type="pct"/>
            <w:vAlign w:val="center"/>
          </w:tcPr>
          <w:p w14:paraId="658AFCA6"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65.72</w:t>
            </w:r>
          </w:p>
        </w:tc>
        <w:tc>
          <w:tcPr>
            <w:tcW w:w="468" w:type="pct"/>
            <w:vAlign w:val="center"/>
          </w:tcPr>
          <w:p w14:paraId="200B62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88.65</w:t>
            </w:r>
          </w:p>
        </w:tc>
        <w:tc>
          <w:tcPr>
            <w:tcW w:w="587" w:type="pct"/>
            <w:vAlign w:val="center"/>
          </w:tcPr>
          <w:p w14:paraId="6FDE997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99.03</w:t>
            </w:r>
          </w:p>
        </w:tc>
      </w:tr>
      <w:tr w:rsidR="00E50637" w:rsidRPr="00C54EE0" w14:paraId="65E55E4B" w14:textId="77777777" w:rsidTr="000862BA">
        <w:trPr>
          <w:trHeight w:val="306"/>
        </w:trPr>
        <w:tc>
          <w:tcPr>
            <w:tcW w:w="436" w:type="pct"/>
          </w:tcPr>
          <w:p w14:paraId="4429D043"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6</w:t>
            </w:r>
          </w:p>
        </w:tc>
        <w:tc>
          <w:tcPr>
            <w:tcW w:w="1919" w:type="pct"/>
            <w:vAlign w:val="center"/>
          </w:tcPr>
          <w:p w14:paraId="13276379" w14:textId="71CAE6CC" w:rsidR="00EE67BD" w:rsidRPr="009B3FEA" w:rsidRDefault="00EE67BD" w:rsidP="00E50637">
            <w:pPr>
              <w:spacing w:before="80" w:after="0" w:line="240" w:lineRule="auto"/>
              <w:ind w:left="564" w:hanging="396"/>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576" w:type="pct"/>
            <w:vAlign w:val="center"/>
          </w:tcPr>
          <w:p w14:paraId="691FD73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14.28</w:t>
            </w:r>
          </w:p>
        </w:tc>
        <w:tc>
          <w:tcPr>
            <w:tcW w:w="545" w:type="pct"/>
            <w:vAlign w:val="center"/>
          </w:tcPr>
          <w:p w14:paraId="05907D6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24.34</w:t>
            </w:r>
          </w:p>
        </w:tc>
        <w:tc>
          <w:tcPr>
            <w:tcW w:w="468" w:type="pct"/>
            <w:vAlign w:val="center"/>
          </w:tcPr>
          <w:p w14:paraId="13269349"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50.31</w:t>
            </w:r>
          </w:p>
        </w:tc>
        <w:tc>
          <w:tcPr>
            <w:tcW w:w="468" w:type="pct"/>
            <w:vAlign w:val="center"/>
          </w:tcPr>
          <w:p w14:paraId="49ED0EF7"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62.34</w:t>
            </w:r>
          </w:p>
        </w:tc>
        <w:tc>
          <w:tcPr>
            <w:tcW w:w="587" w:type="pct"/>
            <w:vAlign w:val="center"/>
          </w:tcPr>
          <w:p w14:paraId="2664037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83.12</w:t>
            </w:r>
          </w:p>
        </w:tc>
      </w:tr>
      <w:tr w:rsidR="00E50637" w:rsidRPr="00C54EE0" w14:paraId="0FBB93D3" w14:textId="77777777" w:rsidTr="000862BA">
        <w:trPr>
          <w:trHeight w:val="306"/>
        </w:trPr>
        <w:tc>
          <w:tcPr>
            <w:tcW w:w="436" w:type="pct"/>
          </w:tcPr>
          <w:p w14:paraId="2B5F4554"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7</w:t>
            </w:r>
          </w:p>
        </w:tc>
        <w:tc>
          <w:tcPr>
            <w:tcW w:w="1919" w:type="pct"/>
            <w:vAlign w:val="center"/>
          </w:tcPr>
          <w:p w14:paraId="00F37871" w14:textId="5E108699"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576" w:type="pct"/>
            <w:vAlign w:val="center"/>
          </w:tcPr>
          <w:p w14:paraId="1760411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15.44</w:t>
            </w:r>
          </w:p>
        </w:tc>
        <w:tc>
          <w:tcPr>
            <w:tcW w:w="545" w:type="pct"/>
            <w:vAlign w:val="center"/>
          </w:tcPr>
          <w:p w14:paraId="62AF135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29.89</w:t>
            </w:r>
          </w:p>
        </w:tc>
        <w:tc>
          <w:tcPr>
            <w:tcW w:w="468" w:type="pct"/>
            <w:vAlign w:val="center"/>
          </w:tcPr>
          <w:p w14:paraId="71859DB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54.78</w:t>
            </w:r>
          </w:p>
        </w:tc>
        <w:tc>
          <w:tcPr>
            <w:tcW w:w="468" w:type="pct"/>
            <w:vAlign w:val="center"/>
          </w:tcPr>
          <w:p w14:paraId="2E01A64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65.67</w:t>
            </w:r>
          </w:p>
        </w:tc>
        <w:tc>
          <w:tcPr>
            <w:tcW w:w="587" w:type="pct"/>
            <w:vAlign w:val="center"/>
          </w:tcPr>
          <w:p w14:paraId="10545E8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86.08</w:t>
            </w:r>
          </w:p>
        </w:tc>
      </w:tr>
      <w:tr w:rsidR="00E50637" w:rsidRPr="00C54EE0" w14:paraId="19C8FE95" w14:textId="77777777" w:rsidTr="000862BA">
        <w:trPr>
          <w:trHeight w:val="581"/>
        </w:trPr>
        <w:tc>
          <w:tcPr>
            <w:tcW w:w="436" w:type="pct"/>
          </w:tcPr>
          <w:p w14:paraId="2A22C844"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8</w:t>
            </w:r>
          </w:p>
        </w:tc>
        <w:tc>
          <w:tcPr>
            <w:tcW w:w="1919" w:type="pct"/>
            <w:vAlign w:val="center"/>
          </w:tcPr>
          <w:p w14:paraId="13699E8A" w14:textId="1F05B8D8"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r w:rsidRPr="009B3FEA">
              <w:rPr>
                <w:rFonts w:ascii="Times New Roman" w:hAnsi="Times New Roman"/>
                <w:i/>
                <w:iCs/>
                <w:sz w:val="24"/>
                <w:szCs w:val="24"/>
                <w:lang w:val="pt-BR"/>
              </w:rPr>
              <w:t>+ P.</w:t>
            </w:r>
            <w:r w:rsidRPr="009B3FEA">
              <w:rPr>
                <w:rFonts w:ascii="Times New Roman" w:hAnsi="Times New Roman"/>
                <w:i/>
                <w:sz w:val="24"/>
                <w:szCs w:val="24"/>
                <w:lang w:val="pt-BR"/>
              </w:rPr>
              <w:t xml:space="preserve"> fluorescens</w:t>
            </w:r>
          </w:p>
        </w:tc>
        <w:tc>
          <w:tcPr>
            <w:tcW w:w="576" w:type="pct"/>
            <w:vAlign w:val="center"/>
          </w:tcPr>
          <w:p w14:paraId="55F3D2B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10.63</w:t>
            </w:r>
          </w:p>
        </w:tc>
        <w:tc>
          <w:tcPr>
            <w:tcW w:w="545" w:type="pct"/>
            <w:vAlign w:val="center"/>
          </w:tcPr>
          <w:p w14:paraId="05E6EA3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21.86</w:t>
            </w:r>
          </w:p>
        </w:tc>
        <w:tc>
          <w:tcPr>
            <w:tcW w:w="468" w:type="pct"/>
            <w:vAlign w:val="center"/>
          </w:tcPr>
          <w:p w14:paraId="06B3AA2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46.47</w:t>
            </w:r>
          </w:p>
        </w:tc>
        <w:tc>
          <w:tcPr>
            <w:tcW w:w="468" w:type="pct"/>
            <w:vAlign w:val="center"/>
          </w:tcPr>
          <w:p w14:paraId="35945FA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60.48</w:t>
            </w:r>
          </w:p>
        </w:tc>
        <w:tc>
          <w:tcPr>
            <w:tcW w:w="587" w:type="pct"/>
            <w:vAlign w:val="center"/>
          </w:tcPr>
          <w:p w14:paraId="18268BA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65.32</w:t>
            </w:r>
          </w:p>
        </w:tc>
      </w:tr>
      <w:tr w:rsidR="00E50637" w:rsidRPr="00C54EE0" w14:paraId="5AD82CD1" w14:textId="77777777" w:rsidTr="000862BA">
        <w:trPr>
          <w:trHeight w:val="275"/>
        </w:trPr>
        <w:tc>
          <w:tcPr>
            <w:tcW w:w="2356" w:type="pct"/>
            <w:gridSpan w:val="2"/>
          </w:tcPr>
          <w:p w14:paraId="4EDB5D57" w14:textId="77777777" w:rsidR="00EE67BD" w:rsidRPr="00E50637" w:rsidRDefault="00EE67BD" w:rsidP="00E50637">
            <w:pPr>
              <w:tabs>
                <w:tab w:val="left" w:pos="1032"/>
              </w:tabs>
              <w:spacing w:before="80" w:after="0" w:line="240" w:lineRule="auto"/>
              <w:jc w:val="center"/>
              <w:rPr>
                <w:rFonts w:ascii="Times New Roman" w:hAnsi="Times New Roman"/>
                <w:b/>
                <w:sz w:val="24"/>
                <w:szCs w:val="24"/>
                <w:vertAlign w:val="subscript"/>
              </w:rPr>
            </w:pPr>
            <w:proofErr w:type="spellStart"/>
            <w:r w:rsidRPr="00E50637">
              <w:rPr>
                <w:rFonts w:ascii="Times New Roman" w:hAnsi="Times New Roman"/>
                <w:sz w:val="24"/>
                <w:szCs w:val="24"/>
              </w:rPr>
              <w:t>Sed</w:t>
            </w:r>
            <w:proofErr w:type="spellEnd"/>
          </w:p>
        </w:tc>
        <w:tc>
          <w:tcPr>
            <w:tcW w:w="576" w:type="pct"/>
          </w:tcPr>
          <w:p w14:paraId="5098A9D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0.4036</w:t>
            </w:r>
          </w:p>
        </w:tc>
        <w:tc>
          <w:tcPr>
            <w:tcW w:w="545" w:type="pct"/>
          </w:tcPr>
          <w:p w14:paraId="0BB7C79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0.4269</w:t>
            </w:r>
          </w:p>
        </w:tc>
        <w:tc>
          <w:tcPr>
            <w:tcW w:w="468" w:type="pct"/>
          </w:tcPr>
          <w:p w14:paraId="2471A236"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0.6392</w:t>
            </w:r>
          </w:p>
        </w:tc>
        <w:tc>
          <w:tcPr>
            <w:tcW w:w="468" w:type="pct"/>
          </w:tcPr>
          <w:p w14:paraId="3668B2B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1.0585</w:t>
            </w:r>
          </w:p>
        </w:tc>
        <w:tc>
          <w:tcPr>
            <w:tcW w:w="587" w:type="pct"/>
          </w:tcPr>
          <w:p w14:paraId="699D83D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1.9969</w:t>
            </w:r>
          </w:p>
        </w:tc>
      </w:tr>
      <w:tr w:rsidR="00E50637" w:rsidRPr="00C54EE0" w14:paraId="21888FEC" w14:textId="77777777" w:rsidTr="000862BA">
        <w:trPr>
          <w:trHeight w:val="306"/>
        </w:trPr>
        <w:tc>
          <w:tcPr>
            <w:tcW w:w="2356" w:type="pct"/>
            <w:gridSpan w:val="2"/>
          </w:tcPr>
          <w:p w14:paraId="323C39F9" w14:textId="3CEBD0CB" w:rsidR="00EE67BD" w:rsidRPr="00E50637" w:rsidRDefault="00EE67BD" w:rsidP="00E50637">
            <w:pPr>
              <w:tabs>
                <w:tab w:val="left" w:pos="1032"/>
              </w:tabs>
              <w:spacing w:before="80" w:after="0" w:line="240" w:lineRule="auto"/>
              <w:jc w:val="center"/>
              <w:rPr>
                <w:rFonts w:ascii="Times New Roman" w:hAnsi="Times New Roman"/>
                <w:b/>
                <w:sz w:val="24"/>
                <w:szCs w:val="24"/>
              </w:rPr>
            </w:pPr>
            <w:r w:rsidRPr="00E50637">
              <w:rPr>
                <w:rFonts w:ascii="Times New Roman" w:hAnsi="Times New Roman"/>
                <w:sz w:val="24"/>
                <w:szCs w:val="24"/>
              </w:rPr>
              <w:t>CD(P=0.05)</w:t>
            </w:r>
          </w:p>
        </w:tc>
        <w:tc>
          <w:tcPr>
            <w:tcW w:w="576" w:type="pct"/>
          </w:tcPr>
          <w:p w14:paraId="4B88DC7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0.8639</w:t>
            </w:r>
          </w:p>
        </w:tc>
        <w:tc>
          <w:tcPr>
            <w:tcW w:w="545" w:type="pct"/>
          </w:tcPr>
          <w:p w14:paraId="5C7DFD3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0.9136</w:t>
            </w:r>
          </w:p>
        </w:tc>
        <w:tc>
          <w:tcPr>
            <w:tcW w:w="468" w:type="pct"/>
          </w:tcPr>
          <w:p w14:paraId="686743B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1.3681</w:t>
            </w:r>
          </w:p>
        </w:tc>
        <w:tc>
          <w:tcPr>
            <w:tcW w:w="468" w:type="pct"/>
          </w:tcPr>
          <w:p w14:paraId="5C9D106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2.2653</w:t>
            </w:r>
          </w:p>
        </w:tc>
        <w:tc>
          <w:tcPr>
            <w:tcW w:w="587" w:type="pct"/>
          </w:tcPr>
          <w:p w14:paraId="108A37B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4.2735</w:t>
            </w:r>
          </w:p>
        </w:tc>
      </w:tr>
    </w:tbl>
    <w:p w14:paraId="51D46913" w14:textId="77777777" w:rsidR="006D69B7" w:rsidRDefault="00AE2831" w:rsidP="006D69B7">
      <w:pPr>
        <w:pStyle w:val="NormalWeb"/>
        <w:spacing w:line="360" w:lineRule="auto"/>
        <w:ind w:right="-421"/>
        <w:jc w:val="both"/>
        <w:rPr>
          <w:b/>
        </w:rPr>
      </w:pPr>
      <w:r w:rsidRPr="002F5216">
        <w:rPr>
          <w:noProof/>
          <w:lang w:val="en-IN" w:eastAsia="en-IN" w:bidi="hi-IN"/>
        </w:rPr>
        <w:drawing>
          <wp:inline distT="0" distB="0" distL="0" distR="0" wp14:anchorId="38BF5137" wp14:editId="452D12BE">
            <wp:extent cx="4819135" cy="2397211"/>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15972A" w14:textId="034B0EAA" w:rsidR="004A47BB" w:rsidRDefault="003A34C9" w:rsidP="004A47BB">
      <w:pPr>
        <w:pStyle w:val="NormalWeb"/>
        <w:spacing w:line="360" w:lineRule="auto"/>
        <w:ind w:left="-540" w:right="-421"/>
        <w:jc w:val="both"/>
        <w:rPr>
          <w:b/>
          <w:sz w:val="22"/>
          <w:szCs w:val="22"/>
        </w:rPr>
      </w:pPr>
      <w:proofErr w:type="gramStart"/>
      <w:r w:rsidRPr="00AE2712">
        <w:rPr>
          <w:b/>
          <w:sz w:val="22"/>
          <w:szCs w:val="22"/>
        </w:rPr>
        <w:t xml:space="preserve">Fig. </w:t>
      </w:r>
      <w:r w:rsidR="00B139FA" w:rsidRPr="00B577A8">
        <w:rPr>
          <w:b/>
          <w:color w:val="FF0000"/>
          <w:sz w:val="22"/>
          <w:szCs w:val="22"/>
        </w:rPr>
        <w:t>2</w:t>
      </w:r>
      <w:r w:rsidR="00B577A8" w:rsidRPr="00B577A8">
        <w:rPr>
          <w:b/>
          <w:color w:val="FF0000"/>
          <w:sz w:val="22"/>
          <w:szCs w:val="22"/>
        </w:rPr>
        <w:t>.</w:t>
      </w:r>
      <w:proofErr w:type="gramEnd"/>
      <w:r w:rsidR="00B577A8">
        <w:rPr>
          <w:b/>
          <w:sz w:val="22"/>
          <w:szCs w:val="22"/>
        </w:rPr>
        <w:t xml:space="preserve"> </w:t>
      </w:r>
      <w:r w:rsidRPr="00AE2712">
        <w:rPr>
          <w:sz w:val="22"/>
          <w:szCs w:val="22"/>
        </w:rPr>
        <w:t xml:space="preserve"> </w:t>
      </w:r>
      <w:r w:rsidRPr="00AE2712">
        <w:rPr>
          <w:b/>
          <w:sz w:val="22"/>
          <w:szCs w:val="22"/>
        </w:rPr>
        <w:t xml:space="preserve">Effect of PGPR inoculation on the plant height </w:t>
      </w:r>
      <w:proofErr w:type="spellStart"/>
      <w:r w:rsidRPr="00AE2712">
        <w:rPr>
          <w:b/>
          <w:sz w:val="22"/>
          <w:szCs w:val="22"/>
        </w:rPr>
        <w:t>chilli</w:t>
      </w:r>
      <w:proofErr w:type="spellEnd"/>
      <w:r w:rsidRPr="00AE2712">
        <w:rPr>
          <w:b/>
          <w:sz w:val="22"/>
          <w:szCs w:val="22"/>
        </w:rPr>
        <w:t xml:space="preserve"> variety</w:t>
      </w:r>
      <w:r w:rsidR="00AE2712" w:rsidRPr="00AE2712">
        <w:rPr>
          <w:b/>
          <w:sz w:val="22"/>
          <w:szCs w:val="22"/>
        </w:rPr>
        <w:t xml:space="preserve"> K2</w:t>
      </w:r>
      <w:r w:rsidRPr="00AE2712">
        <w:rPr>
          <w:b/>
          <w:sz w:val="22"/>
          <w:szCs w:val="22"/>
        </w:rPr>
        <w:t xml:space="preserve"> under pot culture condition</w:t>
      </w:r>
    </w:p>
    <w:p w14:paraId="105D59A0" w14:textId="77777777" w:rsidR="00213043" w:rsidRPr="009E0ECF" w:rsidRDefault="00213043" w:rsidP="00213043">
      <w:pPr>
        <w:pStyle w:val="NormalWeb"/>
        <w:spacing w:line="360" w:lineRule="auto"/>
        <w:ind w:left="-720" w:right="-421"/>
        <w:jc w:val="both"/>
        <w:rPr>
          <w:b/>
          <w:bCs/>
        </w:rPr>
      </w:pPr>
      <w:r w:rsidRPr="009E0ECF">
        <w:rPr>
          <w:b/>
          <w:bCs/>
        </w:rPr>
        <w:t>3.3 Dry Matter Production</w:t>
      </w:r>
    </w:p>
    <w:p w14:paraId="68440871" w14:textId="5F5876AE" w:rsidR="00213043" w:rsidRDefault="00213043" w:rsidP="00213043">
      <w:pPr>
        <w:pStyle w:val="NormalWeb"/>
        <w:spacing w:line="360" w:lineRule="auto"/>
        <w:ind w:left="-720" w:right="-421"/>
        <w:jc w:val="both"/>
      </w:pPr>
      <w:r w:rsidRPr="009E0ECF">
        <w:lastRenderedPageBreak/>
        <w:t>Dry matter production (DMP) increased progressively with crop age and was significantly higher in PGPR-treated plants than in the control. Dual inoculation treatments recorded the highest DMP at all growth stages, with T</w:t>
      </w:r>
      <w:r w:rsidRPr="0015374A">
        <w:rPr>
          <w:color w:val="FF0000"/>
          <w:vertAlign w:val="subscript"/>
        </w:rPr>
        <w:t>5</w:t>
      </w:r>
      <w:r w:rsidRPr="009E0ECF">
        <w:t xml:space="preserve"> showing maximum biomass accumulation</w:t>
      </w:r>
      <w:r>
        <w:t xml:space="preserve"> (</w:t>
      </w:r>
      <w:r w:rsidRPr="00C54EE0">
        <w:rPr>
          <w:sz w:val="26"/>
          <w:szCs w:val="26"/>
        </w:rPr>
        <w:t>12.03 g plant</w:t>
      </w:r>
      <w:r w:rsidRPr="00C54EE0">
        <w:rPr>
          <w:sz w:val="26"/>
          <w:szCs w:val="26"/>
          <w:vertAlign w:val="superscript"/>
        </w:rPr>
        <w:t>-1</w:t>
      </w:r>
      <w:r>
        <w:rPr>
          <w:sz w:val="26"/>
          <w:szCs w:val="26"/>
        </w:rPr>
        <w:t>) at harvest per</w:t>
      </w:r>
      <w:r w:rsidR="00766CB6">
        <w:rPr>
          <w:sz w:val="26"/>
          <w:szCs w:val="26"/>
        </w:rPr>
        <w:t>i</w:t>
      </w:r>
      <w:r>
        <w:rPr>
          <w:sz w:val="26"/>
          <w:szCs w:val="26"/>
        </w:rPr>
        <w:t>od. (Table-3 &amp; Figure-3).</w:t>
      </w:r>
    </w:p>
    <w:p w14:paraId="1AC4F0FA" w14:textId="1F27B1FF" w:rsidR="00213043" w:rsidRPr="00FB6BC7" w:rsidRDefault="00213043" w:rsidP="00FB6BC7">
      <w:pPr>
        <w:pStyle w:val="NormalWeb"/>
        <w:spacing w:line="360" w:lineRule="auto"/>
        <w:ind w:left="-720" w:right="-421"/>
        <w:jc w:val="both"/>
      </w:pPr>
      <w:r w:rsidRPr="009E0ECF">
        <w:t xml:space="preserve">Increased dry matter accumulation reflects enhanced photosynthate production and efficient translocation of assimilates, which may be linked to improved root architecture and nutrient absorption facilitated by PGPR (Bashan et al., 2004; </w:t>
      </w:r>
      <w:proofErr w:type="spellStart"/>
      <w:r w:rsidR="00F40036" w:rsidRPr="00BC0F79">
        <w:t>Nandni</w:t>
      </w:r>
      <w:proofErr w:type="spellEnd"/>
      <w:r w:rsidR="00F40036" w:rsidRPr="00BC0F79">
        <w:t> Sharma</w:t>
      </w:r>
      <w:r w:rsidRPr="009E0ECF">
        <w:t xml:space="preserve">, 2024). Co-inoculation improves microbial activity in the rhizosphere, resulting in better nutrient cycling and sustained plant growth. Similar increases in dry matter due to PGPR consortia have been documented by </w:t>
      </w:r>
      <w:proofErr w:type="spellStart"/>
      <w:r w:rsidRPr="009E0ECF">
        <w:t>Keerthana</w:t>
      </w:r>
      <w:proofErr w:type="spellEnd"/>
      <w:r w:rsidRPr="009E0ECF">
        <w:t xml:space="preserve"> et al. (2024) and </w:t>
      </w:r>
      <w:proofErr w:type="spellStart"/>
      <w:r w:rsidRPr="009E0ECF">
        <w:t>Heliyon</w:t>
      </w:r>
      <w:proofErr w:type="spellEnd"/>
      <w:r w:rsidRPr="009E0ECF">
        <w:t xml:space="preserve"> (2024).</w:t>
      </w:r>
    </w:p>
    <w:p w14:paraId="6E210094" w14:textId="171040A8" w:rsidR="003B0D48" w:rsidRPr="00E42ECE" w:rsidRDefault="003B0D48" w:rsidP="00E42ECE">
      <w:pPr>
        <w:pStyle w:val="NormalWeb"/>
        <w:spacing w:line="276" w:lineRule="auto"/>
        <w:ind w:left="-540" w:right="-421"/>
        <w:jc w:val="both"/>
        <w:rPr>
          <w:b/>
          <w:sz w:val="22"/>
          <w:szCs w:val="22"/>
        </w:rPr>
      </w:pPr>
      <w:r w:rsidRPr="00E42ECE">
        <w:rPr>
          <w:b/>
          <w:sz w:val="22"/>
          <w:szCs w:val="22"/>
        </w:rPr>
        <w:t>Table-</w:t>
      </w:r>
      <w:r w:rsidR="00AD6FCD">
        <w:rPr>
          <w:b/>
          <w:sz w:val="22"/>
          <w:szCs w:val="22"/>
        </w:rPr>
        <w:t>3</w:t>
      </w:r>
      <w:r w:rsidRPr="00E42ECE">
        <w:rPr>
          <w:b/>
          <w:sz w:val="22"/>
          <w:szCs w:val="22"/>
        </w:rPr>
        <w:t>. Effect of</w:t>
      </w:r>
      <w:r w:rsidR="00E42ECE">
        <w:rPr>
          <w:b/>
          <w:sz w:val="22"/>
          <w:szCs w:val="22"/>
        </w:rPr>
        <w:t xml:space="preserve"> </w:t>
      </w:r>
      <w:r w:rsidRPr="00E42ECE">
        <w:rPr>
          <w:b/>
          <w:sz w:val="22"/>
          <w:szCs w:val="22"/>
        </w:rPr>
        <w:t xml:space="preserve">PGPR inoculation on the plant dry matter production of </w:t>
      </w:r>
      <w:proofErr w:type="spellStart"/>
      <w:r w:rsidRPr="00E42ECE">
        <w:rPr>
          <w:b/>
          <w:sz w:val="22"/>
          <w:szCs w:val="22"/>
        </w:rPr>
        <w:t>chilli</w:t>
      </w:r>
      <w:proofErr w:type="spellEnd"/>
      <w:r w:rsidRPr="00E42ECE">
        <w:rPr>
          <w:b/>
          <w:sz w:val="22"/>
          <w:szCs w:val="22"/>
        </w:rPr>
        <w:t xml:space="preserve"> variety </w:t>
      </w:r>
      <w:r w:rsidR="00E42ECE">
        <w:rPr>
          <w:b/>
          <w:sz w:val="22"/>
          <w:szCs w:val="22"/>
        </w:rPr>
        <w:t xml:space="preserve">K2 </w:t>
      </w:r>
      <w:r w:rsidRPr="00E42ECE">
        <w:rPr>
          <w:b/>
          <w:sz w:val="22"/>
          <w:szCs w:val="22"/>
        </w:rPr>
        <w:t>under pot culture condition</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5310"/>
        <w:gridCol w:w="809"/>
        <w:gridCol w:w="906"/>
        <w:gridCol w:w="906"/>
        <w:gridCol w:w="864"/>
        <w:gridCol w:w="1030"/>
      </w:tblGrid>
      <w:tr w:rsidR="003B0D48" w:rsidRPr="00C54EE0" w14:paraId="6103E0B4" w14:textId="77777777" w:rsidTr="003B0D48">
        <w:trPr>
          <w:trHeight w:val="217"/>
          <w:jc w:val="center"/>
        </w:trPr>
        <w:tc>
          <w:tcPr>
            <w:tcW w:w="731" w:type="dxa"/>
            <w:vMerge w:val="restart"/>
            <w:vAlign w:val="center"/>
          </w:tcPr>
          <w:p w14:paraId="03202D5F" w14:textId="4D738664" w:rsidR="003B0D48" w:rsidRPr="00B65F2F" w:rsidRDefault="003B0D48" w:rsidP="0015374A">
            <w:pPr>
              <w:spacing w:before="80" w:after="80" w:line="240" w:lineRule="auto"/>
              <w:jc w:val="center"/>
              <w:rPr>
                <w:rFonts w:ascii="Times New Roman" w:hAnsi="Times New Roman"/>
                <w:b/>
                <w:sz w:val="24"/>
                <w:szCs w:val="24"/>
              </w:rPr>
            </w:pPr>
            <w:proofErr w:type="spellStart"/>
            <w:r w:rsidRPr="00B65F2F">
              <w:rPr>
                <w:rFonts w:ascii="Times New Roman" w:hAnsi="Times New Roman"/>
                <w:b/>
                <w:sz w:val="24"/>
                <w:szCs w:val="24"/>
              </w:rPr>
              <w:t>S.N</w:t>
            </w:r>
            <w:r w:rsidR="0015374A" w:rsidRPr="0015374A">
              <w:rPr>
                <w:rFonts w:ascii="Times New Roman" w:hAnsi="Times New Roman"/>
                <w:b/>
                <w:color w:val="FF0000"/>
                <w:sz w:val="24"/>
                <w:szCs w:val="24"/>
              </w:rPr>
              <w:t>o</w:t>
            </w:r>
            <w:proofErr w:type="spellEnd"/>
            <w:r w:rsidR="0015374A">
              <w:rPr>
                <w:rFonts w:ascii="Times New Roman" w:hAnsi="Times New Roman"/>
                <w:b/>
                <w:color w:val="FF0000"/>
                <w:sz w:val="24"/>
                <w:szCs w:val="24"/>
              </w:rPr>
              <w:t>.</w:t>
            </w:r>
          </w:p>
        </w:tc>
        <w:tc>
          <w:tcPr>
            <w:tcW w:w="5376" w:type="dxa"/>
            <w:vMerge w:val="restart"/>
            <w:vAlign w:val="center"/>
          </w:tcPr>
          <w:p w14:paraId="047955E1"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Treatments</w:t>
            </w:r>
          </w:p>
        </w:tc>
        <w:tc>
          <w:tcPr>
            <w:tcW w:w="4481" w:type="dxa"/>
            <w:gridSpan w:val="5"/>
          </w:tcPr>
          <w:p w14:paraId="3DE04D57"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Plant dry matter production (g plant </w:t>
            </w:r>
            <w:r w:rsidRPr="00B65F2F">
              <w:rPr>
                <w:rFonts w:ascii="Times New Roman" w:hAnsi="Times New Roman"/>
                <w:b/>
                <w:sz w:val="24"/>
                <w:szCs w:val="24"/>
                <w:vertAlign w:val="superscript"/>
              </w:rPr>
              <w:t>-1</w:t>
            </w:r>
            <w:r w:rsidRPr="00B65F2F">
              <w:rPr>
                <w:rFonts w:ascii="Times New Roman" w:hAnsi="Times New Roman"/>
                <w:b/>
                <w:sz w:val="24"/>
                <w:szCs w:val="24"/>
              </w:rPr>
              <w:t>)</w:t>
            </w:r>
          </w:p>
        </w:tc>
      </w:tr>
      <w:tr w:rsidR="003B0D48" w:rsidRPr="00C54EE0" w14:paraId="151F76ED" w14:textId="77777777" w:rsidTr="003B0D48">
        <w:trPr>
          <w:trHeight w:val="229"/>
          <w:jc w:val="center"/>
        </w:trPr>
        <w:tc>
          <w:tcPr>
            <w:tcW w:w="731" w:type="dxa"/>
            <w:vMerge/>
            <w:vAlign w:val="center"/>
          </w:tcPr>
          <w:p w14:paraId="6CD04FB3" w14:textId="77777777" w:rsidR="003B0D48" w:rsidRPr="00B65F2F" w:rsidRDefault="003B0D48" w:rsidP="009B3FEA">
            <w:pPr>
              <w:spacing w:before="80" w:after="80" w:line="240" w:lineRule="auto"/>
              <w:jc w:val="center"/>
              <w:rPr>
                <w:rFonts w:ascii="Times New Roman" w:hAnsi="Times New Roman"/>
                <w:b/>
                <w:sz w:val="24"/>
                <w:szCs w:val="24"/>
              </w:rPr>
            </w:pPr>
          </w:p>
        </w:tc>
        <w:tc>
          <w:tcPr>
            <w:tcW w:w="5376" w:type="dxa"/>
            <w:vMerge/>
            <w:vAlign w:val="center"/>
          </w:tcPr>
          <w:p w14:paraId="0E8E7EF7" w14:textId="77777777" w:rsidR="003B0D48" w:rsidRPr="00B65F2F" w:rsidRDefault="003B0D48" w:rsidP="009B3FEA">
            <w:pPr>
              <w:spacing w:before="80" w:after="80" w:line="240" w:lineRule="auto"/>
              <w:jc w:val="center"/>
              <w:rPr>
                <w:rFonts w:ascii="Times New Roman" w:hAnsi="Times New Roman"/>
                <w:b/>
                <w:sz w:val="24"/>
                <w:szCs w:val="24"/>
              </w:rPr>
            </w:pPr>
          </w:p>
        </w:tc>
        <w:tc>
          <w:tcPr>
            <w:tcW w:w="811" w:type="dxa"/>
            <w:vAlign w:val="center"/>
          </w:tcPr>
          <w:p w14:paraId="0BA983CE"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25 DAP</w:t>
            </w:r>
          </w:p>
        </w:tc>
        <w:tc>
          <w:tcPr>
            <w:tcW w:w="909" w:type="dxa"/>
            <w:vAlign w:val="center"/>
          </w:tcPr>
          <w:p w14:paraId="0132208D"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50 </w:t>
            </w:r>
            <w:r w:rsidRPr="00B65F2F">
              <w:rPr>
                <w:rFonts w:ascii="Times New Roman" w:hAnsi="Times New Roman"/>
                <w:b/>
                <w:sz w:val="24"/>
                <w:szCs w:val="24"/>
              </w:rPr>
              <w:br/>
              <w:t>DAP</w:t>
            </w:r>
          </w:p>
        </w:tc>
        <w:tc>
          <w:tcPr>
            <w:tcW w:w="909" w:type="dxa"/>
            <w:vAlign w:val="center"/>
          </w:tcPr>
          <w:p w14:paraId="7B1762DD"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75 </w:t>
            </w:r>
            <w:r w:rsidRPr="00B65F2F">
              <w:rPr>
                <w:rFonts w:ascii="Times New Roman" w:hAnsi="Times New Roman"/>
                <w:b/>
                <w:sz w:val="24"/>
                <w:szCs w:val="24"/>
              </w:rPr>
              <w:br/>
              <w:t>DAP</w:t>
            </w:r>
          </w:p>
        </w:tc>
        <w:tc>
          <w:tcPr>
            <w:tcW w:w="867" w:type="dxa"/>
          </w:tcPr>
          <w:p w14:paraId="4B38A77B"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100 DAP</w:t>
            </w:r>
          </w:p>
        </w:tc>
        <w:tc>
          <w:tcPr>
            <w:tcW w:w="983" w:type="dxa"/>
            <w:vAlign w:val="center"/>
          </w:tcPr>
          <w:p w14:paraId="577DEDFA"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Harvest</w:t>
            </w:r>
          </w:p>
        </w:tc>
      </w:tr>
      <w:tr w:rsidR="003B0D48" w:rsidRPr="00C54EE0" w14:paraId="36E8E2E4" w14:textId="77777777" w:rsidTr="003B0D48">
        <w:trPr>
          <w:trHeight w:val="44"/>
          <w:jc w:val="center"/>
        </w:trPr>
        <w:tc>
          <w:tcPr>
            <w:tcW w:w="731" w:type="dxa"/>
          </w:tcPr>
          <w:p w14:paraId="7322132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w:t>
            </w:r>
          </w:p>
        </w:tc>
        <w:tc>
          <w:tcPr>
            <w:tcW w:w="5376" w:type="dxa"/>
            <w:vAlign w:val="center"/>
          </w:tcPr>
          <w:p w14:paraId="7D467E36" w14:textId="77777777" w:rsidR="003B0D48" w:rsidRPr="00B65F2F" w:rsidRDefault="003B0D48" w:rsidP="009B3FEA">
            <w:pPr>
              <w:spacing w:before="80" w:after="80" w:line="240" w:lineRule="auto"/>
              <w:ind w:left="564" w:hanging="396"/>
              <w:rPr>
                <w:rFonts w:ascii="Times New Roman" w:hAnsi="Times New Roman"/>
                <w:sz w:val="24"/>
                <w:szCs w:val="24"/>
                <w:vertAlign w:val="subscript"/>
              </w:rPr>
            </w:pPr>
            <w:r w:rsidRPr="00B65F2F">
              <w:rPr>
                <w:rFonts w:ascii="Times New Roman" w:hAnsi="Times New Roman"/>
                <w:sz w:val="24"/>
                <w:szCs w:val="24"/>
              </w:rPr>
              <w:t>T</w:t>
            </w:r>
            <w:r w:rsidRPr="00B65F2F">
              <w:rPr>
                <w:rFonts w:ascii="Times New Roman" w:hAnsi="Times New Roman"/>
                <w:sz w:val="24"/>
                <w:szCs w:val="24"/>
                <w:vertAlign w:val="subscript"/>
              </w:rPr>
              <w:t xml:space="preserve">0 – </w:t>
            </w:r>
            <w:r w:rsidRPr="00B65F2F">
              <w:rPr>
                <w:rFonts w:ascii="Times New Roman" w:hAnsi="Times New Roman"/>
                <w:sz w:val="24"/>
                <w:szCs w:val="24"/>
              </w:rPr>
              <w:t>Control</w:t>
            </w:r>
          </w:p>
        </w:tc>
        <w:tc>
          <w:tcPr>
            <w:tcW w:w="811" w:type="dxa"/>
            <w:vAlign w:val="center"/>
          </w:tcPr>
          <w:p w14:paraId="1464C7F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0.53</w:t>
            </w:r>
          </w:p>
        </w:tc>
        <w:tc>
          <w:tcPr>
            <w:tcW w:w="909" w:type="dxa"/>
            <w:vAlign w:val="center"/>
          </w:tcPr>
          <w:p w14:paraId="795738C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1.31</w:t>
            </w:r>
          </w:p>
        </w:tc>
        <w:tc>
          <w:tcPr>
            <w:tcW w:w="909" w:type="dxa"/>
            <w:vAlign w:val="center"/>
          </w:tcPr>
          <w:p w14:paraId="222AD88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3.10</w:t>
            </w:r>
          </w:p>
        </w:tc>
        <w:tc>
          <w:tcPr>
            <w:tcW w:w="867" w:type="dxa"/>
            <w:vAlign w:val="center"/>
          </w:tcPr>
          <w:p w14:paraId="60C28F8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4.01</w:t>
            </w:r>
          </w:p>
        </w:tc>
        <w:tc>
          <w:tcPr>
            <w:tcW w:w="983" w:type="dxa"/>
            <w:vAlign w:val="center"/>
          </w:tcPr>
          <w:p w14:paraId="23094D5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8.08</w:t>
            </w:r>
          </w:p>
        </w:tc>
      </w:tr>
      <w:tr w:rsidR="003B0D48" w:rsidRPr="00C54EE0" w14:paraId="14A11B03" w14:textId="77777777" w:rsidTr="003B0D48">
        <w:trPr>
          <w:trHeight w:val="44"/>
          <w:jc w:val="center"/>
        </w:trPr>
        <w:tc>
          <w:tcPr>
            <w:tcW w:w="731" w:type="dxa"/>
            <w:vAlign w:val="center"/>
          </w:tcPr>
          <w:p w14:paraId="1F5507F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w:t>
            </w:r>
          </w:p>
        </w:tc>
        <w:tc>
          <w:tcPr>
            <w:tcW w:w="5376" w:type="dxa"/>
            <w:vAlign w:val="center"/>
          </w:tcPr>
          <w:p w14:paraId="1C1F5EFB" w14:textId="77777777" w:rsidR="003B0D48" w:rsidRPr="00B65F2F" w:rsidRDefault="003B0D48" w:rsidP="009B3FEA">
            <w:pPr>
              <w:spacing w:before="80" w:after="80" w:line="240" w:lineRule="auto"/>
              <w:ind w:left="564" w:hanging="396"/>
              <w:rPr>
                <w:rFonts w:ascii="Times New Roman" w:hAnsi="Times New Roman"/>
                <w:sz w:val="24"/>
                <w:szCs w:val="24"/>
              </w:rPr>
            </w:pPr>
            <w:r w:rsidRPr="00B65F2F">
              <w:rPr>
                <w:rFonts w:ascii="Times New Roman" w:hAnsi="Times New Roman"/>
                <w:sz w:val="24"/>
                <w:szCs w:val="24"/>
              </w:rPr>
              <w:t>T</w:t>
            </w:r>
            <w:r w:rsidRPr="00B65F2F">
              <w:rPr>
                <w:rFonts w:ascii="Times New Roman" w:hAnsi="Times New Roman"/>
                <w:sz w:val="24"/>
                <w:szCs w:val="24"/>
                <w:vertAlign w:val="subscript"/>
              </w:rPr>
              <w:t xml:space="preserve">2 </w:t>
            </w:r>
            <w:r w:rsidRPr="00B65F2F">
              <w:rPr>
                <w:rFonts w:ascii="Constantia" w:hAnsi="Constantia"/>
                <w:sz w:val="24"/>
                <w:szCs w:val="24"/>
              </w:rPr>
              <w:t>‐</w:t>
            </w:r>
            <w:r w:rsidRPr="00B65F2F">
              <w:rPr>
                <w:rFonts w:ascii="Times New Roman" w:hAnsi="Times New Roman"/>
                <w:sz w:val="24"/>
                <w:szCs w:val="24"/>
              </w:rPr>
              <w:t xml:space="preserve"> 100% NPK</w:t>
            </w:r>
          </w:p>
        </w:tc>
        <w:tc>
          <w:tcPr>
            <w:tcW w:w="811" w:type="dxa"/>
            <w:vAlign w:val="center"/>
          </w:tcPr>
          <w:p w14:paraId="7A8B8B4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2.01</w:t>
            </w:r>
          </w:p>
        </w:tc>
        <w:tc>
          <w:tcPr>
            <w:tcW w:w="909" w:type="dxa"/>
            <w:vAlign w:val="center"/>
          </w:tcPr>
          <w:p w14:paraId="566A7F8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2.76</w:t>
            </w:r>
          </w:p>
        </w:tc>
        <w:tc>
          <w:tcPr>
            <w:tcW w:w="909" w:type="dxa"/>
            <w:vAlign w:val="center"/>
          </w:tcPr>
          <w:p w14:paraId="4EAA3C9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4.54</w:t>
            </w:r>
          </w:p>
        </w:tc>
        <w:tc>
          <w:tcPr>
            <w:tcW w:w="867" w:type="dxa"/>
            <w:vAlign w:val="center"/>
          </w:tcPr>
          <w:p w14:paraId="73E29C8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5.00</w:t>
            </w:r>
          </w:p>
        </w:tc>
        <w:tc>
          <w:tcPr>
            <w:tcW w:w="983" w:type="dxa"/>
            <w:vAlign w:val="center"/>
          </w:tcPr>
          <w:p w14:paraId="579BF20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11.86</w:t>
            </w:r>
          </w:p>
        </w:tc>
      </w:tr>
      <w:tr w:rsidR="003B0D48" w:rsidRPr="00C54EE0" w14:paraId="308090B2" w14:textId="77777777" w:rsidTr="003B0D48">
        <w:trPr>
          <w:trHeight w:val="44"/>
          <w:jc w:val="center"/>
        </w:trPr>
        <w:tc>
          <w:tcPr>
            <w:tcW w:w="731" w:type="dxa"/>
            <w:vAlign w:val="center"/>
          </w:tcPr>
          <w:p w14:paraId="0396107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w:t>
            </w:r>
          </w:p>
        </w:tc>
        <w:tc>
          <w:tcPr>
            <w:tcW w:w="5376" w:type="dxa"/>
            <w:vAlign w:val="center"/>
          </w:tcPr>
          <w:p w14:paraId="2F027EEC" w14:textId="6A6B6E01"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 xml:space="preserve">A.brasilense </w:t>
            </w:r>
          </w:p>
        </w:tc>
        <w:tc>
          <w:tcPr>
            <w:tcW w:w="811" w:type="dxa"/>
            <w:vAlign w:val="center"/>
          </w:tcPr>
          <w:p w14:paraId="0DCBE77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2.00</w:t>
            </w:r>
          </w:p>
        </w:tc>
        <w:tc>
          <w:tcPr>
            <w:tcW w:w="909" w:type="dxa"/>
            <w:vAlign w:val="center"/>
          </w:tcPr>
          <w:p w14:paraId="627BC83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2.35</w:t>
            </w:r>
          </w:p>
        </w:tc>
        <w:tc>
          <w:tcPr>
            <w:tcW w:w="909" w:type="dxa"/>
            <w:vAlign w:val="center"/>
          </w:tcPr>
          <w:p w14:paraId="41BD268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4.46</w:t>
            </w:r>
          </w:p>
        </w:tc>
        <w:tc>
          <w:tcPr>
            <w:tcW w:w="867" w:type="dxa"/>
            <w:vAlign w:val="center"/>
          </w:tcPr>
          <w:p w14:paraId="107C9BA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4.90</w:t>
            </w:r>
          </w:p>
        </w:tc>
        <w:tc>
          <w:tcPr>
            <w:tcW w:w="983" w:type="dxa"/>
            <w:vAlign w:val="center"/>
          </w:tcPr>
          <w:p w14:paraId="176C4AD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11.32</w:t>
            </w:r>
          </w:p>
        </w:tc>
      </w:tr>
      <w:tr w:rsidR="003B0D48" w:rsidRPr="00C54EE0" w14:paraId="189F40AE" w14:textId="77777777" w:rsidTr="003B0D48">
        <w:trPr>
          <w:trHeight w:val="44"/>
          <w:jc w:val="center"/>
        </w:trPr>
        <w:tc>
          <w:tcPr>
            <w:tcW w:w="731" w:type="dxa"/>
            <w:vAlign w:val="center"/>
          </w:tcPr>
          <w:p w14:paraId="4F3BCE0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w:t>
            </w:r>
          </w:p>
        </w:tc>
        <w:tc>
          <w:tcPr>
            <w:tcW w:w="5376" w:type="dxa"/>
            <w:vAlign w:val="center"/>
          </w:tcPr>
          <w:p w14:paraId="445C1326" w14:textId="540C5451"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811" w:type="dxa"/>
            <w:vAlign w:val="center"/>
          </w:tcPr>
          <w:p w14:paraId="1B57778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1.67</w:t>
            </w:r>
          </w:p>
        </w:tc>
        <w:tc>
          <w:tcPr>
            <w:tcW w:w="909" w:type="dxa"/>
            <w:vAlign w:val="center"/>
          </w:tcPr>
          <w:p w14:paraId="0590CD3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2.01</w:t>
            </w:r>
          </w:p>
        </w:tc>
        <w:tc>
          <w:tcPr>
            <w:tcW w:w="909" w:type="dxa"/>
            <w:vAlign w:val="center"/>
          </w:tcPr>
          <w:p w14:paraId="1F1D445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4.23</w:t>
            </w:r>
          </w:p>
        </w:tc>
        <w:tc>
          <w:tcPr>
            <w:tcW w:w="867" w:type="dxa"/>
            <w:vAlign w:val="center"/>
          </w:tcPr>
          <w:p w14:paraId="40D2BE0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4.76</w:t>
            </w:r>
          </w:p>
        </w:tc>
        <w:tc>
          <w:tcPr>
            <w:tcW w:w="983" w:type="dxa"/>
            <w:vAlign w:val="center"/>
          </w:tcPr>
          <w:p w14:paraId="6FCFF96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10.66</w:t>
            </w:r>
          </w:p>
        </w:tc>
      </w:tr>
      <w:tr w:rsidR="003B0D48" w:rsidRPr="00C54EE0" w14:paraId="20DA53B2" w14:textId="77777777" w:rsidTr="003B0D48">
        <w:trPr>
          <w:trHeight w:val="44"/>
          <w:jc w:val="center"/>
        </w:trPr>
        <w:tc>
          <w:tcPr>
            <w:tcW w:w="731" w:type="dxa"/>
            <w:vAlign w:val="center"/>
          </w:tcPr>
          <w:p w14:paraId="3081147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w:t>
            </w:r>
          </w:p>
        </w:tc>
        <w:tc>
          <w:tcPr>
            <w:tcW w:w="5376" w:type="dxa"/>
            <w:vAlign w:val="center"/>
          </w:tcPr>
          <w:p w14:paraId="62FB47D0" w14:textId="5062385E" w:rsidR="003B0D48" w:rsidRPr="009B3FEA" w:rsidRDefault="003B0D48" w:rsidP="009B3FEA">
            <w:pPr>
              <w:spacing w:before="80" w:after="80" w:line="240" w:lineRule="auto"/>
              <w:ind w:left="564" w:right="-60" w:hanging="396"/>
              <w:rPr>
                <w:rFonts w:ascii="Times New Roman" w:hAnsi="Times New Roman"/>
                <w:i/>
                <w:iCs/>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w:t>
            </w:r>
            <w:r w:rsidRPr="009B3FEA">
              <w:rPr>
                <w:rFonts w:ascii="Times New Roman" w:hAnsi="Times New Roman"/>
                <w:i/>
                <w:iCs/>
                <w:sz w:val="24"/>
                <w:szCs w:val="24"/>
                <w:lang w:val="pt-BR"/>
              </w:rPr>
              <w:t xml:space="preserve"> </w:t>
            </w:r>
            <w:r w:rsidRPr="009B3FEA">
              <w:rPr>
                <w:rFonts w:ascii="Times New Roman" w:hAnsi="Times New Roman"/>
                <w:i/>
                <w:iCs/>
                <w:sz w:val="24"/>
                <w:szCs w:val="24"/>
                <w:lang w:val="pt-BR"/>
              </w:rPr>
              <w:br/>
              <w:t>P.</w:t>
            </w:r>
            <w:r w:rsidRPr="009B3FEA">
              <w:rPr>
                <w:rFonts w:ascii="Times New Roman" w:hAnsi="Times New Roman"/>
                <w:i/>
                <w:sz w:val="24"/>
                <w:szCs w:val="24"/>
                <w:lang w:val="pt-BR"/>
              </w:rPr>
              <w:t xml:space="preserve"> fluorescens</w:t>
            </w:r>
          </w:p>
        </w:tc>
        <w:tc>
          <w:tcPr>
            <w:tcW w:w="811" w:type="dxa"/>
            <w:vAlign w:val="center"/>
          </w:tcPr>
          <w:p w14:paraId="5CFED8F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2.23</w:t>
            </w:r>
          </w:p>
        </w:tc>
        <w:tc>
          <w:tcPr>
            <w:tcW w:w="909" w:type="dxa"/>
            <w:vAlign w:val="center"/>
          </w:tcPr>
          <w:p w14:paraId="37D5825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2.96</w:t>
            </w:r>
          </w:p>
        </w:tc>
        <w:tc>
          <w:tcPr>
            <w:tcW w:w="909" w:type="dxa"/>
            <w:vAlign w:val="center"/>
          </w:tcPr>
          <w:p w14:paraId="14F6604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4.66</w:t>
            </w:r>
          </w:p>
        </w:tc>
        <w:tc>
          <w:tcPr>
            <w:tcW w:w="867" w:type="dxa"/>
            <w:vAlign w:val="center"/>
          </w:tcPr>
          <w:p w14:paraId="4AD87CB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5.02</w:t>
            </w:r>
          </w:p>
        </w:tc>
        <w:tc>
          <w:tcPr>
            <w:tcW w:w="983" w:type="dxa"/>
            <w:vAlign w:val="center"/>
          </w:tcPr>
          <w:p w14:paraId="6E35CBD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12.03</w:t>
            </w:r>
          </w:p>
        </w:tc>
      </w:tr>
      <w:tr w:rsidR="003B0D48" w:rsidRPr="00C54EE0" w14:paraId="737C47A4" w14:textId="77777777" w:rsidTr="003B0D48">
        <w:trPr>
          <w:trHeight w:val="50"/>
          <w:jc w:val="center"/>
        </w:trPr>
        <w:tc>
          <w:tcPr>
            <w:tcW w:w="731" w:type="dxa"/>
            <w:vAlign w:val="center"/>
          </w:tcPr>
          <w:p w14:paraId="72C9A3E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6.</w:t>
            </w:r>
          </w:p>
        </w:tc>
        <w:tc>
          <w:tcPr>
            <w:tcW w:w="5376" w:type="dxa"/>
            <w:vAlign w:val="center"/>
          </w:tcPr>
          <w:p w14:paraId="3CA21017" w14:textId="60331459" w:rsidR="003B0D48" w:rsidRPr="009B3FEA" w:rsidRDefault="003B0D48" w:rsidP="009B3FEA">
            <w:pPr>
              <w:spacing w:before="80" w:after="80" w:line="240" w:lineRule="auto"/>
              <w:ind w:left="564" w:hanging="396"/>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811" w:type="dxa"/>
            <w:vAlign w:val="center"/>
          </w:tcPr>
          <w:p w14:paraId="3050124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1.02</w:t>
            </w:r>
          </w:p>
        </w:tc>
        <w:tc>
          <w:tcPr>
            <w:tcW w:w="909" w:type="dxa"/>
            <w:vAlign w:val="center"/>
          </w:tcPr>
          <w:p w14:paraId="0ADB0CE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1.76</w:t>
            </w:r>
          </w:p>
        </w:tc>
        <w:tc>
          <w:tcPr>
            <w:tcW w:w="909" w:type="dxa"/>
            <w:vAlign w:val="center"/>
          </w:tcPr>
          <w:p w14:paraId="108B009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4.00</w:t>
            </w:r>
          </w:p>
        </w:tc>
        <w:tc>
          <w:tcPr>
            <w:tcW w:w="867" w:type="dxa"/>
            <w:vAlign w:val="center"/>
          </w:tcPr>
          <w:p w14:paraId="3FA17DD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4.45</w:t>
            </w:r>
          </w:p>
        </w:tc>
        <w:tc>
          <w:tcPr>
            <w:tcW w:w="983" w:type="dxa"/>
            <w:vAlign w:val="center"/>
          </w:tcPr>
          <w:p w14:paraId="316464D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9.44</w:t>
            </w:r>
          </w:p>
        </w:tc>
      </w:tr>
      <w:tr w:rsidR="003B0D48" w:rsidRPr="00C54EE0" w14:paraId="6F1405EB" w14:textId="77777777" w:rsidTr="003B0D48">
        <w:trPr>
          <w:trHeight w:val="177"/>
          <w:jc w:val="center"/>
        </w:trPr>
        <w:tc>
          <w:tcPr>
            <w:tcW w:w="731" w:type="dxa"/>
            <w:vAlign w:val="center"/>
          </w:tcPr>
          <w:p w14:paraId="01D554BF"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7.</w:t>
            </w:r>
          </w:p>
        </w:tc>
        <w:tc>
          <w:tcPr>
            <w:tcW w:w="5376" w:type="dxa"/>
            <w:vAlign w:val="center"/>
          </w:tcPr>
          <w:p w14:paraId="7020C1BB" w14:textId="3274EC63"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w:t>
            </w:r>
          </w:p>
        </w:tc>
        <w:tc>
          <w:tcPr>
            <w:tcW w:w="811" w:type="dxa"/>
            <w:vAlign w:val="center"/>
          </w:tcPr>
          <w:p w14:paraId="33B5126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1.45</w:t>
            </w:r>
          </w:p>
        </w:tc>
        <w:tc>
          <w:tcPr>
            <w:tcW w:w="909" w:type="dxa"/>
            <w:vAlign w:val="center"/>
          </w:tcPr>
          <w:p w14:paraId="4490DB4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1.98</w:t>
            </w:r>
          </w:p>
        </w:tc>
        <w:tc>
          <w:tcPr>
            <w:tcW w:w="909" w:type="dxa"/>
            <w:vAlign w:val="center"/>
          </w:tcPr>
          <w:p w14:paraId="043A14E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3.46</w:t>
            </w:r>
          </w:p>
        </w:tc>
        <w:tc>
          <w:tcPr>
            <w:tcW w:w="867" w:type="dxa"/>
            <w:vAlign w:val="center"/>
          </w:tcPr>
          <w:p w14:paraId="4340CC6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4.63</w:t>
            </w:r>
          </w:p>
        </w:tc>
        <w:tc>
          <w:tcPr>
            <w:tcW w:w="983" w:type="dxa"/>
            <w:vAlign w:val="center"/>
          </w:tcPr>
          <w:p w14:paraId="27EDF67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10.01</w:t>
            </w:r>
          </w:p>
        </w:tc>
      </w:tr>
      <w:tr w:rsidR="003B0D48" w:rsidRPr="00C54EE0" w14:paraId="4AB065FC" w14:textId="77777777" w:rsidTr="003B0D48">
        <w:trPr>
          <w:trHeight w:val="258"/>
          <w:jc w:val="center"/>
        </w:trPr>
        <w:tc>
          <w:tcPr>
            <w:tcW w:w="731" w:type="dxa"/>
            <w:vAlign w:val="center"/>
          </w:tcPr>
          <w:p w14:paraId="6E34036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w:t>
            </w:r>
          </w:p>
        </w:tc>
        <w:tc>
          <w:tcPr>
            <w:tcW w:w="5376" w:type="dxa"/>
            <w:vAlign w:val="center"/>
          </w:tcPr>
          <w:p w14:paraId="5C736A25" w14:textId="490D3F17"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w:t>
            </w:r>
            <w:r w:rsidR="005E61C3" w:rsidRPr="009B3FEA">
              <w:rPr>
                <w:rFonts w:ascii="Times New Roman" w:hAnsi="Times New Roman"/>
                <w:i/>
                <w:sz w:val="24"/>
                <w:szCs w:val="24"/>
                <w:lang w:val="pt-BR"/>
              </w:rPr>
              <w:t xml:space="preserve"> </w:t>
            </w:r>
            <w:r w:rsidRPr="009B3FEA">
              <w:rPr>
                <w:rFonts w:ascii="Times New Roman" w:hAnsi="Times New Roman"/>
                <w:i/>
                <w:iCs/>
                <w:sz w:val="24"/>
                <w:szCs w:val="24"/>
                <w:lang w:val="pt-BR"/>
              </w:rPr>
              <w:t>+</w:t>
            </w:r>
            <w:r w:rsidRPr="009B3FEA">
              <w:rPr>
                <w:rFonts w:ascii="Times New Roman" w:hAnsi="Times New Roman"/>
                <w:i/>
                <w:iCs/>
                <w:sz w:val="24"/>
                <w:szCs w:val="24"/>
                <w:lang w:val="pt-BR"/>
              </w:rPr>
              <w:br/>
              <w:t xml:space="preserve"> P.</w:t>
            </w:r>
            <w:r w:rsidRPr="009B3FEA">
              <w:rPr>
                <w:rFonts w:ascii="Times New Roman" w:hAnsi="Times New Roman"/>
                <w:i/>
                <w:sz w:val="24"/>
                <w:szCs w:val="24"/>
                <w:lang w:val="pt-BR"/>
              </w:rPr>
              <w:t xml:space="preserve"> fluorescens</w:t>
            </w:r>
          </w:p>
        </w:tc>
        <w:tc>
          <w:tcPr>
            <w:tcW w:w="811" w:type="dxa"/>
            <w:vAlign w:val="center"/>
          </w:tcPr>
          <w:p w14:paraId="52BC04A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0.98</w:t>
            </w:r>
          </w:p>
        </w:tc>
        <w:tc>
          <w:tcPr>
            <w:tcW w:w="909" w:type="dxa"/>
            <w:vAlign w:val="center"/>
          </w:tcPr>
          <w:p w14:paraId="120B542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1.54</w:t>
            </w:r>
          </w:p>
        </w:tc>
        <w:tc>
          <w:tcPr>
            <w:tcW w:w="909" w:type="dxa"/>
            <w:vAlign w:val="center"/>
          </w:tcPr>
          <w:p w14:paraId="57A7718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3.89</w:t>
            </w:r>
          </w:p>
        </w:tc>
        <w:tc>
          <w:tcPr>
            <w:tcW w:w="867" w:type="dxa"/>
            <w:vAlign w:val="center"/>
          </w:tcPr>
          <w:p w14:paraId="4DBBCF7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4.27</w:t>
            </w:r>
          </w:p>
        </w:tc>
        <w:tc>
          <w:tcPr>
            <w:tcW w:w="983" w:type="dxa"/>
            <w:vAlign w:val="center"/>
          </w:tcPr>
          <w:p w14:paraId="3913E12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8.45</w:t>
            </w:r>
          </w:p>
        </w:tc>
      </w:tr>
      <w:tr w:rsidR="003B0D48" w:rsidRPr="00C54EE0" w14:paraId="57BB6D47" w14:textId="77777777" w:rsidTr="003B0D48">
        <w:trPr>
          <w:trHeight w:val="258"/>
          <w:jc w:val="center"/>
        </w:trPr>
        <w:tc>
          <w:tcPr>
            <w:tcW w:w="6108" w:type="dxa"/>
            <w:gridSpan w:val="2"/>
            <w:vAlign w:val="center"/>
          </w:tcPr>
          <w:p w14:paraId="6C455AD2" w14:textId="20D6D875" w:rsidR="003B0D48" w:rsidRPr="00B65F2F" w:rsidRDefault="003B0D48" w:rsidP="009B3FEA">
            <w:pPr>
              <w:spacing w:before="80" w:after="80" w:line="240" w:lineRule="auto"/>
              <w:jc w:val="center"/>
              <w:rPr>
                <w:rFonts w:ascii="Times New Roman" w:hAnsi="Times New Roman"/>
                <w:sz w:val="24"/>
                <w:szCs w:val="24"/>
              </w:rPr>
            </w:pPr>
            <w:proofErr w:type="spellStart"/>
            <w:r w:rsidRPr="00B65F2F">
              <w:rPr>
                <w:rFonts w:ascii="Times New Roman" w:hAnsi="Times New Roman"/>
                <w:sz w:val="24"/>
                <w:szCs w:val="24"/>
              </w:rPr>
              <w:t>S</w:t>
            </w:r>
            <w:r w:rsidR="00931EEE" w:rsidRPr="00B65F2F">
              <w:rPr>
                <w:rFonts w:ascii="Times New Roman" w:hAnsi="Times New Roman"/>
                <w:sz w:val="24"/>
                <w:szCs w:val="24"/>
              </w:rPr>
              <w:t>e</w:t>
            </w:r>
            <w:r w:rsidRPr="00B65F2F">
              <w:rPr>
                <w:rFonts w:ascii="Times New Roman" w:hAnsi="Times New Roman"/>
                <w:sz w:val="24"/>
                <w:szCs w:val="24"/>
              </w:rPr>
              <w:t>d</w:t>
            </w:r>
            <w:proofErr w:type="spellEnd"/>
          </w:p>
        </w:tc>
        <w:tc>
          <w:tcPr>
            <w:tcW w:w="811" w:type="dxa"/>
            <w:vAlign w:val="center"/>
          </w:tcPr>
          <w:p w14:paraId="3BBA282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0.02</w:t>
            </w:r>
          </w:p>
        </w:tc>
        <w:tc>
          <w:tcPr>
            <w:tcW w:w="909" w:type="dxa"/>
            <w:vAlign w:val="center"/>
          </w:tcPr>
          <w:p w14:paraId="6FA3D97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909" w:type="dxa"/>
            <w:vAlign w:val="center"/>
          </w:tcPr>
          <w:p w14:paraId="7BDA1D3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0.02</w:t>
            </w:r>
          </w:p>
        </w:tc>
        <w:tc>
          <w:tcPr>
            <w:tcW w:w="867" w:type="dxa"/>
            <w:vAlign w:val="center"/>
          </w:tcPr>
          <w:p w14:paraId="799EC9E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0.01</w:t>
            </w:r>
          </w:p>
        </w:tc>
        <w:tc>
          <w:tcPr>
            <w:tcW w:w="983" w:type="dxa"/>
            <w:vAlign w:val="center"/>
          </w:tcPr>
          <w:p w14:paraId="5BB55CF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0.13</w:t>
            </w:r>
          </w:p>
        </w:tc>
      </w:tr>
      <w:tr w:rsidR="003B0D48" w:rsidRPr="00C54EE0" w14:paraId="4A105A89" w14:textId="77777777" w:rsidTr="003B0D48">
        <w:trPr>
          <w:trHeight w:val="161"/>
          <w:jc w:val="center"/>
        </w:trPr>
        <w:tc>
          <w:tcPr>
            <w:tcW w:w="6108" w:type="dxa"/>
            <w:gridSpan w:val="2"/>
            <w:vAlign w:val="center"/>
          </w:tcPr>
          <w:p w14:paraId="4C5C33E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CD(P=0.05)</w:t>
            </w:r>
          </w:p>
        </w:tc>
        <w:tc>
          <w:tcPr>
            <w:tcW w:w="811" w:type="dxa"/>
            <w:vAlign w:val="center"/>
          </w:tcPr>
          <w:p w14:paraId="084103F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909" w:type="dxa"/>
            <w:vAlign w:val="center"/>
          </w:tcPr>
          <w:p w14:paraId="4141A75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0.08</w:t>
            </w:r>
          </w:p>
        </w:tc>
        <w:tc>
          <w:tcPr>
            <w:tcW w:w="909" w:type="dxa"/>
            <w:vAlign w:val="center"/>
          </w:tcPr>
          <w:p w14:paraId="0EBCBC0D"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867" w:type="dxa"/>
            <w:vAlign w:val="center"/>
          </w:tcPr>
          <w:p w14:paraId="7986E83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0.03</w:t>
            </w:r>
          </w:p>
        </w:tc>
        <w:tc>
          <w:tcPr>
            <w:tcW w:w="983" w:type="dxa"/>
            <w:vAlign w:val="center"/>
          </w:tcPr>
          <w:p w14:paraId="4788116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0.28</w:t>
            </w:r>
          </w:p>
        </w:tc>
      </w:tr>
    </w:tbl>
    <w:p w14:paraId="706E037F" w14:textId="6F228B7C" w:rsidR="003B0D48" w:rsidRDefault="003B0D48" w:rsidP="00FD1C0A">
      <w:pPr>
        <w:spacing w:after="160" w:line="259" w:lineRule="auto"/>
        <w:ind w:left="-540" w:firstLine="540"/>
        <w:rPr>
          <w:b/>
          <w:sz w:val="26"/>
          <w:szCs w:val="26"/>
        </w:rPr>
      </w:pPr>
      <w:r>
        <w:rPr>
          <w:b/>
          <w:sz w:val="26"/>
          <w:szCs w:val="26"/>
        </w:rPr>
        <w:t xml:space="preserve"> </w:t>
      </w:r>
    </w:p>
    <w:p w14:paraId="335D0662" w14:textId="16D98A60" w:rsidR="00A5772C" w:rsidRDefault="00327430" w:rsidP="00FD1C0A">
      <w:pPr>
        <w:spacing w:after="160" w:line="259" w:lineRule="auto"/>
        <w:ind w:right="-601"/>
        <w:rPr>
          <w:b/>
          <w:sz w:val="26"/>
          <w:szCs w:val="26"/>
        </w:rPr>
      </w:pPr>
      <w:r w:rsidRPr="00C54EE0">
        <w:rPr>
          <w:rFonts w:ascii="Times New Roman" w:hAnsi="Times New Roman"/>
          <w:noProof/>
          <w:lang w:bidi="hi-IN"/>
        </w:rPr>
        <w:lastRenderedPageBreak/>
        <w:drawing>
          <wp:inline distT="0" distB="0" distL="0" distR="0" wp14:anchorId="329E45D7" wp14:editId="5774E4F4">
            <wp:extent cx="5276215" cy="2703627"/>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C9E6D4" w14:textId="7885CA21" w:rsidR="00770FE4" w:rsidRPr="00AA280B" w:rsidRDefault="002D02B4" w:rsidP="00AA280B">
      <w:pPr>
        <w:spacing w:line="240" w:lineRule="auto"/>
        <w:ind w:left="-180" w:right="-781" w:hanging="450"/>
        <w:rPr>
          <w:rFonts w:ascii="Times New Roman" w:hAnsi="Times New Roman"/>
          <w:b/>
        </w:rPr>
      </w:pPr>
      <w:r w:rsidRPr="00FD1C0A">
        <w:rPr>
          <w:rFonts w:ascii="Times New Roman" w:hAnsi="Times New Roman"/>
          <w:b/>
        </w:rPr>
        <w:t xml:space="preserve">Fig. </w:t>
      </w:r>
      <w:r w:rsidR="004F6E5D">
        <w:rPr>
          <w:rFonts w:ascii="Times New Roman" w:hAnsi="Times New Roman"/>
          <w:b/>
        </w:rPr>
        <w:t>3</w:t>
      </w:r>
      <w:r w:rsidRPr="00FD1C0A">
        <w:rPr>
          <w:rFonts w:ascii="Times New Roman" w:hAnsi="Times New Roman"/>
          <w:b/>
        </w:rPr>
        <w:t>: Effect of PGPR</w:t>
      </w:r>
      <w:r w:rsidR="00FD1C0A">
        <w:rPr>
          <w:rFonts w:ascii="Times New Roman" w:hAnsi="Times New Roman"/>
          <w:b/>
        </w:rPr>
        <w:t xml:space="preserve"> </w:t>
      </w:r>
      <w:r w:rsidRPr="00FD1C0A">
        <w:rPr>
          <w:rFonts w:ascii="Times New Roman" w:hAnsi="Times New Roman"/>
          <w:b/>
        </w:rPr>
        <w:t>inoculation on the plant dry</w:t>
      </w:r>
      <w:r w:rsidR="00FD1C0A">
        <w:rPr>
          <w:rFonts w:ascii="Times New Roman" w:hAnsi="Times New Roman"/>
          <w:b/>
        </w:rPr>
        <w:t xml:space="preserve"> </w:t>
      </w:r>
      <w:r w:rsidRPr="00FD1C0A">
        <w:rPr>
          <w:rFonts w:ascii="Times New Roman" w:hAnsi="Times New Roman"/>
          <w:b/>
        </w:rPr>
        <w:t xml:space="preserve">matter production of chilli variety </w:t>
      </w:r>
      <w:r w:rsidR="00FD1C0A">
        <w:rPr>
          <w:rFonts w:ascii="Times New Roman" w:hAnsi="Times New Roman"/>
          <w:b/>
        </w:rPr>
        <w:t>K2</w:t>
      </w:r>
      <w:r w:rsidR="004F6E5D">
        <w:rPr>
          <w:rFonts w:ascii="Times New Roman" w:hAnsi="Times New Roman"/>
          <w:b/>
        </w:rPr>
        <w:t xml:space="preserve"> U</w:t>
      </w:r>
      <w:r w:rsidRPr="00FD1C0A">
        <w:rPr>
          <w:rFonts w:ascii="Times New Roman" w:hAnsi="Times New Roman"/>
          <w:b/>
        </w:rPr>
        <w:t>nder pot culture condition</w:t>
      </w:r>
    </w:p>
    <w:p w14:paraId="4DDBC88F" w14:textId="3F845BFE" w:rsidR="00CE32A4" w:rsidRDefault="002D134F" w:rsidP="00CE32A4">
      <w:pPr>
        <w:spacing w:line="360" w:lineRule="auto"/>
        <w:ind w:left="-180" w:right="-781" w:hanging="450"/>
        <w:jc w:val="both"/>
        <w:rPr>
          <w:rFonts w:ascii="Times New Roman" w:hAnsi="Times New Roman" w:cs="Times New Roman"/>
          <w:b/>
          <w:sz w:val="24"/>
          <w:szCs w:val="24"/>
        </w:rPr>
      </w:pPr>
      <w:r>
        <w:rPr>
          <w:rFonts w:ascii="Times New Roman" w:hAnsi="Times New Roman" w:cs="Times New Roman"/>
          <w:b/>
          <w:sz w:val="24"/>
          <w:szCs w:val="24"/>
        </w:rPr>
        <w:t xml:space="preserve">3.4 </w:t>
      </w:r>
      <w:r w:rsidR="000B5C08" w:rsidRPr="00CE32A4">
        <w:rPr>
          <w:rFonts w:ascii="Times New Roman" w:hAnsi="Times New Roman" w:cs="Times New Roman"/>
          <w:b/>
          <w:sz w:val="24"/>
          <w:szCs w:val="24"/>
        </w:rPr>
        <w:t>Effect of PGPR inoculation on the number fruits, fruit weight and fruit yield of chilli</w:t>
      </w:r>
    </w:p>
    <w:p w14:paraId="6826A8FA" w14:textId="44CEC36F" w:rsidR="00646F85" w:rsidRDefault="000B5C08" w:rsidP="00646F85">
      <w:pPr>
        <w:spacing w:line="360" w:lineRule="auto"/>
        <w:ind w:left="-720" w:right="-781"/>
        <w:jc w:val="both"/>
        <w:rPr>
          <w:rFonts w:ascii="Times New Roman" w:hAnsi="Times New Roman" w:cs="Times New Roman"/>
          <w:b/>
          <w:sz w:val="24"/>
          <w:szCs w:val="24"/>
        </w:rPr>
      </w:pPr>
      <w:r w:rsidRPr="00CE32A4">
        <w:rPr>
          <w:rFonts w:ascii="Times New Roman" w:hAnsi="Times New Roman" w:cs="Times New Roman"/>
          <w:sz w:val="24"/>
          <w:szCs w:val="24"/>
        </w:rPr>
        <w:t xml:space="preserve">The effect of PGPR inoculation on number of fruits, fruit weight and fruit yield of chilli variety </w:t>
      </w:r>
      <w:r w:rsidR="00646F85">
        <w:rPr>
          <w:rFonts w:ascii="Times New Roman" w:hAnsi="Times New Roman" w:cs="Times New Roman"/>
          <w:sz w:val="24"/>
          <w:szCs w:val="24"/>
        </w:rPr>
        <w:t xml:space="preserve">K2 </w:t>
      </w:r>
      <w:r w:rsidRPr="00CE32A4">
        <w:rPr>
          <w:rFonts w:ascii="Times New Roman" w:hAnsi="Times New Roman" w:cs="Times New Roman"/>
          <w:sz w:val="24"/>
          <w:szCs w:val="24"/>
        </w:rPr>
        <w:t>was evaluated (Fig.</w:t>
      </w:r>
      <w:r w:rsidR="006260E8">
        <w:rPr>
          <w:rFonts w:ascii="Times New Roman" w:hAnsi="Times New Roman" w:cs="Times New Roman"/>
          <w:sz w:val="24"/>
          <w:szCs w:val="24"/>
        </w:rPr>
        <w:t>4</w:t>
      </w:r>
      <w:r w:rsidRPr="00CE32A4">
        <w:rPr>
          <w:rFonts w:ascii="Times New Roman" w:hAnsi="Times New Roman" w:cs="Times New Roman"/>
          <w:sz w:val="24"/>
          <w:szCs w:val="24"/>
        </w:rPr>
        <w:t>) and the result were presented in Table</w:t>
      </w:r>
      <w:r w:rsidR="006260E8">
        <w:rPr>
          <w:rFonts w:ascii="Times New Roman" w:hAnsi="Times New Roman" w:cs="Times New Roman"/>
          <w:sz w:val="24"/>
          <w:szCs w:val="24"/>
        </w:rPr>
        <w:t>-4</w:t>
      </w:r>
      <w:r w:rsidRPr="00CE32A4">
        <w:rPr>
          <w:rFonts w:ascii="Times New Roman" w:hAnsi="Times New Roman" w:cs="Times New Roman"/>
          <w:sz w:val="24"/>
          <w:szCs w:val="24"/>
        </w:rPr>
        <w:t>.</w:t>
      </w:r>
    </w:p>
    <w:p w14:paraId="41EB1211" w14:textId="3E5161F5" w:rsidR="006815D9" w:rsidRDefault="000B5C08" w:rsidP="00646F85">
      <w:pPr>
        <w:spacing w:line="360" w:lineRule="auto"/>
        <w:ind w:left="-720" w:right="-781"/>
        <w:jc w:val="both"/>
        <w:rPr>
          <w:rFonts w:ascii="Times New Roman" w:hAnsi="Times New Roman" w:cs="Times New Roman"/>
          <w:sz w:val="24"/>
          <w:szCs w:val="24"/>
        </w:rPr>
      </w:pPr>
      <w:r w:rsidRPr="00CE32A4">
        <w:rPr>
          <w:rFonts w:ascii="Times New Roman" w:hAnsi="Times New Roman" w:cs="Times New Roman"/>
          <w:sz w:val="24"/>
          <w:szCs w:val="24"/>
        </w:rPr>
        <w:t>Among the eight treatments tested, the maximum number of fruits, fruit weight and fruit yield was observed in the treatment T</w:t>
      </w:r>
      <w:r w:rsidRPr="00CE32A4">
        <w:rPr>
          <w:rFonts w:ascii="Times New Roman" w:hAnsi="Times New Roman" w:cs="Times New Roman"/>
          <w:sz w:val="24"/>
          <w:szCs w:val="24"/>
          <w:vertAlign w:val="subscript"/>
        </w:rPr>
        <w:t xml:space="preserve">5 </w:t>
      </w:r>
      <w:r w:rsidRPr="00CE32A4">
        <w:rPr>
          <w:rFonts w:ascii="Times New Roman" w:hAnsi="Times New Roman" w:cs="Times New Roman"/>
          <w:sz w:val="24"/>
          <w:szCs w:val="24"/>
        </w:rPr>
        <w:t xml:space="preserve">‐ 75% N&amp;P + 100% K + </w:t>
      </w:r>
      <w:r w:rsidRPr="00CE32A4">
        <w:rPr>
          <w:rFonts w:ascii="Times New Roman" w:hAnsi="Times New Roman" w:cs="Times New Roman"/>
          <w:i/>
          <w:sz w:val="24"/>
          <w:szCs w:val="24"/>
        </w:rPr>
        <w:t xml:space="preserve">A. </w:t>
      </w:r>
      <w:proofErr w:type="spellStart"/>
      <w:r w:rsidRPr="00CE32A4">
        <w:rPr>
          <w:rStyle w:val="Bodytext2Italic"/>
          <w:rFonts w:eastAsia="Candara"/>
          <w:sz w:val="24"/>
          <w:szCs w:val="24"/>
        </w:rPr>
        <w:t>brasilense</w:t>
      </w:r>
      <w:proofErr w:type="spellEnd"/>
      <w:r w:rsidRPr="00CE32A4">
        <w:rPr>
          <w:rFonts w:ascii="Times New Roman" w:hAnsi="Times New Roman" w:cs="Times New Roman"/>
          <w:i/>
          <w:sz w:val="24"/>
          <w:szCs w:val="24"/>
        </w:rPr>
        <w:t xml:space="preserve"> DSA-6 +</w:t>
      </w:r>
      <w:r w:rsidRPr="00CE32A4">
        <w:rPr>
          <w:rFonts w:ascii="Times New Roman" w:hAnsi="Times New Roman" w:cs="Times New Roman"/>
          <w:i/>
          <w:iCs/>
          <w:sz w:val="24"/>
          <w:szCs w:val="24"/>
        </w:rPr>
        <w:t xml:space="preserve"> P.</w:t>
      </w:r>
      <w:r w:rsidRPr="00CE32A4">
        <w:rPr>
          <w:rFonts w:ascii="Times New Roman" w:hAnsi="Times New Roman" w:cs="Times New Roman"/>
          <w:i/>
          <w:sz w:val="24"/>
          <w:szCs w:val="24"/>
        </w:rPr>
        <w:t xml:space="preserve"> fluorescens DSP-3</w:t>
      </w:r>
      <w:r w:rsidRPr="00CE32A4">
        <w:rPr>
          <w:rFonts w:ascii="Times New Roman" w:hAnsi="Times New Roman" w:cs="Times New Roman"/>
          <w:sz w:val="24"/>
          <w:szCs w:val="24"/>
        </w:rPr>
        <w:t xml:space="preserve"> and recorded 35 fruits plant</w:t>
      </w:r>
      <w:r w:rsidRPr="00CE32A4">
        <w:rPr>
          <w:rFonts w:ascii="Times New Roman" w:hAnsi="Times New Roman" w:cs="Times New Roman"/>
          <w:sz w:val="24"/>
          <w:szCs w:val="24"/>
          <w:vertAlign w:val="superscript"/>
        </w:rPr>
        <w:t>-1</w:t>
      </w:r>
      <w:r w:rsidRPr="00CE32A4">
        <w:rPr>
          <w:rFonts w:ascii="Times New Roman" w:hAnsi="Times New Roman" w:cs="Times New Roman"/>
          <w:sz w:val="24"/>
          <w:szCs w:val="24"/>
        </w:rPr>
        <w:t>, 9.12 g plant</w:t>
      </w:r>
      <w:r w:rsidRPr="00CE32A4">
        <w:rPr>
          <w:rFonts w:ascii="Times New Roman" w:hAnsi="Times New Roman" w:cs="Times New Roman"/>
          <w:sz w:val="24"/>
          <w:szCs w:val="24"/>
          <w:vertAlign w:val="superscript"/>
        </w:rPr>
        <w:t>-1</w:t>
      </w:r>
      <w:r w:rsidRPr="00CE32A4">
        <w:rPr>
          <w:rFonts w:ascii="Times New Roman" w:hAnsi="Times New Roman" w:cs="Times New Roman"/>
          <w:sz w:val="24"/>
          <w:szCs w:val="24"/>
        </w:rPr>
        <w:t xml:space="preserve"> for fruit weight and 319.02 g plant</w:t>
      </w:r>
      <w:r w:rsidRPr="00CE32A4">
        <w:rPr>
          <w:rFonts w:ascii="Times New Roman" w:hAnsi="Times New Roman" w:cs="Times New Roman"/>
          <w:sz w:val="24"/>
          <w:szCs w:val="24"/>
          <w:vertAlign w:val="superscript"/>
        </w:rPr>
        <w:t xml:space="preserve">-1 </w:t>
      </w:r>
      <w:r w:rsidRPr="00CE32A4">
        <w:rPr>
          <w:rFonts w:ascii="Times New Roman" w:hAnsi="Times New Roman" w:cs="Times New Roman"/>
          <w:sz w:val="24"/>
          <w:szCs w:val="24"/>
        </w:rPr>
        <w:t>for fruit yield and the treatment T</w:t>
      </w:r>
      <w:r w:rsidRPr="00CE32A4">
        <w:rPr>
          <w:rFonts w:ascii="Times New Roman" w:hAnsi="Times New Roman" w:cs="Times New Roman"/>
          <w:sz w:val="24"/>
          <w:szCs w:val="24"/>
          <w:vertAlign w:val="subscript"/>
        </w:rPr>
        <w:t>5</w:t>
      </w:r>
      <w:r w:rsidRPr="00CE32A4">
        <w:rPr>
          <w:rFonts w:ascii="Times New Roman" w:hAnsi="Times New Roman" w:cs="Times New Roman"/>
          <w:sz w:val="24"/>
          <w:szCs w:val="24"/>
        </w:rPr>
        <w:t xml:space="preserve"> was on par with T</w:t>
      </w:r>
      <w:r w:rsidRPr="00CE32A4">
        <w:rPr>
          <w:rFonts w:ascii="Times New Roman" w:hAnsi="Times New Roman" w:cs="Times New Roman"/>
          <w:sz w:val="24"/>
          <w:szCs w:val="24"/>
          <w:vertAlign w:val="subscript"/>
        </w:rPr>
        <w:t>2</w:t>
      </w:r>
      <w:r w:rsidRPr="00CE32A4">
        <w:rPr>
          <w:rFonts w:ascii="Times New Roman" w:hAnsi="Times New Roman" w:cs="Times New Roman"/>
          <w:sz w:val="24"/>
          <w:szCs w:val="24"/>
        </w:rPr>
        <w:t>. Minimum number of fruits, fruit weight and fruit yield was recorded in the treatment T</w:t>
      </w:r>
      <w:r w:rsidRPr="00CE32A4">
        <w:rPr>
          <w:rFonts w:ascii="Times New Roman" w:hAnsi="Times New Roman" w:cs="Times New Roman"/>
          <w:sz w:val="24"/>
          <w:szCs w:val="24"/>
          <w:vertAlign w:val="subscript"/>
        </w:rPr>
        <w:t xml:space="preserve">0 </w:t>
      </w:r>
      <w:r w:rsidRPr="00CE32A4">
        <w:rPr>
          <w:rFonts w:ascii="Times New Roman" w:hAnsi="Times New Roman" w:cs="Times New Roman"/>
          <w:sz w:val="24"/>
          <w:szCs w:val="24"/>
        </w:rPr>
        <w:t>(Control).</w:t>
      </w:r>
    </w:p>
    <w:p w14:paraId="2411358F" w14:textId="71A1A3CF" w:rsidR="00DD1C3A" w:rsidRDefault="00DD1C3A" w:rsidP="00646F85">
      <w:pPr>
        <w:spacing w:line="360" w:lineRule="auto"/>
        <w:ind w:left="-720" w:right="-781"/>
        <w:jc w:val="both"/>
        <w:rPr>
          <w:rFonts w:ascii="Times New Roman" w:hAnsi="Times New Roman" w:cs="Times New Roman"/>
          <w:bCs/>
          <w:sz w:val="24"/>
          <w:szCs w:val="24"/>
        </w:rPr>
      </w:pPr>
      <w:r w:rsidRPr="00DD1C3A">
        <w:rPr>
          <w:rFonts w:ascii="Times New Roman" w:hAnsi="Times New Roman" w:cs="Times New Roman"/>
          <w:bCs/>
          <w:sz w:val="24"/>
          <w:szCs w:val="24"/>
        </w:rPr>
        <w:t xml:space="preserve">Fruit number is directly influenced by vegetative growth and nutrient availability during flowering and fruit set stages. Enhanced fruit production under PGPR treatments may be attributed to improved nutrient use efficiency, hormonal balance, and enhanced sink–source relationships (Nelson, 2004; Yang et al., 2024). Earlier studies in chilli have also reported increased fruit number following PGPR application (Bharathi et al., 2004; </w:t>
      </w:r>
      <w:proofErr w:type="spellStart"/>
      <w:r w:rsidRPr="00DD1C3A">
        <w:rPr>
          <w:rFonts w:ascii="Times New Roman" w:hAnsi="Times New Roman" w:cs="Times New Roman"/>
          <w:bCs/>
          <w:sz w:val="24"/>
          <w:szCs w:val="24"/>
        </w:rPr>
        <w:t>Shyam</w:t>
      </w:r>
      <w:proofErr w:type="spellEnd"/>
      <w:r w:rsidRPr="00DD1C3A">
        <w:rPr>
          <w:rFonts w:ascii="Times New Roman" w:hAnsi="Times New Roman" w:cs="Times New Roman"/>
          <w:bCs/>
          <w:sz w:val="24"/>
          <w:szCs w:val="24"/>
        </w:rPr>
        <w:t xml:space="preserve"> &amp; </w:t>
      </w:r>
      <w:proofErr w:type="spellStart"/>
      <w:r w:rsidRPr="00DD1C3A">
        <w:rPr>
          <w:rFonts w:ascii="Times New Roman" w:hAnsi="Times New Roman" w:cs="Times New Roman"/>
          <w:bCs/>
          <w:sz w:val="24"/>
          <w:szCs w:val="24"/>
        </w:rPr>
        <w:t>Narzary</w:t>
      </w:r>
      <w:proofErr w:type="spellEnd"/>
      <w:r w:rsidRPr="00DD1C3A">
        <w:rPr>
          <w:rFonts w:ascii="Times New Roman" w:hAnsi="Times New Roman" w:cs="Times New Roman"/>
          <w:bCs/>
          <w:sz w:val="24"/>
          <w:szCs w:val="24"/>
        </w:rPr>
        <w:t>, 2024), supporting the present findings.</w:t>
      </w:r>
    </w:p>
    <w:p w14:paraId="5A7E555F" w14:textId="676AFBA6" w:rsidR="002F335C" w:rsidRDefault="00730917" w:rsidP="00646F85">
      <w:pPr>
        <w:spacing w:line="360" w:lineRule="auto"/>
        <w:ind w:left="-720" w:right="-781"/>
        <w:jc w:val="both"/>
        <w:rPr>
          <w:rFonts w:ascii="Times New Roman" w:hAnsi="Times New Roman" w:cs="Times New Roman"/>
          <w:bCs/>
          <w:sz w:val="24"/>
          <w:szCs w:val="24"/>
        </w:rPr>
      </w:pPr>
      <w:r w:rsidRPr="00730917">
        <w:rPr>
          <w:rFonts w:ascii="Times New Roman" w:hAnsi="Times New Roman" w:cs="Times New Roman"/>
          <w:bCs/>
          <w:sz w:val="24"/>
          <w:szCs w:val="24"/>
        </w:rPr>
        <w:t xml:space="preserve">The increase in fruit weight can be linked to improved nutrient assimilation, particularly phosphorus and potassium, which play crucial roles in fruit enlargement and quality (Glick, 2012; Shetty et al., 2025). PGPR-mediated enhancement of root growth and nutrient uptake ensures continuous nutrient supply during fruit development, leading to increased fruit size. Similar results were reported by </w:t>
      </w:r>
      <w:proofErr w:type="spellStart"/>
      <w:r w:rsidRPr="00730917">
        <w:rPr>
          <w:rFonts w:ascii="Times New Roman" w:hAnsi="Times New Roman" w:cs="Times New Roman"/>
          <w:bCs/>
          <w:sz w:val="24"/>
          <w:szCs w:val="24"/>
        </w:rPr>
        <w:t>Ordookhani</w:t>
      </w:r>
      <w:proofErr w:type="spellEnd"/>
      <w:r w:rsidRPr="00730917">
        <w:rPr>
          <w:rFonts w:ascii="Times New Roman" w:hAnsi="Times New Roman" w:cs="Times New Roman"/>
          <w:bCs/>
          <w:sz w:val="24"/>
          <w:szCs w:val="24"/>
        </w:rPr>
        <w:t xml:space="preserve"> et al. (2010) in chilli and by Gopalakrishnan et al. (2015) in other vegetable crops.</w:t>
      </w:r>
    </w:p>
    <w:p w14:paraId="436E3DC5" w14:textId="77777777" w:rsidR="00990031" w:rsidRDefault="002007A6" w:rsidP="00990031">
      <w:pPr>
        <w:spacing w:line="360" w:lineRule="auto"/>
        <w:ind w:left="-720" w:right="-781"/>
        <w:jc w:val="both"/>
        <w:rPr>
          <w:rFonts w:ascii="Times New Roman" w:hAnsi="Times New Roman" w:cs="Times New Roman"/>
          <w:bCs/>
          <w:sz w:val="24"/>
          <w:szCs w:val="24"/>
        </w:rPr>
      </w:pPr>
      <w:r w:rsidRPr="002007A6">
        <w:rPr>
          <w:rFonts w:ascii="Times New Roman" w:hAnsi="Times New Roman" w:cs="Times New Roman"/>
          <w:bCs/>
          <w:sz w:val="24"/>
          <w:szCs w:val="24"/>
        </w:rPr>
        <w:lastRenderedPageBreak/>
        <w:t xml:space="preserve">Yield improvement under PGPR consortia is a cumulative effect of enhanced vegetative growth, higher fruit number, and increased fruit weight. Synergistic interactions between </w:t>
      </w:r>
      <w:proofErr w:type="spellStart"/>
      <w:r w:rsidRPr="002007A6">
        <w:rPr>
          <w:rFonts w:ascii="Times New Roman" w:hAnsi="Times New Roman" w:cs="Times New Roman"/>
          <w:bCs/>
          <w:i/>
          <w:iCs/>
          <w:sz w:val="24"/>
          <w:szCs w:val="24"/>
        </w:rPr>
        <w:t>Azospirillum</w:t>
      </w:r>
      <w:proofErr w:type="spellEnd"/>
      <w:r w:rsidRPr="002007A6">
        <w:rPr>
          <w:rFonts w:ascii="Times New Roman" w:hAnsi="Times New Roman" w:cs="Times New Roman"/>
          <w:bCs/>
          <w:sz w:val="24"/>
          <w:szCs w:val="24"/>
        </w:rPr>
        <w:t xml:space="preserve"> and </w:t>
      </w:r>
      <w:r w:rsidRPr="002007A6">
        <w:rPr>
          <w:rFonts w:ascii="Times New Roman" w:hAnsi="Times New Roman" w:cs="Times New Roman"/>
          <w:bCs/>
          <w:i/>
          <w:iCs/>
          <w:sz w:val="24"/>
          <w:szCs w:val="24"/>
        </w:rPr>
        <w:t>Pseudomonas</w:t>
      </w:r>
      <w:r w:rsidRPr="002007A6">
        <w:rPr>
          <w:rFonts w:ascii="Times New Roman" w:hAnsi="Times New Roman" w:cs="Times New Roman"/>
          <w:bCs/>
          <w:sz w:val="24"/>
          <w:szCs w:val="24"/>
        </w:rPr>
        <w:t xml:space="preserve"> enhance nutrient availability, hormonal regulation, and rhizosphere microbial activity, leading to higher productivity (</w:t>
      </w:r>
      <w:proofErr w:type="spellStart"/>
      <w:r w:rsidRPr="002007A6">
        <w:rPr>
          <w:rFonts w:ascii="Times New Roman" w:hAnsi="Times New Roman" w:cs="Times New Roman"/>
          <w:bCs/>
          <w:sz w:val="24"/>
          <w:szCs w:val="24"/>
        </w:rPr>
        <w:t>Adesemoye</w:t>
      </w:r>
      <w:proofErr w:type="spellEnd"/>
      <w:r w:rsidRPr="002007A6">
        <w:rPr>
          <w:rFonts w:ascii="Times New Roman" w:hAnsi="Times New Roman" w:cs="Times New Roman"/>
          <w:bCs/>
          <w:sz w:val="24"/>
          <w:szCs w:val="24"/>
        </w:rPr>
        <w:t xml:space="preserve"> &amp; </w:t>
      </w:r>
      <w:proofErr w:type="spellStart"/>
      <w:r w:rsidRPr="002007A6">
        <w:rPr>
          <w:rFonts w:ascii="Times New Roman" w:hAnsi="Times New Roman" w:cs="Times New Roman"/>
          <w:bCs/>
          <w:sz w:val="24"/>
          <w:szCs w:val="24"/>
        </w:rPr>
        <w:t>Egamberdieva</w:t>
      </w:r>
      <w:proofErr w:type="spellEnd"/>
      <w:r w:rsidRPr="002007A6">
        <w:rPr>
          <w:rFonts w:ascii="Times New Roman" w:hAnsi="Times New Roman" w:cs="Times New Roman"/>
          <w:bCs/>
          <w:sz w:val="24"/>
          <w:szCs w:val="24"/>
        </w:rPr>
        <w:t xml:space="preserve">, 2013; </w:t>
      </w:r>
      <w:proofErr w:type="spellStart"/>
      <w:r w:rsidRPr="002007A6">
        <w:rPr>
          <w:rFonts w:ascii="Times New Roman" w:hAnsi="Times New Roman" w:cs="Times New Roman"/>
          <w:bCs/>
          <w:sz w:val="24"/>
          <w:szCs w:val="24"/>
        </w:rPr>
        <w:t>Mmotla</w:t>
      </w:r>
      <w:proofErr w:type="spellEnd"/>
      <w:r w:rsidRPr="002007A6">
        <w:rPr>
          <w:rFonts w:ascii="Times New Roman" w:hAnsi="Times New Roman" w:cs="Times New Roman"/>
          <w:bCs/>
          <w:sz w:val="24"/>
          <w:szCs w:val="24"/>
        </w:rPr>
        <w:t xml:space="preserve"> et al., 2025). These findings align with recent reports emphasizing the role of PGPR consortia in sustainable crop production systems (Hasan et al., 2024; Yang et al., 2024).</w:t>
      </w:r>
    </w:p>
    <w:p w14:paraId="7F6FA51D" w14:textId="1C1DEF64" w:rsidR="00990031" w:rsidRDefault="00990031" w:rsidP="00BC0AD4">
      <w:pPr>
        <w:ind w:left="-720" w:right="-781"/>
        <w:jc w:val="both"/>
        <w:rPr>
          <w:rFonts w:ascii="Times New Roman" w:hAnsi="Times New Roman"/>
          <w:b/>
        </w:rPr>
      </w:pPr>
      <w:r w:rsidRPr="00BC0AD4">
        <w:rPr>
          <w:rFonts w:ascii="Times New Roman" w:hAnsi="Times New Roman"/>
          <w:b/>
        </w:rPr>
        <w:t>Table-</w:t>
      </w:r>
      <w:r w:rsidR="00AD7F63">
        <w:rPr>
          <w:rFonts w:ascii="Times New Roman" w:hAnsi="Times New Roman"/>
          <w:b/>
        </w:rPr>
        <w:t>4</w:t>
      </w:r>
      <w:r w:rsidRPr="00BC0AD4">
        <w:rPr>
          <w:rFonts w:ascii="Times New Roman" w:hAnsi="Times New Roman"/>
          <w:b/>
        </w:rPr>
        <w:t>. Effect of PGPR) inoculation on the number of fruits, fruit weight and fruit yield of chilli variety</w:t>
      </w:r>
      <w:r w:rsidR="0059587A">
        <w:rPr>
          <w:rFonts w:ascii="Times New Roman" w:hAnsi="Times New Roman"/>
          <w:b/>
        </w:rPr>
        <w:t xml:space="preserve"> K2</w:t>
      </w:r>
      <w:r w:rsidRPr="00BC0AD4">
        <w:rPr>
          <w:rFonts w:ascii="Times New Roman" w:hAnsi="Times New Roman"/>
          <w:b/>
        </w:rPr>
        <w:t xml:space="preserve"> under pot culture condition</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531"/>
        <w:gridCol w:w="1251"/>
        <w:gridCol w:w="1266"/>
        <w:gridCol w:w="1311"/>
      </w:tblGrid>
      <w:tr w:rsidR="00BE3333" w:rsidRPr="00C54EE0" w14:paraId="2CE73B50" w14:textId="77777777" w:rsidTr="00BE3333">
        <w:trPr>
          <w:trHeight w:val="367"/>
          <w:jc w:val="center"/>
        </w:trPr>
        <w:tc>
          <w:tcPr>
            <w:tcW w:w="728" w:type="dxa"/>
            <w:vAlign w:val="center"/>
          </w:tcPr>
          <w:p w14:paraId="5FB94954"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S.NO</w:t>
            </w:r>
          </w:p>
        </w:tc>
        <w:tc>
          <w:tcPr>
            <w:tcW w:w="5563" w:type="dxa"/>
            <w:vAlign w:val="center"/>
          </w:tcPr>
          <w:p w14:paraId="623EFA13"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Treatments</w:t>
            </w:r>
          </w:p>
        </w:tc>
        <w:tc>
          <w:tcPr>
            <w:tcW w:w="1254" w:type="dxa"/>
            <w:vAlign w:val="center"/>
          </w:tcPr>
          <w:p w14:paraId="250C8D96"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No. of fruits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c>
          <w:tcPr>
            <w:tcW w:w="1269" w:type="dxa"/>
            <w:vAlign w:val="center"/>
          </w:tcPr>
          <w:p w14:paraId="6DA06F6F"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Fruit weight (g)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c>
          <w:tcPr>
            <w:tcW w:w="1315" w:type="dxa"/>
            <w:vAlign w:val="center"/>
          </w:tcPr>
          <w:p w14:paraId="3EDFDB27"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Fruits yield (g)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r>
      <w:tr w:rsidR="00BE3333" w:rsidRPr="00C54EE0" w14:paraId="471AF5B4" w14:textId="77777777" w:rsidTr="00BE3333">
        <w:trPr>
          <w:trHeight w:val="35"/>
          <w:jc w:val="center"/>
        </w:trPr>
        <w:tc>
          <w:tcPr>
            <w:tcW w:w="728" w:type="dxa"/>
          </w:tcPr>
          <w:p w14:paraId="3DDB453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w:t>
            </w:r>
          </w:p>
        </w:tc>
        <w:tc>
          <w:tcPr>
            <w:tcW w:w="5563" w:type="dxa"/>
            <w:vAlign w:val="center"/>
          </w:tcPr>
          <w:p w14:paraId="1FFBA1C2" w14:textId="77777777" w:rsidR="00BE3333" w:rsidRPr="00B97D40" w:rsidRDefault="00BE3333" w:rsidP="00B97D40">
            <w:pPr>
              <w:spacing w:after="80" w:line="240" w:lineRule="auto"/>
              <w:ind w:left="564" w:hanging="396"/>
              <w:rPr>
                <w:rFonts w:ascii="Times New Roman" w:hAnsi="Times New Roman" w:cs="Times New Roman"/>
                <w:sz w:val="24"/>
                <w:szCs w:val="24"/>
                <w:vertAlign w:val="subscript"/>
              </w:rPr>
            </w:pPr>
            <w:r w:rsidRPr="00B97D40">
              <w:rPr>
                <w:rFonts w:ascii="Times New Roman" w:hAnsi="Times New Roman" w:cs="Times New Roman"/>
                <w:sz w:val="24"/>
                <w:szCs w:val="24"/>
              </w:rPr>
              <w:t>T</w:t>
            </w:r>
            <w:r w:rsidRPr="00B97D40">
              <w:rPr>
                <w:rFonts w:ascii="Times New Roman" w:hAnsi="Times New Roman" w:cs="Times New Roman"/>
                <w:sz w:val="24"/>
                <w:szCs w:val="24"/>
                <w:vertAlign w:val="subscript"/>
              </w:rPr>
              <w:t xml:space="preserve">0 – </w:t>
            </w:r>
            <w:r w:rsidRPr="00B97D40">
              <w:rPr>
                <w:rFonts w:ascii="Times New Roman" w:hAnsi="Times New Roman" w:cs="Times New Roman"/>
                <w:sz w:val="24"/>
                <w:szCs w:val="24"/>
              </w:rPr>
              <w:t>Control</w:t>
            </w:r>
          </w:p>
        </w:tc>
        <w:tc>
          <w:tcPr>
            <w:tcW w:w="1254" w:type="dxa"/>
            <w:vAlign w:val="center"/>
          </w:tcPr>
          <w:p w14:paraId="1379413B"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16</w:t>
            </w:r>
          </w:p>
        </w:tc>
        <w:tc>
          <w:tcPr>
            <w:tcW w:w="1269" w:type="dxa"/>
            <w:vAlign w:val="center"/>
          </w:tcPr>
          <w:p w14:paraId="2DC83F4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6.24</w:t>
            </w:r>
          </w:p>
        </w:tc>
        <w:tc>
          <w:tcPr>
            <w:tcW w:w="1315" w:type="dxa"/>
            <w:vAlign w:val="center"/>
          </w:tcPr>
          <w:p w14:paraId="7630BEF7"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92.16</w:t>
            </w:r>
          </w:p>
        </w:tc>
      </w:tr>
      <w:tr w:rsidR="00BE3333" w:rsidRPr="00C54EE0" w14:paraId="2B37C9CA" w14:textId="77777777" w:rsidTr="00BE3333">
        <w:trPr>
          <w:trHeight w:val="35"/>
          <w:jc w:val="center"/>
        </w:trPr>
        <w:tc>
          <w:tcPr>
            <w:tcW w:w="728" w:type="dxa"/>
            <w:vAlign w:val="center"/>
          </w:tcPr>
          <w:p w14:paraId="7050CA7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w:t>
            </w:r>
          </w:p>
        </w:tc>
        <w:tc>
          <w:tcPr>
            <w:tcW w:w="5563" w:type="dxa"/>
            <w:vAlign w:val="center"/>
          </w:tcPr>
          <w:p w14:paraId="6674FDEA" w14:textId="77777777" w:rsidR="00BE3333" w:rsidRPr="00B97D40" w:rsidRDefault="00BE3333" w:rsidP="00B97D40">
            <w:pPr>
              <w:spacing w:after="80" w:line="240" w:lineRule="auto"/>
              <w:ind w:left="564" w:hanging="396"/>
              <w:rPr>
                <w:rFonts w:ascii="Times New Roman" w:hAnsi="Times New Roman" w:cs="Times New Roman"/>
                <w:sz w:val="24"/>
                <w:szCs w:val="24"/>
              </w:rPr>
            </w:pPr>
            <w:r w:rsidRPr="00B97D40">
              <w:rPr>
                <w:rFonts w:ascii="Times New Roman" w:hAnsi="Times New Roman" w:cs="Times New Roman"/>
                <w:sz w:val="24"/>
                <w:szCs w:val="24"/>
              </w:rPr>
              <w:t>T</w:t>
            </w:r>
            <w:r w:rsidRPr="00B97D40">
              <w:rPr>
                <w:rFonts w:ascii="Times New Roman" w:hAnsi="Times New Roman" w:cs="Times New Roman"/>
                <w:sz w:val="24"/>
                <w:szCs w:val="24"/>
                <w:vertAlign w:val="subscript"/>
              </w:rPr>
              <w:t xml:space="preserve">2 </w:t>
            </w:r>
            <w:r w:rsidRPr="00B97D40">
              <w:rPr>
                <w:rFonts w:ascii="Times New Roman" w:hAnsi="Times New Roman" w:cs="Times New Roman"/>
                <w:sz w:val="24"/>
                <w:szCs w:val="24"/>
              </w:rPr>
              <w:t>‐ 100% NPK</w:t>
            </w:r>
          </w:p>
        </w:tc>
        <w:tc>
          <w:tcPr>
            <w:tcW w:w="1254" w:type="dxa"/>
            <w:vAlign w:val="center"/>
          </w:tcPr>
          <w:p w14:paraId="313DF86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31</w:t>
            </w:r>
          </w:p>
        </w:tc>
        <w:tc>
          <w:tcPr>
            <w:tcW w:w="1269" w:type="dxa"/>
            <w:vAlign w:val="center"/>
          </w:tcPr>
          <w:p w14:paraId="316FBE65"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9.00</w:t>
            </w:r>
          </w:p>
        </w:tc>
        <w:tc>
          <w:tcPr>
            <w:tcW w:w="1315" w:type="dxa"/>
            <w:vAlign w:val="center"/>
          </w:tcPr>
          <w:p w14:paraId="26E7F1E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284.40</w:t>
            </w:r>
          </w:p>
        </w:tc>
      </w:tr>
      <w:tr w:rsidR="00BE3333" w:rsidRPr="00C54EE0" w14:paraId="066ECF87" w14:textId="77777777" w:rsidTr="00BE3333">
        <w:trPr>
          <w:trHeight w:val="35"/>
          <w:jc w:val="center"/>
        </w:trPr>
        <w:tc>
          <w:tcPr>
            <w:tcW w:w="728" w:type="dxa"/>
            <w:vAlign w:val="center"/>
          </w:tcPr>
          <w:p w14:paraId="16451DE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w:t>
            </w:r>
          </w:p>
        </w:tc>
        <w:tc>
          <w:tcPr>
            <w:tcW w:w="5563" w:type="dxa"/>
            <w:vAlign w:val="center"/>
          </w:tcPr>
          <w:p w14:paraId="7499FB3D" w14:textId="44B108EA"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3 </w:t>
            </w:r>
            <w:r w:rsidRPr="009B3FEA">
              <w:rPr>
                <w:rFonts w:ascii="Times New Roman" w:hAnsi="Times New Roman" w:cs="Times New Roman"/>
                <w:sz w:val="24"/>
                <w:szCs w:val="24"/>
                <w:lang w:val="pt-BR"/>
              </w:rPr>
              <w:t xml:space="preserve">‐75% N +100% P&amp;K + </w:t>
            </w:r>
            <w:r w:rsidRPr="009B3FEA">
              <w:rPr>
                <w:rFonts w:ascii="Times New Roman" w:hAnsi="Times New Roman" w:cs="Times New Roman"/>
                <w:i/>
                <w:sz w:val="24"/>
                <w:szCs w:val="24"/>
                <w:lang w:val="pt-BR"/>
              </w:rPr>
              <w:t xml:space="preserve">A.brasilense </w:t>
            </w:r>
          </w:p>
        </w:tc>
        <w:tc>
          <w:tcPr>
            <w:tcW w:w="1254" w:type="dxa"/>
            <w:vAlign w:val="center"/>
          </w:tcPr>
          <w:p w14:paraId="524853D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w:t>
            </w:r>
          </w:p>
        </w:tc>
        <w:tc>
          <w:tcPr>
            <w:tcW w:w="1269" w:type="dxa"/>
            <w:vAlign w:val="center"/>
          </w:tcPr>
          <w:p w14:paraId="3BC427C2"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8.66</w:t>
            </w:r>
          </w:p>
        </w:tc>
        <w:tc>
          <w:tcPr>
            <w:tcW w:w="1315" w:type="dxa"/>
            <w:vAlign w:val="center"/>
          </w:tcPr>
          <w:p w14:paraId="6F36051B"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276.03</w:t>
            </w:r>
          </w:p>
        </w:tc>
      </w:tr>
      <w:tr w:rsidR="00BE3333" w:rsidRPr="00C54EE0" w14:paraId="549734A4" w14:textId="77777777" w:rsidTr="00BE3333">
        <w:trPr>
          <w:trHeight w:val="35"/>
          <w:jc w:val="center"/>
        </w:trPr>
        <w:tc>
          <w:tcPr>
            <w:tcW w:w="728" w:type="dxa"/>
            <w:vAlign w:val="center"/>
          </w:tcPr>
          <w:p w14:paraId="641C251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4.</w:t>
            </w:r>
          </w:p>
        </w:tc>
        <w:tc>
          <w:tcPr>
            <w:tcW w:w="5563" w:type="dxa"/>
            <w:vAlign w:val="center"/>
          </w:tcPr>
          <w:p w14:paraId="26C8B6C8" w14:textId="51C4DCDB"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4 </w:t>
            </w:r>
            <w:r w:rsidRPr="009B3FEA">
              <w:rPr>
                <w:rFonts w:ascii="Times New Roman" w:hAnsi="Times New Roman" w:cs="Times New Roman"/>
                <w:sz w:val="24"/>
                <w:szCs w:val="24"/>
                <w:lang w:val="pt-BR"/>
              </w:rPr>
              <w:t xml:space="preserve">‐ 100% N&amp;K +75% P + </w:t>
            </w:r>
            <w:r w:rsidRPr="009B3FEA">
              <w:rPr>
                <w:rFonts w:ascii="Times New Roman" w:hAnsi="Times New Roman" w:cs="Times New Roman"/>
                <w:i/>
                <w:iCs/>
                <w:sz w:val="24"/>
                <w:szCs w:val="24"/>
                <w:lang w:val="pt-BR"/>
              </w:rPr>
              <w:t>P.</w:t>
            </w:r>
            <w:r w:rsidRPr="009B3FEA">
              <w:rPr>
                <w:rFonts w:ascii="Times New Roman" w:hAnsi="Times New Roman" w:cs="Times New Roman"/>
                <w:i/>
                <w:sz w:val="24"/>
                <w:szCs w:val="24"/>
                <w:lang w:val="pt-BR"/>
              </w:rPr>
              <w:t xml:space="preserve"> fluorescens </w:t>
            </w:r>
          </w:p>
        </w:tc>
        <w:tc>
          <w:tcPr>
            <w:tcW w:w="1254" w:type="dxa"/>
            <w:vAlign w:val="center"/>
          </w:tcPr>
          <w:p w14:paraId="7D18EA0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25</w:t>
            </w:r>
          </w:p>
        </w:tc>
        <w:tc>
          <w:tcPr>
            <w:tcW w:w="1269" w:type="dxa"/>
            <w:vAlign w:val="center"/>
          </w:tcPr>
          <w:p w14:paraId="3FD7D4E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8.00</w:t>
            </w:r>
          </w:p>
        </w:tc>
        <w:tc>
          <w:tcPr>
            <w:tcW w:w="1315" w:type="dxa"/>
            <w:vAlign w:val="center"/>
          </w:tcPr>
          <w:p w14:paraId="561090F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213.10</w:t>
            </w:r>
          </w:p>
        </w:tc>
      </w:tr>
      <w:tr w:rsidR="00BE3333" w:rsidRPr="00C54EE0" w14:paraId="01FB398C" w14:textId="77777777" w:rsidTr="00BE3333">
        <w:trPr>
          <w:trHeight w:val="313"/>
          <w:jc w:val="center"/>
        </w:trPr>
        <w:tc>
          <w:tcPr>
            <w:tcW w:w="728" w:type="dxa"/>
            <w:vAlign w:val="center"/>
          </w:tcPr>
          <w:p w14:paraId="47CB65A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5.</w:t>
            </w:r>
          </w:p>
        </w:tc>
        <w:tc>
          <w:tcPr>
            <w:tcW w:w="5563" w:type="dxa"/>
            <w:vAlign w:val="center"/>
          </w:tcPr>
          <w:p w14:paraId="610764A0" w14:textId="2F8143A8" w:rsidR="00BE3333" w:rsidRPr="009B3FEA" w:rsidRDefault="00BE3333" w:rsidP="00B97D40">
            <w:pPr>
              <w:spacing w:after="80" w:line="240" w:lineRule="auto"/>
              <w:ind w:left="564" w:right="-60" w:hanging="396"/>
              <w:rPr>
                <w:rFonts w:ascii="Times New Roman" w:hAnsi="Times New Roman" w:cs="Times New Roman"/>
                <w:i/>
                <w:iCs/>
                <w:sz w:val="24"/>
                <w:szCs w:val="24"/>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5 </w:t>
            </w:r>
            <w:r w:rsidRPr="009B3FEA">
              <w:rPr>
                <w:rFonts w:ascii="Times New Roman" w:hAnsi="Times New Roman" w:cs="Times New Roman"/>
                <w:sz w:val="24"/>
                <w:szCs w:val="24"/>
                <w:lang w:val="pt-BR"/>
              </w:rPr>
              <w:t xml:space="preserve">‐ 75% N&amp;P + 100% K + </w:t>
            </w:r>
            <w:r w:rsidRPr="009B3FEA">
              <w:rPr>
                <w:rFonts w:ascii="Times New Roman" w:hAnsi="Times New Roman" w:cs="Times New Roman"/>
                <w:i/>
                <w:sz w:val="24"/>
                <w:szCs w:val="24"/>
                <w:lang w:val="pt-BR"/>
              </w:rPr>
              <w:t>A. brasilense +</w:t>
            </w:r>
            <w:r w:rsidRPr="009B3FEA">
              <w:rPr>
                <w:rFonts w:ascii="Times New Roman" w:hAnsi="Times New Roman" w:cs="Times New Roman"/>
                <w:i/>
                <w:iCs/>
                <w:sz w:val="24"/>
                <w:szCs w:val="24"/>
                <w:lang w:val="pt-BR"/>
              </w:rPr>
              <w:t xml:space="preserve"> </w:t>
            </w:r>
            <w:r w:rsidRPr="009B3FEA">
              <w:rPr>
                <w:rFonts w:ascii="Times New Roman" w:hAnsi="Times New Roman" w:cs="Times New Roman"/>
                <w:i/>
                <w:iCs/>
                <w:sz w:val="24"/>
                <w:szCs w:val="24"/>
                <w:lang w:val="pt-BR"/>
              </w:rPr>
              <w:br/>
              <w:t>P.</w:t>
            </w:r>
            <w:r w:rsidRPr="009B3FEA">
              <w:rPr>
                <w:rFonts w:ascii="Times New Roman" w:hAnsi="Times New Roman" w:cs="Times New Roman"/>
                <w:i/>
                <w:sz w:val="24"/>
                <w:szCs w:val="24"/>
                <w:lang w:val="pt-BR"/>
              </w:rPr>
              <w:t xml:space="preserve"> fluorescens</w:t>
            </w:r>
          </w:p>
        </w:tc>
        <w:tc>
          <w:tcPr>
            <w:tcW w:w="1254" w:type="dxa"/>
            <w:vAlign w:val="center"/>
          </w:tcPr>
          <w:p w14:paraId="73AC275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35</w:t>
            </w:r>
          </w:p>
        </w:tc>
        <w:tc>
          <w:tcPr>
            <w:tcW w:w="1269" w:type="dxa"/>
            <w:vAlign w:val="center"/>
          </w:tcPr>
          <w:p w14:paraId="2E6F017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9.12</w:t>
            </w:r>
          </w:p>
        </w:tc>
        <w:tc>
          <w:tcPr>
            <w:tcW w:w="1315" w:type="dxa"/>
            <w:vAlign w:val="center"/>
          </w:tcPr>
          <w:p w14:paraId="7396F9D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319.02</w:t>
            </w:r>
          </w:p>
        </w:tc>
      </w:tr>
      <w:tr w:rsidR="00BE3333" w:rsidRPr="00C54EE0" w14:paraId="0D5735DB" w14:textId="77777777" w:rsidTr="00BE3333">
        <w:trPr>
          <w:trHeight w:val="35"/>
          <w:jc w:val="center"/>
        </w:trPr>
        <w:tc>
          <w:tcPr>
            <w:tcW w:w="728" w:type="dxa"/>
            <w:vAlign w:val="center"/>
          </w:tcPr>
          <w:p w14:paraId="1DDB6955"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6.</w:t>
            </w:r>
          </w:p>
        </w:tc>
        <w:tc>
          <w:tcPr>
            <w:tcW w:w="5563" w:type="dxa"/>
            <w:vAlign w:val="center"/>
          </w:tcPr>
          <w:p w14:paraId="0564A193" w14:textId="7A97D141" w:rsidR="00BE3333" w:rsidRPr="009B3FEA" w:rsidRDefault="00BE3333" w:rsidP="00B97D40">
            <w:pPr>
              <w:spacing w:after="80" w:line="240" w:lineRule="auto"/>
              <w:ind w:left="564" w:hanging="396"/>
              <w:rPr>
                <w:rFonts w:ascii="Times New Roman" w:hAnsi="Times New Roman" w:cs="Times New Roman"/>
                <w:sz w:val="24"/>
                <w:szCs w:val="24"/>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6 </w:t>
            </w:r>
            <w:r w:rsidRPr="009B3FEA">
              <w:rPr>
                <w:rFonts w:ascii="Times New Roman" w:hAnsi="Times New Roman" w:cs="Times New Roman"/>
                <w:sz w:val="24"/>
                <w:szCs w:val="24"/>
                <w:lang w:val="pt-BR"/>
              </w:rPr>
              <w:t xml:space="preserve">‐ 50 % N + 100% P&amp;K + </w:t>
            </w:r>
            <w:r w:rsidRPr="009B3FEA">
              <w:rPr>
                <w:rFonts w:ascii="Times New Roman" w:hAnsi="Times New Roman" w:cs="Times New Roman"/>
                <w:i/>
                <w:iCs/>
                <w:sz w:val="24"/>
                <w:szCs w:val="24"/>
                <w:lang w:val="pt-BR"/>
              </w:rPr>
              <w:t>A.</w:t>
            </w:r>
            <w:r w:rsidRPr="009B3FEA">
              <w:rPr>
                <w:rFonts w:ascii="Times New Roman" w:hAnsi="Times New Roman" w:cs="Times New Roman"/>
                <w:i/>
                <w:sz w:val="24"/>
                <w:szCs w:val="24"/>
                <w:lang w:val="pt-BR"/>
              </w:rPr>
              <w:t xml:space="preserve"> brasilense</w:t>
            </w:r>
          </w:p>
        </w:tc>
        <w:tc>
          <w:tcPr>
            <w:tcW w:w="1254" w:type="dxa"/>
            <w:vAlign w:val="center"/>
          </w:tcPr>
          <w:p w14:paraId="009737A8"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22</w:t>
            </w:r>
          </w:p>
        </w:tc>
        <w:tc>
          <w:tcPr>
            <w:tcW w:w="1269" w:type="dxa"/>
            <w:vAlign w:val="center"/>
          </w:tcPr>
          <w:p w14:paraId="443EE4C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7.34</w:t>
            </w:r>
          </w:p>
        </w:tc>
        <w:tc>
          <w:tcPr>
            <w:tcW w:w="1315" w:type="dxa"/>
            <w:vAlign w:val="center"/>
          </w:tcPr>
          <w:p w14:paraId="3BDC4BD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135.96</w:t>
            </w:r>
          </w:p>
        </w:tc>
      </w:tr>
      <w:tr w:rsidR="00BE3333" w:rsidRPr="00C54EE0" w14:paraId="4D66677C" w14:textId="77777777" w:rsidTr="00BE3333">
        <w:trPr>
          <w:trHeight w:val="142"/>
          <w:jc w:val="center"/>
        </w:trPr>
        <w:tc>
          <w:tcPr>
            <w:tcW w:w="728" w:type="dxa"/>
            <w:vAlign w:val="center"/>
          </w:tcPr>
          <w:p w14:paraId="65B9BA7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w:t>
            </w:r>
          </w:p>
        </w:tc>
        <w:tc>
          <w:tcPr>
            <w:tcW w:w="5563" w:type="dxa"/>
            <w:vAlign w:val="center"/>
          </w:tcPr>
          <w:p w14:paraId="21346CDC" w14:textId="21EFD116"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7 </w:t>
            </w:r>
            <w:r w:rsidRPr="009B3FEA">
              <w:rPr>
                <w:rFonts w:ascii="Times New Roman" w:hAnsi="Times New Roman" w:cs="Times New Roman"/>
                <w:sz w:val="24"/>
                <w:szCs w:val="24"/>
                <w:lang w:val="pt-BR"/>
              </w:rPr>
              <w:t xml:space="preserve">‐100 % N&amp;K + 50% P + </w:t>
            </w:r>
            <w:r w:rsidRPr="009B3FEA">
              <w:rPr>
                <w:rFonts w:ascii="Times New Roman" w:hAnsi="Times New Roman" w:cs="Times New Roman"/>
                <w:i/>
                <w:iCs/>
                <w:sz w:val="24"/>
                <w:szCs w:val="24"/>
                <w:lang w:val="pt-BR"/>
              </w:rPr>
              <w:t>P.</w:t>
            </w:r>
            <w:r w:rsidRPr="009B3FEA">
              <w:rPr>
                <w:rFonts w:ascii="Times New Roman" w:hAnsi="Times New Roman" w:cs="Times New Roman"/>
                <w:i/>
                <w:sz w:val="24"/>
                <w:szCs w:val="24"/>
                <w:lang w:val="pt-BR"/>
              </w:rPr>
              <w:t xml:space="preserve"> fluorescens</w:t>
            </w:r>
          </w:p>
        </w:tc>
        <w:tc>
          <w:tcPr>
            <w:tcW w:w="1254" w:type="dxa"/>
            <w:vAlign w:val="center"/>
          </w:tcPr>
          <w:p w14:paraId="7340FBC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23</w:t>
            </w:r>
          </w:p>
        </w:tc>
        <w:tc>
          <w:tcPr>
            <w:tcW w:w="1269" w:type="dxa"/>
            <w:vAlign w:val="center"/>
          </w:tcPr>
          <w:p w14:paraId="1F07E28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7.56</w:t>
            </w:r>
          </w:p>
        </w:tc>
        <w:tc>
          <w:tcPr>
            <w:tcW w:w="1315" w:type="dxa"/>
            <w:vAlign w:val="center"/>
          </w:tcPr>
          <w:p w14:paraId="0C8B0C6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180.19</w:t>
            </w:r>
          </w:p>
        </w:tc>
      </w:tr>
      <w:tr w:rsidR="00BE3333" w:rsidRPr="00C54EE0" w14:paraId="61C43C61" w14:textId="77777777" w:rsidTr="00BE3333">
        <w:trPr>
          <w:trHeight w:val="35"/>
          <w:jc w:val="center"/>
        </w:trPr>
        <w:tc>
          <w:tcPr>
            <w:tcW w:w="728" w:type="dxa"/>
            <w:vAlign w:val="center"/>
          </w:tcPr>
          <w:p w14:paraId="6C9CEB1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w:t>
            </w:r>
          </w:p>
        </w:tc>
        <w:tc>
          <w:tcPr>
            <w:tcW w:w="5563" w:type="dxa"/>
            <w:vAlign w:val="center"/>
          </w:tcPr>
          <w:p w14:paraId="5AF4CD64" w14:textId="1C8BE373"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8 </w:t>
            </w:r>
            <w:r w:rsidRPr="009B3FEA">
              <w:rPr>
                <w:rFonts w:ascii="Times New Roman" w:hAnsi="Times New Roman" w:cs="Times New Roman"/>
                <w:sz w:val="24"/>
                <w:szCs w:val="24"/>
                <w:lang w:val="pt-BR"/>
              </w:rPr>
              <w:t xml:space="preserve">‐ 50 % N&amp;P + 100% K + </w:t>
            </w:r>
            <w:r w:rsidRPr="009B3FEA">
              <w:rPr>
                <w:rFonts w:ascii="Times New Roman" w:hAnsi="Times New Roman" w:cs="Times New Roman"/>
                <w:i/>
                <w:iCs/>
                <w:sz w:val="24"/>
                <w:szCs w:val="24"/>
                <w:lang w:val="pt-BR"/>
              </w:rPr>
              <w:t>A.</w:t>
            </w:r>
            <w:r w:rsidRPr="009B3FEA">
              <w:rPr>
                <w:rFonts w:ascii="Times New Roman" w:hAnsi="Times New Roman" w:cs="Times New Roman"/>
                <w:i/>
                <w:sz w:val="24"/>
                <w:szCs w:val="24"/>
                <w:lang w:val="pt-BR"/>
              </w:rPr>
              <w:t xml:space="preserve"> brasilense</w:t>
            </w:r>
            <w:r w:rsidRPr="009B3FEA">
              <w:rPr>
                <w:rFonts w:ascii="Times New Roman" w:hAnsi="Times New Roman" w:cs="Times New Roman"/>
                <w:i/>
                <w:iCs/>
                <w:sz w:val="24"/>
                <w:szCs w:val="24"/>
                <w:lang w:val="pt-BR"/>
              </w:rPr>
              <w:t xml:space="preserve"> +</w:t>
            </w:r>
            <w:r w:rsidRPr="009B3FEA">
              <w:rPr>
                <w:rFonts w:ascii="Times New Roman" w:hAnsi="Times New Roman" w:cs="Times New Roman"/>
                <w:i/>
                <w:iCs/>
                <w:sz w:val="24"/>
                <w:szCs w:val="24"/>
                <w:lang w:val="pt-BR"/>
              </w:rPr>
              <w:br/>
              <w:t xml:space="preserve"> P.</w:t>
            </w:r>
            <w:r w:rsidRPr="009B3FEA">
              <w:rPr>
                <w:rFonts w:ascii="Times New Roman" w:hAnsi="Times New Roman" w:cs="Times New Roman"/>
                <w:i/>
                <w:sz w:val="24"/>
                <w:szCs w:val="24"/>
                <w:lang w:val="pt-BR"/>
              </w:rPr>
              <w:t xml:space="preserve"> fluorescens</w:t>
            </w:r>
          </w:p>
        </w:tc>
        <w:tc>
          <w:tcPr>
            <w:tcW w:w="1254" w:type="dxa"/>
            <w:vAlign w:val="center"/>
          </w:tcPr>
          <w:p w14:paraId="7C7859F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20</w:t>
            </w:r>
          </w:p>
        </w:tc>
        <w:tc>
          <w:tcPr>
            <w:tcW w:w="1269" w:type="dxa"/>
            <w:vAlign w:val="center"/>
          </w:tcPr>
          <w:p w14:paraId="301FE3A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7.10</w:t>
            </w:r>
          </w:p>
        </w:tc>
        <w:tc>
          <w:tcPr>
            <w:tcW w:w="1315" w:type="dxa"/>
            <w:vAlign w:val="center"/>
          </w:tcPr>
          <w:p w14:paraId="526E050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116.23</w:t>
            </w:r>
          </w:p>
        </w:tc>
      </w:tr>
      <w:tr w:rsidR="00BE3333" w:rsidRPr="00C54EE0" w14:paraId="1DE17989" w14:textId="77777777" w:rsidTr="00BE3333">
        <w:trPr>
          <w:trHeight w:val="206"/>
          <w:jc w:val="center"/>
        </w:trPr>
        <w:tc>
          <w:tcPr>
            <w:tcW w:w="6291" w:type="dxa"/>
            <w:gridSpan w:val="2"/>
            <w:vAlign w:val="center"/>
          </w:tcPr>
          <w:p w14:paraId="404D36B8" w14:textId="54803A95" w:rsidR="00BE3333" w:rsidRPr="00B97D40" w:rsidRDefault="00BE3333" w:rsidP="00B97D40">
            <w:pPr>
              <w:spacing w:after="80" w:line="240" w:lineRule="auto"/>
              <w:jc w:val="center"/>
              <w:rPr>
                <w:rFonts w:ascii="Times New Roman" w:hAnsi="Times New Roman" w:cs="Times New Roman"/>
                <w:sz w:val="24"/>
                <w:szCs w:val="24"/>
              </w:rPr>
            </w:pPr>
            <w:proofErr w:type="spellStart"/>
            <w:r w:rsidRPr="00B97D40">
              <w:rPr>
                <w:rFonts w:ascii="Times New Roman" w:hAnsi="Times New Roman" w:cs="Times New Roman"/>
                <w:sz w:val="24"/>
                <w:szCs w:val="24"/>
              </w:rPr>
              <w:t>S</w:t>
            </w:r>
            <w:r w:rsidR="0038710C" w:rsidRPr="00B97D40">
              <w:rPr>
                <w:rFonts w:ascii="Times New Roman" w:hAnsi="Times New Roman" w:cs="Times New Roman"/>
                <w:sz w:val="24"/>
                <w:szCs w:val="24"/>
              </w:rPr>
              <w:t>e</w:t>
            </w:r>
            <w:r w:rsidRPr="00B97D40">
              <w:rPr>
                <w:rFonts w:ascii="Times New Roman" w:hAnsi="Times New Roman" w:cs="Times New Roman"/>
                <w:sz w:val="24"/>
                <w:szCs w:val="24"/>
              </w:rPr>
              <w:t>d</w:t>
            </w:r>
            <w:proofErr w:type="spellEnd"/>
          </w:p>
        </w:tc>
        <w:tc>
          <w:tcPr>
            <w:tcW w:w="1254" w:type="dxa"/>
            <w:vAlign w:val="center"/>
          </w:tcPr>
          <w:p w14:paraId="6D3916B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0.94</w:t>
            </w:r>
          </w:p>
        </w:tc>
        <w:tc>
          <w:tcPr>
            <w:tcW w:w="1269" w:type="dxa"/>
            <w:vAlign w:val="center"/>
          </w:tcPr>
          <w:p w14:paraId="422A786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0.13</w:t>
            </w:r>
          </w:p>
        </w:tc>
        <w:tc>
          <w:tcPr>
            <w:tcW w:w="1315" w:type="dxa"/>
            <w:vAlign w:val="center"/>
          </w:tcPr>
          <w:p w14:paraId="725ABBBF"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1.32</w:t>
            </w:r>
          </w:p>
        </w:tc>
      </w:tr>
      <w:tr w:rsidR="00BE3333" w:rsidRPr="00C54EE0" w14:paraId="5F14ECC1" w14:textId="77777777" w:rsidTr="00BE3333">
        <w:trPr>
          <w:trHeight w:val="128"/>
          <w:jc w:val="center"/>
        </w:trPr>
        <w:tc>
          <w:tcPr>
            <w:tcW w:w="6291" w:type="dxa"/>
            <w:gridSpan w:val="2"/>
            <w:vAlign w:val="center"/>
          </w:tcPr>
          <w:p w14:paraId="6E004D0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CD(P=0.05)</w:t>
            </w:r>
          </w:p>
        </w:tc>
        <w:tc>
          <w:tcPr>
            <w:tcW w:w="1254" w:type="dxa"/>
            <w:vAlign w:val="center"/>
          </w:tcPr>
          <w:p w14:paraId="1C9780E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1.97</w:t>
            </w:r>
          </w:p>
        </w:tc>
        <w:tc>
          <w:tcPr>
            <w:tcW w:w="1269" w:type="dxa"/>
            <w:vAlign w:val="center"/>
          </w:tcPr>
          <w:p w14:paraId="7B38C78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0.28</w:t>
            </w:r>
          </w:p>
        </w:tc>
        <w:tc>
          <w:tcPr>
            <w:tcW w:w="1315" w:type="dxa"/>
            <w:vAlign w:val="center"/>
          </w:tcPr>
          <w:p w14:paraId="4C4A726F"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2.85</w:t>
            </w:r>
          </w:p>
        </w:tc>
      </w:tr>
    </w:tbl>
    <w:p w14:paraId="13B7D9D1" w14:textId="77777777" w:rsidR="000C6067" w:rsidRDefault="000C6067" w:rsidP="000C6067">
      <w:pPr>
        <w:ind w:left="-720" w:right="-781"/>
        <w:jc w:val="both"/>
        <w:rPr>
          <w:rFonts w:ascii="Times New Roman" w:hAnsi="Times New Roman" w:cs="Times New Roman"/>
          <w:bCs/>
        </w:rPr>
      </w:pPr>
    </w:p>
    <w:p w14:paraId="5289C44D" w14:textId="77777777" w:rsidR="0004062C" w:rsidRDefault="00BE3333" w:rsidP="0004062C">
      <w:pPr>
        <w:ind w:left="-720" w:right="-781"/>
        <w:jc w:val="both"/>
        <w:rPr>
          <w:rFonts w:ascii="Times New Roman" w:hAnsi="Times New Roman" w:cs="Times New Roman"/>
          <w:bCs/>
        </w:rPr>
      </w:pPr>
      <w:r>
        <w:rPr>
          <w:rFonts w:ascii="Times New Roman" w:hAnsi="Times New Roman" w:cs="Times New Roman"/>
          <w:bCs/>
        </w:rPr>
        <w:t xml:space="preserve"> </w:t>
      </w:r>
      <w:r w:rsidR="000C6067" w:rsidRPr="00634BF1">
        <w:rPr>
          <w:rFonts w:ascii="Times New Roman" w:hAnsi="Times New Roman"/>
          <w:b/>
          <w:noProof/>
          <w:color w:val="C00000"/>
          <w:sz w:val="26"/>
          <w:szCs w:val="26"/>
          <w:lang w:bidi="hi-IN"/>
        </w:rPr>
        <w:drawing>
          <wp:inline distT="0" distB="0" distL="0" distR="0" wp14:anchorId="2FCEFE2F" wp14:editId="00B5B518">
            <wp:extent cx="5276215" cy="25717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633A4F" w14:textId="69E517B2" w:rsidR="0004062C" w:rsidRDefault="0004062C" w:rsidP="0004062C">
      <w:pPr>
        <w:ind w:left="-720" w:right="-781"/>
        <w:jc w:val="both"/>
        <w:rPr>
          <w:rFonts w:ascii="Times New Roman" w:hAnsi="Times New Roman"/>
          <w:b/>
        </w:rPr>
      </w:pPr>
      <w:r w:rsidRPr="0004062C">
        <w:rPr>
          <w:rFonts w:ascii="Times New Roman" w:hAnsi="Times New Roman"/>
          <w:b/>
        </w:rPr>
        <w:lastRenderedPageBreak/>
        <w:t xml:space="preserve">Fig. </w:t>
      </w:r>
      <w:r w:rsidR="008922FC">
        <w:rPr>
          <w:rFonts w:ascii="Times New Roman" w:hAnsi="Times New Roman"/>
          <w:b/>
        </w:rPr>
        <w:t>4</w:t>
      </w:r>
      <w:r w:rsidRPr="0004062C">
        <w:rPr>
          <w:rFonts w:ascii="Times New Roman" w:hAnsi="Times New Roman"/>
          <w:b/>
        </w:rPr>
        <w:t xml:space="preserve">: Effect of PGPR) inoculation on the number of fruits, fruit weight and fruit yield of chilli variety </w:t>
      </w:r>
      <w:r>
        <w:rPr>
          <w:rFonts w:ascii="Times New Roman" w:hAnsi="Times New Roman"/>
          <w:b/>
        </w:rPr>
        <w:t>K2</w:t>
      </w:r>
      <w:r w:rsidRPr="0004062C">
        <w:rPr>
          <w:rFonts w:ascii="Times New Roman" w:hAnsi="Times New Roman"/>
          <w:b/>
        </w:rPr>
        <w:t xml:space="preserve"> under pot culture condition</w:t>
      </w:r>
    </w:p>
    <w:p w14:paraId="725CCCBD" w14:textId="5016F977" w:rsidR="00A06998" w:rsidRDefault="00A06998" w:rsidP="0004062C">
      <w:pPr>
        <w:ind w:left="-720" w:right="-781"/>
        <w:jc w:val="both"/>
        <w:rPr>
          <w:rFonts w:ascii="Times New Roman" w:hAnsi="Times New Roman" w:cs="Times New Roman"/>
          <w:bCs/>
        </w:rPr>
      </w:pPr>
      <w:r>
        <w:rPr>
          <w:noProof/>
          <w:lang w:bidi="hi-IN"/>
        </w:rPr>
        <w:drawing>
          <wp:inline distT="0" distB="0" distL="0" distR="0" wp14:anchorId="1C6D2D4A" wp14:editId="34449708">
            <wp:extent cx="5276215" cy="2911035"/>
            <wp:effectExtent l="0" t="0" r="0" b="0"/>
            <wp:docPr id="170501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516" b="4716"/>
                    <a:stretch>
                      <a:fillRect/>
                    </a:stretch>
                  </pic:blipFill>
                  <pic:spPr bwMode="auto">
                    <a:xfrm>
                      <a:off x="0" y="0"/>
                      <a:ext cx="5276215" cy="2911035"/>
                    </a:xfrm>
                    <a:prstGeom prst="rect">
                      <a:avLst/>
                    </a:prstGeom>
                    <a:noFill/>
                    <a:ln>
                      <a:noFill/>
                    </a:ln>
                    <a:extLst>
                      <a:ext uri="{53640926-AAD7-44D8-BBD7-CCE9431645EC}">
                        <a14:shadowObscured xmlns:a14="http://schemas.microsoft.com/office/drawing/2010/main"/>
                      </a:ext>
                    </a:extLst>
                  </pic:spPr>
                </pic:pic>
              </a:graphicData>
            </a:graphic>
          </wp:inline>
        </w:drawing>
      </w:r>
    </w:p>
    <w:p w14:paraId="4A99B93F" w14:textId="469BB8A1" w:rsidR="00445889" w:rsidRPr="00445889" w:rsidRDefault="00445889" w:rsidP="00445889">
      <w:pPr>
        <w:pStyle w:val="NormalWeb"/>
        <w:spacing w:line="360" w:lineRule="auto"/>
        <w:ind w:left="-720" w:right="-421"/>
        <w:rPr>
          <w:b/>
        </w:rPr>
      </w:pPr>
      <w:r>
        <w:rPr>
          <w:b/>
        </w:rPr>
        <w:t>Fig-</w:t>
      </w:r>
      <w:r w:rsidR="008B7D0A">
        <w:rPr>
          <w:b/>
        </w:rPr>
        <w:t>5</w:t>
      </w:r>
      <w:r>
        <w:rPr>
          <w:b/>
        </w:rPr>
        <w:t xml:space="preserve">: </w:t>
      </w:r>
      <w:r w:rsidRPr="00B10597">
        <w:rPr>
          <w:b/>
        </w:rPr>
        <w:t xml:space="preserve">Synergistic Effects </w:t>
      </w:r>
      <w:r>
        <w:rPr>
          <w:b/>
        </w:rPr>
        <w:t>o</w:t>
      </w:r>
      <w:r w:rsidRPr="00B10597">
        <w:rPr>
          <w:b/>
        </w:rPr>
        <w:t xml:space="preserve">f </w:t>
      </w:r>
      <w:proofErr w:type="spellStart"/>
      <w:r w:rsidRPr="00B10597">
        <w:rPr>
          <w:rStyle w:val="Emphasis"/>
          <w:b/>
        </w:rPr>
        <w:t>Azospirillum</w:t>
      </w:r>
      <w:proofErr w:type="spellEnd"/>
      <w:r w:rsidRPr="00B10597">
        <w:rPr>
          <w:b/>
        </w:rPr>
        <w:t xml:space="preserve"> </w:t>
      </w:r>
      <w:r>
        <w:rPr>
          <w:b/>
        </w:rPr>
        <w:t>a</w:t>
      </w:r>
      <w:r w:rsidRPr="00B10597">
        <w:rPr>
          <w:b/>
        </w:rPr>
        <w:t xml:space="preserve">nd </w:t>
      </w:r>
      <w:r w:rsidRPr="00B10597">
        <w:rPr>
          <w:rStyle w:val="Emphasis"/>
          <w:b/>
        </w:rPr>
        <w:t>Pseudomonas</w:t>
      </w:r>
      <w:r w:rsidRPr="00B10597">
        <w:rPr>
          <w:b/>
        </w:rPr>
        <w:t xml:space="preserve"> Inoculation </w:t>
      </w:r>
      <w:r>
        <w:rPr>
          <w:b/>
        </w:rPr>
        <w:t>o</w:t>
      </w:r>
      <w:r w:rsidRPr="00B10597">
        <w:rPr>
          <w:b/>
        </w:rPr>
        <w:t xml:space="preserve">n Growth </w:t>
      </w:r>
      <w:r>
        <w:rPr>
          <w:b/>
        </w:rPr>
        <w:t>a</w:t>
      </w:r>
      <w:r w:rsidRPr="00B10597">
        <w:rPr>
          <w:b/>
        </w:rPr>
        <w:t xml:space="preserve">nd Yield </w:t>
      </w:r>
      <w:r>
        <w:rPr>
          <w:b/>
        </w:rPr>
        <w:t>o</w:t>
      </w:r>
      <w:r w:rsidRPr="00B10597">
        <w:rPr>
          <w:b/>
        </w:rPr>
        <w:t xml:space="preserve">f </w:t>
      </w:r>
      <w:proofErr w:type="spellStart"/>
      <w:r w:rsidRPr="00B10597">
        <w:rPr>
          <w:b/>
        </w:rPr>
        <w:t>Chilli</w:t>
      </w:r>
      <w:proofErr w:type="spellEnd"/>
    </w:p>
    <w:p w14:paraId="44958C41" w14:textId="77777777" w:rsidR="00DB6F9E" w:rsidRPr="00DB6F9E" w:rsidRDefault="00DB6F9E" w:rsidP="00CD0FD5">
      <w:pPr>
        <w:spacing w:after="160" w:line="360" w:lineRule="auto"/>
        <w:ind w:left="-630" w:right="-691"/>
        <w:jc w:val="both"/>
        <w:rPr>
          <w:rFonts w:ascii="Times New Roman" w:hAnsi="Times New Roman" w:cs="Times New Roman"/>
          <w:b/>
          <w:bCs/>
          <w:sz w:val="24"/>
          <w:szCs w:val="24"/>
          <w:lang w:val="en-US"/>
        </w:rPr>
      </w:pPr>
      <w:r w:rsidRPr="00DB6F9E">
        <w:rPr>
          <w:rFonts w:ascii="Times New Roman" w:hAnsi="Times New Roman" w:cs="Times New Roman"/>
          <w:b/>
          <w:bCs/>
          <w:sz w:val="24"/>
          <w:szCs w:val="24"/>
          <w:lang w:val="en-US"/>
        </w:rPr>
        <w:t>4. CONCLUSION AND PRACTICAL IMPLICATIONS</w:t>
      </w:r>
    </w:p>
    <w:p w14:paraId="38328523" w14:textId="77777777" w:rsidR="00DB6F9E" w:rsidRPr="00DB6F9E" w:rsidRDefault="00DB6F9E" w:rsidP="00CD0FD5">
      <w:pPr>
        <w:spacing w:after="160" w:line="360" w:lineRule="auto"/>
        <w:ind w:left="-630" w:right="-691"/>
        <w:jc w:val="both"/>
        <w:rPr>
          <w:rFonts w:ascii="Times New Roman" w:hAnsi="Times New Roman" w:cs="Times New Roman"/>
          <w:b/>
          <w:bCs/>
          <w:sz w:val="24"/>
          <w:szCs w:val="24"/>
          <w:lang w:val="en-US"/>
        </w:rPr>
      </w:pPr>
      <w:r w:rsidRPr="00DB6F9E">
        <w:rPr>
          <w:rFonts w:ascii="Times New Roman" w:hAnsi="Times New Roman" w:cs="Times New Roman"/>
          <w:b/>
          <w:bCs/>
          <w:sz w:val="24"/>
          <w:szCs w:val="24"/>
          <w:lang w:val="en-US"/>
        </w:rPr>
        <w:t>4.1 Conclusion</w:t>
      </w:r>
    </w:p>
    <w:p w14:paraId="4F98ECBF" w14:textId="77777777" w:rsidR="008C4271" w:rsidRDefault="00DB6F9E" w:rsidP="008C4271">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The present study clearly demonstrates the synergistic effects of </w:t>
      </w:r>
      <w:proofErr w:type="spellStart"/>
      <w:r w:rsidRPr="00DB6F9E">
        <w:rPr>
          <w:rFonts w:ascii="Times New Roman" w:hAnsi="Times New Roman" w:cs="Times New Roman"/>
          <w:i/>
          <w:iCs/>
          <w:sz w:val="24"/>
          <w:szCs w:val="24"/>
          <w:lang w:val="en-US"/>
        </w:rPr>
        <w:t>Azospirillum</w:t>
      </w:r>
      <w:proofErr w:type="spellEnd"/>
      <w:r w:rsidRPr="00DB6F9E">
        <w:rPr>
          <w:rFonts w:ascii="Times New Roman" w:hAnsi="Times New Roman" w:cs="Times New Roman"/>
          <w:i/>
          <w:iCs/>
          <w:sz w:val="24"/>
          <w:szCs w:val="24"/>
          <w:lang w:val="en-US"/>
        </w:rPr>
        <w:t xml:space="preserve"> </w:t>
      </w:r>
      <w:proofErr w:type="spellStart"/>
      <w:r w:rsidRPr="00DB6F9E">
        <w:rPr>
          <w:rFonts w:ascii="Times New Roman" w:hAnsi="Times New Roman" w:cs="Times New Roman"/>
          <w:i/>
          <w:iCs/>
          <w:sz w:val="24"/>
          <w:szCs w:val="24"/>
          <w:lang w:val="en-US"/>
        </w:rPr>
        <w:t>brasilense</w:t>
      </w:r>
      <w:proofErr w:type="spellEnd"/>
      <w:r w:rsidRPr="00DB6F9E">
        <w:rPr>
          <w:rFonts w:ascii="Times New Roman" w:hAnsi="Times New Roman" w:cs="Times New Roman"/>
          <w:sz w:val="24"/>
          <w:szCs w:val="24"/>
          <w:lang w:val="en-US"/>
        </w:rPr>
        <w:t xml:space="preserve"> and </w:t>
      </w:r>
      <w:r w:rsidRPr="00DB6F9E">
        <w:rPr>
          <w:rFonts w:ascii="Times New Roman" w:hAnsi="Times New Roman" w:cs="Times New Roman"/>
          <w:i/>
          <w:iCs/>
          <w:sz w:val="24"/>
          <w:szCs w:val="24"/>
          <w:lang w:val="en-US"/>
        </w:rPr>
        <w:t>Pseudomonas fluorescens</w:t>
      </w:r>
      <w:r w:rsidRPr="00DB6F9E">
        <w:rPr>
          <w:rFonts w:ascii="Times New Roman" w:hAnsi="Times New Roman" w:cs="Times New Roman"/>
          <w:sz w:val="24"/>
          <w:szCs w:val="24"/>
          <w:lang w:val="en-US"/>
        </w:rPr>
        <w:t xml:space="preserve"> on the growth and yield of </w:t>
      </w:r>
      <w:proofErr w:type="spellStart"/>
      <w:r w:rsidRPr="00DB6F9E">
        <w:rPr>
          <w:rFonts w:ascii="Times New Roman" w:hAnsi="Times New Roman" w:cs="Times New Roman"/>
          <w:sz w:val="24"/>
          <w:szCs w:val="24"/>
          <w:lang w:val="en-US"/>
        </w:rPr>
        <w:t>chilli</w:t>
      </w:r>
      <w:proofErr w:type="spellEnd"/>
      <w:r w:rsidRPr="00DB6F9E">
        <w:rPr>
          <w:rFonts w:ascii="Times New Roman" w:hAnsi="Times New Roman" w:cs="Times New Roman"/>
          <w:sz w:val="24"/>
          <w:szCs w:val="24"/>
          <w:lang w:val="en-US"/>
        </w:rPr>
        <w:t xml:space="preserve"> (</w:t>
      </w:r>
      <w:r w:rsidRPr="00DB6F9E">
        <w:rPr>
          <w:rFonts w:ascii="Times New Roman" w:hAnsi="Times New Roman" w:cs="Times New Roman"/>
          <w:i/>
          <w:iCs/>
          <w:sz w:val="24"/>
          <w:szCs w:val="24"/>
          <w:lang w:val="en-US"/>
        </w:rPr>
        <w:t xml:space="preserve">Capsicum </w:t>
      </w:r>
      <w:proofErr w:type="spellStart"/>
      <w:r w:rsidRPr="00DB6F9E">
        <w:rPr>
          <w:rFonts w:ascii="Times New Roman" w:hAnsi="Times New Roman" w:cs="Times New Roman"/>
          <w:i/>
          <w:iCs/>
          <w:sz w:val="24"/>
          <w:szCs w:val="24"/>
          <w:lang w:val="en-US"/>
        </w:rPr>
        <w:t>annuum</w:t>
      </w:r>
      <w:proofErr w:type="spellEnd"/>
      <w:r w:rsidRPr="00DB6F9E">
        <w:rPr>
          <w:rFonts w:ascii="Times New Roman" w:hAnsi="Times New Roman" w:cs="Times New Roman"/>
          <w:sz w:val="24"/>
          <w:szCs w:val="24"/>
          <w:lang w:val="en-US"/>
        </w:rPr>
        <w:t xml:space="preserve"> L.) under reduced chemical fertilizer inputs. Co-inoculation of these PGPR significantly enhanced germination, seedling </w:t>
      </w:r>
      <w:proofErr w:type="spellStart"/>
      <w:r w:rsidRPr="00DB6F9E">
        <w:rPr>
          <w:rFonts w:ascii="Times New Roman" w:hAnsi="Times New Roman" w:cs="Times New Roman"/>
          <w:sz w:val="24"/>
          <w:szCs w:val="24"/>
          <w:lang w:val="en-US"/>
        </w:rPr>
        <w:t>vigour</w:t>
      </w:r>
      <w:proofErr w:type="spellEnd"/>
      <w:r w:rsidRPr="00DB6F9E">
        <w:rPr>
          <w:rFonts w:ascii="Times New Roman" w:hAnsi="Times New Roman" w:cs="Times New Roman"/>
          <w:sz w:val="24"/>
          <w:szCs w:val="24"/>
          <w:lang w:val="en-US"/>
        </w:rPr>
        <w:t>, plant height, dry matter production, number of fruits, average fruit weight and overall fruit yield compared to single inoculation, full recommended fertilizer application and uninoculated control treatments.</w:t>
      </w:r>
    </w:p>
    <w:p w14:paraId="3F309229" w14:textId="77777777" w:rsidR="00EF695D" w:rsidRDefault="00DB6F9E" w:rsidP="00EF695D">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Among the evaluated treatments, the combined application of </w:t>
      </w:r>
      <w:proofErr w:type="spellStart"/>
      <w:r w:rsidRPr="00DB6F9E">
        <w:rPr>
          <w:rFonts w:ascii="Times New Roman" w:hAnsi="Times New Roman" w:cs="Times New Roman"/>
          <w:i/>
          <w:iCs/>
          <w:sz w:val="24"/>
          <w:szCs w:val="24"/>
          <w:lang w:val="en-US"/>
        </w:rPr>
        <w:t>Azospirillum</w:t>
      </w:r>
      <w:proofErr w:type="spellEnd"/>
      <w:r w:rsidRPr="00DB6F9E">
        <w:rPr>
          <w:rFonts w:ascii="Times New Roman" w:hAnsi="Times New Roman" w:cs="Times New Roman"/>
          <w:sz w:val="24"/>
          <w:szCs w:val="24"/>
          <w:lang w:val="en-US"/>
        </w:rPr>
        <w:t xml:space="preserve"> and </w:t>
      </w:r>
      <w:r w:rsidRPr="00DB6F9E">
        <w:rPr>
          <w:rFonts w:ascii="Times New Roman" w:hAnsi="Times New Roman" w:cs="Times New Roman"/>
          <w:i/>
          <w:iCs/>
          <w:sz w:val="24"/>
          <w:szCs w:val="24"/>
          <w:lang w:val="en-US"/>
        </w:rPr>
        <w:t>Pseudomonas</w:t>
      </w:r>
      <w:r w:rsidRPr="00DB6F9E">
        <w:rPr>
          <w:rFonts w:ascii="Times New Roman" w:hAnsi="Times New Roman" w:cs="Times New Roman"/>
          <w:sz w:val="24"/>
          <w:szCs w:val="24"/>
          <w:lang w:val="en-US"/>
        </w:rPr>
        <w:t xml:space="preserve"> along with 75% recommended nitrogen and phosphorus and 100% potassium (T5) consistently recorded superior performance across all growth and yield parameters. Notably, dual inoculation under reduced fertilizer regimes outperformed the treatment receiving 100% NPK alone, highlighting the efficiency of PGPR consortia in improving nutrient use efficiency and crop productivity.</w:t>
      </w:r>
    </w:p>
    <w:p w14:paraId="2D44D2E7" w14:textId="77777777" w:rsidR="000A760B" w:rsidRDefault="00DB6F9E" w:rsidP="000A760B">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The enhanced performance observed under dual inoculation can be attributed to complementary mechanisms such as associative nitrogen fixation, phosphate solubilization, phytohormone </w:t>
      </w:r>
      <w:r w:rsidRPr="00DB6F9E">
        <w:rPr>
          <w:rFonts w:ascii="Times New Roman" w:hAnsi="Times New Roman" w:cs="Times New Roman"/>
          <w:sz w:val="24"/>
          <w:szCs w:val="24"/>
          <w:lang w:val="en-US"/>
        </w:rPr>
        <w:lastRenderedPageBreak/>
        <w:t xml:space="preserve">production and improved rhizosphere microbial activity. The findings confirm that the use of functionally diverse PGPR consortia is a viable strategy for reducing chemical fertilizer dependency while sustaining or enhancing </w:t>
      </w:r>
      <w:proofErr w:type="spellStart"/>
      <w:r w:rsidRPr="00DB6F9E">
        <w:rPr>
          <w:rFonts w:ascii="Times New Roman" w:hAnsi="Times New Roman" w:cs="Times New Roman"/>
          <w:sz w:val="24"/>
          <w:szCs w:val="24"/>
          <w:lang w:val="en-US"/>
        </w:rPr>
        <w:t>chilli</w:t>
      </w:r>
      <w:proofErr w:type="spellEnd"/>
      <w:r w:rsidRPr="00DB6F9E">
        <w:rPr>
          <w:rFonts w:ascii="Times New Roman" w:hAnsi="Times New Roman" w:cs="Times New Roman"/>
          <w:sz w:val="24"/>
          <w:szCs w:val="24"/>
          <w:lang w:val="en-US"/>
        </w:rPr>
        <w:t xml:space="preserve"> yield.</w:t>
      </w:r>
    </w:p>
    <w:p w14:paraId="785BDA40" w14:textId="77777777" w:rsidR="000A760B" w:rsidRDefault="005B6B8B" w:rsidP="000A760B">
      <w:pPr>
        <w:spacing w:after="160" w:line="360" w:lineRule="auto"/>
        <w:ind w:left="-630" w:right="-691"/>
        <w:jc w:val="both"/>
        <w:rPr>
          <w:rFonts w:ascii="Times New Roman" w:hAnsi="Times New Roman" w:cs="Times New Roman"/>
          <w:sz w:val="24"/>
          <w:szCs w:val="24"/>
          <w:lang w:val="en-US"/>
        </w:rPr>
      </w:pPr>
      <w:r w:rsidRPr="005B6B8B">
        <w:rPr>
          <w:rFonts w:ascii="Times New Roman" w:hAnsi="Times New Roman" w:cs="Times New Roman"/>
          <w:b/>
          <w:bCs/>
          <w:sz w:val="24"/>
          <w:szCs w:val="24"/>
          <w:lang w:val="en-US"/>
        </w:rPr>
        <w:t>4.2 Practical Implications</w:t>
      </w:r>
    </w:p>
    <w:p w14:paraId="402A7189" w14:textId="77777777" w:rsidR="00E77BA4" w:rsidRDefault="005B6B8B" w:rsidP="00E77BA4">
      <w:pPr>
        <w:spacing w:after="160" w:line="360" w:lineRule="auto"/>
        <w:ind w:left="-630" w:right="-691"/>
        <w:jc w:val="both"/>
        <w:rPr>
          <w:rFonts w:ascii="Times New Roman" w:hAnsi="Times New Roman" w:cs="Times New Roman"/>
          <w:sz w:val="24"/>
          <w:szCs w:val="24"/>
          <w:lang w:val="en-US"/>
        </w:rPr>
      </w:pPr>
      <w:r w:rsidRPr="005B6B8B">
        <w:rPr>
          <w:rFonts w:ascii="Times New Roman" w:hAnsi="Times New Roman" w:cs="Times New Roman"/>
          <w:sz w:val="24"/>
          <w:szCs w:val="24"/>
          <w:lang w:val="en-US"/>
        </w:rPr>
        <w:t xml:space="preserve">The findings of this study demonstrate that the combined application of </w:t>
      </w:r>
      <w:proofErr w:type="spellStart"/>
      <w:r w:rsidRPr="005B6B8B">
        <w:rPr>
          <w:rFonts w:ascii="Times New Roman" w:hAnsi="Times New Roman" w:cs="Times New Roman"/>
          <w:i/>
          <w:iCs/>
          <w:sz w:val="24"/>
          <w:szCs w:val="24"/>
          <w:lang w:val="en-US"/>
        </w:rPr>
        <w:t>Azospirillum</w:t>
      </w:r>
      <w:proofErr w:type="spellEnd"/>
      <w:r w:rsidRPr="005B6B8B">
        <w:rPr>
          <w:rFonts w:ascii="Times New Roman" w:hAnsi="Times New Roman" w:cs="Times New Roman"/>
          <w:i/>
          <w:iCs/>
          <w:sz w:val="24"/>
          <w:szCs w:val="24"/>
          <w:lang w:val="en-US"/>
        </w:rPr>
        <w:t xml:space="preserve"> </w:t>
      </w:r>
      <w:proofErr w:type="spellStart"/>
      <w:r w:rsidRPr="005B6B8B">
        <w:rPr>
          <w:rFonts w:ascii="Times New Roman" w:hAnsi="Times New Roman" w:cs="Times New Roman"/>
          <w:i/>
          <w:iCs/>
          <w:sz w:val="24"/>
          <w:szCs w:val="24"/>
          <w:lang w:val="en-US"/>
        </w:rPr>
        <w:t>brasilense</w:t>
      </w:r>
      <w:proofErr w:type="spellEnd"/>
      <w:r w:rsidRPr="005B6B8B">
        <w:rPr>
          <w:rFonts w:ascii="Times New Roman" w:hAnsi="Times New Roman" w:cs="Times New Roman"/>
          <w:sz w:val="24"/>
          <w:szCs w:val="24"/>
          <w:lang w:val="en-US"/>
        </w:rPr>
        <w:t xml:space="preserve"> and </w:t>
      </w:r>
      <w:r w:rsidRPr="005B6B8B">
        <w:rPr>
          <w:rFonts w:ascii="Times New Roman" w:hAnsi="Times New Roman" w:cs="Times New Roman"/>
          <w:i/>
          <w:iCs/>
          <w:sz w:val="24"/>
          <w:szCs w:val="24"/>
          <w:lang w:val="en-US"/>
        </w:rPr>
        <w:t>Pseudomonas fluorescens</w:t>
      </w:r>
      <w:r w:rsidRPr="005B6B8B">
        <w:rPr>
          <w:rFonts w:ascii="Times New Roman" w:hAnsi="Times New Roman" w:cs="Times New Roman"/>
          <w:sz w:val="24"/>
          <w:szCs w:val="24"/>
          <w:lang w:val="en-US"/>
        </w:rPr>
        <w:t xml:space="preserve"> can be effectively integrated into </w:t>
      </w:r>
      <w:proofErr w:type="spellStart"/>
      <w:r w:rsidRPr="005B6B8B">
        <w:rPr>
          <w:rFonts w:ascii="Times New Roman" w:hAnsi="Times New Roman" w:cs="Times New Roman"/>
          <w:sz w:val="24"/>
          <w:szCs w:val="24"/>
          <w:lang w:val="en-US"/>
        </w:rPr>
        <w:t>chilli</w:t>
      </w:r>
      <w:proofErr w:type="spellEnd"/>
      <w:r w:rsidRPr="005B6B8B">
        <w:rPr>
          <w:rFonts w:ascii="Times New Roman" w:hAnsi="Times New Roman" w:cs="Times New Roman"/>
          <w:sz w:val="24"/>
          <w:szCs w:val="24"/>
          <w:lang w:val="en-US"/>
        </w:rPr>
        <w:t xml:space="preserve"> production systems to reduce chemical fertilizer inputs without compromising yield. Co-inoculation of these plant growth-promoting rhizobacteria enhanced nutrient use efficiency, plant growth and fruit yield even under reduced nitrogen and phosphorus application, highlighting their potential as a sustainable component of integrated nutrient management strategies. The use of PGPR consortia offers an environmentally benign approach by improving soil biological activity and minimizing nutrient losses associated with excessive fertilizer use. From a practical standpoint, carrier-based PGPR inoculants are easy to apply, cost-effective and compatible with existing agronomic practices, making them suitable for large-scale farmer adoption. Incorporation of PGPR-based </w:t>
      </w:r>
      <w:proofErr w:type="spellStart"/>
      <w:r w:rsidRPr="005B6B8B">
        <w:rPr>
          <w:rFonts w:ascii="Times New Roman" w:hAnsi="Times New Roman" w:cs="Times New Roman"/>
          <w:sz w:val="24"/>
          <w:szCs w:val="24"/>
          <w:lang w:val="en-US"/>
        </w:rPr>
        <w:t>biofertilizers</w:t>
      </w:r>
      <w:proofErr w:type="spellEnd"/>
      <w:r w:rsidRPr="005B6B8B">
        <w:rPr>
          <w:rFonts w:ascii="Times New Roman" w:hAnsi="Times New Roman" w:cs="Times New Roman"/>
          <w:sz w:val="24"/>
          <w:szCs w:val="24"/>
          <w:lang w:val="en-US"/>
        </w:rPr>
        <w:t xml:space="preserve"> into </w:t>
      </w:r>
      <w:proofErr w:type="spellStart"/>
      <w:r w:rsidRPr="005B6B8B">
        <w:rPr>
          <w:rFonts w:ascii="Times New Roman" w:hAnsi="Times New Roman" w:cs="Times New Roman"/>
          <w:sz w:val="24"/>
          <w:szCs w:val="24"/>
          <w:lang w:val="en-US"/>
        </w:rPr>
        <w:t>chilli</w:t>
      </w:r>
      <w:proofErr w:type="spellEnd"/>
      <w:r w:rsidRPr="005B6B8B">
        <w:rPr>
          <w:rFonts w:ascii="Times New Roman" w:hAnsi="Times New Roman" w:cs="Times New Roman"/>
          <w:sz w:val="24"/>
          <w:szCs w:val="24"/>
          <w:lang w:val="en-US"/>
        </w:rPr>
        <w:t xml:space="preserve"> cultivation can therefore contribute to improved productivity, reduced production costs and long-term soil health, supporting sustainable and climate-smart agricultural systems.</w:t>
      </w:r>
    </w:p>
    <w:p w14:paraId="6F861484" w14:textId="77777777" w:rsidR="00554A09" w:rsidRPr="00BA0136" w:rsidRDefault="00554A09" w:rsidP="00554A09">
      <w:pPr>
        <w:spacing w:after="160" w:line="360" w:lineRule="auto"/>
        <w:ind w:left="-630" w:right="-691"/>
        <w:jc w:val="both"/>
        <w:rPr>
          <w:rFonts w:ascii="Times New Roman" w:hAnsi="Times New Roman" w:cs="Times New Roman"/>
          <w:b/>
          <w:bCs/>
          <w:sz w:val="24"/>
          <w:szCs w:val="24"/>
          <w:lang w:val="en-US"/>
        </w:rPr>
      </w:pPr>
      <w:r w:rsidRPr="00BA0136">
        <w:rPr>
          <w:rFonts w:ascii="Times New Roman" w:hAnsi="Times New Roman" w:cs="Times New Roman"/>
          <w:b/>
          <w:bCs/>
          <w:sz w:val="24"/>
          <w:szCs w:val="24"/>
          <w:lang w:val="en-US"/>
        </w:rPr>
        <w:t>Declaration of Conflict</w:t>
      </w:r>
    </w:p>
    <w:p w14:paraId="3D305500" w14:textId="36F4D1DA" w:rsidR="00671811" w:rsidRPr="008C2E0D" w:rsidRDefault="00554A09" w:rsidP="008C2E0D">
      <w:pPr>
        <w:spacing w:after="160" w:line="360" w:lineRule="auto"/>
        <w:ind w:left="-630" w:right="-691"/>
        <w:jc w:val="both"/>
        <w:rPr>
          <w:rFonts w:ascii="Times New Roman" w:hAnsi="Times New Roman" w:cs="Times New Roman"/>
          <w:sz w:val="24"/>
          <w:szCs w:val="24"/>
          <w:lang w:val="en-US"/>
        </w:rPr>
      </w:pPr>
      <w:r w:rsidRPr="00554A09">
        <w:rPr>
          <w:rFonts w:ascii="Times New Roman" w:hAnsi="Times New Roman" w:cs="Times New Roman"/>
          <w:sz w:val="24"/>
          <w:szCs w:val="24"/>
          <w:lang w:val="en-US"/>
        </w:rPr>
        <w:t>The authors declare that they have no known competing financial interests or personal relationships</w:t>
      </w:r>
      <w:r w:rsidR="008C57E3">
        <w:rPr>
          <w:rFonts w:ascii="Times New Roman" w:hAnsi="Times New Roman" w:cs="Times New Roman"/>
          <w:sz w:val="24"/>
          <w:szCs w:val="24"/>
          <w:lang w:val="en-US"/>
        </w:rPr>
        <w:t xml:space="preserve"> </w:t>
      </w:r>
      <w:r w:rsidRPr="00554A09">
        <w:rPr>
          <w:rFonts w:ascii="Times New Roman" w:hAnsi="Times New Roman" w:cs="Times New Roman"/>
          <w:sz w:val="24"/>
          <w:szCs w:val="24"/>
          <w:lang w:val="en-US"/>
        </w:rPr>
        <w:t>that could have appeared to influence the work reported in this paper.</w:t>
      </w:r>
    </w:p>
    <w:p w14:paraId="507095A4" w14:textId="63C950DF" w:rsidR="003A56E0" w:rsidRPr="00E77BA4" w:rsidRDefault="003A56E0" w:rsidP="00E77BA4">
      <w:pPr>
        <w:spacing w:after="160" w:line="360" w:lineRule="auto"/>
        <w:ind w:left="-630" w:right="-691"/>
        <w:jc w:val="both"/>
        <w:rPr>
          <w:rFonts w:ascii="Times New Roman" w:hAnsi="Times New Roman" w:cs="Times New Roman"/>
          <w:sz w:val="24"/>
          <w:szCs w:val="24"/>
          <w:lang w:val="en-US"/>
        </w:rPr>
      </w:pPr>
      <w:r w:rsidRPr="003A56E0">
        <w:rPr>
          <w:rFonts w:ascii="Times New Roman" w:hAnsi="Times New Roman" w:cs="Times New Roman"/>
          <w:b/>
          <w:bCs/>
          <w:sz w:val="24"/>
          <w:szCs w:val="24"/>
          <w:lang w:val="en-US"/>
        </w:rPr>
        <w:t xml:space="preserve">REFERENCES </w:t>
      </w:r>
    </w:p>
    <w:p w14:paraId="7FAFE019" w14:textId="2C8FF506" w:rsidR="00BD1CDE" w:rsidRDefault="00BD1CDE" w:rsidP="00BD1CDE">
      <w:pPr>
        <w:pStyle w:val="ListParagraph"/>
        <w:numPr>
          <w:ilvl w:val="0"/>
          <w:numId w:val="2"/>
        </w:numPr>
        <w:spacing w:after="240" w:line="360" w:lineRule="auto"/>
        <w:jc w:val="both"/>
        <w:rPr>
          <w:rFonts w:ascii="Times New Roman" w:hAnsi="Times New Roman"/>
          <w:sz w:val="26"/>
          <w:szCs w:val="26"/>
        </w:rPr>
      </w:pPr>
      <w:r w:rsidRPr="00BD1CDE">
        <w:rPr>
          <w:rFonts w:ascii="Times New Roman" w:hAnsi="Times New Roman"/>
          <w:sz w:val="26"/>
          <w:szCs w:val="26"/>
        </w:rPr>
        <w:t xml:space="preserve">Abdul </w:t>
      </w:r>
      <w:proofErr w:type="spellStart"/>
      <w:r w:rsidRPr="00BD1CDE">
        <w:rPr>
          <w:rFonts w:ascii="Times New Roman" w:hAnsi="Times New Roman"/>
          <w:sz w:val="26"/>
          <w:szCs w:val="26"/>
        </w:rPr>
        <w:t>Balli</w:t>
      </w:r>
      <w:proofErr w:type="spellEnd"/>
      <w:r w:rsidRPr="00BD1CDE">
        <w:rPr>
          <w:rFonts w:ascii="Times New Roman" w:hAnsi="Times New Roman"/>
          <w:sz w:val="26"/>
          <w:szCs w:val="26"/>
        </w:rPr>
        <w:t xml:space="preserve">, A. A and J. D. Anderson. </w:t>
      </w:r>
      <w:r w:rsidR="0015374A" w:rsidRPr="0015374A">
        <w:rPr>
          <w:rFonts w:ascii="Times New Roman" w:hAnsi="Times New Roman"/>
          <w:color w:val="FF0000"/>
          <w:sz w:val="26"/>
          <w:szCs w:val="26"/>
        </w:rPr>
        <w:t>(</w:t>
      </w:r>
      <w:r w:rsidRPr="0015374A">
        <w:rPr>
          <w:rFonts w:ascii="Times New Roman" w:hAnsi="Times New Roman"/>
          <w:color w:val="FF0000"/>
          <w:sz w:val="26"/>
          <w:szCs w:val="26"/>
        </w:rPr>
        <w:t>1973</w:t>
      </w:r>
      <w:r w:rsidR="0015374A" w:rsidRPr="0015374A">
        <w:rPr>
          <w:rFonts w:ascii="Times New Roman" w:hAnsi="Times New Roman"/>
          <w:color w:val="FF0000"/>
          <w:sz w:val="26"/>
          <w:szCs w:val="26"/>
        </w:rPr>
        <w:t>)</w:t>
      </w:r>
      <w:r w:rsidRPr="0015374A">
        <w:rPr>
          <w:rFonts w:ascii="Times New Roman" w:hAnsi="Times New Roman"/>
          <w:color w:val="FF0000"/>
          <w:sz w:val="26"/>
          <w:szCs w:val="26"/>
        </w:rPr>
        <w:t>.</w:t>
      </w:r>
      <w:r w:rsidRPr="00BD1CDE">
        <w:rPr>
          <w:rFonts w:ascii="Times New Roman" w:hAnsi="Times New Roman"/>
          <w:sz w:val="26"/>
          <w:szCs w:val="26"/>
        </w:rPr>
        <w:t xml:space="preserve"> Vigour de termination in soybean seed by </w:t>
      </w:r>
      <w:r w:rsidR="008736F6" w:rsidRPr="00BD1CDE">
        <w:rPr>
          <w:rFonts w:ascii="Times New Roman" w:hAnsi="Times New Roman"/>
          <w:sz w:val="26"/>
          <w:szCs w:val="26"/>
        </w:rPr>
        <w:t>multiple criteria</w:t>
      </w:r>
      <w:r w:rsidRPr="00BD1CDE">
        <w:rPr>
          <w:rFonts w:ascii="Times New Roman" w:hAnsi="Times New Roman"/>
          <w:sz w:val="26"/>
          <w:szCs w:val="26"/>
        </w:rPr>
        <w:t xml:space="preserve">. </w:t>
      </w:r>
      <w:r w:rsidR="008736F6" w:rsidRPr="00BD1CDE">
        <w:rPr>
          <w:rFonts w:ascii="Times New Roman" w:hAnsi="Times New Roman"/>
          <w:bCs/>
          <w:sz w:val="26"/>
          <w:szCs w:val="26"/>
        </w:rPr>
        <w:t>Crop Science</w:t>
      </w:r>
      <w:r w:rsidRPr="00BD1CDE">
        <w:rPr>
          <w:rFonts w:ascii="Times New Roman" w:hAnsi="Times New Roman"/>
          <w:bCs/>
          <w:sz w:val="26"/>
          <w:szCs w:val="26"/>
        </w:rPr>
        <w:t>.,</w:t>
      </w:r>
      <w:r w:rsidRPr="00BD1CDE">
        <w:rPr>
          <w:rFonts w:ascii="Times New Roman" w:hAnsi="Times New Roman"/>
          <w:b/>
          <w:sz w:val="26"/>
          <w:szCs w:val="26"/>
        </w:rPr>
        <w:t xml:space="preserve"> </w:t>
      </w:r>
      <w:r w:rsidRPr="00BD1CDE">
        <w:rPr>
          <w:rFonts w:ascii="Times New Roman" w:hAnsi="Times New Roman"/>
          <w:sz w:val="26"/>
          <w:szCs w:val="26"/>
        </w:rPr>
        <w:t>13</w:t>
      </w:r>
      <w:r w:rsidRPr="00BD1CDE">
        <w:rPr>
          <w:rFonts w:ascii="Times New Roman" w:hAnsi="Times New Roman"/>
          <w:b/>
          <w:sz w:val="26"/>
          <w:szCs w:val="26"/>
        </w:rPr>
        <w:t>:</w:t>
      </w:r>
      <w:r w:rsidRPr="00BD1CDE">
        <w:rPr>
          <w:rFonts w:ascii="Times New Roman" w:hAnsi="Times New Roman"/>
          <w:sz w:val="26"/>
          <w:szCs w:val="26"/>
        </w:rPr>
        <w:t xml:space="preserve"> 630-633.</w:t>
      </w:r>
      <w:r w:rsidR="009B3FEA" w:rsidRPr="009B3FEA">
        <w:t xml:space="preserve"> </w:t>
      </w:r>
      <w:hyperlink r:id="rId13" w:history="1">
        <w:r w:rsidR="009B3FEA" w:rsidRPr="00893A86">
          <w:rPr>
            <w:rStyle w:val="Hyperlink"/>
            <w:rFonts w:ascii="Times New Roman" w:hAnsi="Times New Roman"/>
            <w:sz w:val="26"/>
            <w:szCs w:val="26"/>
          </w:rPr>
          <w:t>https://doi.org/10.2135/cropsci1973.0011183X001300060013x</w:t>
        </w:r>
      </w:hyperlink>
      <w:r w:rsidR="009B3FEA">
        <w:rPr>
          <w:rFonts w:ascii="Times New Roman" w:hAnsi="Times New Roman"/>
          <w:sz w:val="26"/>
          <w:szCs w:val="26"/>
        </w:rPr>
        <w:t xml:space="preserve"> </w:t>
      </w:r>
    </w:p>
    <w:p w14:paraId="0F4FB568" w14:textId="66CC8DAB" w:rsidR="009B3FEA" w:rsidRDefault="007B54C9" w:rsidP="009B3FEA">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pt-BR"/>
        </w:rPr>
        <w:t xml:space="preserve">Adesemoye, A. O., &amp; Egamberdieva, D. (2013). </w:t>
      </w:r>
      <w:r w:rsidR="009B3FEA" w:rsidRPr="009B3FEA">
        <w:rPr>
          <w:rFonts w:ascii="Times New Roman" w:hAnsi="Times New Roman" w:cs="Times New Roman"/>
          <w:sz w:val="24"/>
          <w:szCs w:val="24"/>
          <w:lang w:val="en-US"/>
        </w:rPr>
        <w:t xml:space="preserve">Beneficial effects of plant growth-promoting rhizobacteria on improved crop production: Prospects for developing economies. In D. K. Maheshwari, M. Saraf, &amp; A. Aeron (Eds.), Bacteria in agrobiology: Crop productivity (pp. 45–63) </w:t>
      </w:r>
      <w:hyperlink r:id="rId14" w:history="1">
        <w:r w:rsidR="009B3FEA" w:rsidRPr="00893A86">
          <w:rPr>
            <w:rStyle w:val="Hyperlink"/>
            <w:rFonts w:ascii="Times New Roman" w:hAnsi="Times New Roman" w:cs="Times New Roman"/>
            <w:sz w:val="24"/>
            <w:szCs w:val="24"/>
            <w:lang w:val="en-US"/>
          </w:rPr>
          <w:t>https://doi.org/10.1007/978-3-642-37241-4_2</w:t>
        </w:r>
      </w:hyperlink>
    </w:p>
    <w:p w14:paraId="24700985" w14:textId="1C3A9AC2" w:rsidR="00794A34" w:rsidRPr="009B3FEA" w:rsidRDefault="00C57E1A" w:rsidP="009B3FEA">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rPr>
        <w:t xml:space="preserve">Bashan, Y., &amp; de-Bashan, L. E. (2010). How the plant growth-promoting bacterium </w:t>
      </w:r>
      <w:proofErr w:type="spellStart"/>
      <w:r w:rsidRPr="009B3FEA">
        <w:rPr>
          <w:rStyle w:val="Emphasis"/>
          <w:rFonts w:ascii="Times New Roman" w:hAnsi="Times New Roman" w:cs="Times New Roman"/>
          <w:sz w:val="24"/>
          <w:szCs w:val="24"/>
        </w:rPr>
        <w:t>Azospirillum</w:t>
      </w:r>
      <w:proofErr w:type="spellEnd"/>
      <w:r w:rsidRPr="009B3FEA">
        <w:rPr>
          <w:rFonts w:ascii="Times New Roman" w:hAnsi="Times New Roman" w:cs="Times New Roman"/>
          <w:sz w:val="24"/>
          <w:szCs w:val="24"/>
        </w:rPr>
        <w:t xml:space="preserve"> promotes plant growth—A critical assessment. </w:t>
      </w:r>
      <w:r w:rsidRPr="009B3FEA">
        <w:rPr>
          <w:rStyle w:val="Emphasis"/>
          <w:rFonts w:ascii="Times New Roman" w:hAnsi="Times New Roman" w:cs="Times New Roman"/>
          <w:sz w:val="24"/>
          <w:szCs w:val="24"/>
        </w:rPr>
        <w:t>Advances in Agronomy, 108</w:t>
      </w:r>
      <w:r w:rsidRPr="009B3FEA">
        <w:rPr>
          <w:rFonts w:ascii="Times New Roman" w:hAnsi="Times New Roman" w:cs="Times New Roman"/>
          <w:sz w:val="24"/>
          <w:szCs w:val="24"/>
        </w:rPr>
        <w:t xml:space="preserve">, 77–136. </w:t>
      </w:r>
      <w:hyperlink r:id="rId15" w:tgtFrame="_new" w:history="1">
        <w:r w:rsidRPr="009B3FEA">
          <w:rPr>
            <w:rStyle w:val="Hyperlink"/>
            <w:rFonts w:ascii="Times New Roman" w:hAnsi="Times New Roman" w:cs="Times New Roman"/>
            <w:sz w:val="24"/>
            <w:szCs w:val="24"/>
          </w:rPr>
          <w:t>https://doi.org/10.1016/S0065-2113(10)08002-8</w:t>
        </w:r>
      </w:hyperlink>
    </w:p>
    <w:p w14:paraId="3D720507"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lastRenderedPageBreak/>
        <w:t xml:space="preserve">Bashan, Y., Holguin, G., &amp; de-Bashan, L. E. (2004). </w:t>
      </w:r>
      <w:proofErr w:type="spellStart"/>
      <w:r w:rsidRPr="00285358">
        <w:rPr>
          <w:rStyle w:val="Emphasis"/>
          <w:rFonts w:ascii="Times New Roman" w:hAnsi="Times New Roman" w:cs="Times New Roman"/>
          <w:sz w:val="24"/>
          <w:szCs w:val="24"/>
        </w:rPr>
        <w:t>Azospirillum</w:t>
      </w:r>
      <w:proofErr w:type="spellEnd"/>
      <w:r w:rsidRPr="00285358">
        <w:rPr>
          <w:rFonts w:ascii="Times New Roman" w:hAnsi="Times New Roman" w:cs="Times New Roman"/>
          <w:sz w:val="24"/>
          <w:szCs w:val="24"/>
        </w:rPr>
        <w:t xml:space="preserve">–plant relationships: Physiological, molecular, agricultural, and environmental advances. </w:t>
      </w:r>
      <w:r w:rsidRPr="00285358">
        <w:rPr>
          <w:rStyle w:val="Emphasis"/>
          <w:rFonts w:ascii="Times New Roman" w:hAnsi="Times New Roman" w:cs="Times New Roman"/>
          <w:sz w:val="24"/>
          <w:szCs w:val="24"/>
        </w:rPr>
        <w:t>Canadian Journal of Microbiology, 50</w:t>
      </w:r>
      <w:r w:rsidRPr="00285358">
        <w:rPr>
          <w:rFonts w:ascii="Times New Roman" w:hAnsi="Times New Roman" w:cs="Times New Roman"/>
          <w:sz w:val="24"/>
          <w:szCs w:val="24"/>
        </w:rPr>
        <w:t xml:space="preserve">(8), 521–577. </w:t>
      </w:r>
      <w:hyperlink r:id="rId16" w:tgtFrame="_new" w:history="1">
        <w:r w:rsidRPr="00285358">
          <w:rPr>
            <w:rStyle w:val="Hyperlink"/>
            <w:rFonts w:ascii="Times New Roman" w:hAnsi="Times New Roman" w:cs="Times New Roman"/>
            <w:sz w:val="24"/>
            <w:szCs w:val="24"/>
          </w:rPr>
          <w:t>https://doi.org/10.1139/w04-035</w:t>
        </w:r>
      </w:hyperlink>
    </w:p>
    <w:p w14:paraId="4551F5C8"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Bharathi, R., </w:t>
      </w:r>
      <w:proofErr w:type="spellStart"/>
      <w:r w:rsidRPr="00285358">
        <w:rPr>
          <w:rFonts w:ascii="Times New Roman" w:hAnsi="Times New Roman" w:cs="Times New Roman"/>
          <w:sz w:val="24"/>
          <w:szCs w:val="24"/>
        </w:rPr>
        <w:t>Vivekananthan</w:t>
      </w:r>
      <w:proofErr w:type="spellEnd"/>
      <w:r w:rsidRPr="00285358">
        <w:rPr>
          <w:rFonts w:ascii="Times New Roman" w:hAnsi="Times New Roman" w:cs="Times New Roman"/>
          <w:sz w:val="24"/>
          <w:szCs w:val="24"/>
        </w:rPr>
        <w:t xml:space="preserve">, R., Harish, S., Ramanathan, A., &amp; </w:t>
      </w:r>
      <w:proofErr w:type="spellStart"/>
      <w:r w:rsidRPr="00285358">
        <w:rPr>
          <w:rFonts w:ascii="Times New Roman" w:hAnsi="Times New Roman" w:cs="Times New Roman"/>
          <w:sz w:val="24"/>
          <w:szCs w:val="24"/>
        </w:rPr>
        <w:t>Samiyappan</w:t>
      </w:r>
      <w:proofErr w:type="spellEnd"/>
      <w:r w:rsidRPr="00285358">
        <w:rPr>
          <w:rFonts w:ascii="Times New Roman" w:hAnsi="Times New Roman" w:cs="Times New Roman"/>
          <w:sz w:val="24"/>
          <w:szCs w:val="24"/>
        </w:rPr>
        <w:t xml:space="preserve">, R. (2004). Rhizobacteria-based bio-formulations for the management of fruit rot infection in chilli. </w:t>
      </w:r>
      <w:r w:rsidRPr="00285358">
        <w:rPr>
          <w:rStyle w:val="Emphasis"/>
          <w:rFonts w:ascii="Times New Roman" w:hAnsi="Times New Roman" w:cs="Times New Roman"/>
          <w:sz w:val="24"/>
          <w:szCs w:val="24"/>
        </w:rPr>
        <w:t>Crop Protection, 23</w:t>
      </w:r>
      <w:r w:rsidRPr="00285358">
        <w:rPr>
          <w:rFonts w:ascii="Times New Roman" w:hAnsi="Times New Roman" w:cs="Times New Roman"/>
          <w:sz w:val="24"/>
          <w:szCs w:val="24"/>
        </w:rPr>
        <w:t xml:space="preserve">(9), 835–843. </w:t>
      </w:r>
      <w:hyperlink r:id="rId17" w:tgtFrame="_new" w:history="1">
        <w:r w:rsidRPr="00285358">
          <w:rPr>
            <w:rStyle w:val="Hyperlink"/>
            <w:rFonts w:ascii="Times New Roman" w:hAnsi="Times New Roman" w:cs="Times New Roman"/>
            <w:sz w:val="24"/>
            <w:szCs w:val="24"/>
          </w:rPr>
          <w:t>https://doi.org/10.1016/j.cropro.2004.01.007</w:t>
        </w:r>
      </w:hyperlink>
    </w:p>
    <w:p w14:paraId="28D4E676" w14:textId="37BCBE6B"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Bosland</w:t>
      </w:r>
      <w:proofErr w:type="spellEnd"/>
      <w:r w:rsidRPr="00285358">
        <w:rPr>
          <w:rFonts w:ascii="Times New Roman" w:hAnsi="Times New Roman" w:cs="Times New Roman"/>
          <w:sz w:val="24"/>
          <w:szCs w:val="24"/>
        </w:rPr>
        <w:t xml:space="preserve">, P. W., &amp; </w:t>
      </w:r>
      <w:proofErr w:type="spellStart"/>
      <w:r w:rsidRPr="00285358">
        <w:rPr>
          <w:rFonts w:ascii="Times New Roman" w:hAnsi="Times New Roman" w:cs="Times New Roman"/>
          <w:sz w:val="24"/>
          <w:szCs w:val="24"/>
        </w:rPr>
        <w:t>Votava</w:t>
      </w:r>
      <w:proofErr w:type="spellEnd"/>
      <w:r w:rsidRPr="00285358">
        <w:rPr>
          <w:rFonts w:ascii="Times New Roman" w:hAnsi="Times New Roman" w:cs="Times New Roman"/>
          <w:sz w:val="24"/>
          <w:szCs w:val="24"/>
        </w:rPr>
        <w:t xml:space="preserve">, E. J. (2012). </w:t>
      </w:r>
      <w:r w:rsidRPr="00285358">
        <w:rPr>
          <w:rStyle w:val="Emphasis"/>
          <w:rFonts w:ascii="Times New Roman" w:hAnsi="Times New Roman" w:cs="Times New Roman"/>
          <w:sz w:val="24"/>
          <w:szCs w:val="24"/>
        </w:rPr>
        <w:t>Peppers: Vegetable and spice capsicums</w:t>
      </w:r>
      <w:r w:rsidRPr="00285358">
        <w:rPr>
          <w:rFonts w:ascii="Times New Roman" w:hAnsi="Times New Roman" w:cs="Times New Roman"/>
          <w:sz w:val="24"/>
          <w:szCs w:val="24"/>
        </w:rPr>
        <w:t xml:space="preserve"> (2nd ed.). CABI Publishing.</w:t>
      </w:r>
      <w:r w:rsidR="009B3FEA" w:rsidRPr="009B3FEA">
        <w:t xml:space="preserve"> </w:t>
      </w:r>
      <w:hyperlink r:id="rId18" w:history="1">
        <w:r w:rsidR="009B3FEA" w:rsidRPr="00893A86">
          <w:rPr>
            <w:rStyle w:val="Hyperlink"/>
            <w:rFonts w:ascii="Times New Roman" w:hAnsi="Times New Roman" w:cs="Times New Roman"/>
            <w:sz w:val="24"/>
            <w:szCs w:val="24"/>
          </w:rPr>
          <w:t>https://doi.org/10.1079/9781845938253.0001</w:t>
        </w:r>
      </w:hyperlink>
      <w:r w:rsidR="009B3FEA">
        <w:rPr>
          <w:rFonts w:ascii="Times New Roman" w:hAnsi="Times New Roman" w:cs="Times New Roman"/>
          <w:sz w:val="24"/>
          <w:szCs w:val="24"/>
        </w:rPr>
        <w:t xml:space="preserve"> </w:t>
      </w:r>
    </w:p>
    <w:p w14:paraId="5EA67A8B"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Glick, B. R. (2012). Plant growth-promoting bacteria: Mechanisms and applications. </w:t>
      </w:r>
      <w:proofErr w:type="spellStart"/>
      <w:r w:rsidRPr="00285358">
        <w:rPr>
          <w:rStyle w:val="Emphasis"/>
          <w:rFonts w:ascii="Times New Roman" w:hAnsi="Times New Roman" w:cs="Times New Roman"/>
          <w:sz w:val="24"/>
          <w:szCs w:val="24"/>
        </w:rPr>
        <w:t>Scientifica</w:t>
      </w:r>
      <w:proofErr w:type="spellEnd"/>
      <w:r w:rsidRPr="00285358">
        <w:rPr>
          <w:rStyle w:val="Emphasis"/>
          <w:rFonts w:ascii="Times New Roman" w:hAnsi="Times New Roman" w:cs="Times New Roman"/>
          <w:sz w:val="24"/>
          <w:szCs w:val="24"/>
        </w:rPr>
        <w:t>, 2012</w:t>
      </w:r>
      <w:r w:rsidRPr="00285358">
        <w:rPr>
          <w:rFonts w:ascii="Times New Roman" w:hAnsi="Times New Roman" w:cs="Times New Roman"/>
          <w:sz w:val="24"/>
          <w:szCs w:val="24"/>
        </w:rPr>
        <w:t xml:space="preserve">, Article 963401. </w:t>
      </w:r>
      <w:hyperlink r:id="rId19" w:tgtFrame="_new" w:history="1">
        <w:r w:rsidRPr="00285358">
          <w:rPr>
            <w:rStyle w:val="Hyperlink"/>
            <w:rFonts w:ascii="Times New Roman" w:hAnsi="Times New Roman" w:cs="Times New Roman"/>
            <w:sz w:val="24"/>
            <w:szCs w:val="24"/>
          </w:rPr>
          <w:t>https://doi.org/10.6064/2012/963401</w:t>
        </w:r>
      </w:hyperlink>
    </w:p>
    <w:p w14:paraId="70B55F9B"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Gopalakrishnan, S., Srinivas, V., </w:t>
      </w:r>
      <w:proofErr w:type="spellStart"/>
      <w:r w:rsidRPr="00285358">
        <w:rPr>
          <w:rFonts w:ascii="Times New Roman" w:hAnsi="Times New Roman" w:cs="Times New Roman"/>
          <w:sz w:val="24"/>
          <w:szCs w:val="24"/>
        </w:rPr>
        <w:t>Alekhya</w:t>
      </w:r>
      <w:proofErr w:type="spellEnd"/>
      <w:r w:rsidRPr="00285358">
        <w:rPr>
          <w:rFonts w:ascii="Times New Roman" w:hAnsi="Times New Roman" w:cs="Times New Roman"/>
          <w:sz w:val="24"/>
          <w:szCs w:val="24"/>
        </w:rPr>
        <w:t xml:space="preserve">, G., Prakash, B., &amp; </w:t>
      </w:r>
      <w:proofErr w:type="spellStart"/>
      <w:r w:rsidRPr="00285358">
        <w:rPr>
          <w:rFonts w:ascii="Times New Roman" w:hAnsi="Times New Roman" w:cs="Times New Roman"/>
          <w:sz w:val="24"/>
          <w:szCs w:val="24"/>
        </w:rPr>
        <w:t>Kudapa</w:t>
      </w:r>
      <w:proofErr w:type="spellEnd"/>
      <w:r w:rsidRPr="00285358">
        <w:rPr>
          <w:rFonts w:ascii="Times New Roman" w:hAnsi="Times New Roman" w:cs="Times New Roman"/>
          <w:sz w:val="24"/>
          <w:szCs w:val="24"/>
        </w:rPr>
        <w:t xml:space="preserve">, H. (2015). Plant growth-promoting traits of biocontrol potential bacteria isolated from chickpea rhizosphere. </w:t>
      </w:r>
      <w:r w:rsidRPr="00285358">
        <w:rPr>
          <w:rStyle w:val="Emphasis"/>
          <w:rFonts w:ascii="Times New Roman" w:hAnsi="Times New Roman" w:cs="Times New Roman"/>
          <w:sz w:val="24"/>
          <w:szCs w:val="24"/>
        </w:rPr>
        <w:t>Plant and Soil, 397</w:t>
      </w:r>
      <w:r w:rsidRPr="00285358">
        <w:rPr>
          <w:rFonts w:ascii="Times New Roman" w:hAnsi="Times New Roman" w:cs="Times New Roman"/>
          <w:sz w:val="24"/>
          <w:szCs w:val="24"/>
        </w:rPr>
        <w:t xml:space="preserve">(1–2), 273–294. </w:t>
      </w:r>
      <w:hyperlink r:id="rId20" w:tgtFrame="_new" w:history="1">
        <w:r w:rsidRPr="00285358">
          <w:rPr>
            <w:rStyle w:val="Hyperlink"/>
            <w:rFonts w:ascii="Times New Roman" w:hAnsi="Times New Roman" w:cs="Times New Roman"/>
            <w:sz w:val="24"/>
            <w:szCs w:val="24"/>
          </w:rPr>
          <w:t>https://doi.org/10.1007/s11104-015-2622-5</w:t>
        </w:r>
      </w:hyperlink>
    </w:p>
    <w:p w14:paraId="555498D9"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Hasan, A., Tabassum, B., Hashim, M., &amp; Khan, N. (2024). Role of plant growth-promoting rhizobacteria as plant growth enhancers for sustainable agriculture: A review. </w:t>
      </w:r>
      <w:r w:rsidRPr="00285358">
        <w:rPr>
          <w:rStyle w:val="Emphasis"/>
          <w:rFonts w:ascii="Times New Roman" w:hAnsi="Times New Roman" w:cs="Times New Roman"/>
          <w:sz w:val="24"/>
          <w:szCs w:val="24"/>
        </w:rPr>
        <w:t>Bacteria, 3</w:t>
      </w:r>
      <w:r w:rsidRPr="00285358">
        <w:rPr>
          <w:rFonts w:ascii="Times New Roman" w:hAnsi="Times New Roman" w:cs="Times New Roman"/>
          <w:sz w:val="24"/>
          <w:szCs w:val="24"/>
        </w:rPr>
        <w:t xml:space="preserve">(2), 59–75. </w:t>
      </w:r>
      <w:hyperlink r:id="rId21" w:tgtFrame="_new" w:history="1">
        <w:r w:rsidRPr="00285358">
          <w:rPr>
            <w:rStyle w:val="Hyperlink"/>
            <w:rFonts w:ascii="Times New Roman" w:hAnsi="Times New Roman" w:cs="Times New Roman"/>
            <w:sz w:val="24"/>
            <w:szCs w:val="24"/>
          </w:rPr>
          <w:t>https://doi.org/10.3390/bacteria3020005</w:t>
        </w:r>
      </w:hyperlink>
    </w:p>
    <w:p w14:paraId="31FD6C2C" w14:textId="478834C4" w:rsidR="009B3FEA" w:rsidRPr="009B3FEA" w:rsidRDefault="009B3FE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fr-FR"/>
        </w:rPr>
        <w:t xml:space="preserve">Zhang, T., Jian, Q., Yao, X., Guan, L., Li, L., Liu, F., Zhang, C., Li, D., Tang, H., &amp; Lu, L. (2024). </w:t>
      </w:r>
      <w:r w:rsidRPr="009B3FEA">
        <w:rPr>
          <w:rFonts w:ascii="Times New Roman" w:hAnsi="Times New Roman" w:cs="Times New Roman"/>
          <w:sz w:val="24"/>
          <w:szCs w:val="24"/>
        </w:rPr>
        <w:t xml:space="preserve">Plant growth-promoting rhizobacteria (PGPR) improve the growth and quality of several crops. </w:t>
      </w:r>
      <w:proofErr w:type="spellStart"/>
      <w:r w:rsidRPr="009B3FEA">
        <w:rPr>
          <w:rFonts w:ascii="Times New Roman" w:hAnsi="Times New Roman" w:cs="Times New Roman"/>
          <w:sz w:val="24"/>
          <w:szCs w:val="24"/>
        </w:rPr>
        <w:t>Heliyon</w:t>
      </w:r>
      <w:proofErr w:type="spellEnd"/>
      <w:r w:rsidRPr="009B3FEA">
        <w:rPr>
          <w:rFonts w:ascii="Times New Roman" w:hAnsi="Times New Roman" w:cs="Times New Roman"/>
          <w:sz w:val="24"/>
          <w:szCs w:val="24"/>
        </w:rPr>
        <w:t xml:space="preserve">. </w:t>
      </w:r>
      <w:hyperlink r:id="rId22" w:history="1">
        <w:r w:rsidRPr="00893A86">
          <w:rPr>
            <w:rStyle w:val="Hyperlink"/>
            <w:rFonts w:ascii="Times New Roman" w:hAnsi="Times New Roman" w:cs="Times New Roman"/>
            <w:sz w:val="24"/>
            <w:szCs w:val="24"/>
          </w:rPr>
          <w:t>https://doi.org/10.1016/j.heliyon.2024.e31553</w:t>
        </w:r>
      </w:hyperlink>
    </w:p>
    <w:p w14:paraId="49638DA0" w14:textId="2CDE2145"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Keerthana</w:t>
      </w:r>
      <w:proofErr w:type="spellEnd"/>
      <w:r w:rsidRPr="00285358">
        <w:rPr>
          <w:rFonts w:ascii="Times New Roman" w:hAnsi="Times New Roman" w:cs="Times New Roman"/>
          <w:sz w:val="24"/>
          <w:szCs w:val="24"/>
        </w:rPr>
        <w:t xml:space="preserve">, R. S., Patil, C. R., Bhavana, M., &amp; </w:t>
      </w:r>
      <w:proofErr w:type="spellStart"/>
      <w:r w:rsidRPr="00285358">
        <w:rPr>
          <w:rFonts w:ascii="Times New Roman" w:hAnsi="Times New Roman" w:cs="Times New Roman"/>
          <w:sz w:val="24"/>
          <w:szCs w:val="24"/>
        </w:rPr>
        <w:t>Sindushree</w:t>
      </w:r>
      <w:proofErr w:type="spellEnd"/>
      <w:r w:rsidRPr="00285358">
        <w:rPr>
          <w:rFonts w:ascii="Times New Roman" w:hAnsi="Times New Roman" w:cs="Times New Roman"/>
          <w:sz w:val="24"/>
          <w:szCs w:val="24"/>
        </w:rPr>
        <w:t xml:space="preserve">, R. L. (2024). Formulating rhizosphere consortia: Harnessing plant growth-promoting rhizobacteria for agricultural sustainability. </w:t>
      </w:r>
      <w:r w:rsidRPr="00285358">
        <w:rPr>
          <w:rStyle w:val="Emphasis"/>
          <w:rFonts w:ascii="Times New Roman" w:hAnsi="Times New Roman" w:cs="Times New Roman"/>
          <w:sz w:val="24"/>
          <w:szCs w:val="24"/>
        </w:rPr>
        <w:t>Journal of Advances in Microbiology Research, 5</w:t>
      </w:r>
      <w:r w:rsidRPr="00285358">
        <w:rPr>
          <w:rFonts w:ascii="Times New Roman" w:hAnsi="Times New Roman" w:cs="Times New Roman"/>
          <w:sz w:val="24"/>
          <w:szCs w:val="24"/>
        </w:rPr>
        <w:t>(2), 181–184.</w:t>
      </w:r>
      <w:r w:rsidR="009B3FEA" w:rsidRPr="009B3FEA">
        <w:t xml:space="preserve"> </w:t>
      </w:r>
      <w:hyperlink r:id="rId23" w:history="1">
        <w:r w:rsidR="009B3FEA" w:rsidRPr="00893A86">
          <w:rPr>
            <w:rStyle w:val="Hyperlink"/>
            <w:rFonts w:ascii="Times New Roman" w:hAnsi="Times New Roman" w:cs="Times New Roman"/>
            <w:sz w:val="24"/>
            <w:szCs w:val="24"/>
          </w:rPr>
          <w:t>https://doi.org/10.22271/micro.2024.v5.i2c.177</w:t>
        </w:r>
      </w:hyperlink>
      <w:r w:rsidR="009B3FEA">
        <w:rPr>
          <w:rFonts w:ascii="Times New Roman" w:hAnsi="Times New Roman" w:cs="Times New Roman"/>
          <w:sz w:val="24"/>
          <w:szCs w:val="24"/>
        </w:rPr>
        <w:t xml:space="preserve"> </w:t>
      </w:r>
    </w:p>
    <w:p w14:paraId="230838A8" w14:textId="5B62B668" w:rsidR="009B3FEA" w:rsidRPr="009B3FEA" w:rsidRDefault="009B3FEA" w:rsidP="002711C4">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9B3FEA">
        <w:rPr>
          <w:rFonts w:ascii="Times New Roman" w:hAnsi="Times New Roman" w:cs="Times New Roman"/>
          <w:sz w:val="24"/>
          <w:szCs w:val="24"/>
        </w:rPr>
        <w:t>Mmotla</w:t>
      </w:r>
      <w:proofErr w:type="spellEnd"/>
      <w:r w:rsidRPr="009B3FEA">
        <w:rPr>
          <w:rFonts w:ascii="Times New Roman" w:hAnsi="Times New Roman" w:cs="Times New Roman"/>
          <w:sz w:val="24"/>
          <w:szCs w:val="24"/>
        </w:rPr>
        <w:t xml:space="preserve">, K., </w:t>
      </w:r>
      <w:proofErr w:type="spellStart"/>
      <w:r w:rsidRPr="009B3FEA">
        <w:rPr>
          <w:rFonts w:ascii="Times New Roman" w:hAnsi="Times New Roman" w:cs="Times New Roman"/>
          <w:sz w:val="24"/>
          <w:szCs w:val="24"/>
        </w:rPr>
        <w:t>Sibanyoni</w:t>
      </w:r>
      <w:proofErr w:type="spellEnd"/>
      <w:r w:rsidRPr="009B3FEA">
        <w:rPr>
          <w:rFonts w:ascii="Times New Roman" w:hAnsi="Times New Roman" w:cs="Times New Roman"/>
          <w:sz w:val="24"/>
          <w:szCs w:val="24"/>
        </w:rPr>
        <w:t xml:space="preserve">, N. R., Allie, F., </w:t>
      </w:r>
      <w:proofErr w:type="spellStart"/>
      <w:r w:rsidRPr="009B3FEA">
        <w:rPr>
          <w:rFonts w:ascii="Times New Roman" w:hAnsi="Times New Roman" w:cs="Times New Roman"/>
          <w:sz w:val="24"/>
          <w:szCs w:val="24"/>
        </w:rPr>
        <w:t>Sitole</w:t>
      </w:r>
      <w:proofErr w:type="spellEnd"/>
      <w:r w:rsidRPr="009B3FEA">
        <w:rPr>
          <w:rFonts w:ascii="Times New Roman" w:hAnsi="Times New Roman" w:cs="Times New Roman"/>
          <w:sz w:val="24"/>
          <w:szCs w:val="24"/>
        </w:rPr>
        <w:t xml:space="preserve">, L., </w:t>
      </w:r>
      <w:proofErr w:type="spellStart"/>
      <w:r w:rsidRPr="009B3FEA">
        <w:rPr>
          <w:rFonts w:ascii="Times New Roman" w:hAnsi="Times New Roman" w:cs="Times New Roman"/>
          <w:sz w:val="24"/>
          <w:szCs w:val="24"/>
        </w:rPr>
        <w:t>Mafuna</w:t>
      </w:r>
      <w:proofErr w:type="spellEnd"/>
      <w:r w:rsidRPr="009B3FEA">
        <w:rPr>
          <w:rFonts w:ascii="Times New Roman" w:hAnsi="Times New Roman" w:cs="Times New Roman"/>
          <w:sz w:val="24"/>
          <w:szCs w:val="24"/>
        </w:rPr>
        <w:t xml:space="preserve">, T., </w:t>
      </w:r>
      <w:proofErr w:type="spellStart"/>
      <w:r w:rsidRPr="009B3FEA">
        <w:rPr>
          <w:rFonts w:ascii="Times New Roman" w:hAnsi="Times New Roman" w:cs="Times New Roman"/>
          <w:sz w:val="24"/>
          <w:szCs w:val="24"/>
        </w:rPr>
        <w:t>Mashabela</w:t>
      </w:r>
      <w:proofErr w:type="spellEnd"/>
      <w:r w:rsidRPr="009B3FEA">
        <w:rPr>
          <w:rFonts w:ascii="Times New Roman" w:hAnsi="Times New Roman" w:cs="Times New Roman"/>
          <w:sz w:val="24"/>
          <w:szCs w:val="24"/>
        </w:rPr>
        <w:t xml:space="preserve">, M. D., &amp; Mhlongo, M. I. (2025). Exploring the intricacies of plant growth promoting rhizobacteria interactions: An omics review. Annals of Microbiology, 75, Article 5. </w:t>
      </w:r>
      <w:hyperlink r:id="rId24" w:history="1">
        <w:r w:rsidRPr="00893A86">
          <w:rPr>
            <w:rStyle w:val="Hyperlink"/>
            <w:rFonts w:ascii="Times New Roman" w:hAnsi="Times New Roman" w:cs="Times New Roman"/>
            <w:sz w:val="24"/>
            <w:szCs w:val="24"/>
          </w:rPr>
          <w:t>https://doi.org/10.1186/s13213-025-01793-y</w:t>
        </w:r>
      </w:hyperlink>
    </w:p>
    <w:p w14:paraId="0FCEB899" w14:textId="08258912" w:rsidR="002711C4" w:rsidRPr="002711C4" w:rsidRDefault="002711C4" w:rsidP="002711C4">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BC0F79">
        <w:rPr>
          <w:rFonts w:ascii="Times New Roman" w:hAnsi="Times New Roman" w:cs="Times New Roman"/>
          <w:sz w:val="24"/>
          <w:szCs w:val="24"/>
        </w:rPr>
        <w:t>Nandni</w:t>
      </w:r>
      <w:proofErr w:type="spellEnd"/>
      <w:r w:rsidRPr="00BC0F79">
        <w:rPr>
          <w:rFonts w:ascii="Times New Roman" w:hAnsi="Times New Roman" w:cs="Times New Roman"/>
          <w:sz w:val="24"/>
          <w:szCs w:val="24"/>
        </w:rPr>
        <w:t> Sharma</w:t>
      </w:r>
      <w:r>
        <w:rPr>
          <w:rFonts w:ascii="Times New Roman" w:hAnsi="Times New Roman" w:cs="Times New Roman"/>
          <w:sz w:val="24"/>
          <w:szCs w:val="24"/>
        </w:rPr>
        <w:t>,</w:t>
      </w:r>
      <w:r w:rsidRPr="00BC0F79">
        <w:rPr>
          <w:rFonts w:ascii="Times New Roman" w:hAnsi="Times New Roman" w:cs="Times New Roman"/>
          <w:sz w:val="24"/>
          <w:szCs w:val="24"/>
        </w:rPr>
        <w:t> </w:t>
      </w:r>
      <w:proofErr w:type="spellStart"/>
      <w:r w:rsidRPr="00BC0F79">
        <w:rPr>
          <w:rFonts w:ascii="Times New Roman" w:hAnsi="Times New Roman" w:cs="Times New Roman"/>
          <w:sz w:val="24"/>
          <w:szCs w:val="24"/>
        </w:rPr>
        <w:t>Gaurav</w:t>
      </w:r>
      <w:proofErr w:type="spellEnd"/>
      <w:r w:rsidRPr="00BC0F79">
        <w:rPr>
          <w:rFonts w:ascii="Times New Roman" w:hAnsi="Times New Roman" w:cs="Times New Roman"/>
          <w:sz w:val="24"/>
          <w:szCs w:val="24"/>
        </w:rPr>
        <w:t> Sharma</w:t>
      </w:r>
      <w:r>
        <w:rPr>
          <w:rFonts w:ascii="Times New Roman" w:hAnsi="Times New Roman" w:cs="Times New Roman"/>
          <w:sz w:val="24"/>
          <w:szCs w:val="24"/>
        </w:rPr>
        <w:t>,</w:t>
      </w:r>
      <w:r w:rsidRPr="00BC0F79">
        <w:rPr>
          <w:rFonts w:ascii="Times New Roman" w:hAnsi="Times New Roman" w:cs="Times New Roman"/>
          <w:sz w:val="24"/>
          <w:szCs w:val="24"/>
        </w:rPr>
        <w:t> </w:t>
      </w:r>
      <w:proofErr w:type="spellStart"/>
      <w:r w:rsidRPr="00BC0F79">
        <w:rPr>
          <w:rFonts w:ascii="Times New Roman" w:hAnsi="Times New Roman" w:cs="Times New Roman"/>
          <w:sz w:val="24"/>
          <w:szCs w:val="24"/>
        </w:rPr>
        <w:t>Sandeep</w:t>
      </w:r>
      <w:proofErr w:type="spellEnd"/>
      <w:r w:rsidRPr="00BC0F79">
        <w:rPr>
          <w:rFonts w:ascii="Times New Roman" w:hAnsi="Times New Roman" w:cs="Times New Roman"/>
          <w:sz w:val="24"/>
          <w:szCs w:val="24"/>
        </w:rPr>
        <w:t> </w:t>
      </w:r>
      <w:proofErr w:type="spellStart"/>
      <w:r w:rsidRPr="00BC0F79">
        <w:rPr>
          <w:rFonts w:ascii="Times New Roman" w:hAnsi="Times New Roman" w:cs="Times New Roman"/>
          <w:sz w:val="24"/>
          <w:szCs w:val="24"/>
        </w:rPr>
        <w:t>Kour</w:t>
      </w:r>
      <w:proofErr w:type="spellEnd"/>
      <w:r w:rsidRPr="00BC0F79">
        <w:rPr>
          <w:rFonts w:ascii="Times New Roman" w:hAnsi="Times New Roman" w:cs="Times New Roman"/>
          <w:sz w:val="24"/>
          <w:szCs w:val="24"/>
        </w:rPr>
        <w:t>, </w:t>
      </w:r>
      <w:bookmarkStart w:id="0" w:name="bau0020-profile"/>
      <w:r w:rsidRPr="00C47F17">
        <w:rPr>
          <w:rFonts w:ascii="Times New Roman" w:hAnsi="Times New Roman" w:cs="Times New Roman"/>
          <w:color w:val="0D0D0D" w:themeColor="text1" w:themeTint="F2"/>
          <w:sz w:val="24"/>
          <w:szCs w:val="24"/>
        </w:rPr>
        <w:fldChar w:fldCharType="begin"/>
      </w:r>
      <w:r w:rsidRPr="00C47F17">
        <w:rPr>
          <w:rFonts w:ascii="Times New Roman" w:hAnsi="Times New Roman" w:cs="Times New Roman"/>
          <w:color w:val="0D0D0D" w:themeColor="text1" w:themeTint="F2"/>
          <w:sz w:val="24"/>
          <w:szCs w:val="24"/>
        </w:rPr>
        <w:instrText>HYPERLINK "https://www.sciencedirect.com/author/7003749763/bhupinder-singh-chadha"</w:instrText>
      </w:r>
      <w:r w:rsidRPr="00C47F17">
        <w:rPr>
          <w:rFonts w:ascii="Times New Roman" w:hAnsi="Times New Roman" w:cs="Times New Roman"/>
          <w:color w:val="0D0D0D" w:themeColor="text1" w:themeTint="F2"/>
          <w:sz w:val="24"/>
          <w:szCs w:val="24"/>
        </w:rPr>
        <w:fldChar w:fldCharType="separate"/>
      </w:r>
      <w:r w:rsidRPr="00C47F17">
        <w:rPr>
          <w:rStyle w:val="Hyperlink"/>
          <w:rFonts w:ascii="Times New Roman" w:hAnsi="Times New Roman" w:cs="Times New Roman"/>
          <w:color w:val="0D0D0D" w:themeColor="text1" w:themeTint="F2"/>
          <w:sz w:val="24"/>
          <w:szCs w:val="24"/>
          <w:u w:val="none"/>
        </w:rPr>
        <w:t>Bhupinder</w:t>
      </w:r>
      <w:r>
        <w:rPr>
          <w:rStyle w:val="Hyperlink"/>
          <w:rFonts w:ascii="Times New Roman" w:hAnsi="Times New Roman" w:cs="Times New Roman"/>
          <w:color w:val="0D0D0D" w:themeColor="text1" w:themeTint="F2"/>
          <w:sz w:val="24"/>
          <w:szCs w:val="24"/>
          <w:u w:val="none"/>
        </w:rPr>
        <w:t xml:space="preserve"> </w:t>
      </w:r>
      <w:r w:rsidRPr="00C47F17">
        <w:rPr>
          <w:rStyle w:val="Hyperlink"/>
          <w:rFonts w:ascii="Times New Roman" w:hAnsi="Times New Roman" w:cs="Times New Roman"/>
          <w:color w:val="0D0D0D" w:themeColor="text1" w:themeTint="F2"/>
          <w:sz w:val="24"/>
          <w:szCs w:val="24"/>
          <w:u w:val="none"/>
        </w:rPr>
        <w:t>Singh Chadha </w:t>
      </w:r>
      <w:r w:rsidRPr="00C47F17">
        <w:rPr>
          <w:rFonts w:ascii="Times New Roman" w:hAnsi="Times New Roman" w:cs="Times New Roman"/>
          <w:color w:val="0D0D0D" w:themeColor="text1" w:themeTint="F2"/>
          <w:sz w:val="24"/>
          <w:szCs w:val="24"/>
          <w:lang w:val="en-US"/>
        </w:rPr>
        <w:fldChar w:fldCharType="end"/>
      </w:r>
      <w:bookmarkStart w:id="1" w:name="bau0025-profile"/>
      <w:bookmarkEnd w:id="0"/>
      <w:r>
        <w:rPr>
          <w:rFonts w:ascii="Times New Roman" w:hAnsi="Times New Roman" w:cs="Times New Roman"/>
          <w:color w:val="0D0D0D" w:themeColor="text1" w:themeTint="F2"/>
          <w:sz w:val="24"/>
          <w:szCs w:val="24"/>
          <w:lang w:val="en-US"/>
        </w:rPr>
        <w:t xml:space="preserve">and </w:t>
      </w:r>
      <w:hyperlink r:id="rId25" w:history="1">
        <w:r w:rsidRPr="00C47F17">
          <w:rPr>
            <w:rStyle w:val="Hyperlink"/>
            <w:rFonts w:ascii="Times New Roman" w:hAnsi="Times New Roman" w:cs="Times New Roman"/>
            <w:color w:val="0D0D0D" w:themeColor="text1" w:themeTint="F2"/>
            <w:sz w:val="24"/>
            <w:szCs w:val="24"/>
            <w:u w:val="none"/>
          </w:rPr>
          <w:t>Puja Ohri </w:t>
        </w:r>
      </w:hyperlink>
      <w:bookmarkEnd w:id="1"/>
      <w:r>
        <w:rPr>
          <w:rFonts w:ascii="Times New Roman" w:hAnsi="Times New Roman" w:cs="Times New Roman"/>
          <w:color w:val="0D0D0D" w:themeColor="text1" w:themeTint="F2"/>
          <w:sz w:val="24"/>
          <w:szCs w:val="24"/>
          <w:lang w:val="en-US"/>
        </w:rPr>
        <w:t xml:space="preserve">. (2024). </w:t>
      </w:r>
      <w:r w:rsidRPr="00D31A02">
        <w:rPr>
          <w:rFonts w:ascii="Times New Roman" w:hAnsi="Times New Roman" w:cs="Times New Roman"/>
          <w:color w:val="0D0D0D" w:themeColor="text1" w:themeTint="F2"/>
          <w:sz w:val="24"/>
          <w:szCs w:val="24"/>
        </w:rPr>
        <w:t xml:space="preserve">Unravelling the role of plant growth-promoting rhizobacteria in improving plant growth and soil functions. </w:t>
      </w:r>
      <w:r w:rsidRPr="00D31A02">
        <w:rPr>
          <w:rFonts w:ascii="Times New Roman" w:hAnsi="Times New Roman" w:cs="Times New Roman"/>
          <w:i/>
          <w:iCs/>
          <w:color w:val="0D0D0D" w:themeColor="text1" w:themeTint="F2"/>
          <w:sz w:val="24"/>
          <w:szCs w:val="24"/>
        </w:rPr>
        <w:t>Applied Soil Ecology, 199</w:t>
      </w:r>
      <w:r w:rsidRPr="00D31A02">
        <w:rPr>
          <w:rFonts w:ascii="Times New Roman" w:hAnsi="Times New Roman" w:cs="Times New Roman"/>
          <w:color w:val="0D0D0D" w:themeColor="text1" w:themeTint="F2"/>
          <w:sz w:val="24"/>
          <w:szCs w:val="24"/>
        </w:rPr>
        <w:t xml:space="preserve">, 105416. </w:t>
      </w:r>
      <w:hyperlink r:id="rId26" w:tgtFrame="_new" w:history="1">
        <w:r w:rsidRPr="00D31A02">
          <w:rPr>
            <w:rStyle w:val="Hyperlink"/>
            <w:rFonts w:ascii="Times New Roman" w:hAnsi="Times New Roman" w:cs="Times New Roman"/>
            <w:sz w:val="24"/>
            <w:szCs w:val="24"/>
          </w:rPr>
          <w:t>https://doi.org/10.1016/j.apsoil.2024.105416</w:t>
        </w:r>
      </w:hyperlink>
    </w:p>
    <w:p w14:paraId="443C622C"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Nelson, L. M. (2004). Plant growth-promoting rhizobacteria (PGPR): Prospects for new inoculants. </w:t>
      </w:r>
      <w:r w:rsidRPr="00285358">
        <w:rPr>
          <w:rStyle w:val="Emphasis"/>
          <w:rFonts w:ascii="Times New Roman" w:hAnsi="Times New Roman" w:cs="Times New Roman"/>
          <w:sz w:val="24"/>
          <w:szCs w:val="24"/>
        </w:rPr>
        <w:t>Crop Management</w:t>
      </w:r>
      <w:r w:rsidRPr="00285358">
        <w:rPr>
          <w:rFonts w:ascii="Times New Roman" w:hAnsi="Times New Roman" w:cs="Times New Roman"/>
          <w:sz w:val="24"/>
          <w:szCs w:val="24"/>
        </w:rPr>
        <w:t xml:space="preserve">. </w:t>
      </w:r>
      <w:hyperlink r:id="rId27" w:tgtFrame="_new" w:history="1">
        <w:r w:rsidRPr="00285358">
          <w:rPr>
            <w:rStyle w:val="Hyperlink"/>
            <w:rFonts w:ascii="Times New Roman" w:hAnsi="Times New Roman" w:cs="Times New Roman"/>
            <w:sz w:val="24"/>
            <w:szCs w:val="24"/>
          </w:rPr>
          <w:t>https://doi.org/10.1094/CM-2004-0301-05-RV</w:t>
        </w:r>
      </w:hyperlink>
    </w:p>
    <w:p w14:paraId="7CAEA3CF" w14:textId="75DF6D01"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pt-BR"/>
        </w:rPr>
        <w:lastRenderedPageBreak/>
        <w:t xml:space="preserve">Ordookhani, K., Khavazi, K., Moezzi, A., &amp; Rejali, F. (2010). </w:t>
      </w:r>
      <w:r w:rsidRPr="00285358">
        <w:rPr>
          <w:rFonts w:ascii="Times New Roman" w:hAnsi="Times New Roman" w:cs="Times New Roman"/>
          <w:sz w:val="24"/>
          <w:szCs w:val="24"/>
        </w:rPr>
        <w:t xml:space="preserve">Influence of PGPR and arbuscular mycorrhizal fungi on antioxidant activity and nutrient uptake in chilli. </w:t>
      </w:r>
      <w:r w:rsidRPr="00285358">
        <w:rPr>
          <w:rStyle w:val="Emphasis"/>
          <w:rFonts w:ascii="Times New Roman" w:hAnsi="Times New Roman" w:cs="Times New Roman"/>
          <w:sz w:val="24"/>
          <w:szCs w:val="24"/>
        </w:rPr>
        <w:t>African Journal of Agricultural Research, 5</w:t>
      </w:r>
      <w:r w:rsidRPr="00285358">
        <w:rPr>
          <w:rFonts w:ascii="Times New Roman" w:hAnsi="Times New Roman" w:cs="Times New Roman"/>
          <w:sz w:val="24"/>
          <w:szCs w:val="24"/>
        </w:rPr>
        <w:t>(11), 1108–1116.</w:t>
      </w:r>
      <w:r w:rsidR="009B3FEA" w:rsidRPr="009B3FEA">
        <w:t xml:space="preserve"> </w:t>
      </w:r>
      <w:hyperlink r:id="rId28" w:history="1">
        <w:r w:rsidR="009B3FEA" w:rsidRPr="00893A86">
          <w:rPr>
            <w:rStyle w:val="Hyperlink"/>
            <w:rFonts w:ascii="Times New Roman" w:hAnsi="Times New Roman" w:cs="Times New Roman"/>
            <w:sz w:val="24"/>
            <w:szCs w:val="24"/>
          </w:rPr>
          <w:t>https://doi.org/10.1016/j.apsoil.2024.105416</w:t>
        </w:r>
      </w:hyperlink>
      <w:r w:rsidR="009B3FEA">
        <w:rPr>
          <w:rFonts w:ascii="Times New Roman" w:hAnsi="Times New Roman" w:cs="Times New Roman"/>
          <w:sz w:val="24"/>
          <w:szCs w:val="24"/>
        </w:rPr>
        <w:t xml:space="preserve"> </w:t>
      </w:r>
    </w:p>
    <w:p w14:paraId="05F94B94"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Shetty, G. P., Meghana, A., &amp; Shetty, M. G. (2025). Role of beneficial rhizobacteria in plant growth and soil fertility management. </w:t>
      </w:r>
      <w:r w:rsidRPr="00285358">
        <w:rPr>
          <w:rStyle w:val="Emphasis"/>
          <w:rFonts w:ascii="Times New Roman" w:hAnsi="Times New Roman" w:cs="Times New Roman"/>
          <w:sz w:val="24"/>
          <w:szCs w:val="24"/>
        </w:rPr>
        <w:t>International Journal of Agronomy, 2025</w:t>
      </w:r>
      <w:r w:rsidRPr="00285358">
        <w:rPr>
          <w:rFonts w:ascii="Times New Roman" w:hAnsi="Times New Roman" w:cs="Times New Roman"/>
          <w:sz w:val="24"/>
          <w:szCs w:val="24"/>
        </w:rPr>
        <w:t xml:space="preserve">, Article 885742. </w:t>
      </w:r>
      <w:hyperlink r:id="rId29" w:tgtFrame="_new" w:history="1">
        <w:r w:rsidRPr="00285358">
          <w:rPr>
            <w:rStyle w:val="Hyperlink"/>
            <w:rFonts w:ascii="Times New Roman" w:hAnsi="Times New Roman" w:cs="Times New Roman"/>
            <w:sz w:val="24"/>
            <w:szCs w:val="24"/>
          </w:rPr>
          <w:t>https://doi.org/10.1155/2025/885742</w:t>
        </w:r>
      </w:hyperlink>
    </w:p>
    <w:p w14:paraId="5535D074" w14:textId="3E37F685"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Shyam</w:t>
      </w:r>
      <w:proofErr w:type="spellEnd"/>
      <w:r w:rsidRPr="00285358">
        <w:rPr>
          <w:rFonts w:ascii="Times New Roman" w:hAnsi="Times New Roman" w:cs="Times New Roman"/>
          <w:sz w:val="24"/>
          <w:szCs w:val="24"/>
        </w:rPr>
        <w:t xml:space="preserve">, D., &amp; </w:t>
      </w:r>
      <w:proofErr w:type="spellStart"/>
      <w:r w:rsidRPr="00285358">
        <w:rPr>
          <w:rFonts w:ascii="Times New Roman" w:hAnsi="Times New Roman" w:cs="Times New Roman"/>
          <w:sz w:val="24"/>
          <w:szCs w:val="24"/>
        </w:rPr>
        <w:t>Narzary</w:t>
      </w:r>
      <w:proofErr w:type="spellEnd"/>
      <w:r w:rsidRPr="00285358">
        <w:rPr>
          <w:rFonts w:ascii="Times New Roman" w:hAnsi="Times New Roman" w:cs="Times New Roman"/>
          <w:sz w:val="24"/>
          <w:szCs w:val="24"/>
        </w:rPr>
        <w:t>, D. (2024). Evaluation of plant growth-promoting rhizobacteria on growth of chilli (</w:t>
      </w:r>
      <w:r w:rsidRPr="00285358">
        <w:rPr>
          <w:rStyle w:val="Emphasis"/>
          <w:rFonts w:ascii="Times New Roman" w:hAnsi="Times New Roman" w:cs="Times New Roman"/>
          <w:sz w:val="24"/>
          <w:szCs w:val="24"/>
        </w:rPr>
        <w:t>Capsicum annuum</w:t>
      </w:r>
      <w:r w:rsidRPr="00285358">
        <w:rPr>
          <w:rFonts w:ascii="Times New Roman" w:hAnsi="Times New Roman" w:cs="Times New Roman"/>
          <w:sz w:val="24"/>
          <w:szCs w:val="24"/>
        </w:rPr>
        <w:t xml:space="preserve"> L.) and </w:t>
      </w:r>
      <w:proofErr w:type="spellStart"/>
      <w:r w:rsidRPr="00285358">
        <w:rPr>
          <w:rFonts w:ascii="Times New Roman" w:hAnsi="Times New Roman" w:cs="Times New Roman"/>
          <w:sz w:val="24"/>
          <w:szCs w:val="24"/>
        </w:rPr>
        <w:t>brinjal</w:t>
      </w:r>
      <w:proofErr w:type="spellEnd"/>
      <w:r w:rsidRPr="00285358">
        <w:rPr>
          <w:rFonts w:ascii="Times New Roman" w:hAnsi="Times New Roman" w:cs="Times New Roman"/>
          <w:sz w:val="24"/>
          <w:szCs w:val="24"/>
        </w:rPr>
        <w:t xml:space="preserve"> (</w:t>
      </w:r>
      <w:proofErr w:type="spellStart"/>
      <w:r w:rsidRPr="00285358">
        <w:rPr>
          <w:rStyle w:val="Emphasis"/>
          <w:rFonts w:ascii="Times New Roman" w:hAnsi="Times New Roman" w:cs="Times New Roman"/>
          <w:sz w:val="24"/>
          <w:szCs w:val="24"/>
        </w:rPr>
        <w:t>Solanum</w:t>
      </w:r>
      <w:proofErr w:type="spellEnd"/>
      <w:r w:rsidRPr="00285358">
        <w:rPr>
          <w:rStyle w:val="Emphasis"/>
          <w:rFonts w:ascii="Times New Roman" w:hAnsi="Times New Roman" w:cs="Times New Roman"/>
          <w:sz w:val="24"/>
          <w:szCs w:val="24"/>
        </w:rPr>
        <w:t xml:space="preserve"> </w:t>
      </w:r>
      <w:proofErr w:type="spellStart"/>
      <w:r w:rsidRPr="00285358">
        <w:rPr>
          <w:rStyle w:val="Emphasis"/>
          <w:rFonts w:ascii="Times New Roman" w:hAnsi="Times New Roman" w:cs="Times New Roman"/>
          <w:sz w:val="24"/>
          <w:szCs w:val="24"/>
        </w:rPr>
        <w:t>melongena</w:t>
      </w:r>
      <w:proofErr w:type="spellEnd"/>
      <w:r w:rsidRPr="00285358">
        <w:rPr>
          <w:rFonts w:ascii="Times New Roman" w:hAnsi="Times New Roman" w:cs="Times New Roman"/>
          <w:sz w:val="24"/>
          <w:szCs w:val="24"/>
        </w:rPr>
        <w:t xml:space="preserve"> L.). </w:t>
      </w:r>
      <w:r w:rsidRPr="00285358">
        <w:rPr>
          <w:rStyle w:val="Emphasis"/>
          <w:rFonts w:ascii="Times New Roman" w:hAnsi="Times New Roman" w:cs="Times New Roman"/>
          <w:sz w:val="24"/>
          <w:szCs w:val="24"/>
        </w:rPr>
        <w:t>Academia Journal of Biology, 46</w:t>
      </w:r>
      <w:r w:rsidRPr="00285358">
        <w:rPr>
          <w:rFonts w:ascii="Times New Roman" w:hAnsi="Times New Roman" w:cs="Times New Roman"/>
          <w:sz w:val="24"/>
          <w:szCs w:val="24"/>
        </w:rPr>
        <w:t>(4), 145–158.</w:t>
      </w:r>
      <w:r w:rsidR="00B60E29" w:rsidRPr="00B60E29">
        <w:t xml:space="preserve"> </w:t>
      </w:r>
      <w:hyperlink r:id="rId30" w:history="1">
        <w:r w:rsidR="00B60E29" w:rsidRPr="00893A86">
          <w:rPr>
            <w:rStyle w:val="Hyperlink"/>
            <w:rFonts w:ascii="Times New Roman" w:hAnsi="Times New Roman" w:cs="Times New Roman"/>
            <w:sz w:val="24"/>
            <w:szCs w:val="24"/>
          </w:rPr>
          <w:t>https://doi.org/10.15625/2615-9023/21763</w:t>
        </w:r>
      </w:hyperlink>
      <w:r w:rsidR="00B60E29">
        <w:rPr>
          <w:rFonts w:ascii="Times New Roman" w:hAnsi="Times New Roman" w:cs="Times New Roman"/>
          <w:sz w:val="24"/>
          <w:szCs w:val="24"/>
        </w:rPr>
        <w:t xml:space="preserve"> </w:t>
      </w:r>
    </w:p>
    <w:p w14:paraId="74A2AAD2"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Vessey</w:t>
      </w:r>
      <w:proofErr w:type="spellEnd"/>
      <w:r w:rsidRPr="00285358">
        <w:rPr>
          <w:rFonts w:ascii="Times New Roman" w:hAnsi="Times New Roman" w:cs="Times New Roman"/>
          <w:sz w:val="24"/>
          <w:szCs w:val="24"/>
        </w:rPr>
        <w:t xml:space="preserve">, J. K. (2003). Plant growth-promoting rhizobacteria as biofertilizers. </w:t>
      </w:r>
      <w:r w:rsidRPr="00285358">
        <w:rPr>
          <w:rStyle w:val="Emphasis"/>
          <w:rFonts w:ascii="Times New Roman" w:hAnsi="Times New Roman" w:cs="Times New Roman"/>
          <w:sz w:val="24"/>
          <w:szCs w:val="24"/>
        </w:rPr>
        <w:t>Plant and Soil, 255</w:t>
      </w:r>
      <w:r w:rsidRPr="00285358">
        <w:rPr>
          <w:rFonts w:ascii="Times New Roman" w:hAnsi="Times New Roman" w:cs="Times New Roman"/>
          <w:sz w:val="24"/>
          <w:szCs w:val="24"/>
        </w:rPr>
        <w:t xml:space="preserve">(2), 571–586. </w:t>
      </w:r>
      <w:hyperlink r:id="rId31" w:tgtFrame="_new" w:history="1">
        <w:r w:rsidRPr="00285358">
          <w:rPr>
            <w:rStyle w:val="Hyperlink"/>
            <w:rFonts w:ascii="Times New Roman" w:hAnsi="Times New Roman" w:cs="Times New Roman"/>
            <w:sz w:val="24"/>
            <w:szCs w:val="24"/>
          </w:rPr>
          <w:t>https://doi.org/10.1023/A:1026037216893</w:t>
        </w:r>
      </w:hyperlink>
    </w:p>
    <w:p w14:paraId="326798C5" w14:textId="14CF6D59" w:rsidR="00C57E1A"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Yang, P., </w:t>
      </w:r>
      <w:proofErr w:type="spellStart"/>
      <w:r w:rsidRPr="00285358">
        <w:rPr>
          <w:rFonts w:ascii="Times New Roman" w:hAnsi="Times New Roman" w:cs="Times New Roman"/>
          <w:sz w:val="24"/>
          <w:szCs w:val="24"/>
        </w:rPr>
        <w:t>Condrich</w:t>
      </w:r>
      <w:proofErr w:type="spellEnd"/>
      <w:r w:rsidRPr="00285358">
        <w:rPr>
          <w:rFonts w:ascii="Times New Roman" w:hAnsi="Times New Roman" w:cs="Times New Roman"/>
          <w:sz w:val="24"/>
          <w:szCs w:val="24"/>
        </w:rPr>
        <w:t xml:space="preserve">, A., Scranton, S., </w:t>
      </w:r>
      <w:proofErr w:type="spellStart"/>
      <w:r w:rsidRPr="00285358">
        <w:rPr>
          <w:rFonts w:ascii="Times New Roman" w:hAnsi="Times New Roman" w:cs="Times New Roman"/>
          <w:sz w:val="24"/>
          <w:szCs w:val="24"/>
        </w:rPr>
        <w:t>Hebner</w:t>
      </w:r>
      <w:proofErr w:type="spellEnd"/>
      <w:r w:rsidRPr="00285358">
        <w:rPr>
          <w:rFonts w:ascii="Times New Roman" w:hAnsi="Times New Roman" w:cs="Times New Roman"/>
          <w:sz w:val="24"/>
          <w:szCs w:val="24"/>
        </w:rPr>
        <w:t xml:space="preserve">, C., Lu, L., &amp; Ali, M. A. (2024). Utilizing plant growth-promoting rhizobacteria to advance sustainable agriculture. </w:t>
      </w:r>
      <w:r w:rsidRPr="00285358">
        <w:rPr>
          <w:rStyle w:val="Emphasis"/>
          <w:rFonts w:ascii="Times New Roman" w:hAnsi="Times New Roman" w:cs="Times New Roman"/>
          <w:sz w:val="24"/>
          <w:szCs w:val="24"/>
        </w:rPr>
        <w:t>Bacteria, 3</w:t>
      </w:r>
      <w:r w:rsidRPr="00285358">
        <w:rPr>
          <w:rFonts w:ascii="Times New Roman" w:hAnsi="Times New Roman" w:cs="Times New Roman"/>
          <w:sz w:val="24"/>
          <w:szCs w:val="24"/>
        </w:rPr>
        <w:t xml:space="preserve">(4), 434–451. </w:t>
      </w:r>
      <w:hyperlink r:id="rId32" w:tgtFrame="_new" w:history="1">
        <w:r w:rsidRPr="00285358">
          <w:rPr>
            <w:rStyle w:val="Hyperlink"/>
            <w:rFonts w:ascii="Times New Roman" w:hAnsi="Times New Roman" w:cs="Times New Roman"/>
            <w:sz w:val="24"/>
            <w:szCs w:val="24"/>
          </w:rPr>
          <w:t>https://doi.org/10.3390/bacteria3040030</w:t>
        </w:r>
      </w:hyperlink>
    </w:p>
    <w:p w14:paraId="117F80F8" w14:textId="77777777" w:rsidR="002747E7" w:rsidRPr="003A56E0" w:rsidRDefault="002747E7" w:rsidP="00A3486D">
      <w:pPr>
        <w:pStyle w:val="ListParagraph"/>
        <w:spacing w:after="160" w:line="360" w:lineRule="auto"/>
        <w:ind w:left="-90" w:right="-691"/>
        <w:jc w:val="both"/>
        <w:rPr>
          <w:rFonts w:ascii="Times New Roman" w:hAnsi="Times New Roman" w:cs="Times New Roman"/>
          <w:sz w:val="24"/>
          <w:szCs w:val="24"/>
          <w:lang w:val="en-US"/>
        </w:rPr>
      </w:pPr>
    </w:p>
    <w:p w14:paraId="71E08E71" w14:textId="77777777" w:rsidR="00164354" w:rsidRPr="00DB64D1" w:rsidRDefault="00164354" w:rsidP="00DB64D1">
      <w:pPr>
        <w:rPr>
          <w:sz w:val="24"/>
          <w:szCs w:val="24"/>
        </w:rPr>
      </w:pPr>
      <w:bookmarkStart w:id="2" w:name="_GoBack"/>
      <w:bookmarkEnd w:id="2"/>
    </w:p>
    <w:sectPr w:rsidR="00164354" w:rsidRPr="00DB64D1" w:rsidSect="006F3DCB">
      <w:headerReference w:type="even" r:id="rId33"/>
      <w:headerReference w:type="default" r:id="rId34"/>
      <w:footerReference w:type="even" r:id="rId35"/>
      <w:footerReference w:type="default" r:id="rId36"/>
      <w:headerReference w:type="first" r:id="rId37"/>
      <w:footerReference w:type="first" r:id="rId38"/>
      <w:pgSz w:w="11909" w:h="16834" w:code="9"/>
      <w:pgMar w:top="1170" w:right="1728" w:bottom="1728" w:left="1872" w:header="1008"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2DD10" w14:textId="77777777" w:rsidR="00680CAD" w:rsidRDefault="00680CAD" w:rsidP="002F5A88">
      <w:pPr>
        <w:spacing w:after="0" w:line="240" w:lineRule="auto"/>
      </w:pPr>
      <w:r>
        <w:separator/>
      </w:r>
    </w:p>
  </w:endnote>
  <w:endnote w:type="continuationSeparator" w:id="0">
    <w:p w14:paraId="77BE6375" w14:textId="77777777" w:rsidR="00680CAD" w:rsidRDefault="00680CAD" w:rsidP="002F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ligrapher">
    <w:charset w:val="00"/>
    <w:family w:val="auto"/>
    <w:pitch w:val="variable"/>
    <w:sig w:usb0="00000083"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F5BE" w14:textId="77777777" w:rsidR="00611FAA" w:rsidRDefault="00611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52765" w14:textId="77777777" w:rsidR="00611FAA" w:rsidRDefault="00611F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254CC" w14:textId="77777777" w:rsidR="00611FAA" w:rsidRDefault="00611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891E6" w14:textId="77777777" w:rsidR="00680CAD" w:rsidRDefault="00680CAD" w:rsidP="002F5A88">
      <w:pPr>
        <w:spacing w:after="0" w:line="240" w:lineRule="auto"/>
      </w:pPr>
      <w:r>
        <w:separator/>
      </w:r>
    </w:p>
  </w:footnote>
  <w:footnote w:type="continuationSeparator" w:id="0">
    <w:p w14:paraId="57430291" w14:textId="77777777" w:rsidR="00680CAD" w:rsidRDefault="00680CAD" w:rsidP="002F5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08E7B" w14:textId="021EBA2E" w:rsidR="009B3FEA" w:rsidRDefault="00680CAD">
    <w:pPr>
      <w:pStyle w:val="Header"/>
      <w:framePr w:wrap="around" w:vAnchor="text" w:hAnchor="margin" w:xAlign="right" w:y="1"/>
      <w:rPr>
        <w:rStyle w:val="PageNumber"/>
      </w:rPr>
    </w:pPr>
    <w:r>
      <w:rPr>
        <w:noProof/>
      </w:rPr>
      <w:pict w14:anchorId="6EE92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19" o:spid="_x0000_s2050" type="#_x0000_t136" style="position:absolute;margin-left:0;margin-top:0;width:492.8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9B3FEA">
      <w:rPr>
        <w:rStyle w:val="PageNumber"/>
      </w:rPr>
      <w:fldChar w:fldCharType="begin"/>
    </w:r>
    <w:r w:rsidR="009B3FEA">
      <w:rPr>
        <w:rStyle w:val="PageNumber"/>
      </w:rPr>
      <w:instrText xml:space="preserve">PAGE  </w:instrText>
    </w:r>
    <w:r w:rsidR="009B3FEA">
      <w:rPr>
        <w:rStyle w:val="PageNumber"/>
      </w:rPr>
      <w:fldChar w:fldCharType="separate"/>
    </w:r>
    <w:r w:rsidR="009B3FEA">
      <w:rPr>
        <w:rStyle w:val="PageNumber"/>
        <w:noProof/>
      </w:rPr>
      <w:t>16</w:t>
    </w:r>
    <w:r w:rsidR="009B3FEA">
      <w:rPr>
        <w:rStyle w:val="PageNumber"/>
      </w:rPr>
      <w:fldChar w:fldCharType="end"/>
    </w:r>
  </w:p>
  <w:p w14:paraId="71E08E7C" w14:textId="77777777" w:rsidR="009B3FEA" w:rsidRDefault="009B3FE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E2A3E" w14:textId="22580DCC" w:rsidR="00611FAA" w:rsidRDefault="00680CAD">
    <w:pPr>
      <w:pStyle w:val="Header"/>
    </w:pPr>
    <w:r>
      <w:rPr>
        <w:noProof/>
      </w:rPr>
      <w:pict w14:anchorId="0D160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20" o:spid="_x0000_s2051" type="#_x0000_t136" style="position:absolute;margin-left:0;margin-top:0;width:492.8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AA8CB" w14:textId="427600CC" w:rsidR="00611FAA" w:rsidRDefault="00680CAD">
    <w:pPr>
      <w:pStyle w:val="Header"/>
    </w:pPr>
    <w:r>
      <w:rPr>
        <w:noProof/>
      </w:rPr>
      <w:pict w14:anchorId="08C9D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18" o:spid="_x0000_s2049" type="#_x0000_t136" style="position:absolute;margin-left:0;margin-top:0;width:492.8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74585"/>
    <w:multiLevelType w:val="multilevel"/>
    <w:tmpl w:val="4136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7F2CBF"/>
    <w:multiLevelType w:val="hybridMultilevel"/>
    <w:tmpl w:val="80D017B2"/>
    <w:lvl w:ilvl="0" w:tplc="8C20215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nsid w:val="5495256B"/>
    <w:multiLevelType w:val="hybridMultilevel"/>
    <w:tmpl w:val="AF12B5E8"/>
    <w:lvl w:ilvl="0" w:tplc="DE62F2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B3A"/>
    <w:rsid w:val="0000535D"/>
    <w:rsid w:val="000127AB"/>
    <w:rsid w:val="00023691"/>
    <w:rsid w:val="00025ABA"/>
    <w:rsid w:val="00031CF7"/>
    <w:rsid w:val="00033D4A"/>
    <w:rsid w:val="0003506C"/>
    <w:rsid w:val="000360D2"/>
    <w:rsid w:val="0004062C"/>
    <w:rsid w:val="00042B46"/>
    <w:rsid w:val="0004577A"/>
    <w:rsid w:val="00045A48"/>
    <w:rsid w:val="00052CD8"/>
    <w:rsid w:val="000554C1"/>
    <w:rsid w:val="00055F4F"/>
    <w:rsid w:val="00056303"/>
    <w:rsid w:val="000605BA"/>
    <w:rsid w:val="00067953"/>
    <w:rsid w:val="00071A21"/>
    <w:rsid w:val="000750E8"/>
    <w:rsid w:val="00077980"/>
    <w:rsid w:val="000827EA"/>
    <w:rsid w:val="000862BA"/>
    <w:rsid w:val="000864B0"/>
    <w:rsid w:val="000A6134"/>
    <w:rsid w:val="000A6AEF"/>
    <w:rsid w:val="000A760B"/>
    <w:rsid w:val="000B242C"/>
    <w:rsid w:val="000B5C08"/>
    <w:rsid w:val="000C0AED"/>
    <w:rsid w:val="000C2316"/>
    <w:rsid w:val="000C35F3"/>
    <w:rsid w:val="000C6067"/>
    <w:rsid w:val="000C78C7"/>
    <w:rsid w:val="000D64A6"/>
    <w:rsid w:val="000E2C4D"/>
    <w:rsid w:val="000E53DB"/>
    <w:rsid w:val="000E607A"/>
    <w:rsid w:val="000F3A3D"/>
    <w:rsid w:val="00102FE5"/>
    <w:rsid w:val="00105DB1"/>
    <w:rsid w:val="00106F8E"/>
    <w:rsid w:val="0011016B"/>
    <w:rsid w:val="00125E0F"/>
    <w:rsid w:val="00130BF4"/>
    <w:rsid w:val="0014364F"/>
    <w:rsid w:val="001463A1"/>
    <w:rsid w:val="00147EF0"/>
    <w:rsid w:val="00147FA5"/>
    <w:rsid w:val="0015202F"/>
    <w:rsid w:val="001524CA"/>
    <w:rsid w:val="0015374A"/>
    <w:rsid w:val="00154620"/>
    <w:rsid w:val="0016239E"/>
    <w:rsid w:val="00162B50"/>
    <w:rsid w:val="001633CD"/>
    <w:rsid w:val="001636AE"/>
    <w:rsid w:val="00164354"/>
    <w:rsid w:val="00166B8B"/>
    <w:rsid w:val="00171758"/>
    <w:rsid w:val="00175508"/>
    <w:rsid w:val="00181342"/>
    <w:rsid w:val="0018159A"/>
    <w:rsid w:val="00191241"/>
    <w:rsid w:val="00192C38"/>
    <w:rsid w:val="001A61C7"/>
    <w:rsid w:val="001B2184"/>
    <w:rsid w:val="001B278B"/>
    <w:rsid w:val="001B327A"/>
    <w:rsid w:val="001C30BD"/>
    <w:rsid w:val="001C7604"/>
    <w:rsid w:val="001D2F12"/>
    <w:rsid w:val="001E6D9F"/>
    <w:rsid w:val="001F5DA9"/>
    <w:rsid w:val="001F63E4"/>
    <w:rsid w:val="001F6CA8"/>
    <w:rsid w:val="001F7698"/>
    <w:rsid w:val="002007A6"/>
    <w:rsid w:val="002067CE"/>
    <w:rsid w:val="0021000B"/>
    <w:rsid w:val="00210F26"/>
    <w:rsid w:val="00211193"/>
    <w:rsid w:val="00213043"/>
    <w:rsid w:val="00221A09"/>
    <w:rsid w:val="00231B38"/>
    <w:rsid w:val="00236BE2"/>
    <w:rsid w:val="002436AD"/>
    <w:rsid w:val="00255E1C"/>
    <w:rsid w:val="00256324"/>
    <w:rsid w:val="00256E2B"/>
    <w:rsid w:val="00264F53"/>
    <w:rsid w:val="00270194"/>
    <w:rsid w:val="002711C4"/>
    <w:rsid w:val="002747E7"/>
    <w:rsid w:val="0027657D"/>
    <w:rsid w:val="00282771"/>
    <w:rsid w:val="00283549"/>
    <w:rsid w:val="0028439B"/>
    <w:rsid w:val="00285358"/>
    <w:rsid w:val="0029455B"/>
    <w:rsid w:val="0029530B"/>
    <w:rsid w:val="00295EDD"/>
    <w:rsid w:val="002B2D1F"/>
    <w:rsid w:val="002C17E7"/>
    <w:rsid w:val="002C2A39"/>
    <w:rsid w:val="002C582B"/>
    <w:rsid w:val="002C6570"/>
    <w:rsid w:val="002D02B4"/>
    <w:rsid w:val="002D134F"/>
    <w:rsid w:val="002D38FB"/>
    <w:rsid w:val="002D70C0"/>
    <w:rsid w:val="002E03DD"/>
    <w:rsid w:val="002F0F49"/>
    <w:rsid w:val="002F335C"/>
    <w:rsid w:val="002F5A88"/>
    <w:rsid w:val="003149C6"/>
    <w:rsid w:val="003179E6"/>
    <w:rsid w:val="00323AC0"/>
    <w:rsid w:val="00327430"/>
    <w:rsid w:val="00337274"/>
    <w:rsid w:val="00341620"/>
    <w:rsid w:val="00347C51"/>
    <w:rsid w:val="00354015"/>
    <w:rsid w:val="0036080B"/>
    <w:rsid w:val="003612BB"/>
    <w:rsid w:val="00362E33"/>
    <w:rsid w:val="00364E4C"/>
    <w:rsid w:val="00380612"/>
    <w:rsid w:val="003835BD"/>
    <w:rsid w:val="0038642D"/>
    <w:rsid w:val="0038710C"/>
    <w:rsid w:val="00393F47"/>
    <w:rsid w:val="003A34C9"/>
    <w:rsid w:val="003A56E0"/>
    <w:rsid w:val="003B0D48"/>
    <w:rsid w:val="003C1BFB"/>
    <w:rsid w:val="003D3BC2"/>
    <w:rsid w:val="003D7D9B"/>
    <w:rsid w:val="003E066F"/>
    <w:rsid w:val="003E0D4A"/>
    <w:rsid w:val="003F0F24"/>
    <w:rsid w:val="003F4FF4"/>
    <w:rsid w:val="003F59CC"/>
    <w:rsid w:val="00407DCE"/>
    <w:rsid w:val="004177E0"/>
    <w:rsid w:val="00421733"/>
    <w:rsid w:val="004273D1"/>
    <w:rsid w:val="00427799"/>
    <w:rsid w:val="004415B0"/>
    <w:rsid w:val="00445701"/>
    <w:rsid w:val="00445889"/>
    <w:rsid w:val="00456BA5"/>
    <w:rsid w:val="004645F8"/>
    <w:rsid w:val="0047114D"/>
    <w:rsid w:val="00471C64"/>
    <w:rsid w:val="00472F39"/>
    <w:rsid w:val="004738EC"/>
    <w:rsid w:val="00474266"/>
    <w:rsid w:val="0047560F"/>
    <w:rsid w:val="00476136"/>
    <w:rsid w:val="00485F52"/>
    <w:rsid w:val="00491870"/>
    <w:rsid w:val="00495510"/>
    <w:rsid w:val="004A3478"/>
    <w:rsid w:val="004A47BB"/>
    <w:rsid w:val="004A703D"/>
    <w:rsid w:val="004C137D"/>
    <w:rsid w:val="004C2AC9"/>
    <w:rsid w:val="004C35B9"/>
    <w:rsid w:val="004C6541"/>
    <w:rsid w:val="004D2FDA"/>
    <w:rsid w:val="004D3318"/>
    <w:rsid w:val="004D5036"/>
    <w:rsid w:val="004D7AE6"/>
    <w:rsid w:val="004E332E"/>
    <w:rsid w:val="004E6946"/>
    <w:rsid w:val="004E6D25"/>
    <w:rsid w:val="004F2534"/>
    <w:rsid w:val="004F39A1"/>
    <w:rsid w:val="004F6E5D"/>
    <w:rsid w:val="005015A3"/>
    <w:rsid w:val="0051194F"/>
    <w:rsid w:val="00521051"/>
    <w:rsid w:val="005222F9"/>
    <w:rsid w:val="00536D8E"/>
    <w:rsid w:val="00547A51"/>
    <w:rsid w:val="00554A09"/>
    <w:rsid w:val="005720DE"/>
    <w:rsid w:val="00577442"/>
    <w:rsid w:val="0058196C"/>
    <w:rsid w:val="0058514E"/>
    <w:rsid w:val="0058622C"/>
    <w:rsid w:val="005869A6"/>
    <w:rsid w:val="0059587A"/>
    <w:rsid w:val="005A40E9"/>
    <w:rsid w:val="005A5959"/>
    <w:rsid w:val="005A66FB"/>
    <w:rsid w:val="005B17F5"/>
    <w:rsid w:val="005B6B8B"/>
    <w:rsid w:val="005C085B"/>
    <w:rsid w:val="005D0079"/>
    <w:rsid w:val="005D43AD"/>
    <w:rsid w:val="005D66B7"/>
    <w:rsid w:val="005E61C3"/>
    <w:rsid w:val="006006BF"/>
    <w:rsid w:val="00602419"/>
    <w:rsid w:val="00607354"/>
    <w:rsid w:val="006108F3"/>
    <w:rsid w:val="00611FAA"/>
    <w:rsid w:val="006142A6"/>
    <w:rsid w:val="00615AAD"/>
    <w:rsid w:val="00616D6D"/>
    <w:rsid w:val="00621A07"/>
    <w:rsid w:val="006260E8"/>
    <w:rsid w:val="00627318"/>
    <w:rsid w:val="00631D49"/>
    <w:rsid w:val="00646F85"/>
    <w:rsid w:val="006518A0"/>
    <w:rsid w:val="00664774"/>
    <w:rsid w:val="006664D6"/>
    <w:rsid w:val="00666F84"/>
    <w:rsid w:val="00670999"/>
    <w:rsid w:val="0067145B"/>
    <w:rsid w:val="00671811"/>
    <w:rsid w:val="00673A72"/>
    <w:rsid w:val="00673A8A"/>
    <w:rsid w:val="006801E3"/>
    <w:rsid w:val="00680CAD"/>
    <w:rsid w:val="006815D9"/>
    <w:rsid w:val="00686670"/>
    <w:rsid w:val="006910E5"/>
    <w:rsid w:val="006933DF"/>
    <w:rsid w:val="006947F4"/>
    <w:rsid w:val="0069498C"/>
    <w:rsid w:val="006B2F42"/>
    <w:rsid w:val="006C1B34"/>
    <w:rsid w:val="006C2105"/>
    <w:rsid w:val="006D48E7"/>
    <w:rsid w:val="006D69B7"/>
    <w:rsid w:val="006E1323"/>
    <w:rsid w:val="006E14C1"/>
    <w:rsid w:val="006E5160"/>
    <w:rsid w:val="006F23DF"/>
    <w:rsid w:val="006F39A4"/>
    <w:rsid w:val="006F3DCB"/>
    <w:rsid w:val="006F721A"/>
    <w:rsid w:val="00700C13"/>
    <w:rsid w:val="00702284"/>
    <w:rsid w:val="00702A82"/>
    <w:rsid w:val="0070478B"/>
    <w:rsid w:val="007126A0"/>
    <w:rsid w:val="00712F75"/>
    <w:rsid w:val="007152D3"/>
    <w:rsid w:val="00717A79"/>
    <w:rsid w:val="00722352"/>
    <w:rsid w:val="00722B6D"/>
    <w:rsid w:val="00730917"/>
    <w:rsid w:val="007311AC"/>
    <w:rsid w:val="00736D69"/>
    <w:rsid w:val="00743B7A"/>
    <w:rsid w:val="00750A45"/>
    <w:rsid w:val="00766CB6"/>
    <w:rsid w:val="00770FE4"/>
    <w:rsid w:val="0078623C"/>
    <w:rsid w:val="007877E7"/>
    <w:rsid w:val="00794A34"/>
    <w:rsid w:val="007959CF"/>
    <w:rsid w:val="007A4721"/>
    <w:rsid w:val="007B1770"/>
    <w:rsid w:val="007B1CDA"/>
    <w:rsid w:val="007B232A"/>
    <w:rsid w:val="007B396F"/>
    <w:rsid w:val="007B54C9"/>
    <w:rsid w:val="007B75AE"/>
    <w:rsid w:val="007C02A7"/>
    <w:rsid w:val="007C44DA"/>
    <w:rsid w:val="007C7E64"/>
    <w:rsid w:val="007E0E9C"/>
    <w:rsid w:val="007E30D9"/>
    <w:rsid w:val="007F51A0"/>
    <w:rsid w:val="007F794B"/>
    <w:rsid w:val="007F7F33"/>
    <w:rsid w:val="0080785F"/>
    <w:rsid w:val="00811B88"/>
    <w:rsid w:val="008222B5"/>
    <w:rsid w:val="0082378F"/>
    <w:rsid w:val="00833D38"/>
    <w:rsid w:val="008373DB"/>
    <w:rsid w:val="0083771C"/>
    <w:rsid w:val="008400B8"/>
    <w:rsid w:val="008424FA"/>
    <w:rsid w:val="00842793"/>
    <w:rsid w:val="0085249A"/>
    <w:rsid w:val="008615D1"/>
    <w:rsid w:val="008615F5"/>
    <w:rsid w:val="00865DD8"/>
    <w:rsid w:val="008736F6"/>
    <w:rsid w:val="00877B5C"/>
    <w:rsid w:val="00881068"/>
    <w:rsid w:val="008865CB"/>
    <w:rsid w:val="008922FC"/>
    <w:rsid w:val="008A0FC5"/>
    <w:rsid w:val="008A261A"/>
    <w:rsid w:val="008A4B1F"/>
    <w:rsid w:val="008B100F"/>
    <w:rsid w:val="008B4BCB"/>
    <w:rsid w:val="008B770A"/>
    <w:rsid w:val="008B7D0A"/>
    <w:rsid w:val="008C2E0D"/>
    <w:rsid w:val="008C4271"/>
    <w:rsid w:val="008C57E3"/>
    <w:rsid w:val="008C7D56"/>
    <w:rsid w:val="008E1009"/>
    <w:rsid w:val="008F6571"/>
    <w:rsid w:val="008F6C99"/>
    <w:rsid w:val="008F7A3C"/>
    <w:rsid w:val="009111B5"/>
    <w:rsid w:val="00912D10"/>
    <w:rsid w:val="009149FD"/>
    <w:rsid w:val="00915C00"/>
    <w:rsid w:val="00915FDF"/>
    <w:rsid w:val="0093083F"/>
    <w:rsid w:val="00930DAD"/>
    <w:rsid w:val="00931EEE"/>
    <w:rsid w:val="0093258B"/>
    <w:rsid w:val="00940274"/>
    <w:rsid w:val="00940318"/>
    <w:rsid w:val="00940649"/>
    <w:rsid w:val="009424CE"/>
    <w:rsid w:val="009431BE"/>
    <w:rsid w:val="0095170F"/>
    <w:rsid w:val="00952500"/>
    <w:rsid w:val="00953492"/>
    <w:rsid w:val="00957AF5"/>
    <w:rsid w:val="00960E0E"/>
    <w:rsid w:val="00963B8B"/>
    <w:rsid w:val="00970C8A"/>
    <w:rsid w:val="00972E12"/>
    <w:rsid w:val="009748E4"/>
    <w:rsid w:val="00977F42"/>
    <w:rsid w:val="00980801"/>
    <w:rsid w:val="00987D1F"/>
    <w:rsid w:val="00990031"/>
    <w:rsid w:val="00992A6F"/>
    <w:rsid w:val="0099397D"/>
    <w:rsid w:val="00993BF0"/>
    <w:rsid w:val="00993E44"/>
    <w:rsid w:val="009A1ECC"/>
    <w:rsid w:val="009A4E1B"/>
    <w:rsid w:val="009A5C2B"/>
    <w:rsid w:val="009A5D36"/>
    <w:rsid w:val="009A7030"/>
    <w:rsid w:val="009A7B68"/>
    <w:rsid w:val="009B3F6D"/>
    <w:rsid w:val="009B3FEA"/>
    <w:rsid w:val="009B5582"/>
    <w:rsid w:val="009B5B50"/>
    <w:rsid w:val="009C72F5"/>
    <w:rsid w:val="009E0ECF"/>
    <w:rsid w:val="009E1917"/>
    <w:rsid w:val="009E22E3"/>
    <w:rsid w:val="009F1CCF"/>
    <w:rsid w:val="00A04AA5"/>
    <w:rsid w:val="00A06998"/>
    <w:rsid w:val="00A13ADB"/>
    <w:rsid w:val="00A21165"/>
    <w:rsid w:val="00A2769D"/>
    <w:rsid w:val="00A338A0"/>
    <w:rsid w:val="00A3486D"/>
    <w:rsid w:val="00A36FEE"/>
    <w:rsid w:val="00A4162C"/>
    <w:rsid w:val="00A47CCE"/>
    <w:rsid w:val="00A47EA6"/>
    <w:rsid w:val="00A54FCE"/>
    <w:rsid w:val="00A5705F"/>
    <w:rsid w:val="00A5772C"/>
    <w:rsid w:val="00A63068"/>
    <w:rsid w:val="00A651C8"/>
    <w:rsid w:val="00A65E5E"/>
    <w:rsid w:val="00A6789F"/>
    <w:rsid w:val="00A7024C"/>
    <w:rsid w:val="00A82555"/>
    <w:rsid w:val="00A83929"/>
    <w:rsid w:val="00A84C8B"/>
    <w:rsid w:val="00A978A4"/>
    <w:rsid w:val="00AA1772"/>
    <w:rsid w:val="00AA280B"/>
    <w:rsid w:val="00AB048B"/>
    <w:rsid w:val="00AB05F5"/>
    <w:rsid w:val="00AB07F6"/>
    <w:rsid w:val="00AB0C12"/>
    <w:rsid w:val="00AB5C07"/>
    <w:rsid w:val="00AB633F"/>
    <w:rsid w:val="00AB751D"/>
    <w:rsid w:val="00AC34F0"/>
    <w:rsid w:val="00AC5743"/>
    <w:rsid w:val="00AD4276"/>
    <w:rsid w:val="00AD6FCD"/>
    <w:rsid w:val="00AD7F63"/>
    <w:rsid w:val="00AE0677"/>
    <w:rsid w:val="00AE0EC7"/>
    <w:rsid w:val="00AE2712"/>
    <w:rsid w:val="00AE2831"/>
    <w:rsid w:val="00AE2B5A"/>
    <w:rsid w:val="00AE5B57"/>
    <w:rsid w:val="00AE72EC"/>
    <w:rsid w:val="00AE7A6D"/>
    <w:rsid w:val="00AF2AF0"/>
    <w:rsid w:val="00AF669D"/>
    <w:rsid w:val="00B00D22"/>
    <w:rsid w:val="00B04D97"/>
    <w:rsid w:val="00B05227"/>
    <w:rsid w:val="00B10597"/>
    <w:rsid w:val="00B1166C"/>
    <w:rsid w:val="00B137E6"/>
    <w:rsid w:val="00B139FA"/>
    <w:rsid w:val="00B30C66"/>
    <w:rsid w:val="00B325AA"/>
    <w:rsid w:val="00B35927"/>
    <w:rsid w:val="00B35CBD"/>
    <w:rsid w:val="00B35E0F"/>
    <w:rsid w:val="00B36986"/>
    <w:rsid w:val="00B377F1"/>
    <w:rsid w:val="00B41613"/>
    <w:rsid w:val="00B5238A"/>
    <w:rsid w:val="00B577A8"/>
    <w:rsid w:val="00B60E29"/>
    <w:rsid w:val="00B65F2F"/>
    <w:rsid w:val="00B70320"/>
    <w:rsid w:val="00B71E4E"/>
    <w:rsid w:val="00B77C15"/>
    <w:rsid w:val="00B855D3"/>
    <w:rsid w:val="00B938C1"/>
    <w:rsid w:val="00B9759C"/>
    <w:rsid w:val="00B97D40"/>
    <w:rsid w:val="00BA0136"/>
    <w:rsid w:val="00BA0D0D"/>
    <w:rsid w:val="00BA4021"/>
    <w:rsid w:val="00BC0056"/>
    <w:rsid w:val="00BC0AD4"/>
    <w:rsid w:val="00BC0F79"/>
    <w:rsid w:val="00BC2DED"/>
    <w:rsid w:val="00BC3BCC"/>
    <w:rsid w:val="00BD1CDE"/>
    <w:rsid w:val="00BD38C9"/>
    <w:rsid w:val="00BD61E4"/>
    <w:rsid w:val="00BE08C3"/>
    <w:rsid w:val="00BE3333"/>
    <w:rsid w:val="00BE56D0"/>
    <w:rsid w:val="00BF0634"/>
    <w:rsid w:val="00BF1475"/>
    <w:rsid w:val="00C004C0"/>
    <w:rsid w:val="00C0526A"/>
    <w:rsid w:val="00C1793A"/>
    <w:rsid w:val="00C213DE"/>
    <w:rsid w:val="00C24372"/>
    <w:rsid w:val="00C300DD"/>
    <w:rsid w:val="00C40E0D"/>
    <w:rsid w:val="00C420EB"/>
    <w:rsid w:val="00C479C8"/>
    <w:rsid w:val="00C47F17"/>
    <w:rsid w:val="00C516A5"/>
    <w:rsid w:val="00C52BDF"/>
    <w:rsid w:val="00C55959"/>
    <w:rsid w:val="00C55CF0"/>
    <w:rsid w:val="00C55DE1"/>
    <w:rsid w:val="00C57E1A"/>
    <w:rsid w:val="00C60889"/>
    <w:rsid w:val="00C65283"/>
    <w:rsid w:val="00C6653C"/>
    <w:rsid w:val="00C66A47"/>
    <w:rsid w:val="00C71B80"/>
    <w:rsid w:val="00C71D54"/>
    <w:rsid w:val="00C72FC6"/>
    <w:rsid w:val="00C73691"/>
    <w:rsid w:val="00C7691E"/>
    <w:rsid w:val="00C77A92"/>
    <w:rsid w:val="00C81FB1"/>
    <w:rsid w:val="00C853ED"/>
    <w:rsid w:val="00C876A1"/>
    <w:rsid w:val="00C87F00"/>
    <w:rsid w:val="00C905B4"/>
    <w:rsid w:val="00C934CB"/>
    <w:rsid w:val="00C9505E"/>
    <w:rsid w:val="00C977F4"/>
    <w:rsid w:val="00CA15BA"/>
    <w:rsid w:val="00CA1F85"/>
    <w:rsid w:val="00CB22FC"/>
    <w:rsid w:val="00CB4DEE"/>
    <w:rsid w:val="00CD0FD5"/>
    <w:rsid w:val="00CD119E"/>
    <w:rsid w:val="00CD3DD8"/>
    <w:rsid w:val="00CD5C50"/>
    <w:rsid w:val="00CE13A2"/>
    <w:rsid w:val="00CE32A4"/>
    <w:rsid w:val="00CE5451"/>
    <w:rsid w:val="00CF0003"/>
    <w:rsid w:val="00CF73E3"/>
    <w:rsid w:val="00D00E1A"/>
    <w:rsid w:val="00D148D4"/>
    <w:rsid w:val="00D14F7C"/>
    <w:rsid w:val="00D17AE4"/>
    <w:rsid w:val="00D26971"/>
    <w:rsid w:val="00D31A02"/>
    <w:rsid w:val="00D34B3A"/>
    <w:rsid w:val="00D435A7"/>
    <w:rsid w:val="00D53791"/>
    <w:rsid w:val="00D619F1"/>
    <w:rsid w:val="00D64FEA"/>
    <w:rsid w:val="00D667DA"/>
    <w:rsid w:val="00D7097F"/>
    <w:rsid w:val="00D72899"/>
    <w:rsid w:val="00D755C4"/>
    <w:rsid w:val="00D97464"/>
    <w:rsid w:val="00DA1340"/>
    <w:rsid w:val="00DA3FEF"/>
    <w:rsid w:val="00DA5A1F"/>
    <w:rsid w:val="00DB245C"/>
    <w:rsid w:val="00DB371F"/>
    <w:rsid w:val="00DB4620"/>
    <w:rsid w:val="00DB63ED"/>
    <w:rsid w:val="00DB64D1"/>
    <w:rsid w:val="00DB6F9E"/>
    <w:rsid w:val="00DC2D28"/>
    <w:rsid w:val="00DC3B28"/>
    <w:rsid w:val="00DD1C3A"/>
    <w:rsid w:val="00DD1EC2"/>
    <w:rsid w:val="00DD4964"/>
    <w:rsid w:val="00DD5D52"/>
    <w:rsid w:val="00DD63AA"/>
    <w:rsid w:val="00DE38AC"/>
    <w:rsid w:val="00DE3B83"/>
    <w:rsid w:val="00DF2A22"/>
    <w:rsid w:val="00DF40A5"/>
    <w:rsid w:val="00DF46D6"/>
    <w:rsid w:val="00E0394A"/>
    <w:rsid w:val="00E21263"/>
    <w:rsid w:val="00E21DAC"/>
    <w:rsid w:val="00E24E4E"/>
    <w:rsid w:val="00E30417"/>
    <w:rsid w:val="00E36648"/>
    <w:rsid w:val="00E36A05"/>
    <w:rsid w:val="00E3734B"/>
    <w:rsid w:val="00E42ECE"/>
    <w:rsid w:val="00E459AF"/>
    <w:rsid w:val="00E50637"/>
    <w:rsid w:val="00E564F9"/>
    <w:rsid w:val="00E62259"/>
    <w:rsid w:val="00E63317"/>
    <w:rsid w:val="00E655CE"/>
    <w:rsid w:val="00E6659D"/>
    <w:rsid w:val="00E7156E"/>
    <w:rsid w:val="00E779BF"/>
    <w:rsid w:val="00E77BA4"/>
    <w:rsid w:val="00E84379"/>
    <w:rsid w:val="00EB0444"/>
    <w:rsid w:val="00EB0475"/>
    <w:rsid w:val="00EB51BF"/>
    <w:rsid w:val="00EC0D8B"/>
    <w:rsid w:val="00EC15B4"/>
    <w:rsid w:val="00EC2177"/>
    <w:rsid w:val="00ED7323"/>
    <w:rsid w:val="00ED7B75"/>
    <w:rsid w:val="00EE67BD"/>
    <w:rsid w:val="00EF695D"/>
    <w:rsid w:val="00EF7841"/>
    <w:rsid w:val="00F042BA"/>
    <w:rsid w:val="00F1014B"/>
    <w:rsid w:val="00F17BCF"/>
    <w:rsid w:val="00F22AF7"/>
    <w:rsid w:val="00F32640"/>
    <w:rsid w:val="00F33729"/>
    <w:rsid w:val="00F362FE"/>
    <w:rsid w:val="00F37470"/>
    <w:rsid w:val="00F37687"/>
    <w:rsid w:val="00F40036"/>
    <w:rsid w:val="00F472BF"/>
    <w:rsid w:val="00F508F8"/>
    <w:rsid w:val="00F56AE8"/>
    <w:rsid w:val="00F57A6A"/>
    <w:rsid w:val="00F649DE"/>
    <w:rsid w:val="00F701EA"/>
    <w:rsid w:val="00F72436"/>
    <w:rsid w:val="00F75612"/>
    <w:rsid w:val="00F826FD"/>
    <w:rsid w:val="00F90A7B"/>
    <w:rsid w:val="00F91937"/>
    <w:rsid w:val="00F9461D"/>
    <w:rsid w:val="00F97CFC"/>
    <w:rsid w:val="00FB2709"/>
    <w:rsid w:val="00FB3687"/>
    <w:rsid w:val="00FB6BC7"/>
    <w:rsid w:val="00FB7005"/>
    <w:rsid w:val="00FC10FF"/>
    <w:rsid w:val="00FC4037"/>
    <w:rsid w:val="00FC4CCD"/>
    <w:rsid w:val="00FD163C"/>
    <w:rsid w:val="00FD183A"/>
    <w:rsid w:val="00FD1C0A"/>
    <w:rsid w:val="00FE33D6"/>
    <w:rsid w:val="00FE3A91"/>
    <w:rsid w:val="00FE5140"/>
    <w:rsid w:val="00FF501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0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3A"/>
    <w:rPr>
      <w:rFonts w:eastAsiaTheme="minorEastAsia"/>
      <w:lang w:val="en-IN" w:eastAsia="en-IN"/>
    </w:rPr>
  </w:style>
  <w:style w:type="paragraph" w:styleId="Heading1">
    <w:name w:val="heading 1"/>
    <w:basedOn w:val="Normal"/>
    <w:next w:val="Normal"/>
    <w:link w:val="Heading1Char"/>
    <w:uiPriority w:val="9"/>
    <w:qFormat/>
    <w:rsid w:val="009A5D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B64D1"/>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B35E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3A"/>
    <w:rPr>
      <w:rFonts w:ascii="Tahoma" w:eastAsiaTheme="minorEastAsia" w:hAnsi="Tahoma" w:cs="Tahoma"/>
      <w:sz w:val="16"/>
      <w:szCs w:val="16"/>
      <w:lang w:val="en-IN" w:eastAsia="en-IN"/>
    </w:rPr>
  </w:style>
  <w:style w:type="paragraph" w:customStyle="1" w:styleId="CtrlF9-Title">
    <w:name w:val="Ctrl F9-Title"/>
    <w:rsid w:val="00B855D3"/>
    <w:pPr>
      <w:keepNext/>
      <w:spacing w:after="840" w:line="240" w:lineRule="auto"/>
      <w:jc w:val="center"/>
    </w:pPr>
    <w:rPr>
      <w:rFonts w:ascii="Calligrapher" w:eastAsia="Times New Roman" w:hAnsi="Calligrapher" w:cs="Times New Roman"/>
      <w:b/>
      <w:sz w:val="36"/>
      <w:szCs w:val="20"/>
    </w:rPr>
  </w:style>
  <w:style w:type="paragraph" w:customStyle="1" w:styleId="CtrlF2-BodyText">
    <w:name w:val="Ctrl F2-Body Text"/>
    <w:rsid w:val="00B855D3"/>
    <w:pPr>
      <w:spacing w:after="360" w:line="480" w:lineRule="auto"/>
      <w:ind w:firstLine="1296"/>
      <w:jc w:val="both"/>
    </w:pPr>
    <w:rPr>
      <w:rFonts w:ascii="Bookman Old Style" w:eastAsia="Times New Roman" w:hAnsi="Bookman Old Style" w:cs="Times New Roman"/>
      <w:sz w:val="26"/>
      <w:szCs w:val="20"/>
    </w:rPr>
  </w:style>
  <w:style w:type="paragraph" w:styleId="Header">
    <w:name w:val="header"/>
    <w:basedOn w:val="Normal"/>
    <w:link w:val="HeaderChar"/>
    <w:semiHidden/>
    <w:rsid w:val="00B855D3"/>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semiHidden/>
    <w:rsid w:val="00B855D3"/>
    <w:rPr>
      <w:rFonts w:ascii="Times New Roman" w:eastAsia="Times New Roman" w:hAnsi="Times New Roman" w:cs="Times New Roman"/>
      <w:sz w:val="24"/>
      <w:szCs w:val="24"/>
    </w:rPr>
  </w:style>
  <w:style w:type="character" w:styleId="PageNumber">
    <w:name w:val="page number"/>
    <w:basedOn w:val="DefaultParagraphFont"/>
    <w:semiHidden/>
    <w:rsid w:val="00B855D3"/>
  </w:style>
  <w:style w:type="paragraph" w:styleId="Footer">
    <w:name w:val="footer"/>
    <w:basedOn w:val="Normal"/>
    <w:link w:val="FooterChar"/>
    <w:uiPriority w:val="99"/>
    <w:unhideWhenUsed/>
    <w:rsid w:val="003E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66F"/>
    <w:rPr>
      <w:rFonts w:eastAsiaTheme="minorEastAsia"/>
      <w:lang w:val="en-IN" w:eastAsia="en-IN"/>
    </w:rPr>
  </w:style>
  <w:style w:type="table" w:styleId="TableGrid">
    <w:name w:val="Table Grid"/>
    <w:basedOn w:val="TableNormal"/>
    <w:uiPriority w:val="59"/>
    <w:rsid w:val="0082378F"/>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073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rsid w:val="009A5C2B"/>
    <w:pPr>
      <w:spacing w:after="0" w:line="480" w:lineRule="auto"/>
      <w:ind w:firstLine="720"/>
      <w:jc w:val="both"/>
    </w:pPr>
    <w:rPr>
      <w:rFonts w:ascii="Times New Roman" w:eastAsia="Times New Roman" w:hAnsi="Times New Roman" w:cs="Times New Roman"/>
      <w:sz w:val="26"/>
      <w:szCs w:val="20"/>
      <w:lang w:val="en-US" w:eastAsia="en-US"/>
    </w:rPr>
  </w:style>
  <w:style w:type="character" w:customStyle="1" w:styleId="BodyTextIndentChar">
    <w:name w:val="Body Text Indent Char"/>
    <w:basedOn w:val="DefaultParagraphFont"/>
    <w:link w:val="BodyTextIndent"/>
    <w:rsid w:val="009A5C2B"/>
    <w:rPr>
      <w:rFonts w:ascii="Times New Roman" w:eastAsia="Times New Roman" w:hAnsi="Times New Roman" w:cs="Times New Roman"/>
      <w:sz w:val="26"/>
      <w:szCs w:val="20"/>
    </w:rPr>
  </w:style>
  <w:style w:type="character" w:customStyle="1" w:styleId="Heading10">
    <w:name w:val="Heading #1_"/>
    <w:basedOn w:val="DefaultParagraphFont"/>
    <w:link w:val="Heading11"/>
    <w:rsid w:val="00B05227"/>
    <w:rPr>
      <w:sz w:val="17"/>
      <w:szCs w:val="17"/>
      <w:shd w:val="clear" w:color="auto" w:fill="FFFFFF"/>
    </w:rPr>
  </w:style>
  <w:style w:type="paragraph" w:customStyle="1" w:styleId="Heading11">
    <w:name w:val="Heading #1"/>
    <w:basedOn w:val="Normal"/>
    <w:link w:val="Heading10"/>
    <w:rsid w:val="00B05227"/>
    <w:pPr>
      <w:shd w:val="clear" w:color="auto" w:fill="FFFFFF"/>
      <w:spacing w:before="60" w:after="60" w:line="386" w:lineRule="exact"/>
      <w:ind w:firstLine="420"/>
      <w:jc w:val="both"/>
      <w:outlineLvl w:val="0"/>
    </w:pPr>
    <w:rPr>
      <w:rFonts w:eastAsiaTheme="minorHAnsi"/>
      <w:sz w:val="17"/>
      <w:szCs w:val="17"/>
      <w:lang w:val="en-US" w:eastAsia="en-US"/>
    </w:rPr>
  </w:style>
  <w:style w:type="character" w:customStyle="1" w:styleId="Heading1Spacing-1pt">
    <w:name w:val="Heading #1 + Spacing -1 pt"/>
    <w:basedOn w:val="Heading10"/>
    <w:rsid w:val="00B05227"/>
    <w:rPr>
      <w:rFonts w:ascii="Times New Roman" w:eastAsia="Times New Roman" w:hAnsi="Times New Roman" w:cs="Times New Roman"/>
      <w:b w:val="0"/>
      <w:bCs w:val="0"/>
      <w:i w:val="0"/>
      <w:iCs w:val="0"/>
      <w:smallCaps w:val="0"/>
      <w:strike w:val="0"/>
      <w:spacing w:val="-20"/>
      <w:sz w:val="35"/>
      <w:szCs w:val="35"/>
      <w:shd w:val="clear" w:color="auto" w:fill="FFFFFF"/>
    </w:rPr>
  </w:style>
  <w:style w:type="paragraph" w:styleId="NoSpacing">
    <w:name w:val="No Spacing"/>
    <w:uiPriority w:val="1"/>
    <w:qFormat/>
    <w:rsid w:val="00347C51"/>
    <w:pPr>
      <w:spacing w:after="0" w:line="240" w:lineRule="auto"/>
    </w:pPr>
    <w:rPr>
      <w:rFonts w:ascii="Calibri" w:eastAsia="Times New Roman" w:hAnsi="Calibri" w:cs="Times New Roman"/>
      <w:lang w:val="en-IN" w:eastAsia="en-IN"/>
    </w:rPr>
  </w:style>
  <w:style w:type="paragraph" w:customStyle="1" w:styleId="BodyText2">
    <w:name w:val="Body Text2"/>
    <w:basedOn w:val="Normal"/>
    <w:rsid w:val="00B9759C"/>
    <w:pPr>
      <w:shd w:val="clear" w:color="auto" w:fill="FFFFFF"/>
      <w:spacing w:after="240" w:line="662" w:lineRule="exact"/>
      <w:ind w:hanging="840"/>
      <w:jc w:val="both"/>
    </w:pPr>
    <w:rPr>
      <w:rFonts w:ascii="Times New Roman" w:eastAsia="Times New Roman" w:hAnsi="Times New Roman" w:cs="Times New Roman"/>
      <w:sz w:val="33"/>
      <w:szCs w:val="33"/>
      <w:lang w:eastAsia="en-US"/>
    </w:rPr>
  </w:style>
  <w:style w:type="character" w:styleId="Emphasis">
    <w:name w:val="Emphasis"/>
    <w:basedOn w:val="DefaultParagraphFont"/>
    <w:uiPriority w:val="20"/>
    <w:qFormat/>
    <w:rsid w:val="00B35927"/>
    <w:rPr>
      <w:i/>
      <w:iCs/>
    </w:rPr>
  </w:style>
  <w:style w:type="character" w:customStyle="1" w:styleId="Heading2Char">
    <w:name w:val="Heading 2 Char"/>
    <w:basedOn w:val="DefaultParagraphFont"/>
    <w:link w:val="Heading2"/>
    <w:uiPriority w:val="9"/>
    <w:rsid w:val="00DB64D1"/>
    <w:rPr>
      <w:rFonts w:ascii="Times New Roman" w:eastAsia="Times New Roman" w:hAnsi="Times New Roman" w:cs="Times New Roman"/>
      <w:b/>
      <w:bCs/>
      <w:sz w:val="36"/>
      <w:szCs w:val="36"/>
    </w:rPr>
  </w:style>
  <w:style w:type="character" w:styleId="Strong">
    <w:name w:val="Strong"/>
    <w:basedOn w:val="DefaultParagraphFont"/>
    <w:uiPriority w:val="22"/>
    <w:qFormat/>
    <w:rsid w:val="00DB64D1"/>
    <w:rPr>
      <w:b/>
      <w:bCs/>
    </w:rPr>
  </w:style>
  <w:style w:type="character" w:styleId="Hyperlink">
    <w:name w:val="Hyperlink"/>
    <w:basedOn w:val="DefaultParagraphFont"/>
    <w:uiPriority w:val="99"/>
    <w:unhideWhenUsed/>
    <w:rsid w:val="00023691"/>
    <w:rPr>
      <w:color w:val="0000FF"/>
      <w:u w:val="single"/>
    </w:rPr>
  </w:style>
  <w:style w:type="character" w:customStyle="1" w:styleId="Heading3Char">
    <w:name w:val="Heading 3 Char"/>
    <w:basedOn w:val="DefaultParagraphFont"/>
    <w:link w:val="Heading3"/>
    <w:uiPriority w:val="9"/>
    <w:semiHidden/>
    <w:rsid w:val="00B35E0F"/>
    <w:rPr>
      <w:rFonts w:asciiTheme="majorHAnsi" w:eastAsiaTheme="majorEastAsia" w:hAnsiTheme="majorHAnsi" w:cstheme="majorBidi"/>
      <w:color w:val="243F60" w:themeColor="accent1" w:themeShade="7F"/>
      <w:sz w:val="24"/>
      <w:szCs w:val="24"/>
      <w:lang w:val="en-IN" w:eastAsia="en-IN"/>
    </w:rPr>
  </w:style>
  <w:style w:type="character" w:customStyle="1" w:styleId="Heading1Char">
    <w:name w:val="Heading 1 Char"/>
    <w:basedOn w:val="DefaultParagraphFont"/>
    <w:link w:val="Heading1"/>
    <w:uiPriority w:val="9"/>
    <w:rsid w:val="009A5D36"/>
    <w:rPr>
      <w:rFonts w:asciiTheme="majorHAnsi" w:eastAsiaTheme="majorEastAsia" w:hAnsiTheme="majorHAnsi" w:cstheme="majorBidi"/>
      <w:color w:val="365F91" w:themeColor="accent1" w:themeShade="BF"/>
      <w:sz w:val="32"/>
      <w:szCs w:val="32"/>
      <w:lang w:val="en-IN" w:eastAsia="en-IN"/>
    </w:rPr>
  </w:style>
  <w:style w:type="character" w:customStyle="1" w:styleId="Bodytext20">
    <w:name w:val="Body text (2)_"/>
    <w:link w:val="Bodytext21"/>
    <w:locked/>
    <w:rsid w:val="00957AF5"/>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57AF5"/>
    <w:pPr>
      <w:shd w:val="clear" w:color="auto" w:fill="FFFFFF"/>
      <w:spacing w:after="420" w:line="0" w:lineRule="atLeast"/>
    </w:pPr>
    <w:rPr>
      <w:rFonts w:ascii="Times New Roman" w:eastAsia="Times New Roman" w:hAnsi="Times New Roman" w:cs="Times New Roman"/>
      <w:lang w:val="en-US" w:eastAsia="en-US"/>
    </w:rPr>
  </w:style>
  <w:style w:type="character" w:customStyle="1" w:styleId="Bodytext">
    <w:name w:val="Body text_"/>
    <w:link w:val="BodyText1"/>
    <w:locked/>
    <w:rsid w:val="00957AF5"/>
    <w:rPr>
      <w:rFonts w:ascii="Angsana New" w:eastAsia="Angsana New" w:hAnsi="Angsana New" w:cs="Angsana New"/>
      <w:sz w:val="28"/>
      <w:szCs w:val="28"/>
      <w:shd w:val="clear" w:color="auto" w:fill="FFFFFF"/>
    </w:rPr>
  </w:style>
  <w:style w:type="paragraph" w:customStyle="1" w:styleId="BodyText1">
    <w:name w:val="Body Text1"/>
    <w:basedOn w:val="Normal"/>
    <w:link w:val="Bodytext"/>
    <w:rsid w:val="00957AF5"/>
    <w:pPr>
      <w:shd w:val="clear" w:color="auto" w:fill="FFFFFF"/>
      <w:spacing w:after="120" w:line="0" w:lineRule="atLeast"/>
    </w:pPr>
    <w:rPr>
      <w:rFonts w:ascii="Angsana New" w:eastAsia="Angsana New" w:hAnsi="Angsana New" w:cs="Angsana New"/>
      <w:sz w:val="28"/>
      <w:szCs w:val="28"/>
      <w:lang w:val="en-US" w:eastAsia="en-US"/>
    </w:rPr>
  </w:style>
  <w:style w:type="character" w:customStyle="1" w:styleId="Bodytext9NotItalic">
    <w:name w:val="Body text (9) + Not Italic"/>
    <w:rsid w:val="00957AF5"/>
    <w:rPr>
      <w:rFonts w:ascii="Times New Roman" w:eastAsia="Times New Roman" w:hAnsi="Times New Roman" w:cs="Times New Roman" w:hint="default"/>
      <w:i/>
      <w:iCs/>
      <w:sz w:val="18"/>
      <w:szCs w:val="18"/>
      <w:shd w:val="clear" w:color="auto" w:fill="FFFFFF"/>
    </w:rPr>
  </w:style>
  <w:style w:type="character" w:customStyle="1" w:styleId="Bodytext2Italic">
    <w:name w:val="Body text (2) + Italic"/>
    <w:rsid w:val="000B5C08"/>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customStyle="1" w:styleId="UnresolvedMention">
    <w:name w:val="Unresolved Mention"/>
    <w:basedOn w:val="DefaultParagraphFont"/>
    <w:uiPriority w:val="99"/>
    <w:semiHidden/>
    <w:unhideWhenUsed/>
    <w:rsid w:val="003A56E0"/>
    <w:rPr>
      <w:color w:val="605E5C"/>
      <w:shd w:val="clear" w:color="auto" w:fill="E1DFDD"/>
    </w:rPr>
  </w:style>
  <w:style w:type="paragraph" w:styleId="ListParagraph">
    <w:name w:val="List Paragraph"/>
    <w:basedOn w:val="Normal"/>
    <w:uiPriority w:val="34"/>
    <w:qFormat/>
    <w:rsid w:val="003A56E0"/>
    <w:pPr>
      <w:ind w:left="720"/>
      <w:contextualSpacing/>
    </w:pPr>
  </w:style>
  <w:style w:type="character" w:styleId="CommentReference">
    <w:name w:val="annotation reference"/>
    <w:basedOn w:val="DefaultParagraphFont"/>
    <w:uiPriority w:val="99"/>
    <w:semiHidden/>
    <w:unhideWhenUsed/>
    <w:rsid w:val="00285358"/>
    <w:rPr>
      <w:sz w:val="16"/>
      <w:szCs w:val="16"/>
    </w:rPr>
  </w:style>
  <w:style w:type="paragraph" w:styleId="CommentText">
    <w:name w:val="annotation text"/>
    <w:basedOn w:val="Normal"/>
    <w:link w:val="CommentTextChar"/>
    <w:uiPriority w:val="99"/>
    <w:semiHidden/>
    <w:unhideWhenUsed/>
    <w:rsid w:val="00285358"/>
    <w:pPr>
      <w:spacing w:line="240" w:lineRule="auto"/>
    </w:pPr>
    <w:rPr>
      <w:sz w:val="20"/>
      <w:szCs w:val="20"/>
    </w:rPr>
  </w:style>
  <w:style w:type="character" w:customStyle="1" w:styleId="CommentTextChar">
    <w:name w:val="Comment Text Char"/>
    <w:basedOn w:val="DefaultParagraphFont"/>
    <w:link w:val="CommentText"/>
    <w:uiPriority w:val="99"/>
    <w:semiHidden/>
    <w:rsid w:val="00285358"/>
    <w:rPr>
      <w:rFonts w:eastAsiaTheme="minorEastAsia"/>
      <w:sz w:val="20"/>
      <w:szCs w:val="20"/>
      <w:lang w:val="en-IN" w:eastAsia="en-IN"/>
    </w:rPr>
  </w:style>
  <w:style w:type="paragraph" w:styleId="CommentSubject">
    <w:name w:val="annotation subject"/>
    <w:basedOn w:val="CommentText"/>
    <w:next w:val="CommentText"/>
    <w:link w:val="CommentSubjectChar"/>
    <w:uiPriority w:val="99"/>
    <w:semiHidden/>
    <w:unhideWhenUsed/>
    <w:rsid w:val="00285358"/>
    <w:rPr>
      <w:b/>
      <w:bCs/>
    </w:rPr>
  </w:style>
  <w:style w:type="character" w:customStyle="1" w:styleId="CommentSubjectChar">
    <w:name w:val="Comment Subject Char"/>
    <w:basedOn w:val="CommentTextChar"/>
    <w:link w:val="CommentSubject"/>
    <w:uiPriority w:val="99"/>
    <w:semiHidden/>
    <w:rsid w:val="00285358"/>
    <w:rPr>
      <w:rFonts w:eastAsiaTheme="minorEastAsia"/>
      <w:b/>
      <w:bCs/>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37043">
      <w:bodyDiv w:val="1"/>
      <w:marLeft w:val="0"/>
      <w:marRight w:val="0"/>
      <w:marTop w:val="0"/>
      <w:marBottom w:val="0"/>
      <w:divBdr>
        <w:top w:val="none" w:sz="0" w:space="0" w:color="auto"/>
        <w:left w:val="none" w:sz="0" w:space="0" w:color="auto"/>
        <w:bottom w:val="none" w:sz="0" w:space="0" w:color="auto"/>
        <w:right w:val="none" w:sz="0" w:space="0" w:color="auto"/>
      </w:divBdr>
    </w:div>
    <w:div w:id="536623204">
      <w:bodyDiv w:val="1"/>
      <w:marLeft w:val="0"/>
      <w:marRight w:val="0"/>
      <w:marTop w:val="0"/>
      <w:marBottom w:val="0"/>
      <w:divBdr>
        <w:top w:val="none" w:sz="0" w:space="0" w:color="auto"/>
        <w:left w:val="none" w:sz="0" w:space="0" w:color="auto"/>
        <w:bottom w:val="none" w:sz="0" w:space="0" w:color="auto"/>
        <w:right w:val="none" w:sz="0" w:space="0" w:color="auto"/>
      </w:divBdr>
    </w:div>
    <w:div w:id="887492591">
      <w:bodyDiv w:val="1"/>
      <w:marLeft w:val="0"/>
      <w:marRight w:val="0"/>
      <w:marTop w:val="0"/>
      <w:marBottom w:val="0"/>
      <w:divBdr>
        <w:top w:val="none" w:sz="0" w:space="0" w:color="auto"/>
        <w:left w:val="none" w:sz="0" w:space="0" w:color="auto"/>
        <w:bottom w:val="none" w:sz="0" w:space="0" w:color="auto"/>
        <w:right w:val="none" w:sz="0" w:space="0" w:color="auto"/>
      </w:divBdr>
    </w:div>
    <w:div w:id="899486412">
      <w:bodyDiv w:val="1"/>
      <w:marLeft w:val="0"/>
      <w:marRight w:val="0"/>
      <w:marTop w:val="0"/>
      <w:marBottom w:val="0"/>
      <w:divBdr>
        <w:top w:val="none" w:sz="0" w:space="0" w:color="auto"/>
        <w:left w:val="none" w:sz="0" w:space="0" w:color="auto"/>
        <w:bottom w:val="none" w:sz="0" w:space="0" w:color="auto"/>
        <w:right w:val="none" w:sz="0" w:space="0" w:color="auto"/>
      </w:divBdr>
    </w:div>
    <w:div w:id="1306086672">
      <w:bodyDiv w:val="1"/>
      <w:marLeft w:val="0"/>
      <w:marRight w:val="0"/>
      <w:marTop w:val="0"/>
      <w:marBottom w:val="0"/>
      <w:divBdr>
        <w:top w:val="none" w:sz="0" w:space="0" w:color="auto"/>
        <w:left w:val="none" w:sz="0" w:space="0" w:color="auto"/>
        <w:bottom w:val="none" w:sz="0" w:space="0" w:color="auto"/>
        <w:right w:val="none" w:sz="0" w:space="0" w:color="auto"/>
      </w:divBdr>
    </w:div>
    <w:div w:id="141951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135/cropsci1973.0011183X001300060013x" TargetMode="External"/><Relationship Id="rId18" Type="http://schemas.openxmlformats.org/officeDocument/2006/relationships/hyperlink" Target="https://doi.org/10.1079/9781845938253.0001" TargetMode="External"/><Relationship Id="rId26" Type="http://schemas.openxmlformats.org/officeDocument/2006/relationships/hyperlink" Target="https://doi.org/10.1016/j.apsoil.2024.105416"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3390/bacteria302000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016/j.cropro.2004.01.007" TargetMode="External"/><Relationship Id="rId25" Type="http://schemas.openxmlformats.org/officeDocument/2006/relationships/hyperlink" Target="https://www.sciencedirect.com/author/55115880100/puja-ohri"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39/w04-035" TargetMode="External"/><Relationship Id="rId20" Type="http://schemas.openxmlformats.org/officeDocument/2006/relationships/hyperlink" Target="https://doi.org/10.1007/s11104-015-2622-5" TargetMode="External"/><Relationship Id="rId29" Type="http://schemas.openxmlformats.org/officeDocument/2006/relationships/hyperlink" Target="https://doi.org/10.1155/2025/88574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186/s13213-025-01793-y" TargetMode="External"/><Relationship Id="rId32" Type="http://schemas.openxmlformats.org/officeDocument/2006/relationships/hyperlink" Target="https://doi.org/10.3390/bacteria304003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S0065-2113(10)08002-8" TargetMode="External"/><Relationship Id="rId23" Type="http://schemas.openxmlformats.org/officeDocument/2006/relationships/hyperlink" Target="https://doi.org/10.22271/micro.2024.v5.i2c.177" TargetMode="External"/><Relationship Id="rId28" Type="http://schemas.openxmlformats.org/officeDocument/2006/relationships/hyperlink" Target="https://doi.org/10.1016/j.apsoil.2024.105416" TargetMode="External"/><Relationship Id="rId36"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doi.org/10.6064/2012/963401" TargetMode="External"/><Relationship Id="rId31" Type="http://schemas.openxmlformats.org/officeDocument/2006/relationships/hyperlink" Target="https://doi.org/10.1023/A:102603721689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7/978-3-642-37241-4_2" TargetMode="External"/><Relationship Id="rId22" Type="http://schemas.openxmlformats.org/officeDocument/2006/relationships/hyperlink" Target="https://doi.org/10.1016/j.heliyon.2024.e31553" TargetMode="External"/><Relationship Id="rId27" Type="http://schemas.openxmlformats.org/officeDocument/2006/relationships/hyperlink" Target="https://doi.org/10.1094/CM-2004-0301-05-RV" TargetMode="External"/><Relationship Id="rId30" Type="http://schemas.openxmlformats.org/officeDocument/2006/relationships/hyperlink" Target="https://doi.org/10.15625/2615-9023/21763"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Book1%20-%20dines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J:\Book1%20-%20dine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935494612959247"/>
          <c:y val="9.6852048221766171E-2"/>
          <c:w val="0.85458319985162456"/>
          <c:h val="0.7117881493863546"/>
        </c:manualLayout>
      </c:layout>
      <c:bar3DChart>
        <c:barDir val="col"/>
        <c:grouping val="clustered"/>
        <c:varyColors val="0"/>
        <c:ser>
          <c:idx val="0"/>
          <c:order val="0"/>
          <c:tx>
            <c:strRef>
              <c:f>Sheet1!$E$5</c:f>
              <c:strCache>
                <c:ptCount val="1"/>
                <c:pt idx="0">
                  <c:v>Germination (%)</c:v>
                </c:pt>
              </c:strCache>
            </c:strRef>
          </c:tx>
          <c:spPr>
            <a:solidFill>
              <a:srgbClr val="0070C0"/>
            </a:solidFill>
          </c:spPr>
          <c:invertIfNegative val="0"/>
          <c:cat>
            <c:strRef>
              <c:f>Sheet1!$D$6:$D$13</c:f>
              <c:strCache>
                <c:ptCount val="8"/>
                <c:pt idx="0">
                  <c:v>T0 </c:v>
                </c:pt>
                <c:pt idx="1">
                  <c:v>T2</c:v>
                </c:pt>
                <c:pt idx="2">
                  <c:v>T3 </c:v>
                </c:pt>
                <c:pt idx="3">
                  <c:v>T4 </c:v>
                </c:pt>
                <c:pt idx="4">
                  <c:v>T5</c:v>
                </c:pt>
                <c:pt idx="5">
                  <c:v>T6 </c:v>
                </c:pt>
                <c:pt idx="6">
                  <c:v>T7</c:v>
                </c:pt>
                <c:pt idx="7">
                  <c:v>T8</c:v>
                </c:pt>
              </c:strCache>
            </c:strRef>
          </c:cat>
          <c:val>
            <c:numRef>
              <c:f>Sheet1!$E$6:$E$13</c:f>
              <c:numCache>
                <c:formatCode>General</c:formatCode>
                <c:ptCount val="8"/>
                <c:pt idx="0">
                  <c:v>71.98</c:v>
                </c:pt>
                <c:pt idx="1">
                  <c:v>90.01</c:v>
                </c:pt>
                <c:pt idx="2">
                  <c:v>88.43</c:v>
                </c:pt>
                <c:pt idx="3">
                  <c:v>83.29</c:v>
                </c:pt>
                <c:pt idx="4">
                  <c:v>95.210000000000022</c:v>
                </c:pt>
                <c:pt idx="5">
                  <c:v>75.989999999999995</c:v>
                </c:pt>
                <c:pt idx="6">
                  <c:v>79.06</c:v>
                </c:pt>
                <c:pt idx="7">
                  <c:v>72.069999999999993</c:v>
                </c:pt>
              </c:numCache>
            </c:numRef>
          </c:val>
          <c:extLst xmlns:c16r2="http://schemas.microsoft.com/office/drawing/2015/06/chart">
            <c:ext xmlns:c16="http://schemas.microsoft.com/office/drawing/2014/chart" uri="{C3380CC4-5D6E-409C-BE32-E72D297353CC}">
              <c16:uniqueId val="{00000000-632F-46A9-BFF6-4275F3DA2720}"/>
            </c:ext>
          </c:extLst>
        </c:ser>
        <c:ser>
          <c:idx val="1"/>
          <c:order val="1"/>
          <c:tx>
            <c:strRef>
              <c:f>Sheet1!$F$5</c:f>
              <c:strCache>
                <c:ptCount val="1"/>
                <c:pt idx="0">
                  <c:v>Vigour Index</c:v>
                </c:pt>
              </c:strCache>
            </c:strRef>
          </c:tx>
          <c:spPr>
            <a:solidFill>
              <a:srgbClr val="C00000"/>
            </a:solidFill>
          </c:spPr>
          <c:invertIfNegative val="0"/>
          <c:cat>
            <c:strRef>
              <c:f>Sheet1!$D$6:$D$13</c:f>
              <c:strCache>
                <c:ptCount val="8"/>
                <c:pt idx="0">
                  <c:v>T0 </c:v>
                </c:pt>
                <c:pt idx="1">
                  <c:v>T2</c:v>
                </c:pt>
                <c:pt idx="2">
                  <c:v>T3 </c:v>
                </c:pt>
                <c:pt idx="3">
                  <c:v>T4 </c:v>
                </c:pt>
                <c:pt idx="4">
                  <c:v>T5</c:v>
                </c:pt>
                <c:pt idx="5">
                  <c:v>T6 </c:v>
                </c:pt>
                <c:pt idx="6">
                  <c:v>T7</c:v>
                </c:pt>
                <c:pt idx="7">
                  <c:v>T8</c:v>
                </c:pt>
              </c:strCache>
            </c:strRef>
          </c:cat>
          <c:val>
            <c:numRef>
              <c:f>Sheet1!$F$6:$F$13</c:f>
              <c:numCache>
                <c:formatCode>General</c:formatCode>
                <c:ptCount val="8"/>
                <c:pt idx="0">
                  <c:v>889</c:v>
                </c:pt>
                <c:pt idx="1">
                  <c:v>1224</c:v>
                </c:pt>
                <c:pt idx="2">
                  <c:v>1107</c:v>
                </c:pt>
                <c:pt idx="3">
                  <c:v>1076</c:v>
                </c:pt>
                <c:pt idx="4">
                  <c:v>1298</c:v>
                </c:pt>
                <c:pt idx="5">
                  <c:v>932</c:v>
                </c:pt>
                <c:pt idx="6">
                  <c:v>989</c:v>
                </c:pt>
                <c:pt idx="7">
                  <c:v>913</c:v>
                </c:pt>
              </c:numCache>
            </c:numRef>
          </c:val>
          <c:extLst xmlns:c16r2="http://schemas.microsoft.com/office/drawing/2015/06/chart">
            <c:ext xmlns:c16="http://schemas.microsoft.com/office/drawing/2014/chart" uri="{C3380CC4-5D6E-409C-BE32-E72D297353CC}">
              <c16:uniqueId val="{00000001-632F-46A9-BFF6-4275F3DA2720}"/>
            </c:ext>
          </c:extLst>
        </c:ser>
        <c:dLbls>
          <c:showLegendKey val="0"/>
          <c:showVal val="0"/>
          <c:showCatName val="0"/>
          <c:showSerName val="0"/>
          <c:showPercent val="0"/>
          <c:showBubbleSize val="0"/>
        </c:dLbls>
        <c:gapWidth val="93"/>
        <c:gapDepth val="126"/>
        <c:shape val="box"/>
        <c:axId val="43747968"/>
        <c:axId val="142312960"/>
        <c:axId val="0"/>
      </c:bar3DChart>
      <c:catAx>
        <c:axId val="43747968"/>
        <c:scaling>
          <c:orientation val="minMax"/>
        </c:scaling>
        <c:delete val="0"/>
        <c:axPos val="b"/>
        <c:title>
          <c:tx>
            <c:rich>
              <a:bodyPr/>
              <a:lstStyle/>
              <a:p>
                <a:pPr>
                  <a:defRPr>
                    <a:latin typeface="Arial" pitchFamily="34" charset="0"/>
                    <a:cs typeface="Arial" pitchFamily="34" charset="0"/>
                  </a:defRPr>
                </a:pPr>
                <a:r>
                  <a:rPr lang="en-US" sz="1000" b="1" i="0" u="none" strike="noStrike" baseline="0">
                    <a:latin typeface="Arial" pitchFamily="34" charset="0"/>
                    <a:cs typeface="Arial" pitchFamily="34" charset="0"/>
                  </a:rPr>
                  <a:t>Treatments</a:t>
                </a:r>
                <a:endParaRPr lang="en-US">
                  <a:latin typeface="Arial" pitchFamily="34" charset="0"/>
                  <a:cs typeface="Arial" pitchFamily="34" charset="0"/>
                </a:endParaRPr>
              </a:p>
            </c:rich>
          </c:tx>
          <c:overlay val="0"/>
        </c:title>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142312960"/>
        <c:crosses val="autoZero"/>
        <c:auto val="1"/>
        <c:lblAlgn val="ctr"/>
        <c:lblOffset val="100"/>
        <c:noMultiLvlLbl val="0"/>
      </c:catAx>
      <c:valAx>
        <c:axId val="142312960"/>
        <c:scaling>
          <c:orientation val="minMax"/>
        </c:scaling>
        <c:delete val="0"/>
        <c:axPos val="l"/>
        <c:majorGridlines/>
        <c:title>
          <c:tx>
            <c:rich>
              <a:bodyPr/>
              <a:lstStyle/>
              <a:p>
                <a:pPr>
                  <a:defRPr>
                    <a:latin typeface="Arial" pitchFamily="34" charset="0"/>
                    <a:cs typeface="Arial" pitchFamily="34" charset="0"/>
                  </a:defRPr>
                </a:pPr>
                <a:r>
                  <a:rPr lang="en-US">
                    <a:latin typeface="Arial" pitchFamily="34" charset="0"/>
                    <a:cs typeface="Arial" pitchFamily="34" charset="0"/>
                  </a:rPr>
                  <a:t>Percentage</a:t>
                </a:r>
              </a:p>
            </c:rich>
          </c:tx>
          <c:overlay val="0"/>
        </c:title>
        <c:numFmt formatCode="General" sourceLinked="1"/>
        <c:majorTickMark val="out"/>
        <c:minorTickMark val="none"/>
        <c:tickLblPos val="nextTo"/>
        <c:crossAx val="43747968"/>
        <c:crosses val="autoZero"/>
        <c:crossBetween val="between"/>
      </c:valAx>
    </c:plotArea>
    <c:legend>
      <c:legendPos val="r"/>
      <c:layout>
        <c:manualLayout>
          <c:xMode val="edge"/>
          <c:yMode val="edge"/>
          <c:x val="0.5809190654446883"/>
          <c:y val="2.0111153727560602E-2"/>
          <c:w val="0.39066563400886434"/>
          <c:h val="8.476951492174585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8682907475231368E-2"/>
          <c:y val="2.9218906809794453E-2"/>
          <c:w val="0.92416452047132258"/>
          <c:h val="0.88530001071344722"/>
        </c:manualLayout>
      </c:layout>
      <c:bar3DChart>
        <c:barDir val="col"/>
        <c:grouping val="clustered"/>
        <c:varyColors val="0"/>
        <c:ser>
          <c:idx val="0"/>
          <c:order val="0"/>
          <c:tx>
            <c:strRef>
              <c:f>Sheet2!$F$6</c:f>
              <c:strCache>
                <c:ptCount val="1"/>
                <c:pt idx="0">
                  <c:v>25 DAP</c:v>
                </c:pt>
              </c:strCache>
            </c:strRef>
          </c:tx>
          <c:spPr>
            <a:solidFill>
              <a:schemeClr val="accent6">
                <a:lumMod val="75000"/>
              </a:schemeClr>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Sheet2!$F$7:$F$14</c:f>
              <c:numCache>
                <c:formatCode>General</c:formatCode>
                <c:ptCount val="8"/>
                <c:pt idx="0">
                  <c:v>9.31</c:v>
                </c:pt>
                <c:pt idx="1">
                  <c:v>19.84</c:v>
                </c:pt>
                <c:pt idx="2">
                  <c:v>18</c:v>
                </c:pt>
                <c:pt idx="3">
                  <c:v>17.350000000000001</c:v>
                </c:pt>
                <c:pt idx="4">
                  <c:v>20.37</c:v>
                </c:pt>
                <c:pt idx="5">
                  <c:v>14.28</c:v>
                </c:pt>
                <c:pt idx="6">
                  <c:v>15.44</c:v>
                </c:pt>
                <c:pt idx="7">
                  <c:v>10.629999999999999</c:v>
                </c:pt>
              </c:numCache>
            </c:numRef>
          </c:val>
          <c:extLst xmlns:c16r2="http://schemas.microsoft.com/office/drawing/2015/06/chart">
            <c:ext xmlns:c16="http://schemas.microsoft.com/office/drawing/2014/chart" uri="{C3380CC4-5D6E-409C-BE32-E72D297353CC}">
              <c16:uniqueId val="{00000000-2054-4355-BD3F-4506887E4886}"/>
            </c:ext>
          </c:extLst>
        </c:ser>
        <c:ser>
          <c:idx val="1"/>
          <c:order val="1"/>
          <c:tx>
            <c:strRef>
              <c:f>Sheet2!$G$6</c:f>
              <c:strCache>
                <c:ptCount val="1"/>
                <c:pt idx="0">
                  <c:v>50 DAP</c:v>
                </c:pt>
              </c:strCache>
            </c:strRef>
          </c:tx>
          <c:spPr>
            <a:solidFill>
              <a:srgbClr val="C0000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Sheet2!$G$7:$G$14</c:f>
              <c:numCache>
                <c:formatCode>General</c:formatCode>
                <c:ptCount val="8"/>
                <c:pt idx="0">
                  <c:v>20.079999999999988</c:v>
                </c:pt>
                <c:pt idx="1">
                  <c:v>34.660000000000011</c:v>
                </c:pt>
                <c:pt idx="2">
                  <c:v>32.83</c:v>
                </c:pt>
                <c:pt idx="3">
                  <c:v>31.43</c:v>
                </c:pt>
                <c:pt idx="4">
                  <c:v>35.17</c:v>
                </c:pt>
                <c:pt idx="5">
                  <c:v>24.34</c:v>
                </c:pt>
                <c:pt idx="6">
                  <c:v>29.89</c:v>
                </c:pt>
                <c:pt idx="7">
                  <c:v>21.86</c:v>
                </c:pt>
              </c:numCache>
            </c:numRef>
          </c:val>
          <c:extLst xmlns:c16r2="http://schemas.microsoft.com/office/drawing/2015/06/chart">
            <c:ext xmlns:c16="http://schemas.microsoft.com/office/drawing/2014/chart" uri="{C3380CC4-5D6E-409C-BE32-E72D297353CC}">
              <c16:uniqueId val="{00000001-2054-4355-BD3F-4506887E4886}"/>
            </c:ext>
          </c:extLst>
        </c:ser>
        <c:ser>
          <c:idx val="2"/>
          <c:order val="2"/>
          <c:tx>
            <c:strRef>
              <c:f>Sheet2!$H$6</c:f>
              <c:strCache>
                <c:ptCount val="1"/>
                <c:pt idx="0">
                  <c:v>75 DAP</c:v>
                </c:pt>
              </c:strCache>
            </c:strRef>
          </c:tx>
          <c:spPr>
            <a:solidFill>
              <a:srgbClr val="00B05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Sheet2!$H$7:$H$14</c:f>
              <c:numCache>
                <c:formatCode>General</c:formatCode>
                <c:ptCount val="8"/>
                <c:pt idx="0">
                  <c:v>41.3</c:v>
                </c:pt>
                <c:pt idx="1">
                  <c:v>62.47</c:v>
                </c:pt>
                <c:pt idx="2">
                  <c:v>61.760000000000012</c:v>
                </c:pt>
                <c:pt idx="3">
                  <c:v>58.32</c:v>
                </c:pt>
                <c:pt idx="4">
                  <c:v>65.72</c:v>
                </c:pt>
                <c:pt idx="5">
                  <c:v>50.309999999999995</c:v>
                </c:pt>
                <c:pt idx="6">
                  <c:v>54.78</c:v>
                </c:pt>
                <c:pt idx="7">
                  <c:v>46.47</c:v>
                </c:pt>
              </c:numCache>
            </c:numRef>
          </c:val>
          <c:extLst xmlns:c16r2="http://schemas.microsoft.com/office/drawing/2015/06/chart">
            <c:ext xmlns:c16="http://schemas.microsoft.com/office/drawing/2014/chart" uri="{C3380CC4-5D6E-409C-BE32-E72D297353CC}">
              <c16:uniqueId val="{00000002-2054-4355-BD3F-4506887E4886}"/>
            </c:ext>
          </c:extLst>
        </c:ser>
        <c:ser>
          <c:idx val="3"/>
          <c:order val="3"/>
          <c:tx>
            <c:strRef>
              <c:f>Sheet2!$I$6</c:f>
              <c:strCache>
                <c:ptCount val="1"/>
                <c:pt idx="0">
                  <c:v>100 DAP</c:v>
                </c:pt>
              </c:strCache>
            </c:strRef>
          </c:tx>
          <c:spPr>
            <a:solidFill>
              <a:srgbClr val="7030A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Sheet2!$I$7:$I$14</c:f>
              <c:numCache>
                <c:formatCode>General</c:formatCode>
                <c:ptCount val="8"/>
                <c:pt idx="0">
                  <c:v>59.309999999999995</c:v>
                </c:pt>
                <c:pt idx="1">
                  <c:v>87.679999999999978</c:v>
                </c:pt>
                <c:pt idx="2">
                  <c:v>73.42</c:v>
                </c:pt>
                <c:pt idx="3">
                  <c:v>71.760000000000005</c:v>
                </c:pt>
                <c:pt idx="4">
                  <c:v>88.649999999999991</c:v>
                </c:pt>
                <c:pt idx="5">
                  <c:v>62.339999999999996</c:v>
                </c:pt>
                <c:pt idx="6">
                  <c:v>65.669999999999987</c:v>
                </c:pt>
                <c:pt idx="7">
                  <c:v>60.48</c:v>
                </c:pt>
              </c:numCache>
            </c:numRef>
          </c:val>
          <c:extLst xmlns:c16r2="http://schemas.microsoft.com/office/drawing/2015/06/chart">
            <c:ext xmlns:c16="http://schemas.microsoft.com/office/drawing/2014/chart" uri="{C3380CC4-5D6E-409C-BE32-E72D297353CC}">
              <c16:uniqueId val="{00000003-2054-4355-BD3F-4506887E4886}"/>
            </c:ext>
          </c:extLst>
        </c:ser>
        <c:ser>
          <c:idx val="4"/>
          <c:order val="4"/>
          <c:tx>
            <c:strRef>
              <c:f>Sheet2!$J$6</c:f>
              <c:strCache>
                <c:ptCount val="1"/>
                <c:pt idx="0">
                  <c:v>At Harvest</c:v>
                </c:pt>
              </c:strCache>
            </c:strRef>
          </c:tx>
          <c:spPr>
            <a:solidFill>
              <a:srgbClr val="00B0F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Sheet2!$J$7:$J$14</c:f>
              <c:numCache>
                <c:formatCode>General</c:formatCode>
                <c:ptCount val="8"/>
                <c:pt idx="0">
                  <c:v>70.06</c:v>
                </c:pt>
                <c:pt idx="1">
                  <c:v>97.09</c:v>
                </c:pt>
                <c:pt idx="2">
                  <c:v>93.45</c:v>
                </c:pt>
                <c:pt idx="3">
                  <c:v>90.23</c:v>
                </c:pt>
                <c:pt idx="4">
                  <c:v>99.03</c:v>
                </c:pt>
                <c:pt idx="5">
                  <c:v>83.11999999999999</c:v>
                </c:pt>
                <c:pt idx="6">
                  <c:v>86.08</c:v>
                </c:pt>
                <c:pt idx="7">
                  <c:v>65.319999999999993</c:v>
                </c:pt>
              </c:numCache>
            </c:numRef>
          </c:val>
          <c:extLst xmlns:c16r2="http://schemas.microsoft.com/office/drawing/2015/06/chart">
            <c:ext xmlns:c16="http://schemas.microsoft.com/office/drawing/2014/chart" uri="{C3380CC4-5D6E-409C-BE32-E72D297353CC}">
              <c16:uniqueId val="{00000004-2054-4355-BD3F-4506887E4886}"/>
            </c:ext>
          </c:extLst>
        </c:ser>
        <c:dLbls>
          <c:showLegendKey val="0"/>
          <c:showVal val="0"/>
          <c:showCatName val="0"/>
          <c:showSerName val="0"/>
          <c:showPercent val="0"/>
          <c:showBubbleSize val="0"/>
        </c:dLbls>
        <c:gapWidth val="66"/>
        <c:gapDepth val="88"/>
        <c:shape val="cone"/>
        <c:axId val="141002240"/>
        <c:axId val="141003776"/>
        <c:axId val="0"/>
      </c:bar3DChart>
      <c:catAx>
        <c:axId val="141002240"/>
        <c:scaling>
          <c:orientation val="minMax"/>
        </c:scaling>
        <c:delete val="0"/>
        <c:axPos val="b"/>
        <c:numFmt formatCode="General" sourceLinked="0"/>
        <c:majorTickMark val="out"/>
        <c:minorTickMark val="none"/>
        <c:tickLblPos val="nextTo"/>
        <c:crossAx val="141003776"/>
        <c:crosses val="autoZero"/>
        <c:auto val="1"/>
        <c:lblAlgn val="ctr"/>
        <c:lblOffset val="100"/>
        <c:noMultiLvlLbl val="0"/>
      </c:catAx>
      <c:valAx>
        <c:axId val="141003776"/>
        <c:scaling>
          <c:orientation val="minMax"/>
        </c:scaling>
        <c:delete val="0"/>
        <c:axPos val="l"/>
        <c:majorGridlines/>
        <c:numFmt formatCode="General" sourceLinked="1"/>
        <c:majorTickMark val="out"/>
        <c:minorTickMark val="none"/>
        <c:tickLblPos val="nextTo"/>
        <c:crossAx val="141002240"/>
        <c:crosses val="autoZero"/>
        <c:crossBetween val="between"/>
      </c:valAx>
    </c:plotArea>
    <c:legend>
      <c:legendPos val="r"/>
      <c:layout>
        <c:manualLayout>
          <c:xMode val="edge"/>
          <c:yMode val="edge"/>
          <c:x val="0.25894150568114022"/>
          <c:y val="5.4760181467382804E-2"/>
          <c:w val="0.72452150491334832"/>
          <c:h val="5.6357498408006697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6752330696439562E-2"/>
          <c:y val="0.10904813881374191"/>
          <c:w val="0.94324766930356063"/>
          <c:h val="0.78115976758530969"/>
        </c:manualLayout>
      </c:layout>
      <c:bar3DChart>
        <c:barDir val="col"/>
        <c:grouping val="clustered"/>
        <c:varyColors val="0"/>
        <c:ser>
          <c:idx val="0"/>
          <c:order val="0"/>
          <c:tx>
            <c:strRef>
              <c:f>Sheet3!$E$6</c:f>
              <c:strCache>
                <c:ptCount val="1"/>
                <c:pt idx="0">
                  <c:v>25 DAP</c:v>
                </c:pt>
              </c:strCache>
            </c:strRef>
          </c:tx>
          <c:spPr>
            <a:solidFill>
              <a:srgbClr val="0070C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Sheet3!$E$7:$E$14</c:f>
              <c:numCache>
                <c:formatCode>General</c:formatCode>
                <c:ptCount val="8"/>
                <c:pt idx="0">
                  <c:v>0.53</c:v>
                </c:pt>
                <c:pt idx="1">
                  <c:v>2.0099999999999998</c:v>
                </c:pt>
                <c:pt idx="2">
                  <c:v>2</c:v>
                </c:pt>
                <c:pt idx="3">
                  <c:v>1.6700000000000015</c:v>
                </c:pt>
                <c:pt idx="4">
                  <c:v>2.23</c:v>
                </c:pt>
                <c:pt idx="5">
                  <c:v>1.02</c:v>
                </c:pt>
                <c:pt idx="6">
                  <c:v>1.45</c:v>
                </c:pt>
                <c:pt idx="7">
                  <c:v>0.98</c:v>
                </c:pt>
              </c:numCache>
            </c:numRef>
          </c:val>
          <c:extLst xmlns:c16r2="http://schemas.microsoft.com/office/drawing/2015/06/chart">
            <c:ext xmlns:c16="http://schemas.microsoft.com/office/drawing/2014/chart" uri="{C3380CC4-5D6E-409C-BE32-E72D297353CC}">
              <c16:uniqueId val="{00000000-D9D6-4E0A-B5D7-027234D45477}"/>
            </c:ext>
          </c:extLst>
        </c:ser>
        <c:ser>
          <c:idx val="1"/>
          <c:order val="1"/>
          <c:tx>
            <c:strRef>
              <c:f>Sheet3!$F$6</c:f>
              <c:strCache>
                <c:ptCount val="1"/>
                <c:pt idx="0">
                  <c:v>50 DAP</c:v>
                </c:pt>
              </c:strCache>
            </c:strRef>
          </c:tx>
          <c:spPr>
            <a:solidFill>
              <a:srgbClr val="C0000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Sheet3!$F$7:$F$14</c:f>
              <c:numCache>
                <c:formatCode>General</c:formatCode>
                <c:ptCount val="8"/>
                <c:pt idx="0">
                  <c:v>1.31</c:v>
                </c:pt>
                <c:pt idx="1">
                  <c:v>2.7600000000000002</c:v>
                </c:pt>
                <c:pt idx="2">
                  <c:v>2.3499999999999988</c:v>
                </c:pt>
                <c:pt idx="3">
                  <c:v>2.0099999999999998</c:v>
                </c:pt>
                <c:pt idx="4">
                  <c:v>2.96</c:v>
                </c:pt>
                <c:pt idx="5">
                  <c:v>1.76</c:v>
                </c:pt>
                <c:pt idx="6">
                  <c:v>1.9800000000000015</c:v>
                </c:pt>
                <c:pt idx="7">
                  <c:v>1.54</c:v>
                </c:pt>
              </c:numCache>
            </c:numRef>
          </c:val>
          <c:extLst xmlns:c16r2="http://schemas.microsoft.com/office/drawing/2015/06/chart">
            <c:ext xmlns:c16="http://schemas.microsoft.com/office/drawing/2014/chart" uri="{C3380CC4-5D6E-409C-BE32-E72D297353CC}">
              <c16:uniqueId val="{00000001-D9D6-4E0A-B5D7-027234D45477}"/>
            </c:ext>
          </c:extLst>
        </c:ser>
        <c:ser>
          <c:idx val="2"/>
          <c:order val="2"/>
          <c:tx>
            <c:strRef>
              <c:f>Sheet3!$G$6</c:f>
              <c:strCache>
                <c:ptCount val="1"/>
                <c:pt idx="0">
                  <c:v>75 DAP</c:v>
                </c:pt>
              </c:strCache>
            </c:strRef>
          </c:tx>
          <c:spPr>
            <a:solidFill>
              <a:srgbClr val="00B05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Sheet3!$G$7:$G$14</c:f>
              <c:numCache>
                <c:formatCode>General</c:formatCode>
                <c:ptCount val="8"/>
                <c:pt idx="0">
                  <c:v>3.1</c:v>
                </c:pt>
                <c:pt idx="1">
                  <c:v>4.54</c:v>
                </c:pt>
                <c:pt idx="2">
                  <c:v>4.46</c:v>
                </c:pt>
                <c:pt idx="3">
                  <c:v>4.2300000000000004</c:v>
                </c:pt>
                <c:pt idx="4">
                  <c:v>4.6599999999999975</c:v>
                </c:pt>
                <c:pt idx="5">
                  <c:v>4</c:v>
                </c:pt>
                <c:pt idx="6">
                  <c:v>3.46</c:v>
                </c:pt>
                <c:pt idx="7">
                  <c:v>3.8899999999999997</c:v>
                </c:pt>
              </c:numCache>
            </c:numRef>
          </c:val>
          <c:extLst xmlns:c16r2="http://schemas.microsoft.com/office/drawing/2015/06/chart">
            <c:ext xmlns:c16="http://schemas.microsoft.com/office/drawing/2014/chart" uri="{C3380CC4-5D6E-409C-BE32-E72D297353CC}">
              <c16:uniqueId val="{00000002-D9D6-4E0A-B5D7-027234D45477}"/>
            </c:ext>
          </c:extLst>
        </c:ser>
        <c:ser>
          <c:idx val="3"/>
          <c:order val="3"/>
          <c:tx>
            <c:strRef>
              <c:f>Sheet3!$H$6</c:f>
              <c:strCache>
                <c:ptCount val="1"/>
                <c:pt idx="0">
                  <c:v>100 DAP</c:v>
                </c:pt>
              </c:strCache>
            </c:strRef>
          </c:tx>
          <c:spPr>
            <a:solidFill>
              <a:srgbClr val="7030A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Sheet3!$H$7:$H$14</c:f>
              <c:numCache>
                <c:formatCode>General</c:formatCode>
                <c:ptCount val="8"/>
                <c:pt idx="0">
                  <c:v>4.01</c:v>
                </c:pt>
                <c:pt idx="1">
                  <c:v>5</c:v>
                </c:pt>
                <c:pt idx="2">
                  <c:v>4.9000000000000004</c:v>
                </c:pt>
                <c:pt idx="3">
                  <c:v>4.76</c:v>
                </c:pt>
                <c:pt idx="4">
                  <c:v>5.0199999999999996</c:v>
                </c:pt>
                <c:pt idx="5">
                  <c:v>4.45</c:v>
                </c:pt>
                <c:pt idx="6">
                  <c:v>4.63</c:v>
                </c:pt>
                <c:pt idx="7">
                  <c:v>4.2699999999999996</c:v>
                </c:pt>
              </c:numCache>
            </c:numRef>
          </c:val>
          <c:extLst xmlns:c16r2="http://schemas.microsoft.com/office/drawing/2015/06/chart">
            <c:ext xmlns:c16="http://schemas.microsoft.com/office/drawing/2014/chart" uri="{C3380CC4-5D6E-409C-BE32-E72D297353CC}">
              <c16:uniqueId val="{00000003-D9D6-4E0A-B5D7-027234D45477}"/>
            </c:ext>
          </c:extLst>
        </c:ser>
        <c:ser>
          <c:idx val="4"/>
          <c:order val="4"/>
          <c:tx>
            <c:strRef>
              <c:f>Sheet3!$I$6</c:f>
              <c:strCache>
                <c:ptCount val="1"/>
                <c:pt idx="0">
                  <c:v>Harvest</c:v>
                </c:pt>
              </c:strCache>
            </c:strRef>
          </c:tx>
          <c:spPr>
            <a:solidFill>
              <a:schemeClr val="accent5">
                <a:lumMod val="75000"/>
              </a:schemeClr>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Sheet3!$I$7:$I$14</c:f>
              <c:numCache>
                <c:formatCode>General</c:formatCode>
                <c:ptCount val="8"/>
                <c:pt idx="0">
                  <c:v>8.08</c:v>
                </c:pt>
                <c:pt idx="1">
                  <c:v>11.860000000000012</c:v>
                </c:pt>
                <c:pt idx="2">
                  <c:v>11.32</c:v>
                </c:pt>
                <c:pt idx="3">
                  <c:v>10.66</c:v>
                </c:pt>
                <c:pt idx="4">
                  <c:v>12.03</c:v>
                </c:pt>
                <c:pt idx="5">
                  <c:v>9.44</c:v>
                </c:pt>
                <c:pt idx="6">
                  <c:v>10.01</c:v>
                </c:pt>
                <c:pt idx="7">
                  <c:v>8.4500000000000028</c:v>
                </c:pt>
              </c:numCache>
            </c:numRef>
          </c:val>
          <c:extLst xmlns:c16r2="http://schemas.microsoft.com/office/drawing/2015/06/chart">
            <c:ext xmlns:c16="http://schemas.microsoft.com/office/drawing/2014/chart" uri="{C3380CC4-5D6E-409C-BE32-E72D297353CC}">
              <c16:uniqueId val="{00000004-D9D6-4E0A-B5D7-027234D45477}"/>
            </c:ext>
          </c:extLst>
        </c:ser>
        <c:dLbls>
          <c:showLegendKey val="0"/>
          <c:showVal val="0"/>
          <c:showCatName val="0"/>
          <c:showSerName val="0"/>
          <c:showPercent val="0"/>
          <c:showBubbleSize val="0"/>
        </c:dLbls>
        <c:gapWidth val="150"/>
        <c:shape val="box"/>
        <c:axId val="167588224"/>
        <c:axId val="167589760"/>
        <c:axId val="0"/>
      </c:bar3DChart>
      <c:catAx>
        <c:axId val="167588224"/>
        <c:scaling>
          <c:orientation val="minMax"/>
        </c:scaling>
        <c:delete val="0"/>
        <c:axPos val="b"/>
        <c:numFmt formatCode="General" sourceLinked="0"/>
        <c:majorTickMark val="out"/>
        <c:minorTickMark val="none"/>
        <c:tickLblPos val="nextTo"/>
        <c:txPr>
          <a:bodyPr/>
          <a:lstStyle/>
          <a:p>
            <a:pPr>
              <a:defRPr>
                <a:latin typeface="Arial" pitchFamily="34" charset="0"/>
                <a:cs typeface="Arial" pitchFamily="34" charset="0"/>
              </a:defRPr>
            </a:pPr>
            <a:endParaRPr lang="en-US"/>
          </a:p>
        </c:txPr>
        <c:crossAx val="167589760"/>
        <c:crosses val="autoZero"/>
        <c:auto val="1"/>
        <c:lblAlgn val="ctr"/>
        <c:lblOffset val="100"/>
        <c:noMultiLvlLbl val="0"/>
      </c:catAx>
      <c:valAx>
        <c:axId val="167589760"/>
        <c:scaling>
          <c:orientation val="minMax"/>
        </c:scaling>
        <c:delete val="0"/>
        <c:axPos val="l"/>
        <c:majorGridlines/>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167588224"/>
        <c:crosses val="autoZero"/>
        <c:crossBetween val="between"/>
      </c:valAx>
    </c:plotArea>
    <c:legend>
      <c:legendPos val="r"/>
      <c:layout>
        <c:manualLayout>
          <c:xMode val="edge"/>
          <c:yMode val="edge"/>
          <c:x val="0.2538431432380977"/>
          <c:y val="3.3557697465406676E-2"/>
          <c:w val="0.60410967616390043"/>
          <c:h val="6.179878640571871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8741801470388398E-2"/>
          <c:y val="0.10745100000263194"/>
          <c:w val="0.93369178846050682"/>
          <c:h val="0.76230967840420694"/>
        </c:manualLayout>
      </c:layout>
      <c:bar3DChart>
        <c:barDir val="col"/>
        <c:grouping val="clustered"/>
        <c:varyColors val="0"/>
        <c:ser>
          <c:idx val="0"/>
          <c:order val="0"/>
          <c:tx>
            <c:strRef>
              <c:f>Sheet5!$E$6</c:f>
              <c:strCache>
                <c:ptCount val="1"/>
                <c:pt idx="0">
                  <c:v>No. of fruits (plant -1)</c:v>
                </c:pt>
              </c:strCache>
            </c:strRef>
          </c:tx>
          <c:spPr>
            <a:solidFill>
              <a:srgbClr val="0070C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Sheet5!$E$7:$E$14</c:f>
              <c:numCache>
                <c:formatCode>General</c:formatCode>
                <c:ptCount val="8"/>
                <c:pt idx="0">
                  <c:v>16</c:v>
                </c:pt>
                <c:pt idx="1">
                  <c:v>31</c:v>
                </c:pt>
                <c:pt idx="2">
                  <c:v>28</c:v>
                </c:pt>
                <c:pt idx="3">
                  <c:v>25</c:v>
                </c:pt>
                <c:pt idx="4">
                  <c:v>35</c:v>
                </c:pt>
                <c:pt idx="5">
                  <c:v>22</c:v>
                </c:pt>
                <c:pt idx="6">
                  <c:v>23</c:v>
                </c:pt>
                <c:pt idx="7">
                  <c:v>20</c:v>
                </c:pt>
              </c:numCache>
            </c:numRef>
          </c:val>
          <c:extLst xmlns:c16r2="http://schemas.microsoft.com/office/drawing/2015/06/chart">
            <c:ext xmlns:c16="http://schemas.microsoft.com/office/drawing/2014/chart" uri="{C3380CC4-5D6E-409C-BE32-E72D297353CC}">
              <c16:uniqueId val="{00000000-5EB7-4D62-AE61-9BD8E6B391D9}"/>
            </c:ext>
          </c:extLst>
        </c:ser>
        <c:ser>
          <c:idx val="1"/>
          <c:order val="1"/>
          <c:tx>
            <c:strRef>
              <c:f>Sheet5!$F$6</c:f>
              <c:strCache>
                <c:ptCount val="1"/>
                <c:pt idx="0">
                  <c:v>Fruit weight (g) (plant -1)</c:v>
                </c:pt>
              </c:strCache>
            </c:strRef>
          </c:tx>
          <c:spPr>
            <a:solidFill>
              <a:srgbClr val="C0000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Sheet5!$F$7:$F$14</c:f>
              <c:numCache>
                <c:formatCode>General</c:formatCode>
                <c:ptCount val="8"/>
                <c:pt idx="0">
                  <c:v>6.24</c:v>
                </c:pt>
                <c:pt idx="1">
                  <c:v>9</c:v>
                </c:pt>
                <c:pt idx="2">
                  <c:v>8.66</c:v>
                </c:pt>
                <c:pt idx="3">
                  <c:v>8</c:v>
                </c:pt>
                <c:pt idx="4">
                  <c:v>9.120000000000001</c:v>
                </c:pt>
                <c:pt idx="5">
                  <c:v>7.34</c:v>
                </c:pt>
                <c:pt idx="6">
                  <c:v>7.56</c:v>
                </c:pt>
                <c:pt idx="7">
                  <c:v>7.1</c:v>
                </c:pt>
              </c:numCache>
            </c:numRef>
          </c:val>
          <c:extLst xmlns:c16r2="http://schemas.microsoft.com/office/drawing/2015/06/chart">
            <c:ext xmlns:c16="http://schemas.microsoft.com/office/drawing/2014/chart" uri="{C3380CC4-5D6E-409C-BE32-E72D297353CC}">
              <c16:uniqueId val="{00000001-5EB7-4D62-AE61-9BD8E6B391D9}"/>
            </c:ext>
          </c:extLst>
        </c:ser>
        <c:ser>
          <c:idx val="2"/>
          <c:order val="2"/>
          <c:tx>
            <c:strRef>
              <c:f>Sheet5!$G$6</c:f>
              <c:strCache>
                <c:ptCount val="1"/>
                <c:pt idx="0">
                  <c:v>Fruits yield (g) (plant -1)</c:v>
                </c:pt>
              </c:strCache>
            </c:strRef>
          </c:tx>
          <c:spPr>
            <a:solidFill>
              <a:srgbClr val="00B05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Sheet5!$G$7:$G$14</c:f>
              <c:numCache>
                <c:formatCode>General</c:formatCode>
                <c:ptCount val="8"/>
                <c:pt idx="0">
                  <c:v>92.16</c:v>
                </c:pt>
                <c:pt idx="1">
                  <c:v>284.39999999999992</c:v>
                </c:pt>
                <c:pt idx="2">
                  <c:v>276.02999999999992</c:v>
                </c:pt>
                <c:pt idx="3">
                  <c:v>213.1</c:v>
                </c:pt>
                <c:pt idx="4">
                  <c:v>319.02</c:v>
                </c:pt>
                <c:pt idx="5">
                  <c:v>135.96</c:v>
                </c:pt>
                <c:pt idx="6">
                  <c:v>180.19</c:v>
                </c:pt>
                <c:pt idx="7">
                  <c:v>116.23</c:v>
                </c:pt>
              </c:numCache>
            </c:numRef>
          </c:val>
          <c:extLst xmlns:c16r2="http://schemas.microsoft.com/office/drawing/2015/06/chart">
            <c:ext xmlns:c16="http://schemas.microsoft.com/office/drawing/2014/chart" uri="{C3380CC4-5D6E-409C-BE32-E72D297353CC}">
              <c16:uniqueId val="{00000002-5EB7-4D62-AE61-9BD8E6B391D9}"/>
            </c:ext>
          </c:extLst>
        </c:ser>
        <c:dLbls>
          <c:showLegendKey val="0"/>
          <c:showVal val="0"/>
          <c:showCatName val="0"/>
          <c:showSerName val="0"/>
          <c:showPercent val="0"/>
          <c:showBubbleSize val="0"/>
        </c:dLbls>
        <c:gapWidth val="150"/>
        <c:shape val="cylinder"/>
        <c:axId val="167609088"/>
        <c:axId val="167610624"/>
        <c:axId val="0"/>
      </c:bar3DChart>
      <c:catAx>
        <c:axId val="167609088"/>
        <c:scaling>
          <c:orientation val="minMax"/>
        </c:scaling>
        <c:delete val="0"/>
        <c:axPos val="b"/>
        <c:numFmt formatCode="General" sourceLinked="0"/>
        <c:majorTickMark val="out"/>
        <c:minorTickMark val="none"/>
        <c:tickLblPos val="nextTo"/>
        <c:crossAx val="167610624"/>
        <c:crosses val="autoZero"/>
        <c:auto val="1"/>
        <c:lblAlgn val="ctr"/>
        <c:lblOffset val="100"/>
        <c:noMultiLvlLbl val="0"/>
      </c:catAx>
      <c:valAx>
        <c:axId val="167610624"/>
        <c:scaling>
          <c:orientation val="minMax"/>
        </c:scaling>
        <c:delete val="0"/>
        <c:axPos val="l"/>
        <c:majorGridlines/>
        <c:numFmt formatCode="General" sourceLinked="1"/>
        <c:majorTickMark val="out"/>
        <c:minorTickMark val="none"/>
        <c:tickLblPos val="nextTo"/>
        <c:crossAx val="167609088"/>
        <c:crosses val="autoZero"/>
        <c:crossBetween val="between"/>
      </c:valAx>
    </c:plotArea>
    <c:legend>
      <c:legendPos val="r"/>
      <c:layout>
        <c:manualLayout>
          <c:xMode val="edge"/>
          <c:yMode val="edge"/>
          <c:x val="9.6962879640045005E-2"/>
          <c:y val="3.3681345387382135E-2"/>
          <c:w val="0.79605650045714849"/>
          <c:h val="6.189435527667450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15</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DELL</cp:lastModifiedBy>
  <cp:revision>512</cp:revision>
  <cp:lastPrinted>2018-04-26T11:31:00Z</cp:lastPrinted>
  <dcterms:created xsi:type="dcterms:W3CDTF">2016-04-14T09:10:00Z</dcterms:created>
  <dcterms:modified xsi:type="dcterms:W3CDTF">2026-01-07T17:25:00Z</dcterms:modified>
</cp:coreProperties>
</file>