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B6FC" w14:textId="4068BC49" w:rsidR="00EE5675" w:rsidRPr="00C53647" w:rsidRDefault="00663BCE" w:rsidP="00663BCE">
      <w:pPr>
        <w:autoSpaceDE w:val="0"/>
        <w:autoSpaceDN w:val="0"/>
        <w:adjustRightInd w:val="0"/>
        <w:spacing w:after="0"/>
        <w:jc w:val="center"/>
        <w:rPr>
          <w:rFonts w:ascii="Times New Roman" w:hAnsi="Times New Roman" w:cs="Times New Roman"/>
          <w:color w:val="000000"/>
          <w:sz w:val="24"/>
          <w:szCs w:val="24"/>
        </w:rPr>
      </w:pPr>
      <w:r>
        <w:rPr>
          <w:rFonts w:ascii="Times New Roman" w:hAnsi="Times New Roman" w:cs="Times New Roman"/>
          <w:b/>
          <w:bCs/>
          <w:sz w:val="28"/>
          <w:szCs w:val="28"/>
        </w:rPr>
        <w:t>Role of Microbial Inoculants and Their Consortia in Enhancing Maize Yield and Soil Nutrient Availability Under Vertisol Conditions</w:t>
      </w:r>
    </w:p>
    <w:p w14:paraId="75510ABC" w14:textId="77777777" w:rsidR="00946BF2" w:rsidRDefault="00946BF2" w:rsidP="00EE5675">
      <w:pPr>
        <w:jc w:val="center"/>
        <w:rPr>
          <w:rFonts w:ascii="Times New Roman" w:hAnsi="Times New Roman" w:cs="Times New Roman"/>
          <w:b/>
          <w:bCs/>
          <w:sz w:val="24"/>
          <w:szCs w:val="24"/>
        </w:rPr>
      </w:pPr>
    </w:p>
    <w:p w14:paraId="0D8971BD" w14:textId="2D140D5A" w:rsidR="00EE5675" w:rsidRPr="00C53647" w:rsidRDefault="00EE5675" w:rsidP="00EE5675">
      <w:pPr>
        <w:jc w:val="center"/>
        <w:rPr>
          <w:rFonts w:ascii="Times New Roman" w:hAnsi="Times New Roman" w:cs="Times New Roman"/>
          <w:b/>
          <w:bCs/>
          <w:sz w:val="24"/>
          <w:szCs w:val="24"/>
        </w:rPr>
      </w:pPr>
      <w:r w:rsidRPr="00C53647">
        <w:rPr>
          <w:rFonts w:ascii="Times New Roman" w:hAnsi="Times New Roman" w:cs="Times New Roman"/>
          <w:b/>
          <w:bCs/>
          <w:sz w:val="24"/>
          <w:szCs w:val="24"/>
        </w:rPr>
        <w:t>ABSTRACT</w:t>
      </w:r>
    </w:p>
    <w:p w14:paraId="6CDD062C" w14:textId="77777777" w:rsidR="00EE5675" w:rsidRPr="00C53647" w:rsidRDefault="00EE5675" w:rsidP="007B34EC">
      <w:pPr>
        <w:spacing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         The present field experiment was undertaken at Wheat and Maize Research Unit, Vasantrao Naik Marathwada Krishi Vidyapeeth, Parbhani to assess the “Compatibility and Influence of Microbial Inoculants and their Consortia on Maize Grown on Vertisol” during </w:t>
      </w:r>
      <w:r w:rsidRPr="00C53647">
        <w:rPr>
          <w:rFonts w:ascii="Times New Roman" w:hAnsi="Times New Roman" w:cs="Times New Roman"/>
          <w:i/>
          <w:iCs/>
          <w:sz w:val="24"/>
          <w:szCs w:val="24"/>
        </w:rPr>
        <w:t xml:space="preserve">Kharif </w:t>
      </w:r>
      <w:r w:rsidRPr="00C53647">
        <w:rPr>
          <w:rFonts w:ascii="Times New Roman" w:hAnsi="Times New Roman" w:cs="Times New Roman"/>
          <w:sz w:val="24"/>
          <w:szCs w:val="24"/>
        </w:rPr>
        <w:t xml:space="preserve">season of 2022. Ten different treatment combinations were used in the experiment which includes different microbial inoculants and their consortia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(Consortia-I),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8E74D8">
        <w:rPr>
          <w:rFonts w:ascii="Times New Roman" w:hAnsi="Times New Roman" w:cs="Times New Roman"/>
          <w:i/>
          <w:iCs/>
          <w:color w:val="202124"/>
          <w:sz w:val="24"/>
          <w:szCs w:val="24"/>
          <w:shd w:val="clear" w:color="auto" w:fill="FFFFFF"/>
        </w:rPr>
        <w:t>Frateuria aurantia</w:t>
      </w:r>
      <w:r>
        <w:rPr>
          <w:rFonts w:ascii="Times New Roman" w:hAnsi="Times New Roman" w:cs="Times New Roman"/>
          <w:i/>
          <w:iCs/>
          <w:color w:val="202124"/>
          <w:shd w:val="clear" w:color="auto" w:fill="FFFFFF"/>
        </w:rPr>
        <w:t xml:space="preserve"> </w:t>
      </w:r>
      <w:r w:rsidRPr="00C53647">
        <w:rPr>
          <w:rFonts w:ascii="Times New Roman" w:hAnsi="Times New Roman" w:cs="Times New Roman"/>
          <w:sz w:val="24"/>
          <w:szCs w:val="24"/>
        </w:rPr>
        <w:t xml:space="preserve">(Consortia-II),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w:t>
      </w:r>
      <w:r>
        <w:rPr>
          <w:rFonts w:ascii="Times New Roman" w:hAnsi="Times New Roman" w:cs="Times New Roman"/>
          <w:sz w:val="24"/>
          <w:szCs w:val="24"/>
        </w:rPr>
        <w:t xml:space="preserve"> </w:t>
      </w:r>
      <w:r w:rsidRPr="00C53647">
        <w:rPr>
          <w:rFonts w:ascii="Times New Roman" w:hAnsi="Times New Roman" w:cs="Times New Roman"/>
          <w:i/>
          <w:iCs/>
          <w:sz w:val="24"/>
          <w:szCs w:val="24"/>
        </w:rPr>
        <w:t>Thiobacillus thioxidase</w:t>
      </w:r>
      <w:r w:rsidRPr="00C53647">
        <w:rPr>
          <w:rFonts w:ascii="Times New Roman" w:hAnsi="Times New Roman" w:cs="Times New Roman"/>
          <w:sz w:val="24"/>
          <w:szCs w:val="24"/>
        </w:rPr>
        <w:t xml:space="preserve"> (Consortia-III),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Psedomonas strita</w:t>
      </w:r>
      <w:r w:rsidRPr="00C53647">
        <w:rPr>
          <w:rFonts w:ascii="Times New Roman" w:hAnsi="Times New Roman" w:cs="Times New Roman"/>
          <w:sz w:val="24"/>
          <w:szCs w:val="24"/>
        </w:rPr>
        <w:t xml:space="preserve"> (Consortia-ⅠⅤ),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 </w:t>
      </w:r>
      <w:r w:rsidRPr="00C53647">
        <w:rPr>
          <w:rFonts w:ascii="Times New Roman" w:hAnsi="Times New Roman" w:cs="Times New Roman"/>
          <w:i/>
          <w:iCs/>
          <w:color w:val="202124"/>
          <w:sz w:val="24"/>
          <w:szCs w:val="24"/>
          <w:shd w:val="clear" w:color="auto" w:fill="FFFFFF"/>
        </w:rPr>
        <w:t>Frateuria aurantia</w:t>
      </w:r>
      <w:r w:rsidRPr="00C53647">
        <w:rPr>
          <w:rFonts w:ascii="Times New Roman" w:hAnsi="Times New Roman" w:cs="Times New Roman"/>
          <w:i/>
          <w:iCs/>
          <w:color w:val="202124"/>
          <w:shd w:val="clear" w:color="auto" w:fill="FFFFFF"/>
        </w:rPr>
        <w:t xml:space="preserve"> </w:t>
      </w:r>
      <w:r w:rsidRPr="00C53647">
        <w:rPr>
          <w:rFonts w:ascii="Times New Roman" w:hAnsi="Times New Roman" w:cs="Times New Roman"/>
          <w:sz w:val="24"/>
          <w:szCs w:val="24"/>
        </w:rPr>
        <w:t xml:space="preserve">(Consortia-Ⅴ),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Thiobacillus thioxidase</w:t>
      </w:r>
      <w:r w:rsidRPr="00C53647">
        <w:rPr>
          <w:rFonts w:ascii="Times New Roman" w:hAnsi="Times New Roman" w:cs="Times New Roman"/>
          <w:sz w:val="24"/>
          <w:szCs w:val="24"/>
        </w:rPr>
        <w:t xml:space="preserve">  (Consortia-ⅤI),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Psedomonas strita</w:t>
      </w:r>
      <w:r w:rsidRPr="00C53647">
        <w:rPr>
          <w:rFonts w:ascii="Times New Roman" w:hAnsi="Times New Roman" w:cs="Times New Roman"/>
          <w:sz w:val="24"/>
          <w:szCs w:val="24"/>
        </w:rPr>
        <w:t xml:space="preserve"> (Consortia-ⅤII), and control replicated there in RBD (Randomized Block Design). Seed treatment of maize was done with microbial inoculants consortia @ 10 ml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seed and application at the time of sowing with recommended dose of fertilizers.  Among all the treatments,</w:t>
      </w:r>
      <w:r w:rsidRPr="00C53647">
        <w:rPr>
          <w:rFonts w:ascii="Times New Roman" w:hAnsi="Times New Roman" w:cs="Times New Roman"/>
          <w:i/>
          <w:iCs/>
          <w:sz w:val="24"/>
          <w:szCs w:val="24"/>
        </w:rPr>
        <w:t xml:space="preserve"> Azospirillum </w:t>
      </w:r>
      <w:r w:rsidRPr="00C53647">
        <w:rPr>
          <w:rFonts w:ascii="Times New Roman" w:hAnsi="Times New Roman" w:cs="Times New Roman"/>
          <w:sz w:val="24"/>
          <w:szCs w:val="24"/>
        </w:rPr>
        <w:t>+ PSB + ZnSB (Consortia-ⅤII) T</w:t>
      </w:r>
      <w:r w:rsidRPr="00C53647">
        <w:rPr>
          <w:rFonts w:ascii="Times New Roman" w:hAnsi="Times New Roman" w:cs="Times New Roman"/>
          <w:sz w:val="24"/>
          <w:szCs w:val="24"/>
          <w:vertAlign w:val="subscript"/>
        </w:rPr>
        <w:t xml:space="preserve">10 </w:t>
      </w:r>
      <w:r w:rsidRPr="00C53647">
        <w:rPr>
          <w:rFonts w:ascii="Times New Roman" w:hAnsi="Times New Roman" w:cs="Times New Roman"/>
          <w:sz w:val="24"/>
          <w:szCs w:val="24"/>
        </w:rPr>
        <w:t xml:space="preserve">significantly improved the grain and straw yield of maize crop and significantly improving available nutrients </w:t>
      </w:r>
      <w:r w:rsidRPr="00C53647">
        <w:rPr>
          <w:rFonts w:ascii="Times New Roman" w:hAnsi="Times New Roman" w:cs="Times New Roman"/>
          <w:i/>
          <w:iCs/>
          <w:sz w:val="24"/>
          <w:szCs w:val="24"/>
        </w:rPr>
        <w:t>i.e.</w:t>
      </w:r>
      <w:r w:rsidRPr="00C53647">
        <w:rPr>
          <w:rFonts w:ascii="Times New Roman" w:hAnsi="Times New Roman" w:cs="Times New Roman"/>
          <w:sz w:val="24"/>
          <w:szCs w:val="24"/>
        </w:rPr>
        <w:t xml:space="preserve">, Nitrogen, Phosphorus, Potassium and DTPA extractable micronutrients (Fe, Mn, Cu and Zn) in soil at the harvest stage. Study concludes that RDF with microbial consortia could help in improving yield and nutrients availability in soil.  </w:t>
      </w:r>
    </w:p>
    <w:p w14:paraId="7642ADC2" w14:textId="77777777" w:rsidR="00EE5675" w:rsidRPr="00C53647" w:rsidRDefault="00EE5675" w:rsidP="00EE5675">
      <w:pPr>
        <w:jc w:val="both"/>
        <w:rPr>
          <w:rFonts w:ascii="Times New Roman" w:hAnsi="Times New Roman" w:cs="Times New Roman"/>
          <w:sz w:val="24"/>
          <w:szCs w:val="24"/>
        </w:rPr>
      </w:pPr>
      <w:r w:rsidRPr="008E74D8">
        <w:rPr>
          <w:rFonts w:ascii="Times New Roman" w:hAnsi="Times New Roman" w:cs="Times New Roman"/>
          <w:b/>
          <w:bCs/>
          <w:sz w:val="24"/>
          <w:szCs w:val="24"/>
        </w:rPr>
        <w:t>Key words</w:t>
      </w:r>
      <w:r>
        <w:rPr>
          <w:rFonts w:ascii="Times New Roman" w:hAnsi="Times New Roman" w:cs="Times New Roman"/>
          <w:sz w:val="24"/>
          <w:szCs w:val="24"/>
        </w:rPr>
        <w:t xml:space="preserve">: </w:t>
      </w:r>
      <w:r w:rsidRPr="0064723B">
        <w:rPr>
          <w:rFonts w:ascii="Times New Roman" w:hAnsi="Times New Roman" w:cs="Times New Roman"/>
          <w:sz w:val="24"/>
          <w:szCs w:val="24"/>
        </w:rPr>
        <w:t>Microbial consortium</w:t>
      </w:r>
      <w:r>
        <w:rPr>
          <w:rFonts w:ascii="Times New Roman" w:hAnsi="Times New Roman" w:cs="Times New Roman"/>
          <w:sz w:val="24"/>
          <w:szCs w:val="24"/>
        </w:rPr>
        <w:t>, Vertisol, Nutrients, Maize.</w:t>
      </w:r>
    </w:p>
    <w:p w14:paraId="24B8E4D8" w14:textId="77777777" w:rsidR="00EE5675" w:rsidRPr="00927435" w:rsidRDefault="00EE5675" w:rsidP="00EE5675">
      <w:pPr>
        <w:autoSpaceDE w:val="0"/>
        <w:autoSpaceDN w:val="0"/>
        <w:adjustRightInd w:val="0"/>
        <w:spacing w:after="0"/>
        <w:jc w:val="both"/>
        <w:rPr>
          <w:rFonts w:ascii="Times New Roman" w:hAnsi="Times New Roman" w:cs="Times New Roman"/>
          <w:b/>
          <w:bCs/>
          <w:sz w:val="24"/>
          <w:szCs w:val="24"/>
        </w:rPr>
      </w:pPr>
      <w:r w:rsidRPr="00C53647">
        <w:rPr>
          <w:rFonts w:ascii="Times New Roman" w:hAnsi="Times New Roman" w:cs="Times New Roman"/>
          <w:b/>
          <w:bCs/>
          <w:sz w:val="24"/>
          <w:szCs w:val="24"/>
        </w:rPr>
        <w:t>INTRODUCTION</w:t>
      </w:r>
    </w:p>
    <w:p w14:paraId="642FF680" w14:textId="77777777" w:rsidR="00EE5675" w:rsidRDefault="00EE5675" w:rsidP="007B34EC">
      <w:pPr>
        <w:autoSpaceDE w:val="0"/>
        <w:autoSpaceDN w:val="0"/>
        <w:adjustRightInd w:val="0"/>
        <w:spacing w:after="0"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 </w:t>
      </w:r>
      <w:r w:rsidRPr="00C53647">
        <w:rPr>
          <w:rFonts w:ascii="Times New Roman" w:hAnsi="Times New Roman" w:cs="Times New Roman"/>
          <w:bCs/>
          <w:i/>
          <w:iCs/>
          <w:sz w:val="24"/>
          <w:szCs w:val="24"/>
          <w:lang w:eastAsia="en-IN"/>
        </w:rPr>
        <w:t>Zea mays</w:t>
      </w:r>
      <w:r w:rsidRPr="00C53647">
        <w:rPr>
          <w:rFonts w:ascii="Times New Roman" w:hAnsi="Times New Roman" w:cs="Times New Roman"/>
          <w:bCs/>
          <w:sz w:val="24"/>
          <w:szCs w:val="24"/>
          <w:lang w:eastAsia="en-IN"/>
        </w:rPr>
        <w:t>, often known as maize, is said to have originated from a wild grass in central Mexico 7000 years ago. Native Americans improved maize to become a more nutritious food source. Maize is found all over the world, with the top three producing nations being the United States, China and Brazil. It comprises roughly 72% starch, 10% protein, and 4% fat, providing 365 Kcal/100 g of energy. A wide range of food and commercial items, such as starch, sweeteners, oil, drinks, glue, industrial alcohol and fuel ethanol can be produced from maize.</w:t>
      </w:r>
      <w:r w:rsidRPr="00C53647">
        <w:rPr>
          <w:rFonts w:ascii="Times New Roman" w:hAnsi="Times New Roman" w:cs="Times New Roman"/>
          <w:sz w:val="24"/>
          <w:szCs w:val="24"/>
          <w:lang w:val="en-IN" w:eastAsia="en-IN" w:bidi="ar-SA"/>
        </w:rPr>
        <w:t xml:space="preserve"> the soil application of indigenous mycorrhizal fungi inoculum combined with NPK fertilization can provide higher maize yields and soil-available N, P, and K than chemical fertilization can alone</w:t>
      </w:r>
      <w:r w:rsidRPr="0090246A">
        <w:rPr>
          <w:rFonts w:ascii="Times New Roman" w:hAnsi="Times New Roman" w:cs="Times New Roman"/>
          <w:sz w:val="24"/>
          <w:szCs w:val="24"/>
          <w:highlight w:val="yellow"/>
          <w:lang w:val="en-IN" w:eastAsia="en-IN" w:bidi="ar-SA"/>
        </w:rPr>
        <w:t>.</w:t>
      </w:r>
      <w:r w:rsidRPr="00C53647">
        <w:rPr>
          <w:rFonts w:ascii="Times New Roman" w:hAnsi="Times New Roman" w:cs="Times New Roman"/>
          <w:sz w:val="24"/>
          <w:szCs w:val="24"/>
          <w:lang w:val="en-IN" w:eastAsia="en-IN" w:bidi="ar-SA"/>
        </w:rPr>
        <w:t xml:space="preserve"> Fofana Fall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(2023)</w:t>
      </w:r>
      <w:r w:rsidRPr="0090246A">
        <w:rPr>
          <w:rFonts w:ascii="Times New Roman" w:hAnsi="Times New Roman" w:cs="Times New Roman"/>
          <w:sz w:val="24"/>
          <w:szCs w:val="24"/>
          <w:highlight w:val="yellow"/>
          <w:lang w:val="en-IN" w:eastAsia="en-IN" w:bidi="ar-SA"/>
        </w:rPr>
        <w:t>.</w:t>
      </w:r>
      <w:r w:rsidRPr="00C53647">
        <w:rPr>
          <w:rFonts w:ascii="Times New Roman" w:hAnsi="Times New Roman" w:cs="Times New Roman"/>
          <w:b/>
          <w:bCs/>
          <w:sz w:val="24"/>
          <w:szCs w:val="24"/>
          <w:lang w:val="en-IN" w:eastAsia="en-IN" w:bidi="ar-SA"/>
        </w:rPr>
        <w:t xml:space="preserve"> </w:t>
      </w:r>
      <w:r w:rsidRPr="0090246A">
        <w:rPr>
          <w:rFonts w:ascii="Times New Roman" w:hAnsi="Times New Roman" w:cs="Times New Roman"/>
          <w:sz w:val="24"/>
          <w:szCs w:val="24"/>
          <w:highlight w:val="yellow"/>
        </w:rPr>
        <w:t>m</w:t>
      </w:r>
      <w:r w:rsidRPr="00C53647">
        <w:rPr>
          <w:rFonts w:ascii="Times New Roman" w:hAnsi="Times New Roman" w:cs="Times New Roman"/>
          <w:sz w:val="24"/>
          <w:szCs w:val="24"/>
        </w:rPr>
        <w:t xml:space="preserve">icrobial consortium has shown its effectiveness in improving soil structure, water holding capacity and nutrient availability and essential for plant growth. </w:t>
      </w:r>
      <w:r w:rsidRPr="00C53647">
        <w:rPr>
          <w:rFonts w:ascii="Times New Roman" w:hAnsi="Times New Roman" w:cs="Times New Roman"/>
          <w:color w:val="000000"/>
          <w:sz w:val="24"/>
          <w:szCs w:val="24"/>
          <w:lang w:val="en-IN" w:eastAsia="en-IN" w:bidi="ar-SA"/>
        </w:rPr>
        <w:t xml:space="preserve">Upadhayay </w:t>
      </w:r>
      <w:r w:rsidRPr="00C53647">
        <w:rPr>
          <w:rFonts w:ascii="Times New Roman" w:hAnsi="Times New Roman" w:cs="Times New Roman"/>
          <w:i/>
          <w:iCs/>
          <w:color w:val="000000"/>
          <w:sz w:val="24"/>
          <w:szCs w:val="24"/>
          <w:lang w:val="en-IN" w:eastAsia="en-IN" w:bidi="ar-SA"/>
        </w:rPr>
        <w:t>et al</w:t>
      </w:r>
      <w:r w:rsidRPr="00C53647">
        <w:rPr>
          <w:rFonts w:ascii="Times New Roman" w:hAnsi="Times New Roman" w:cs="Times New Roman"/>
          <w:color w:val="000000"/>
          <w:sz w:val="24"/>
          <w:szCs w:val="24"/>
          <w:lang w:val="en-IN" w:eastAsia="en-IN" w:bidi="ar-SA"/>
        </w:rPr>
        <w:t>. (2023</w:t>
      </w:r>
      <w:r w:rsidRPr="0090246A">
        <w:rPr>
          <w:rFonts w:ascii="Times New Roman" w:hAnsi="Times New Roman" w:cs="Times New Roman"/>
          <w:color w:val="000000"/>
          <w:sz w:val="24"/>
          <w:szCs w:val="24"/>
          <w:highlight w:val="yellow"/>
          <w:lang w:val="en-IN" w:eastAsia="en-IN" w:bidi="ar-SA"/>
        </w:rPr>
        <w:t>)</w:t>
      </w:r>
      <w:r w:rsidRPr="0090246A">
        <w:rPr>
          <w:rFonts w:ascii="Times New Roman" w:hAnsi="Times New Roman" w:cs="Times New Roman"/>
          <w:sz w:val="24"/>
          <w:szCs w:val="24"/>
          <w:highlight w:val="yellow"/>
          <w:lang w:val="en-IN" w:eastAsia="en-IN"/>
        </w:rPr>
        <w:t>.</w:t>
      </w:r>
      <w:r w:rsidRPr="00C53647">
        <w:rPr>
          <w:rFonts w:ascii="Times New Roman" w:hAnsi="Times New Roman" w:cs="Times New Roman"/>
          <w:color w:val="000000"/>
          <w:sz w:val="24"/>
          <w:szCs w:val="24"/>
          <w:lang w:val="en-IN" w:eastAsia="en-IN" w:bidi="ar-SA"/>
        </w:rPr>
        <w:t xml:space="preserve"> In sustainable agriculture, PGPR play an important role, </w:t>
      </w:r>
      <w:r w:rsidRPr="00C53647">
        <w:rPr>
          <w:rFonts w:ascii="Times New Roman" w:hAnsi="Times New Roman" w:cs="Times New Roman"/>
          <w:color w:val="000000"/>
          <w:sz w:val="24"/>
          <w:szCs w:val="24"/>
          <w:lang w:val="en-IN" w:eastAsia="en-IN" w:bidi="ar-SA"/>
        </w:rPr>
        <w:lastRenderedPageBreak/>
        <w:t>improving crop yield, soil fertility, increasing biodiversity and association with other helpful microorganisms, and limiting pathogen growth and infection (V</w:t>
      </w:r>
      <w:r>
        <w:rPr>
          <w:rFonts w:ascii="Times New Roman" w:hAnsi="Times New Roman" w:cs="Times New Roman"/>
          <w:color w:val="000000"/>
          <w:sz w:val="24"/>
          <w:szCs w:val="24"/>
          <w:lang w:val="en-IN" w:eastAsia="en-IN" w:bidi="ar-SA"/>
        </w:rPr>
        <w:t>a</w:t>
      </w:r>
      <w:r w:rsidRPr="00C53647">
        <w:rPr>
          <w:rFonts w:ascii="Times New Roman" w:hAnsi="Times New Roman" w:cs="Times New Roman"/>
          <w:color w:val="000000"/>
          <w:sz w:val="24"/>
          <w:szCs w:val="24"/>
          <w:lang w:val="en-IN" w:eastAsia="en-IN" w:bidi="ar-SA"/>
        </w:rPr>
        <w:t xml:space="preserve">zquez </w:t>
      </w:r>
      <w:r w:rsidRPr="00C53647">
        <w:rPr>
          <w:rFonts w:ascii="Times New Roman" w:hAnsi="Times New Roman" w:cs="Times New Roman"/>
          <w:i/>
          <w:iCs/>
          <w:color w:val="000000"/>
          <w:sz w:val="24"/>
          <w:szCs w:val="24"/>
          <w:lang w:val="en-IN" w:eastAsia="en-IN" w:bidi="ar-SA"/>
        </w:rPr>
        <w:t>et al</w:t>
      </w:r>
      <w:r w:rsidRPr="00C53647">
        <w:rPr>
          <w:rFonts w:ascii="Times New Roman" w:hAnsi="Times New Roman" w:cs="Times New Roman"/>
          <w:color w:val="000000"/>
          <w:sz w:val="24"/>
          <w:szCs w:val="24"/>
          <w:lang w:val="en-IN" w:eastAsia="en-IN" w:bidi="ar-SA"/>
        </w:rPr>
        <w:t xml:space="preserve">. </w:t>
      </w:r>
      <w:r w:rsidRPr="00C53647">
        <w:rPr>
          <w:rFonts w:ascii="Times New Roman" w:hAnsi="Times New Roman" w:cs="Times New Roman"/>
          <w:sz w:val="24"/>
          <w:szCs w:val="24"/>
          <w:lang w:val="en-IN" w:eastAsia="en-IN" w:bidi="ar-SA"/>
        </w:rPr>
        <w:t>2020</w:t>
      </w:r>
      <w:r w:rsidRPr="00C53647">
        <w:rPr>
          <w:rFonts w:ascii="Times New Roman" w:hAnsi="Times New Roman" w:cs="Times New Roman"/>
          <w:color w:val="000000"/>
          <w:sz w:val="24"/>
          <w:szCs w:val="24"/>
          <w:lang w:val="en-IN" w:eastAsia="en-IN" w:bidi="ar-SA"/>
        </w:rPr>
        <w:t>).</w:t>
      </w:r>
      <w:r w:rsidRPr="00C53647">
        <w:rPr>
          <w:rFonts w:ascii="Times New Roman" w:hAnsi="Times New Roman" w:cs="Times New Roman"/>
          <w:sz w:val="24"/>
          <w:szCs w:val="24"/>
          <w:lang w:val="en-IN" w:eastAsia="en-IN" w:bidi="ar-SA"/>
        </w:rPr>
        <w:t xml:space="preserve"> Biofertilizers, also called microbial inoculants, are organic products containing specific microorganisms, which are derived from plant roots and root zones. They have been shown</w:t>
      </w:r>
      <w:r>
        <w:rPr>
          <w:rFonts w:ascii="Times New Roman" w:hAnsi="Times New Roman" w:cs="Times New Roman"/>
          <w:sz w:val="24"/>
          <w:szCs w:val="24"/>
          <w:lang w:val="en-IN" w:eastAsia="en-IN" w:bidi="ar-SA"/>
        </w:rPr>
        <w:t xml:space="preserve"> </w:t>
      </w:r>
      <w:r w:rsidRPr="00C53647">
        <w:rPr>
          <w:rFonts w:ascii="Times New Roman" w:hAnsi="Times New Roman" w:cs="Times New Roman"/>
          <w:sz w:val="24"/>
          <w:szCs w:val="24"/>
          <w:lang w:val="en-IN" w:eastAsia="en-IN" w:bidi="ar-SA"/>
        </w:rPr>
        <w:t>to improve the growth and yield of the plant by 10–40%.</w:t>
      </w:r>
      <w:r w:rsidRPr="00C53647">
        <w:rPr>
          <w:rFonts w:ascii="Times New Roman" w:hAnsi="Times New Roman" w:cs="Times New Roman"/>
          <w:b/>
          <w:bCs/>
          <w:sz w:val="24"/>
          <w:szCs w:val="24"/>
          <w:lang w:val="en-IN" w:eastAsia="en-IN" w:bidi="ar-SA"/>
        </w:rPr>
        <w:t xml:space="preserve"> </w:t>
      </w:r>
      <w:r w:rsidRPr="00C53647">
        <w:rPr>
          <w:rFonts w:ascii="Times New Roman" w:hAnsi="Times New Roman" w:cs="Times New Roman"/>
          <w:sz w:val="24"/>
          <w:szCs w:val="24"/>
          <w:lang w:val="en-IN" w:eastAsia="en-IN" w:bidi="ar-SA"/>
        </w:rPr>
        <w:t xml:space="preserve">Nosheen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w:t>
      </w:r>
      <w:commentRangeStart w:id="0"/>
      <w:r w:rsidRPr="00C53647">
        <w:rPr>
          <w:rFonts w:ascii="Times New Roman" w:hAnsi="Times New Roman" w:cs="Times New Roman"/>
          <w:sz w:val="24"/>
          <w:szCs w:val="24"/>
          <w:lang w:val="en-IN" w:eastAsia="en-IN" w:bidi="ar-SA"/>
        </w:rPr>
        <w:t>2021</w:t>
      </w:r>
      <w:commentRangeEnd w:id="0"/>
      <w:r w:rsidR="0077578F">
        <w:rPr>
          <w:rStyle w:val="Refdecomentario"/>
        </w:rPr>
        <w:commentReference w:id="0"/>
      </w:r>
      <w:r w:rsidRPr="00C53647">
        <w:rPr>
          <w:rFonts w:ascii="Times New Roman" w:hAnsi="Times New Roman" w:cs="Times New Roman"/>
          <w:sz w:val="24"/>
          <w:szCs w:val="24"/>
          <w:lang w:val="en-IN" w:eastAsia="en-IN" w:bidi="ar-SA"/>
        </w:rPr>
        <w:t>)</w:t>
      </w:r>
      <w:r w:rsidRPr="0090246A">
        <w:rPr>
          <w:rFonts w:ascii="Times New Roman" w:hAnsi="Times New Roman" w:cs="Times New Roman"/>
          <w:sz w:val="24"/>
          <w:szCs w:val="24"/>
          <w:highlight w:val="yellow"/>
          <w:lang w:val="en-IN" w:eastAsia="en-IN" w:bidi="ar-SA"/>
        </w:rPr>
        <w:t>.</w:t>
      </w:r>
      <w:r w:rsidRPr="00C53647">
        <w:rPr>
          <w:rFonts w:ascii="Times New Roman" w:hAnsi="Times New Roman" w:cs="Times New Roman"/>
          <w:sz w:val="24"/>
          <w:szCs w:val="24"/>
          <w:lang w:val="en-IN" w:eastAsia="en-IN" w:bidi="ar-SA"/>
        </w:rPr>
        <w:t xml:space="preserve"> In conclusion, the bacterial consortium offers a safety alternative that can reduce chemical fertilization by half while producing the same crop yield obtained with 100%fertilization. Decreased chemical fertilization could avoid contamination and reduce the cost in agricultural practices. Molina-Romero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(2021).</w:t>
      </w:r>
      <w:r>
        <w:rPr>
          <w:rFonts w:ascii="Times New Roman" w:hAnsi="Times New Roman" w:cs="Times New Roman"/>
          <w:sz w:val="24"/>
          <w:szCs w:val="24"/>
          <w:lang w:val="en-IN" w:eastAsia="en-IN" w:bidi="ar-SA"/>
        </w:rPr>
        <w:t xml:space="preserve"> </w:t>
      </w:r>
      <w:r w:rsidRPr="009C54EA">
        <w:rPr>
          <w:rFonts w:ascii="Times New Roman" w:hAnsi="Times New Roman" w:cs="Times New Roman"/>
          <w:sz w:val="24"/>
          <w:szCs w:val="24"/>
        </w:rPr>
        <w:t>All</w:t>
      </w:r>
      <w:r>
        <w:rPr>
          <w:rFonts w:ascii="Times New Roman" w:hAnsi="Times New Roman" w:cs="Times New Roman"/>
          <w:sz w:val="24"/>
          <w:szCs w:val="24"/>
        </w:rPr>
        <w:t xml:space="preserve"> the </w:t>
      </w:r>
      <w:r w:rsidRPr="009C54EA">
        <w:rPr>
          <w:rFonts w:ascii="Times New Roman" w:hAnsi="Times New Roman" w:cs="Times New Roman"/>
          <w:sz w:val="24"/>
          <w:szCs w:val="24"/>
        </w:rPr>
        <w:t>bacterial consortia</w:t>
      </w:r>
      <w:r>
        <w:rPr>
          <w:rFonts w:ascii="Times New Roman" w:hAnsi="Times New Roman" w:cs="Times New Roman"/>
          <w:sz w:val="24"/>
          <w:szCs w:val="24"/>
        </w:rPr>
        <w:t xml:space="preserve"> </w:t>
      </w:r>
      <w:r w:rsidRPr="009C54EA">
        <w:rPr>
          <w:rFonts w:ascii="Times New Roman" w:hAnsi="Times New Roman" w:cs="Times New Roman"/>
          <w:sz w:val="24"/>
          <w:szCs w:val="24"/>
        </w:rPr>
        <w:t>exhibited maximum influence on seedling vigour.</w:t>
      </w:r>
      <w:r>
        <w:rPr>
          <w:rFonts w:ascii="Times New Roman" w:hAnsi="Times New Roman" w:cs="Times New Roman"/>
          <w:sz w:val="24"/>
          <w:szCs w:val="24"/>
        </w:rPr>
        <w:t xml:space="preserve"> </w:t>
      </w:r>
      <w:r w:rsidRPr="009C54EA">
        <w:rPr>
          <w:rFonts w:ascii="Times New Roman" w:hAnsi="Times New Roman" w:cs="Times New Roman"/>
          <w:sz w:val="24"/>
          <w:szCs w:val="24"/>
        </w:rPr>
        <w:t xml:space="preserve">Therefore, these consortia could be used as potential bioinoculant to enhance plant growth and productivity in </w:t>
      </w:r>
      <w:proofErr w:type="gramStart"/>
      <w:r w:rsidRPr="00652921">
        <w:rPr>
          <w:rFonts w:ascii="Times New Roman" w:hAnsi="Times New Roman" w:cs="Times New Roman"/>
          <w:sz w:val="24"/>
          <w:szCs w:val="24"/>
          <w:highlight w:val="yellow"/>
        </w:rPr>
        <w:t>a more eco-friendly</w:t>
      </w:r>
      <w:proofErr w:type="gramEnd"/>
      <w:r w:rsidRPr="009C54EA">
        <w:rPr>
          <w:rFonts w:ascii="Times New Roman" w:hAnsi="Times New Roman" w:cs="Times New Roman"/>
          <w:sz w:val="24"/>
          <w:szCs w:val="24"/>
        </w:rPr>
        <w:t xml:space="preserve"> manner to improve sustainable agriculture Roshani </w:t>
      </w:r>
      <w:r w:rsidRPr="009C54EA">
        <w:rPr>
          <w:rFonts w:ascii="Times New Roman" w:hAnsi="Times New Roman" w:cs="Times New Roman"/>
          <w:i/>
          <w:iCs/>
          <w:sz w:val="24"/>
          <w:szCs w:val="24"/>
        </w:rPr>
        <w:t>et al</w:t>
      </w:r>
      <w:r w:rsidRPr="009C54EA">
        <w:rPr>
          <w:rFonts w:ascii="Times New Roman" w:hAnsi="Times New Roman" w:cs="Times New Roman"/>
          <w:sz w:val="24"/>
          <w:szCs w:val="24"/>
        </w:rPr>
        <w:t>. (2020)</w:t>
      </w:r>
      <w:r>
        <w:rPr>
          <w:rFonts w:ascii="Times New Roman" w:hAnsi="Times New Roman" w:cs="Times New Roman"/>
          <w:sz w:val="24"/>
          <w:szCs w:val="24"/>
        </w:rPr>
        <w:t>.</w:t>
      </w:r>
      <w:r w:rsidRPr="001D3674">
        <w:t xml:space="preserve"> </w:t>
      </w:r>
      <w:r w:rsidRPr="001D3674">
        <w:rPr>
          <w:rFonts w:ascii="Times New Roman" w:hAnsi="Times New Roman" w:cs="Times New Roman"/>
          <w:sz w:val="24"/>
          <w:szCs w:val="24"/>
        </w:rPr>
        <w:t xml:space="preserve">At physiological maturity, positive effects on plant height were observed in plants co-inoculated with </w:t>
      </w:r>
      <w:r w:rsidRPr="001D3674">
        <w:rPr>
          <w:rFonts w:ascii="Times New Roman" w:hAnsi="Times New Roman" w:cs="Times New Roman"/>
          <w:i/>
          <w:iCs/>
          <w:sz w:val="24"/>
          <w:szCs w:val="24"/>
        </w:rPr>
        <w:t xml:space="preserve">Bradyrhizobium </w:t>
      </w:r>
      <w:r w:rsidRPr="001D3674">
        <w:rPr>
          <w:rFonts w:ascii="Times New Roman" w:hAnsi="Times New Roman" w:cs="Times New Roman"/>
          <w:sz w:val="24"/>
          <w:szCs w:val="24"/>
        </w:rPr>
        <w:t xml:space="preserve">and </w:t>
      </w:r>
      <w:r w:rsidRPr="001D3674">
        <w:rPr>
          <w:rFonts w:ascii="Times New Roman" w:hAnsi="Times New Roman" w:cs="Times New Roman"/>
          <w:i/>
          <w:iCs/>
          <w:sz w:val="24"/>
          <w:szCs w:val="24"/>
        </w:rPr>
        <w:t>A</w:t>
      </w:r>
      <w:r>
        <w:rPr>
          <w:rFonts w:ascii="Times New Roman" w:hAnsi="Times New Roman" w:cs="Times New Roman"/>
          <w:i/>
          <w:iCs/>
          <w:sz w:val="24"/>
          <w:szCs w:val="24"/>
        </w:rPr>
        <w:t>zospirillum</w:t>
      </w:r>
      <w:r w:rsidRPr="001D3674">
        <w:rPr>
          <w:rFonts w:ascii="Times New Roman" w:hAnsi="Times New Roman" w:cs="Times New Roman"/>
          <w:i/>
          <w:iCs/>
          <w:sz w:val="24"/>
          <w:szCs w:val="24"/>
        </w:rPr>
        <w:t xml:space="preserve"> brasilense</w:t>
      </w:r>
      <w:r w:rsidRPr="001D3674">
        <w:rPr>
          <w:rFonts w:ascii="Times New Roman" w:hAnsi="Times New Roman" w:cs="Times New Roman"/>
          <w:sz w:val="24"/>
          <w:szCs w:val="24"/>
        </w:rPr>
        <w:t xml:space="preserve"> and in the number of pods of plants that were co-inoculated and received rhizobial metabolites (SI+ MSM + </w:t>
      </w:r>
      <w:r w:rsidRPr="001D3674">
        <w:rPr>
          <w:rFonts w:ascii="Times New Roman" w:hAnsi="Times New Roman" w:cs="Times New Roman"/>
          <w:i/>
          <w:iCs/>
          <w:sz w:val="24"/>
          <w:szCs w:val="24"/>
        </w:rPr>
        <w:t>A. brasilence Morettiet</w:t>
      </w:r>
      <w:r w:rsidRPr="001D3674">
        <w:rPr>
          <w:rFonts w:ascii="Times New Roman" w:hAnsi="Times New Roman" w:cs="Times New Roman"/>
          <w:sz w:val="24"/>
          <w:szCs w:val="24"/>
        </w:rPr>
        <w:t xml:space="preserve">) </w:t>
      </w:r>
      <w:r w:rsidRPr="00847765">
        <w:rPr>
          <w:rFonts w:ascii="Times New Roman" w:hAnsi="Times New Roman" w:cs="Times New Roman"/>
          <w:sz w:val="24"/>
          <w:szCs w:val="24"/>
        </w:rPr>
        <w:t>Moretti</w:t>
      </w:r>
      <w:r w:rsidRPr="001D3674">
        <w:rPr>
          <w:rFonts w:ascii="Times New Roman" w:hAnsi="Times New Roman" w:cs="Times New Roman"/>
          <w:i/>
          <w:iCs/>
          <w:sz w:val="24"/>
          <w:szCs w:val="24"/>
        </w:rPr>
        <w:t xml:space="preserve"> e</w:t>
      </w:r>
      <w:r>
        <w:rPr>
          <w:rFonts w:ascii="Times New Roman" w:hAnsi="Times New Roman" w:cs="Times New Roman"/>
          <w:i/>
          <w:iCs/>
          <w:sz w:val="24"/>
          <w:szCs w:val="24"/>
        </w:rPr>
        <w:t>t al</w:t>
      </w:r>
      <w:r w:rsidRPr="001D3674">
        <w:rPr>
          <w:rFonts w:ascii="Times New Roman" w:hAnsi="Times New Roman" w:cs="Times New Roman"/>
          <w:i/>
          <w:iCs/>
          <w:sz w:val="24"/>
          <w:szCs w:val="24"/>
        </w:rPr>
        <w:t>.</w:t>
      </w:r>
      <w:r w:rsidRPr="001D3674">
        <w:rPr>
          <w:rFonts w:ascii="Times New Roman" w:hAnsi="Times New Roman" w:cs="Times New Roman"/>
          <w:sz w:val="24"/>
          <w:szCs w:val="24"/>
        </w:rPr>
        <w:t xml:space="preserve"> (2020)</w:t>
      </w:r>
      <w:r>
        <w:rPr>
          <w:rFonts w:ascii="Times New Roman" w:hAnsi="Times New Roman" w:cs="Times New Roman"/>
          <w:sz w:val="24"/>
          <w:szCs w:val="24"/>
        </w:rPr>
        <w:t>.</w:t>
      </w:r>
      <w:r>
        <w:rPr>
          <w:rFonts w:ascii="Times New Roman" w:hAnsi="Times New Roman" w:cs="Times New Roman"/>
          <w:sz w:val="24"/>
          <w:szCs w:val="24"/>
          <w:lang w:val="en-IN" w:eastAsia="en-IN" w:bidi="ar-SA"/>
        </w:rPr>
        <w:t xml:space="preserve"> </w:t>
      </w:r>
      <w:r w:rsidRPr="00E609D7">
        <w:rPr>
          <w:rFonts w:ascii="Times New Roman" w:hAnsi="Times New Roman" w:cs="Times New Roman"/>
          <w:sz w:val="24"/>
          <w:szCs w:val="24"/>
        </w:rPr>
        <w:t xml:space="preserve">Microbes have been used in agriculture since long time for improving soil conditions to perform better soil functions. However, the applications of products associations of multiple micro-organisms having synergistic role towards increasing crop productivity of nonlegume crops are seldom done. The success of microbial consortium (MC) and biofilm depends on the compatibility of the partner microbes. The MC as a component of the integrated nutrient management can reduce mineral fertilizer demand. They may be used in nonlegume crops with low-cost and eco-friendly way. The use of MC is the need of the hour for improving the deteriorating soil health and enhancing factor product. Behera </w:t>
      </w:r>
      <w:r w:rsidRPr="00E609D7">
        <w:rPr>
          <w:rFonts w:ascii="Times New Roman" w:hAnsi="Times New Roman" w:cs="Times New Roman"/>
          <w:i/>
          <w:iCs/>
          <w:sz w:val="24"/>
          <w:szCs w:val="24"/>
        </w:rPr>
        <w:t>et al.</w:t>
      </w:r>
      <w:r w:rsidRPr="00E609D7">
        <w:rPr>
          <w:rFonts w:ascii="Times New Roman" w:hAnsi="Times New Roman" w:cs="Times New Roman"/>
          <w:sz w:val="24"/>
          <w:szCs w:val="24"/>
        </w:rPr>
        <w:t xml:space="preserve"> (2022).</w:t>
      </w:r>
      <w:r w:rsidRPr="00E609D7">
        <w:rPr>
          <w:rFonts w:ascii="Times New Roman" w:hAnsi="Times New Roman" w:cs="Times New Roman"/>
        </w:rPr>
        <w:t xml:space="preserve"> </w:t>
      </w:r>
      <w:r w:rsidRPr="00E609D7">
        <w:rPr>
          <w:rFonts w:ascii="Times New Roman" w:hAnsi="Times New Roman" w:cs="Times New Roman"/>
          <w:sz w:val="24"/>
          <w:szCs w:val="24"/>
        </w:rPr>
        <w:t xml:space="preserve">AMF functions as an effective microbial consortium with excellent application prospects for wheat biofortification, grain yield and soil fertility compared with chemical fertilizers. Yadav </w:t>
      </w:r>
      <w:r w:rsidRPr="00E609D7">
        <w:rPr>
          <w:rFonts w:ascii="Times New Roman" w:hAnsi="Times New Roman" w:cs="Times New Roman"/>
          <w:i/>
          <w:iCs/>
          <w:sz w:val="24"/>
          <w:szCs w:val="24"/>
        </w:rPr>
        <w:t>et al.</w:t>
      </w:r>
      <w:r w:rsidRPr="00E609D7">
        <w:rPr>
          <w:rFonts w:ascii="Times New Roman" w:hAnsi="Times New Roman" w:cs="Times New Roman"/>
          <w:sz w:val="24"/>
          <w:szCs w:val="24"/>
        </w:rPr>
        <w:t xml:space="preserve"> (2021)</w:t>
      </w:r>
      <w:r>
        <w:rPr>
          <w:rFonts w:ascii="Times New Roman" w:hAnsi="Times New Roman" w:cs="Times New Roman"/>
          <w:sz w:val="24"/>
          <w:szCs w:val="24"/>
        </w:rPr>
        <w:t>.</w:t>
      </w:r>
      <w:r w:rsidRPr="00E94F33">
        <w:rPr>
          <w:rFonts w:ascii="Times New Roman" w:hAnsi="Times New Roman" w:cs="Times New Roman"/>
          <w:sz w:val="24"/>
          <w:szCs w:val="24"/>
        </w:rPr>
        <w:t xml:space="preserve"> In any natural or agricultural ecosystem, plants are found to interact with soil microorganisms. The vast majority of these interactions, whether pathogenic, neutral, or beneficial, occur through a complex network of signals, which include metabolites, volatile and non-volatile compounds, physical interactions, and interactions that regulate gene expression, either by increasing or repressing it. It is essential to take advantage of this intricate network of natural interactions to engineer artificial microbial consortia that substantially and consistently benefit plant growth and health, increase crop production. Santoyo </w:t>
      </w:r>
      <w:r w:rsidRPr="00E94F33">
        <w:rPr>
          <w:rFonts w:ascii="Times New Roman" w:hAnsi="Times New Roman" w:cs="Times New Roman"/>
          <w:i/>
          <w:iCs/>
          <w:sz w:val="24"/>
          <w:szCs w:val="24"/>
        </w:rPr>
        <w:t>et al.</w:t>
      </w:r>
      <w:r w:rsidRPr="00E94F33">
        <w:rPr>
          <w:rFonts w:ascii="Times New Roman" w:hAnsi="Times New Roman" w:cs="Times New Roman"/>
          <w:sz w:val="24"/>
          <w:szCs w:val="24"/>
        </w:rPr>
        <w:t xml:space="preserve"> (2021)</w:t>
      </w:r>
      <w:r>
        <w:rPr>
          <w:rFonts w:ascii="Times New Roman" w:hAnsi="Times New Roman" w:cs="Times New Roman"/>
          <w:sz w:val="24"/>
          <w:szCs w:val="24"/>
        </w:rPr>
        <w:t>.</w:t>
      </w:r>
    </w:p>
    <w:p w14:paraId="30021A1D" w14:textId="77777777" w:rsidR="00EE5675" w:rsidRPr="002E4F7E" w:rsidRDefault="00EE5675" w:rsidP="00EE5675">
      <w:pPr>
        <w:pStyle w:val="Textoindependiente"/>
        <w:spacing w:line="360" w:lineRule="auto"/>
        <w:rPr>
          <w:b/>
          <w:bCs/>
          <w:lang w:val="en-IN" w:eastAsia="en-IN"/>
        </w:rPr>
      </w:pPr>
      <w:commentRangeStart w:id="1"/>
      <w:r w:rsidRPr="002E4F7E">
        <w:rPr>
          <w:b/>
          <w:bCs/>
          <w:lang w:val="en-IN" w:eastAsia="en-IN"/>
        </w:rPr>
        <w:t>OBJECTIVE</w:t>
      </w:r>
      <w:r w:rsidRPr="00A3764B">
        <w:rPr>
          <w:b/>
          <w:bCs/>
          <w:highlight w:val="yellow"/>
          <w:lang w:val="en-IN" w:eastAsia="en-IN"/>
        </w:rPr>
        <w:t>S</w:t>
      </w:r>
      <w:r w:rsidRPr="002E4F7E">
        <w:rPr>
          <w:b/>
          <w:bCs/>
          <w:lang w:val="en-IN" w:eastAsia="en-IN"/>
        </w:rPr>
        <w:t>:</w:t>
      </w:r>
      <w:commentRangeEnd w:id="1"/>
      <w:r w:rsidR="00A3764B">
        <w:rPr>
          <w:rStyle w:val="Refdecomentario"/>
          <w:rFonts w:ascii="Calibri" w:hAnsi="Calibri" w:cs="Mangal"/>
          <w:lang w:bidi="mr-IN"/>
        </w:rPr>
        <w:commentReference w:id="1"/>
      </w:r>
    </w:p>
    <w:p w14:paraId="5BB08E45" w14:textId="77777777" w:rsidR="00EE5675" w:rsidRPr="002E4F7E" w:rsidRDefault="00EE5675" w:rsidP="00EE5675">
      <w:pPr>
        <w:jc w:val="both"/>
        <w:rPr>
          <w:rFonts w:ascii="Times New Roman" w:hAnsi="Times New Roman" w:cs="Times New Roman"/>
          <w:b/>
          <w:bCs/>
          <w:sz w:val="24"/>
          <w:szCs w:val="24"/>
        </w:rPr>
      </w:pPr>
      <w:r w:rsidRPr="00A3764B">
        <w:rPr>
          <w:rFonts w:ascii="Times New Roman" w:hAnsi="Times New Roman" w:cs="Times New Roman"/>
          <w:sz w:val="24"/>
          <w:szCs w:val="24"/>
          <w:highlight w:val="yellow"/>
          <w:lang w:val="en-IN" w:eastAsia="en-IN"/>
        </w:rPr>
        <w:t>1.</w:t>
      </w:r>
      <w:r w:rsidRPr="002E4F7E">
        <w:rPr>
          <w:rFonts w:ascii="Times New Roman" w:hAnsi="Times New Roman" w:cs="Times New Roman"/>
          <w:sz w:val="24"/>
          <w:szCs w:val="24"/>
        </w:rPr>
        <w:t>To evaluate the effect of microbial inoculants and their consortia on</w:t>
      </w:r>
      <w:r w:rsidRPr="002E4F7E">
        <w:rPr>
          <w:rFonts w:ascii="Times New Roman" w:hAnsi="Times New Roman" w:cs="Times New Roman"/>
          <w:b/>
          <w:bCs/>
          <w:sz w:val="24"/>
          <w:szCs w:val="24"/>
        </w:rPr>
        <w:t xml:space="preserve"> </w:t>
      </w:r>
      <w:r w:rsidRPr="002E4F7E">
        <w:rPr>
          <w:rFonts w:ascii="Times New Roman" w:hAnsi="Times New Roman" w:cs="Times New Roman"/>
          <w:sz w:val="24"/>
          <w:szCs w:val="24"/>
        </w:rPr>
        <w:t xml:space="preserve">yield and soil nutrient availability in vertisol as influenced </w:t>
      </w:r>
      <w:commentRangeStart w:id="2"/>
      <w:r w:rsidRPr="002E4F7E">
        <w:rPr>
          <w:rFonts w:ascii="Times New Roman" w:hAnsi="Times New Roman" w:cs="Times New Roman"/>
          <w:sz w:val="24"/>
          <w:szCs w:val="24"/>
        </w:rPr>
        <w:t xml:space="preserve">by microbial inoculants </w:t>
      </w:r>
      <w:commentRangeEnd w:id="2"/>
      <w:r w:rsidR="00A3764B">
        <w:rPr>
          <w:rStyle w:val="Refdecomentario"/>
        </w:rPr>
        <w:commentReference w:id="2"/>
      </w:r>
      <w:r w:rsidRPr="002E4F7E">
        <w:rPr>
          <w:rFonts w:ascii="Times New Roman" w:hAnsi="Times New Roman" w:cs="Times New Roman"/>
          <w:sz w:val="24"/>
          <w:szCs w:val="24"/>
        </w:rPr>
        <w:t>and their consortia on maize.</w:t>
      </w:r>
      <w:r w:rsidRPr="002E4F7E">
        <w:rPr>
          <w:rFonts w:ascii="Times New Roman" w:hAnsi="Times New Roman" w:cs="Times New Roman"/>
          <w:b/>
          <w:bCs/>
          <w:sz w:val="24"/>
          <w:szCs w:val="24"/>
        </w:rPr>
        <w:t xml:space="preserve"> </w:t>
      </w:r>
    </w:p>
    <w:p w14:paraId="1F4ECEB3" w14:textId="77777777" w:rsidR="00EE5675" w:rsidRPr="002E4F7E" w:rsidRDefault="00EE5675" w:rsidP="00EE5675">
      <w:pPr>
        <w:pStyle w:val="Textoindependiente"/>
        <w:spacing w:line="360" w:lineRule="auto"/>
      </w:pPr>
    </w:p>
    <w:p w14:paraId="2D5C7681" w14:textId="77777777" w:rsidR="00EE5675" w:rsidRPr="00C53647" w:rsidRDefault="00EE5675" w:rsidP="00EE5675">
      <w:pPr>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MATERIALS AND METHODS </w:t>
      </w:r>
    </w:p>
    <w:p w14:paraId="4F3B05A9" w14:textId="77777777" w:rsidR="00EE5675" w:rsidRDefault="00EE5675" w:rsidP="00EE5675">
      <w:pPr>
        <w:pStyle w:val="Default"/>
        <w:spacing w:line="360" w:lineRule="auto"/>
        <w:jc w:val="both"/>
      </w:pPr>
      <w:r w:rsidRPr="00C53647">
        <w:t xml:space="preserve">               Field experiments on Maize were conducted during </w:t>
      </w:r>
      <w:r w:rsidRPr="00C53647">
        <w:rPr>
          <w:i/>
          <w:iCs/>
        </w:rPr>
        <w:t xml:space="preserve">kharif </w:t>
      </w:r>
      <w:r w:rsidRPr="00C53647">
        <w:t>2021-22 at Wheat and Maize Research Unite of Department of Soil Science and Agril. Chemistry, Vasantrao Naik Marathwada Krishi Vidyapeeth, Parbhani (M.S.), India on Vertisol to find Influence of microbial inoculants and their consortia on yield and nutrient uptake in maize grown on Vertisol. Ten treatments were used in the experiment, viz. T</w:t>
      </w:r>
      <w:r w:rsidRPr="00C53647">
        <w:rPr>
          <w:vertAlign w:val="subscript"/>
        </w:rPr>
        <w:t>1</w:t>
      </w:r>
      <w:r w:rsidRPr="00C53647">
        <w:t xml:space="preserve"> absolute control, T</w:t>
      </w:r>
      <w:r w:rsidRPr="00C53647">
        <w:rPr>
          <w:vertAlign w:val="subscript"/>
        </w:rPr>
        <w:t>2</w:t>
      </w:r>
      <w:r w:rsidRPr="00C53647">
        <w:t xml:space="preserve"> RDF, T</w:t>
      </w:r>
      <w:r w:rsidRPr="00C53647">
        <w:rPr>
          <w:vertAlign w:val="subscript"/>
        </w:rPr>
        <w:t>3</w:t>
      </w:r>
      <w:r w:rsidRPr="00C53647">
        <w:t xml:space="preserve"> RDF + </w:t>
      </w:r>
      <w:r w:rsidRPr="00C53647">
        <w:rPr>
          <w:i/>
          <w:iCs/>
        </w:rPr>
        <w:t>Azospirillum</w:t>
      </w:r>
      <w:r w:rsidRPr="00C53647">
        <w:t>, T</w:t>
      </w:r>
      <w:r w:rsidRPr="00C53647">
        <w:rPr>
          <w:vertAlign w:val="subscript"/>
        </w:rPr>
        <w:t>4</w:t>
      </w:r>
      <w:r w:rsidRPr="00C53647">
        <w:t xml:space="preserve"> RDF + </w:t>
      </w:r>
      <w:r w:rsidRPr="00C53647">
        <w:rPr>
          <w:i/>
          <w:iCs/>
        </w:rPr>
        <w:t>Azospirillum</w:t>
      </w:r>
      <w:r w:rsidRPr="00C53647">
        <w:t xml:space="preserve"> + PSB, T</w:t>
      </w:r>
      <w:r w:rsidRPr="00C53647">
        <w:rPr>
          <w:vertAlign w:val="subscript"/>
        </w:rPr>
        <w:t>5</w:t>
      </w:r>
      <w:r w:rsidRPr="00C53647">
        <w:t xml:space="preserve"> RDF + </w:t>
      </w:r>
      <w:r w:rsidRPr="00C53647">
        <w:rPr>
          <w:i/>
          <w:iCs/>
        </w:rPr>
        <w:t>Azospirillum</w:t>
      </w:r>
      <w:r w:rsidRPr="00C53647">
        <w:t xml:space="preserve"> + KSB, T</w:t>
      </w:r>
      <w:r w:rsidRPr="00C53647">
        <w:rPr>
          <w:vertAlign w:val="subscript"/>
        </w:rPr>
        <w:t>6</w:t>
      </w:r>
      <w:r w:rsidRPr="00C53647">
        <w:t xml:space="preserve"> RDF + </w:t>
      </w:r>
      <w:r w:rsidRPr="00C53647">
        <w:rPr>
          <w:i/>
          <w:iCs/>
        </w:rPr>
        <w:t xml:space="preserve">Azospirillum </w:t>
      </w:r>
      <w:r w:rsidRPr="00C53647">
        <w:t>+ SSB, T</w:t>
      </w:r>
      <w:r w:rsidRPr="00C53647">
        <w:rPr>
          <w:vertAlign w:val="subscript"/>
        </w:rPr>
        <w:t>7</w:t>
      </w:r>
      <w:r w:rsidRPr="00C53647">
        <w:t xml:space="preserve"> RDF + </w:t>
      </w:r>
      <w:r w:rsidRPr="00C53647">
        <w:rPr>
          <w:i/>
          <w:iCs/>
        </w:rPr>
        <w:t>Azospirillum</w:t>
      </w:r>
      <w:r w:rsidRPr="00C53647">
        <w:t xml:space="preserve"> + ZnSB, T</w:t>
      </w:r>
      <w:r w:rsidRPr="00C53647">
        <w:rPr>
          <w:vertAlign w:val="subscript"/>
        </w:rPr>
        <w:t>8</w:t>
      </w:r>
      <w:r w:rsidRPr="00C53647">
        <w:t xml:space="preserve"> RDF + </w:t>
      </w:r>
      <w:r w:rsidRPr="00C53647">
        <w:rPr>
          <w:i/>
          <w:iCs/>
        </w:rPr>
        <w:t>Azospirillum</w:t>
      </w:r>
      <w:r w:rsidRPr="00C53647">
        <w:t xml:space="preserve"> + PSB + KSB, T</w:t>
      </w:r>
      <w:r w:rsidRPr="00C53647">
        <w:rPr>
          <w:vertAlign w:val="subscript"/>
        </w:rPr>
        <w:t>9</w:t>
      </w:r>
      <w:r w:rsidRPr="00C53647">
        <w:t xml:space="preserve"> RDF + </w:t>
      </w:r>
      <w:r w:rsidRPr="00C53647">
        <w:rPr>
          <w:i/>
          <w:iCs/>
        </w:rPr>
        <w:t>Azospirillum</w:t>
      </w:r>
      <w:r w:rsidRPr="00C53647">
        <w:t xml:space="preserve"> + PSB + SSB, T</w:t>
      </w:r>
      <w:r w:rsidRPr="00C53647">
        <w:rPr>
          <w:vertAlign w:val="subscript"/>
        </w:rPr>
        <w:t>10</w:t>
      </w:r>
      <w:r w:rsidRPr="00C53647">
        <w:t xml:space="preserve"> RDF + </w:t>
      </w:r>
      <w:r w:rsidRPr="00C53647">
        <w:rPr>
          <w:i/>
          <w:iCs/>
        </w:rPr>
        <w:t xml:space="preserve">Azospirillum </w:t>
      </w:r>
      <w:r w:rsidRPr="00C53647">
        <w:t>+ PSB + ZnSB, the experiment was laid out in a Randomized Block Design (RBD) with ten treatments and three replications. The unit plot size was 45 m</w:t>
      </w:r>
      <w:r w:rsidRPr="00C53647">
        <w:rPr>
          <w:vertAlign w:val="superscript"/>
        </w:rPr>
        <w:t>2</w:t>
      </w:r>
      <w:r w:rsidRPr="00C53647">
        <w:t xml:space="preserve"> (4 m x 4.5 m). Spacing Row to row 60 cm and Plant to plant 20 cm for Maize. </w:t>
      </w:r>
      <w:r w:rsidRPr="00C53647">
        <w:rPr>
          <w:rFonts w:eastAsia="Times New Roman"/>
          <w:lang w:bidi="mr-IN"/>
        </w:rPr>
        <w:t>Seeds were sown at the rate of 15 kg ha</w:t>
      </w:r>
      <w:r w:rsidRPr="00C53647">
        <w:rPr>
          <w:rFonts w:eastAsia="Times New Roman"/>
          <w:vertAlign w:val="superscript"/>
          <w:lang w:bidi="mr-IN"/>
        </w:rPr>
        <w:t>-1</w:t>
      </w:r>
      <w:r w:rsidRPr="00C53647">
        <w:rPr>
          <w:rFonts w:eastAsia="Times New Roman"/>
          <w:lang w:bidi="mr-IN"/>
        </w:rPr>
        <w:t xml:space="preserve"> for Maize. The fertilizers were applied N: P</w:t>
      </w:r>
      <w:r w:rsidRPr="009275A7">
        <w:rPr>
          <w:rFonts w:eastAsia="Times New Roman"/>
          <w:vertAlign w:val="subscript"/>
          <w:lang w:bidi="mr-IN"/>
        </w:rPr>
        <w:t>2</w:t>
      </w:r>
      <w:r w:rsidRPr="00C53647">
        <w:rPr>
          <w:rFonts w:eastAsia="Times New Roman"/>
          <w:lang w:bidi="mr-IN"/>
        </w:rPr>
        <w:t>O</w:t>
      </w:r>
      <w:r w:rsidRPr="009275A7">
        <w:rPr>
          <w:rFonts w:eastAsia="Times New Roman"/>
          <w:vertAlign w:val="subscript"/>
          <w:lang w:bidi="mr-IN"/>
        </w:rPr>
        <w:t>5</w:t>
      </w:r>
      <w:r w:rsidRPr="00C53647">
        <w:rPr>
          <w:rFonts w:eastAsia="Times New Roman"/>
          <w:lang w:bidi="mr-IN"/>
        </w:rPr>
        <w:t>: K</w:t>
      </w:r>
      <w:r w:rsidRPr="009275A7">
        <w:rPr>
          <w:rFonts w:eastAsia="Times New Roman"/>
          <w:vertAlign w:val="subscript"/>
          <w:lang w:bidi="mr-IN"/>
        </w:rPr>
        <w:t>2</w:t>
      </w:r>
      <w:r w:rsidRPr="00C53647">
        <w:rPr>
          <w:rFonts w:eastAsia="Times New Roman"/>
          <w:lang w:bidi="mr-IN"/>
        </w:rPr>
        <w:t>O 120:60:40 kg ha</w:t>
      </w:r>
      <w:r w:rsidRPr="00C53647">
        <w:rPr>
          <w:rFonts w:eastAsia="Times New Roman"/>
          <w:vertAlign w:val="superscript"/>
          <w:lang w:bidi="mr-IN"/>
        </w:rPr>
        <w:t>-1</w:t>
      </w:r>
      <w:r w:rsidRPr="00C53647">
        <w:rPr>
          <w:rFonts w:eastAsia="Times New Roman"/>
          <w:lang w:bidi="mr-IN"/>
        </w:rPr>
        <w:t xml:space="preserve"> for Maize. </w:t>
      </w:r>
      <w:r w:rsidRPr="00C53647">
        <w:t xml:space="preserve">Urea, single super phosphate and muriate of potash were used as fertilizer sources for field.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 xml:space="preserve">(Consortia-I), </w:t>
      </w:r>
      <w:r w:rsidRPr="00C53647">
        <w:rPr>
          <w:i/>
          <w:iCs/>
        </w:rPr>
        <w:t>Azospirillum lipoferum</w:t>
      </w:r>
      <w:r w:rsidRPr="00C53647">
        <w:rPr>
          <w:i/>
          <w:iCs/>
          <w:color w:val="202124"/>
          <w:shd w:val="clear" w:color="auto" w:fill="FFFFFF"/>
        </w:rPr>
        <w:t xml:space="preserve"> </w:t>
      </w:r>
      <w:r w:rsidRPr="00C53647">
        <w:rPr>
          <w:color w:val="202124"/>
          <w:shd w:val="clear" w:color="auto" w:fill="FFFFFF"/>
        </w:rPr>
        <w:t xml:space="preserve">with </w:t>
      </w:r>
      <w:r w:rsidRPr="00C53647">
        <w:rPr>
          <w:i/>
          <w:iCs/>
          <w:color w:val="202124"/>
          <w:shd w:val="clear" w:color="auto" w:fill="FFFFFF"/>
        </w:rPr>
        <w:t xml:space="preserve">Frateuria aurantia </w:t>
      </w:r>
      <w:r w:rsidRPr="00C53647">
        <w:rPr>
          <w:color w:val="202124"/>
          <w:shd w:val="clear" w:color="auto" w:fill="FFFFFF"/>
        </w:rPr>
        <w:t>(Consortia-II),</w:t>
      </w:r>
      <w:r w:rsidRPr="00C53647">
        <w:rPr>
          <w:i/>
          <w:iCs/>
          <w:color w:val="202124"/>
          <w:shd w:val="clear" w:color="auto" w:fill="FFFFFF"/>
        </w:rPr>
        <w:t xml:space="preserve"> </w:t>
      </w:r>
      <w:r w:rsidRPr="00C53647">
        <w:rPr>
          <w:i/>
          <w:iCs/>
        </w:rPr>
        <w:t>Azospirillum lipoferum</w:t>
      </w:r>
      <w:r w:rsidRPr="00C53647">
        <w:rPr>
          <w:rFonts w:eastAsia="Times New Roman"/>
          <w:i/>
        </w:rPr>
        <w:t xml:space="preserve"> </w:t>
      </w:r>
      <w:r w:rsidRPr="00C53647">
        <w:rPr>
          <w:rFonts w:eastAsia="Times New Roman"/>
          <w:iCs/>
        </w:rPr>
        <w:t>with</w:t>
      </w:r>
      <w:r w:rsidRPr="00C53647">
        <w:rPr>
          <w:rFonts w:eastAsia="Times New Roman"/>
          <w:i/>
        </w:rPr>
        <w:t xml:space="preserve"> Thiobacillus thiooxidans </w:t>
      </w:r>
      <w:r w:rsidRPr="00C53647">
        <w:rPr>
          <w:rFonts w:eastAsia="Times New Roman"/>
          <w:iCs/>
        </w:rPr>
        <w:t>(Consortia-III),</w:t>
      </w:r>
      <w:r w:rsidRPr="00C53647">
        <w:rPr>
          <w:rFonts w:eastAsia="Times New Roman"/>
          <w:i/>
        </w:rPr>
        <w:t xml:space="preserve"> </w:t>
      </w:r>
      <w:r w:rsidRPr="00C53647">
        <w:rPr>
          <w:i/>
          <w:iCs/>
        </w:rPr>
        <w:t xml:space="preserve">Azospirillum lipoferum </w:t>
      </w:r>
      <w:r w:rsidRPr="00C53647">
        <w:t xml:space="preserve">with </w:t>
      </w:r>
      <w:r w:rsidRPr="00C53647">
        <w:rPr>
          <w:i/>
          <w:iCs/>
        </w:rPr>
        <w:t xml:space="preserve">Pseudomonas striata </w:t>
      </w:r>
      <w:r w:rsidRPr="00C53647">
        <w:t>(Consortia-IV),</w:t>
      </w:r>
      <w:r w:rsidRPr="00C53647">
        <w:rPr>
          <w:i/>
          <w:iCs/>
        </w:rPr>
        <w:t xml:space="preserve"> Azospirillum lipoferum </w:t>
      </w:r>
      <w:r w:rsidRPr="00C53647">
        <w:t xml:space="preserve">with  </w:t>
      </w:r>
      <w:r w:rsidRPr="00C53647">
        <w:rPr>
          <w:i/>
          <w:iCs/>
        </w:rPr>
        <w:t>Bacillus megaterium</w:t>
      </w:r>
      <w:r w:rsidRPr="00C53647">
        <w:rPr>
          <w:b/>
          <w:bCs/>
        </w:rPr>
        <w:t xml:space="preserve"> </w:t>
      </w:r>
      <w:r w:rsidRPr="00C53647">
        <w:t>and</w:t>
      </w:r>
      <w:r w:rsidRPr="00C53647">
        <w:rPr>
          <w:b/>
          <w:bCs/>
        </w:rPr>
        <w:t xml:space="preserve"> </w:t>
      </w:r>
      <w:r w:rsidRPr="00C53647">
        <w:rPr>
          <w:i/>
          <w:iCs/>
          <w:color w:val="202124"/>
          <w:shd w:val="clear" w:color="auto" w:fill="FFFFFF"/>
        </w:rPr>
        <w:t xml:space="preserve">Frateuria aurantia </w:t>
      </w:r>
      <w:r w:rsidRPr="00C53647">
        <w:t>(Consortia-V),</w:t>
      </w:r>
      <w:r w:rsidRPr="00C53647">
        <w:rPr>
          <w:b/>
          <w:bCs/>
        </w:rPr>
        <w:t xml:space="preserve">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and</w:t>
      </w:r>
      <w:r w:rsidRPr="00C53647">
        <w:rPr>
          <w:b/>
          <w:bCs/>
        </w:rPr>
        <w:t xml:space="preserve"> </w:t>
      </w:r>
      <w:r w:rsidRPr="00C53647">
        <w:rPr>
          <w:rFonts w:eastAsia="Times New Roman"/>
          <w:i/>
        </w:rPr>
        <w:t>Thiobacillus thiooxidans</w:t>
      </w:r>
      <w:r w:rsidRPr="00C53647">
        <w:rPr>
          <w:i/>
          <w:iCs/>
        </w:rPr>
        <w:t xml:space="preserve"> </w:t>
      </w:r>
      <w:r w:rsidRPr="00C53647">
        <w:t>(Consortia-VI),</w:t>
      </w:r>
      <w:r w:rsidRPr="00C53647">
        <w:rPr>
          <w:b/>
          <w:bCs/>
          <w:i/>
          <w:iCs/>
        </w:rPr>
        <w:t xml:space="preserve">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 xml:space="preserve">and </w:t>
      </w:r>
      <w:r w:rsidRPr="00C53647">
        <w:rPr>
          <w:i/>
          <w:iCs/>
        </w:rPr>
        <w:t>Pseudomonas striata</w:t>
      </w:r>
      <w:r w:rsidRPr="00C53647">
        <w:rPr>
          <w:b/>
          <w:bCs/>
        </w:rPr>
        <w:t xml:space="preserve"> </w:t>
      </w:r>
      <w:r w:rsidRPr="00C53647">
        <w:t>(Consortia-VII) for Maize was obtained from ICAR - All India Network Project on Soil Biodiversity – Biofertilizers and used for seed treatment @ 10 ml per kg of Maize seed. Seed treatment was done before sowing. Seeds were dried in shed and used for sowing.</w:t>
      </w:r>
      <w:r>
        <w:t xml:space="preserve"> </w:t>
      </w:r>
    </w:p>
    <w:p w14:paraId="2654F339" w14:textId="10D99061" w:rsidR="00EE5675" w:rsidRPr="00883489" w:rsidRDefault="00EE5675" w:rsidP="00EE5675">
      <w:pPr>
        <w:pStyle w:val="Default"/>
        <w:spacing w:line="360" w:lineRule="auto"/>
        <w:jc w:val="both"/>
        <w:rPr>
          <w:b/>
          <w:bCs/>
        </w:rPr>
      </w:pPr>
      <w:r>
        <w:rPr>
          <w:b/>
          <w:bCs/>
        </w:rPr>
        <w:t xml:space="preserve">Table No 1 </w:t>
      </w:r>
      <w:r w:rsidRPr="00883489">
        <w:rPr>
          <w:b/>
          <w:bCs/>
        </w:rPr>
        <w:t>Treatment details given below</w:t>
      </w:r>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993"/>
        <w:gridCol w:w="6607"/>
      </w:tblGrid>
      <w:tr w:rsidR="00EE5675" w:rsidRPr="00B32EF8" w14:paraId="55265670" w14:textId="77777777" w:rsidTr="00144954">
        <w:trPr>
          <w:trHeight w:val="432"/>
        </w:trPr>
        <w:tc>
          <w:tcPr>
            <w:tcW w:w="675" w:type="dxa"/>
          </w:tcPr>
          <w:p w14:paraId="2403887B" w14:textId="77777777" w:rsidR="00EE5675" w:rsidRPr="007B7FA7" w:rsidRDefault="00EE5675" w:rsidP="00144954">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Sr. No.</w:t>
            </w:r>
          </w:p>
        </w:tc>
        <w:tc>
          <w:tcPr>
            <w:tcW w:w="993" w:type="dxa"/>
          </w:tcPr>
          <w:p w14:paraId="3697A80E" w14:textId="77777777" w:rsidR="00EE5675" w:rsidRPr="007B7FA7" w:rsidRDefault="00EE5675" w:rsidP="00144954">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Treatments</w:t>
            </w:r>
          </w:p>
        </w:tc>
        <w:tc>
          <w:tcPr>
            <w:tcW w:w="6607" w:type="dxa"/>
          </w:tcPr>
          <w:p w14:paraId="731704F6" w14:textId="77777777" w:rsidR="00EE5675" w:rsidRPr="007B7FA7" w:rsidRDefault="00EE5675" w:rsidP="00144954">
            <w:pPr>
              <w:pStyle w:val="Normal1"/>
              <w:pBdr>
                <w:top w:val="nil"/>
                <w:left w:val="nil"/>
                <w:bottom w:val="nil"/>
                <w:right w:val="nil"/>
                <w:between w:val="nil"/>
              </w:pBd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Treatment details</w:t>
            </w:r>
          </w:p>
        </w:tc>
      </w:tr>
      <w:tr w:rsidR="00EE5675" w:rsidRPr="00B32EF8" w14:paraId="698553E0" w14:textId="77777777" w:rsidTr="00144954">
        <w:trPr>
          <w:trHeight w:val="432"/>
        </w:trPr>
        <w:tc>
          <w:tcPr>
            <w:tcW w:w="675" w:type="dxa"/>
          </w:tcPr>
          <w:p w14:paraId="3ACEF74E"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1</w:t>
            </w:r>
          </w:p>
        </w:tc>
        <w:tc>
          <w:tcPr>
            <w:tcW w:w="993" w:type="dxa"/>
          </w:tcPr>
          <w:p w14:paraId="30F24567"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6A5384">
              <w:rPr>
                <w:rFonts w:ascii="Times New Roman" w:eastAsia="Times New Roman" w:hAnsi="Times New Roman" w:cs="Times New Roman"/>
                <w:bCs/>
                <w:color w:val="000000"/>
                <w:sz w:val="24"/>
                <w:szCs w:val="24"/>
                <w:vertAlign w:val="subscript"/>
              </w:rPr>
              <w:t>1</w:t>
            </w:r>
          </w:p>
        </w:tc>
        <w:tc>
          <w:tcPr>
            <w:tcW w:w="6607" w:type="dxa"/>
          </w:tcPr>
          <w:p w14:paraId="595D40A1" w14:textId="77777777" w:rsidR="00EE5675" w:rsidRPr="00B32EF8" w:rsidRDefault="00EE5675" w:rsidP="0014495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Absolute control</w:t>
            </w:r>
          </w:p>
        </w:tc>
      </w:tr>
      <w:tr w:rsidR="00EE5675" w:rsidRPr="0090246A" w14:paraId="094F9A1B" w14:textId="77777777" w:rsidTr="00144954">
        <w:trPr>
          <w:trHeight w:val="432"/>
        </w:trPr>
        <w:tc>
          <w:tcPr>
            <w:tcW w:w="675" w:type="dxa"/>
          </w:tcPr>
          <w:p w14:paraId="3AEFAE17"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2</w:t>
            </w:r>
          </w:p>
        </w:tc>
        <w:tc>
          <w:tcPr>
            <w:tcW w:w="993" w:type="dxa"/>
          </w:tcPr>
          <w:p w14:paraId="17F6698C"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6A5384">
              <w:rPr>
                <w:rFonts w:ascii="Times New Roman" w:eastAsia="Times New Roman" w:hAnsi="Times New Roman" w:cs="Times New Roman"/>
                <w:bCs/>
                <w:color w:val="000000"/>
                <w:sz w:val="24"/>
                <w:szCs w:val="24"/>
                <w:vertAlign w:val="subscript"/>
              </w:rPr>
              <w:t>2</w:t>
            </w:r>
          </w:p>
        </w:tc>
        <w:tc>
          <w:tcPr>
            <w:tcW w:w="6607" w:type="dxa"/>
          </w:tcPr>
          <w:p w14:paraId="633BD462"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color w:val="000000"/>
                <w:sz w:val="24"/>
                <w:szCs w:val="24"/>
                <w:lang w:val="pt-BR"/>
              </w:rPr>
            </w:pPr>
            <w:r w:rsidRPr="0090246A">
              <w:rPr>
                <w:rFonts w:ascii="Times New Roman" w:eastAsia="Times New Roman" w:hAnsi="Times New Roman" w:cs="Times New Roman"/>
                <w:sz w:val="24"/>
                <w:szCs w:val="24"/>
                <w:lang w:val="pt-BR"/>
              </w:rPr>
              <w:t>RDF (</w:t>
            </w:r>
            <w:r w:rsidRPr="0090246A">
              <w:rPr>
                <w:rFonts w:ascii="Times New Roman" w:eastAsia="Times New Roman" w:hAnsi="Times New Roman" w:cs="Times New Roman"/>
                <w:color w:val="000000"/>
                <w:sz w:val="24"/>
                <w:szCs w:val="24"/>
                <w:lang w:val="pt-BR"/>
              </w:rPr>
              <w:t>120:60:40 N: P</w:t>
            </w:r>
            <w:r w:rsidRPr="0090246A">
              <w:rPr>
                <w:rFonts w:ascii="Times New Roman" w:eastAsia="Times New Roman" w:hAnsi="Times New Roman" w:cs="Times New Roman"/>
                <w:color w:val="000000"/>
                <w:sz w:val="24"/>
                <w:szCs w:val="24"/>
                <w:vertAlign w:val="subscript"/>
                <w:lang w:val="pt-BR"/>
              </w:rPr>
              <w:t>2</w:t>
            </w:r>
            <w:r w:rsidRPr="0090246A">
              <w:rPr>
                <w:rFonts w:ascii="Times New Roman" w:eastAsia="Times New Roman" w:hAnsi="Times New Roman" w:cs="Times New Roman"/>
                <w:color w:val="000000"/>
                <w:sz w:val="24"/>
                <w:szCs w:val="24"/>
                <w:lang w:val="pt-BR"/>
              </w:rPr>
              <w:t>O</w:t>
            </w:r>
            <w:r w:rsidRPr="0090246A">
              <w:rPr>
                <w:rFonts w:ascii="Times New Roman" w:eastAsia="Times New Roman" w:hAnsi="Times New Roman" w:cs="Times New Roman"/>
                <w:color w:val="000000"/>
                <w:sz w:val="24"/>
                <w:szCs w:val="24"/>
                <w:vertAlign w:val="subscript"/>
                <w:lang w:val="pt-BR"/>
              </w:rPr>
              <w:t>5</w:t>
            </w:r>
            <w:r w:rsidRPr="0090246A">
              <w:rPr>
                <w:rFonts w:ascii="Times New Roman" w:eastAsia="Times New Roman" w:hAnsi="Times New Roman" w:cs="Times New Roman"/>
                <w:color w:val="000000"/>
                <w:sz w:val="24"/>
                <w:szCs w:val="24"/>
                <w:lang w:val="pt-BR"/>
              </w:rPr>
              <w:t>: K</w:t>
            </w:r>
            <w:r w:rsidRPr="0090246A">
              <w:rPr>
                <w:rFonts w:ascii="Times New Roman" w:eastAsia="Times New Roman" w:hAnsi="Times New Roman" w:cs="Times New Roman"/>
                <w:color w:val="000000"/>
                <w:sz w:val="24"/>
                <w:szCs w:val="24"/>
                <w:vertAlign w:val="subscript"/>
                <w:lang w:val="pt-BR"/>
              </w:rPr>
              <w:t>2</w:t>
            </w:r>
            <w:r w:rsidRPr="0090246A">
              <w:rPr>
                <w:rFonts w:ascii="Times New Roman" w:eastAsia="Times New Roman" w:hAnsi="Times New Roman" w:cs="Times New Roman"/>
                <w:color w:val="000000"/>
                <w:sz w:val="24"/>
                <w:szCs w:val="24"/>
                <w:lang w:val="pt-BR"/>
              </w:rPr>
              <w:t xml:space="preserve">O kg </w:t>
            </w:r>
            <w:proofErr w:type="spellStart"/>
            <w:r w:rsidRPr="0090246A">
              <w:rPr>
                <w:rFonts w:ascii="Times New Roman" w:eastAsia="Times New Roman" w:hAnsi="Times New Roman" w:cs="Times New Roman"/>
                <w:color w:val="000000"/>
                <w:sz w:val="24"/>
                <w:szCs w:val="24"/>
                <w:lang w:val="pt-BR"/>
              </w:rPr>
              <w:t>ha</w:t>
            </w:r>
            <w:proofErr w:type="spellEnd"/>
            <w:r w:rsidRPr="0090246A">
              <w:rPr>
                <w:rFonts w:ascii="Times New Roman" w:eastAsia="Times New Roman" w:hAnsi="Times New Roman" w:cs="Times New Roman"/>
                <w:color w:val="000000"/>
                <w:sz w:val="24"/>
                <w:szCs w:val="24"/>
                <w:vertAlign w:val="superscript"/>
                <w:lang w:val="pt-BR"/>
              </w:rPr>
              <w:t>-1</w:t>
            </w:r>
            <w:r w:rsidRPr="0090246A">
              <w:rPr>
                <w:rFonts w:ascii="Times New Roman" w:eastAsia="Times New Roman" w:hAnsi="Times New Roman" w:cs="Times New Roman"/>
                <w:color w:val="000000"/>
                <w:sz w:val="24"/>
                <w:szCs w:val="24"/>
                <w:lang w:val="pt-BR"/>
              </w:rPr>
              <w:t>)</w:t>
            </w:r>
          </w:p>
        </w:tc>
      </w:tr>
      <w:tr w:rsidR="00EE5675" w:rsidRPr="0090246A" w14:paraId="52ACD430"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25D5DAAC"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1832C118"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2</w:t>
            </w:r>
          </w:p>
        </w:tc>
        <w:tc>
          <w:tcPr>
            <w:tcW w:w="6607" w:type="dxa"/>
            <w:tcBorders>
              <w:top w:val="single" w:sz="4" w:space="0" w:color="000000"/>
              <w:left w:val="single" w:sz="4" w:space="0" w:color="000000"/>
              <w:bottom w:val="single" w:sz="4" w:space="0" w:color="000000"/>
              <w:right w:val="single" w:sz="4" w:space="0" w:color="000000"/>
            </w:tcBorders>
          </w:tcPr>
          <w:p w14:paraId="6E266991"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pt-BR"/>
              </w:rPr>
            </w:pPr>
            <w:r w:rsidRPr="0090246A">
              <w:rPr>
                <w:rFonts w:ascii="Times New Roman" w:eastAsia="Times New Roman" w:hAnsi="Times New Roman" w:cs="Times New Roman"/>
                <w:sz w:val="24"/>
                <w:szCs w:val="24"/>
                <w:lang w:val="pt-BR"/>
              </w:rPr>
              <w:t xml:space="preserve">RDF (120:60:40 N: P2O5: K2O kg </w:t>
            </w:r>
            <w:proofErr w:type="spellStart"/>
            <w:r w:rsidRPr="0090246A">
              <w:rPr>
                <w:rFonts w:ascii="Times New Roman" w:eastAsia="Times New Roman" w:hAnsi="Times New Roman" w:cs="Times New Roman"/>
                <w:sz w:val="24"/>
                <w:szCs w:val="24"/>
                <w:lang w:val="pt-BR"/>
              </w:rPr>
              <w:t>ha</w:t>
            </w:r>
            <w:proofErr w:type="spellEnd"/>
            <w:r w:rsidRPr="0090246A">
              <w:rPr>
                <w:rFonts w:ascii="Times New Roman" w:eastAsia="Times New Roman" w:hAnsi="Times New Roman" w:cs="Times New Roman"/>
                <w:sz w:val="24"/>
                <w:szCs w:val="24"/>
                <w:lang w:val="pt-BR"/>
              </w:rPr>
              <w:t>-1)</w:t>
            </w:r>
          </w:p>
        </w:tc>
      </w:tr>
      <w:tr w:rsidR="00EE5675" w:rsidRPr="006A5384" w14:paraId="2B73AF08"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B5520A9"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1BD2CA77"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3</w:t>
            </w:r>
          </w:p>
        </w:tc>
        <w:tc>
          <w:tcPr>
            <w:tcW w:w="6607" w:type="dxa"/>
            <w:tcBorders>
              <w:top w:val="single" w:sz="4" w:space="0" w:color="000000"/>
              <w:left w:val="single" w:sz="4" w:space="0" w:color="000000"/>
              <w:bottom w:val="single" w:sz="4" w:space="0" w:color="000000"/>
              <w:right w:val="single" w:sz="4" w:space="0" w:color="000000"/>
            </w:tcBorders>
          </w:tcPr>
          <w:p w14:paraId="00ADED42"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inoculation</w:t>
            </w:r>
          </w:p>
        </w:tc>
      </w:tr>
      <w:tr w:rsidR="00EE5675" w:rsidRPr="0090246A" w14:paraId="6F8E8B9B"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100E8646"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1841EB89"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4</w:t>
            </w:r>
          </w:p>
        </w:tc>
        <w:tc>
          <w:tcPr>
            <w:tcW w:w="6607" w:type="dxa"/>
            <w:tcBorders>
              <w:top w:val="single" w:sz="4" w:space="0" w:color="000000"/>
              <w:left w:val="single" w:sz="4" w:space="0" w:color="000000"/>
              <w:bottom w:val="single" w:sz="4" w:space="0" w:color="000000"/>
              <w:right w:val="single" w:sz="4" w:space="0" w:color="000000"/>
            </w:tcBorders>
          </w:tcPr>
          <w:p w14:paraId="33F5962A"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T2 + Azospirillum + PSB inoculation (consortia - Ⅰ)</w:t>
            </w:r>
          </w:p>
        </w:tc>
      </w:tr>
      <w:tr w:rsidR="00EE5675" w:rsidRPr="0090246A" w14:paraId="667865C3"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A8EA04C"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5CA863E4"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5</w:t>
            </w:r>
          </w:p>
        </w:tc>
        <w:tc>
          <w:tcPr>
            <w:tcW w:w="6607" w:type="dxa"/>
            <w:tcBorders>
              <w:top w:val="single" w:sz="4" w:space="0" w:color="000000"/>
              <w:left w:val="single" w:sz="4" w:space="0" w:color="000000"/>
              <w:bottom w:val="single" w:sz="4" w:space="0" w:color="000000"/>
              <w:right w:val="single" w:sz="4" w:space="0" w:color="000000"/>
            </w:tcBorders>
          </w:tcPr>
          <w:p w14:paraId="430D0B54"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T2 + Azospirillum + KSB inoculation (consortia - Ⅱ)</w:t>
            </w:r>
          </w:p>
        </w:tc>
      </w:tr>
      <w:tr w:rsidR="00EE5675" w:rsidRPr="0090246A" w14:paraId="0DE925C3"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33E4D849"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6D4A3851"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6</w:t>
            </w:r>
          </w:p>
        </w:tc>
        <w:tc>
          <w:tcPr>
            <w:tcW w:w="6607" w:type="dxa"/>
            <w:tcBorders>
              <w:top w:val="single" w:sz="4" w:space="0" w:color="000000"/>
              <w:left w:val="single" w:sz="4" w:space="0" w:color="000000"/>
              <w:bottom w:val="single" w:sz="4" w:space="0" w:color="000000"/>
              <w:right w:val="single" w:sz="4" w:space="0" w:color="000000"/>
            </w:tcBorders>
          </w:tcPr>
          <w:p w14:paraId="535F666C"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T2 + Azospirillum + SSB inoculation (consortia - Ⅲ)</w:t>
            </w:r>
          </w:p>
        </w:tc>
      </w:tr>
      <w:tr w:rsidR="00EE5675" w:rsidRPr="0090246A" w14:paraId="0AEDAE89"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45A6C3A"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14:paraId="5BF6C45C"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7</w:t>
            </w:r>
          </w:p>
        </w:tc>
        <w:tc>
          <w:tcPr>
            <w:tcW w:w="6607" w:type="dxa"/>
            <w:tcBorders>
              <w:top w:val="single" w:sz="4" w:space="0" w:color="000000"/>
              <w:left w:val="single" w:sz="4" w:space="0" w:color="000000"/>
              <w:bottom w:val="single" w:sz="4" w:space="0" w:color="000000"/>
              <w:right w:val="single" w:sz="4" w:space="0" w:color="000000"/>
            </w:tcBorders>
          </w:tcPr>
          <w:p w14:paraId="24D7EEB7"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 xml:space="preserve">T2 + Azospirillum + </w:t>
            </w:r>
            <w:proofErr w:type="spellStart"/>
            <w:r w:rsidRPr="0090246A">
              <w:rPr>
                <w:rFonts w:ascii="Times New Roman" w:eastAsia="Times New Roman" w:hAnsi="Times New Roman" w:cs="Times New Roman"/>
                <w:sz w:val="24"/>
                <w:szCs w:val="24"/>
                <w:lang w:val="fr-FR"/>
              </w:rPr>
              <w:t>ZnSB</w:t>
            </w:r>
            <w:proofErr w:type="spellEnd"/>
            <w:r w:rsidRPr="0090246A">
              <w:rPr>
                <w:rFonts w:ascii="Times New Roman" w:eastAsia="Times New Roman" w:hAnsi="Times New Roman" w:cs="Times New Roman"/>
                <w:sz w:val="24"/>
                <w:szCs w:val="24"/>
                <w:lang w:val="fr-FR"/>
              </w:rPr>
              <w:t xml:space="preserve"> inoculation (consortia - Ⅳ)</w:t>
            </w:r>
          </w:p>
        </w:tc>
      </w:tr>
      <w:tr w:rsidR="00EE5675" w:rsidRPr="0090246A" w14:paraId="52D53FBF"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5B4D7F41"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8</w:t>
            </w:r>
          </w:p>
        </w:tc>
        <w:tc>
          <w:tcPr>
            <w:tcW w:w="993" w:type="dxa"/>
            <w:tcBorders>
              <w:top w:val="single" w:sz="4" w:space="0" w:color="000000"/>
              <w:left w:val="single" w:sz="4" w:space="0" w:color="000000"/>
              <w:bottom w:val="single" w:sz="4" w:space="0" w:color="000000"/>
              <w:right w:val="single" w:sz="4" w:space="0" w:color="000000"/>
            </w:tcBorders>
          </w:tcPr>
          <w:p w14:paraId="4717D760"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8</w:t>
            </w:r>
          </w:p>
        </w:tc>
        <w:tc>
          <w:tcPr>
            <w:tcW w:w="6607" w:type="dxa"/>
            <w:tcBorders>
              <w:top w:val="single" w:sz="4" w:space="0" w:color="000000"/>
              <w:left w:val="single" w:sz="4" w:space="0" w:color="000000"/>
              <w:bottom w:val="single" w:sz="4" w:space="0" w:color="000000"/>
              <w:right w:val="single" w:sz="4" w:space="0" w:color="000000"/>
            </w:tcBorders>
          </w:tcPr>
          <w:p w14:paraId="78AE53E4"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T2 + Azospirillum + PSB + KSB inoculation (consortia - Ⅴ)</w:t>
            </w:r>
          </w:p>
        </w:tc>
      </w:tr>
      <w:tr w:rsidR="00EE5675" w:rsidRPr="0090246A" w14:paraId="4B7C8966"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59FB6E35"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9</w:t>
            </w:r>
          </w:p>
        </w:tc>
        <w:tc>
          <w:tcPr>
            <w:tcW w:w="993" w:type="dxa"/>
            <w:tcBorders>
              <w:top w:val="single" w:sz="4" w:space="0" w:color="000000"/>
              <w:left w:val="single" w:sz="4" w:space="0" w:color="000000"/>
              <w:bottom w:val="single" w:sz="4" w:space="0" w:color="000000"/>
              <w:right w:val="single" w:sz="4" w:space="0" w:color="000000"/>
            </w:tcBorders>
          </w:tcPr>
          <w:p w14:paraId="1DBFCFB5"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9</w:t>
            </w:r>
          </w:p>
        </w:tc>
        <w:tc>
          <w:tcPr>
            <w:tcW w:w="6607" w:type="dxa"/>
            <w:tcBorders>
              <w:top w:val="single" w:sz="4" w:space="0" w:color="000000"/>
              <w:left w:val="single" w:sz="4" w:space="0" w:color="000000"/>
              <w:bottom w:val="single" w:sz="4" w:space="0" w:color="000000"/>
              <w:right w:val="single" w:sz="4" w:space="0" w:color="000000"/>
            </w:tcBorders>
          </w:tcPr>
          <w:p w14:paraId="62900E2C"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T2 + Azospirillum + PSB + SSB inoculation (consortia - Ⅵ)</w:t>
            </w:r>
          </w:p>
        </w:tc>
      </w:tr>
      <w:tr w:rsidR="00EE5675" w:rsidRPr="0090246A" w14:paraId="12B6C1B6"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03AFD89D"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14:paraId="0C15A840"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10</w:t>
            </w:r>
          </w:p>
        </w:tc>
        <w:tc>
          <w:tcPr>
            <w:tcW w:w="6607" w:type="dxa"/>
            <w:tcBorders>
              <w:top w:val="single" w:sz="4" w:space="0" w:color="000000"/>
              <w:left w:val="single" w:sz="4" w:space="0" w:color="000000"/>
              <w:bottom w:val="single" w:sz="4" w:space="0" w:color="000000"/>
              <w:right w:val="single" w:sz="4" w:space="0" w:color="000000"/>
            </w:tcBorders>
          </w:tcPr>
          <w:p w14:paraId="35E44EFB" w14:textId="77777777" w:rsidR="00EE5675" w:rsidRPr="0090246A" w:rsidRDefault="00EE5675" w:rsidP="00144954">
            <w:pPr>
              <w:pStyle w:val="Normal1"/>
              <w:pBdr>
                <w:top w:val="nil"/>
                <w:left w:val="nil"/>
                <w:bottom w:val="nil"/>
                <w:right w:val="nil"/>
                <w:between w:val="nil"/>
              </w:pBdr>
              <w:rPr>
                <w:rFonts w:ascii="Times New Roman" w:eastAsia="Times New Roman" w:hAnsi="Times New Roman" w:cs="Times New Roman"/>
                <w:sz w:val="24"/>
                <w:szCs w:val="24"/>
                <w:lang w:val="fr-FR"/>
              </w:rPr>
            </w:pPr>
            <w:r w:rsidRPr="0090246A">
              <w:rPr>
                <w:rFonts w:ascii="Times New Roman" w:eastAsia="Times New Roman" w:hAnsi="Times New Roman" w:cs="Times New Roman"/>
                <w:sz w:val="24"/>
                <w:szCs w:val="24"/>
                <w:lang w:val="fr-FR"/>
              </w:rPr>
              <w:t xml:space="preserve">T2 + Azospirillum + PSB + </w:t>
            </w:r>
            <w:proofErr w:type="spellStart"/>
            <w:r w:rsidRPr="0090246A">
              <w:rPr>
                <w:rFonts w:ascii="Times New Roman" w:eastAsia="Times New Roman" w:hAnsi="Times New Roman" w:cs="Times New Roman"/>
                <w:sz w:val="24"/>
                <w:szCs w:val="24"/>
                <w:lang w:val="fr-FR"/>
              </w:rPr>
              <w:t>ZnSB</w:t>
            </w:r>
            <w:proofErr w:type="spellEnd"/>
            <w:r w:rsidRPr="0090246A">
              <w:rPr>
                <w:rFonts w:ascii="Times New Roman" w:eastAsia="Times New Roman" w:hAnsi="Times New Roman" w:cs="Times New Roman"/>
                <w:sz w:val="24"/>
                <w:szCs w:val="24"/>
                <w:lang w:val="fr-FR"/>
              </w:rPr>
              <w:t xml:space="preserve"> inoculation (consortia - Ⅶ)</w:t>
            </w:r>
          </w:p>
        </w:tc>
      </w:tr>
    </w:tbl>
    <w:p w14:paraId="56F4CE8C" w14:textId="77777777" w:rsidR="007B34EC" w:rsidRPr="0090246A" w:rsidRDefault="007B34EC" w:rsidP="00EE5675">
      <w:pPr>
        <w:autoSpaceDE w:val="0"/>
        <w:autoSpaceDN w:val="0"/>
        <w:adjustRightInd w:val="0"/>
        <w:spacing w:line="360" w:lineRule="auto"/>
        <w:jc w:val="both"/>
        <w:rPr>
          <w:rFonts w:ascii="Times New Roman" w:hAnsi="Times New Roman"/>
          <w:b/>
          <w:bCs/>
          <w:sz w:val="24"/>
          <w:szCs w:val="24"/>
          <w:lang w:val="fr-FR"/>
        </w:rPr>
      </w:pPr>
    </w:p>
    <w:p w14:paraId="0A09E210" w14:textId="7F72174D" w:rsidR="00EE5675" w:rsidRPr="003A6D2C" w:rsidRDefault="00EE5675" w:rsidP="00EE5675">
      <w:pPr>
        <w:autoSpaceDE w:val="0"/>
        <w:autoSpaceDN w:val="0"/>
        <w:adjustRightInd w:val="0"/>
        <w:spacing w:line="360" w:lineRule="auto"/>
        <w:jc w:val="both"/>
        <w:rPr>
          <w:rFonts w:ascii="Times New Roman" w:hAnsi="Times New Roman"/>
          <w:b/>
          <w:bCs/>
          <w:sz w:val="24"/>
          <w:szCs w:val="24"/>
        </w:rPr>
      </w:pPr>
      <w:r w:rsidRPr="003A6D2C">
        <w:rPr>
          <w:rFonts w:ascii="Times New Roman" w:hAnsi="Times New Roman"/>
          <w:b/>
          <w:bCs/>
          <w:sz w:val="24"/>
          <w:szCs w:val="24"/>
        </w:rPr>
        <w:t>Statistical analysis</w:t>
      </w:r>
    </w:p>
    <w:p w14:paraId="38323E14" w14:textId="77777777" w:rsidR="00EE5675" w:rsidRDefault="00EE5675" w:rsidP="00EE5675">
      <w:pPr>
        <w:autoSpaceDE w:val="0"/>
        <w:autoSpaceDN w:val="0"/>
        <w:adjustRightInd w:val="0"/>
        <w:spacing w:after="0" w:line="360" w:lineRule="auto"/>
        <w:jc w:val="both"/>
        <w:rPr>
          <w:rFonts w:ascii="Times New Roman" w:hAnsi="Times New Roman"/>
          <w:sz w:val="24"/>
          <w:szCs w:val="24"/>
        </w:rPr>
      </w:pPr>
      <w:r w:rsidRPr="003A6D2C">
        <w:rPr>
          <w:rFonts w:ascii="Times New Roman" w:hAnsi="Times New Roman"/>
          <w:sz w:val="24"/>
          <w:szCs w:val="24"/>
        </w:rPr>
        <w:t>The results obtained were statistically analy</w:t>
      </w:r>
      <w:r>
        <w:rPr>
          <w:rFonts w:ascii="Times New Roman" w:hAnsi="Times New Roman"/>
          <w:sz w:val="24"/>
          <w:szCs w:val="24"/>
        </w:rPr>
        <w:t>z</w:t>
      </w:r>
      <w:r w:rsidRPr="003A6D2C">
        <w:rPr>
          <w:rFonts w:ascii="Times New Roman" w:hAnsi="Times New Roman"/>
          <w:sz w:val="24"/>
          <w:szCs w:val="24"/>
        </w:rPr>
        <w:t>ed and appropriately</w:t>
      </w:r>
      <w:r>
        <w:rPr>
          <w:rFonts w:ascii="Times New Roman" w:hAnsi="Times New Roman"/>
          <w:sz w:val="24"/>
          <w:szCs w:val="24"/>
        </w:rPr>
        <w:t xml:space="preserve"> </w:t>
      </w:r>
      <w:r w:rsidRPr="003A6D2C">
        <w:rPr>
          <w:rFonts w:ascii="Times New Roman" w:hAnsi="Times New Roman"/>
          <w:sz w:val="24"/>
          <w:szCs w:val="24"/>
        </w:rPr>
        <w:t>interpreted as per the methods described in “Statistical method for Agricultural</w:t>
      </w:r>
      <w:r>
        <w:rPr>
          <w:rFonts w:ascii="Times New Roman" w:hAnsi="Times New Roman"/>
          <w:sz w:val="24"/>
          <w:szCs w:val="24"/>
        </w:rPr>
        <w:t xml:space="preserve"> </w:t>
      </w:r>
      <w:r w:rsidRPr="003A6D2C">
        <w:rPr>
          <w:rFonts w:ascii="Times New Roman" w:hAnsi="Times New Roman"/>
          <w:sz w:val="24"/>
          <w:szCs w:val="24"/>
        </w:rPr>
        <w:t>Workers” by Panse and Sukhatme (1985). Appropriate standard error (S.E.) critical</w:t>
      </w:r>
      <w:r>
        <w:rPr>
          <w:rFonts w:ascii="Times New Roman" w:hAnsi="Times New Roman"/>
          <w:sz w:val="24"/>
          <w:szCs w:val="24"/>
        </w:rPr>
        <w:t xml:space="preserve"> </w:t>
      </w:r>
      <w:r w:rsidRPr="003A6D2C">
        <w:rPr>
          <w:rFonts w:ascii="Times New Roman" w:hAnsi="Times New Roman"/>
          <w:sz w:val="24"/>
          <w:szCs w:val="24"/>
        </w:rPr>
        <w:t>differences (C.D.) at 5 per cent levels were worked out for interpretation of result.</w:t>
      </w:r>
    </w:p>
    <w:p w14:paraId="7A845CEE" w14:textId="77777777" w:rsidR="00EE5675" w:rsidRDefault="00EE5675" w:rsidP="00EE5675">
      <w:pPr>
        <w:pStyle w:val="Default"/>
        <w:spacing w:line="276" w:lineRule="auto"/>
        <w:jc w:val="both"/>
      </w:pPr>
      <w:r w:rsidRPr="00C53647">
        <w:t xml:space="preserve"> </w:t>
      </w:r>
    </w:p>
    <w:p w14:paraId="42EE043B" w14:textId="77777777" w:rsidR="00EE5675" w:rsidRPr="00C53647" w:rsidRDefault="00EE5675" w:rsidP="00EE5675">
      <w:pPr>
        <w:pStyle w:val="Default"/>
        <w:spacing w:line="276" w:lineRule="auto"/>
        <w:jc w:val="both"/>
        <w:rPr>
          <w:rFonts w:eastAsia="Times New Roman"/>
          <w:lang w:bidi="mr-IN"/>
        </w:rPr>
      </w:pPr>
      <w:r w:rsidRPr="00C53647">
        <w:rPr>
          <w:b/>
          <w:bCs/>
        </w:rPr>
        <w:t>RESULTS AND DISCUSSION</w:t>
      </w:r>
    </w:p>
    <w:p w14:paraId="40252952" w14:textId="77777777" w:rsidR="00EE5675" w:rsidRPr="00C53647" w:rsidRDefault="00EE5675" w:rsidP="00EE5675">
      <w:pPr>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Grain and straw yield </w:t>
      </w:r>
    </w:p>
    <w:p w14:paraId="589B691F" w14:textId="77777777" w:rsidR="00EE5675" w:rsidRDefault="00EE5675" w:rsidP="00D66C89">
      <w:pPr>
        <w:autoSpaceDE w:val="0"/>
        <w:autoSpaceDN w:val="0"/>
        <w:adjustRightInd w:val="0"/>
        <w:spacing w:after="0"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The grain yield of maize observed maximum </w:t>
      </w:r>
      <w:r w:rsidRPr="00C53647">
        <w:rPr>
          <w:rFonts w:ascii="Times New Roman" w:hAnsi="Times New Roman" w:cs="Times New Roman"/>
          <w:i/>
          <w:sz w:val="24"/>
          <w:szCs w:val="24"/>
        </w:rPr>
        <w:t>i.e</w:t>
      </w:r>
      <w:r w:rsidRPr="00C53647">
        <w:rPr>
          <w:rFonts w:ascii="Times New Roman" w:hAnsi="Times New Roman" w:cs="Times New Roman"/>
          <w:sz w:val="24"/>
          <w:szCs w:val="24"/>
        </w:rPr>
        <w:t>., 8156.00</w:t>
      </w:r>
      <w:r w:rsidRPr="00C53647">
        <w:rPr>
          <w:rFonts w:ascii="Times New Roman" w:hAnsi="Times New Roman" w:cs="Times New Roman"/>
          <w:b/>
          <w:sz w:val="24"/>
          <w:szCs w:val="24"/>
        </w:rPr>
        <w:t xml:space="preserve">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in treatment T</w:t>
      </w:r>
      <w:r w:rsidRPr="00C53647">
        <w:rPr>
          <w:rFonts w:ascii="Times New Roman" w:hAnsi="Times New Roman" w:cs="Times New Roman"/>
          <w:sz w:val="24"/>
          <w:szCs w:val="24"/>
          <w:vertAlign w:val="subscript"/>
        </w:rPr>
        <w:t>10</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ZnSB, (consortia-VII) followed by treatment T</w:t>
      </w:r>
      <w:r w:rsidRPr="00C53647">
        <w:rPr>
          <w:rFonts w:ascii="Times New Roman" w:hAnsi="Times New Roman" w:cs="Times New Roman"/>
          <w:color w:val="000000"/>
          <w:sz w:val="24"/>
          <w:szCs w:val="24"/>
          <w:vertAlign w:val="subscript"/>
        </w:rPr>
        <w:t>9</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SSB, (consortia-VI), (7587</w:t>
      </w:r>
      <w:r w:rsidRPr="00C53647">
        <w:rPr>
          <w:rFonts w:ascii="Times New Roman" w:hAnsi="Times New Roman" w:cs="Times New Roman"/>
          <w:sz w:val="24"/>
          <w:szCs w:val="24"/>
        </w:rPr>
        <w:t>.33</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 Significantly lowest grain yield was observed in T</w:t>
      </w:r>
      <w:r w:rsidRPr="00C53647">
        <w:rPr>
          <w:rFonts w:ascii="Times New Roman" w:hAnsi="Times New Roman" w:cs="Times New Roman"/>
          <w:color w:val="000000"/>
          <w:sz w:val="24"/>
          <w:szCs w:val="24"/>
          <w:vertAlign w:val="subscript"/>
        </w:rPr>
        <w:t xml:space="preserve">1 </w:t>
      </w:r>
      <w:r w:rsidRPr="00C53647">
        <w:rPr>
          <w:rFonts w:ascii="Times New Roman" w:hAnsi="Times New Roman" w:cs="Times New Roman"/>
          <w:color w:val="000000"/>
          <w:sz w:val="24"/>
          <w:szCs w:val="24"/>
        </w:rPr>
        <w:t>(absolute control). And straw yield significantly highest (</w:t>
      </w:r>
      <w:r w:rsidRPr="00C53647">
        <w:rPr>
          <w:rFonts w:ascii="Times New Roman" w:hAnsi="Times New Roman" w:cs="Times New Roman"/>
          <w:sz w:val="24"/>
          <w:szCs w:val="24"/>
        </w:rPr>
        <w:t>9836.33</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was obtained from treatment receiving T</w:t>
      </w:r>
      <w:r w:rsidRPr="00C53647">
        <w:rPr>
          <w:rFonts w:ascii="Times New Roman" w:hAnsi="Times New Roman" w:cs="Times New Roman"/>
          <w:color w:val="000000"/>
          <w:sz w:val="24"/>
          <w:szCs w:val="24"/>
          <w:vertAlign w:val="subscript"/>
        </w:rPr>
        <w:t>10</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ZnSB (consortia-VII) followed by treatment T</w:t>
      </w:r>
      <w:r w:rsidRPr="00C53647">
        <w:rPr>
          <w:rFonts w:ascii="Times New Roman" w:hAnsi="Times New Roman" w:cs="Times New Roman"/>
          <w:color w:val="000000"/>
          <w:sz w:val="24"/>
          <w:szCs w:val="24"/>
          <w:vertAlign w:val="subscript"/>
        </w:rPr>
        <w:t xml:space="preserve">9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SSB (consortia-VI),</w:t>
      </w:r>
      <w:r w:rsidRPr="00C53647">
        <w:rPr>
          <w:rFonts w:ascii="Times New Roman" w:hAnsi="Times New Roman" w:cs="Times New Roman"/>
          <w:sz w:val="24"/>
          <w:szCs w:val="24"/>
        </w:rPr>
        <w:t xml:space="preserve"> </w:t>
      </w:r>
      <w:r w:rsidRPr="00055365">
        <w:rPr>
          <w:rFonts w:ascii="Times New Roman" w:hAnsi="Times New Roman" w:cs="Times New Roman"/>
          <w:sz w:val="24"/>
          <w:szCs w:val="24"/>
          <w:lang w:val="en-IN" w:eastAsia="en-IN" w:bidi="ar-SA"/>
        </w:rPr>
        <w:t xml:space="preserve">Chhagan </w:t>
      </w:r>
      <w:r w:rsidRPr="00055365">
        <w:rPr>
          <w:rFonts w:ascii="Times New Roman" w:hAnsi="Times New Roman" w:cs="Times New Roman"/>
          <w:i/>
          <w:iCs/>
          <w:sz w:val="24"/>
          <w:szCs w:val="24"/>
          <w:lang w:val="en-IN" w:eastAsia="en-IN" w:bidi="ar-SA"/>
        </w:rPr>
        <w:t>et al</w:t>
      </w:r>
      <w:r>
        <w:rPr>
          <w:rFonts w:ascii="Times New Roman" w:hAnsi="Times New Roman" w:cs="Times New Roman"/>
          <w:i/>
          <w:iCs/>
          <w:sz w:val="24"/>
          <w:szCs w:val="24"/>
          <w:lang w:val="en-IN" w:eastAsia="en-IN" w:bidi="ar-SA"/>
        </w:rPr>
        <w:t>.,</w:t>
      </w:r>
      <w:r w:rsidRPr="00055365">
        <w:rPr>
          <w:rFonts w:ascii="Times New Roman" w:hAnsi="Times New Roman" w:cs="Times New Roman"/>
          <w:sz w:val="24"/>
          <w:szCs w:val="24"/>
          <w:lang w:val="en-IN" w:eastAsia="en-IN" w:bidi="ar-SA"/>
        </w:rPr>
        <w:t xml:space="preserve"> (20</w:t>
      </w:r>
      <w:r>
        <w:rPr>
          <w:rFonts w:ascii="Times New Roman" w:hAnsi="Times New Roman" w:cs="Times New Roman"/>
          <w:sz w:val="24"/>
          <w:szCs w:val="24"/>
          <w:lang w:val="en-IN" w:eastAsia="en-IN" w:bidi="ar-SA"/>
        </w:rPr>
        <w:t>19</w:t>
      </w:r>
      <w:r w:rsidRPr="00055365">
        <w:rPr>
          <w:rFonts w:ascii="Times New Roman" w:hAnsi="Times New Roman" w:cs="Times New Roman"/>
          <w:sz w:val="24"/>
          <w:szCs w:val="24"/>
          <w:lang w:val="en-IN" w:eastAsia="en-IN" w:bidi="ar-SA"/>
        </w:rPr>
        <w:t>) reported that</w:t>
      </w:r>
      <w:r w:rsidRPr="00055365">
        <w:rPr>
          <w:rFonts w:ascii="Times New Roman" w:hAnsi="Times New Roman" w:cs="Times New Roman"/>
          <w:b/>
          <w:bCs/>
          <w:color w:val="002060"/>
          <w:sz w:val="24"/>
          <w:szCs w:val="24"/>
          <w:lang w:val="en-IN" w:eastAsia="en-IN" w:bidi="ar-SA"/>
        </w:rPr>
        <w:t xml:space="preserve"> </w:t>
      </w:r>
      <w:r w:rsidRPr="00055365">
        <w:rPr>
          <w:rFonts w:ascii="Times New Roman" w:hAnsi="Times New Roman" w:cs="Times New Roman"/>
          <w:sz w:val="24"/>
          <w:szCs w:val="24"/>
          <w:lang w:val="en-IN" w:eastAsia="en-IN" w:bidi="ar-SA"/>
        </w:rPr>
        <w:t xml:space="preserve">the higher yield under </w:t>
      </w:r>
      <w:r w:rsidRPr="0033637E">
        <w:rPr>
          <w:rFonts w:ascii="Times New Roman" w:hAnsi="Times New Roman" w:cs="Times New Roman"/>
          <w:color w:val="000000"/>
          <w:sz w:val="24"/>
          <w:szCs w:val="24"/>
        </w:rPr>
        <w:t xml:space="preserve"> </w:t>
      </w:r>
      <w:r w:rsidRPr="00C53647">
        <w:rPr>
          <w:rFonts w:ascii="Times New Roman" w:hAnsi="Times New Roman" w:cs="Times New Roman"/>
          <w:color w:val="000000"/>
          <w:sz w:val="24"/>
          <w:szCs w:val="24"/>
        </w:rPr>
        <w:t>T</w:t>
      </w:r>
      <w:r w:rsidRPr="00C53647">
        <w:rPr>
          <w:rFonts w:ascii="Times New Roman" w:hAnsi="Times New Roman" w:cs="Times New Roman"/>
          <w:color w:val="000000"/>
          <w:sz w:val="24"/>
          <w:szCs w:val="24"/>
          <w:vertAlign w:val="subscript"/>
        </w:rPr>
        <w:t>9</w:t>
      </w:r>
      <w:r w:rsidRPr="00055365">
        <w:rPr>
          <w:rFonts w:ascii="Times New Roman" w:hAnsi="Times New Roman" w:cs="Times New Roman"/>
          <w:sz w:val="24"/>
          <w:szCs w:val="24"/>
          <w:lang w:val="en-IN" w:eastAsia="en-IN" w:bidi="ar-SA"/>
        </w:rPr>
        <w:t xml:space="preserve"> might be due to faster mineralization of V</w:t>
      </w:r>
      <w:r>
        <w:rPr>
          <w:rFonts w:ascii="Times New Roman" w:hAnsi="Times New Roman" w:cs="Times New Roman"/>
          <w:sz w:val="24"/>
          <w:szCs w:val="24"/>
          <w:lang w:val="en-IN" w:eastAsia="en-IN" w:bidi="ar-SA"/>
        </w:rPr>
        <w:t>ermicompost</w:t>
      </w:r>
      <w:r w:rsidRPr="00055365">
        <w:rPr>
          <w:rFonts w:ascii="Times New Roman" w:hAnsi="Times New Roman" w:cs="Times New Roman"/>
          <w:sz w:val="24"/>
          <w:szCs w:val="24"/>
          <w:lang w:val="en-IN" w:eastAsia="en-IN" w:bidi="ar-SA"/>
        </w:rPr>
        <w:t xml:space="preserve"> and beneficial effects of Azotobacter and PSB application for seed treatment might be due to balanced</w:t>
      </w:r>
      <w:r>
        <w:rPr>
          <w:rFonts w:ascii="Times New Roman" w:hAnsi="Times New Roman" w:cs="Times New Roman"/>
          <w:sz w:val="24"/>
          <w:szCs w:val="24"/>
          <w:lang w:val="en-IN" w:eastAsia="en-IN" w:bidi="ar-SA"/>
        </w:rPr>
        <w:t xml:space="preserve"> </w:t>
      </w:r>
      <w:r w:rsidRPr="00055365">
        <w:rPr>
          <w:rFonts w:ascii="Times New Roman" w:hAnsi="Times New Roman" w:cs="Times New Roman"/>
          <w:sz w:val="24"/>
          <w:szCs w:val="24"/>
          <w:lang w:val="en-IN" w:eastAsia="en-IN" w:bidi="ar-SA"/>
        </w:rPr>
        <w:t>addition of NPK, and integrated effect of organic, inorganic and biofertilizer which enhanced nutrients availability and resulted improvement grain.</w:t>
      </w:r>
      <w:r w:rsidRPr="00587430">
        <w:rPr>
          <w:rFonts w:ascii="Times New Roman" w:hAnsi="Times New Roman" w:cs="Times New Roman"/>
          <w:sz w:val="24"/>
          <w:szCs w:val="24"/>
          <w:lang w:val="en-IN" w:eastAsia="en-IN" w:bidi="ar-SA"/>
        </w:rPr>
        <w:t xml:space="preserve"> </w:t>
      </w:r>
      <w:r>
        <w:rPr>
          <w:rFonts w:ascii="Times New Roman" w:hAnsi="Times New Roman" w:cs="Times New Roman"/>
          <w:sz w:val="24"/>
          <w:szCs w:val="24"/>
          <w:lang w:val="en-IN" w:eastAsia="en-IN" w:bidi="ar-SA"/>
        </w:rPr>
        <w:t xml:space="preserve">Gao </w:t>
      </w:r>
      <w:r w:rsidRPr="00966403">
        <w:rPr>
          <w:rFonts w:ascii="Times New Roman" w:hAnsi="Times New Roman" w:cs="Times New Roman"/>
          <w:i/>
          <w:iCs/>
          <w:sz w:val="24"/>
          <w:szCs w:val="24"/>
          <w:lang w:val="en-IN" w:eastAsia="en-IN" w:bidi="ar-SA"/>
        </w:rPr>
        <w:t>et al</w:t>
      </w:r>
      <w:r>
        <w:rPr>
          <w:rFonts w:ascii="Times New Roman" w:hAnsi="Times New Roman" w:cs="Times New Roman"/>
          <w:sz w:val="24"/>
          <w:szCs w:val="24"/>
          <w:lang w:val="en-IN" w:eastAsia="en-IN" w:bidi="ar-SA"/>
        </w:rPr>
        <w:t>., (</w:t>
      </w:r>
      <w:commentRangeStart w:id="3"/>
      <w:r>
        <w:rPr>
          <w:rFonts w:ascii="Times New Roman" w:hAnsi="Times New Roman" w:cs="Times New Roman"/>
          <w:sz w:val="24"/>
          <w:szCs w:val="24"/>
          <w:lang w:val="en-IN" w:eastAsia="en-IN" w:bidi="ar-SA"/>
        </w:rPr>
        <w:t>2020</w:t>
      </w:r>
      <w:commentRangeEnd w:id="3"/>
      <w:r w:rsidR="00A3764B">
        <w:rPr>
          <w:rStyle w:val="Refdecomentario"/>
        </w:rPr>
        <w:commentReference w:id="3"/>
      </w:r>
      <w:r>
        <w:rPr>
          <w:rFonts w:ascii="Times New Roman" w:hAnsi="Times New Roman" w:cs="Times New Roman"/>
          <w:sz w:val="24"/>
          <w:szCs w:val="24"/>
          <w:lang w:val="en-IN" w:eastAsia="en-IN" w:bidi="ar-SA"/>
        </w:rPr>
        <w:t xml:space="preserve">) reported that </w:t>
      </w:r>
      <w:r w:rsidRPr="00966403">
        <w:rPr>
          <w:rFonts w:ascii="Times New Roman" w:hAnsi="Times New Roman" w:cs="Times New Roman"/>
          <w:sz w:val="24"/>
          <w:szCs w:val="24"/>
          <w:lang w:val="en-IN" w:eastAsia="en-IN" w:bidi="ar-SA"/>
        </w:rPr>
        <w:t>the application of the organic and biofertilizers beside</w:t>
      </w:r>
      <w:r>
        <w:rPr>
          <w:rFonts w:ascii="Times New Roman" w:hAnsi="Times New Roman" w:cs="Times New Roman"/>
          <w:sz w:val="24"/>
          <w:szCs w:val="24"/>
          <w:lang w:val="en-IN" w:eastAsia="en-IN" w:bidi="ar-SA"/>
        </w:rPr>
        <w:t xml:space="preserve"> </w:t>
      </w:r>
      <w:r w:rsidRPr="00966403">
        <w:rPr>
          <w:rFonts w:ascii="Times New Roman" w:hAnsi="Times New Roman" w:cs="Times New Roman"/>
          <w:sz w:val="24"/>
          <w:szCs w:val="24"/>
          <w:lang w:val="en-IN" w:eastAsia="en-IN" w:bidi="ar-SA"/>
        </w:rPr>
        <w:t>50% NPK has improved the maize yield parameters as compared with the control plants.</w:t>
      </w:r>
      <w:r w:rsidRPr="00B60386">
        <w:t xml:space="preserve"> </w:t>
      </w:r>
      <w:r>
        <w:t xml:space="preserve">Because </w:t>
      </w:r>
      <w:r>
        <w:rPr>
          <w:rFonts w:ascii="Times New Roman" w:hAnsi="Times New Roman" w:cs="Times New Roman"/>
          <w:sz w:val="24"/>
          <w:szCs w:val="24"/>
          <w:lang w:eastAsia="en-IN" w:bidi="ar-SA"/>
        </w:rPr>
        <w:t>d</w:t>
      </w:r>
      <w:r w:rsidRPr="00B60386">
        <w:rPr>
          <w:rFonts w:ascii="Times New Roman" w:hAnsi="Times New Roman" w:cs="Times New Roman"/>
          <w:sz w:val="24"/>
          <w:szCs w:val="24"/>
          <w:lang w:eastAsia="en-IN" w:bidi="ar-SA"/>
        </w:rPr>
        <w:t>ecreasing level of mineral fertilizers along with integration of consortia biofertilizer markedly improved grain yield over the sole application of chemical fertilizers</w:t>
      </w:r>
      <w:r>
        <w:rPr>
          <w:rFonts w:ascii="Times New Roman" w:hAnsi="Times New Roman" w:cs="Times New Roman"/>
          <w:sz w:val="24"/>
          <w:szCs w:val="24"/>
          <w:lang w:eastAsia="en-IN" w:bidi="ar-SA"/>
        </w:rPr>
        <w:t xml:space="preserve"> and </w:t>
      </w:r>
      <w:r w:rsidRPr="00B60386">
        <w:rPr>
          <w:rFonts w:ascii="Times New Roman" w:hAnsi="Times New Roman" w:cs="Times New Roman"/>
          <w:sz w:val="24"/>
          <w:szCs w:val="24"/>
          <w:lang w:eastAsia="en-IN" w:bidi="ar-SA"/>
        </w:rPr>
        <w:t>the solitary application of consortia biofertilizer</w:t>
      </w:r>
      <w:r>
        <w:rPr>
          <w:rFonts w:ascii="Times New Roman" w:hAnsi="Times New Roman" w:cs="Times New Roman"/>
          <w:sz w:val="24"/>
          <w:szCs w:val="24"/>
          <w:lang w:eastAsia="en-IN" w:bidi="ar-SA"/>
        </w:rPr>
        <w:t xml:space="preserve">. </w:t>
      </w:r>
      <w:r w:rsidRPr="00B60386">
        <w:rPr>
          <w:rFonts w:ascii="Times New Roman" w:hAnsi="Times New Roman" w:cs="Times New Roman"/>
          <w:sz w:val="24"/>
          <w:szCs w:val="24"/>
          <w:lang w:eastAsia="en-IN" w:bidi="ar-SA"/>
        </w:rPr>
        <w:t>This might be attributed to increased growth and yield attributing characters in maize hybrids.</w:t>
      </w:r>
      <w:r>
        <w:rPr>
          <w:rFonts w:ascii="Times New Roman" w:hAnsi="Times New Roman" w:cs="Times New Roman"/>
          <w:sz w:val="24"/>
          <w:szCs w:val="24"/>
          <w:lang w:val="en-IN" w:eastAsia="en-IN" w:bidi="ar-SA"/>
        </w:rPr>
        <w:t xml:space="preserve"> </w:t>
      </w:r>
      <w:r w:rsidRPr="00B60386">
        <w:rPr>
          <w:rFonts w:ascii="Times New Roman" w:hAnsi="Times New Roman" w:cs="Times New Roman"/>
          <w:sz w:val="24"/>
          <w:szCs w:val="24"/>
          <w:lang w:eastAsia="en-IN" w:bidi="ar-SA"/>
        </w:rPr>
        <w:t xml:space="preserve">A similar result has been reported number of researchers such as Choudhary </w:t>
      </w:r>
      <w:r w:rsidRPr="00485C52">
        <w:rPr>
          <w:rFonts w:ascii="Times New Roman" w:hAnsi="Times New Roman" w:cs="Times New Roman"/>
          <w:i/>
          <w:iCs/>
          <w:sz w:val="24"/>
          <w:szCs w:val="24"/>
          <w:lang w:eastAsia="en-IN" w:bidi="ar-SA"/>
        </w:rPr>
        <w:t>et al.</w:t>
      </w:r>
      <w:r>
        <w:rPr>
          <w:rFonts w:ascii="Times New Roman" w:hAnsi="Times New Roman" w:cs="Times New Roman"/>
          <w:i/>
          <w:iCs/>
          <w:sz w:val="24"/>
          <w:szCs w:val="24"/>
          <w:lang w:eastAsia="en-IN" w:bidi="ar-SA"/>
        </w:rPr>
        <w:t>,</w:t>
      </w:r>
      <w:r w:rsidRPr="00B60386">
        <w:rPr>
          <w:rFonts w:ascii="Times New Roman" w:hAnsi="Times New Roman" w:cs="Times New Roman"/>
          <w:sz w:val="24"/>
          <w:szCs w:val="24"/>
          <w:lang w:eastAsia="en-IN" w:bidi="ar-SA"/>
        </w:rPr>
        <w:t xml:space="preserve"> (2015)</w:t>
      </w:r>
      <w:r>
        <w:rPr>
          <w:rFonts w:ascii="Times New Roman" w:hAnsi="Times New Roman" w:cs="Times New Roman"/>
          <w:sz w:val="24"/>
          <w:szCs w:val="24"/>
          <w:lang w:val="en-IN" w:eastAsia="en-IN" w:bidi="ar-SA"/>
        </w:rPr>
        <w:t xml:space="preserve"> </w:t>
      </w:r>
      <w:r w:rsidRPr="008F4964">
        <w:rPr>
          <w:rFonts w:ascii="Times New Roman" w:hAnsi="Times New Roman" w:cs="Times New Roman"/>
          <w:sz w:val="24"/>
          <w:szCs w:val="24"/>
          <w:lang w:val="en-IN" w:eastAsia="en-IN" w:bidi="ar-SA"/>
        </w:rPr>
        <w:t xml:space="preserve">Manjunath </w:t>
      </w:r>
      <w:r w:rsidRPr="008F4964">
        <w:rPr>
          <w:rFonts w:ascii="Times New Roman" w:hAnsi="Times New Roman" w:cs="Times New Roman"/>
          <w:i/>
          <w:iCs/>
          <w:sz w:val="24"/>
          <w:szCs w:val="24"/>
          <w:lang w:val="en-IN" w:eastAsia="en-IN" w:bidi="ar-SA"/>
        </w:rPr>
        <w:t>et al.</w:t>
      </w:r>
      <w:r>
        <w:rPr>
          <w:rFonts w:ascii="Times New Roman" w:hAnsi="Times New Roman" w:cs="Times New Roman"/>
          <w:i/>
          <w:iCs/>
          <w:sz w:val="24"/>
          <w:szCs w:val="24"/>
          <w:lang w:val="en-IN" w:eastAsia="en-IN" w:bidi="ar-SA"/>
        </w:rPr>
        <w:t>,</w:t>
      </w:r>
      <w:r w:rsidRPr="008F4964">
        <w:rPr>
          <w:rFonts w:ascii="Times New Roman" w:hAnsi="Times New Roman" w:cs="Times New Roman"/>
          <w:i/>
          <w:iCs/>
          <w:sz w:val="24"/>
          <w:szCs w:val="24"/>
          <w:lang w:val="en-IN" w:eastAsia="en-IN" w:bidi="ar-SA"/>
        </w:rPr>
        <w:t xml:space="preserve"> </w:t>
      </w:r>
      <w:r w:rsidRPr="008F4964">
        <w:rPr>
          <w:rFonts w:ascii="Times New Roman" w:hAnsi="Times New Roman" w:cs="Times New Roman"/>
          <w:sz w:val="24"/>
          <w:szCs w:val="24"/>
          <w:lang w:val="en-IN" w:eastAsia="en-IN" w:bidi="ar-SA"/>
        </w:rPr>
        <w:t xml:space="preserve">(2023) conducted the </w:t>
      </w:r>
      <w:r w:rsidRPr="008F4964">
        <w:rPr>
          <w:rFonts w:ascii="Times New Roman" w:hAnsi="Times New Roman" w:cs="Times New Roman"/>
          <w:sz w:val="24"/>
          <w:szCs w:val="24"/>
        </w:rPr>
        <w:t xml:space="preserve">three years of field experiments have showed that, the treatments with seed + soil application of microbial consortia 1 (3,858.66 kg/ha) and microbial consortia 2 (3,720.66 kg/ha) significantly increased maize grain yield as compared to uninoculated control (3,019.66 kg/ha). The straw yield was also significantly improved due to seed + soil application of microbial consortia 1 (9,110 kg/ha) as well as microbial consortia 2 (8,827.33 kg/ha) compared to uninoculated control which recorded lowest straw yield of </w:t>
      </w:r>
      <w:r>
        <w:rPr>
          <w:rFonts w:ascii="Times New Roman" w:hAnsi="Times New Roman" w:cs="Times New Roman"/>
          <w:sz w:val="24"/>
          <w:szCs w:val="24"/>
        </w:rPr>
        <w:t>(</w:t>
      </w:r>
      <w:r w:rsidRPr="008F4964">
        <w:rPr>
          <w:rFonts w:ascii="Times New Roman" w:hAnsi="Times New Roman" w:cs="Times New Roman"/>
          <w:sz w:val="24"/>
          <w:szCs w:val="24"/>
        </w:rPr>
        <w:t>6,934.33</w:t>
      </w:r>
      <w:r w:rsidRPr="00AF0207">
        <w:rPr>
          <w:rFonts w:ascii="Times New Roman" w:hAnsi="Times New Roman" w:cs="Times New Roman"/>
          <w:sz w:val="24"/>
          <w:szCs w:val="24"/>
        </w:rPr>
        <w:t xml:space="preserve"> </w:t>
      </w:r>
      <w:r w:rsidRPr="008F4964">
        <w:rPr>
          <w:rFonts w:ascii="Times New Roman" w:hAnsi="Times New Roman" w:cs="Times New Roman"/>
          <w:sz w:val="24"/>
          <w:szCs w:val="24"/>
        </w:rPr>
        <w:t>kg/ha</w:t>
      </w:r>
      <w:r>
        <w:rPr>
          <w:rFonts w:ascii="Times New Roman" w:hAnsi="Times New Roman" w:cs="Times New Roman"/>
          <w:sz w:val="24"/>
          <w:szCs w:val="24"/>
        </w:rPr>
        <w:t>)</w:t>
      </w:r>
      <w:r w:rsidRPr="00AF0207">
        <w:rPr>
          <w:rFonts w:ascii="Times New Roman" w:hAnsi="Times New Roman" w:cs="Times New Roman"/>
          <w:sz w:val="24"/>
          <w:szCs w:val="24"/>
        </w:rPr>
        <w:t xml:space="preserve"> This may be due to beneficial effects exerted by the microbia</w:t>
      </w:r>
      <w:r>
        <w:rPr>
          <w:rFonts w:ascii="Times New Roman" w:hAnsi="Times New Roman" w:cs="Times New Roman"/>
          <w:sz w:val="24"/>
          <w:szCs w:val="24"/>
        </w:rPr>
        <w:t xml:space="preserve">l </w:t>
      </w:r>
      <w:r w:rsidRPr="00AF0207">
        <w:rPr>
          <w:rFonts w:ascii="Times New Roman" w:hAnsi="Times New Roman" w:cs="Times New Roman"/>
          <w:sz w:val="24"/>
          <w:szCs w:val="24"/>
        </w:rPr>
        <w:t xml:space="preserve">consortia on maize plants. The bacteria used in the present study viz., </w:t>
      </w:r>
      <w:r w:rsidRPr="00AF0207">
        <w:rPr>
          <w:rFonts w:ascii="Times New Roman" w:hAnsi="Times New Roman" w:cs="Times New Roman"/>
          <w:i/>
          <w:iCs/>
          <w:sz w:val="24"/>
          <w:szCs w:val="24"/>
        </w:rPr>
        <w:t>Pseudomonas putida</w:t>
      </w:r>
      <w:r w:rsidRPr="00AF0207">
        <w:rPr>
          <w:rFonts w:ascii="Times New Roman" w:hAnsi="Times New Roman" w:cs="Times New Roman"/>
          <w:sz w:val="24"/>
          <w:szCs w:val="24"/>
        </w:rPr>
        <w:t xml:space="preserve"> P7 + </w:t>
      </w:r>
      <w:r w:rsidRPr="00AF0207">
        <w:rPr>
          <w:rFonts w:ascii="Times New Roman" w:hAnsi="Times New Roman" w:cs="Times New Roman"/>
          <w:i/>
          <w:iCs/>
          <w:sz w:val="24"/>
          <w:szCs w:val="24"/>
        </w:rPr>
        <w:t>Paenibacillus favisporus</w:t>
      </w:r>
      <w:r w:rsidRPr="00AF0207">
        <w:rPr>
          <w:rFonts w:ascii="Times New Roman" w:hAnsi="Times New Roman" w:cs="Times New Roman"/>
          <w:sz w:val="24"/>
          <w:szCs w:val="24"/>
        </w:rPr>
        <w:t xml:space="preserve"> B30 (Microbial consortia 1) and </w:t>
      </w:r>
      <w:r w:rsidRPr="00AF0207">
        <w:rPr>
          <w:rFonts w:ascii="Times New Roman" w:hAnsi="Times New Roman" w:cs="Times New Roman"/>
          <w:i/>
          <w:iCs/>
          <w:sz w:val="24"/>
          <w:szCs w:val="24"/>
        </w:rPr>
        <w:t>Pseudomonas putida</w:t>
      </w:r>
      <w:r w:rsidRPr="00AF0207">
        <w:rPr>
          <w:rFonts w:ascii="Times New Roman" w:hAnsi="Times New Roman" w:cs="Times New Roman"/>
          <w:sz w:val="24"/>
          <w:szCs w:val="24"/>
        </w:rPr>
        <w:t xml:space="preserve"> P45 + </w:t>
      </w:r>
      <w:r w:rsidRPr="00AF0207">
        <w:rPr>
          <w:rFonts w:ascii="Times New Roman" w:hAnsi="Times New Roman" w:cs="Times New Roman"/>
          <w:i/>
          <w:iCs/>
          <w:sz w:val="24"/>
          <w:szCs w:val="24"/>
        </w:rPr>
        <w:t>Bacillus amyloliquefaciens</w:t>
      </w:r>
      <w:r w:rsidRPr="00AF0207">
        <w:rPr>
          <w:rFonts w:ascii="Times New Roman" w:hAnsi="Times New Roman" w:cs="Times New Roman"/>
          <w:sz w:val="24"/>
          <w:szCs w:val="24"/>
        </w:rPr>
        <w:t xml:space="preserve"> B17 (Microbial consortia 2) were previously tested for plant growth promoting characteristics. They were able to produce phytohormones such as IAA, solubilize phosphorus, synthesize exopolysaccharides (EPS) and increased proline, sugar and protein contents in leaves</w:t>
      </w:r>
      <w:r>
        <w:rPr>
          <w:rFonts w:ascii="Times New Roman" w:hAnsi="Times New Roman" w:cs="Times New Roman"/>
          <w:sz w:val="24"/>
          <w:szCs w:val="24"/>
        </w:rPr>
        <w:t xml:space="preserve"> </w:t>
      </w:r>
      <w:r w:rsidRPr="00AF0207">
        <w:rPr>
          <w:rFonts w:ascii="Times New Roman" w:hAnsi="Times New Roman" w:cs="Times New Roman"/>
          <w:sz w:val="24"/>
          <w:szCs w:val="24"/>
        </w:rPr>
        <w:t>under moisture stress conditions. Also improved relative water content (RWC) and reduced leaf water loss (LWL) of inoculated plants</w:t>
      </w:r>
      <w:r>
        <w:rPr>
          <w:rFonts w:ascii="Times New Roman" w:hAnsi="Times New Roman" w:cs="Times New Roman"/>
          <w:sz w:val="24"/>
          <w:szCs w:val="24"/>
        </w:rPr>
        <w:t>.</w:t>
      </w:r>
    </w:p>
    <w:p w14:paraId="5D1CA932" w14:textId="77777777" w:rsidR="00EE5675" w:rsidRDefault="00EE5675" w:rsidP="00D66C89">
      <w:pPr>
        <w:autoSpaceDE w:val="0"/>
        <w:autoSpaceDN w:val="0"/>
        <w:adjustRightInd w:val="0"/>
        <w:spacing w:after="0" w:line="360" w:lineRule="auto"/>
        <w:jc w:val="both"/>
        <w:rPr>
          <w:rFonts w:ascii="Times New Roman" w:hAnsi="Times New Roman" w:cs="Times New Roman"/>
          <w:sz w:val="24"/>
          <w:szCs w:val="24"/>
        </w:rPr>
      </w:pPr>
    </w:p>
    <w:p w14:paraId="7B1D581F" w14:textId="77777777" w:rsidR="00EE5675" w:rsidRPr="008F4964" w:rsidRDefault="00EE5675" w:rsidP="00D66C89">
      <w:pPr>
        <w:autoSpaceDE w:val="0"/>
        <w:autoSpaceDN w:val="0"/>
        <w:adjustRightInd w:val="0"/>
        <w:spacing w:after="0" w:line="360" w:lineRule="auto"/>
        <w:jc w:val="both"/>
        <w:rPr>
          <w:rFonts w:ascii="Times New Roman" w:hAnsi="Times New Roman" w:cs="Times New Roman"/>
          <w:sz w:val="24"/>
          <w:szCs w:val="24"/>
          <w:lang w:val="en-IN" w:eastAsia="en-IN" w:bidi="ar-SA"/>
        </w:rPr>
      </w:pPr>
      <w:r w:rsidRPr="005C3835">
        <w:rPr>
          <w:rFonts w:ascii="Times New Roman" w:hAnsi="Times New Roman" w:cs="Times New Roman"/>
          <w:sz w:val="24"/>
          <w:szCs w:val="24"/>
          <w:lang w:eastAsia="en-IN" w:bidi="ar-SA"/>
        </w:rPr>
        <w:t xml:space="preserve">Gohil </w:t>
      </w:r>
      <w:r w:rsidRPr="00B307FA">
        <w:rPr>
          <w:rFonts w:ascii="Times New Roman" w:hAnsi="Times New Roman" w:cs="Times New Roman"/>
          <w:i/>
          <w:iCs/>
          <w:sz w:val="24"/>
          <w:szCs w:val="24"/>
          <w:lang w:eastAsia="en-IN" w:bidi="ar-SA"/>
        </w:rPr>
        <w:t>et al</w:t>
      </w:r>
      <w:r>
        <w:rPr>
          <w:rFonts w:ascii="Times New Roman" w:hAnsi="Times New Roman" w:cs="Times New Roman"/>
          <w:sz w:val="24"/>
          <w:szCs w:val="24"/>
          <w:lang w:eastAsia="en-IN" w:bidi="ar-SA"/>
        </w:rPr>
        <w:t xml:space="preserve">., (2021) </w:t>
      </w:r>
      <w:commentRangeStart w:id="4"/>
      <w:r>
        <w:rPr>
          <w:rFonts w:ascii="Times New Roman" w:hAnsi="Times New Roman" w:cs="Times New Roman"/>
          <w:sz w:val="24"/>
          <w:szCs w:val="24"/>
          <w:lang w:eastAsia="en-IN" w:bidi="ar-SA"/>
        </w:rPr>
        <w:t>reported</w:t>
      </w:r>
      <w:commentRangeEnd w:id="4"/>
      <w:r w:rsidR="00A3764B">
        <w:rPr>
          <w:rStyle w:val="Refdecomentario"/>
        </w:rPr>
        <w:commentReference w:id="4"/>
      </w:r>
      <w:r>
        <w:rPr>
          <w:rFonts w:ascii="Times New Roman" w:hAnsi="Times New Roman" w:cs="Times New Roman"/>
          <w:sz w:val="24"/>
          <w:szCs w:val="24"/>
          <w:lang w:eastAsia="en-IN" w:bidi="ar-SA"/>
        </w:rPr>
        <w:t xml:space="preserve"> that t</w:t>
      </w:r>
      <w:r w:rsidRPr="005C3835">
        <w:rPr>
          <w:rFonts w:ascii="Times New Roman" w:hAnsi="Times New Roman" w:cs="Times New Roman"/>
          <w:sz w:val="24"/>
          <w:szCs w:val="24"/>
          <w:lang w:eastAsia="en-IN" w:bidi="ar-SA"/>
        </w:rPr>
        <w:t>he yield attributes like grain and straw yield of rice increased significantly due to application of RDF + 75% Zn + 75% Fe + Bio-NPK</w:t>
      </w:r>
      <w:r>
        <w:rPr>
          <w:rFonts w:ascii="Times New Roman" w:hAnsi="Times New Roman" w:cs="Times New Roman"/>
          <w:sz w:val="24"/>
          <w:szCs w:val="24"/>
          <w:lang w:eastAsia="en-IN" w:bidi="ar-SA"/>
        </w:rPr>
        <w:t xml:space="preserve"> </w:t>
      </w:r>
      <w:r w:rsidRPr="005C3835">
        <w:rPr>
          <w:rFonts w:ascii="Times New Roman" w:hAnsi="Times New Roman" w:cs="Times New Roman"/>
          <w:sz w:val="24"/>
          <w:szCs w:val="24"/>
          <w:lang w:eastAsia="en-IN" w:bidi="ar-SA"/>
        </w:rPr>
        <w:t>consortium. Significant increase in grain and straw yield of rice might be due to positive effect of treatments on growth parameters and yield attributes during growth period. This might be due to the inoculation of N fixer, P solubilizer and organisms that produces plant growth promoting substances and their role in the increased availability of nutrients to the crop plants</w:t>
      </w:r>
      <w:r>
        <w:rPr>
          <w:rFonts w:ascii="Times New Roman" w:hAnsi="Times New Roman" w:cs="Times New Roman"/>
          <w:sz w:val="24"/>
          <w:szCs w:val="24"/>
          <w:lang w:eastAsia="en-IN" w:bidi="ar-SA"/>
        </w:rPr>
        <w:t>.</w:t>
      </w:r>
    </w:p>
    <w:p w14:paraId="485B6C1F" w14:textId="61D65B8C" w:rsidR="00EE5675" w:rsidRPr="00C53647" w:rsidRDefault="00EE5675" w:rsidP="00EE5675">
      <w:pPr>
        <w:rPr>
          <w:rFonts w:ascii="Times New Roman" w:hAnsi="Times New Roman" w:cs="Times New Roman"/>
          <w:b/>
          <w:bCs/>
          <w:sz w:val="24"/>
          <w:szCs w:val="24"/>
        </w:rPr>
      </w:pPr>
      <w:commentRangeStart w:id="5"/>
      <w:r w:rsidRPr="00C53647">
        <w:rPr>
          <w:rFonts w:ascii="Times New Roman" w:hAnsi="Times New Roman" w:cs="Times New Roman"/>
          <w:b/>
          <w:bCs/>
          <w:sz w:val="24"/>
          <w:szCs w:val="24"/>
        </w:rPr>
        <w:t>Table</w:t>
      </w:r>
      <w:r w:rsidR="00663BCE">
        <w:rPr>
          <w:rFonts w:ascii="Times New Roman" w:hAnsi="Times New Roman" w:cs="Times New Roman"/>
          <w:b/>
          <w:bCs/>
          <w:sz w:val="24"/>
          <w:szCs w:val="24"/>
        </w:rPr>
        <w:t xml:space="preserve"> No 2</w:t>
      </w:r>
      <w:r w:rsidRPr="00C53647">
        <w:rPr>
          <w:rFonts w:ascii="Times New Roman" w:hAnsi="Times New Roman" w:cs="Times New Roman"/>
          <w:b/>
          <w:bCs/>
          <w:sz w:val="24"/>
          <w:szCs w:val="24"/>
        </w:rPr>
        <w:t xml:space="preserve"> </w:t>
      </w:r>
      <w:commentRangeEnd w:id="5"/>
      <w:r w:rsidR="0031188D">
        <w:rPr>
          <w:rStyle w:val="Refdecomentario"/>
        </w:rPr>
        <w:commentReference w:id="5"/>
      </w:r>
      <w:r w:rsidRPr="00C53647">
        <w:rPr>
          <w:rFonts w:ascii="Times New Roman" w:hAnsi="Times New Roman" w:cs="Times New Roman"/>
          <w:b/>
          <w:bCs/>
          <w:sz w:val="24"/>
          <w:szCs w:val="24"/>
        </w:rPr>
        <w:t>Effect of microbial inoculants and their consortia on grain and straw yield of maize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4777"/>
        <w:gridCol w:w="1559"/>
        <w:gridCol w:w="1537"/>
      </w:tblGrid>
      <w:tr w:rsidR="00EE5675" w:rsidRPr="00C53647" w14:paraId="09D5E92E" w14:textId="77777777" w:rsidTr="00144954">
        <w:trPr>
          <w:trHeight w:val="702"/>
        </w:trPr>
        <w:tc>
          <w:tcPr>
            <w:tcW w:w="1143" w:type="dxa"/>
          </w:tcPr>
          <w:p w14:paraId="764FCA75"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b/>
                <w:bCs/>
                <w:sz w:val="24"/>
                <w:szCs w:val="24"/>
              </w:rPr>
              <w:t>Tr. No.</w:t>
            </w:r>
          </w:p>
        </w:tc>
        <w:tc>
          <w:tcPr>
            <w:tcW w:w="4777" w:type="dxa"/>
          </w:tcPr>
          <w:p w14:paraId="6E16EB9A"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b/>
                <w:bCs/>
                <w:sz w:val="24"/>
                <w:szCs w:val="24"/>
              </w:rPr>
              <w:t>Treatments</w:t>
            </w:r>
          </w:p>
        </w:tc>
        <w:tc>
          <w:tcPr>
            <w:tcW w:w="1559" w:type="dxa"/>
          </w:tcPr>
          <w:p w14:paraId="005971F4"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Grain yield</w:t>
            </w:r>
          </w:p>
          <w:p w14:paraId="02754CA0"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(kg ha</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537" w:type="dxa"/>
          </w:tcPr>
          <w:p w14:paraId="69094554"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 xml:space="preserve">Straw yield </w:t>
            </w:r>
          </w:p>
          <w:p w14:paraId="23B5A05E"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(kg ha</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r>
      <w:tr w:rsidR="00EE5675" w:rsidRPr="00C53647" w14:paraId="36979695" w14:textId="77777777" w:rsidTr="00144954">
        <w:tc>
          <w:tcPr>
            <w:tcW w:w="1143" w:type="dxa"/>
          </w:tcPr>
          <w:p w14:paraId="6E5F319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w:t>
            </w:r>
          </w:p>
        </w:tc>
        <w:tc>
          <w:tcPr>
            <w:tcW w:w="4777" w:type="dxa"/>
          </w:tcPr>
          <w:p w14:paraId="54FDA027"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 xml:space="preserve">Absolute control </w:t>
            </w:r>
          </w:p>
        </w:tc>
        <w:tc>
          <w:tcPr>
            <w:tcW w:w="1559" w:type="dxa"/>
            <w:tcBorders>
              <w:top w:val="single" w:sz="4" w:space="0" w:color="auto"/>
              <w:left w:val="single" w:sz="4" w:space="0" w:color="auto"/>
              <w:bottom w:val="single" w:sz="4" w:space="0" w:color="auto"/>
              <w:right w:val="single" w:sz="4" w:space="0" w:color="auto"/>
            </w:tcBorders>
            <w:vAlign w:val="bottom"/>
          </w:tcPr>
          <w:p w14:paraId="20F5EA9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3365.00</w:t>
            </w:r>
          </w:p>
        </w:tc>
        <w:tc>
          <w:tcPr>
            <w:tcW w:w="1537" w:type="dxa"/>
            <w:tcBorders>
              <w:top w:val="single" w:sz="4" w:space="0" w:color="auto"/>
              <w:left w:val="single" w:sz="4" w:space="0" w:color="auto"/>
              <w:bottom w:val="single" w:sz="4" w:space="0" w:color="auto"/>
              <w:right w:val="single" w:sz="4" w:space="0" w:color="auto"/>
            </w:tcBorders>
            <w:vAlign w:val="bottom"/>
          </w:tcPr>
          <w:p w14:paraId="15353DFC"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5834.33</w:t>
            </w:r>
          </w:p>
        </w:tc>
      </w:tr>
      <w:tr w:rsidR="00EE5675" w:rsidRPr="00C53647" w14:paraId="5744FE3D" w14:textId="77777777" w:rsidTr="00144954">
        <w:tc>
          <w:tcPr>
            <w:tcW w:w="1143" w:type="dxa"/>
          </w:tcPr>
          <w:p w14:paraId="7078A82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p>
        </w:tc>
        <w:tc>
          <w:tcPr>
            <w:tcW w:w="4777" w:type="dxa"/>
          </w:tcPr>
          <w:p w14:paraId="5FD7815C"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RDF</w:t>
            </w:r>
          </w:p>
        </w:tc>
        <w:tc>
          <w:tcPr>
            <w:tcW w:w="1559" w:type="dxa"/>
            <w:tcBorders>
              <w:top w:val="nil"/>
              <w:left w:val="single" w:sz="4" w:space="0" w:color="auto"/>
              <w:bottom w:val="single" w:sz="4" w:space="0" w:color="auto"/>
              <w:right w:val="single" w:sz="4" w:space="0" w:color="auto"/>
            </w:tcBorders>
            <w:vAlign w:val="bottom"/>
          </w:tcPr>
          <w:p w14:paraId="698A923E"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4717.00</w:t>
            </w:r>
          </w:p>
        </w:tc>
        <w:tc>
          <w:tcPr>
            <w:tcW w:w="1537" w:type="dxa"/>
            <w:tcBorders>
              <w:top w:val="nil"/>
              <w:left w:val="single" w:sz="4" w:space="0" w:color="auto"/>
              <w:bottom w:val="single" w:sz="4" w:space="0" w:color="auto"/>
              <w:right w:val="single" w:sz="4" w:space="0" w:color="auto"/>
            </w:tcBorders>
            <w:vAlign w:val="bottom"/>
          </w:tcPr>
          <w:p w14:paraId="04193CF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7552.33</w:t>
            </w:r>
          </w:p>
        </w:tc>
      </w:tr>
      <w:tr w:rsidR="00EE5675" w:rsidRPr="00C53647" w14:paraId="7B137D72" w14:textId="77777777" w:rsidTr="00144954">
        <w:tc>
          <w:tcPr>
            <w:tcW w:w="1143" w:type="dxa"/>
          </w:tcPr>
          <w:p w14:paraId="0CDA4593"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3</w:t>
            </w:r>
          </w:p>
        </w:tc>
        <w:tc>
          <w:tcPr>
            <w:tcW w:w="4777" w:type="dxa"/>
          </w:tcPr>
          <w:p w14:paraId="2CABE2F5"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p>
        </w:tc>
        <w:tc>
          <w:tcPr>
            <w:tcW w:w="1559" w:type="dxa"/>
            <w:tcBorders>
              <w:top w:val="nil"/>
              <w:left w:val="single" w:sz="4" w:space="0" w:color="auto"/>
              <w:bottom w:val="single" w:sz="4" w:space="0" w:color="auto"/>
              <w:right w:val="single" w:sz="4" w:space="0" w:color="auto"/>
            </w:tcBorders>
            <w:vAlign w:val="bottom"/>
          </w:tcPr>
          <w:p w14:paraId="592EA09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4862.66</w:t>
            </w:r>
          </w:p>
        </w:tc>
        <w:tc>
          <w:tcPr>
            <w:tcW w:w="1537" w:type="dxa"/>
            <w:tcBorders>
              <w:top w:val="nil"/>
              <w:left w:val="single" w:sz="4" w:space="0" w:color="auto"/>
              <w:bottom w:val="single" w:sz="4" w:space="0" w:color="auto"/>
              <w:right w:val="single" w:sz="4" w:space="0" w:color="auto"/>
            </w:tcBorders>
            <w:vAlign w:val="bottom"/>
          </w:tcPr>
          <w:p w14:paraId="6CD323DB"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8518.33</w:t>
            </w:r>
          </w:p>
        </w:tc>
      </w:tr>
      <w:tr w:rsidR="00EE5675" w:rsidRPr="00C53647" w14:paraId="6D659EEF" w14:textId="77777777" w:rsidTr="00144954">
        <w:tc>
          <w:tcPr>
            <w:tcW w:w="1143" w:type="dxa"/>
          </w:tcPr>
          <w:p w14:paraId="35C0660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4</w:t>
            </w:r>
          </w:p>
        </w:tc>
        <w:tc>
          <w:tcPr>
            <w:tcW w:w="4777" w:type="dxa"/>
          </w:tcPr>
          <w:p w14:paraId="31176F91"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w:t>
            </w:r>
          </w:p>
        </w:tc>
        <w:tc>
          <w:tcPr>
            <w:tcW w:w="1559" w:type="dxa"/>
            <w:tcBorders>
              <w:top w:val="nil"/>
              <w:left w:val="single" w:sz="4" w:space="0" w:color="auto"/>
              <w:bottom w:val="single" w:sz="4" w:space="0" w:color="auto"/>
              <w:right w:val="single" w:sz="4" w:space="0" w:color="auto"/>
            </w:tcBorders>
            <w:vAlign w:val="bottom"/>
          </w:tcPr>
          <w:p w14:paraId="6B1FD0A9"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6772.66</w:t>
            </w:r>
          </w:p>
        </w:tc>
        <w:tc>
          <w:tcPr>
            <w:tcW w:w="1537" w:type="dxa"/>
            <w:tcBorders>
              <w:top w:val="nil"/>
              <w:left w:val="single" w:sz="4" w:space="0" w:color="auto"/>
              <w:bottom w:val="single" w:sz="4" w:space="0" w:color="auto"/>
              <w:right w:val="single" w:sz="4" w:space="0" w:color="auto"/>
            </w:tcBorders>
            <w:vAlign w:val="bottom"/>
          </w:tcPr>
          <w:p w14:paraId="3E94CC1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8790.33</w:t>
            </w:r>
          </w:p>
        </w:tc>
      </w:tr>
      <w:tr w:rsidR="00EE5675" w:rsidRPr="00C53647" w14:paraId="2AFF8E7C" w14:textId="77777777" w:rsidTr="00144954">
        <w:tc>
          <w:tcPr>
            <w:tcW w:w="1143" w:type="dxa"/>
          </w:tcPr>
          <w:p w14:paraId="6E8F333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5</w:t>
            </w:r>
          </w:p>
        </w:tc>
        <w:tc>
          <w:tcPr>
            <w:tcW w:w="4777" w:type="dxa"/>
          </w:tcPr>
          <w:p w14:paraId="06AC3FD0"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KSB</w:t>
            </w:r>
          </w:p>
        </w:tc>
        <w:tc>
          <w:tcPr>
            <w:tcW w:w="1559" w:type="dxa"/>
            <w:tcBorders>
              <w:top w:val="nil"/>
              <w:left w:val="single" w:sz="4" w:space="0" w:color="auto"/>
              <w:bottom w:val="single" w:sz="4" w:space="0" w:color="auto"/>
              <w:right w:val="single" w:sz="4" w:space="0" w:color="auto"/>
            </w:tcBorders>
            <w:vAlign w:val="bottom"/>
          </w:tcPr>
          <w:p w14:paraId="1918D40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6828.66</w:t>
            </w:r>
          </w:p>
        </w:tc>
        <w:tc>
          <w:tcPr>
            <w:tcW w:w="1537" w:type="dxa"/>
            <w:tcBorders>
              <w:top w:val="nil"/>
              <w:left w:val="single" w:sz="4" w:space="0" w:color="auto"/>
              <w:bottom w:val="single" w:sz="4" w:space="0" w:color="auto"/>
              <w:right w:val="single" w:sz="4" w:space="0" w:color="auto"/>
            </w:tcBorders>
            <w:vAlign w:val="bottom"/>
          </w:tcPr>
          <w:p w14:paraId="688AAC4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8993.33</w:t>
            </w:r>
          </w:p>
        </w:tc>
      </w:tr>
      <w:tr w:rsidR="00EE5675" w:rsidRPr="00C53647" w14:paraId="0A8B5747" w14:textId="77777777" w:rsidTr="00144954">
        <w:tc>
          <w:tcPr>
            <w:tcW w:w="1143" w:type="dxa"/>
          </w:tcPr>
          <w:p w14:paraId="290A067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6</w:t>
            </w:r>
          </w:p>
        </w:tc>
        <w:tc>
          <w:tcPr>
            <w:tcW w:w="4777" w:type="dxa"/>
          </w:tcPr>
          <w:p w14:paraId="00A6A76D"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SSB</w:t>
            </w:r>
          </w:p>
        </w:tc>
        <w:tc>
          <w:tcPr>
            <w:tcW w:w="1559" w:type="dxa"/>
            <w:tcBorders>
              <w:top w:val="nil"/>
              <w:left w:val="single" w:sz="4" w:space="0" w:color="auto"/>
              <w:bottom w:val="single" w:sz="4" w:space="0" w:color="auto"/>
              <w:right w:val="single" w:sz="4" w:space="0" w:color="auto"/>
            </w:tcBorders>
            <w:vAlign w:val="bottom"/>
          </w:tcPr>
          <w:p w14:paraId="1471A9D0"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7153.33</w:t>
            </w:r>
          </w:p>
        </w:tc>
        <w:tc>
          <w:tcPr>
            <w:tcW w:w="1537" w:type="dxa"/>
            <w:tcBorders>
              <w:top w:val="nil"/>
              <w:left w:val="single" w:sz="4" w:space="0" w:color="auto"/>
              <w:bottom w:val="single" w:sz="4" w:space="0" w:color="auto"/>
              <w:right w:val="single" w:sz="4" w:space="0" w:color="auto"/>
            </w:tcBorders>
            <w:vAlign w:val="bottom"/>
          </w:tcPr>
          <w:p w14:paraId="678C404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8906.66</w:t>
            </w:r>
          </w:p>
        </w:tc>
      </w:tr>
      <w:tr w:rsidR="00EE5675" w:rsidRPr="00C53647" w14:paraId="6CF2F7F3" w14:textId="77777777" w:rsidTr="00144954">
        <w:tc>
          <w:tcPr>
            <w:tcW w:w="1143" w:type="dxa"/>
          </w:tcPr>
          <w:p w14:paraId="1E9FE84E"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7</w:t>
            </w:r>
          </w:p>
        </w:tc>
        <w:tc>
          <w:tcPr>
            <w:tcW w:w="4777" w:type="dxa"/>
          </w:tcPr>
          <w:p w14:paraId="779FC3EF"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ZnSB</w:t>
            </w:r>
          </w:p>
        </w:tc>
        <w:tc>
          <w:tcPr>
            <w:tcW w:w="1559" w:type="dxa"/>
            <w:tcBorders>
              <w:top w:val="nil"/>
              <w:left w:val="single" w:sz="4" w:space="0" w:color="auto"/>
              <w:bottom w:val="single" w:sz="4" w:space="0" w:color="auto"/>
              <w:right w:val="single" w:sz="4" w:space="0" w:color="auto"/>
            </w:tcBorders>
            <w:vAlign w:val="bottom"/>
          </w:tcPr>
          <w:p w14:paraId="472CB297"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6802.00</w:t>
            </w:r>
          </w:p>
        </w:tc>
        <w:tc>
          <w:tcPr>
            <w:tcW w:w="1537" w:type="dxa"/>
            <w:tcBorders>
              <w:top w:val="nil"/>
              <w:left w:val="single" w:sz="4" w:space="0" w:color="auto"/>
              <w:bottom w:val="single" w:sz="4" w:space="0" w:color="auto"/>
              <w:right w:val="single" w:sz="4" w:space="0" w:color="auto"/>
            </w:tcBorders>
            <w:vAlign w:val="bottom"/>
          </w:tcPr>
          <w:p w14:paraId="18CC33FC"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8564.33</w:t>
            </w:r>
          </w:p>
        </w:tc>
      </w:tr>
      <w:tr w:rsidR="00EE5675" w:rsidRPr="00C53647" w14:paraId="75E2AD56" w14:textId="77777777" w:rsidTr="00144954">
        <w:tc>
          <w:tcPr>
            <w:tcW w:w="1143" w:type="dxa"/>
          </w:tcPr>
          <w:p w14:paraId="401F285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8</w:t>
            </w:r>
          </w:p>
        </w:tc>
        <w:tc>
          <w:tcPr>
            <w:tcW w:w="4777" w:type="dxa"/>
          </w:tcPr>
          <w:p w14:paraId="065AEC85"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KSB</w:t>
            </w:r>
          </w:p>
        </w:tc>
        <w:tc>
          <w:tcPr>
            <w:tcW w:w="1559" w:type="dxa"/>
            <w:tcBorders>
              <w:top w:val="nil"/>
              <w:left w:val="single" w:sz="4" w:space="0" w:color="auto"/>
              <w:bottom w:val="single" w:sz="4" w:space="0" w:color="auto"/>
              <w:right w:val="single" w:sz="4" w:space="0" w:color="auto"/>
            </w:tcBorders>
            <w:vAlign w:val="bottom"/>
          </w:tcPr>
          <w:p w14:paraId="69306129"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7211.33</w:t>
            </w:r>
          </w:p>
        </w:tc>
        <w:tc>
          <w:tcPr>
            <w:tcW w:w="1537" w:type="dxa"/>
            <w:tcBorders>
              <w:top w:val="nil"/>
              <w:left w:val="single" w:sz="4" w:space="0" w:color="auto"/>
              <w:bottom w:val="single" w:sz="4" w:space="0" w:color="auto"/>
              <w:right w:val="single" w:sz="4" w:space="0" w:color="auto"/>
            </w:tcBorders>
            <w:vAlign w:val="bottom"/>
          </w:tcPr>
          <w:p w14:paraId="000C609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9247.00</w:t>
            </w:r>
          </w:p>
        </w:tc>
      </w:tr>
      <w:tr w:rsidR="00EE5675" w:rsidRPr="00C53647" w14:paraId="5DA83EB4" w14:textId="77777777" w:rsidTr="00144954">
        <w:tc>
          <w:tcPr>
            <w:tcW w:w="1143" w:type="dxa"/>
          </w:tcPr>
          <w:p w14:paraId="1420C1B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9</w:t>
            </w:r>
          </w:p>
        </w:tc>
        <w:tc>
          <w:tcPr>
            <w:tcW w:w="4777" w:type="dxa"/>
          </w:tcPr>
          <w:p w14:paraId="47B377BF"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SSB</w:t>
            </w:r>
          </w:p>
        </w:tc>
        <w:tc>
          <w:tcPr>
            <w:tcW w:w="1559" w:type="dxa"/>
            <w:tcBorders>
              <w:top w:val="nil"/>
              <w:left w:val="single" w:sz="4" w:space="0" w:color="auto"/>
              <w:bottom w:val="single" w:sz="4" w:space="0" w:color="auto"/>
              <w:right w:val="single" w:sz="4" w:space="0" w:color="auto"/>
            </w:tcBorders>
            <w:vAlign w:val="bottom"/>
          </w:tcPr>
          <w:p w14:paraId="4B05A910"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7587.33</w:t>
            </w:r>
          </w:p>
        </w:tc>
        <w:tc>
          <w:tcPr>
            <w:tcW w:w="1537" w:type="dxa"/>
            <w:tcBorders>
              <w:top w:val="nil"/>
              <w:left w:val="single" w:sz="4" w:space="0" w:color="auto"/>
              <w:bottom w:val="single" w:sz="4" w:space="0" w:color="auto"/>
              <w:right w:val="single" w:sz="4" w:space="0" w:color="auto"/>
            </w:tcBorders>
            <w:vAlign w:val="bottom"/>
          </w:tcPr>
          <w:p w14:paraId="33339A03"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9543.00</w:t>
            </w:r>
          </w:p>
        </w:tc>
      </w:tr>
      <w:tr w:rsidR="00EE5675" w:rsidRPr="00C53647" w14:paraId="7AE6369E" w14:textId="77777777" w:rsidTr="00144954">
        <w:tc>
          <w:tcPr>
            <w:tcW w:w="1143" w:type="dxa"/>
          </w:tcPr>
          <w:p w14:paraId="1A7A628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p>
        </w:tc>
        <w:tc>
          <w:tcPr>
            <w:tcW w:w="4777" w:type="dxa"/>
          </w:tcPr>
          <w:p w14:paraId="64226E11"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ZnSB</w:t>
            </w:r>
          </w:p>
        </w:tc>
        <w:tc>
          <w:tcPr>
            <w:tcW w:w="1559" w:type="dxa"/>
            <w:tcBorders>
              <w:top w:val="nil"/>
              <w:left w:val="single" w:sz="4" w:space="0" w:color="auto"/>
              <w:bottom w:val="single" w:sz="4" w:space="0" w:color="auto"/>
              <w:right w:val="single" w:sz="4" w:space="0" w:color="auto"/>
            </w:tcBorders>
            <w:vAlign w:val="bottom"/>
          </w:tcPr>
          <w:p w14:paraId="17E575A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8156.00</w:t>
            </w:r>
          </w:p>
        </w:tc>
        <w:tc>
          <w:tcPr>
            <w:tcW w:w="1537" w:type="dxa"/>
            <w:tcBorders>
              <w:top w:val="nil"/>
              <w:left w:val="single" w:sz="4" w:space="0" w:color="auto"/>
              <w:bottom w:val="single" w:sz="4" w:space="0" w:color="auto"/>
              <w:right w:val="single" w:sz="4" w:space="0" w:color="auto"/>
            </w:tcBorders>
            <w:vAlign w:val="bottom"/>
          </w:tcPr>
          <w:p w14:paraId="58DEEAE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9836.66</w:t>
            </w:r>
          </w:p>
        </w:tc>
      </w:tr>
      <w:tr w:rsidR="00EE5675" w:rsidRPr="00C53647" w14:paraId="78F603BA" w14:textId="77777777" w:rsidTr="00144954">
        <w:tc>
          <w:tcPr>
            <w:tcW w:w="1143" w:type="dxa"/>
          </w:tcPr>
          <w:p w14:paraId="6CCA4D06" w14:textId="77777777" w:rsidR="00EE5675" w:rsidRPr="00C53647" w:rsidRDefault="00EE5675" w:rsidP="00144954">
            <w:pPr>
              <w:rPr>
                <w:rFonts w:ascii="Times New Roman" w:hAnsi="Times New Roman" w:cs="Times New Roman"/>
                <w:sz w:val="24"/>
                <w:szCs w:val="24"/>
              </w:rPr>
            </w:pPr>
          </w:p>
        </w:tc>
        <w:tc>
          <w:tcPr>
            <w:tcW w:w="4777" w:type="dxa"/>
          </w:tcPr>
          <w:p w14:paraId="27F9C250"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SEm±</w:t>
            </w:r>
          </w:p>
        </w:tc>
        <w:tc>
          <w:tcPr>
            <w:tcW w:w="1559" w:type="dxa"/>
            <w:tcBorders>
              <w:top w:val="single" w:sz="4" w:space="0" w:color="auto"/>
              <w:left w:val="single" w:sz="4" w:space="0" w:color="auto"/>
              <w:bottom w:val="single" w:sz="4" w:space="0" w:color="auto"/>
              <w:right w:val="single" w:sz="4" w:space="0" w:color="auto"/>
            </w:tcBorders>
            <w:vAlign w:val="bottom"/>
          </w:tcPr>
          <w:p w14:paraId="33A03687"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30.54</w:t>
            </w:r>
          </w:p>
        </w:tc>
        <w:tc>
          <w:tcPr>
            <w:tcW w:w="1537" w:type="dxa"/>
            <w:tcBorders>
              <w:top w:val="single" w:sz="4" w:space="0" w:color="auto"/>
              <w:left w:val="single" w:sz="4" w:space="0" w:color="auto"/>
              <w:bottom w:val="single" w:sz="4" w:space="0" w:color="auto"/>
              <w:right w:val="single" w:sz="4" w:space="0" w:color="auto"/>
            </w:tcBorders>
            <w:vAlign w:val="bottom"/>
          </w:tcPr>
          <w:p w14:paraId="2458AD1D"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56.91</w:t>
            </w:r>
          </w:p>
        </w:tc>
      </w:tr>
      <w:tr w:rsidR="00EE5675" w:rsidRPr="00C53647" w14:paraId="4C00547F" w14:textId="77777777" w:rsidTr="00144954">
        <w:tc>
          <w:tcPr>
            <w:tcW w:w="1143" w:type="dxa"/>
          </w:tcPr>
          <w:p w14:paraId="10FA00BE" w14:textId="77777777" w:rsidR="00EE5675" w:rsidRPr="00C53647" w:rsidRDefault="00EE5675" w:rsidP="00144954">
            <w:pPr>
              <w:rPr>
                <w:rFonts w:ascii="Times New Roman" w:hAnsi="Times New Roman" w:cs="Times New Roman"/>
                <w:sz w:val="24"/>
                <w:szCs w:val="24"/>
              </w:rPr>
            </w:pPr>
          </w:p>
        </w:tc>
        <w:tc>
          <w:tcPr>
            <w:tcW w:w="4777" w:type="dxa"/>
          </w:tcPr>
          <w:p w14:paraId="61FB2A66" w14:textId="77777777" w:rsidR="00EE5675" w:rsidRPr="00C53647" w:rsidRDefault="00EE5675" w:rsidP="00144954">
            <w:pPr>
              <w:rPr>
                <w:rFonts w:ascii="Times New Roman" w:hAnsi="Times New Roman" w:cs="Times New Roman"/>
                <w:b/>
                <w:bCs/>
                <w:sz w:val="24"/>
                <w:szCs w:val="24"/>
              </w:rPr>
            </w:pPr>
            <w:commentRangeStart w:id="6"/>
            <w:r w:rsidRPr="00C53647">
              <w:rPr>
                <w:rFonts w:ascii="Times New Roman" w:hAnsi="Times New Roman" w:cs="Times New Roman"/>
                <w:sz w:val="24"/>
                <w:szCs w:val="24"/>
              </w:rPr>
              <w:t>C.D. at 5%</w:t>
            </w:r>
            <w:commentRangeEnd w:id="6"/>
            <w:r w:rsidR="0031188D">
              <w:rPr>
                <w:rStyle w:val="Refdecomentario"/>
              </w:rPr>
              <w:commentReference w:id="6"/>
            </w:r>
          </w:p>
        </w:tc>
        <w:tc>
          <w:tcPr>
            <w:tcW w:w="1559" w:type="dxa"/>
            <w:tcBorders>
              <w:top w:val="nil"/>
              <w:left w:val="single" w:sz="4" w:space="0" w:color="auto"/>
              <w:bottom w:val="single" w:sz="4" w:space="0" w:color="auto"/>
              <w:right w:val="single" w:sz="4" w:space="0" w:color="auto"/>
            </w:tcBorders>
            <w:vAlign w:val="bottom"/>
          </w:tcPr>
          <w:p w14:paraId="7B967FC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90.76</w:t>
            </w:r>
          </w:p>
        </w:tc>
        <w:tc>
          <w:tcPr>
            <w:tcW w:w="1537" w:type="dxa"/>
            <w:tcBorders>
              <w:top w:val="nil"/>
              <w:left w:val="single" w:sz="4" w:space="0" w:color="auto"/>
              <w:bottom w:val="single" w:sz="4" w:space="0" w:color="auto"/>
              <w:right w:val="single" w:sz="4" w:space="0" w:color="auto"/>
            </w:tcBorders>
            <w:vAlign w:val="bottom"/>
          </w:tcPr>
          <w:p w14:paraId="57B1686F"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169.10</w:t>
            </w:r>
          </w:p>
        </w:tc>
      </w:tr>
      <w:tr w:rsidR="00EE5675" w:rsidRPr="00C53647" w14:paraId="114AE192" w14:textId="77777777" w:rsidTr="00144954">
        <w:trPr>
          <w:trHeight w:val="343"/>
        </w:trPr>
        <w:tc>
          <w:tcPr>
            <w:tcW w:w="1143" w:type="dxa"/>
          </w:tcPr>
          <w:p w14:paraId="43B674BD" w14:textId="77777777" w:rsidR="00EE5675" w:rsidRPr="00C53647" w:rsidRDefault="00EE5675" w:rsidP="00144954">
            <w:pPr>
              <w:rPr>
                <w:rFonts w:ascii="Times New Roman" w:hAnsi="Times New Roman" w:cs="Times New Roman"/>
                <w:sz w:val="24"/>
                <w:szCs w:val="24"/>
              </w:rPr>
            </w:pPr>
          </w:p>
        </w:tc>
        <w:tc>
          <w:tcPr>
            <w:tcW w:w="4777" w:type="dxa"/>
          </w:tcPr>
          <w:p w14:paraId="49A94004"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C.V.%</w:t>
            </w:r>
          </w:p>
        </w:tc>
        <w:tc>
          <w:tcPr>
            <w:tcW w:w="1559" w:type="dxa"/>
            <w:tcBorders>
              <w:top w:val="nil"/>
              <w:left w:val="single" w:sz="4" w:space="0" w:color="auto"/>
              <w:bottom w:val="single" w:sz="4" w:space="0" w:color="auto"/>
              <w:right w:val="single" w:sz="4" w:space="0" w:color="auto"/>
            </w:tcBorders>
            <w:vAlign w:val="bottom"/>
          </w:tcPr>
          <w:p w14:paraId="7D09AC9F"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1.08</w:t>
            </w:r>
          </w:p>
        </w:tc>
        <w:tc>
          <w:tcPr>
            <w:tcW w:w="1537" w:type="dxa"/>
            <w:tcBorders>
              <w:top w:val="nil"/>
              <w:left w:val="single" w:sz="4" w:space="0" w:color="auto"/>
              <w:bottom w:val="single" w:sz="4" w:space="0" w:color="auto"/>
              <w:right w:val="single" w:sz="4" w:space="0" w:color="auto"/>
            </w:tcBorders>
            <w:vAlign w:val="bottom"/>
          </w:tcPr>
          <w:p w14:paraId="7730416D"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1.15</w:t>
            </w:r>
          </w:p>
        </w:tc>
      </w:tr>
    </w:tbl>
    <w:p w14:paraId="1367F7ED" w14:textId="77777777" w:rsidR="00EE5675" w:rsidRDefault="00EE5675" w:rsidP="00EE5675">
      <w:pPr>
        <w:spacing w:after="0"/>
        <w:jc w:val="both"/>
        <w:rPr>
          <w:rFonts w:ascii="Times New Roman" w:hAnsi="Times New Roman" w:cs="Times New Roman"/>
          <w:b/>
          <w:bCs/>
          <w:sz w:val="24"/>
          <w:szCs w:val="24"/>
        </w:rPr>
      </w:pPr>
    </w:p>
    <w:p w14:paraId="169EF832" w14:textId="77777777" w:rsidR="00EE5675" w:rsidRDefault="00EE5675" w:rsidP="00EE5675">
      <w:pPr>
        <w:spacing w:after="0"/>
        <w:jc w:val="both"/>
        <w:rPr>
          <w:rFonts w:ascii="Times New Roman" w:hAnsi="Times New Roman" w:cs="Times New Roman"/>
          <w:b/>
          <w:bCs/>
          <w:sz w:val="24"/>
          <w:szCs w:val="24"/>
        </w:rPr>
        <w:sectPr w:rsidR="00EE5675" w:rsidSect="00EE5675">
          <w:headerReference w:type="even" r:id="rId11"/>
          <w:headerReference w:type="default" r:id="rId12"/>
          <w:footerReference w:type="even" r:id="rId13"/>
          <w:footerReference w:type="default" r:id="rId14"/>
          <w:headerReference w:type="first" r:id="rId15"/>
          <w:footerReference w:type="first" r:id="rId16"/>
          <w:pgSz w:w="12240" w:h="15840"/>
          <w:pgMar w:top="1080" w:right="990" w:bottom="1080" w:left="1440" w:header="720" w:footer="720" w:gutter="0"/>
          <w:cols w:space="720"/>
          <w:docGrid w:linePitch="360"/>
        </w:sectPr>
      </w:pPr>
    </w:p>
    <w:p w14:paraId="6BA4595F" w14:textId="77777777" w:rsidR="00EE5675" w:rsidRPr="00C53647" w:rsidRDefault="00EE5675" w:rsidP="00D66C89">
      <w:pPr>
        <w:spacing w:after="0" w:line="360" w:lineRule="auto"/>
        <w:jc w:val="both"/>
        <w:rPr>
          <w:rFonts w:ascii="Times New Roman" w:hAnsi="Times New Roman" w:cs="Times New Roman"/>
          <w:b/>
          <w:bCs/>
          <w:sz w:val="24"/>
          <w:szCs w:val="24"/>
        </w:rPr>
      </w:pPr>
      <w:r w:rsidRPr="00C53647">
        <w:rPr>
          <w:rFonts w:ascii="Times New Roman" w:hAnsi="Times New Roman" w:cs="Times New Roman"/>
          <w:b/>
          <w:bCs/>
          <w:sz w:val="24"/>
          <w:szCs w:val="24"/>
        </w:rPr>
        <w:t>Available Nitrogen, Phosphorus and Potassium</w:t>
      </w:r>
    </w:p>
    <w:p w14:paraId="320794E4" w14:textId="77777777" w:rsidR="00EE5675" w:rsidRPr="002325E9" w:rsidRDefault="00EE5675" w:rsidP="00D66C89">
      <w:pPr>
        <w:spacing w:line="360" w:lineRule="auto"/>
        <w:ind w:firstLine="851"/>
        <w:jc w:val="both"/>
        <w:rPr>
          <w:rFonts w:ascii="Times New Roman" w:hAnsi="Times New Roman" w:cs="Times New Roman"/>
          <w:color w:val="000000"/>
          <w:sz w:val="24"/>
          <w:szCs w:val="24"/>
        </w:rPr>
      </w:pPr>
      <w:commentRangeStart w:id="7"/>
      <w:r w:rsidRPr="00C53647">
        <w:rPr>
          <w:rFonts w:ascii="Times New Roman" w:hAnsi="Times New Roman" w:cs="Times New Roman"/>
          <w:color w:val="000000"/>
          <w:sz w:val="24"/>
          <w:szCs w:val="24"/>
        </w:rPr>
        <w:t xml:space="preserve">Available nitrogen which </w:t>
      </w:r>
      <w:commentRangeEnd w:id="7"/>
      <w:r w:rsidR="0031188D">
        <w:rPr>
          <w:rStyle w:val="Refdecomentario"/>
        </w:rPr>
        <w:commentReference w:id="7"/>
      </w:r>
      <w:r w:rsidRPr="00C53647">
        <w:rPr>
          <w:rFonts w:ascii="Times New Roman" w:hAnsi="Times New Roman" w:cs="Times New Roman"/>
          <w:color w:val="000000"/>
          <w:sz w:val="24"/>
          <w:szCs w:val="24"/>
        </w:rPr>
        <w:t xml:space="preserve">ranged between 139.25 to 183.70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showing</w:t>
      </w:r>
      <w:r>
        <w:rPr>
          <w:rFonts w:ascii="Times New Roman" w:hAnsi="Times New Roman" w:cs="Times New Roman"/>
          <w:sz w:val="24"/>
          <w:szCs w:val="24"/>
        </w:rPr>
        <w:t xml:space="preserve"> </w:t>
      </w:r>
      <w:r w:rsidRPr="00C53647">
        <w:rPr>
          <w:rFonts w:ascii="Times New Roman" w:hAnsi="Times New Roman" w:cs="Times New Roman"/>
          <w:sz w:val="24"/>
          <w:szCs w:val="24"/>
        </w:rPr>
        <w:t>significantly higher (</w:t>
      </w:r>
      <w:r w:rsidRPr="00C53647">
        <w:rPr>
          <w:rFonts w:ascii="Times New Roman" w:hAnsi="Times New Roman" w:cs="Times New Roman"/>
          <w:color w:val="000000"/>
          <w:sz w:val="24"/>
          <w:szCs w:val="24"/>
        </w:rPr>
        <w:t xml:space="preserve">183.70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available nitrogen in treatment 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ZnSB) at par with T</w:t>
      </w:r>
      <w:r w:rsidRPr="00C53647">
        <w:rPr>
          <w:rFonts w:ascii="Times New Roman" w:hAnsi="Times New Roman" w:cs="Times New Roman"/>
          <w:color w:val="000000"/>
          <w:sz w:val="24"/>
          <w:szCs w:val="24"/>
          <w:vertAlign w:val="subscript"/>
        </w:rPr>
        <w:t>8</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PSB + KSB (181.15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w:t>
      </w:r>
      <w:r>
        <w:rPr>
          <w:rFonts w:ascii="Times New Roman" w:hAnsi="Times New Roman" w:cs="Times New Roman"/>
          <w:sz w:val="24"/>
          <w:szCs w:val="24"/>
        </w:rPr>
        <w:t xml:space="preserve"> </w:t>
      </w:r>
      <w:r w:rsidRPr="00C53647">
        <w:rPr>
          <w:rFonts w:ascii="Times New Roman" w:hAnsi="Times New Roman" w:cs="Times New Roman"/>
          <w:sz w:val="24"/>
          <w:szCs w:val="24"/>
        </w:rPr>
        <w:t>and T</w:t>
      </w:r>
      <w:r w:rsidRPr="00C53647">
        <w:rPr>
          <w:rFonts w:ascii="Times New Roman" w:hAnsi="Times New Roman" w:cs="Times New Roman"/>
          <w:sz w:val="24"/>
          <w:szCs w:val="24"/>
          <w:vertAlign w:val="subscript"/>
        </w:rPr>
        <w:t>7</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w:t>
      </w:r>
      <w:r w:rsidRPr="00C53647">
        <w:rPr>
          <w:rFonts w:ascii="Times New Roman" w:hAnsi="Times New Roman" w:cs="Times New Roman"/>
          <w:sz w:val="24"/>
          <w:szCs w:val="24"/>
        </w:rPr>
        <w:t xml:space="preserve"> (180.45 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Whereas, significantly lower (139.25</w:t>
      </w:r>
      <w:r w:rsidRPr="00C53647">
        <w:rPr>
          <w:rFonts w:ascii="Times New Roman" w:hAnsi="Times New Roman" w:cs="Times New Roman"/>
          <w:sz w:val="24"/>
          <w:szCs w:val="24"/>
        </w:rPr>
        <w:t xml:space="preserve"> kg ha</w:t>
      </w:r>
      <w:r w:rsidRPr="00C53647">
        <w:rPr>
          <w:rFonts w:ascii="Times New Roman" w:hAnsi="Times New Roman" w:cs="Times New Roman"/>
          <w:sz w:val="24"/>
          <w:szCs w:val="24"/>
          <w:vertAlign w:val="superscript"/>
        </w:rPr>
        <w:t>-1</w:t>
      </w:r>
      <w:r w:rsidRPr="00C53647">
        <w:rPr>
          <w:rFonts w:ascii="Times New Roman" w:hAnsi="Times New Roman" w:cs="Times New Roman"/>
          <w:color w:val="000000"/>
          <w:sz w:val="24"/>
          <w:szCs w:val="24"/>
        </w:rPr>
        <w:t>) available nitrogen per plot were noted in T</w:t>
      </w:r>
      <w:r w:rsidRPr="00C53647">
        <w:rPr>
          <w:rFonts w:ascii="Times New Roman" w:hAnsi="Times New Roman" w:cs="Times New Roman"/>
          <w:color w:val="000000"/>
          <w:sz w:val="24"/>
          <w:szCs w:val="24"/>
          <w:vertAlign w:val="subscript"/>
        </w:rPr>
        <w:t>1</w:t>
      </w:r>
      <w:r w:rsidRPr="00C53647">
        <w:rPr>
          <w:rFonts w:ascii="Times New Roman" w:hAnsi="Times New Roman" w:cs="Times New Roman"/>
          <w:color w:val="000000"/>
          <w:sz w:val="24"/>
          <w:szCs w:val="24"/>
        </w:rPr>
        <w:t xml:space="preserve"> (absolute control). </w:t>
      </w:r>
      <w:r w:rsidRPr="00C53647">
        <w:rPr>
          <w:rFonts w:ascii="Times New Roman" w:hAnsi="Times New Roman" w:cs="Times New Roman"/>
          <w:sz w:val="24"/>
          <w:szCs w:val="24"/>
        </w:rPr>
        <w:t xml:space="preserve">The buildup of soil available N could be attributed to greater multiplication of microbial inoculants which helped in mineralization of soil N leading to higher available nitrogen and quickly released nutrients as previously reported by Thakur </w:t>
      </w:r>
      <w:r w:rsidRPr="00C53647">
        <w:rPr>
          <w:rFonts w:ascii="Times New Roman" w:hAnsi="Times New Roman" w:cs="Times New Roman"/>
          <w:i/>
          <w:iCs/>
          <w:sz w:val="24"/>
          <w:szCs w:val="24"/>
        </w:rPr>
        <w:t>et al</w:t>
      </w:r>
      <w:r w:rsidRPr="00C53647">
        <w:rPr>
          <w:rFonts w:ascii="Times New Roman" w:hAnsi="Times New Roman" w:cs="Times New Roman"/>
          <w:sz w:val="24"/>
          <w:szCs w:val="24"/>
        </w:rPr>
        <w:t>. (2010)</w:t>
      </w:r>
      <w:r w:rsidRPr="00C53647">
        <w:rPr>
          <w:rFonts w:ascii="Times New Roman" w:hAnsi="Times New Roman" w:cs="Times New Roman"/>
          <w:color w:val="000000"/>
          <w:sz w:val="24"/>
          <w:szCs w:val="24"/>
        </w:rPr>
        <w:t>,</w:t>
      </w:r>
      <w:r w:rsidRPr="002325E9">
        <w:rPr>
          <w:rFonts w:ascii="Times New Roman" w:hAnsi="Times New Roman" w:cs="Times New Roman"/>
        </w:rPr>
        <w:t xml:space="preserve"> </w:t>
      </w:r>
      <w:r w:rsidRPr="002325E9">
        <w:rPr>
          <w:rFonts w:ascii="Times New Roman" w:eastAsia="Calibri" w:hAnsi="Times New Roman" w:cs="Times New Roman"/>
          <w:sz w:val="24"/>
          <w:szCs w:val="24"/>
        </w:rPr>
        <w:t xml:space="preserve">Madhukar </w:t>
      </w:r>
      <w:r w:rsidRPr="002325E9">
        <w:rPr>
          <w:rFonts w:ascii="Times New Roman" w:eastAsia="Calibri" w:hAnsi="Times New Roman" w:cs="Times New Roman"/>
          <w:i/>
          <w:iCs/>
          <w:sz w:val="24"/>
          <w:szCs w:val="24"/>
        </w:rPr>
        <w:t>et al.</w:t>
      </w:r>
      <w:r w:rsidRPr="002325E9">
        <w:rPr>
          <w:rFonts w:ascii="Times New Roman" w:eastAsia="Calibri" w:hAnsi="Times New Roman" w:cs="Times New Roman"/>
          <w:sz w:val="24"/>
          <w:szCs w:val="24"/>
        </w:rPr>
        <w:t xml:space="preserve"> (2019) </w:t>
      </w:r>
      <w:r w:rsidRPr="002325E9">
        <w:rPr>
          <w:rFonts w:ascii="Times New Roman" w:hAnsi="Times New Roman" w:cs="Times New Roman"/>
          <w:sz w:val="24"/>
          <w:szCs w:val="24"/>
        </w:rPr>
        <w:t>revealed Biofertilizer plants absorbed more nutrients from the soil, the increase in the growth parameters may be due to the favorable actions of biofertilizers which resulted in more availability of nitrogen, certain growth-promoting hormones like auxins, gibberellins, vitamins, and organic acid secreted by bio-inoculants</w:t>
      </w:r>
      <w:r>
        <w:rPr>
          <w:rFonts w:ascii="Times New Roman" w:hAnsi="Times New Roman" w:cs="Times New Roman"/>
          <w:sz w:val="24"/>
          <w:szCs w:val="24"/>
        </w:rPr>
        <w:t>.</w:t>
      </w:r>
    </w:p>
    <w:p w14:paraId="67E7BE66" w14:textId="77777777" w:rsidR="00EE5675" w:rsidRDefault="00EE5675" w:rsidP="00D66C89">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 xml:space="preserve">The </w:t>
      </w:r>
      <w:commentRangeStart w:id="8"/>
      <w:r w:rsidRPr="00C53647">
        <w:rPr>
          <w:rFonts w:ascii="Times New Roman" w:hAnsi="Times New Roman" w:cs="Times New Roman"/>
          <w:sz w:val="24"/>
          <w:szCs w:val="24"/>
        </w:rPr>
        <w:t xml:space="preserve">highest P content </w:t>
      </w:r>
      <w:commentRangeEnd w:id="8"/>
      <w:r w:rsidR="00FD4858">
        <w:rPr>
          <w:rStyle w:val="Refdecomentario"/>
        </w:rPr>
        <w:commentReference w:id="8"/>
      </w:r>
      <w:r w:rsidRPr="00C53647">
        <w:rPr>
          <w:rFonts w:ascii="Times New Roman" w:hAnsi="Times New Roman" w:cs="Times New Roman"/>
          <w:sz w:val="24"/>
          <w:szCs w:val="24"/>
        </w:rPr>
        <w:t>(20.10</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sz w:val="24"/>
          <w:szCs w:val="24"/>
        </w:rPr>
        <w:t xml:space="preserve"> of the soil was noted in treatment T</w:t>
      </w:r>
      <w:r w:rsidRPr="00C53647">
        <w:rPr>
          <w:rFonts w:ascii="Times New Roman" w:hAnsi="Times New Roman" w:cs="Times New Roman"/>
          <w:sz w:val="24"/>
          <w:szCs w:val="24"/>
          <w:vertAlign w:val="subscript"/>
        </w:rPr>
        <w:t>4</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w:t>
      </w:r>
      <w:r w:rsidRPr="00C53647">
        <w:rPr>
          <w:rFonts w:ascii="Times New Roman" w:hAnsi="Times New Roman" w:cs="Times New Roman"/>
          <w:sz w:val="24"/>
          <w:szCs w:val="24"/>
        </w:rPr>
        <w:t xml:space="preserve"> which is followed by T</w:t>
      </w:r>
      <w:r w:rsidRPr="00C53647">
        <w:rPr>
          <w:rFonts w:ascii="Times New Roman" w:hAnsi="Times New Roman" w:cs="Times New Roman"/>
          <w:sz w:val="24"/>
          <w:szCs w:val="24"/>
          <w:vertAlign w:val="subscript"/>
        </w:rPr>
        <w:t xml:space="preserve">8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KSB</w:t>
      </w:r>
      <w:r w:rsidRPr="00C53647">
        <w:rPr>
          <w:rFonts w:ascii="Times New Roman" w:hAnsi="Times New Roman" w:cs="Times New Roman"/>
          <w:sz w:val="24"/>
          <w:szCs w:val="24"/>
        </w:rPr>
        <w:t xml:space="preserve"> (17.52 </w:t>
      </w:r>
      <w:r w:rsidRPr="00C53647">
        <w:rPr>
          <w:rFonts w:ascii="Times New Roman" w:hAnsi="Times New Roman" w:cs="Times New Roman"/>
          <w:color w:val="000000"/>
          <w:sz w:val="24"/>
          <w:szCs w:val="24"/>
        </w:rPr>
        <w:t>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sz w:val="24"/>
          <w:szCs w:val="24"/>
        </w:rPr>
        <w:t>.</w:t>
      </w:r>
      <w:r w:rsidRPr="00C53647">
        <w:rPr>
          <w:rFonts w:ascii="Times New Roman" w:hAnsi="Times New Roman" w:cs="Times New Roman"/>
          <w:i/>
          <w:iCs/>
          <w:sz w:val="24"/>
          <w:szCs w:val="24"/>
        </w:rPr>
        <w:t xml:space="preserve"> </w:t>
      </w:r>
      <w:r w:rsidRPr="00C53647">
        <w:rPr>
          <w:rFonts w:ascii="Times New Roman" w:hAnsi="Times New Roman" w:cs="Times New Roman"/>
          <w:sz w:val="24"/>
          <w:szCs w:val="24"/>
        </w:rPr>
        <w:t xml:space="preserve">(Richardson and Simpson 2011) reported that </w:t>
      </w:r>
      <w:r w:rsidRPr="00C53647">
        <w:rPr>
          <w:rFonts w:ascii="Times New Roman" w:hAnsi="Times New Roman" w:cs="Times New Roman"/>
          <w:i/>
          <w:iCs/>
          <w:sz w:val="24"/>
          <w:szCs w:val="24"/>
        </w:rPr>
        <w:t>Pseudomonas</w:t>
      </w:r>
      <w:r w:rsidRPr="00C53647">
        <w:rPr>
          <w:rFonts w:ascii="Times New Roman" w:hAnsi="Times New Roman" w:cs="Times New Roman"/>
          <w:sz w:val="24"/>
          <w:szCs w:val="24"/>
        </w:rPr>
        <w:t xml:space="preserve"> and </w:t>
      </w:r>
      <w:r w:rsidRPr="00C53647">
        <w:rPr>
          <w:rFonts w:ascii="Times New Roman" w:hAnsi="Times New Roman" w:cs="Times New Roman"/>
          <w:i/>
          <w:iCs/>
          <w:sz w:val="24"/>
          <w:szCs w:val="24"/>
        </w:rPr>
        <w:t>Bacillus</w:t>
      </w:r>
      <w:r w:rsidRPr="00C53647">
        <w:rPr>
          <w:rFonts w:ascii="Times New Roman" w:hAnsi="Times New Roman" w:cs="Times New Roman"/>
          <w:sz w:val="24"/>
          <w:szCs w:val="24"/>
        </w:rPr>
        <w:t xml:space="preserve"> have a significant function in controlling the amount of phosphorus that is available to plants by participating in the soil phosphorus cycle. They either directly solubilize and mineralize inorganic phosphorus or by encouraging the mobility of organic phosphorus through the turnover of microbial consortia, they increase the root system's size.</w:t>
      </w:r>
    </w:p>
    <w:p w14:paraId="0B696B32" w14:textId="77777777" w:rsidR="00EE5675" w:rsidRPr="00C53647" w:rsidRDefault="00EE5675" w:rsidP="00D66C89">
      <w:pPr>
        <w:spacing w:line="360" w:lineRule="auto"/>
        <w:ind w:firstLine="851"/>
        <w:jc w:val="both"/>
        <w:rPr>
          <w:rFonts w:ascii="Times New Roman" w:hAnsi="Times New Roman" w:cs="Times New Roman"/>
          <w:sz w:val="24"/>
          <w:szCs w:val="24"/>
        </w:rPr>
      </w:pPr>
      <w:r w:rsidRPr="00397C1A">
        <w:rPr>
          <w:rFonts w:ascii="Times New Roman" w:hAnsi="Times New Roman" w:cs="Times New Roman"/>
          <w:sz w:val="24"/>
          <w:szCs w:val="24"/>
        </w:rPr>
        <w:t>Yaduwanshi</w:t>
      </w:r>
      <w:r>
        <w:rPr>
          <w:rFonts w:ascii="Times New Roman" w:hAnsi="Times New Roman" w:cs="Times New Roman"/>
          <w:sz w:val="24"/>
          <w:szCs w:val="24"/>
        </w:rPr>
        <w:t xml:space="preserve"> </w:t>
      </w:r>
      <w:r w:rsidRPr="00397C1A">
        <w:rPr>
          <w:rFonts w:ascii="Times New Roman" w:hAnsi="Times New Roman" w:cs="Times New Roman"/>
          <w:i/>
          <w:iCs/>
          <w:sz w:val="24"/>
          <w:szCs w:val="24"/>
        </w:rPr>
        <w:t>et al</w:t>
      </w:r>
      <w:r>
        <w:rPr>
          <w:rFonts w:ascii="Times New Roman" w:hAnsi="Times New Roman" w:cs="Times New Roman"/>
          <w:sz w:val="24"/>
          <w:szCs w:val="24"/>
        </w:rPr>
        <w:t xml:space="preserve">., (2021) </w:t>
      </w:r>
      <w:commentRangeStart w:id="9"/>
      <w:r>
        <w:rPr>
          <w:rFonts w:ascii="Times New Roman" w:hAnsi="Times New Roman" w:cs="Times New Roman"/>
          <w:sz w:val="24"/>
          <w:szCs w:val="24"/>
        </w:rPr>
        <w:t>find</w:t>
      </w:r>
      <w:commentRangeEnd w:id="9"/>
      <w:r w:rsidR="00FD4858">
        <w:rPr>
          <w:rStyle w:val="Refdecomentario"/>
        </w:rPr>
        <w:commentReference w:id="9"/>
      </w:r>
      <w:r>
        <w:rPr>
          <w:rFonts w:ascii="Times New Roman" w:hAnsi="Times New Roman" w:cs="Times New Roman"/>
          <w:sz w:val="24"/>
          <w:szCs w:val="24"/>
        </w:rPr>
        <w:t xml:space="preserve"> out t</w:t>
      </w:r>
      <w:r w:rsidRPr="00397C1A">
        <w:rPr>
          <w:rFonts w:ascii="Times New Roman" w:hAnsi="Times New Roman" w:cs="Times New Roman"/>
          <w:sz w:val="24"/>
          <w:szCs w:val="24"/>
        </w:rPr>
        <w:t>he highest content of available P in soil (22.6 kg P2O5 ha-1) was recorded with the application of RDF+</w:t>
      </w:r>
      <w:r>
        <w:rPr>
          <w:rFonts w:ascii="Times New Roman" w:hAnsi="Times New Roman" w:cs="Times New Roman"/>
          <w:sz w:val="24"/>
          <w:szCs w:val="24"/>
        </w:rPr>
        <w:t xml:space="preserve"> </w:t>
      </w:r>
      <w:r w:rsidRPr="00397C1A">
        <w:rPr>
          <w:rFonts w:ascii="Times New Roman" w:hAnsi="Times New Roman" w:cs="Times New Roman"/>
          <w:sz w:val="24"/>
          <w:szCs w:val="24"/>
        </w:rPr>
        <w:t>PGPR+</w:t>
      </w:r>
      <w:r>
        <w:rPr>
          <w:rFonts w:ascii="Times New Roman" w:hAnsi="Times New Roman" w:cs="Times New Roman"/>
          <w:sz w:val="24"/>
          <w:szCs w:val="24"/>
        </w:rPr>
        <w:t xml:space="preserve"> </w:t>
      </w:r>
      <w:r w:rsidRPr="00397C1A">
        <w:rPr>
          <w:rFonts w:ascii="Times New Roman" w:hAnsi="Times New Roman" w:cs="Times New Roman"/>
          <w:sz w:val="24"/>
          <w:szCs w:val="24"/>
        </w:rPr>
        <w:t>Actino</w:t>
      </w:r>
      <w:r>
        <w:rPr>
          <w:rFonts w:ascii="Times New Roman" w:hAnsi="Times New Roman" w:cs="Times New Roman"/>
          <w:sz w:val="24"/>
          <w:szCs w:val="24"/>
        </w:rPr>
        <w:t xml:space="preserve"> </w:t>
      </w:r>
      <w:r w:rsidRPr="00397C1A">
        <w:rPr>
          <w:rFonts w:ascii="Times New Roman" w:hAnsi="Times New Roman" w:cs="Times New Roman"/>
          <w:sz w:val="24"/>
          <w:szCs w:val="24"/>
        </w:rPr>
        <w:t>+Arthro (T7) as compared to that of fertilized uninoculated plot (17.4 kg P2O5 ha-1) and it had a greater response by ~30 per cent over control followed by the effect of treatment combination of RDF+PGPR+Arthro (T6) with available P of</w:t>
      </w:r>
      <w:r>
        <w:rPr>
          <w:rFonts w:ascii="Times New Roman" w:hAnsi="Times New Roman" w:cs="Times New Roman"/>
          <w:sz w:val="24"/>
          <w:szCs w:val="24"/>
        </w:rPr>
        <w:t xml:space="preserve">  </w:t>
      </w:r>
      <w:r w:rsidRPr="00397C1A">
        <w:rPr>
          <w:rFonts w:ascii="Times New Roman" w:hAnsi="Times New Roman" w:cs="Times New Roman"/>
          <w:sz w:val="24"/>
          <w:szCs w:val="24"/>
        </w:rPr>
        <w:t xml:space="preserve">21.3 kg P2O5 ha-1 with ~22.0 per cent greater response over control plot. Similar findings were reported by Sarkar </w:t>
      </w:r>
      <w:r w:rsidRPr="00397C1A">
        <w:rPr>
          <w:rFonts w:ascii="Times New Roman" w:hAnsi="Times New Roman" w:cs="Times New Roman"/>
          <w:i/>
          <w:iCs/>
          <w:sz w:val="24"/>
          <w:szCs w:val="24"/>
        </w:rPr>
        <w:t>et al.</w:t>
      </w:r>
      <w:r w:rsidRPr="00397C1A">
        <w:rPr>
          <w:rFonts w:ascii="Times New Roman" w:hAnsi="Times New Roman" w:cs="Times New Roman"/>
          <w:sz w:val="24"/>
          <w:szCs w:val="24"/>
        </w:rPr>
        <w:t xml:space="preserve"> (</w:t>
      </w:r>
      <w:commentRangeStart w:id="10"/>
      <w:r w:rsidRPr="00397C1A">
        <w:rPr>
          <w:rFonts w:ascii="Times New Roman" w:hAnsi="Times New Roman" w:cs="Times New Roman"/>
          <w:sz w:val="24"/>
          <w:szCs w:val="24"/>
        </w:rPr>
        <w:t>2002</w:t>
      </w:r>
      <w:commentRangeEnd w:id="10"/>
      <w:r w:rsidR="00FD4858">
        <w:rPr>
          <w:rStyle w:val="Refdecomentario"/>
        </w:rPr>
        <w:commentReference w:id="10"/>
      </w:r>
      <w:r w:rsidRPr="00397C1A">
        <w:rPr>
          <w:rFonts w:ascii="Times New Roman" w:hAnsi="Times New Roman" w:cs="Times New Roman"/>
          <w:sz w:val="24"/>
          <w:szCs w:val="24"/>
        </w:rPr>
        <w:t xml:space="preserve">) where they reported that actinomycetes along with PGPR and Arthrobacter </w:t>
      </w:r>
      <w:proofErr w:type="gramStart"/>
      <w:r w:rsidRPr="00397C1A">
        <w:rPr>
          <w:rFonts w:ascii="Times New Roman" w:hAnsi="Times New Roman" w:cs="Times New Roman"/>
          <w:sz w:val="24"/>
          <w:szCs w:val="24"/>
        </w:rPr>
        <w:t>were capable of solubilizing</w:t>
      </w:r>
      <w:proofErr w:type="gramEnd"/>
      <w:r w:rsidRPr="00397C1A">
        <w:rPr>
          <w:rFonts w:ascii="Times New Roman" w:hAnsi="Times New Roman" w:cs="Times New Roman"/>
          <w:sz w:val="24"/>
          <w:szCs w:val="24"/>
        </w:rPr>
        <w:t xml:space="preserve"> tricalcium phosphate (TCP), while rock phosphate (RP) was found less soluble than TCP</w:t>
      </w:r>
      <w:r>
        <w:rPr>
          <w:rFonts w:ascii="Times New Roman" w:hAnsi="Times New Roman" w:cs="Times New Roman"/>
          <w:sz w:val="24"/>
          <w:szCs w:val="24"/>
        </w:rPr>
        <w:t>.</w:t>
      </w:r>
    </w:p>
    <w:p w14:paraId="7801A520" w14:textId="6367F3C5" w:rsidR="008741F1" w:rsidRDefault="00EE5675" w:rsidP="00D66C89">
      <w:pPr>
        <w:spacing w:line="360" w:lineRule="auto"/>
        <w:jc w:val="both"/>
        <w:rPr>
          <w:rFonts w:ascii="Times New Roman" w:hAnsi="Times New Roman" w:cs="Times New Roman"/>
          <w:sz w:val="24"/>
          <w:szCs w:val="24"/>
        </w:rPr>
      </w:pPr>
      <w:r w:rsidRPr="00C53647">
        <w:rPr>
          <w:rFonts w:ascii="Times New Roman" w:hAnsi="Times New Roman" w:cs="Times New Roman"/>
          <w:sz w:val="24"/>
          <w:szCs w:val="24"/>
        </w:rPr>
        <w:t>Significantly highest value of available potassium is in T</w:t>
      </w:r>
      <w:r w:rsidRPr="00C53647">
        <w:rPr>
          <w:rFonts w:ascii="Times New Roman" w:hAnsi="Times New Roman" w:cs="Times New Roman"/>
          <w:sz w:val="24"/>
          <w:szCs w:val="24"/>
          <w:vertAlign w:val="subscript"/>
        </w:rPr>
        <w:t xml:space="preserve">8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RDF</w:t>
      </w:r>
      <w:r w:rsidRPr="00C53647">
        <w:rPr>
          <w:rFonts w:ascii="Times New Roman" w:hAnsi="Times New Roman" w:cs="Times New Roman"/>
          <w:i/>
          <w:iCs/>
          <w:color w:val="000000"/>
          <w:sz w:val="24"/>
          <w:szCs w:val="24"/>
        </w:rPr>
        <w:t>+ Azospirillum</w:t>
      </w:r>
      <w:r w:rsidRPr="00C53647">
        <w:rPr>
          <w:rFonts w:ascii="Times New Roman" w:hAnsi="Times New Roman" w:cs="Times New Roman"/>
          <w:color w:val="000000"/>
          <w:sz w:val="24"/>
          <w:szCs w:val="24"/>
        </w:rPr>
        <w:t xml:space="preserve"> + PSB +KSB) treated plot (T</w:t>
      </w:r>
      <w:r w:rsidRPr="00C53647">
        <w:rPr>
          <w:rFonts w:ascii="Times New Roman" w:hAnsi="Times New Roman" w:cs="Times New Roman"/>
          <w:color w:val="000000"/>
          <w:sz w:val="24"/>
          <w:szCs w:val="24"/>
          <w:vertAlign w:val="subscript"/>
        </w:rPr>
        <w:t>8</w:t>
      </w:r>
      <w:r w:rsidRPr="00C53647">
        <w:rPr>
          <w:rFonts w:ascii="Times New Roman" w:hAnsi="Times New Roman" w:cs="Times New Roman"/>
          <w:color w:val="000000"/>
          <w:sz w:val="24"/>
          <w:szCs w:val="24"/>
        </w:rPr>
        <w:t>) which is 674.43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xml:space="preserve"> followed by T</w:t>
      </w:r>
      <w:r w:rsidRPr="00C53647">
        <w:rPr>
          <w:rFonts w:ascii="Times New Roman" w:hAnsi="Times New Roman" w:cs="Times New Roman"/>
          <w:color w:val="000000"/>
          <w:sz w:val="24"/>
          <w:szCs w:val="24"/>
          <w:vertAlign w:val="subscript"/>
        </w:rPr>
        <w:t>5</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i/>
          <w:iCs/>
          <w:sz w:val="24"/>
          <w:szCs w:val="24"/>
        </w:rPr>
        <w:t xml:space="preserve"> </w:t>
      </w:r>
      <w:r w:rsidRPr="00C53647">
        <w:rPr>
          <w:rFonts w:ascii="Times New Roman" w:hAnsi="Times New Roman" w:cs="Times New Roman"/>
          <w:sz w:val="24"/>
          <w:szCs w:val="24"/>
        </w:rPr>
        <w:t>+ KSB</w:t>
      </w:r>
      <w:r w:rsidRPr="00C53647">
        <w:rPr>
          <w:rFonts w:ascii="Times New Roman" w:hAnsi="Times New Roman" w:cs="Times New Roman"/>
          <w:color w:val="000000"/>
          <w:sz w:val="24"/>
          <w:szCs w:val="24"/>
        </w:rPr>
        <w:t>) which is 658.43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Whereas, significantly lowest (557.77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color w:val="000000"/>
          <w:sz w:val="24"/>
          <w:szCs w:val="24"/>
          <w:vertAlign w:val="superscript"/>
        </w:rPr>
        <w:t xml:space="preserve"> </w:t>
      </w:r>
      <w:r w:rsidRPr="00C53647">
        <w:rPr>
          <w:rFonts w:ascii="Times New Roman" w:hAnsi="Times New Roman" w:cs="Times New Roman"/>
          <w:color w:val="000000"/>
          <w:sz w:val="24"/>
          <w:szCs w:val="24"/>
        </w:rPr>
        <w:t>available potassium per plot were noted in T</w:t>
      </w:r>
      <w:r w:rsidRPr="00C53647">
        <w:rPr>
          <w:rFonts w:ascii="Times New Roman" w:hAnsi="Times New Roman" w:cs="Times New Roman"/>
          <w:color w:val="000000"/>
          <w:sz w:val="24"/>
          <w:szCs w:val="24"/>
          <w:vertAlign w:val="subscript"/>
        </w:rPr>
        <w:t>1</w:t>
      </w:r>
      <w:r w:rsidRPr="00C53647">
        <w:rPr>
          <w:rFonts w:ascii="Times New Roman" w:hAnsi="Times New Roman" w:cs="Times New Roman"/>
          <w:color w:val="000000"/>
          <w:sz w:val="24"/>
          <w:szCs w:val="24"/>
        </w:rPr>
        <w:t xml:space="preserve"> absolute control. </w:t>
      </w:r>
      <w:r w:rsidRPr="00C53647">
        <w:rPr>
          <w:rFonts w:ascii="Times New Roman" w:hAnsi="Times New Roman" w:cs="Times New Roman"/>
          <w:sz w:val="24"/>
          <w:szCs w:val="24"/>
        </w:rPr>
        <w:t xml:space="preserve">Ingole </w:t>
      </w:r>
      <w:r w:rsidRPr="00C53647">
        <w:rPr>
          <w:rFonts w:ascii="Times New Roman" w:hAnsi="Times New Roman" w:cs="Times New Roman"/>
          <w:i/>
          <w:iCs/>
          <w:sz w:val="24"/>
          <w:szCs w:val="24"/>
        </w:rPr>
        <w:t>et al</w:t>
      </w:r>
      <w:r w:rsidRPr="00C53647">
        <w:rPr>
          <w:rFonts w:ascii="Times New Roman" w:hAnsi="Times New Roman" w:cs="Times New Roman"/>
          <w:sz w:val="24"/>
          <w:szCs w:val="24"/>
        </w:rPr>
        <w:t xml:space="preserve">. (2023) find out the strain </w:t>
      </w:r>
      <w:r w:rsidRPr="00C53647">
        <w:rPr>
          <w:rFonts w:ascii="Times New Roman" w:hAnsi="Times New Roman" w:cs="Times New Roman"/>
          <w:i/>
          <w:iCs/>
          <w:sz w:val="24"/>
          <w:szCs w:val="24"/>
        </w:rPr>
        <w:t>Trichoderma viride</w:t>
      </w:r>
      <w:r w:rsidRPr="00C53647">
        <w:rPr>
          <w:rFonts w:ascii="Times New Roman" w:hAnsi="Times New Roman" w:cs="Times New Roman"/>
          <w:sz w:val="24"/>
          <w:szCs w:val="24"/>
        </w:rPr>
        <w:t xml:space="preserve"> was superior in availability of potassium and Sulphur in soil of pot experiment followed by </w:t>
      </w:r>
      <w:r w:rsidRPr="00C53647">
        <w:rPr>
          <w:rFonts w:ascii="Times New Roman" w:hAnsi="Times New Roman" w:cs="Times New Roman"/>
          <w:i/>
          <w:iCs/>
          <w:sz w:val="24"/>
          <w:szCs w:val="24"/>
        </w:rPr>
        <w:t>Bacillus megaterium</w:t>
      </w:r>
      <w:r w:rsidRPr="00C53647">
        <w:rPr>
          <w:rFonts w:ascii="Times New Roman" w:hAnsi="Times New Roman" w:cs="Times New Roman"/>
          <w:sz w:val="24"/>
          <w:szCs w:val="24"/>
        </w:rPr>
        <w:t xml:space="preserve"> and </w:t>
      </w:r>
      <w:r w:rsidRPr="00C53647">
        <w:rPr>
          <w:rFonts w:ascii="Times New Roman" w:hAnsi="Times New Roman" w:cs="Times New Roman"/>
          <w:i/>
          <w:iCs/>
          <w:sz w:val="24"/>
          <w:szCs w:val="24"/>
        </w:rPr>
        <w:t>Pseudomonas striata</w:t>
      </w:r>
      <w:r w:rsidRPr="00C53647">
        <w:rPr>
          <w:rFonts w:ascii="Times New Roman" w:hAnsi="Times New Roman" w:cs="Times New Roman"/>
          <w:sz w:val="24"/>
          <w:szCs w:val="24"/>
        </w:rPr>
        <w:t>.</w:t>
      </w:r>
      <w:r w:rsidRPr="000B7556">
        <w:t xml:space="preserve"> </w:t>
      </w:r>
      <w:r w:rsidRPr="000B7556">
        <w:rPr>
          <w:rFonts w:ascii="Times New Roman" w:hAnsi="Times New Roman" w:cs="Times New Roman"/>
          <w:sz w:val="24"/>
          <w:szCs w:val="24"/>
        </w:rPr>
        <w:t>Increased potassium availability in soil of pot culture after inoculation listed is might due to microbial mobilization of metal by secretion of organic and inorganic acid (</w:t>
      </w:r>
      <w:r w:rsidRPr="00782F3B">
        <w:rPr>
          <w:rFonts w:ascii="Times New Roman" w:hAnsi="Times New Roman" w:cs="Times New Roman"/>
          <w:i/>
          <w:iCs/>
          <w:sz w:val="24"/>
          <w:szCs w:val="24"/>
        </w:rPr>
        <w:t>e.g.</w:t>
      </w:r>
      <w:r w:rsidRPr="000B7556">
        <w:rPr>
          <w:rFonts w:ascii="Times New Roman" w:hAnsi="Times New Roman" w:cs="Times New Roman"/>
          <w:sz w:val="24"/>
          <w:szCs w:val="24"/>
        </w:rPr>
        <w:t xml:space="preserve"> Malic acid and citric acid) by redox reaction and by exudation of complexing agents. Amount of organic acid release in the rhizosphere was accountable for increasing potassium mobilization. Our experimental results found similar with finding of Wagmare </w:t>
      </w:r>
      <w:r w:rsidRPr="00B307FA">
        <w:rPr>
          <w:rFonts w:ascii="Times New Roman" w:hAnsi="Times New Roman" w:cs="Times New Roman"/>
          <w:i/>
          <w:iCs/>
          <w:sz w:val="24"/>
          <w:szCs w:val="24"/>
        </w:rPr>
        <w:t>et al</w:t>
      </w:r>
      <w:r w:rsidRPr="000B7556">
        <w:rPr>
          <w:rFonts w:ascii="Times New Roman" w:hAnsi="Times New Roman" w:cs="Times New Roman"/>
          <w:sz w:val="24"/>
          <w:szCs w:val="24"/>
        </w:rPr>
        <w:t>.</w:t>
      </w:r>
      <w:r>
        <w:rPr>
          <w:rFonts w:ascii="Times New Roman" w:hAnsi="Times New Roman" w:cs="Times New Roman"/>
          <w:sz w:val="24"/>
          <w:szCs w:val="24"/>
        </w:rPr>
        <w:t>,</w:t>
      </w:r>
      <w:r w:rsidRPr="000B7556">
        <w:rPr>
          <w:rFonts w:ascii="Times New Roman" w:hAnsi="Times New Roman" w:cs="Times New Roman"/>
          <w:sz w:val="24"/>
          <w:szCs w:val="24"/>
        </w:rPr>
        <w:t xml:space="preserve"> (</w:t>
      </w:r>
      <w:commentRangeStart w:id="11"/>
      <w:r w:rsidRPr="000B7556">
        <w:rPr>
          <w:rFonts w:ascii="Times New Roman" w:hAnsi="Times New Roman" w:cs="Times New Roman"/>
          <w:sz w:val="24"/>
          <w:szCs w:val="24"/>
        </w:rPr>
        <w:t>2019</w:t>
      </w:r>
      <w:commentRangeEnd w:id="11"/>
      <w:r w:rsidR="00FD4858">
        <w:rPr>
          <w:rStyle w:val="Refdecomentario"/>
        </w:rPr>
        <w:commentReference w:id="11"/>
      </w:r>
      <w:r w:rsidRPr="000B7556">
        <w:rPr>
          <w:rFonts w:ascii="Times New Roman" w:hAnsi="Times New Roman" w:cs="Times New Roman"/>
          <w:sz w:val="24"/>
          <w:szCs w:val="24"/>
        </w:rPr>
        <w:t xml:space="preserve">) reported that maximum increase in phosphorus content in soil with inoculation of strain Pseudomonas striata followed by </w:t>
      </w:r>
      <w:r w:rsidRPr="000B7556">
        <w:rPr>
          <w:rFonts w:ascii="Times New Roman" w:hAnsi="Times New Roman" w:cs="Times New Roman"/>
          <w:i/>
          <w:iCs/>
          <w:sz w:val="24"/>
          <w:szCs w:val="24"/>
        </w:rPr>
        <w:t>Trichoderma viride</w:t>
      </w:r>
      <w:r w:rsidRPr="000B7556">
        <w:rPr>
          <w:rFonts w:ascii="Times New Roman" w:hAnsi="Times New Roman" w:cs="Times New Roman"/>
          <w:sz w:val="24"/>
          <w:szCs w:val="24"/>
        </w:rPr>
        <w:t xml:space="preserve"> and </w:t>
      </w:r>
      <w:r w:rsidRPr="000B7556">
        <w:rPr>
          <w:rFonts w:ascii="Times New Roman" w:hAnsi="Times New Roman" w:cs="Times New Roman"/>
          <w:i/>
          <w:iCs/>
          <w:sz w:val="24"/>
          <w:szCs w:val="24"/>
        </w:rPr>
        <w:t>Bacillus megaterium</w:t>
      </w:r>
      <w:r w:rsidRPr="000B7556">
        <w:rPr>
          <w:rFonts w:ascii="Times New Roman" w:hAnsi="Times New Roman" w:cs="Times New Roman"/>
          <w:sz w:val="24"/>
          <w:szCs w:val="24"/>
        </w:rPr>
        <w:t xml:space="preserve"> with recommended dose of fertilizer.</w:t>
      </w:r>
      <w:r>
        <w:rPr>
          <w:rFonts w:ascii="Times New Roman" w:hAnsi="Times New Roman" w:cs="Times New Roman"/>
          <w:sz w:val="24"/>
          <w:szCs w:val="24"/>
        </w:rPr>
        <w:t xml:space="preserve"> </w:t>
      </w:r>
      <w:r w:rsidRPr="00A35781">
        <w:rPr>
          <w:rFonts w:ascii="Times New Roman" w:hAnsi="Times New Roman" w:cs="Times New Roman"/>
          <w:sz w:val="24"/>
          <w:szCs w:val="24"/>
        </w:rPr>
        <w:t xml:space="preserve">Meena </w:t>
      </w:r>
      <w:r w:rsidRPr="00A35781">
        <w:rPr>
          <w:rFonts w:ascii="Times New Roman" w:hAnsi="Times New Roman" w:cs="Times New Roman"/>
          <w:i/>
          <w:iCs/>
          <w:sz w:val="24"/>
          <w:szCs w:val="24"/>
        </w:rPr>
        <w:t>et al</w:t>
      </w:r>
      <w:r w:rsidRPr="00A35781">
        <w:rPr>
          <w:rFonts w:ascii="Times New Roman" w:hAnsi="Times New Roman" w:cs="Times New Roman"/>
          <w:sz w:val="24"/>
          <w:szCs w:val="24"/>
        </w:rPr>
        <w:t>. (</w:t>
      </w:r>
      <w:commentRangeStart w:id="12"/>
      <w:r w:rsidRPr="00A35781">
        <w:rPr>
          <w:rFonts w:ascii="Times New Roman" w:hAnsi="Times New Roman" w:cs="Times New Roman"/>
          <w:sz w:val="24"/>
          <w:szCs w:val="24"/>
        </w:rPr>
        <w:t>2024</w:t>
      </w:r>
      <w:commentRangeEnd w:id="12"/>
      <w:r w:rsidR="00FD4858">
        <w:rPr>
          <w:rStyle w:val="Refdecomentario"/>
        </w:rPr>
        <w:commentReference w:id="12"/>
      </w:r>
      <w:r w:rsidRPr="00A35781">
        <w:rPr>
          <w:rFonts w:ascii="Times New Roman" w:hAnsi="Times New Roman" w:cs="Times New Roman"/>
          <w:sz w:val="24"/>
          <w:szCs w:val="24"/>
        </w:rPr>
        <w:t xml:space="preserve">) showed that the application of the </w:t>
      </w:r>
      <w:r w:rsidRPr="00A35781">
        <w:rPr>
          <w:rFonts w:ascii="Times New Roman" w:hAnsi="Times New Roman" w:cs="Times New Roman"/>
          <w:i/>
          <w:iCs/>
          <w:sz w:val="24"/>
          <w:szCs w:val="24"/>
        </w:rPr>
        <w:t>Azospirillum</w:t>
      </w:r>
      <w:r>
        <w:rPr>
          <w:rFonts w:ascii="Times New Roman" w:hAnsi="Times New Roman" w:cs="Times New Roman"/>
          <w:sz w:val="24"/>
          <w:szCs w:val="24"/>
        </w:rPr>
        <w:t xml:space="preserve"> </w:t>
      </w:r>
      <w:r w:rsidRPr="006C7B79">
        <w:rPr>
          <w:rFonts w:ascii="Times New Roman" w:hAnsi="Times New Roman" w:cs="Times New Roman"/>
          <w:i/>
          <w:iCs/>
          <w:sz w:val="24"/>
          <w:szCs w:val="24"/>
        </w:rPr>
        <w:t>lipoferum</w:t>
      </w:r>
      <w:r w:rsidRPr="00A35781">
        <w:rPr>
          <w:rFonts w:ascii="Times New Roman" w:hAnsi="Times New Roman" w:cs="Times New Roman"/>
          <w:sz w:val="24"/>
          <w:szCs w:val="24"/>
        </w:rPr>
        <w:t xml:space="preserve"> + </w:t>
      </w:r>
      <w:r w:rsidRPr="006C7B79">
        <w:rPr>
          <w:rFonts w:ascii="Times New Roman" w:hAnsi="Times New Roman" w:cs="Times New Roman"/>
          <w:i/>
          <w:iCs/>
          <w:sz w:val="24"/>
          <w:szCs w:val="24"/>
        </w:rPr>
        <w:t>Bacillus megaterium</w:t>
      </w:r>
      <w:r w:rsidRPr="00A35781">
        <w:rPr>
          <w:rFonts w:ascii="Times New Roman" w:hAnsi="Times New Roman" w:cs="Times New Roman"/>
          <w:sz w:val="24"/>
          <w:szCs w:val="24"/>
        </w:rPr>
        <w:t xml:space="preserve"> + </w:t>
      </w:r>
      <w:r w:rsidRPr="006C7B79">
        <w:rPr>
          <w:rFonts w:ascii="Times New Roman" w:hAnsi="Times New Roman" w:cs="Times New Roman"/>
          <w:i/>
          <w:iCs/>
          <w:sz w:val="24"/>
          <w:szCs w:val="24"/>
        </w:rPr>
        <w:t>Pseudomona strita</w:t>
      </w:r>
      <w:r w:rsidRPr="00A35781">
        <w:rPr>
          <w:rFonts w:ascii="Times New Roman" w:hAnsi="Times New Roman" w:cs="Times New Roman"/>
          <w:sz w:val="24"/>
          <w:szCs w:val="24"/>
        </w:rPr>
        <w:t xml:space="preserve"> (Consortia -VII) as seed inoculation along with 100 per cent recommended dose of fertilizers performed as the best consortium for enhancing seed and stover yield of maize. Similarly for nutrient uptake of N, P and K,</w:t>
      </w:r>
      <w:r>
        <w:rPr>
          <w:rFonts w:ascii="Times New Roman" w:hAnsi="Times New Roman" w:cs="Times New Roman"/>
          <w:sz w:val="24"/>
          <w:szCs w:val="24"/>
        </w:rPr>
        <w:t xml:space="preserve"> </w:t>
      </w:r>
      <w:r w:rsidRPr="00A35781">
        <w:rPr>
          <w:rFonts w:ascii="Times New Roman" w:hAnsi="Times New Roman" w:cs="Times New Roman"/>
          <w:sz w:val="24"/>
          <w:szCs w:val="24"/>
        </w:rPr>
        <w:t xml:space="preserve">micronutrients viz., </w:t>
      </w:r>
      <w:commentRangeStart w:id="13"/>
      <w:r w:rsidRPr="00A35781">
        <w:rPr>
          <w:rFonts w:ascii="Times New Roman" w:hAnsi="Times New Roman" w:cs="Times New Roman"/>
          <w:sz w:val="24"/>
          <w:szCs w:val="24"/>
        </w:rPr>
        <w:t>Fe, Mn Cu and Zn.</w:t>
      </w:r>
      <w:r>
        <w:rPr>
          <w:rFonts w:ascii="Times New Roman" w:hAnsi="Times New Roman" w:cs="Times New Roman"/>
          <w:sz w:val="24"/>
          <w:szCs w:val="24"/>
        </w:rPr>
        <w:t xml:space="preserve"> Due to </w:t>
      </w:r>
      <w:commentRangeEnd w:id="13"/>
      <w:r w:rsidR="00FD4858">
        <w:rPr>
          <w:rStyle w:val="Refdecomentario"/>
        </w:rPr>
        <w:commentReference w:id="13"/>
      </w:r>
      <w:r>
        <w:rPr>
          <w:rFonts w:ascii="Times New Roman" w:hAnsi="Times New Roman" w:cs="Times New Roman"/>
          <w:sz w:val="24"/>
          <w:szCs w:val="24"/>
        </w:rPr>
        <w:t xml:space="preserve">the enhance the length and quality of plant roots which might have been boosted by microbes that create phytohormones, which in turn raised the concentration of nutrients in the soil. </w:t>
      </w:r>
    </w:p>
    <w:p w14:paraId="459945BF" w14:textId="08E0793C" w:rsidR="00EE5675" w:rsidRPr="00C53647" w:rsidRDefault="00EE5675" w:rsidP="00EE5675">
      <w:pPr>
        <w:rPr>
          <w:rFonts w:ascii="Times New Roman" w:hAnsi="Times New Roman" w:cs="Times New Roman"/>
          <w:b/>
          <w:bCs/>
          <w:sz w:val="24"/>
          <w:szCs w:val="24"/>
        </w:rPr>
      </w:pPr>
      <w:commentRangeStart w:id="14"/>
      <w:r w:rsidRPr="00C53647">
        <w:rPr>
          <w:rFonts w:ascii="Times New Roman" w:hAnsi="Times New Roman" w:cs="Times New Roman"/>
          <w:b/>
          <w:bCs/>
          <w:sz w:val="24"/>
          <w:szCs w:val="24"/>
        </w:rPr>
        <w:t>Table</w:t>
      </w:r>
      <w:r w:rsidR="00663BCE">
        <w:rPr>
          <w:rFonts w:ascii="Times New Roman" w:hAnsi="Times New Roman" w:cs="Times New Roman"/>
          <w:b/>
          <w:bCs/>
          <w:sz w:val="24"/>
          <w:szCs w:val="24"/>
        </w:rPr>
        <w:t xml:space="preserve"> No 3</w:t>
      </w:r>
      <w:r>
        <w:rPr>
          <w:rFonts w:ascii="Times New Roman" w:hAnsi="Times New Roman" w:cs="Times New Roman"/>
          <w:b/>
          <w:bCs/>
          <w:sz w:val="24"/>
          <w:szCs w:val="24"/>
        </w:rPr>
        <w:t xml:space="preserve"> </w:t>
      </w:r>
      <w:commentRangeEnd w:id="14"/>
      <w:r w:rsidR="00FD4858">
        <w:rPr>
          <w:rStyle w:val="Refdecomentario"/>
        </w:rPr>
        <w:commentReference w:id="14"/>
      </w:r>
      <w:r w:rsidRPr="00C53647">
        <w:rPr>
          <w:rFonts w:ascii="Times New Roman" w:hAnsi="Times New Roman" w:cs="Times New Roman"/>
          <w:b/>
          <w:bCs/>
          <w:sz w:val="24"/>
          <w:szCs w:val="24"/>
        </w:rPr>
        <w:t>Effect of microbial inoculants and their consortia on available nitrogen, phosphorus and potassium</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10"/>
        <w:gridCol w:w="1412"/>
        <w:gridCol w:w="1430"/>
        <w:gridCol w:w="1450"/>
      </w:tblGrid>
      <w:tr w:rsidR="00EE5675" w:rsidRPr="00C53647" w14:paraId="67A4CA27" w14:textId="77777777" w:rsidTr="00144954">
        <w:trPr>
          <w:trHeight w:val="1112"/>
        </w:trPr>
        <w:tc>
          <w:tcPr>
            <w:tcW w:w="1668" w:type="dxa"/>
          </w:tcPr>
          <w:p w14:paraId="24159744" w14:textId="77777777" w:rsidR="00EE5675" w:rsidRPr="00781A1D" w:rsidRDefault="00EE5675" w:rsidP="00144954">
            <w:pPr>
              <w:jc w:val="center"/>
              <w:rPr>
                <w:rFonts w:ascii="Times New Roman" w:hAnsi="Times New Roman" w:cs="Times New Roman"/>
                <w:b/>
                <w:bCs/>
                <w:sz w:val="24"/>
                <w:szCs w:val="24"/>
              </w:rPr>
            </w:pPr>
          </w:p>
          <w:p w14:paraId="6B58CE3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b/>
                <w:bCs/>
                <w:sz w:val="24"/>
                <w:szCs w:val="24"/>
              </w:rPr>
              <w:t>Tr. No.</w:t>
            </w:r>
          </w:p>
        </w:tc>
        <w:tc>
          <w:tcPr>
            <w:tcW w:w="4110" w:type="dxa"/>
          </w:tcPr>
          <w:p w14:paraId="48ECDF63" w14:textId="77777777" w:rsidR="00EE5675" w:rsidRPr="00781A1D" w:rsidRDefault="00EE5675" w:rsidP="00144954">
            <w:pPr>
              <w:jc w:val="center"/>
              <w:rPr>
                <w:rFonts w:ascii="Times New Roman" w:hAnsi="Times New Roman" w:cs="Times New Roman"/>
                <w:b/>
                <w:bCs/>
                <w:sz w:val="24"/>
                <w:szCs w:val="24"/>
              </w:rPr>
            </w:pPr>
          </w:p>
          <w:p w14:paraId="4242C21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b/>
                <w:bCs/>
                <w:sz w:val="24"/>
                <w:szCs w:val="24"/>
              </w:rPr>
              <w:t>Treatments</w:t>
            </w:r>
          </w:p>
        </w:tc>
        <w:tc>
          <w:tcPr>
            <w:tcW w:w="1412" w:type="dxa"/>
          </w:tcPr>
          <w:p w14:paraId="161CC021"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Nitrogen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c>
          <w:tcPr>
            <w:tcW w:w="1430" w:type="dxa"/>
          </w:tcPr>
          <w:p w14:paraId="6803684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Phosphorus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c>
          <w:tcPr>
            <w:tcW w:w="1450" w:type="dxa"/>
          </w:tcPr>
          <w:p w14:paraId="65C592FC"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potassium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r>
      <w:tr w:rsidR="007C2F4E" w:rsidRPr="00C53647" w14:paraId="02F31896" w14:textId="77777777" w:rsidTr="00144954">
        <w:trPr>
          <w:trHeight w:val="412"/>
        </w:trPr>
        <w:tc>
          <w:tcPr>
            <w:tcW w:w="1668" w:type="dxa"/>
          </w:tcPr>
          <w:p w14:paraId="37EC16A1" w14:textId="77777777" w:rsidR="007C2F4E" w:rsidRPr="00781A1D" w:rsidRDefault="007C2F4E" w:rsidP="00144954">
            <w:pPr>
              <w:jc w:val="center"/>
              <w:rPr>
                <w:rFonts w:ascii="Times New Roman" w:hAnsi="Times New Roman" w:cs="Times New Roman"/>
                <w:b/>
                <w:bCs/>
                <w:sz w:val="24"/>
                <w:szCs w:val="24"/>
              </w:rPr>
            </w:pPr>
          </w:p>
        </w:tc>
        <w:tc>
          <w:tcPr>
            <w:tcW w:w="4110" w:type="dxa"/>
          </w:tcPr>
          <w:p w14:paraId="772CFDDE" w14:textId="77777777" w:rsidR="007C2F4E" w:rsidRPr="00781A1D" w:rsidRDefault="007C2F4E" w:rsidP="00144954">
            <w:pPr>
              <w:jc w:val="both"/>
              <w:rPr>
                <w:rFonts w:ascii="Times New Roman" w:hAnsi="Times New Roman" w:cs="Times New Roman"/>
                <w:b/>
                <w:bCs/>
                <w:sz w:val="24"/>
                <w:szCs w:val="24"/>
              </w:rPr>
            </w:pPr>
          </w:p>
        </w:tc>
        <w:tc>
          <w:tcPr>
            <w:tcW w:w="4292" w:type="dxa"/>
            <w:gridSpan w:val="3"/>
          </w:tcPr>
          <w:p w14:paraId="5D5AE43E" w14:textId="6E6EC9A9" w:rsidR="007C2F4E" w:rsidRPr="00781A1D" w:rsidRDefault="007C2F4E" w:rsidP="007C2F4E">
            <w:pPr>
              <w:jc w:val="center"/>
              <w:rPr>
                <w:rFonts w:ascii="Times New Roman" w:hAnsi="Times New Roman" w:cs="Times New Roman"/>
                <w:b/>
                <w:bCs/>
                <w:sz w:val="24"/>
                <w:szCs w:val="24"/>
              </w:rPr>
            </w:pPr>
            <w:r w:rsidRPr="00781A1D">
              <w:rPr>
                <w:rFonts w:ascii="Times New Roman" w:hAnsi="Times New Roman" w:cs="Times New Roman"/>
                <w:b/>
                <w:bCs/>
                <w:sz w:val="24"/>
                <w:szCs w:val="24"/>
              </w:rPr>
              <w:t>At Harvest</w:t>
            </w:r>
          </w:p>
        </w:tc>
      </w:tr>
      <w:tr w:rsidR="00EE5675" w:rsidRPr="00C53647" w14:paraId="3508C9FF" w14:textId="77777777" w:rsidTr="00144954">
        <w:trPr>
          <w:trHeight w:val="348"/>
        </w:trPr>
        <w:tc>
          <w:tcPr>
            <w:tcW w:w="1668" w:type="dxa"/>
          </w:tcPr>
          <w:p w14:paraId="4302E1D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1</w:t>
            </w:r>
          </w:p>
        </w:tc>
        <w:tc>
          <w:tcPr>
            <w:tcW w:w="4110" w:type="dxa"/>
          </w:tcPr>
          <w:p w14:paraId="609F13E1"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 xml:space="preserve">Absolute control </w:t>
            </w:r>
          </w:p>
        </w:tc>
        <w:tc>
          <w:tcPr>
            <w:tcW w:w="1412" w:type="dxa"/>
            <w:vAlign w:val="bottom"/>
          </w:tcPr>
          <w:p w14:paraId="51CA8B9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139.25</w:t>
            </w:r>
          </w:p>
        </w:tc>
        <w:tc>
          <w:tcPr>
            <w:tcW w:w="1430" w:type="dxa"/>
            <w:vAlign w:val="bottom"/>
          </w:tcPr>
          <w:p w14:paraId="625AB69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11.67</w:t>
            </w:r>
          </w:p>
        </w:tc>
        <w:tc>
          <w:tcPr>
            <w:tcW w:w="1450" w:type="dxa"/>
            <w:vAlign w:val="bottom"/>
          </w:tcPr>
          <w:p w14:paraId="4D1B8D4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533.13</w:t>
            </w:r>
          </w:p>
        </w:tc>
      </w:tr>
      <w:tr w:rsidR="00EE5675" w:rsidRPr="00C53647" w14:paraId="7B03F5B2" w14:textId="77777777" w:rsidTr="00144954">
        <w:trPr>
          <w:trHeight w:val="440"/>
        </w:trPr>
        <w:tc>
          <w:tcPr>
            <w:tcW w:w="1668" w:type="dxa"/>
          </w:tcPr>
          <w:p w14:paraId="2D39FB4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p>
        </w:tc>
        <w:tc>
          <w:tcPr>
            <w:tcW w:w="4110" w:type="dxa"/>
          </w:tcPr>
          <w:p w14:paraId="2468A842"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RDF</w:t>
            </w:r>
          </w:p>
        </w:tc>
        <w:tc>
          <w:tcPr>
            <w:tcW w:w="1412" w:type="dxa"/>
            <w:vAlign w:val="bottom"/>
          </w:tcPr>
          <w:p w14:paraId="5E0BB5E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167.81</w:t>
            </w:r>
          </w:p>
        </w:tc>
        <w:tc>
          <w:tcPr>
            <w:tcW w:w="1430" w:type="dxa"/>
            <w:vAlign w:val="bottom"/>
          </w:tcPr>
          <w:p w14:paraId="024F5005"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15.24</w:t>
            </w:r>
          </w:p>
        </w:tc>
        <w:tc>
          <w:tcPr>
            <w:tcW w:w="1450" w:type="dxa"/>
            <w:vAlign w:val="bottom"/>
          </w:tcPr>
          <w:p w14:paraId="37BD7A2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619.47</w:t>
            </w:r>
          </w:p>
        </w:tc>
      </w:tr>
      <w:tr w:rsidR="00EE5675" w:rsidRPr="00C53647" w14:paraId="2AEB99F5" w14:textId="77777777" w:rsidTr="00144954">
        <w:trPr>
          <w:trHeight w:val="478"/>
        </w:trPr>
        <w:tc>
          <w:tcPr>
            <w:tcW w:w="1668" w:type="dxa"/>
          </w:tcPr>
          <w:p w14:paraId="61F5A21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3</w:t>
            </w:r>
          </w:p>
        </w:tc>
        <w:tc>
          <w:tcPr>
            <w:tcW w:w="4110" w:type="dxa"/>
          </w:tcPr>
          <w:p w14:paraId="2758A3C7"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p>
        </w:tc>
        <w:tc>
          <w:tcPr>
            <w:tcW w:w="1412" w:type="dxa"/>
            <w:vAlign w:val="bottom"/>
          </w:tcPr>
          <w:p w14:paraId="0E8FC51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165.24</w:t>
            </w:r>
          </w:p>
        </w:tc>
        <w:tc>
          <w:tcPr>
            <w:tcW w:w="1430" w:type="dxa"/>
            <w:vAlign w:val="bottom"/>
          </w:tcPr>
          <w:p w14:paraId="3C88B4E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16.37</w:t>
            </w:r>
          </w:p>
        </w:tc>
        <w:tc>
          <w:tcPr>
            <w:tcW w:w="1450" w:type="dxa"/>
            <w:vAlign w:val="bottom"/>
          </w:tcPr>
          <w:p w14:paraId="63901E6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604.13</w:t>
            </w:r>
          </w:p>
        </w:tc>
      </w:tr>
      <w:tr w:rsidR="00EE5675" w:rsidRPr="00C53647" w14:paraId="3BE721A3" w14:textId="77777777" w:rsidTr="00144954">
        <w:trPr>
          <w:trHeight w:val="440"/>
        </w:trPr>
        <w:tc>
          <w:tcPr>
            <w:tcW w:w="1668" w:type="dxa"/>
          </w:tcPr>
          <w:p w14:paraId="2B7E107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4</w:t>
            </w:r>
          </w:p>
        </w:tc>
        <w:tc>
          <w:tcPr>
            <w:tcW w:w="4110" w:type="dxa"/>
          </w:tcPr>
          <w:p w14:paraId="1E4B6600"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w:t>
            </w:r>
          </w:p>
        </w:tc>
        <w:tc>
          <w:tcPr>
            <w:tcW w:w="1412" w:type="dxa"/>
            <w:vAlign w:val="bottom"/>
          </w:tcPr>
          <w:p w14:paraId="4D94D8A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173.31</w:t>
            </w:r>
          </w:p>
        </w:tc>
        <w:tc>
          <w:tcPr>
            <w:tcW w:w="1430" w:type="dxa"/>
            <w:vAlign w:val="bottom"/>
          </w:tcPr>
          <w:p w14:paraId="62476F0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18.59</w:t>
            </w:r>
          </w:p>
        </w:tc>
        <w:tc>
          <w:tcPr>
            <w:tcW w:w="1450" w:type="dxa"/>
            <w:vAlign w:val="bottom"/>
          </w:tcPr>
          <w:p w14:paraId="697B57E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606.60</w:t>
            </w:r>
          </w:p>
        </w:tc>
      </w:tr>
      <w:tr w:rsidR="00EE5675" w:rsidRPr="00C53647" w14:paraId="40AD0C26" w14:textId="77777777" w:rsidTr="00144954">
        <w:trPr>
          <w:trHeight w:val="378"/>
        </w:trPr>
        <w:tc>
          <w:tcPr>
            <w:tcW w:w="1668" w:type="dxa"/>
          </w:tcPr>
          <w:p w14:paraId="2D024E5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5</w:t>
            </w:r>
          </w:p>
        </w:tc>
        <w:tc>
          <w:tcPr>
            <w:tcW w:w="4110" w:type="dxa"/>
          </w:tcPr>
          <w:p w14:paraId="4C836D0A"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KSB</w:t>
            </w:r>
          </w:p>
        </w:tc>
        <w:tc>
          <w:tcPr>
            <w:tcW w:w="1412" w:type="dxa"/>
            <w:vAlign w:val="bottom"/>
          </w:tcPr>
          <w:p w14:paraId="68FAFCE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172.99</w:t>
            </w:r>
          </w:p>
        </w:tc>
        <w:tc>
          <w:tcPr>
            <w:tcW w:w="1430" w:type="dxa"/>
            <w:vAlign w:val="bottom"/>
          </w:tcPr>
          <w:p w14:paraId="7FC46BA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17.11</w:t>
            </w:r>
          </w:p>
        </w:tc>
        <w:tc>
          <w:tcPr>
            <w:tcW w:w="1450" w:type="dxa"/>
            <w:vAlign w:val="bottom"/>
          </w:tcPr>
          <w:p w14:paraId="2D62C1A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677.67</w:t>
            </w:r>
          </w:p>
        </w:tc>
      </w:tr>
      <w:tr w:rsidR="00EE5675" w:rsidRPr="00C53647" w14:paraId="1FE997D8" w14:textId="77777777" w:rsidTr="00144954">
        <w:trPr>
          <w:trHeight w:val="325"/>
        </w:trPr>
        <w:tc>
          <w:tcPr>
            <w:tcW w:w="1668" w:type="dxa"/>
          </w:tcPr>
          <w:p w14:paraId="49B7E2C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6</w:t>
            </w:r>
          </w:p>
        </w:tc>
        <w:tc>
          <w:tcPr>
            <w:tcW w:w="4110" w:type="dxa"/>
          </w:tcPr>
          <w:p w14:paraId="2E839F05"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SSB</w:t>
            </w:r>
          </w:p>
        </w:tc>
        <w:tc>
          <w:tcPr>
            <w:tcW w:w="1412" w:type="dxa"/>
            <w:vAlign w:val="bottom"/>
          </w:tcPr>
          <w:p w14:paraId="0A785B8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175.64</w:t>
            </w:r>
          </w:p>
        </w:tc>
        <w:tc>
          <w:tcPr>
            <w:tcW w:w="1430" w:type="dxa"/>
            <w:vAlign w:val="bottom"/>
          </w:tcPr>
          <w:p w14:paraId="465C4CA5"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17.04</w:t>
            </w:r>
          </w:p>
        </w:tc>
        <w:tc>
          <w:tcPr>
            <w:tcW w:w="1450" w:type="dxa"/>
            <w:vAlign w:val="bottom"/>
          </w:tcPr>
          <w:p w14:paraId="5DF5206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637.63</w:t>
            </w:r>
          </w:p>
        </w:tc>
      </w:tr>
      <w:tr w:rsidR="00EE5675" w:rsidRPr="00C53647" w14:paraId="093E5794" w14:textId="77777777" w:rsidTr="00144954">
        <w:trPr>
          <w:trHeight w:val="262"/>
        </w:trPr>
        <w:tc>
          <w:tcPr>
            <w:tcW w:w="1668" w:type="dxa"/>
          </w:tcPr>
          <w:p w14:paraId="5F72ED5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7</w:t>
            </w:r>
          </w:p>
        </w:tc>
        <w:tc>
          <w:tcPr>
            <w:tcW w:w="4110" w:type="dxa"/>
          </w:tcPr>
          <w:p w14:paraId="570730F0"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ZnSB</w:t>
            </w:r>
          </w:p>
        </w:tc>
        <w:tc>
          <w:tcPr>
            <w:tcW w:w="1412" w:type="dxa"/>
            <w:vAlign w:val="bottom"/>
          </w:tcPr>
          <w:p w14:paraId="49ED525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180.45</w:t>
            </w:r>
          </w:p>
        </w:tc>
        <w:tc>
          <w:tcPr>
            <w:tcW w:w="1430" w:type="dxa"/>
            <w:vAlign w:val="bottom"/>
          </w:tcPr>
          <w:p w14:paraId="307C7D58"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15.36</w:t>
            </w:r>
          </w:p>
        </w:tc>
        <w:tc>
          <w:tcPr>
            <w:tcW w:w="1450" w:type="dxa"/>
            <w:vAlign w:val="bottom"/>
          </w:tcPr>
          <w:p w14:paraId="32E1531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637.53</w:t>
            </w:r>
          </w:p>
        </w:tc>
      </w:tr>
      <w:tr w:rsidR="00EE5675" w:rsidRPr="00C53647" w14:paraId="2075BF11" w14:textId="77777777" w:rsidTr="00144954">
        <w:trPr>
          <w:trHeight w:val="348"/>
        </w:trPr>
        <w:tc>
          <w:tcPr>
            <w:tcW w:w="1668" w:type="dxa"/>
          </w:tcPr>
          <w:p w14:paraId="37B28CA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8</w:t>
            </w:r>
          </w:p>
        </w:tc>
        <w:tc>
          <w:tcPr>
            <w:tcW w:w="4110" w:type="dxa"/>
          </w:tcPr>
          <w:p w14:paraId="57CAABD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KSB</w:t>
            </w:r>
          </w:p>
        </w:tc>
        <w:tc>
          <w:tcPr>
            <w:tcW w:w="1412" w:type="dxa"/>
            <w:vAlign w:val="bottom"/>
          </w:tcPr>
          <w:p w14:paraId="1530759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181.15</w:t>
            </w:r>
          </w:p>
        </w:tc>
        <w:tc>
          <w:tcPr>
            <w:tcW w:w="1430" w:type="dxa"/>
            <w:vAlign w:val="bottom"/>
          </w:tcPr>
          <w:p w14:paraId="7F1CB53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17.52</w:t>
            </w:r>
          </w:p>
        </w:tc>
        <w:tc>
          <w:tcPr>
            <w:tcW w:w="1450" w:type="dxa"/>
            <w:vAlign w:val="bottom"/>
          </w:tcPr>
          <w:p w14:paraId="0B60ED2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642.29</w:t>
            </w:r>
          </w:p>
        </w:tc>
      </w:tr>
      <w:tr w:rsidR="00EE5675" w:rsidRPr="00C53647" w14:paraId="228C531B" w14:textId="77777777" w:rsidTr="00144954">
        <w:trPr>
          <w:trHeight w:val="290"/>
        </w:trPr>
        <w:tc>
          <w:tcPr>
            <w:tcW w:w="1668" w:type="dxa"/>
          </w:tcPr>
          <w:p w14:paraId="602FABD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9</w:t>
            </w:r>
          </w:p>
        </w:tc>
        <w:tc>
          <w:tcPr>
            <w:tcW w:w="4110" w:type="dxa"/>
          </w:tcPr>
          <w:p w14:paraId="1FE1426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SSB</w:t>
            </w:r>
          </w:p>
        </w:tc>
        <w:tc>
          <w:tcPr>
            <w:tcW w:w="1412" w:type="dxa"/>
            <w:vAlign w:val="bottom"/>
          </w:tcPr>
          <w:p w14:paraId="1FBE6D8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177.60</w:t>
            </w:r>
          </w:p>
        </w:tc>
        <w:tc>
          <w:tcPr>
            <w:tcW w:w="1430" w:type="dxa"/>
            <w:vAlign w:val="bottom"/>
          </w:tcPr>
          <w:p w14:paraId="677D69C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16.66</w:t>
            </w:r>
          </w:p>
        </w:tc>
        <w:tc>
          <w:tcPr>
            <w:tcW w:w="1450" w:type="dxa"/>
            <w:vAlign w:val="bottom"/>
          </w:tcPr>
          <w:p w14:paraId="5150C46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615.88</w:t>
            </w:r>
          </w:p>
        </w:tc>
      </w:tr>
      <w:tr w:rsidR="00EE5675" w:rsidRPr="00C53647" w14:paraId="39246CB7" w14:textId="77777777" w:rsidTr="00144954">
        <w:trPr>
          <w:trHeight w:val="471"/>
        </w:trPr>
        <w:tc>
          <w:tcPr>
            <w:tcW w:w="1668" w:type="dxa"/>
          </w:tcPr>
          <w:p w14:paraId="7C5CED8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10</w:t>
            </w:r>
          </w:p>
        </w:tc>
        <w:tc>
          <w:tcPr>
            <w:tcW w:w="4110" w:type="dxa"/>
          </w:tcPr>
          <w:p w14:paraId="141223A6"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ZnSB</w:t>
            </w:r>
          </w:p>
        </w:tc>
        <w:tc>
          <w:tcPr>
            <w:tcW w:w="1412" w:type="dxa"/>
            <w:vAlign w:val="bottom"/>
          </w:tcPr>
          <w:p w14:paraId="16EE60A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183.70</w:t>
            </w:r>
          </w:p>
        </w:tc>
        <w:tc>
          <w:tcPr>
            <w:tcW w:w="1430" w:type="dxa"/>
            <w:vAlign w:val="bottom"/>
          </w:tcPr>
          <w:p w14:paraId="51FF069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15.20</w:t>
            </w:r>
          </w:p>
        </w:tc>
        <w:tc>
          <w:tcPr>
            <w:tcW w:w="1450" w:type="dxa"/>
            <w:vAlign w:val="bottom"/>
          </w:tcPr>
          <w:p w14:paraId="3FABB3F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623.93</w:t>
            </w:r>
          </w:p>
        </w:tc>
      </w:tr>
      <w:tr w:rsidR="00EE5675" w:rsidRPr="00C53647" w14:paraId="182CD328" w14:textId="77777777" w:rsidTr="00144954">
        <w:trPr>
          <w:trHeight w:val="459"/>
        </w:trPr>
        <w:tc>
          <w:tcPr>
            <w:tcW w:w="1668" w:type="dxa"/>
          </w:tcPr>
          <w:p w14:paraId="456B7BBA"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477660D7"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SEm±</w:t>
            </w:r>
          </w:p>
        </w:tc>
        <w:tc>
          <w:tcPr>
            <w:tcW w:w="1412" w:type="dxa"/>
            <w:vAlign w:val="bottom"/>
          </w:tcPr>
          <w:p w14:paraId="236E02E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1.73</w:t>
            </w:r>
          </w:p>
        </w:tc>
        <w:tc>
          <w:tcPr>
            <w:tcW w:w="1430" w:type="dxa"/>
            <w:vAlign w:val="bottom"/>
          </w:tcPr>
          <w:p w14:paraId="4E71455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0.35</w:t>
            </w:r>
          </w:p>
        </w:tc>
        <w:tc>
          <w:tcPr>
            <w:tcW w:w="1450" w:type="dxa"/>
            <w:vAlign w:val="bottom"/>
          </w:tcPr>
          <w:p w14:paraId="6A7EA92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2.76</w:t>
            </w:r>
          </w:p>
        </w:tc>
      </w:tr>
      <w:tr w:rsidR="00EE5675" w:rsidRPr="00C53647" w14:paraId="2765AB49" w14:textId="77777777" w:rsidTr="00144954">
        <w:trPr>
          <w:trHeight w:val="111"/>
        </w:trPr>
        <w:tc>
          <w:tcPr>
            <w:tcW w:w="1668" w:type="dxa"/>
          </w:tcPr>
          <w:p w14:paraId="0AAD54AA"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3695BAE6" w14:textId="77777777" w:rsidR="00EE5675" w:rsidRPr="00781A1D" w:rsidRDefault="00EE5675" w:rsidP="00144954">
            <w:pPr>
              <w:jc w:val="both"/>
              <w:rPr>
                <w:rFonts w:ascii="Times New Roman" w:hAnsi="Times New Roman" w:cs="Times New Roman"/>
                <w:b/>
                <w:bCs/>
                <w:sz w:val="24"/>
                <w:szCs w:val="24"/>
              </w:rPr>
            </w:pPr>
            <w:r w:rsidRPr="00FD4858">
              <w:rPr>
                <w:rFonts w:ascii="Times New Roman" w:hAnsi="Times New Roman" w:cs="Times New Roman"/>
                <w:sz w:val="24"/>
                <w:szCs w:val="24"/>
                <w:highlight w:val="yellow"/>
              </w:rPr>
              <w:t>C.D.</w:t>
            </w:r>
            <w:r w:rsidRPr="00781A1D">
              <w:rPr>
                <w:rFonts w:ascii="Times New Roman" w:hAnsi="Times New Roman" w:cs="Times New Roman"/>
                <w:sz w:val="24"/>
                <w:szCs w:val="24"/>
              </w:rPr>
              <w:t xml:space="preserve"> at 5%</w:t>
            </w:r>
          </w:p>
        </w:tc>
        <w:tc>
          <w:tcPr>
            <w:tcW w:w="1412" w:type="dxa"/>
            <w:vAlign w:val="bottom"/>
          </w:tcPr>
          <w:p w14:paraId="292FEBC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5.13</w:t>
            </w:r>
          </w:p>
        </w:tc>
        <w:tc>
          <w:tcPr>
            <w:tcW w:w="1430" w:type="dxa"/>
            <w:vAlign w:val="bottom"/>
          </w:tcPr>
          <w:p w14:paraId="2E755CE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1.04</w:t>
            </w:r>
          </w:p>
        </w:tc>
        <w:tc>
          <w:tcPr>
            <w:tcW w:w="1450" w:type="dxa"/>
            <w:vAlign w:val="bottom"/>
          </w:tcPr>
          <w:p w14:paraId="6778FBE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8.22</w:t>
            </w:r>
          </w:p>
        </w:tc>
      </w:tr>
      <w:tr w:rsidR="00EE5675" w:rsidRPr="00C53647" w14:paraId="686D5574" w14:textId="77777777" w:rsidTr="00144954">
        <w:trPr>
          <w:trHeight w:val="349"/>
        </w:trPr>
        <w:tc>
          <w:tcPr>
            <w:tcW w:w="1668" w:type="dxa"/>
          </w:tcPr>
          <w:p w14:paraId="0268D07D"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0A12EB09"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C.V.%</w:t>
            </w:r>
          </w:p>
        </w:tc>
        <w:tc>
          <w:tcPr>
            <w:tcW w:w="1412" w:type="dxa"/>
            <w:vAlign w:val="bottom"/>
          </w:tcPr>
          <w:p w14:paraId="12CF5E6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1.74</w:t>
            </w:r>
          </w:p>
        </w:tc>
        <w:tc>
          <w:tcPr>
            <w:tcW w:w="1430" w:type="dxa"/>
            <w:vAlign w:val="bottom"/>
          </w:tcPr>
          <w:p w14:paraId="3865BE13"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3.78</w:t>
            </w:r>
          </w:p>
        </w:tc>
        <w:tc>
          <w:tcPr>
            <w:tcW w:w="1450" w:type="dxa"/>
            <w:vAlign w:val="bottom"/>
          </w:tcPr>
          <w:p w14:paraId="3239A4A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0.77</w:t>
            </w:r>
          </w:p>
        </w:tc>
      </w:tr>
    </w:tbl>
    <w:p w14:paraId="7EFAE2EA" w14:textId="40162436" w:rsidR="00CC3ABF" w:rsidRDefault="00CC3ABF" w:rsidP="00CC3ABF">
      <w:pPr>
        <w:jc w:val="both"/>
        <w:rPr>
          <w:rFonts w:ascii="Times New Roman" w:hAnsi="Times New Roman" w:cs="Times New Roman"/>
          <w:b/>
          <w:bCs/>
          <w:sz w:val="24"/>
          <w:szCs w:val="24"/>
        </w:rPr>
      </w:pPr>
      <w:commentRangeStart w:id="15"/>
      <w:r>
        <w:rPr>
          <w:rFonts w:ascii="Times New Roman" w:hAnsi="Times New Roman" w:cs="Times New Roman"/>
          <w:b/>
          <w:bCs/>
          <w:sz w:val="24"/>
          <w:szCs w:val="24"/>
        </w:rPr>
        <w:t xml:space="preserve">Fig. No 1 </w:t>
      </w:r>
      <w:commentRangeEnd w:id="15"/>
      <w:r w:rsidR="00FD4858">
        <w:rPr>
          <w:rStyle w:val="Refdecomentario"/>
        </w:rPr>
        <w:commentReference w:id="15"/>
      </w:r>
      <w:r w:rsidRPr="00C53647">
        <w:rPr>
          <w:rFonts w:ascii="Times New Roman" w:hAnsi="Times New Roman" w:cs="Times New Roman"/>
          <w:b/>
          <w:bCs/>
          <w:sz w:val="24"/>
          <w:szCs w:val="24"/>
        </w:rPr>
        <w:t>Effect of microbial inoculants and their consortia on available nitrogen, phosphorus and potassium</w:t>
      </w:r>
    </w:p>
    <w:p w14:paraId="74E3B5AB" w14:textId="546CBDCC" w:rsidR="00CC3ABF" w:rsidRDefault="00CC3ABF" w:rsidP="00CC3ABF">
      <w:pPr>
        <w:autoSpaceDE w:val="0"/>
        <w:autoSpaceDN w:val="0"/>
        <w:adjustRightInd w:val="0"/>
        <w:spacing w:before="240" w:after="0"/>
        <w:jc w:val="center"/>
        <w:rPr>
          <w:rFonts w:ascii="Times New Roman" w:hAnsi="Times New Roman" w:cs="Times New Roman"/>
          <w:b/>
          <w:bCs/>
          <w:sz w:val="24"/>
          <w:szCs w:val="24"/>
        </w:rPr>
      </w:pPr>
      <w:r>
        <w:rPr>
          <w:noProof/>
          <w14:ligatures w14:val="standardContextual"/>
        </w:rPr>
        <w:drawing>
          <wp:inline distT="0" distB="0" distL="0" distR="0" wp14:anchorId="6ABA1938" wp14:editId="48C2390B">
            <wp:extent cx="4572000" cy="2743200"/>
            <wp:effectExtent l="0" t="0" r="0" b="0"/>
            <wp:docPr id="2100737550" name="Chart 1">
              <a:extLst xmlns:a="http://schemas.openxmlformats.org/drawingml/2006/main">
                <a:ext uri="{FF2B5EF4-FFF2-40B4-BE49-F238E27FC236}">
                  <a16:creationId xmlns:a16="http://schemas.microsoft.com/office/drawing/2014/main" id="{1EBC2C1E-197F-7FA0-4945-2405FF406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C3353A" w14:textId="46DBF2B5" w:rsidR="007B34EC" w:rsidRPr="00C53647" w:rsidRDefault="007B34EC" w:rsidP="007B34EC">
      <w:pPr>
        <w:autoSpaceDE w:val="0"/>
        <w:autoSpaceDN w:val="0"/>
        <w:adjustRightInd w:val="0"/>
        <w:spacing w:before="240" w:after="0"/>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Micronutrient Fe, Mn, Zn and Cu </w:t>
      </w:r>
    </w:p>
    <w:p w14:paraId="31CC572F" w14:textId="24FA3DF1" w:rsidR="007B34EC" w:rsidRDefault="007B34EC" w:rsidP="00D66C89">
      <w:pPr>
        <w:autoSpaceDE w:val="0"/>
        <w:autoSpaceDN w:val="0"/>
        <w:adjustRightInd w:val="0"/>
        <w:spacing w:after="0" w:line="360" w:lineRule="auto"/>
        <w:ind w:firstLine="851"/>
        <w:jc w:val="both"/>
        <w:rPr>
          <w:rFonts w:ascii="Times New Roman" w:hAnsi="Times New Roman" w:cs="Times New Roman"/>
          <w:sz w:val="24"/>
        </w:rPr>
      </w:pPr>
      <w:r w:rsidRPr="00C53647">
        <w:rPr>
          <w:rFonts w:ascii="Times New Roman" w:hAnsi="Times New Roman" w:cs="Times New Roman"/>
          <w:color w:val="000000"/>
          <w:sz w:val="24"/>
          <w:szCs w:val="24"/>
        </w:rPr>
        <w:t xml:space="preserve">Significantly higher DTPA iron in </w:t>
      </w: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+ZnSB) </w:t>
      </w:r>
      <w:r w:rsidRPr="00C53647">
        <w:rPr>
          <w:rFonts w:ascii="Times New Roman" w:hAnsi="Times New Roman" w:cs="Times New Roman"/>
          <w:sz w:val="24"/>
          <w:szCs w:val="24"/>
        </w:rPr>
        <w:t>5.47mg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followed by T</w:t>
      </w:r>
      <w:r w:rsidRPr="00C53647">
        <w:rPr>
          <w:rFonts w:ascii="Times New Roman" w:hAnsi="Times New Roman" w:cs="Times New Roman"/>
          <w:sz w:val="24"/>
          <w:szCs w:val="24"/>
          <w:vertAlign w:val="subscript"/>
        </w:rPr>
        <w:t>9</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RDF+ A</w:t>
      </w:r>
      <w:r w:rsidRPr="00C53647">
        <w:rPr>
          <w:rFonts w:ascii="Times New Roman" w:hAnsi="Times New Roman" w:cs="Times New Roman"/>
          <w:i/>
          <w:iCs/>
          <w:color w:val="000000"/>
          <w:sz w:val="24"/>
          <w:szCs w:val="24"/>
        </w:rPr>
        <w:t>zospirillum</w:t>
      </w:r>
      <w:r w:rsidRPr="00C53647">
        <w:rPr>
          <w:rFonts w:ascii="Times New Roman" w:hAnsi="Times New Roman" w:cs="Times New Roman"/>
          <w:color w:val="000000"/>
          <w:sz w:val="24"/>
          <w:szCs w:val="24"/>
        </w:rPr>
        <w:t xml:space="preserve"> + PSB +</w:t>
      </w:r>
      <w:r w:rsidRPr="00C53647">
        <w:rPr>
          <w:rFonts w:ascii="Times New Roman" w:hAnsi="Times New Roman" w:cs="Times New Roman"/>
          <w:sz w:val="24"/>
          <w:szCs w:val="24"/>
        </w:rPr>
        <w:t xml:space="preserve"> SSB (5.23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However, lower DTPA iron 3.29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observed in absolute control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Jadhav (2021) shows increased iron status of soil due inoculation of </w:t>
      </w:r>
      <w:r w:rsidRPr="00C53647">
        <w:rPr>
          <w:rFonts w:ascii="Times New Roman" w:hAnsi="Times New Roman" w:cs="Times New Roman"/>
          <w:i/>
          <w:iCs/>
          <w:sz w:val="24"/>
          <w:szCs w:val="24"/>
        </w:rPr>
        <w:t>Pseudomonas</w:t>
      </w:r>
      <w:r w:rsidRPr="007B34EC">
        <w:rPr>
          <w:rFonts w:ascii="Times New Roman" w:hAnsi="Times New Roman" w:cs="Times New Roman"/>
          <w:i/>
          <w:iCs/>
          <w:sz w:val="24"/>
          <w:szCs w:val="24"/>
        </w:rPr>
        <w:t xml:space="preserve"> </w:t>
      </w:r>
      <w:r w:rsidRPr="00C53647">
        <w:rPr>
          <w:rFonts w:ascii="Times New Roman" w:hAnsi="Times New Roman" w:cs="Times New Roman"/>
          <w:i/>
          <w:iCs/>
          <w:sz w:val="24"/>
          <w:szCs w:val="24"/>
        </w:rPr>
        <w:t xml:space="preserve">fluroscence, Pseudomonas striata, Trichoderma viride </w:t>
      </w:r>
      <w:r w:rsidRPr="00C53647">
        <w:rPr>
          <w:rFonts w:ascii="Times New Roman" w:hAnsi="Times New Roman" w:cs="Times New Roman"/>
          <w:sz w:val="24"/>
          <w:szCs w:val="24"/>
        </w:rPr>
        <w:t xml:space="preserve">and </w:t>
      </w:r>
      <w:r w:rsidRPr="00C53647">
        <w:rPr>
          <w:rFonts w:ascii="Times New Roman" w:hAnsi="Times New Roman" w:cs="Times New Roman"/>
          <w:i/>
          <w:iCs/>
          <w:sz w:val="24"/>
          <w:szCs w:val="24"/>
        </w:rPr>
        <w:t>Bacillus megaterium.</w:t>
      </w:r>
      <w:r>
        <w:rPr>
          <w:rFonts w:ascii="Times New Roman" w:hAnsi="Times New Roman" w:cs="Times New Roman"/>
          <w:i/>
          <w:iCs/>
          <w:sz w:val="24"/>
          <w:szCs w:val="24"/>
        </w:rPr>
        <w:t xml:space="preserve"> </w:t>
      </w:r>
      <w:r w:rsidRPr="00ED1E36">
        <w:rPr>
          <w:rFonts w:ascii="Times New Roman" w:hAnsi="Times New Roman" w:cs="Times New Roman"/>
          <w:sz w:val="24"/>
        </w:rPr>
        <w:t xml:space="preserve">Adriana </w:t>
      </w:r>
      <w:r w:rsidRPr="00ED1E36">
        <w:rPr>
          <w:rFonts w:ascii="Times New Roman" w:hAnsi="Times New Roman" w:cs="Times New Roman"/>
          <w:i/>
          <w:sz w:val="24"/>
        </w:rPr>
        <w:t xml:space="preserve">et al. </w:t>
      </w:r>
      <w:r w:rsidRPr="00ED1E36">
        <w:rPr>
          <w:rFonts w:ascii="Times New Roman" w:hAnsi="Times New Roman" w:cs="Times New Roman"/>
          <w:sz w:val="24"/>
        </w:rPr>
        <w:t>(</w:t>
      </w:r>
      <w:commentRangeStart w:id="16"/>
      <w:r w:rsidRPr="00ED1E36">
        <w:rPr>
          <w:rFonts w:ascii="Times New Roman" w:hAnsi="Times New Roman" w:cs="Times New Roman"/>
          <w:sz w:val="24"/>
        </w:rPr>
        <w:t>2010</w:t>
      </w:r>
      <w:commentRangeEnd w:id="16"/>
      <w:r w:rsidR="00FD4858">
        <w:rPr>
          <w:rStyle w:val="Refdecomentario"/>
        </w:rPr>
        <w:commentReference w:id="16"/>
      </w:r>
      <w:r w:rsidRPr="00ED1E36">
        <w:rPr>
          <w:rFonts w:ascii="Times New Roman" w:hAnsi="Times New Roman" w:cs="Times New Roman"/>
          <w:sz w:val="24"/>
        </w:rPr>
        <w:t>)</w:t>
      </w:r>
      <w:r>
        <w:rPr>
          <w:rFonts w:ascii="Times New Roman" w:hAnsi="Times New Roman" w:cs="Times New Roman"/>
          <w:sz w:val="24"/>
        </w:rPr>
        <w:t xml:space="preserve"> </w:t>
      </w:r>
      <w:r w:rsidRPr="00ED1E36">
        <w:rPr>
          <w:rFonts w:ascii="Times New Roman" w:hAnsi="Times New Roman" w:cs="Times New Roman"/>
          <w:sz w:val="24"/>
        </w:rPr>
        <w:t>study</w:t>
      </w:r>
      <w:r>
        <w:rPr>
          <w:rFonts w:ascii="Times New Roman" w:hAnsi="Times New Roman" w:cs="Times New Roman"/>
          <w:sz w:val="24"/>
        </w:rPr>
        <w:t xml:space="preserve"> that</w:t>
      </w:r>
      <w:r w:rsidRPr="00ED1E36">
        <w:rPr>
          <w:rFonts w:ascii="Times New Roman" w:hAnsi="Times New Roman" w:cs="Times New Roman"/>
          <w:sz w:val="24"/>
        </w:rPr>
        <w:t xml:space="preserve"> microbial metal mobilization from polluted soil by </w:t>
      </w:r>
      <w:r w:rsidRPr="00ED1E36">
        <w:rPr>
          <w:rFonts w:ascii="Times New Roman" w:hAnsi="Times New Roman" w:cs="Times New Roman"/>
          <w:i/>
          <w:sz w:val="24"/>
        </w:rPr>
        <w:t>Bacillus megaterium</w:t>
      </w:r>
      <w:r w:rsidRPr="00ED1E36">
        <w:rPr>
          <w:rFonts w:ascii="Times New Roman" w:hAnsi="Times New Roman" w:cs="Times New Roman"/>
          <w:sz w:val="24"/>
        </w:rPr>
        <w:t xml:space="preserve"> has resulted in manganese and iron mobilization of 60-80%, whereas zinc was mobilized by 20%.</w:t>
      </w:r>
    </w:p>
    <w:p w14:paraId="073969F7" w14:textId="77777777" w:rsidR="007B34EC" w:rsidRPr="00994947" w:rsidRDefault="007B34EC" w:rsidP="00D66C89">
      <w:pPr>
        <w:autoSpaceDE w:val="0"/>
        <w:autoSpaceDN w:val="0"/>
        <w:adjustRightInd w:val="0"/>
        <w:spacing w:after="0" w:line="360" w:lineRule="auto"/>
        <w:ind w:firstLine="851"/>
        <w:jc w:val="both"/>
        <w:rPr>
          <w:rFonts w:ascii="Times New Roman" w:hAnsi="Times New Roman" w:cs="Times New Roman"/>
          <w:sz w:val="24"/>
        </w:rPr>
      </w:pPr>
      <w:r w:rsidRPr="00ED1E36">
        <w:rPr>
          <w:rFonts w:ascii="Times New Roman" w:hAnsi="Times New Roman" w:cs="Times New Roman"/>
          <w:sz w:val="24"/>
        </w:rPr>
        <w:t>Kumar and Ismail (</w:t>
      </w:r>
      <w:commentRangeStart w:id="17"/>
      <w:r w:rsidRPr="00ED1E36">
        <w:rPr>
          <w:rFonts w:ascii="Times New Roman" w:hAnsi="Times New Roman" w:cs="Times New Roman"/>
          <w:sz w:val="24"/>
        </w:rPr>
        <w:t>2017b</w:t>
      </w:r>
      <w:commentRangeEnd w:id="17"/>
      <w:r w:rsidR="00FD4858">
        <w:rPr>
          <w:rStyle w:val="Refdecomentario"/>
        </w:rPr>
        <w:commentReference w:id="17"/>
      </w:r>
      <w:r w:rsidRPr="00ED1E36">
        <w:rPr>
          <w:rFonts w:ascii="Times New Roman" w:hAnsi="Times New Roman" w:cs="Times New Roman"/>
          <w:sz w:val="24"/>
        </w:rPr>
        <w:t>) reported that the available micronutrients in soil after harvest of soybean crop were also influenced significantly with the inoculation of microbial cultures. DTPA Zn (0.663 mg kg</w:t>
      </w:r>
      <w:r w:rsidRPr="00ED1E36">
        <w:rPr>
          <w:rFonts w:ascii="Times New Roman" w:hAnsi="Times New Roman" w:cs="Times New Roman"/>
          <w:sz w:val="24"/>
          <w:vertAlign w:val="superscript"/>
        </w:rPr>
        <w:t>-1</w:t>
      </w:r>
      <w:r w:rsidRPr="00ED1E36">
        <w:rPr>
          <w:rFonts w:ascii="Times New Roman" w:hAnsi="Times New Roman" w:cs="Times New Roman"/>
          <w:sz w:val="24"/>
        </w:rPr>
        <w:t>), Fe (5.81 mg kg</w:t>
      </w:r>
      <w:r w:rsidRPr="00ED1E36">
        <w:rPr>
          <w:rFonts w:ascii="Times New Roman" w:hAnsi="Times New Roman" w:cs="Times New Roman"/>
          <w:sz w:val="24"/>
          <w:vertAlign w:val="superscript"/>
        </w:rPr>
        <w:t>1</w:t>
      </w:r>
      <w:r w:rsidRPr="00ED1E36">
        <w:rPr>
          <w:rFonts w:ascii="Times New Roman" w:hAnsi="Times New Roman" w:cs="Times New Roman"/>
          <w:sz w:val="24"/>
        </w:rPr>
        <w:t>), Mn (11.2 mg kg</w:t>
      </w:r>
      <w:r w:rsidRPr="00ED1E36">
        <w:rPr>
          <w:rFonts w:ascii="Times New Roman" w:hAnsi="Times New Roman" w:cs="Times New Roman"/>
          <w:sz w:val="24"/>
          <w:vertAlign w:val="superscript"/>
        </w:rPr>
        <w:t>-1</w:t>
      </w:r>
      <w:r w:rsidRPr="00ED1E36">
        <w:rPr>
          <w:rFonts w:ascii="Times New Roman" w:hAnsi="Times New Roman" w:cs="Times New Roman"/>
          <w:sz w:val="24"/>
        </w:rPr>
        <w:t>) and Cu (2.71 mg kg</w:t>
      </w:r>
      <w:r w:rsidRPr="00ED1E36">
        <w:rPr>
          <w:rFonts w:ascii="Times New Roman" w:hAnsi="Times New Roman" w:cs="Times New Roman"/>
          <w:sz w:val="24"/>
          <w:vertAlign w:val="superscript"/>
        </w:rPr>
        <w:t>-1</w:t>
      </w:r>
      <w:r w:rsidRPr="00ED1E36">
        <w:rPr>
          <w:rFonts w:ascii="Times New Roman" w:hAnsi="Times New Roman" w:cs="Times New Roman"/>
          <w:sz w:val="24"/>
        </w:rPr>
        <w:t xml:space="preserve">) were noted maximum in T6 treatment receiving RDF + </w:t>
      </w:r>
      <w:r w:rsidRPr="00ED1E36">
        <w:rPr>
          <w:rFonts w:ascii="Times New Roman" w:hAnsi="Times New Roman" w:cs="Times New Roman"/>
          <w:i/>
          <w:sz w:val="24"/>
        </w:rPr>
        <w:t>Rhizobium + Trichoderma viride</w:t>
      </w:r>
      <w:r w:rsidRPr="00ED1E36">
        <w:rPr>
          <w:rFonts w:ascii="Times New Roman" w:hAnsi="Times New Roman" w:cs="Times New Roman"/>
          <w:sz w:val="24"/>
        </w:rPr>
        <w:t xml:space="preserve">. Solubilization of micronutrients by microbial cultures can be accomplished by range of mechanisms, which include secretion of organic acids and the release of organic acids </w:t>
      </w:r>
      <w:r w:rsidRPr="00ED1E36">
        <w:rPr>
          <w:rFonts w:ascii="Times New Roman" w:hAnsi="Times New Roman" w:cs="Times New Roman"/>
          <w:i/>
          <w:iCs/>
          <w:sz w:val="24"/>
        </w:rPr>
        <w:t>i.e.,</w:t>
      </w:r>
      <w:r w:rsidRPr="00ED1E36">
        <w:rPr>
          <w:rFonts w:ascii="Times New Roman" w:hAnsi="Times New Roman" w:cs="Times New Roman"/>
          <w:sz w:val="24"/>
        </w:rPr>
        <w:t xml:space="preserve"> 2-ketogluconic and 5-ketoglyconic acids and change in the micro environment near root which increases the H</w:t>
      </w:r>
      <w:r w:rsidRPr="00ED1E36">
        <w:rPr>
          <w:rFonts w:ascii="Times New Roman" w:hAnsi="Times New Roman" w:cs="Times New Roman"/>
          <w:sz w:val="24"/>
          <w:vertAlign w:val="superscript"/>
        </w:rPr>
        <w:t>+</w:t>
      </w:r>
      <w:r w:rsidRPr="00ED1E36">
        <w:rPr>
          <w:rFonts w:ascii="Times New Roman" w:hAnsi="Times New Roman" w:cs="Times New Roman"/>
          <w:sz w:val="24"/>
        </w:rPr>
        <w:t xml:space="preserve"> ion concentration or protein extrusion or production of chelating agents. </w:t>
      </w:r>
    </w:p>
    <w:p w14:paraId="40A2D713" w14:textId="77777777" w:rsidR="007B34EC" w:rsidRDefault="007B34EC" w:rsidP="00D66C89">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Manganese which ranged from 8.11 to 9.06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have showing significantly maximum DTPA manganese (9.18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in treatment T</w:t>
      </w:r>
      <w:r w:rsidRPr="00C53647">
        <w:rPr>
          <w:rFonts w:ascii="Times New Roman" w:hAnsi="Times New Roman" w:cs="Times New Roman"/>
          <w:sz w:val="24"/>
          <w:szCs w:val="24"/>
          <w:vertAlign w:val="subscript"/>
        </w:rPr>
        <w:t xml:space="preserve">7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 This increase was at par with treatment T</w:t>
      </w:r>
      <w:r w:rsidRPr="00C53647">
        <w:rPr>
          <w:rFonts w:ascii="Times New Roman" w:hAnsi="Times New Roman" w:cs="Times New Roman"/>
          <w:color w:val="000000"/>
          <w:sz w:val="24"/>
          <w:szCs w:val="24"/>
          <w:vertAlign w:val="subscript"/>
        </w:rPr>
        <w:t>10</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PSB + ZnSB (9.06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was significantly higher than other all treatments. The minimum soil DTPA extractable manganese (8.11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observed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Stefanescu </w:t>
      </w:r>
      <w:r w:rsidRPr="00C53647">
        <w:rPr>
          <w:rFonts w:ascii="Times New Roman" w:hAnsi="Times New Roman" w:cs="Times New Roman"/>
          <w:i/>
          <w:iCs/>
          <w:sz w:val="24"/>
          <w:szCs w:val="24"/>
        </w:rPr>
        <w:t>et</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al. </w:t>
      </w:r>
      <w:r w:rsidRPr="00C53647">
        <w:rPr>
          <w:rFonts w:ascii="Times New Roman" w:hAnsi="Times New Roman" w:cs="Times New Roman"/>
          <w:sz w:val="24"/>
          <w:szCs w:val="24"/>
        </w:rPr>
        <w:t xml:space="preserve">(2010) examined bio-solubilization capacity of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and found that manganese and iron were mobilized by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during the study to the extent of 60-80%, whereas zinc was mobilized to the extent of 20%.</w:t>
      </w:r>
    </w:p>
    <w:p w14:paraId="12884DBF" w14:textId="2C202345" w:rsidR="007B34EC" w:rsidRPr="00994947" w:rsidRDefault="005D0D62" w:rsidP="00D66C89">
      <w:pPr>
        <w:spacing w:before="240" w:after="5" w:line="360" w:lineRule="auto"/>
        <w:ind w:left="10" w:right="-4" w:firstLine="851"/>
        <w:jc w:val="both"/>
        <w:rPr>
          <w:rFonts w:ascii="Times New Roman" w:hAnsi="Times New Roman" w:cs="Times New Roman"/>
          <w:sz w:val="24"/>
        </w:rPr>
      </w:pPr>
      <w:r>
        <w:rPr>
          <w:rFonts w:ascii="Times New Roman" w:hAnsi="Times New Roman" w:cs="Times New Roman"/>
          <w:sz w:val="24"/>
        </w:rPr>
        <w:t>Gulnaz</w:t>
      </w:r>
      <w:r w:rsidR="007B34EC" w:rsidRPr="00ED1E36">
        <w:rPr>
          <w:rFonts w:ascii="Times New Roman" w:hAnsi="Times New Roman" w:cs="Times New Roman"/>
          <w:sz w:val="24"/>
        </w:rPr>
        <w:t xml:space="preserve"> </w:t>
      </w:r>
      <w:r w:rsidR="007B34EC" w:rsidRPr="00ED1E36">
        <w:rPr>
          <w:rFonts w:ascii="Times New Roman" w:hAnsi="Times New Roman" w:cs="Times New Roman"/>
          <w:i/>
          <w:sz w:val="24"/>
        </w:rPr>
        <w:t>et al</w:t>
      </w:r>
      <w:r w:rsidR="007B34EC" w:rsidRPr="00ED1E36">
        <w:rPr>
          <w:rFonts w:ascii="Times New Roman" w:hAnsi="Times New Roman" w:cs="Times New Roman"/>
          <w:sz w:val="24"/>
        </w:rPr>
        <w:t>. (</w:t>
      </w:r>
      <w:commentRangeStart w:id="18"/>
      <w:r w:rsidR="007B34EC" w:rsidRPr="00ED1E36">
        <w:rPr>
          <w:rFonts w:ascii="Times New Roman" w:hAnsi="Times New Roman" w:cs="Times New Roman"/>
          <w:sz w:val="24"/>
        </w:rPr>
        <w:t>2017</w:t>
      </w:r>
      <w:commentRangeEnd w:id="18"/>
      <w:r w:rsidR="00FD4858">
        <w:rPr>
          <w:rStyle w:val="Refdecomentario"/>
        </w:rPr>
        <w:commentReference w:id="18"/>
      </w:r>
      <w:r w:rsidR="007B34EC" w:rsidRPr="00ED1E36">
        <w:rPr>
          <w:rFonts w:ascii="Times New Roman" w:hAnsi="Times New Roman" w:cs="Times New Roman"/>
          <w:sz w:val="24"/>
        </w:rPr>
        <w:t>)</w:t>
      </w:r>
      <w:r w:rsidR="007B34EC">
        <w:rPr>
          <w:rFonts w:ascii="Times New Roman" w:hAnsi="Times New Roman" w:cs="Times New Roman"/>
          <w:sz w:val="24"/>
        </w:rPr>
        <w:t xml:space="preserve"> reported the </w:t>
      </w:r>
      <w:r w:rsidR="007B34EC" w:rsidRPr="00ED1E36">
        <w:rPr>
          <w:rFonts w:ascii="Times New Roman" w:hAnsi="Times New Roman" w:cs="Times New Roman"/>
          <w:sz w:val="24"/>
        </w:rPr>
        <w:t>various phosphorus biofertilizers and plant</w:t>
      </w:r>
      <w:r w:rsidR="007B34EC">
        <w:rPr>
          <w:rFonts w:ascii="Times New Roman" w:hAnsi="Times New Roman" w:cs="Times New Roman"/>
          <w:sz w:val="24"/>
        </w:rPr>
        <w:t xml:space="preserve"> </w:t>
      </w:r>
      <w:r w:rsidR="007B34EC" w:rsidRPr="00ED1E36">
        <w:rPr>
          <w:rFonts w:ascii="Times New Roman" w:hAnsi="Times New Roman" w:cs="Times New Roman"/>
          <w:sz w:val="24"/>
        </w:rPr>
        <w:t>growth promoting rhizosphere (PGPR) and their combinations. The maize hybrid used was NAH-1137. The results revealed that, the application of 75, 100 and 125</w:t>
      </w:r>
      <w:r w:rsidR="007B34EC" w:rsidRPr="00ED1E36">
        <w:rPr>
          <w:rFonts w:ascii="Times New Roman" w:hAnsi="Times New Roman" w:cs="Times New Roman"/>
          <w:iCs/>
          <w:sz w:val="24"/>
        </w:rPr>
        <w:t xml:space="preserve">% </w:t>
      </w:r>
      <w:r w:rsidR="007B34EC" w:rsidRPr="00ED1E36">
        <w:rPr>
          <w:rFonts w:ascii="Times New Roman" w:hAnsi="Times New Roman" w:cs="Times New Roman"/>
          <w:sz w:val="24"/>
        </w:rPr>
        <w:t>of recommended dose of phosphorus fertilizer along with PGPR II (</w:t>
      </w:r>
      <w:r w:rsidR="007B34EC" w:rsidRPr="00ED1E36">
        <w:rPr>
          <w:rFonts w:ascii="Times New Roman" w:hAnsi="Times New Roman" w:cs="Times New Roman"/>
          <w:i/>
          <w:sz w:val="24"/>
        </w:rPr>
        <w:t xml:space="preserve">Pseudomonas fluorescens + Bacillus megaterium + Azospirillum brasilense) </w:t>
      </w:r>
      <w:r w:rsidR="007B34EC" w:rsidRPr="00ED1E36">
        <w:rPr>
          <w:rFonts w:ascii="Times New Roman" w:hAnsi="Times New Roman" w:cs="Times New Roman"/>
          <w:sz w:val="24"/>
        </w:rPr>
        <w:t>improved the soil nutrient status as well as biological properties of the soil by increasing the population off beneficial microbe in the soil.</w:t>
      </w:r>
    </w:p>
    <w:p w14:paraId="121B53F5" w14:textId="77777777" w:rsidR="007B34EC"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 xml:space="preserve">Significantly the highest </w:t>
      </w:r>
      <w:r w:rsidRPr="00FD4858">
        <w:rPr>
          <w:rFonts w:ascii="Times New Roman" w:hAnsi="Times New Roman" w:cs="Times New Roman"/>
          <w:sz w:val="24"/>
          <w:szCs w:val="24"/>
          <w:highlight w:val="yellow"/>
        </w:rPr>
        <w:t>DTPA</w:t>
      </w:r>
      <w:r w:rsidRPr="00C53647">
        <w:rPr>
          <w:rFonts w:ascii="Times New Roman" w:hAnsi="Times New Roman" w:cs="Times New Roman"/>
          <w:sz w:val="24"/>
          <w:szCs w:val="24"/>
        </w:rPr>
        <w:t xml:space="preserve"> zinc (0.68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noticed under in treatment 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+ZnSB) it was found at par with treatment T</w:t>
      </w:r>
      <w:r w:rsidRPr="00C53647">
        <w:rPr>
          <w:rFonts w:ascii="Times New Roman" w:hAnsi="Times New Roman" w:cs="Times New Roman"/>
          <w:color w:val="000000"/>
          <w:sz w:val="24"/>
          <w:szCs w:val="24"/>
          <w:vertAlign w:val="subscript"/>
        </w:rPr>
        <w:t>7</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 0.69</w:t>
      </w:r>
      <w:r w:rsidRPr="00C53647">
        <w:rPr>
          <w:rFonts w:ascii="Times New Roman" w:hAnsi="Times New Roman" w:cs="Times New Roman"/>
          <w:sz w:val="24"/>
          <w:szCs w:val="24"/>
        </w:rPr>
        <w:t xml:space="preserve"> mg kg</w:t>
      </w:r>
      <w:r w:rsidRPr="00C53647">
        <w:rPr>
          <w:rFonts w:ascii="Times New Roman" w:hAnsi="Times New Roman" w:cs="Times New Roman"/>
          <w:sz w:val="24"/>
          <w:szCs w:val="24"/>
          <w:vertAlign w:val="superscript"/>
        </w:rPr>
        <w:t>-1</w:t>
      </w:r>
      <w:r w:rsidRPr="00C53647">
        <w:rPr>
          <w:rFonts w:ascii="Times New Roman" w:hAnsi="Times New Roman" w:cs="Times New Roman"/>
          <w:color w:val="000000"/>
          <w:sz w:val="24"/>
          <w:szCs w:val="24"/>
        </w:rPr>
        <w:t xml:space="preserve">. However, the lowest values of DTPA zinc (0.37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were noted in without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More availability of Zn was noticed at tasseling stage and it was in decreasing order at harvest stage of maize. According to Bhosale</w:t>
      </w:r>
      <w:r>
        <w:rPr>
          <w:rFonts w:ascii="Times New Roman" w:hAnsi="Times New Roman" w:cs="Times New Roman"/>
          <w:sz w:val="24"/>
          <w:szCs w:val="24"/>
        </w:rPr>
        <w:t xml:space="preserve"> </w:t>
      </w:r>
      <w:r w:rsidRPr="00431B8E">
        <w:rPr>
          <w:rFonts w:ascii="Times New Roman" w:hAnsi="Times New Roman" w:cs="Times New Roman"/>
          <w:i/>
          <w:iCs/>
          <w:sz w:val="24"/>
          <w:szCs w:val="24"/>
        </w:rPr>
        <w:t>et al</w:t>
      </w:r>
      <w:r>
        <w:rPr>
          <w:rFonts w:ascii="Times New Roman" w:hAnsi="Times New Roman" w:cs="Times New Roman"/>
          <w:sz w:val="24"/>
          <w:szCs w:val="24"/>
        </w:rPr>
        <w:t xml:space="preserve">., </w:t>
      </w:r>
      <w:r w:rsidRPr="00C53647">
        <w:rPr>
          <w:rFonts w:ascii="Times New Roman" w:hAnsi="Times New Roman" w:cs="Times New Roman"/>
          <w:sz w:val="24"/>
          <w:szCs w:val="24"/>
        </w:rPr>
        <w:t xml:space="preserve">(2021) promising microbial isolates significantly increased the soil's nutrient availability after inoculation of microbial isolates. Higher values of DTPA Zn were reported when RDF + </w:t>
      </w:r>
      <w:r w:rsidRPr="00C53647">
        <w:rPr>
          <w:rFonts w:ascii="Times New Roman" w:hAnsi="Times New Roman" w:cs="Times New Roman"/>
          <w:i/>
          <w:iCs/>
          <w:sz w:val="24"/>
          <w:szCs w:val="24"/>
        </w:rPr>
        <w:t xml:space="preserve">Pseudomonas striata </w:t>
      </w:r>
      <w:r w:rsidRPr="00C53647">
        <w:rPr>
          <w:rFonts w:ascii="Times New Roman" w:hAnsi="Times New Roman" w:cs="Times New Roman"/>
          <w:sz w:val="24"/>
          <w:szCs w:val="24"/>
        </w:rPr>
        <w:t>was applied.</w:t>
      </w:r>
    </w:p>
    <w:p w14:paraId="3D70A0FE" w14:textId="77777777" w:rsidR="007B34EC"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B50928">
        <w:rPr>
          <w:rFonts w:ascii="Times New Roman" w:hAnsi="Times New Roman" w:cs="Times New Roman"/>
          <w:sz w:val="24"/>
          <w:szCs w:val="24"/>
        </w:rPr>
        <w:t>Goteti</w:t>
      </w:r>
      <w:r>
        <w:rPr>
          <w:rFonts w:ascii="Times New Roman" w:hAnsi="Times New Roman" w:cs="Times New Roman"/>
          <w:sz w:val="24"/>
          <w:szCs w:val="24"/>
        </w:rPr>
        <w:t xml:space="preserve"> </w:t>
      </w:r>
      <w:r w:rsidRPr="00B50928">
        <w:rPr>
          <w:rFonts w:ascii="Times New Roman" w:hAnsi="Times New Roman" w:cs="Times New Roman"/>
          <w:i/>
          <w:iCs/>
          <w:sz w:val="24"/>
          <w:szCs w:val="24"/>
        </w:rPr>
        <w:t>et al</w:t>
      </w:r>
      <w:r>
        <w:rPr>
          <w:rFonts w:ascii="Times New Roman" w:hAnsi="Times New Roman" w:cs="Times New Roman"/>
          <w:sz w:val="24"/>
          <w:szCs w:val="24"/>
        </w:rPr>
        <w:t xml:space="preserve">., (2013) </w:t>
      </w:r>
      <w:commentRangeStart w:id="19"/>
      <w:proofErr w:type="spellStart"/>
      <w:r w:rsidRPr="00B50928">
        <w:rPr>
          <w:rFonts w:ascii="Times New Roman" w:hAnsi="Times New Roman" w:cs="Times New Roman"/>
          <w:sz w:val="24"/>
          <w:szCs w:val="24"/>
        </w:rPr>
        <w:t>Solubilisation</w:t>
      </w:r>
      <w:commentRangeEnd w:id="19"/>
      <w:proofErr w:type="spellEnd"/>
      <w:r w:rsidR="00FD4858">
        <w:rPr>
          <w:rStyle w:val="Refdecomentario"/>
        </w:rPr>
        <w:commentReference w:id="19"/>
      </w:r>
      <w:r w:rsidRPr="00B50928">
        <w:rPr>
          <w:rFonts w:ascii="Times New Roman" w:hAnsi="Times New Roman" w:cs="Times New Roman"/>
          <w:sz w:val="24"/>
          <w:szCs w:val="24"/>
        </w:rPr>
        <w:t xml:space="preserve"> of zinc can be accomplished by a range of mechanisms, which include excretion of metabolites such as organic acids, proton extrusion, or production of chelating agents. In addition, production of inorganic acids such as sulphuric acid, nitric acid, and carbonic acid could also facilitate the </w:t>
      </w:r>
      <w:r>
        <w:rPr>
          <w:rFonts w:ascii="Times New Roman" w:hAnsi="Times New Roman" w:cs="Times New Roman"/>
          <w:sz w:val="24"/>
          <w:szCs w:val="24"/>
        </w:rPr>
        <w:t>solubilization.</w:t>
      </w:r>
    </w:p>
    <w:p w14:paraId="6A73AF8E" w14:textId="15C8DED6" w:rsidR="007B34EC" w:rsidRPr="00C53647"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sidRPr="008035E2">
        <w:rPr>
          <w:rFonts w:ascii="Times New Roman" w:hAnsi="Times New Roman" w:cs="Times New Roman"/>
          <w:sz w:val="24"/>
          <w:szCs w:val="24"/>
        </w:rPr>
        <w:t>Sarathambal</w:t>
      </w:r>
      <w:r>
        <w:rPr>
          <w:rFonts w:ascii="Times New Roman" w:hAnsi="Times New Roman" w:cs="Times New Roman"/>
          <w:sz w:val="24"/>
          <w:szCs w:val="24"/>
        </w:rPr>
        <w:t xml:space="preserve"> </w:t>
      </w:r>
      <w:r w:rsidRPr="008035E2">
        <w:rPr>
          <w:rFonts w:ascii="Times New Roman" w:hAnsi="Times New Roman" w:cs="Times New Roman"/>
          <w:i/>
          <w:iCs/>
          <w:sz w:val="24"/>
          <w:szCs w:val="24"/>
        </w:rPr>
        <w:t>et</w:t>
      </w:r>
      <w:r>
        <w:rPr>
          <w:rFonts w:ascii="Times New Roman" w:hAnsi="Times New Roman" w:cs="Times New Roman"/>
          <w:i/>
          <w:iCs/>
          <w:sz w:val="24"/>
          <w:szCs w:val="24"/>
        </w:rPr>
        <w:t xml:space="preserve"> </w:t>
      </w:r>
      <w:r w:rsidRPr="008035E2">
        <w:rPr>
          <w:rFonts w:ascii="Times New Roman" w:hAnsi="Times New Roman" w:cs="Times New Roman"/>
          <w:i/>
          <w:iCs/>
          <w:sz w:val="24"/>
          <w:szCs w:val="24"/>
        </w:rPr>
        <w:t>al.,</w:t>
      </w:r>
      <w:r>
        <w:rPr>
          <w:rFonts w:ascii="Times New Roman" w:hAnsi="Times New Roman" w:cs="Times New Roman"/>
          <w:i/>
          <w:iCs/>
          <w:sz w:val="24"/>
          <w:szCs w:val="24"/>
        </w:rPr>
        <w:t xml:space="preserve"> </w:t>
      </w:r>
      <w:r w:rsidRPr="008035E2">
        <w:rPr>
          <w:rFonts w:ascii="Times New Roman" w:hAnsi="Times New Roman" w:cs="Times New Roman"/>
          <w:sz w:val="24"/>
          <w:szCs w:val="24"/>
        </w:rPr>
        <w:t>(</w:t>
      </w:r>
      <w:r>
        <w:rPr>
          <w:rFonts w:ascii="Times New Roman" w:hAnsi="Times New Roman" w:cs="Times New Roman"/>
          <w:sz w:val="24"/>
          <w:szCs w:val="24"/>
        </w:rPr>
        <w:t xml:space="preserve">2010) </w:t>
      </w:r>
      <w:commentRangeStart w:id="20"/>
      <w:r>
        <w:rPr>
          <w:rFonts w:ascii="Times New Roman" w:hAnsi="Times New Roman" w:cs="Times New Roman"/>
          <w:sz w:val="24"/>
          <w:szCs w:val="24"/>
        </w:rPr>
        <w:t>reported</w:t>
      </w:r>
      <w:commentRangeEnd w:id="20"/>
      <w:r w:rsidR="00FD4858">
        <w:rPr>
          <w:rStyle w:val="Refdecomentario"/>
        </w:rPr>
        <w:commentReference w:id="20"/>
      </w:r>
      <w:r w:rsidRPr="008035E2">
        <w:rPr>
          <w:rFonts w:ascii="Times New Roman" w:hAnsi="Times New Roman" w:cs="Times New Roman"/>
          <w:sz w:val="24"/>
          <w:szCs w:val="24"/>
        </w:rPr>
        <w:t xml:space="preserve"> the available zinc content was more in zinc defi cient unsterile soil than the sterile zinc suffi cient and zinc defi cient soils. This</w:t>
      </w:r>
      <w:r>
        <w:rPr>
          <w:rFonts w:ascii="Times New Roman" w:hAnsi="Times New Roman" w:cs="Times New Roman"/>
          <w:sz w:val="24"/>
          <w:szCs w:val="24"/>
        </w:rPr>
        <w:t xml:space="preserve"> </w:t>
      </w:r>
      <w:r w:rsidRPr="008035E2">
        <w:rPr>
          <w:rFonts w:ascii="Times New Roman" w:hAnsi="Times New Roman" w:cs="Times New Roman"/>
          <w:sz w:val="24"/>
          <w:szCs w:val="24"/>
        </w:rPr>
        <w:t xml:space="preserve">clearly indicated that microorganism other than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may also involve the solubilization of insoluble zinc sources. Zn</w:t>
      </w:r>
      <w:r>
        <w:rPr>
          <w:rFonts w:ascii="Times New Roman" w:hAnsi="Times New Roman" w:cs="Times New Roman"/>
          <w:sz w:val="24"/>
          <w:szCs w:val="24"/>
        </w:rPr>
        <w:t xml:space="preserve"> </w:t>
      </w:r>
      <w:r w:rsidRPr="008035E2">
        <w:rPr>
          <w:rFonts w:ascii="Times New Roman" w:hAnsi="Times New Roman" w:cs="Times New Roman"/>
          <w:sz w:val="24"/>
          <w:szCs w:val="24"/>
        </w:rPr>
        <w:t xml:space="preserve">solubilizing potential of few bacterial genera namely </w:t>
      </w:r>
      <w:r w:rsidRPr="008035E2">
        <w:rPr>
          <w:rFonts w:ascii="Times New Roman" w:hAnsi="Times New Roman" w:cs="Times New Roman"/>
          <w:i/>
          <w:iCs/>
          <w:sz w:val="24"/>
          <w:szCs w:val="24"/>
        </w:rPr>
        <w:t xml:space="preserve">Bacillus spp, Pseudomonas fl uorescens, Thiobacillus ferroxidans, </w:t>
      </w:r>
      <w:proofErr w:type="gramStart"/>
      <w:r w:rsidRPr="008035E2">
        <w:rPr>
          <w:rFonts w:ascii="Times New Roman" w:hAnsi="Times New Roman" w:cs="Times New Roman"/>
          <w:i/>
          <w:iCs/>
          <w:sz w:val="24"/>
          <w:szCs w:val="24"/>
        </w:rPr>
        <w:t>T.thiooxidans</w:t>
      </w:r>
      <w:proofErr w:type="gramEnd"/>
      <w:r w:rsidRPr="008035E2">
        <w:rPr>
          <w:rFonts w:ascii="Times New Roman" w:hAnsi="Times New Roman" w:cs="Times New Roman"/>
          <w:sz w:val="24"/>
          <w:szCs w:val="24"/>
        </w:rPr>
        <w:t xml:space="preserve"> have been reported Comparatively inoculated organism better in solubilization in zinc defi cient soil than zinc suffi cient soil and hence the growth of maize seedlings was better in the zinc defi cient soil. Irrespective of soil types, the inoculation of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showed higher plant zinc content. The total zinc content was more in unsterile zinc defi cient soil. This may due to more zinc available due to solubilization of insoluble zinc compounds by soil microorganisms or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in unsterile soil.</w:t>
      </w:r>
    </w:p>
    <w:p w14:paraId="2088E99B" w14:textId="3F1175D6" w:rsidR="007B34EC" w:rsidRDefault="007B34EC" w:rsidP="00D66C89">
      <w:pPr>
        <w:spacing w:line="360" w:lineRule="auto"/>
        <w:ind w:firstLine="851"/>
        <w:jc w:val="both"/>
        <w:rPr>
          <w:rFonts w:ascii="Times New Roman" w:hAnsi="Times New Roman" w:cs="Times New Roman"/>
          <w:sz w:val="24"/>
        </w:rPr>
      </w:pPr>
      <w:r w:rsidRPr="00C53647">
        <w:rPr>
          <w:rFonts w:ascii="Times New Roman" w:hAnsi="Times New Roman" w:cs="Times New Roman"/>
          <w:sz w:val="24"/>
          <w:szCs w:val="24"/>
        </w:rPr>
        <w:t xml:space="preserve">Maximum DTPA </w:t>
      </w:r>
      <w:r>
        <w:rPr>
          <w:rFonts w:ascii="Times New Roman" w:hAnsi="Times New Roman" w:cs="Times New Roman"/>
          <w:sz w:val="24"/>
          <w:szCs w:val="24"/>
        </w:rPr>
        <w:t>copper</w:t>
      </w:r>
      <w:r w:rsidRPr="00C53647">
        <w:rPr>
          <w:rFonts w:ascii="Times New Roman" w:hAnsi="Times New Roman" w:cs="Times New Roman"/>
          <w:sz w:val="24"/>
          <w:szCs w:val="24"/>
        </w:rPr>
        <w:t xml:space="preserve"> (4.08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in treatment T</w:t>
      </w:r>
      <w:r w:rsidRPr="00C53647">
        <w:rPr>
          <w:rFonts w:ascii="Times New Roman" w:hAnsi="Times New Roman" w:cs="Times New Roman"/>
          <w:sz w:val="24"/>
          <w:szCs w:val="24"/>
          <w:vertAlign w:val="subscript"/>
        </w:rPr>
        <w:t xml:space="preserve">9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w:t>
      </w:r>
      <w:r>
        <w:rPr>
          <w:rFonts w:ascii="Times New Roman" w:hAnsi="Times New Roman" w:cs="Times New Roman"/>
          <w:color w:val="000000"/>
          <w:sz w:val="24"/>
          <w:szCs w:val="24"/>
        </w:rPr>
        <w:t xml:space="preserve"> </w:t>
      </w:r>
      <w:r w:rsidRPr="00C53647">
        <w:rPr>
          <w:rFonts w:ascii="Times New Roman" w:hAnsi="Times New Roman" w:cs="Times New Roman"/>
          <w:color w:val="000000"/>
          <w:sz w:val="24"/>
          <w:szCs w:val="24"/>
        </w:rPr>
        <w:t>+ SSB). This increase was at par with treatment T</w:t>
      </w:r>
      <w:r w:rsidRPr="00C53647">
        <w:rPr>
          <w:rFonts w:ascii="Times New Roman" w:hAnsi="Times New Roman" w:cs="Times New Roman"/>
          <w:color w:val="000000"/>
          <w:sz w:val="24"/>
          <w:szCs w:val="24"/>
          <w:vertAlign w:val="subscript"/>
        </w:rPr>
        <w:t>7</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ZnSB (3.76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T</w:t>
      </w:r>
      <w:r w:rsidRPr="00C53647">
        <w:rPr>
          <w:rFonts w:ascii="Times New Roman" w:hAnsi="Times New Roman" w:cs="Times New Roman"/>
          <w:sz w:val="24"/>
          <w:szCs w:val="24"/>
          <w:vertAlign w:val="subscript"/>
        </w:rPr>
        <w:t>10</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ZnSB</w:t>
      </w:r>
      <w:r w:rsidRPr="00C53647">
        <w:rPr>
          <w:rFonts w:ascii="Times New Roman" w:hAnsi="Times New Roman" w:cs="Times New Roman"/>
          <w:sz w:val="24"/>
          <w:szCs w:val="24"/>
        </w:rPr>
        <w:t xml:space="preserve"> (3.73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was significantly higher than other all treatments. The minimum soil DTPA extractable manganese (2.11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observed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w:t>
      </w:r>
      <w:r w:rsidRPr="00ED1E36">
        <w:rPr>
          <w:rFonts w:ascii="Times New Roman" w:hAnsi="Times New Roman" w:cs="Times New Roman"/>
          <w:sz w:val="24"/>
        </w:rPr>
        <w:t>Kumar and Ismail (</w:t>
      </w:r>
      <w:commentRangeStart w:id="21"/>
      <w:r w:rsidRPr="00ED1E36">
        <w:rPr>
          <w:rFonts w:ascii="Times New Roman" w:hAnsi="Times New Roman" w:cs="Times New Roman"/>
          <w:sz w:val="24"/>
        </w:rPr>
        <w:t>2017b</w:t>
      </w:r>
      <w:commentRangeEnd w:id="21"/>
      <w:r w:rsidR="00D62BAF">
        <w:rPr>
          <w:rStyle w:val="Refdecomentario"/>
        </w:rPr>
        <w:commentReference w:id="21"/>
      </w:r>
      <w:r w:rsidRPr="00ED1E36">
        <w:rPr>
          <w:rFonts w:ascii="Times New Roman" w:hAnsi="Times New Roman" w:cs="Times New Roman"/>
          <w:sz w:val="24"/>
        </w:rPr>
        <w:t>) reported that the available micronutrients in soil after harvest of soybean crop were also influenced significantly with the inoculation of microbial cultures.</w:t>
      </w:r>
      <w:r>
        <w:rPr>
          <w:rFonts w:ascii="Times New Roman" w:hAnsi="Times New Roman" w:cs="Times New Roman"/>
          <w:sz w:val="24"/>
        </w:rPr>
        <w:t xml:space="preserve"> Due to </w:t>
      </w:r>
      <w:r w:rsidRPr="00ED1E36">
        <w:rPr>
          <w:rFonts w:ascii="Times New Roman" w:hAnsi="Times New Roman" w:cs="Times New Roman"/>
          <w:sz w:val="24"/>
        </w:rPr>
        <w:t xml:space="preserve">secretion of organic acids and the release of organic acids </w:t>
      </w:r>
      <w:r w:rsidRPr="00ED1E36">
        <w:rPr>
          <w:rFonts w:ascii="Times New Roman" w:hAnsi="Times New Roman" w:cs="Times New Roman"/>
          <w:i/>
          <w:iCs/>
          <w:sz w:val="24"/>
        </w:rPr>
        <w:t>i.e.,</w:t>
      </w:r>
      <w:r w:rsidRPr="00ED1E36">
        <w:rPr>
          <w:rFonts w:ascii="Times New Roman" w:hAnsi="Times New Roman" w:cs="Times New Roman"/>
          <w:sz w:val="24"/>
        </w:rPr>
        <w:t xml:space="preserve"> 2-ketogluconic and 5-ketoglyconic acids and change in the micro environment near root which increases the H</w:t>
      </w:r>
      <w:r w:rsidRPr="00ED1E36">
        <w:rPr>
          <w:rFonts w:ascii="Times New Roman" w:hAnsi="Times New Roman" w:cs="Times New Roman"/>
          <w:sz w:val="24"/>
          <w:vertAlign w:val="superscript"/>
        </w:rPr>
        <w:t>+</w:t>
      </w:r>
      <w:r w:rsidRPr="00ED1E36">
        <w:rPr>
          <w:rFonts w:ascii="Times New Roman" w:hAnsi="Times New Roman" w:cs="Times New Roman"/>
          <w:sz w:val="24"/>
        </w:rPr>
        <w:t xml:space="preserve"> ion concentration or protein extrusion or production of chelating agents.</w:t>
      </w:r>
    </w:p>
    <w:p w14:paraId="38F77AFF" w14:textId="46961CA4" w:rsidR="007B34EC" w:rsidRPr="0087271E" w:rsidRDefault="007B34EC" w:rsidP="007B34EC">
      <w:pPr>
        <w:ind w:left="851" w:hanging="851"/>
        <w:rPr>
          <w:rFonts w:ascii="Times New Roman" w:hAnsi="Times New Roman" w:cs="Times New Roman"/>
          <w:b/>
          <w:bCs/>
          <w:sz w:val="24"/>
          <w:szCs w:val="24"/>
        </w:rPr>
      </w:pPr>
      <w:r w:rsidRPr="00C53647">
        <w:rPr>
          <w:rFonts w:ascii="Times New Roman" w:hAnsi="Times New Roman" w:cs="Times New Roman"/>
          <w:b/>
          <w:bCs/>
          <w:color w:val="000000"/>
          <w:sz w:val="24"/>
          <w:szCs w:val="24"/>
        </w:rPr>
        <w:t xml:space="preserve">Table </w:t>
      </w:r>
      <w:r w:rsidR="00663BCE">
        <w:rPr>
          <w:rFonts w:ascii="Times New Roman" w:hAnsi="Times New Roman" w:cs="Times New Roman"/>
          <w:b/>
          <w:bCs/>
          <w:color w:val="000000"/>
          <w:sz w:val="24"/>
          <w:szCs w:val="24"/>
        </w:rPr>
        <w:t>No 4</w:t>
      </w:r>
      <w:r w:rsidRPr="00C53647">
        <w:rPr>
          <w:rFonts w:ascii="Times New Roman" w:hAnsi="Times New Roman" w:cs="Times New Roman"/>
          <w:b/>
          <w:bCs/>
          <w:color w:val="000000"/>
          <w:sz w:val="24"/>
          <w:szCs w:val="24"/>
        </w:rPr>
        <w:t xml:space="preserve"> Effect of microbial inoculants and their consortia on </w:t>
      </w:r>
      <w:r w:rsidRPr="00C53647">
        <w:rPr>
          <w:rFonts w:ascii="Times New Roman" w:hAnsi="Times New Roman" w:cs="Times New Roman"/>
          <w:b/>
          <w:bCs/>
          <w:sz w:val="24"/>
          <w:szCs w:val="24"/>
        </w:rPr>
        <w:t>DTPA extractable Fe, Cu, Zn and Mn</w:t>
      </w:r>
      <w:r>
        <w:rPr>
          <w:rFonts w:ascii="Times New Roman" w:hAnsi="Times New Roman" w:cs="Times New Roman"/>
          <w:b/>
          <w:bCs/>
          <w:sz w:val="24"/>
          <w:szCs w:val="24"/>
        </w:rPr>
        <w:t>.</w:t>
      </w:r>
      <w:r w:rsidRPr="00C53647">
        <w:rPr>
          <w:rFonts w:ascii="Times New Roman" w:hAnsi="Times New Roman" w:cs="Times New Roman"/>
          <w:b/>
          <w:bCs/>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1417"/>
        <w:gridCol w:w="1418"/>
        <w:gridCol w:w="1417"/>
        <w:gridCol w:w="1418"/>
      </w:tblGrid>
      <w:tr w:rsidR="007B34EC" w:rsidRPr="00C53647" w14:paraId="71EEE41A" w14:textId="77777777" w:rsidTr="00144954">
        <w:tc>
          <w:tcPr>
            <w:tcW w:w="817" w:type="dxa"/>
          </w:tcPr>
          <w:p w14:paraId="09364901" w14:textId="77777777" w:rsidR="007B34EC" w:rsidRPr="00C53647" w:rsidRDefault="007B34EC" w:rsidP="00144954">
            <w:pPr>
              <w:autoSpaceDE w:val="0"/>
              <w:autoSpaceDN w:val="0"/>
              <w:adjustRightInd w:val="0"/>
              <w:spacing w:after="0"/>
              <w:rPr>
                <w:rFonts w:ascii="Times New Roman" w:hAnsi="Times New Roman" w:cs="Times New Roman"/>
                <w:color w:val="000000"/>
                <w:sz w:val="24"/>
                <w:szCs w:val="24"/>
              </w:rPr>
            </w:pPr>
            <w:r w:rsidRPr="00C53647">
              <w:rPr>
                <w:rFonts w:ascii="Times New Roman" w:hAnsi="Times New Roman" w:cs="Times New Roman"/>
                <w:b/>
                <w:bCs/>
                <w:sz w:val="24"/>
                <w:szCs w:val="24"/>
              </w:rPr>
              <w:t>Tr. No.</w:t>
            </w:r>
          </w:p>
        </w:tc>
        <w:tc>
          <w:tcPr>
            <w:tcW w:w="3686" w:type="dxa"/>
          </w:tcPr>
          <w:p w14:paraId="029B5FF8" w14:textId="77777777" w:rsidR="007B34EC" w:rsidRPr="00C53647" w:rsidRDefault="007B34EC" w:rsidP="00144954">
            <w:pPr>
              <w:jc w:val="center"/>
              <w:rPr>
                <w:rFonts w:ascii="Times New Roman" w:hAnsi="Times New Roman" w:cs="Times New Roman"/>
                <w:b/>
                <w:bCs/>
                <w:sz w:val="24"/>
                <w:szCs w:val="24"/>
              </w:rPr>
            </w:pPr>
          </w:p>
          <w:p w14:paraId="1DBD4DD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Treatments</w:t>
            </w:r>
          </w:p>
        </w:tc>
        <w:tc>
          <w:tcPr>
            <w:tcW w:w="1417" w:type="dxa"/>
          </w:tcPr>
          <w:p w14:paraId="025FF3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Fe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8" w:type="dxa"/>
          </w:tcPr>
          <w:p w14:paraId="35FBD7D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Mn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7" w:type="dxa"/>
          </w:tcPr>
          <w:p w14:paraId="1994541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Zn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8" w:type="dxa"/>
          </w:tcPr>
          <w:p w14:paraId="6A69A51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Cu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r>
      <w:tr w:rsidR="00CC3ABF" w:rsidRPr="00C53647" w14:paraId="50AE7516" w14:textId="77777777" w:rsidTr="00144954">
        <w:tc>
          <w:tcPr>
            <w:tcW w:w="817" w:type="dxa"/>
          </w:tcPr>
          <w:p w14:paraId="74B1B29A" w14:textId="77777777" w:rsidR="00CC3ABF" w:rsidRPr="00C53647" w:rsidRDefault="00CC3ABF" w:rsidP="00144954">
            <w:pPr>
              <w:autoSpaceDE w:val="0"/>
              <w:autoSpaceDN w:val="0"/>
              <w:adjustRightInd w:val="0"/>
              <w:spacing w:after="0"/>
              <w:jc w:val="center"/>
              <w:rPr>
                <w:rFonts w:ascii="Times New Roman" w:hAnsi="Times New Roman" w:cs="Times New Roman"/>
                <w:color w:val="000000"/>
                <w:sz w:val="24"/>
                <w:szCs w:val="24"/>
              </w:rPr>
            </w:pPr>
          </w:p>
        </w:tc>
        <w:tc>
          <w:tcPr>
            <w:tcW w:w="3686" w:type="dxa"/>
          </w:tcPr>
          <w:p w14:paraId="601DB335" w14:textId="77777777" w:rsidR="00CC3ABF" w:rsidRPr="00C53647" w:rsidRDefault="00CC3ABF" w:rsidP="00144954">
            <w:pPr>
              <w:autoSpaceDE w:val="0"/>
              <w:autoSpaceDN w:val="0"/>
              <w:adjustRightInd w:val="0"/>
              <w:spacing w:after="0"/>
              <w:jc w:val="both"/>
              <w:rPr>
                <w:rFonts w:ascii="Times New Roman" w:hAnsi="Times New Roman" w:cs="Times New Roman"/>
                <w:color w:val="000000"/>
                <w:sz w:val="24"/>
                <w:szCs w:val="24"/>
              </w:rPr>
            </w:pPr>
          </w:p>
        </w:tc>
        <w:tc>
          <w:tcPr>
            <w:tcW w:w="5670" w:type="dxa"/>
            <w:gridSpan w:val="4"/>
          </w:tcPr>
          <w:p w14:paraId="336F5220" w14:textId="3F8FBF63" w:rsidR="00CC3ABF" w:rsidRPr="00C53647" w:rsidRDefault="00CC3ABF" w:rsidP="00CC3ABF">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At Harvest</w:t>
            </w:r>
          </w:p>
        </w:tc>
      </w:tr>
      <w:tr w:rsidR="007B34EC" w:rsidRPr="00C53647" w14:paraId="05E10D91" w14:textId="77777777" w:rsidTr="00144954">
        <w:tc>
          <w:tcPr>
            <w:tcW w:w="817" w:type="dxa"/>
          </w:tcPr>
          <w:p w14:paraId="4FCE9BB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w:t>
            </w:r>
          </w:p>
        </w:tc>
        <w:tc>
          <w:tcPr>
            <w:tcW w:w="3686" w:type="dxa"/>
          </w:tcPr>
          <w:p w14:paraId="44382E4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 xml:space="preserve">Absolute control </w:t>
            </w:r>
          </w:p>
        </w:tc>
        <w:tc>
          <w:tcPr>
            <w:tcW w:w="1417" w:type="dxa"/>
            <w:vAlign w:val="bottom"/>
          </w:tcPr>
          <w:p w14:paraId="3A54CE4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3.29</w:t>
            </w:r>
          </w:p>
        </w:tc>
        <w:tc>
          <w:tcPr>
            <w:tcW w:w="1418" w:type="dxa"/>
            <w:vAlign w:val="bottom"/>
          </w:tcPr>
          <w:p w14:paraId="627A949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8.11</w:t>
            </w:r>
          </w:p>
        </w:tc>
        <w:tc>
          <w:tcPr>
            <w:tcW w:w="1417" w:type="dxa"/>
            <w:vAlign w:val="bottom"/>
          </w:tcPr>
          <w:p w14:paraId="13A36F6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0.37</w:t>
            </w:r>
          </w:p>
        </w:tc>
        <w:tc>
          <w:tcPr>
            <w:tcW w:w="1418" w:type="dxa"/>
            <w:vAlign w:val="bottom"/>
          </w:tcPr>
          <w:p w14:paraId="7FF5704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2.11</w:t>
            </w:r>
          </w:p>
        </w:tc>
      </w:tr>
      <w:tr w:rsidR="007B34EC" w:rsidRPr="00C53647" w14:paraId="125D8EC4" w14:textId="77777777" w:rsidTr="00144954">
        <w:tc>
          <w:tcPr>
            <w:tcW w:w="817" w:type="dxa"/>
          </w:tcPr>
          <w:p w14:paraId="25D228F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p>
        </w:tc>
        <w:tc>
          <w:tcPr>
            <w:tcW w:w="3686" w:type="dxa"/>
          </w:tcPr>
          <w:p w14:paraId="0A79D1BD"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RDF</w:t>
            </w:r>
          </w:p>
        </w:tc>
        <w:tc>
          <w:tcPr>
            <w:tcW w:w="1417" w:type="dxa"/>
            <w:vAlign w:val="bottom"/>
          </w:tcPr>
          <w:p w14:paraId="7E7002D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4.29</w:t>
            </w:r>
          </w:p>
        </w:tc>
        <w:tc>
          <w:tcPr>
            <w:tcW w:w="1418" w:type="dxa"/>
            <w:vAlign w:val="bottom"/>
          </w:tcPr>
          <w:p w14:paraId="2A2AFC3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8.37</w:t>
            </w:r>
          </w:p>
        </w:tc>
        <w:tc>
          <w:tcPr>
            <w:tcW w:w="1417" w:type="dxa"/>
            <w:vAlign w:val="bottom"/>
          </w:tcPr>
          <w:p w14:paraId="4E1B276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0.47</w:t>
            </w:r>
          </w:p>
        </w:tc>
        <w:tc>
          <w:tcPr>
            <w:tcW w:w="1418" w:type="dxa"/>
            <w:vAlign w:val="bottom"/>
          </w:tcPr>
          <w:p w14:paraId="02C31DD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2.86</w:t>
            </w:r>
          </w:p>
        </w:tc>
      </w:tr>
      <w:tr w:rsidR="007B34EC" w:rsidRPr="00C53647" w14:paraId="163BD151" w14:textId="77777777" w:rsidTr="00144954">
        <w:tc>
          <w:tcPr>
            <w:tcW w:w="817" w:type="dxa"/>
          </w:tcPr>
          <w:p w14:paraId="2A3AA2C3"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3</w:t>
            </w:r>
          </w:p>
        </w:tc>
        <w:tc>
          <w:tcPr>
            <w:tcW w:w="3686" w:type="dxa"/>
          </w:tcPr>
          <w:p w14:paraId="2682EE1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p>
        </w:tc>
        <w:tc>
          <w:tcPr>
            <w:tcW w:w="1417" w:type="dxa"/>
            <w:vAlign w:val="bottom"/>
          </w:tcPr>
          <w:p w14:paraId="07F53E6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4.32</w:t>
            </w:r>
          </w:p>
        </w:tc>
        <w:tc>
          <w:tcPr>
            <w:tcW w:w="1418" w:type="dxa"/>
            <w:vAlign w:val="bottom"/>
          </w:tcPr>
          <w:p w14:paraId="6668B36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8.58</w:t>
            </w:r>
          </w:p>
        </w:tc>
        <w:tc>
          <w:tcPr>
            <w:tcW w:w="1417" w:type="dxa"/>
            <w:vAlign w:val="bottom"/>
          </w:tcPr>
          <w:p w14:paraId="59B7BEDA"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0.44</w:t>
            </w:r>
          </w:p>
        </w:tc>
        <w:tc>
          <w:tcPr>
            <w:tcW w:w="1418" w:type="dxa"/>
            <w:vAlign w:val="bottom"/>
          </w:tcPr>
          <w:p w14:paraId="792186C3"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2.77</w:t>
            </w:r>
          </w:p>
        </w:tc>
      </w:tr>
      <w:tr w:rsidR="007B34EC" w:rsidRPr="00C53647" w14:paraId="64F962C3" w14:textId="77777777" w:rsidTr="00144954">
        <w:tc>
          <w:tcPr>
            <w:tcW w:w="817" w:type="dxa"/>
          </w:tcPr>
          <w:p w14:paraId="0FD9C84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4</w:t>
            </w:r>
          </w:p>
        </w:tc>
        <w:tc>
          <w:tcPr>
            <w:tcW w:w="3686" w:type="dxa"/>
          </w:tcPr>
          <w:p w14:paraId="30E3FF17"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w:t>
            </w:r>
          </w:p>
        </w:tc>
        <w:tc>
          <w:tcPr>
            <w:tcW w:w="1417" w:type="dxa"/>
            <w:vAlign w:val="bottom"/>
          </w:tcPr>
          <w:p w14:paraId="35BDE5E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4.50</w:t>
            </w:r>
          </w:p>
        </w:tc>
        <w:tc>
          <w:tcPr>
            <w:tcW w:w="1418" w:type="dxa"/>
            <w:vAlign w:val="bottom"/>
          </w:tcPr>
          <w:p w14:paraId="5129B2D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8.65</w:t>
            </w:r>
          </w:p>
        </w:tc>
        <w:tc>
          <w:tcPr>
            <w:tcW w:w="1417" w:type="dxa"/>
            <w:vAlign w:val="bottom"/>
          </w:tcPr>
          <w:p w14:paraId="47BFFAB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0.49</w:t>
            </w:r>
          </w:p>
        </w:tc>
        <w:tc>
          <w:tcPr>
            <w:tcW w:w="1418" w:type="dxa"/>
            <w:vAlign w:val="bottom"/>
          </w:tcPr>
          <w:p w14:paraId="2B011E6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2.92</w:t>
            </w:r>
          </w:p>
        </w:tc>
      </w:tr>
      <w:tr w:rsidR="007B34EC" w:rsidRPr="00C53647" w14:paraId="3F2D983D" w14:textId="77777777" w:rsidTr="00144954">
        <w:tc>
          <w:tcPr>
            <w:tcW w:w="817" w:type="dxa"/>
          </w:tcPr>
          <w:p w14:paraId="4E4EB5E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5</w:t>
            </w:r>
          </w:p>
        </w:tc>
        <w:tc>
          <w:tcPr>
            <w:tcW w:w="3686" w:type="dxa"/>
          </w:tcPr>
          <w:p w14:paraId="3CA4F0FA"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KSB</w:t>
            </w:r>
          </w:p>
        </w:tc>
        <w:tc>
          <w:tcPr>
            <w:tcW w:w="1417" w:type="dxa"/>
            <w:vAlign w:val="bottom"/>
          </w:tcPr>
          <w:p w14:paraId="1EBD78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4.51</w:t>
            </w:r>
          </w:p>
        </w:tc>
        <w:tc>
          <w:tcPr>
            <w:tcW w:w="1418" w:type="dxa"/>
            <w:vAlign w:val="bottom"/>
          </w:tcPr>
          <w:p w14:paraId="65B313F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8.32</w:t>
            </w:r>
          </w:p>
        </w:tc>
        <w:tc>
          <w:tcPr>
            <w:tcW w:w="1417" w:type="dxa"/>
            <w:vAlign w:val="bottom"/>
          </w:tcPr>
          <w:p w14:paraId="2210C52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0.52</w:t>
            </w:r>
          </w:p>
        </w:tc>
        <w:tc>
          <w:tcPr>
            <w:tcW w:w="1418" w:type="dxa"/>
            <w:vAlign w:val="bottom"/>
          </w:tcPr>
          <w:p w14:paraId="7867BF9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3.10</w:t>
            </w:r>
          </w:p>
        </w:tc>
      </w:tr>
      <w:tr w:rsidR="007B34EC" w:rsidRPr="00C53647" w14:paraId="3D5A1F4B" w14:textId="77777777" w:rsidTr="00144954">
        <w:tc>
          <w:tcPr>
            <w:tcW w:w="817" w:type="dxa"/>
          </w:tcPr>
          <w:p w14:paraId="53361F3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6</w:t>
            </w:r>
          </w:p>
        </w:tc>
        <w:tc>
          <w:tcPr>
            <w:tcW w:w="3686" w:type="dxa"/>
          </w:tcPr>
          <w:p w14:paraId="5E5896FC"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SSB</w:t>
            </w:r>
          </w:p>
        </w:tc>
        <w:tc>
          <w:tcPr>
            <w:tcW w:w="1417" w:type="dxa"/>
            <w:vAlign w:val="bottom"/>
          </w:tcPr>
          <w:p w14:paraId="07A5341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4.38</w:t>
            </w:r>
          </w:p>
        </w:tc>
        <w:tc>
          <w:tcPr>
            <w:tcW w:w="1418" w:type="dxa"/>
            <w:vAlign w:val="bottom"/>
          </w:tcPr>
          <w:p w14:paraId="67CD0BF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8.78</w:t>
            </w:r>
          </w:p>
        </w:tc>
        <w:tc>
          <w:tcPr>
            <w:tcW w:w="1417" w:type="dxa"/>
            <w:vAlign w:val="bottom"/>
          </w:tcPr>
          <w:p w14:paraId="4050A486"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0.43</w:t>
            </w:r>
          </w:p>
        </w:tc>
        <w:tc>
          <w:tcPr>
            <w:tcW w:w="1418" w:type="dxa"/>
            <w:vAlign w:val="bottom"/>
          </w:tcPr>
          <w:p w14:paraId="70C47F72"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3.41</w:t>
            </w:r>
          </w:p>
        </w:tc>
      </w:tr>
      <w:tr w:rsidR="007B34EC" w:rsidRPr="00C53647" w14:paraId="3734E475" w14:textId="77777777" w:rsidTr="00144954">
        <w:tc>
          <w:tcPr>
            <w:tcW w:w="817" w:type="dxa"/>
          </w:tcPr>
          <w:p w14:paraId="456F42D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7</w:t>
            </w:r>
          </w:p>
        </w:tc>
        <w:tc>
          <w:tcPr>
            <w:tcW w:w="3686" w:type="dxa"/>
          </w:tcPr>
          <w:p w14:paraId="5864B7C1"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ZnSB</w:t>
            </w:r>
          </w:p>
        </w:tc>
        <w:tc>
          <w:tcPr>
            <w:tcW w:w="1417" w:type="dxa"/>
            <w:vAlign w:val="bottom"/>
          </w:tcPr>
          <w:p w14:paraId="2AEA4C0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4.64</w:t>
            </w:r>
          </w:p>
        </w:tc>
        <w:tc>
          <w:tcPr>
            <w:tcW w:w="1418" w:type="dxa"/>
            <w:vAlign w:val="bottom"/>
          </w:tcPr>
          <w:p w14:paraId="79740F2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9.18</w:t>
            </w:r>
          </w:p>
        </w:tc>
        <w:tc>
          <w:tcPr>
            <w:tcW w:w="1417" w:type="dxa"/>
            <w:vAlign w:val="bottom"/>
          </w:tcPr>
          <w:p w14:paraId="7476E84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0.69</w:t>
            </w:r>
          </w:p>
        </w:tc>
        <w:tc>
          <w:tcPr>
            <w:tcW w:w="1418" w:type="dxa"/>
            <w:vAlign w:val="bottom"/>
          </w:tcPr>
          <w:p w14:paraId="10B97E7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3.76</w:t>
            </w:r>
          </w:p>
        </w:tc>
      </w:tr>
      <w:tr w:rsidR="007B34EC" w:rsidRPr="00C53647" w14:paraId="5F1626BE" w14:textId="77777777" w:rsidTr="00144954">
        <w:tc>
          <w:tcPr>
            <w:tcW w:w="817" w:type="dxa"/>
          </w:tcPr>
          <w:p w14:paraId="032D3ED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8</w:t>
            </w:r>
          </w:p>
        </w:tc>
        <w:tc>
          <w:tcPr>
            <w:tcW w:w="3686" w:type="dxa"/>
          </w:tcPr>
          <w:p w14:paraId="79CF7106"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KSB</w:t>
            </w:r>
          </w:p>
        </w:tc>
        <w:tc>
          <w:tcPr>
            <w:tcW w:w="1417" w:type="dxa"/>
            <w:vAlign w:val="bottom"/>
          </w:tcPr>
          <w:p w14:paraId="262FED9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5.15</w:t>
            </w:r>
          </w:p>
        </w:tc>
        <w:tc>
          <w:tcPr>
            <w:tcW w:w="1418" w:type="dxa"/>
            <w:vAlign w:val="bottom"/>
          </w:tcPr>
          <w:p w14:paraId="17BB895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8.84</w:t>
            </w:r>
          </w:p>
        </w:tc>
        <w:tc>
          <w:tcPr>
            <w:tcW w:w="1417" w:type="dxa"/>
            <w:vAlign w:val="bottom"/>
          </w:tcPr>
          <w:p w14:paraId="108F7D6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0.51</w:t>
            </w:r>
          </w:p>
        </w:tc>
        <w:tc>
          <w:tcPr>
            <w:tcW w:w="1418" w:type="dxa"/>
            <w:vAlign w:val="bottom"/>
          </w:tcPr>
          <w:p w14:paraId="6BCAD33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3.69</w:t>
            </w:r>
          </w:p>
        </w:tc>
      </w:tr>
      <w:tr w:rsidR="007B34EC" w:rsidRPr="00C53647" w14:paraId="1C41063B" w14:textId="77777777" w:rsidTr="00144954">
        <w:tc>
          <w:tcPr>
            <w:tcW w:w="817" w:type="dxa"/>
          </w:tcPr>
          <w:p w14:paraId="6FD93CB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9</w:t>
            </w:r>
          </w:p>
        </w:tc>
        <w:tc>
          <w:tcPr>
            <w:tcW w:w="3686" w:type="dxa"/>
          </w:tcPr>
          <w:p w14:paraId="7BFBDFD8"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SSB</w:t>
            </w:r>
          </w:p>
        </w:tc>
        <w:tc>
          <w:tcPr>
            <w:tcW w:w="1417" w:type="dxa"/>
            <w:vAlign w:val="bottom"/>
          </w:tcPr>
          <w:p w14:paraId="08C762E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5.23</w:t>
            </w:r>
          </w:p>
        </w:tc>
        <w:tc>
          <w:tcPr>
            <w:tcW w:w="1418" w:type="dxa"/>
            <w:vAlign w:val="bottom"/>
          </w:tcPr>
          <w:p w14:paraId="6428D32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8.72</w:t>
            </w:r>
          </w:p>
        </w:tc>
        <w:tc>
          <w:tcPr>
            <w:tcW w:w="1417" w:type="dxa"/>
            <w:vAlign w:val="bottom"/>
          </w:tcPr>
          <w:p w14:paraId="0D39B7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0.44</w:t>
            </w:r>
          </w:p>
        </w:tc>
        <w:tc>
          <w:tcPr>
            <w:tcW w:w="1418" w:type="dxa"/>
            <w:vAlign w:val="bottom"/>
          </w:tcPr>
          <w:p w14:paraId="7A2FF11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4.08</w:t>
            </w:r>
          </w:p>
        </w:tc>
      </w:tr>
      <w:tr w:rsidR="007B34EC" w:rsidRPr="00C53647" w14:paraId="01156372" w14:textId="77777777" w:rsidTr="00144954">
        <w:tc>
          <w:tcPr>
            <w:tcW w:w="817" w:type="dxa"/>
          </w:tcPr>
          <w:p w14:paraId="0598B71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p>
        </w:tc>
        <w:tc>
          <w:tcPr>
            <w:tcW w:w="3686" w:type="dxa"/>
          </w:tcPr>
          <w:p w14:paraId="4EB5976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ZnSB</w:t>
            </w:r>
          </w:p>
        </w:tc>
        <w:tc>
          <w:tcPr>
            <w:tcW w:w="1417" w:type="dxa"/>
            <w:vAlign w:val="bottom"/>
          </w:tcPr>
          <w:p w14:paraId="277ED37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5.47</w:t>
            </w:r>
          </w:p>
        </w:tc>
        <w:tc>
          <w:tcPr>
            <w:tcW w:w="1418" w:type="dxa"/>
            <w:vAlign w:val="bottom"/>
          </w:tcPr>
          <w:p w14:paraId="47825B4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9.06</w:t>
            </w:r>
          </w:p>
        </w:tc>
        <w:tc>
          <w:tcPr>
            <w:tcW w:w="1417" w:type="dxa"/>
            <w:vAlign w:val="bottom"/>
          </w:tcPr>
          <w:p w14:paraId="6EF4D31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0.68</w:t>
            </w:r>
          </w:p>
        </w:tc>
        <w:tc>
          <w:tcPr>
            <w:tcW w:w="1418" w:type="dxa"/>
            <w:vAlign w:val="bottom"/>
          </w:tcPr>
          <w:p w14:paraId="4151FAF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3.73</w:t>
            </w:r>
          </w:p>
        </w:tc>
      </w:tr>
      <w:tr w:rsidR="007B34EC" w:rsidRPr="00C53647" w14:paraId="1E7A538D" w14:textId="77777777" w:rsidTr="00144954">
        <w:tc>
          <w:tcPr>
            <w:tcW w:w="817" w:type="dxa"/>
          </w:tcPr>
          <w:p w14:paraId="2C94C91C"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62F3EF98"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SEm±</w:t>
            </w:r>
          </w:p>
        </w:tc>
        <w:tc>
          <w:tcPr>
            <w:tcW w:w="1417" w:type="dxa"/>
            <w:vAlign w:val="bottom"/>
          </w:tcPr>
          <w:p w14:paraId="433B76F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0.07</w:t>
            </w:r>
          </w:p>
        </w:tc>
        <w:tc>
          <w:tcPr>
            <w:tcW w:w="1418" w:type="dxa"/>
            <w:vAlign w:val="bottom"/>
          </w:tcPr>
          <w:p w14:paraId="5B4EE01A"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0.04</w:t>
            </w:r>
          </w:p>
        </w:tc>
        <w:tc>
          <w:tcPr>
            <w:tcW w:w="1417" w:type="dxa"/>
            <w:vAlign w:val="bottom"/>
          </w:tcPr>
          <w:p w14:paraId="7BF83C8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0.03</w:t>
            </w:r>
          </w:p>
        </w:tc>
        <w:tc>
          <w:tcPr>
            <w:tcW w:w="1418" w:type="dxa"/>
            <w:vAlign w:val="bottom"/>
          </w:tcPr>
          <w:p w14:paraId="7D3612C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0.10</w:t>
            </w:r>
          </w:p>
        </w:tc>
      </w:tr>
      <w:tr w:rsidR="007B34EC" w:rsidRPr="00C53647" w14:paraId="34AA34E3" w14:textId="77777777" w:rsidTr="00144954">
        <w:tc>
          <w:tcPr>
            <w:tcW w:w="817" w:type="dxa"/>
          </w:tcPr>
          <w:p w14:paraId="55E40F2E"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29273214"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C.D. at 5%</w:t>
            </w:r>
          </w:p>
        </w:tc>
        <w:tc>
          <w:tcPr>
            <w:tcW w:w="1417" w:type="dxa"/>
            <w:vAlign w:val="bottom"/>
          </w:tcPr>
          <w:p w14:paraId="5FB8DEF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0.22</w:t>
            </w:r>
          </w:p>
        </w:tc>
        <w:tc>
          <w:tcPr>
            <w:tcW w:w="1418" w:type="dxa"/>
            <w:vAlign w:val="bottom"/>
          </w:tcPr>
          <w:p w14:paraId="524F72D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0.12</w:t>
            </w:r>
          </w:p>
        </w:tc>
        <w:tc>
          <w:tcPr>
            <w:tcW w:w="1417" w:type="dxa"/>
            <w:vAlign w:val="bottom"/>
          </w:tcPr>
          <w:p w14:paraId="4CF48CC6"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0.08</w:t>
            </w:r>
          </w:p>
        </w:tc>
        <w:tc>
          <w:tcPr>
            <w:tcW w:w="1418" w:type="dxa"/>
            <w:vAlign w:val="bottom"/>
          </w:tcPr>
          <w:p w14:paraId="5CC9616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0.30</w:t>
            </w:r>
          </w:p>
        </w:tc>
      </w:tr>
      <w:tr w:rsidR="007B34EC" w:rsidRPr="00C53647" w14:paraId="0A77EB5B" w14:textId="77777777" w:rsidTr="00144954">
        <w:tc>
          <w:tcPr>
            <w:tcW w:w="817" w:type="dxa"/>
          </w:tcPr>
          <w:p w14:paraId="00BBB01A"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3B5F7B6F"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C.V.%</w:t>
            </w:r>
          </w:p>
        </w:tc>
        <w:tc>
          <w:tcPr>
            <w:tcW w:w="1417" w:type="dxa"/>
            <w:vAlign w:val="bottom"/>
          </w:tcPr>
          <w:p w14:paraId="590F2EA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2.75</w:t>
            </w:r>
          </w:p>
        </w:tc>
        <w:tc>
          <w:tcPr>
            <w:tcW w:w="1418" w:type="dxa"/>
            <w:vAlign w:val="bottom"/>
          </w:tcPr>
          <w:p w14:paraId="367EE15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0.81</w:t>
            </w:r>
          </w:p>
        </w:tc>
        <w:tc>
          <w:tcPr>
            <w:tcW w:w="1417" w:type="dxa"/>
            <w:vAlign w:val="bottom"/>
          </w:tcPr>
          <w:p w14:paraId="3C96AFE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8.63</w:t>
            </w:r>
          </w:p>
        </w:tc>
        <w:tc>
          <w:tcPr>
            <w:tcW w:w="1418" w:type="dxa"/>
            <w:vAlign w:val="bottom"/>
          </w:tcPr>
          <w:p w14:paraId="7BE7E63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5.47</w:t>
            </w:r>
          </w:p>
        </w:tc>
      </w:tr>
    </w:tbl>
    <w:p w14:paraId="3111F693" w14:textId="77777777" w:rsidR="00522920" w:rsidRDefault="00522920" w:rsidP="007B34EC">
      <w:pPr>
        <w:tabs>
          <w:tab w:val="left" w:pos="1440"/>
        </w:tabs>
        <w:spacing w:after="100"/>
        <w:jc w:val="both"/>
        <w:rPr>
          <w:rFonts w:ascii="Times New Roman" w:hAnsi="Times New Roman" w:cs="Times New Roman"/>
          <w:b/>
          <w:sz w:val="24"/>
          <w:szCs w:val="24"/>
        </w:rPr>
      </w:pPr>
    </w:p>
    <w:p w14:paraId="32373FE7" w14:textId="62C68684" w:rsidR="005916AE" w:rsidRPr="00144954" w:rsidRDefault="00144954" w:rsidP="00144954">
      <w:pPr>
        <w:ind w:left="851" w:hanging="851"/>
        <w:jc w:val="both"/>
        <w:rPr>
          <w:rFonts w:ascii="Times New Roman" w:hAnsi="Times New Roman" w:cs="Times New Roman"/>
          <w:b/>
          <w:bCs/>
          <w:sz w:val="24"/>
          <w:szCs w:val="24"/>
        </w:rPr>
      </w:pPr>
      <w:r w:rsidRPr="00D62BAF">
        <w:rPr>
          <w:rFonts w:ascii="Times New Roman" w:hAnsi="Times New Roman" w:cs="Times New Roman"/>
          <w:b/>
          <w:bCs/>
          <w:color w:val="000000"/>
          <w:sz w:val="24"/>
          <w:szCs w:val="24"/>
          <w:highlight w:val="yellow"/>
        </w:rPr>
        <w:t>Fig. No 2</w:t>
      </w:r>
      <w:r w:rsidRPr="00C53647">
        <w:rPr>
          <w:rFonts w:ascii="Times New Roman" w:hAnsi="Times New Roman" w:cs="Times New Roman"/>
          <w:b/>
          <w:bCs/>
          <w:color w:val="000000"/>
          <w:sz w:val="24"/>
          <w:szCs w:val="24"/>
        </w:rPr>
        <w:t xml:space="preserve"> Effect of microbial inoculants and their consortia on </w:t>
      </w:r>
      <w:r w:rsidRPr="00C53647">
        <w:rPr>
          <w:rFonts w:ascii="Times New Roman" w:hAnsi="Times New Roman" w:cs="Times New Roman"/>
          <w:b/>
          <w:bCs/>
          <w:sz w:val="24"/>
          <w:szCs w:val="24"/>
        </w:rPr>
        <w:t>DTPA extractable Fe, Cu, Zn and Mn</w:t>
      </w:r>
      <w:r>
        <w:rPr>
          <w:rFonts w:ascii="Times New Roman" w:hAnsi="Times New Roman" w:cs="Times New Roman"/>
          <w:b/>
          <w:bCs/>
          <w:sz w:val="24"/>
          <w:szCs w:val="24"/>
        </w:rPr>
        <w:t>.</w:t>
      </w:r>
      <w:r w:rsidRPr="00C53647">
        <w:rPr>
          <w:rFonts w:ascii="Times New Roman" w:hAnsi="Times New Roman" w:cs="Times New Roman"/>
          <w:b/>
          <w:bCs/>
          <w:sz w:val="24"/>
          <w:szCs w:val="24"/>
        </w:rPr>
        <w:t xml:space="preserve"> </w:t>
      </w:r>
    </w:p>
    <w:p w14:paraId="6263A2CB" w14:textId="3029AF1E" w:rsidR="00144954" w:rsidRDefault="00144954" w:rsidP="00144954">
      <w:pPr>
        <w:tabs>
          <w:tab w:val="left" w:pos="1440"/>
        </w:tabs>
        <w:spacing w:after="100"/>
        <w:jc w:val="center"/>
        <w:rPr>
          <w:rFonts w:ascii="Times New Roman" w:hAnsi="Times New Roman" w:cs="Times New Roman"/>
          <w:b/>
          <w:sz w:val="24"/>
          <w:szCs w:val="24"/>
        </w:rPr>
      </w:pPr>
      <w:r>
        <w:rPr>
          <w:noProof/>
          <w14:ligatures w14:val="standardContextual"/>
        </w:rPr>
        <w:drawing>
          <wp:inline distT="0" distB="0" distL="0" distR="0" wp14:anchorId="4A2FD82E" wp14:editId="28854516">
            <wp:extent cx="4572000" cy="2743200"/>
            <wp:effectExtent l="0" t="0" r="0" b="0"/>
            <wp:docPr id="238986824" name="Chart 1">
              <a:extLst xmlns:a="http://schemas.openxmlformats.org/drawingml/2006/main">
                <a:ext uri="{FF2B5EF4-FFF2-40B4-BE49-F238E27FC236}">
                  <a16:creationId xmlns:a16="http://schemas.microsoft.com/office/drawing/2014/main" id="{ADA0DC16-B915-747E-1F93-17FCEEAB0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D2C472" w14:textId="77777777" w:rsidR="005916AE" w:rsidRDefault="005916AE" w:rsidP="007B34EC">
      <w:pPr>
        <w:tabs>
          <w:tab w:val="left" w:pos="1440"/>
        </w:tabs>
        <w:spacing w:after="100"/>
        <w:jc w:val="both"/>
        <w:rPr>
          <w:rFonts w:ascii="Times New Roman" w:hAnsi="Times New Roman" w:cs="Times New Roman"/>
          <w:b/>
          <w:sz w:val="24"/>
          <w:szCs w:val="24"/>
        </w:rPr>
      </w:pPr>
    </w:p>
    <w:p w14:paraId="6E4A9FA3" w14:textId="429138F5" w:rsidR="00A9073D" w:rsidRDefault="00A9073D" w:rsidP="00A9073D">
      <w:pPr>
        <w:ind w:left="426" w:hanging="426"/>
        <w:jc w:val="both"/>
        <w:rPr>
          <w:rFonts w:ascii="Times New Roman" w:hAnsi="Times New Roman" w:cs="Times New Roman"/>
          <w:b/>
          <w:sz w:val="24"/>
          <w:szCs w:val="24"/>
        </w:rPr>
      </w:pPr>
      <w:r w:rsidRPr="00101C9A">
        <w:rPr>
          <w:rFonts w:ascii="Times New Roman" w:hAnsi="Times New Roman" w:cs="Times New Roman"/>
          <w:b/>
          <w:sz w:val="24"/>
          <w:szCs w:val="24"/>
        </w:rPr>
        <w:t xml:space="preserve">Soil Enzymes </w:t>
      </w:r>
      <w:r w:rsidR="007C7CE9">
        <w:rPr>
          <w:rFonts w:ascii="Times New Roman" w:hAnsi="Times New Roman" w:cs="Times New Roman"/>
          <w:b/>
          <w:sz w:val="24"/>
          <w:szCs w:val="24"/>
        </w:rPr>
        <w:t>(</w:t>
      </w:r>
      <w:r w:rsidR="007C7CE9" w:rsidRPr="00101C9A">
        <w:rPr>
          <w:rFonts w:ascii="Times New Roman" w:hAnsi="Times New Roman" w:cs="Times New Roman"/>
          <w:b/>
          <w:bCs/>
          <w:sz w:val="24"/>
          <w:szCs w:val="24"/>
        </w:rPr>
        <w:t>Dehydrogenase</w:t>
      </w:r>
      <w:r w:rsidR="007C7CE9">
        <w:rPr>
          <w:rFonts w:ascii="Times New Roman" w:hAnsi="Times New Roman" w:cs="Times New Roman"/>
          <w:b/>
          <w:bCs/>
          <w:sz w:val="24"/>
          <w:szCs w:val="24"/>
        </w:rPr>
        <w:t xml:space="preserve">, </w:t>
      </w:r>
      <w:r w:rsidR="007C7CE9" w:rsidRPr="00101C9A">
        <w:rPr>
          <w:rFonts w:ascii="Times New Roman" w:hAnsi="Times New Roman" w:cs="Times New Roman"/>
          <w:b/>
          <w:bCs/>
          <w:sz w:val="24"/>
          <w:szCs w:val="24"/>
        </w:rPr>
        <w:t xml:space="preserve">Acid phosphatase </w:t>
      </w:r>
      <w:r w:rsidR="007C7CE9">
        <w:rPr>
          <w:rFonts w:ascii="Times New Roman" w:hAnsi="Times New Roman" w:cs="Times New Roman"/>
          <w:b/>
          <w:bCs/>
          <w:sz w:val="24"/>
          <w:szCs w:val="24"/>
        </w:rPr>
        <w:t xml:space="preserve">and </w:t>
      </w:r>
      <w:r w:rsidR="007C7CE9" w:rsidRPr="00101C9A">
        <w:rPr>
          <w:rFonts w:ascii="Times New Roman" w:hAnsi="Times New Roman" w:cs="Times New Roman"/>
          <w:b/>
          <w:bCs/>
          <w:sz w:val="24"/>
          <w:szCs w:val="24"/>
        </w:rPr>
        <w:t>alkaline phosphatase activity</w:t>
      </w:r>
      <w:r w:rsidR="007C7CE9">
        <w:rPr>
          <w:rFonts w:ascii="Times New Roman" w:hAnsi="Times New Roman" w:cs="Times New Roman"/>
          <w:b/>
          <w:bCs/>
          <w:sz w:val="24"/>
          <w:szCs w:val="24"/>
        </w:rPr>
        <w:t>)</w:t>
      </w:r>
    </w:p>
    <w:p w14:paraId="275F7A21" w14:textId="444A37C7" w:rsidR="00A9073D" w:rsidRPr="00A9073D" w:rsidRDefault="00A9073D" w:rsidP="00A9073D">
      <w:pPr>
        <w:ind w:left="426" w:hanging="426"/>
        <w:jc w:val="both"/>
        <w:rPr>
          <w:rFonts w:ascii="Times New Roman" w:hAnsi="Times New Roman" w:cs="Times New Roman"/>
          <w:b/>
          <w:sz w:val="24"/>
          <w:szCs w:val="24"/>
        </w:rPr>
      </w:pPr>
      <w:r w:rsidRPr="00101C9A">
        <w:rPr>
          <w:rFonts w:ascii="Times New Roman" w:hAnsi="Times New Roman" w:cs="Times New Roman"/>
          <w:b/>
          <w:bCs/>
          <w:sz w:val="24"/>
          <w:szCs w:val="24"/>
        </w:rPr>
        <w:t xml:space="preserve"> Dehydrogenase activity in soil</w:t>
      </w:r>
    </w:p>
    <w:p w14:paraId="14DD18BC" w14:textId="4D4CD1FC" w:rsidR="00A9073D" w:rsidRPr="00101C9A" w:rsidRDefault="006E51B6" w:rsidP="006E51B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A9073D" w:rsidRPr="00101C9A">
        <w:rPr>
          <w:rFonts w:ascii="Times New Roman" w:hAnsi="Times New Roman" w:cs="Times New Roman"/>
          <w:sz w:val="24"/>
          <w:szCs w:val="24"/>
        </w:rPr>
        <w:t>Dehydrogenase is found intracellularly in all living microbial cells and is connected to microbial respiratory activities, making it regarded as an indicator of total microbial activity. It is known that the dehydrogenase enzyme converts protons and electrons from substrates to acceptors to oxidise soil organic materials. The kind of soil has a direct impact on these processes, which are a component of respiration and routes used by soil microorganisms.</w:t>
      </w:r>
    </w:p>
    <w:p w14:paraId="010AA87C" w14:textId="3C90F001" w:rsidR="00A9073D" w:rsidRPr="00101C9A" w:rsidRDefault="00A9073D" w:rsidP="00A9073D">
      <w:pPr>
        <w:spacing w:line="360" w:lineRule="auto"/>
        <w:ind w:firstLine="851"/>
        <w:jc w:val="both"/>
        <w:rPr>
          <w:rFonts w:ascii="Times New Roman" w:hAnsi="Times New Roman" w:cs="Times New Roman"/>
          <w:sz w:val="24"/>
          <w:szCs w:val="24"/>
        </w:rPr>
      </w:pPr>
      <w:r w:rsidRPr="00101C9A">
        <w:rPr>
          <w:rFonts w:ascii="Times New Roman" w:hAnsi="Times New Roman" w:cs="Times New Roman"/>
          <w:sz w:val="24"/>
          <w:szCs w:val="24"/>
        </w:rPr>
        <w:t xml:space="preserve">The data presented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3</w:t>
      </w:r>
      <w:r w:rsidRPr="00101C9A">
        <w:rPr>
          <w:rFonts w:ascii="Times New Roman" w:hAnsi="Times New Roman" w:cs="Times New Roman"/>
          <w:sz w:val="24"/>
          <w:szCs w:val="24"/>
        </w:rPr>
        <w:t xml:space="preserve"> related to dehydrogenase activity at tasselling stage in maize indicate significant effect of microbial inoculants and their consortia. The result indicated that dehydrogenase activity in the rhizosphere soil gradually increased ranged between (38.37 to 51.17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showing significantly higher dehydrogenase activity (51.17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at par with treatment T</w:t>
      </w:r>
      <w:r w:rsidRPr="00101C9A">
        <w:rPr>
          <w:rFonts w:ascii="Times New Roman" w:hAnsi="Times New Roman" w:cs="Times New Roman"/>
          <w:color w:val="000000"/>
          <w:sz w:val="24"/>
          <w:szCs w:val="24"/>
          <w:vertAlign w:val="subscript"/>
        </w:rPr>
        <w:t xml:space="preserve">9 </w:t>
      </w:r>
      <w:r w:rsidRPr="00101C9A">
        <w:rPr>
          <w:rFonts w:ascii="Times New Roman" w:hAnsi="Times New Roman" w:cs="Times New Roman"/>
          <w:color w:val="000000"/>
          <w:sz w:val="24"/>
          <w:szCs w:val="24"/>
        </w:rPr>
        <w:t xml:space="preserve">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(51.17</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(50.42</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Whereas, significantly lower dehydrogenase activity </w:t>
      </w:r>
      <w:r w:rsidRPr="00101C9A">
        <w:rPr>
          <w:rFonts w:ascii="Times New Roman" w:hAnsi="Times New Roman" w:cs="Times New Roman"/>
          <w:sz w:val="24"/>
          <w:szCs w:val="24"/>
        </w:rPr>
        <w:t>(38.37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soil) </w:t>
      </w:r>
      <w:r w:rsidRPr="00101C9A">
        <w:rPr>
          <w:rFonts w:ascii="Times New Roman" w:hAnsi="Times New Roman" w:cs="Times New Roman"/>
          <w:color w:val="000000"/>
          <w:sz w:val="24"/>
          <w:szCs w:val="24"/>
        </w:rPr>
        <w:t>per plot were noted in absolute control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w:t>
      </w:r>
    </w:p>
    <w:p w14:paraId="10EE5BC4"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dehydrogenase activity in soil at harvest was noted which ranged between (39.09 to 52.17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showing significantly higher dehydrogenase activity (52.17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at par with treatment 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(52.15</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(51.42</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Whereas, significantly lower dehydrogenase activity </w:t>
      </w:r>
      <w:r w:rsidRPr="00101C9A">
        <w:rPr>
          <w:rFonts w:ascii="Times New Roman" w:hAnsi="Times New Roman" w:cs="Times New Roman"/>
          <w:sz w:val="24"/>
          <w:szCs w:val="24"/>
        </w:rPr>
        <w:t>(39.09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soil) </w:t>
      </w:r>
      <w:r w:rsidRPr="00101C9A">
        <w:rPr>
          <w:rFonts w:ascii="Times New Roman" w:hAnsi="Times New Roman" w:cs="Times New Roman"/>
          <w:color w:val="000000"/>
          <w:sz w:val="24"/>
          <w:szCs w:val="24"/>
        </w:rPr>
        <w:t>per plot were recorded in absolute control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w:t>
      </w:r>
    </w:p>
    <w:p w14:paraId="1F7E2257" w14:textId="304C83AC" w:rsidR="00A9073D" w:rsidRDefault="00A9073D" w:rsidP="00A9073D">
      <w:pPr>
        <w:spacing w:line="360" w:lineRule="auto"/>
        <w:ind w:firstLine="851"/>
        <w:jc w:val="both"/>
        <w:rPr>
          <w:rFonts w:ascii="Times New Roman" w:hAnsi="Times New Roman" w:cs="Times New Roman"/>
          <w:color w:val="000000"/>
          <w:sz w:val="24"/>
          <w:szCs w:val="24"/>
        </w:rPr>
      </w:pPr>
      <w:r w:rsidRPr="00301462">
        <w:rPr>
          <w:rFonts w:ascii="Times New Roman" w:hAnsi="Times New Roman" w:cs="Times New Roman"/>
          <w:sz w:val="24"/>
          <w:szCs w:val="24"/>
        </w:rPr>
        <w:t xml:space="preserve">The outcomes suggested that the largest bacterial population observed in </w:t>
      </w:r>
      <w:r w:rsidRPr="00301462">
        <w:rPr>
          <w:rFonts w:ascii="Times New Roman" w:hAnsi="Times New Roman" w:cs="Times New Roman"/>
          <w:i/>
          <w:iCs/>
          <w:sz w:val="24"/>
          <w:szCs w:val="24"/>
        </w:rPr>
        <w:t>Pseudomonas striata</w:t>
      </w:r>
      <w:r w:rsidRPr="00301462">
        <w:rPr>
          <w:rFonts w:ascii="Times New Roman" w:hAnsi="Times New Roman" w:cs="Times New Roman"/>
          <w:sz w:val="24"/>
          <w:szCs w:val="24"/>
        </w:rPr>
        <w:t xml:space="preserve"> and </w:t>
      </w:r>
      <w:r w:rsidRPr="00301462">
        <w:rPr>
          <w:rFonts w:ascii="Times New Roman" w:hAnsi="Times New Roman" w:cs="Times New Roman"/>
          <w:i/>
          <w:iCs/>
          <w:sz w:val="24"/>
          <w:szCs w:val="24"/>
        </w:rPr>
        <w:t>Bacillus megaterium</w:t>
      </w:r>
      <w:r w:rsidRPr="00301462">
        <w:rPr>
          <w:rFonts w:ascii="Times New Roman" w:hAnsi="Times New Roman" w:cs="Times New Roman"/>
          <w:sz w:val="24"/>
          <w:szCs w:val="24"/>
        </w:rPr>
        <w:t xml:space="preserve"> treatment-receiving formulations would be due to the presence of dehydrogenases with much greater levels of activity. The enzyme dehydrogenase is exclusive to soil bacteria, such as those in the </w:t>
      </w:r>
      <w:r w:rsidRPr="00301462">
        <w:rPr>
          <w:rFonts w:ascii="Times New Roman" w:hAnsi="Times New Roman" w:cs="Times New Roman"/>
          <w:i/>
          <w:iCs/>
          <w:sz w:val="24"/>
          <w:szCs w:val="24"/>
        </w:rPr>
        <w:t>Pseudomonas species</w:t>
      </w:r>
      <w:r w:rsidRPr="00301462">
        <w:rPr>
          <w:rFonts w:ascii="Times New Roman" w:hAnsi="Times New Roman" w:cs="Times New Roman"/>
          <w:sz w:val="24"/>
          <w:szCs w:val="24"/>
        </w:rPr>
        <w:t xml:space="preserve">. Without a variety of bacteria, they cannot function on their own. Consequently, it stands to reason that the presence of dehydrogenase in soil indicates the presence of bacteria (Walls-Thumma, 2000). </w:t>
      </w:r>
      <w:r w:rsidRPr="00301462">
        <w:rPr>
          <w:rFonts w:ascii="Times New Roman" w:hAnsi="Times New Roman" w:cs="Times New Roman"/>
          <w:color w:val="000000"/>
          <w:sz w:val="24"/>
          <w:szCs w:val="24"/>
        </w:rPr>
        <w:t xml:space="preserve">The results of the experiment were in line with those of </w:t>
      </w:r>
      <w:r w:rsidR="006A4646" w:rsidRPr="006A4646">
        <w:rPr>
          <w:rFonts w:ascii="Times New Roman" w:hAnsi="Times New Roman" w:cs="Times New Roman"/>
          <w:sz w:val="24"/>
          <w:szCs w:val="24"/>
        </w:rPr>
        <w:t>Pagar</w:t>
      </w:r>
      <w:r w:rsidR="006A4646">
        <w:rPr>
          <w:rFonts w:ascii="Times New Roman" w:hAnsi="Times New Roman" w:cs="Times New Roman"/>
          <w:sz w:val="24"/>
          <w:szCs w:val="24"/>
        </w:rPr>
        <w:t>,</w:t>
      </w:r>
      <w:r w:rsidRPr="00301462">
        <w:rPr>
          <w:rFonts w:ascii="Times New Roman" w:hAnsi="Times New Roman" w:cs="Times New Roman"/>
          <w:color w:val="000000"/>
          <w:sz w:val="24"/>
          <w:szCs w:val="24"/>
        </w:rPr>
        <w:t xml:space="preserve"> (20</w:t>
      </w:r>
      <w:r w:rsidR="006A4646">
        <w:rPr>
          <w:rFonts w:ascii="Times New Roman" w:hAnsi="Times New Roman" w:cs="Times New Roman"/>
          <w:color w:val="000000"/>
          <w:sz w:val="24"/>
          <w:szCs w:val="24"/>
        </w:rPr>
        <w:t>20</w:t>
      </w:r>
      <w:r w:rsidRPr="00301462">
        <w:rPr>
          <w:rFonts w:ascii="Times New Roman" w:hAnsi="Times New Roman" w:cs="Times New Roman"/>
          <w:color w:val="000000"/>
          <w:sz w:val="24"/>
          <w:szCs w:val="24"/>
        </w:rPr>
        <w:t xml:space="preserve">) and Rana </w:t>
      </w:r>
      <w:r w:rsidRPr="00301462">
        <w:rPr>
          <w:rFonts w:ascii="Times New Roman" w:hAnsi="Times New Roman" w:cs="Times New Roman"/>
          <w:i/>
          <w:iCs/>
          <w:color w:val="000000"/>
          <w:sz w:val="24"/>
          <w:szCs w:val="24"/>
        </w:rPr>
        <w:t>et al.</w:t>
      </w:r>
      <w:r w:rsidRPr="00301462">
        <w:rPr>
          <w:rFonts w:ascii="Times New Roman" w:hAnsi="Times New Roman" w:cs="Times New Roman"/>
          <w:color w:val="000000"/>
          <w:sz w:val="24"/>
          <w:szCs w:val="24"/>
        </w:rPr>
        <w:t xml:space="preserve"> (2012), who concluded that the maximum dehydrogenase enzyme activity in the soil rhizosphere area by inoculation may be caused by the presence of a greater quantity of biodegradable matter, which helps to improve their microbial activities. Additionally, Bagmare</w:t>
      </w:r>
      <w:r w:rsidR="006E51B6">
        <w:rPr>
          <w:rFonts w:ascii="Times New Roman" w:hAnsi="Times New Roman" w:cs="Times New Roman"/>
          <w:color w:val="000000"/>
          <w:sz w:val="24"/>
          <w:szCs w:val="24"/>
        </w:rPr>
        <w:t xml:space="preserve"> </w:t>
      </w:r>
      <w:r w:rsidR="006E51B6" w:rsidRPr="006E51B6">
        <w:rPr>
          <w:rFonts w:ascii="Times New Roman" w:hAnsi="Times New Roman" w:cs="Times New Roman"/>
          <w:i/>
          <w:iCs/>
          <w:color w:val="000000"/>
          <w:sz w:val="24"/>
          <w:szCs w:val="24"/>
        </w:rPr>
        <w:t>et al</w:t>
      </w:r>
      <w:r w:rsidR="006E51B6">
        <w:rPr>
          <w:rFonts w:ascii="Times New Roman" w:hAnsi="Times New Roman" w:cs="Times New Roman"/>
          <w:color w:val="000000"/>
          <w:sz w:val="24"/>
          <w:szCs w:val="24"/>
        </w:rPr>
        <w:t>.,</w:t>
      </w:r>
      <w:r w:rsidRPr="00301462">
        <w:rPr>
          <w:rFonts w:ascii="Times New Roman" w:hAnsi="Times New Roman" w:cs="Times New Roman"/>
          <w:color w:val="000000"/>
          <w:sz w:val="24"/>
          <w:szCs w:val="24"/>
        </w:rPr>
        <w:t xml:space="preserve"> (2019) demonstrated that the maximum dehydrogenase enzyme activity was observed in plots treated with RDF + </w:t>
      </w:r>
      <w:r w:rsidRPr="00301462">
        <w:rPr>
          <w:rFonts w:ascii="Times New Roman" w:hAnsi="Times New Roman" w:cs="Times New Roman"/>
          <w:i/>
          <w:iCs/>
          <w:color w:val="000000"/>
          <w:sz w:val="24"/>
          <w:szCs w:val="24"/>
        </w:rPr>
        <w:t>Rhizobium phaseoli</w:t>
      </w:r>
      <w:r w:rsidRPr="00301462">
        <w:rPr>
          <w:rFonts w:ascii="Times New Roman" w:hAnsi="Times New Roman" w:cs="Times New Roman"/>
          <w:color w:val="000000"/>
          <w:sz w:val="24"/>
          <w:szCs w:val="24"/>
        </w:rPr>
        <w:t xml:space="preserve"> + </w:t>
      </w:r>
      <w:r w:rsidRPr="00301462">
        <w:rPr>
          <w:rFonts w:ascii="Times New Roman" w:hAnsi="Times New Roman" w:cs="Times New Roman"/>
          <w:i/>
          <w:iCs/>
          <w:color w:val="000000"/>
          <w:sz w:val="24"/>
          <w:szCs w:val="24"/>
        </w:rPr>
        <w:t>Pseudomonas fluorescens</w:t>
      </w:r>
      <w:r w:rsidRPr="00301462">
        <w:rPr>
          <w:rFonts w:ascii="Times New Roman" w:hAnsi="Times New Roman" w:cs="Times New Roman"/>
          <w:color w:val="000000"/>
          <w:sz w:val="24"/>
          <w:szCs w:val="24"/>
        </w:rPr>
        <w:t xml:space="preserve">. Soil dehydrogenase enzyme activity is influenced additively by iron supply. The maximum dehydrogenase activity in soil was recorded by Satwadhar </w:t>
      </w:r>
      <w:r w:rsidR="006E51B6" w:rsidRPr="006E51B6">
        <w:rPr>
          <w:rFonts w:ascii="Times New Roman" w:hAnsi="Times New Roman" w:cs="Times New Roman"/>
          <w:i/>
          <w:iCs/>
          <w:color w:val="000000"/>
          <w:sz w:val="24"/>
          <w:szCs w:val="24"/>
        </w:rPr>
        <w:t>et al</w:t>
      </w:r>
      <w:r w:rsidR="006E51B6">
        <w:rPr>
          <w:rFonts w:ascii="Times New Roman" w:hAnsi="Times New Roman" w:cs="Times New Roman"/>
          <w:color w:val="000000"/>
          <w:sz w:val="24"/>
          <w:szCs w:val="24"/>
        </w:rPr>
        <w:t xml:space="preserve">., </w:t>
      </w:r>
      <w:r w:rsidRPr="00301462">
        <w:rPr>
          <w:rFonts w:ascii="Times New Roman" w:hAnsi="Times New Roman" w:cs="Times New Roman"/>
          <w:color w:val="000000"/>
          <w:sz w:val="24"/>
          <w:szCs w:val="24"/>
        </w:rPr>
        <w:t xml:space="preserve">(2020) following the inoculation of </w:t>
      </w:r>
      <w:r w:rsidRPr="00D23109">
        <w:rPr>
          <w:rFonts w:ascii="Times New Roman" w:hAnsi="Times New Roman" w:cs="Times New Roman"/>
          <w:i/>
          <w:iCs/>
          <w:color w:val="000000"/>
          <w:sz w:val="24"/>
          <w:szCs w:val="24"/>
        </w:rPr>
        <w:t>Pseudomona</w:t>
      </w:r>
      <w:r>
        <w:rPr>
          <w:rFonts w:ascii="Times New Roman" w:hAnsi="Times New Roman" w:cs="Times New Roman"/>
          <w:i/>
          <w:iCs/>
          <w:color w:val="000000"/>
          <w:sz w:val="24"/>
          <w:szCs w:val="24"/>
        </w:rPr>
        <w:t>s</w:t>
      </w:r>
      <w:r w:rsidRPr="00D23109">
        <w:rPr>
          <w:rFonts w:ascii="Times New Roman" w:hAnsi="Times New Roman" w:cs="Times New Roman"/>
          <w:i/>
          <w:iCs/>
          <w:color w:val="000000"/>
          <w:sz w:val="24"/>
          <w:szCs w:val="24"/>
        </w:rPr>
        <w:t xml:space="preserve"> striata</w:t>
      </w:r>
      <w:r w:rsidRPr="00301462">
        <w:rPr>
          <w:rFonts w:ascii="Times New Roman" w:hAnsi="Times New Roman" w:cs="Times New Roman"/>
          <w:color w:val="000000"/>
          <w:sz w:val="24"/>
          <w:szCs w:val="24"/>
        </w:rPr>
        <w:t xml:space="preserve"> (47.20-52.50- 48.13 g TPF g</w:t>
      </w:r>
      <w:r>
        <w:rPr>
          <w:rFonts w:ascii="Times New Roman" w:hAnsi="Times New Roman" w:cs="Times New Roman"/>
          <w:color w:val="000000"/>
          <w:sz w:val="24"/>
          <w:szCs w:val="24"/>
          <w:vertAlign w:val="superscript"/>
        </w:rPr>
        <w:t>-1</w:t>
      </w:r>
      <w:r w:rsidRPr="00301462">
        <w:rPr>
          <w:rFonts w:ascii="Times New Roman" w:hAnsi="Times New Roman" w:cs="Times New Roman"/>
          <w:color w:val="000000"/>
          <w:sz w:val="24"/>
          <w:szCs w:val="24"/>
        </w:rPr>
        <w:t xml:space="preserve"> soil 24 hr</w:t>
      </w:r>
      <w:r>
        <w:rPr>
          <w:rFonts w:ascii="Times New Roman" w:hAnsi="Times New Roman" w:cs="Times New Roman"/>
          <w:color w:val="000000"/>
          <w:sz w:val="24"/>
          <w:szCs w:val="24"/>
          <w:vertAlign w:val="superscript"/>
        </w:rPr>
        <w:t>-1</w:t>
      </w:r>
      <w:r w:rsidRPr="00301462">
        <w:rPr>
          <w:rFonts w:ascii="Times New Roman" w:hAnsi="Times New Roman" w:cs="Times New Roman"/>
          <w:color w:val="000000"/>
          <w:sz w:val="24"/>
          <w:szCs w:val="24"/>
        </w:rPr>
        <w:t xml:space="preserve"> for 90, 150 and 210 days, respectively).</w:t>
      </w:r>
    </w:p>
    <w:p w14:paraId="44F8253E" w14:textId="00ACFD42" w:rsidR="00A9073D" w:rsidRPr="00101C9A" w:rsidRDefault="00A9073D" w:rsidP="00A9073D">
      <w:pPr>
        <w:jc w:val="both"/>
        <w:rPr>
          <w:rFonts w:ascii="Times New Roman" w:hAnsi="Times New Roman" w:cs="Times New Roman"/>
          <w:b/>
          <w:bCs/>
          <w:sz w:val="24"/>
          <w:szCs w:val="24"/>
        </w:rPr>
      </w:pPr>
      <w:r w:rsidRPr="00101C9A">
        <w:rPr>
          <w:rFonts w:ascii="Times New Roman" w:hAnsi="Times New Roman" w:cs="Times New Roman"/>
          <w:b/>
          <w:bCs/>
          <w:sz w:val="24"/>
          <w:szCs w:val="24"/>
        </w:rPr>
        <w:t xml:space="preserve"> Acid phosphatase activity in soil</w:t>
      </w:r>
    </w:p>
    <w:p w14:paraId="7EB999DB" w14:textId="79DB7F38" w:rsidR="00A9073D" w:rsidRDefault="006E51B6" w:rsidP="006E51B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9073D" w:rsidRPr="00101C9A">
        <w:rPr>
          <w:rFonts w:ascii="Times New Roman" w:hAnsi="Times New Roman" w:cs="Times New Roman"/>
          <w:sz w:val="24"/>
          <w:szCs w:val="24"/>
        </w:rPr>
        <w:t xml:space="preserve">The activity of acid phosphatase is predominating in acid soil and predominantly due to plants. There is a strong correlation between </w:t>
      </w:r>
      <w:r w:rsidR="00A9073D" w:rsidRPr="00D62BAF">
        <w:rPr>
          <w:rFonts w:ascii="Times New Roman" w:hAnsi="Times New Roman" w:cs="Times New Roman"/>
          <w:sz w:val="24"/>
          <w:szCs w:val="24"/>
          <w:highlight w:val="yellow"/>
        </w:rPr>
        <w:t xml:space="preserve">pH and phosphatase </w:t>
      </w:r>
      <w:commentRangeStart w:id="22"/>
      <w:r w:rsidR="00A9073D" w:rsidRPr="00D62BAF">
        <w:rPr>
          <w:rFonts w:ascii="Times New Roman" w:hAnsi="Times New Roman" w:cs="Times New Roman"/>
          <w:sz w:val="24"/>
          <w:szCs w:val="24"/>
          <w:highlight w:val="yellow"/>
        </w:rPr>
        <w:t>activity</w:t>
      </w:r>
      <w:commentRangeEnd w:id="22"/>
      <w:r w:rsidR="00D62BAF">
        <w:rPr>
          <w:rStyle w:val="Refdecomentario"/>
        </w:rPr>
        <w:commentReference w:id="22"/>
      </w:r>
      <w:r w:rsidR="00A9073D" w:rsidRPr="00101C9A">
        <w:rPr>
          <w:rFonts w:ascii="Times New Roman" w:hAnsi="Times New Roman" w:cs="Times New Roman"/>
          <w:sz w:val="24"/>
          <w:szCs w:val="24"/>
        </w:rPr>
        <w:t>. However, the majority of acid phosphatase originates from associated fungal and plants. The nutritional state of the plant would have a greater impact on acid phosphatase activity.</w:t>
      </w:r>
    </w:p>
    <w:p w14:paraId="336104AE" w14:textId="05B1030F" w:rsidR="00A9073D" w:rsidRPr="00E543F6"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 xml:space="preserve">The data presented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w:t>
      </w:r>
      <w:r w:rsidRPr="00101C9A">
        <w:rPr>
          <w:rFonts w:ascii="Times New Roman" w:hAnsi="Times New Roman" w:cs="Times New Roman"/>
          <w:sz w:val="24"/>
          <w:szCs w:val="24"/>
        </w:rPr>
        <w:t>3 indicates significant impact of seed inoculation of microbial inoculants and their consortia on soil acid phosphatase activity and these activities at tasselling and harvest stage increased by microbial inoculants and their consortia over control. However, acid phosphatase activity in soil at tasselling stage was found significantly highest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70.25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which was ta par with </w:t>
      </w:r>
      <w:r w:rsidRPr="00101C9A">
        <w:rPr>
          <w:rFonts w:ascii="Times New Roman" w:hAnsi="Times New Roman" w:cs="Times New Roman"/>
          <w:color w:val="000000"/>
          <w:sz w:val="24"/>
          <w:szCs w:val="24"/>
        </w:rPr>
        <w:t>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(67.66</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The lowest value of acid phosphatase activity (42.47</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2BFD4AB9"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acid phosphatase activity in soil at harvest was found significantly highest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which is 55.00</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which at par with treatment 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(53.00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(54.00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The lowest value of acid phosphatase activity (37.80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445D95BA" w14:textId="2B1A60A4" w:rsidR="006E51B6" w:rsidRDefault="00A9073D" w:rsidP="006E51B6">
      <w:pPr>
        <w:spacing w:line="360" w:lineRule="auto"/>
        <w:ind w:firstLine="851"/>
        <w:jc w:val="both"/>
        <w:rPr>
          <w:rFonts w:ascii="Times New Roman" w:hAnsi="Times New Roman" w:cs="Times New Roman"/>
          <w:color w:val="000000"/>
          <w:sz w:val="24"/>
          <w:szCs w:val="24"/>
        </w:rPr>
      </w:pPr>
      <w:r w:rsidRPr="00FC7377">
        <w:rPr>
          <w:rFonts w:ascii="Times New Roman" w:hAnsi="Times New Roman" w:cs="Times New Roman"/>
          <w:color w:val="000000"/>
          <w:sz w:val="24"/>
          <w:szCs w:val="24"/>
        </w:rPr>
        <w:t xml:space="preserve">The synthesis of organic acids during nutrient solubilization may moderately suppress soil response, </w:t>
      </w:r>
      <w:r w:rsidR="006E51B6" w:rsidRPr="00FC7377">
        <w:rPr>
          <w:rFonts w:ascii="Times New Roman" w:hAnsi="Times New Roman" w:cs="Times New Roman"/>
          <w:color w:val="000000"/>
          <w:sz w:val="24"/>
          <w:szCs w:val="24"/>
        </w:rPr>
        <w:t>increase</w:t>
      </w:r>
      <w:r w:rsidRPr="00FC7377">
        <w:rPr>
          <w:rFonts w:ascii="Times New Roman" w:hAnsi="Times New Roman" w:cs="Times New Roman"/>
          <w:color w:val="000000"/>
          <w:sz w:val="24"/>
          <w:szCs w:val="24"/>
        </w:rPr>
        <w:t xml:space="preserve"> enzyme activity and potentially </w:t>
      </w:r>
      <w:r w:rsidR="006E51B6" w:rsidRPr="00FC7377">
        <w:rPr>
          <w:rFonts w:ascii="Times New Roman" w:hAnsi="Times New Roman" w:cs="Times New Roman"/>
          <w:color w:val="000000"/>
          <w:sz w:val="24"/>
          <w:szCs w:val="24"/>
        </w:rPr>
        <w:t>account</w:t>
      </w:r>
      <w:r w:rsidRPr="00FC7377">
        <w:rPr>
          <w:rFonts w:ascii="Times New Roman" w:hAnsi="Times New Roman" w:cs="Times New Roman"/>
          <w:color w:val="000000"/>
          <w:sz w:val="24"/>
          <w:szCs w:val="24"/>
        </w:rPr>
        <w:t xml:space="preserve"> for the observed increase in acid phosphatase activity in the zinc and iron solubilizing microbial inoculation treatment. A balanced crop nutrition may be the cause of the maximum enzyme activity. This study's conclusions aligned with those of Yadav </w:t>
      </w:r>
      <w:r w:rsidR="00FF1A49" w:rsidRPr="00FF1A49">
        <w:rPr>
          <w:rFonts w:ascii="Times New Roman" w:hAnsi="Times New Roman" w:cs="Times New Roman"/>
          <w:i/>
          <w:iCs/>
          <w:color w:val="000000"/>
          <w:sz w:val="24"/>
          <w:szCs w:val="24"/>
        </w:rPr>
        <w:t>et al</w:t>
      </w:r>
      <w:r w:rsidR="00FF1A49">
        <w:rPr>
          <w:rFonts w:ascii="Times New Roman" w:hAnsi="Times New Roman" w:cs="Times New Roman"/>
          <w:color w:val="000000"/>
          <w:sz w:val="24"/>
          <w:szCs w:val="24"/>
        </w:rPr>
        <w:t xml:space="preserve">., </w:t>
      </w:r>
      <w:r w:rsidRPr="00FC7377">
        <w:rPr>
          <w:rFonts w:ascii="Times New Roman" w:hAnsi="Times New Roman" w:cs="Times New Roman"/>
          <w:color w:val="000000"/>
          <w:sz w:val="24"/>
          <w:szCs w:val="24"/>
        </w:rPr>
        <w:t>(201</w:t>
      </w:r>
      <w:r w:rsidR="00FF1A49">
        <w:rPr>
          <w:rFonts w:ascii="Times New Roman" w:hAnsi="Times New Roman" w:cs="Times New Roman"/>
          <w:color w:val="000000"/>
          <w:sz w:val="24"/>
          <w:szCs w:val="24"/>
        </w:rPr>
        <w:t>6</w:t>
      </w:r>
      <w:r w:rsidRPr="00FC7377">
        <w:rPr>
          <w:rFonts w:ascii="Times New Roman" w:hAnsi="Times New Roman" w:cs="Times New Roman"/>
          <w:color w:val="000000"/>
          <w:sz w:val="24"/>
          <w:szCs w:val="24"/>
        </w:rPr>
        <w:t xml:space="preserve">). Furthermore, our results concur with those of Ramalakshmi </w:t>
      </w:r>
      <w:r w:rsidRPr="00FC7377">
        <w:rPr>
          <w:rFonts w:ascii="Times New Roman" w:hAnsi="Times New Roman" w:cs="Times New Roman"/>
          <w:i/>
          <w:iCs/>
          <w:color w:val="000000"/>
          <w:sz w:val="24"/>
          <w:szCs w:val="24"/>
        </w:rPr>
        <w:t>et al.</w:t>
      </w:r>
      <w:r w:rsidRPr="00FC7377">
        <w:rPr>
          <w:rFonts w:ascii="Times New Roman" w:hAnsi="Times New Roman" w:cs="Times New Roman"/>
          <w:color w:val="000000"/>
          <w:sz w:val="24"/>
          <w:szCs w:val="24"/>
        </w:rPr>
        <w:t xml:space="preserve"> (2008). There was a considerable increase in dehydrogenase activity and nutritional availability during the therapy. According to Sable </w:t>
      </w:r>
      <w:r w:rsidRPr="00FC7377">
        <w:rPr>
          <w:rFonts w:ascii="Times New Roman" w:hAnsi="Times New Roman" w:cs="Times New Roman"/>
          <w:i/>
          <w:iCs/>
          <w:color w:val="000000"/>
          <w:sz w:val="24"/>
          <w:szCs w:val="24"/>
        </w:rPr>
        <w:t xml:space="preserve">et al. </w:t>
      </w:r>
      <w:r w:rsidRPr="00FC7377">
        <w:rPr>
          <w:rFonts w:ascii="Times New Roman" w:hAnsi="Times New Roman" w:cs="Times New Roman"/>
          <w:color w:val="000000"/>
          <w:sz w:val="24"/>
          <w:szCs w:val="24"/>
        </w:rPr>
        <w:t xml:space="preserve">(2016), </w:t>
      </w:r>
      <w:r w:rsidRPr="00FC7377">
        <w:rPr>
          <w:rFonts w:ascii="Times New Roman" w:hAnsi="Times New Roman" w:cs="Times New Roman"/>
          <w:i/>
          <w:iCs/>
          <w:color w:val="000000"/>
          <w:sz w:val="24"/>
          <w:szCs w:val="24"/>
        </w:rPr>
        <w:t>Pseudomonas striata</w:t>
      </w:r>
      <w:r w:rsidRPr="00FC7377">
        <w:rPr>
          <w:rFonts w:ascii="Times New Roman" w:hAnsi="Times New Roman" w:cs="Times New Roman"/>
          <w:color w:val="000000"/>
          <w:sz w:val="24"/>
          <w:szCs w:val="24"/>
        </w:rPr>
        <w:t xml:space="preserve">, </w:t>
      </w:r>
      <w:r w:rsidRPr="00FC7377">
        <w:rPr>
          <w:rFonts w:ascii="Times New Roman" w:hAnsi="Times New Roman" w:cs="Times New Roman"/>
          <w:i/>
          <w:iCs/>
          <w:color w:val="000000"/>
          <w:sz w:val="24"/>
          <w:szCs w:val="24"/>
        </w:rPr>
        <w:t>Pseudomonas fluorescens</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Trichoderma viride</w:t>
      </w:r>
      <w:r w:rsidRPr="00FC7377">
        <w:rPr>
          <w:rFonts w:ascii="Times New Roman" w:hAnsi="Times New Roman" w:cs="Times New Roman"/>
          <w:color w:val="000000"/>
          <w:sz w:val="24"/>
          <w:szCs w:val="24"/>
        </w:rPr>
        <w:t xml:space="preserve"> exhibited the greatest periodic Zn concentrations in the soil. However, fungal and plant sources account for the majority of acid phosphatase. Alkaline phosphatase, on the other hand, is most likely a microbial product.</w:t>
      </w:r>
    </w:p>
    <w:p w14:paraId="3C2815AA" w14:textId="76876C95" w:rsidR="00A9073D" w:rsidRPr="006E51B6" w:rsidRDefault="00A9073D" w:rsidP="006E51B6">
      <w:pPr>
        <w:spacing w:line="360" w:lineRule="auto"/>
        <w:jc w:val="both"/>
        <w:rPr>
          <w:rFonts w:ascii="Times New Roman" w:hAnsi="Times New Roman" w:cs="Times New Roman"/>
          <w:color w:val="000000"/>
          <w:sz w:val="24"/>
          <w:szCs w:val="24"/>
        </w:rPr>
      </w:pPr>
      <w:r w:rsidRPr="00101C9A">
        <w:rPr>
          <w:rFonts w:ascii="Times New Roman" w:hAnsi="Times New Roman" w:cs="Times New Roman"/>
          <w:b/>
          <w:bCs/>
          <w:sz w:val="24"/>
          <w:szCs w:val="24"/>
        </w:rPr>
        <w:t xml:space="preserve"> Alkaline phosphates activity</w:t>
      </w:r>
    </w:p>
    <w:p w14:paraId="68D3EC6D" w14:textId="118ADED9" w:rsidR="00A9073D" w:rsidRPr="00101C9A"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 xml:space="preserve">The data pertaining to alkaline phosphatase enzyme activity at tasselling and harvest stage is narrated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3</w:t>
      </w:r>
      <w:r w:rsidRPr="00101C9A">
        <w:rPr>
          <w:rFonts w:ascii="Times New Roman" w:hAnsi="Times New Roman" w:cs="Times New Roman"/>
          <w:sz w:val="24"/>
          <w:szCs w:val="24"/>
        </w:rPr>
        <w:t xml:space="preserve"> which was significantly affected due to microbial inoculants and their consortia. However, alkaline phosphatase activity in soil at tasselling stage was found significantly highest in treatment T</w:t>
      </w:r>
      <w:r w:rsidRPr="00101C9A">
        <w:rPr>
          <w:rFonts w:ascii="Times New Roman" w:hAnsi="Times New Roman" w:cs="Times New Roman"/>
          <w:sz w:val="24"/>
          <w:szCs w:val="24"/>
          <w:vertAlign w:val="subscript"/>
        </w:rPr>
        <w:t>9</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74.85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which was at par with</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74.85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color w:val="000000"/>
          <w:sz w:val="24"/>
          <w:szCs w:val="24"/>
        </w:rPr>
        <w:t>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(73.63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Significantly lowest value of </w:t>
      </w:r>
      <w:r w:rsidRPr="00101C9A">
        <w:rPr>
          <w:rFonts w:ascii="Times New Roman" w:hAnsi="Times New Roman" w:cs="Times New Roman"/>
          <w:sz w:val="24"/>
          <w:szCs w:val="24"/>
        </w:rPr>
        <w:t>alkaline</w:t>
      </w:r>
      <w:r w:rsidRPr="00101C9A">
        <w:rPr>
          <w:rFonts w:ascii="Times New Roman" w:hAnsi="Times New Roman" w:cs="Times New Roman"/>
          <w:color w:val="000000"/>
          <w:sz w:val="24"/>
          <w:szCs w:val="24"/>
        </w:rPr>
        <w:t xml:space="preserve"> phosphatase activity (56.33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2522115A"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alkaline phosphatase activity in soil at harvest was found significantly highest in treatment T</w:t>
      </w:r>
      <w:r w:rsidRPr="00101C9A">
        <w:rPr>
          <w:rFonts w:ascii="Times New Roman" w:hAnsi="Times New Roman" w:cs="Times New Roman"/>
          <w:sz w:val="24"/>
          <w:szCs w:val="24"/>
          <w:vertAlign w:val="subscript"/>
        </w:rPr>
        <w:t>9</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69.89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which was at par with T</w:t>
      </w:r>
      <w:r w:rsidRPr="00101C9A">
        <w:rPr>
          <w:rFonts w:ascii="Times New Roman" w:hAnsi="Times New Roman" w:cs="Times New Roman"/>
          <w:color w:val="000000"/>
          <w:sz w:val="24"/>
          <w:szCs w:val="24"/>
          <w:vertAlign w:val="subscript"/>
        </w:rPr>
        <w:t>10</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(68.97</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(67.52</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Significantly lowest value of </w:t>
      </w:r>
      <w:r w:rsidRPr="00101C9A">
        <w:rPr>
          <w:rFonts w:ascii="Times New Roman" w:hAnsi="Times New Roman" w:cs="Times New Roman"/>
          <w:sz w:val="24"/>
          <w:szCs w:val="24"/>
        </w:rPr>
        <w:t>alkaline</w:t>
      </w:r>
      <w:r w:rsidRPr="00101C9A">
        <w:rPr>
          <w:rFonts w:ascii="Times New Roman" w:hAnsi="Times New Roman" w:cs="Times New Roman"/>
          <w:color w:val="000000"/>
          <w:sz w:val="24"/>
          <w:szCs w:val="24"/>
        </w:rPr>
        <w:t xml:space="preserve"> phosphatase activity (50.53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36E96A5A" w14:textId="77777777" w:rsidR="00A9073D" w:rsidRPr="00A508DD" w:rsidRDefault="00A9073D" w:rsidP="00A9073D">
      <w:pPr>
        <w:autoSpaceDE w:val="0"/>
        <w:autoSpaceDN w:val="0"/>
        <w:adjustRightInd w:val="0"/>
        <w:spacing w:line="360" w:lineRule="auto"/>
        <w:ind w:firstLine="851"/>
        <w:jc w:val="both"/>
        <w:rPr>
          <w:rFonts w:ascii="Times New Roman" w:hAnsi="Times New Roman" w:cs="Times New Roman"/>
          <w:color w:val="000000"/>
          <w:sz w:val="24"/>
          <w:szCs w:val="24"/>
        </w:rPr>
      </w:pPr>
      <w:r w:rsidRPr="00FC7377">
        <w:rPr>
          <w:rFonts w:ascii="Times New Roman" w:hAnsi="Times New Roman" w:cs="Times New Roman"/>
          <w:sz w:val="24"/>
          <w:szCs w:val="24"/>
        </w:rPr>
        <w:t xml:space="preserve">The findings of our experiment showed that the activity of alkaline phosphatase was greater than that of acid phosphatase. pH and phosphatase activity have been found to be strongly and closely associated. It was found that phosphatase enzyme activity decreased with the length of the crop growing cycle; bulk soil is known to have higher enzyme activity than the rhizosphere. The increased alkaline phosphatase activity could have resulted from an increase in microbial biomass, given the association between alkaline phosphatase and microorganisms. </w:t>
      </w:r>
      <w:r w:rsidRPr="00FC7377">
        <w:rPr>
          <w:rFonts w:ascii="Times New Roman" w:hAnsi="Times New Roman" w:cs="Times New Roman"/>
          <w:color w:val="000000"/>
          <w:sz w:val="24"/>
          <w:szCs w:val="24"/>
        </w:rPr>
        <w:t xml:space="preserve">The results of this study are consistent with those of Sable </w:t>
      </w:r>
      <w:r w:rsidRPr="00FC7377">
        <w:rPr>
          <w:rFonts w:ascii="Times New Roman" w:hAnsi="Times New Roman" w:cs="Times New Roman"/>
          <w:i/>
          <w:iCs/>
          <w:color w:val="000000"/>
          <w:sz w:val="24"/>
          <w:szCs w:val="24"/>
        </w:rPr>
        <w:t>et al.</w:t>
      </w:r>
      <w:r w:rsidRPr="00FC7377">
        <w:rPr>
          <w:rFonts w:ascii="Times New Roman" w:hAnsi="Times New Roman" w:cs="Times New Roman"/>
          <w:color w:val="000000"/>
          <w:sz w:val="24"/>
          <w:szCs w:val="24"/>
        </w:rPr>
        <w:t xml:space="preserve"> (2016), who found that the combination of </w:t>
      </w:r>
      <w:r w:rsidRPr="00D62BAF">
        <w:rPr>
          <w:rFonts w:ascii="Times New Roman" w:hAnsi="Times New Roman" w:cs="Times New Roman"/>
          <w:color w:val="000000"/>
          <w:sz w:val="24"/>
          <w:szCs w:val="24"/>
          <w:highlight w:val="yellow"/>
        </w:rPr>
        <w:t>RDF</w:t>
      </w:r>
      <w:r w:rsidRPr="00FC7377">
        <w:rPr>
          <w:rFonts w:ascii="Times New Roman" w:hAnsi="Times New Roman" w:cs="Times New Roman"/>
          <w:color w:val="000000"/>
          <w:sz w:val="24"/>
          <w:szCs w:val="24"/>
        </w:rPr>
        <w:t xml:space="preserve">, </w:t>
      </w:r>
      <w:r w:rsidRPr="00FC7377">
        <w:rPr>
          <w:rFonts w:ascii="Times New Roman" w:hAnsi="Times New Roman" w:cs="Times New Roman"/>
          <w:i/>
          <w:iCs/>
          <w:color w:val="000000"/>
          <w:sz w:val="24"/>
          <w:szCs w:val="24"/>
        </w:rPr>
        <w:t>Rhizobium</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Bacillus megaterium</w:t>
      </w:r>
      <w:r w:rsidRPr="00FC7377">
        <w:rPr>
          <w:rFonts w:ascii="Times New Roman" w:hAnsi="Times New Roman" w:cs="Times New Roman"/>
          <w:color w:val="000000"/>
          <w:sz w:val="24"/>
          <w:szCs w:val="24"/>
        </w:rPr>
        <w:t xml:space="preserve"> resulted in noticeably increased levels of both acid phosphatase and alkaline phosphatase activity. The study revealed that </w:t>
      </w:r>
      <w:r w:rsidRPr="00FC7377">
        <w:rPr>
          <w:rFonts w:ascii="Times New Roman" w:hAnsi="Times New Roman" w:cs="Times New Roman"/>
          <w:i/>
          <w:iCs/>
          <w:color w:val="000000"/>
          <w:sz w:val="24"/>
          <w:szCs w:val="24"/>
        </w:rPr>
        <w:t>Pseudomonas striata</w:t>
      </w:r>
      <w:r w:rsidRPr="00FC7377">
        <w:rPr>
          <w:rFonts w:ascii="Times New Roman" w:hAnsi="Times New Roman" w:cs="Times New Roman"/>
          <w:color w:val="000000"/>
          <w:sz w:val="24"/>
          <w:szCs w:val="24"/>
        </w:rPr>
        <w:t xml:space="preserve"> had the highest periodic Zn content in soil, followed by </w:t>
      </w:r>
      <w:r w:rsidRPr="00FC7377">
        <w:rPr>
          <w:rFonts w:ascii="Times New Roman" w:hAnsi="Times New Roman" w:cs="Times New Roman"/>
          <w:i/>
          <w:iCs/>
          <w:color w:val="000000"/>
          <w:sz w:val="24"/>
          <w:szCs w:val="24"/>
        </w:rPr>
        <w:t>Pseudomonas fluorescens</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Trichoderma viride</w:t>
      </w:r>
      <w:r w:rsidRPr="00FC7377">
        <w:rPr>
          <w:rFonts w:ascii="Times New Roman" w:hAnsi="Times New Roman" w:cs="Times New Roman"/>
          <w:color w:val="000000"/>
          <w:sz w:val="24"/>
          <w:szCs w:val="24"/>
        </w:rPr>
        <w:t>, despite the fact that dehydrogenase activity and nutrient availability were much higher in the treatment.</w:t>
      </w:r>
    </w:p>
    <w:p w14:paraId="5788BA54" w14:textId="33A1D457" w:rsidR="00A9073D" w:rsidRPr="00101C9A" w:rsidRDefault="00A9073D" w:rsidP="00A9073D">
      <w:pPr>
        <w:spacing w:line="360" w:lineRule="auto"/>
        <w:ind w:firstLine="851"/>
        <w:jc w:val="both"/>
        <w:rPr>
          <w:rFonts w:ascii="Times New Roman" w:hAnsi="Times New Roman" w:cs="Times New Roman"/>
          <w:sz w:val="24"/>
          <w:szCs w:val="24"/>
        </w:rPr>
      </w:pPr>
      <w:r w:rsidRPr="00FC7377">
        <w:rPr>
          <w:rFonts w:ascii="Times New Roman" w:hAnsi="Times New Roman" w:cs="Times New Roman"/>
          <w:sz w:val="24"/>
          <w:szCs w:val="24"/>
        </w:rPr>
        <w:t xml:space="preserve">Similarly, Badda </w:t>
      </w:r>
      <w:r w:rsidRPr="00FC7377">
        <w:rPr>
          <w:rFonts w:ascii="Times New Roman" w:hAnsi="Times New Roman" w:cs="Times New Roman"/>
          <w:i/>
          <w:iCs/>
          <w:sz w:val="24"/>
          <w:szCs w:val="24"/>
        </w:rPr>
        <w:t>et al.</w:t>
      </w:r>
      <w:r w:rsidRPr="00FC7377">
        <w:rPr>
          <w:rFonts w:ascii="Times New Roman" w:hAnsi="Times New Roman" w:cs="Times New Roman"/>
          <w:sz w:val="24"/>
          <w:szCs w:val="24"/>
        </w:rPr>
        <w:t xml:space="preserve"> (2013)</w:t>
      </w:r>
      <w:commentRangeStart w:id="23"/>
      <w:r w:rsidRPr="00FC7377">
        <w:rPr>
          <w:rFonts w:ascii="Times New Roman" w:hAnsi="Times New Roman" w:cs="Times New Roman"/>
          <w:sz w:val="24"/>
          <w:szCs w:val="24"/>
        </w:rPr>
        <w:t xml:space="preserve"> </w:t>
      </w:r>
      <w:commentRangeEnd w:id="23"/>
      <w:r w:rsidR="00D62BAF">
        <w:rPr>
          <w:rStyle w:val="Refdecomentario"/>
        </w:rPr>
        <w:commentReference w:id="23"/>
      </w:r>
      <w:r w:rsidRPr="00FC7377">
        <w:rPr>
          <w:rFonts w:ascii="Times New Roman" w:hAnsi="Times New Roman" w:cs="Times New Roman"/>
          <w:sz w:val="24"/>
          <w:szCs w:val="24"/>
        </w:rPr>
        <w:t xml:space="preserve">found that the highest increase in alkaline phosphatase activity was observed in plants infected with </w:t>
      </w:r>
      <w:r w:rsidRPr="00FC7377">
        <w:rPr>
          <w:rFonts w:ascii="Times New Roman" w:hAnsi="Times New Roman" w:cs="Times New Roman"/>
          <w:i/>
          <w:iCs/>
          <w:sz w:val="24"/>
          <w:szCs w:val="24"/>
        </w:rPr>
        <w:t>A. laevis</w:t>
      </w:r>
      <w:r w:rsidRPr="00FC7377">
        <w:rPr>
          <w:rFonts w:ascii="Times New Roman" w:hAnsi="Times New Roman" w:cs="Times New Roman"/>
          <w:sz w:val="24"/>
          <w:szCs w:val="24"/>
        </w:rPr>
        <w:t xml:space="preserve"> + </w:t>
      </w:r>
      <w:r w:rsidRPr="00FC7377">
        <w:rPr>
          <w:rFonts w:ascii="Times New Roman" w:hAnsi="Times New Roman" w:cs="Times New Roman"/>
          <w:i/>
          <w:iCs/>
          <w:sz w:val="24"/>
          <w:szCs w:val="24"/>
        </w:rPr>
        <w:t xml:space="preserve">Trichoderma viride </w:t>
      </w:r>
      <w:r w:rsidRPr="00FC7377">
        <w:rPr>
          <w:rFonts w:ascii="Times New Roman" w:hAnsi="Times New Roman" w:cs="Times New Roman"/>
          <w:sz w:val="24"/>
          <w:szCs w:val="24"/>
        </w:rPr>
        <w:t>+</w:t>
      </w:r>
      <w:r w:rsidRPr="00FC7377">
        <w:rPr>
          <w:rFonts w:ascii="Times New Roman" w:hAnsi="Times New Roman" w:cs="Times New Roman"/>
          <w:i/>
          <w:iCs/>
          <w:sz w:val="24"/>
          <w:szCs w:val="24"/>
        </w:rPr>
        <w:t xml:space="preserve"> Pseudomonas fluorescens</w:t>
      </w:r>
      <w:r w:rsidRPr="00FC7377">
        <w:rPr>
          <w:rFonts w:ascii="Times New Roman" w:hAnsi="Times New Roman" w:cs="Times New Roman"/>
          <w:sz w:val="24"/>
          <w:szCs w:val="24"/>
        </w:rPr>
        <w:t xml:space="preserve">. The impact of different ZnS microbial inoculants on soil enzymatic activity after groundnut crop harvest was illustrated by Sable and Ismail (2016). The treatment with RDF, </w:t>
      </w:r>
      <w:r w:rsidRPr="00FC7377">
        <w:rPr>
          <w:rFonts w:ascii="Times New Roman" w:hAnsi="Times New Roman" w:cs="Times New Roman"/>
          <w:i/>
          <w:iCs/>
          <w:sz w:val="24"/>
          <w:szCs w:val="24"/>
        </w:rPr>
        <w:t>Rhizobium</w:t>
      </w:r>
      <w:r w:rsidRPr="00FC7377">
        <w:rPr>
          <w:rFonts w:ascii="Times New Roman" w:hAnsi="Times New Roman" w:cs="Times New Roman"/>
          <w:sz w:val="24"/>
          <w:szCs w:val="24"/>
        </w:rPr>
        <w:t xml:space="preserve"> and </w:t>
      </w:r>
      <w:r w:rsidRPr="00FC7377">
        <w:rPr>
          <w:rFonts w:ascii="Times New Roman" w:hAnsi="Times New Roman" w:cs="Times New Roman"/>
          <w:i/>
          <w:iCs/>
          <w:sz w:val="24"/>
          <w:szCs w:val="24"/>
        </w:rPr>
        <w:t>Bacillus megaterium</w:t>
      </w:r>
      <w:r w:rsidRPr="00FC7377">
        <w:rPr>
          <w:rFonts w:ascii="Times New Roman" w:hAnsi="Times New Roman" w:cs="Times New Roman"/>
          <w:sz w:val="24"/>
          <w:szCs w:val="24"/>
        </w:rPr>
        <w:t xml:space="preserve"> resulted in significantly increased alkaline phosphatase activity (76.38 μg g</w:t>
      </w:r>
      <w:r>
        <w:rPr>
          <w:rFonts w:ascii="Times New Roman" w:hAnsi="Times New Roman" w:cs="Times New Roman"/>
          <w:sz w:val="24"/>
          <w:szCs w:val="24"/>
          <w:vertAlign w:val="superscript"/>
        </w:rPr>
        <w:t>-1</w:t>
      </w:r>
      <w:r w:rsidRPr="00FC7377">
        <w:rPr>
          <w:rFonts w:ascii="Times New Roman" w:hAnsi="Times New Roman" w:cs="Times New Roman"/>
          <w:sz w:val="24"/>
          <w:szCs w:val="24"/>
        </w:rPr>
        <w:t xml:space="preserve"> soil).</w:t>
      </w:r>
    </w:p>
    <w:p w14:paraId="234322F5" w14:textId="31505AB3" w:rsidR="00A9073D" w:rsidRPr="00353F5E" w:rsidRDefault="00A9073D" w:rsidP="00A9073D">
      <w:pPr>
        <w:spacing w:line="360" w:lineRule="auto"/>
        <w:ind w:firstLine="851"/>
        <w:jc w:val="both"/>
        <w:rPr>
          <w:rFonts w:ascii="Times New Roman" w:hAnsi="Times New Roman" w:cs="Times New Roman"/>
          <w:sz w:val="24"/>
          <w:szCs w:val="24"/>
        </w:rPr>
      </w:pPr>
    </w:p>
    <w:p w14:paraId="31697D3C" w14:textId="2A8C82CF" w:rsidR="005916AE" w:rsidRDefault="00663BCE"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 xml:space="preserve">Table No 5 </w:t>
      </w:r>
      <w:r w:rsidRPr="00101C9A">
        <w:rPr>
          <w:rFonts w:ascii="Times New Roman" w:hAnsi="Times New Roman" w:cs="Times New Roman"/>
          <w:b/>
          <w:bCs/>
          <w:sz w:val="24"/>
          <w:szCs w:val="24"/>
        </w:rPr>
        <w:t xml:space="preserve">Effect of microbial inoculants and their consortia on </w:t>
      </w:r>
      <w:r w:rsidR="007C7CE9" w:rsidRPr="00101C9A">
        <w:rPr>
          <w:rFonts w:ascii="Times New Roman" w:hAnsi="Times New Roman" w:cs="Times New Roman"/>
          <w:b/>
          <w:bCs/>
          <w:sz w:val="24"/>
          <w:szCs w:val="24"/>
        </w:rPr>
        <w:t>Dehydrogenase</w:t>
      </w:r>
      <w:r w:rsidR="007C7CE9">
        <w:rPr>
          <w:rFonts w:ascii="Times New Roman" w:hAnsi="Times New Roman" w:cs="Times New Roman"/>
          <w:b/>
          <w:bCs/>
          <w:sz w:val="24"/>
          <w:szCs w:val="24"/>
        </w:rPr>
        <w:t xml:space="preserve">, </w:t>
      </w:r>
      <w:r w:rsidR="007C7CE9" w:rsidRPr="00101C9A">
        <w:rPr>
          <w:rFonts w:ascii="Times New Roman" w:hAnsi="Times New Roman" w:cs="Times New Roman"/>
          <w:b/>
          <w:bCs/>
          <w:sz w:val="24"/>
          <w:szCs w:val="24"/>
        </w:rPr>
        <w:t xml:space="preserve">Acid phosphatase </w:t>
      </w:r>
      <w:r w:rsidR="007C7CE9">
        <w:rPr>
          <w:rFonts w:ascii="Times New Roman" w:hAnsi="Times New Roman" w:cs="Times New Roman"/>
          <w:b/>
          <w:bCs/>
          <w:sz w:val="24"/>
          <w:szCs w:val="24"/>
        </w:rPr>
        <w:t xml:space="preserve">and </w:t>
      </w:r>
      <w:r w:rsidRPr="00101C9A">
        <w:rPr>
          <w:rFonts w:ascii="Times New Roman" w:hAnsi="Times New Roman" w:cs="Times New Roman"/>
          <w:b/>
          <w:bCs/>
          <w:sz w:val="24"/>
          <w:szCs w:val="24"/>
        </w:rPr>
        <w:t>alkaline phosphatase activity in soil</w:t>
      </w:r>
    </w:p>
    <w:p w14:paraId="6A3CF841" w14:textId="77777777" w:rsidR="005916AE" w:rsidRDefault="005916AE" w:rsidP="007B34EC">
      <w:pPr>
        <w:tabs>
          <w:tab w:val="left" w:pos="1440"/>
        </w:tabs>
        <w:spacing w:after="100"/>
        <w:jc w:val="both"/>
        <w:rPr>
          <w:rFonts w:ascii="Times New Roman" w:hAnsi="Times New Roman" w:cs="Times New Roman"/>
          <w:b/>
          <w:sz w:val="24"/>
          <w:szCs w:val="24"/>
        </w:rPr>
      </w:pPr>
    </w:p>
    <w:tbl>
      <w:tblPr>
        <w:tblStyle w:val="Tablaconcuadrcula"/>
        <w:tblW w:w="0" w:type="auto"/>
        <w:tblLook w:val="04A0" w:firstRow="1" w:lastRow="0" w:firstColumn="1" w:lastColumn="0" w:noHBand="0" w:noVBand="1"/>
      </w:tblPr>
      <w:tblGrid>
        <w:gridCol w:w="536"/>
        <w:gridCol w:w="1325"/>
        <w:gridCol w:w="1144"/>
        <w:gridCol w:w="1241"/>
        <w:gridCol w:w="1144"/>
        <w:gridCol w:w="1241"/>
        <w:gridCol w:w="1144"/>
        <w:gridCol w:w="1241"/>
      </w:tblGrid>
      <w:tr w:rsidR="005916AE" w:rsidRPr="00101C9A" w14:paraId="5080F259" w14:textId="3FF2C1C1" w:rsidTr="00A9073D">
        <w:trPr>
          <w:trHeight w:val="510"/>
        </w:trPr>
        <w:tc>
          <w:tcPr>
            <w:tcW w:w="570" w:type="dxa"/>
            <w:vMerge w:val="restart"/>
          </w:tcPr>
          <w:p w14:paraId="7966DCD0" w14:textId="77777777" w:rsidR="005916AE" w:rsidRPr="00101C9A" w:rsidRDefault="005916AE" w:rsidP="00A9073D">
            <w:pPr>
              <w:spacing w:line="240" w:lineRule="auto"/>
              <w:rPr>
                <w:rFonts w:ascii="Times New Roman" w:hAnsi="Times New Roman" w:cs="Times New Roman"/>
                <w:b/>
                <w:bCs/>
                <w:sz w:val="24"/>
                <w:szCs w:val="24"/>
              </w:rPr>
            </w:pPr>
          </w:p>
          <w:p w14:paraId="7A320F5F" w14:textId="77777777" w:rsidR="005916AE" w:rsidRPr="00101C9A" w:rsidRDefault="005916AE" w:rsidP="00A9073D">
            <w:pPr>
              <w:spacing w:line="240" w:lineRule="auto"/>
              <w:rPr>
                <w:rFonts w:ascii="Times New Roman" w:hAnsi="Times New Roman" w:cs="Times New Roman"/>
                <w:b/>
                <w:bCs/>
                <w:sz w:val="24"/>
                <w:szCs w:val="24"/>
              </w:rPr>
            </w:pPr>
            <w:r w:rsidRPr="00101C9A">
              <w:rPr>
                <w:rFonts w:ascii="Times New Roman" w:hAnsi="Times New Roman" w:cs="Times New Roman"/>
                <w:b/>
                <w:bCs/>
                <w:sz w:val="24"/>
                <w:szCs w:val="24"/>
              </w:rPr>
              <w:t xml:space="preserve">Tr. No. </w:t>
            </w:r>
          </w:p>
        </w:tc>
        <w:tc>
          <w:tcPr>
            <w:tcW w:w="1443" w:type="dxa"/>
            <w:vMerge w:val="restart"/>
          </w:tcPr>
          <w:p w14:paraId="6D849A6F" w14:textId="77777777" w:rsidR="005916AE" w:rsidRPr="00101C9A" w:rsidRDefault="005916AE" w:rsidP="00A9073D">
            <w:pPr>
              <w:spacing w:line="240" w:lineRule="auto"/>
              <w:jc w:val="center"/>
              <w:rPr>
                <w:rFonts w:ascii="Times New Roman" w:hAnsi="Times New Roman" w:cs="Times New Roman"/>
                <w:b/>
                <w:bCs/>
                <w:sz w:val="24"/>
                <w:szCs w:val="24"/>
              </w:rPr>
            </w:pPr>
          </w:p>
          <w:p w14:paraId="132575F5"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Treatments</w:t>
            </w:r>
          </w:p>
        </w:tc>
        <w:tc>
          <w:tcPr>
            <w:tcW w:w="2273" w:type="dxa"/>
            <w:gridSpan w:val="2"/>
          </w:tcPr>
          <w:p w14:paraId="1F2B058F"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Dehydrogenase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c>
          <w:tcPr>
            <w:tcW w:w="1946" w:type="dxa"/>
            <w:gridSpan w:val="2"/>
          </w:tcPr>
          <w:p w14:paraId="090AB1AC" w14:textId="658C6665"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Acid phosphatase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c>
          <w:tcPr>
            <w:tcW w:w="2780" w:type="dxa"/>
            <w:gridSpan w:val="2"/>
          </w:tcPr>
          <w:p w14:paraId="5EFFF17D" w14:textId="48DDEF4E" w:rsidR="005916AE" w:rsidRPr="00101C9A" w:rsidRDefault="00A9073D"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Alkaline phosphatase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r>
      <w:tr w:rsidR="00A9073D" w:rsidRPr="00101C9A" w14:paraId="41742D02" w14:textId="1BE0233A" w:rsidTr="00A9073D">
        <w:trPr>
          <w:trHeight w:val="509"/>
        </w:trPr>
        <w:tc>
          <w:tcPr>
            <w:tcW w:w="570" w:type="dxa"/>
            <w:vMerge/>
          </w:tcPr>
          <w:p w14:paraId="7DDE3165" w14:textId="77777777" w:rsidR="005916AE" w:rsidRPr="00101C9A" w:rsidRDefault="005916AE" w:rsidP="00A9073D">
            <w:pPr>
              <w:spacing w:line="240" w:lineRule="auto"/>
              <w:rPr>
                <w:rFonts w:ascii="Times New Roman" w:hAnsi="Times New Roman" w:cs="Times New Roman"/>
                <w:b/>
                <w:bCs/>
                <w:sz w:val="24"/>
                <w:szCs w:val="24"/>
              </w:rPr>
            </w:pPr>
          </w:p>
        </w:tc>
        <w:tc>
          <w:tcPr>
            <w:tcW w:w="1443" w:type="dxa"/>
            <w:vMerge/>
          </w:tcPr>
          <w:p w14:paraId="5019F391" w14:textId="77777777" w:rsidR="005916AE" w:rsidRPr="00101C9A" w:rsidRDefault="005916AE" w:rsidP="00A9073D">
            <w:pPr>
              <w:spacing w:line="240" w:lineRule="auto"/>
              <w:rPr>
                <w:rFonts w:ascii="Times New Roman" w:hAnsi="Times New Roman" w:cs="Times New Roman"/>
                <w:b/>
                <w:bCs/>
                <w:sz w:val="24"/>
                <w:szCs w:val="24"/>
              </w:rPr>
            </w:pPr>
          </w:p>
        </w:tc>
        <w:tc>
          <w:tcPr>
            <w:tcW w:w="1243" w:type="dxa"/>
          </w:tcPr>
          <w:p w14:paraId="0EA1CF88"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1030" w:type="dxa"/>
          </w:tcPr>
          <w:p w14:paraId="70A33D51" w14:textId="7C071B10" w:rsidR="00144954" w:rsidRPr="00101C9A" w:rsidRDefault="005916AE" w:rsidP="00144954">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c>
          <w:tcPr>
            <w:tcW w:w="1423" w:type="dxa"/>
          </w:tcPr>
          <w:p w14:paraId="12C50D72" w14:textId="512C2CB0"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523" w:type="dxa"/>
          </w:tcPr>
          <w:p w14:paraId="3A7305B4" w14:textId="4617E9EB"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c>
          <w:tcPr>
            <w:tcW w:w="1750" w:type="dxa"/>
          </w:tcPr>
          <w:p w14:paraId="0D91705F" w14:textId="731AA193"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1030" w:type="dxa"/>
          </w:tcPr>
          <w:p w14:paraId="00B4213F" w14:textId="3F3AB5A1"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r>
      <w:tr w:rsidR="00A9073D" w:rsidRPr="00101C9A" w14:paraId="02C9AEE9" w14:textId="196C11B5" w:rsidTr="00A9073D">
        <w:trPr>
          <w:trHeight w:val="754"/>
        </w:trPr>
        <w:tc>
          <w:tcPr>
            <w:tcW w:w="570" w:type="dxa"/>
          </w:tcPr>
          <w:p w14:paraId="20EF84D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w:t>
            </w:r>
          </w:p>
        </w:tc>
        <w:tc>
          <w:tcPr>
            <w:tcW w:w="1443" w:type="dxa"/>
          </w:tcPr>
          <w:p w14:paraId="1FC6E64C"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Absolute control </w:t>
            </w:r>
          </w:p>
        </w:tc>
        <w:tc>
          <w:tcPr>
            <w:tcW w:w="1243" w:type="dxa"/>
            <w:tcBorders>
              <w:top w:val="single" w:sz="4" w:space="0" w:color="auto"/>
              <w:left w:val="single" w:sz="4" w:space="0" w:color="auto"/>
              <w:bottom w:val="single" w:sz="4" w:space="0" w:color="auto"/>
              <w:right w:val="single" w:sz="4" w:space="0" w:color="auto"/>
            </w:tcBorders>
            <w:vAlign w:val="bottom"/>
          </w:tcPr>
          <w:p w14:paraId="2C7DB71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38.37</w:t>
            </w:r>
          </w:p>
        </w:tc>
        <w:tc>
          <w:tcPr>
            <w:tcW w:w="1030" w:type="dxa"/>
            <w:tcBorders>
              <w:top w:val="single" w:sz="4" w:space="0" w:color="auto"/>
              <w:left w:val="single" w:sz="4" w:space="0" w:color="auto"/>
              <w:bottom w:val="single" w:sz="4" w:space="0" w:color="auto"/>
              <w:right w:val="single" w:sz="4" w:space="0" w:color="auto"/>
            </w:tcBorders>
            <w:vAlign w:val="bottom"/>
          </w:tcPr>
          <w:p w14:paraId="6DE4EFA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39.09</w:t>
            </w:r>
          </w:p>
        </w:tc>
        <w:tc>
          <w:tcPr>
            <w:tcW w:w="1423" w:type="dxa"/>
            <w:tcBorders>
              <w:top w:val="single" w:sz="4" w:space="0" w:color="auto"/>
              <w:left w:val="single" w:sz="4" w:space="0" w:color="auto"/>
              <w:bottom w:val="single" w:sz="4" w:space="0" w:color="auto"/>
              <w:right w:val="single" w:sz="4" w:space="0" w:color="auto"/>
            </w:tcBorders>
            <w:vAlign w:val="bottom"/>
          </w:tcPr>
          <w:p w14:paraId="4B5155E1" w14:textId="018C387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42.47</w:t>
            </w:r>
          </w:p>
        </w:tc>
        <w:tc>
          <w:tcPr>
            <w:tcW w:w="523" w:type="dxa"/>
            <w:tcBorders>
              <w:top w:val="single" w:sz="4" w:space="0" w:color="auto"/>
              <w:left w:val="single" w:sz="4" w:space="0" w:color="auto"/>
              <w:bottom w:val="single" w:sz="4" w:space="0" w:color="auto"/>
              <w:right w:val="single" w:sz="4" w:space="0" w:color="auto"/>
            </w:tcBorders>
            <w:vAlign w:val="bottom"/>
          </w:tcPr>
          <w:p w14:paraId="6CF330B0" w14:textId="0E727BD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37.80</w:t>
            </w:r>
          </w:p>
        </w:tc>
        <w:tc>
          <w:tcPr>
            <w:tcW w:w="1750" w:type="dxa"/>
            <w:tcBorders>
              <w:top w:val="single" w:sz="4" w:space="0" w:color="auto"/>
              <w:left w:val="single" w:sz="4" w:space="0" w:color="auto"/>
              <w:bottom w:val="single" w:sz="4" w:space="0" w:color="auto"/>
              <w:right w:val="single" w:sz="4" w:space="0" w:color="auto"/>
            </w:tcBorders>
            <w:vAlign w:val="bottom"/>
          </w:tcPr>
          <w:p w14:paraId="09650973" w14:textId="4202447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56.33</w:t>
            </w:r>
          </w:p>
        </w:tc>
        <w:tc>
          <w:tcPr>
            <w:tcW w:w="1030" w:type="dxa"/>
            <w:tcBorders>
              <w:top w:val="single" w:sz="4" w:space="0" w:color="auto"/>
              <w:left w:val="single" w:sz="4" w:space="0" w:color="auto"/>
              <w:bottom w:val="single" w:sz="4" w:space="0" w:color="auto"/>
              <w:right w:val="single" w:sz="4" w:space="0" w:color="auto"/>
            </w:tcBorders>
          </w:tcPr>
          <w:p w14:paraId="3F838196" w14:textId="77777777" w:rsidR="00A9073D" w:rsidRDefault="00A9073D" w:rsidP="00A9073D">
            <w:pPr>
              <w:spacing w:line="240" w:lineRule="auto"/>
              <w:jc w:val="center"/>
              <w:rPr>
                <w:rFonts w:ascii="Times New Roman" w:hAnsi="Times New Roman" w:cs="Times New Roman"/>
                <w:sz w:val="24"/>
                <w:szCs w:val="24"/>
              </w:rPr>
            </w:pPr>
          </w:p>
          <w:p w14:paraId="61EFF97C" w14:textId="7F10B88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50.53</w:t>
            </w:r>
          </w:p>
        </w:tc>
      </w:tr>
      <w:tr w:rsidR="00A9073D" w:rsidRPr="00101C9A" w14:paraId="7AFA335F" w14:textId="4E43003F" w:rsidTr="00A9073D">
        <w:trPr>
          <w:trHeight w:val="464"/>
        </w:trPr>
        <w:tc>
          <w:tcPr>
            <w:tcW w:w="570" w:type="dxa"/>
          </w:tcPr>
          <w:p w14:paraId="0E47D5C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p>
        </w:tc>
        <w:tc>
          <w:tcPr>
            <w:tcW w:w="1443" w:type="dxa"/>
          </w:tcPr>
          <w:p w14:paraId="74E0B81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RDF</w:t>
            </w:r>
          </w:p>
        </w:tc>
        <w:tc>
          <w:tcPr>
            <w:tcW w:w="1243" w:type="dxa"/>
            <w:tcBorders>
              <w:top w:val="nil"/>
              <w:left w:val="single" w:sz="4" w:space="0" w:color="auto"/>
              <w:bottom w:val="single" w:sz="4" w:space="0" w:color="auto"/>
              <w:right w:val="single" w:sz="4" w:space="0" w:color="auto"/>
            </w:tcBorders>
            <w:vAlign w:val="bottom"/>
          </w:tcPr>
          <w:p w14:paraId="6C032CCF"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39.71</w:t>
            </w:r>
          </w:p>
        </w:tc>
        <w:tc>
          <w:tcPr>
            <w:tcW w:w="1030" w:type="dxa"/>
            <w:tcBorders>
              <w:top w:val="nil"/>
              <w:left w:val="single" w:sz="4" w:space="0" w:color="auto"/>
              <w:bottom w:val="single" w:sz="4" w:space="0" w:color="auto"/>
              <w:right w:val="single" w:sz="4" w:space="0" w:color="auto"/>
            </w:tcBorders>
            <w:vAlign w:val="bottom"/>
          </w:tcPr>
          <w:p w14:paraId="50DAF51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40.46</w:t>
            </w:r>
          </w:p>
        </w:tc>
        <w:tc>
          <w:tcPr>
            <w:tcW w:w="1423" w:type="dxa"/>
            <w:tcBorders>
              <w:top w:val="nil"/>
              <w:left w:val="single" w:sz="4" w:space="0" w:color="auto"/>
              <w:bottom w:val="single" w:sz="4" w:space="0" w:color="auto"/>
              <w:right w:val="single" w:sz="4" w:space="0" w:color="auto"/>
            </w:tcBorders>
            <w:vAlign w:val="bottom"/>
          </w:tcPr>
          <w:p w14:paraId="7E13AABA" w14:textId="7B5E588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43.80</w:t>
            </w:r>
          </w:p>
        </w:tc>
        <w:tc>
          <w:tcPr>
            <w:tcW w:w="523" w:type="dxa"/>
            <w:tcBorders>
              <w:top w:val="nil"/>
              <w:left w:val="single" w:sz="4" w:space="0" w:color="auto"/>
              <w:bottom w:val="single" w:sz="4" w:space="0" w:color="auto"/>
              <w:right w:val="single" w:sz="4" w:space="0" w:color="auto"/>
            </w:tcBorders>
            <w:vAlign w:val="bottom"/>
          </w:tcPr>
          <w:p w14:paraId="34239C4B" w14:textId="5905167B"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39.46</w:t>
            </w:r>
          </w:p>
        </w:tc>
        <w:tc>
          <w:tcPr>
            <w:tcW w:w="1750" w:type="dxa"/>
            <w:tcBorders>
              <w:top w:val="nil"/>
              <w:left w:val="single" w:sz="4" w:space="0" w:color="auto"/>
              <w:bottom w:val="single" w:sz="4" w:space="0" w:color="auto"/>
              <w:right w:val="single" w:sz="4" w:space="0" w:color="auto"/>
            </w:tcBorders>
            <w:vAlign w:val="bottom"/>
          </w:tcPr>
          <w:p w14:paraId="157AB283" w14:textId="4E198F3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57.69</w:t>
            </w:r>
          </w:p>
        </w:tc>
        <w:tc>
          <w:tcPr>
            <w:tcW w:w="1030" w:type="dxa"/>
            <w:tcBorders>
              <w:top w:val="nil"/>
              <w:left w:val="single" w:sz="4" w:space="0" w:color="auto"/>
              <w:bottom w:val="single" w:sz="4" w:space="0" w:color="auto"/>
              <w:right w:val="single" w:sz="4" w:space="0" w:color="auto"/>
            </w:tcBorders>
          </w:tcPr>
          <w:p w14:paraId="7B6D4C25" w14:textId="4597C29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53.11</w:t>
            </w:r>
          </w:p>
        </w:tc>
      </w:tr>
      <w:tr w:rsidR="00A9073D" w:rsidRPr="00101C9A" w14:paraId="34D70F2D" w14:textId="2B0F30C9" w:rsidTr="00A9073D">
        <w:trPr>
          <w:trHeight w:val="754"/>
        </w:trPr>
        <w:tc>
          <w:tcPr>
            <w:tcW w:w="570" w:type="dxa"/>
          </w:tcPr>
          <w:p w14:paraId="6B91BB8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3</w:t>
            </w:r>
          </w:p>
        </w:tc>
        <w:tc>
          <w:tcPr>
            <w:tcW w:w="1443" w:type="dxa"/>
          </w:tcPr>
          <w:p w14:paraId="50D4C36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p>
        </w:tc>
        <w:tc>
          <w:tcPr>
            <w:tcW w:w="1243" w:type="dxa"/>
            <w:tcBorders>
              <w:top w:val="nil"/>
              <w:left w:val="single" w:sz="4" w:space="0" w:color="auto"/>
              <w:bottom w:val="single" w:sz="4" w:space="0" w:color="auto"/>
              <w:right w:val="single" w:sz="4" w:space="0" w:color="auto"/>
            </w:tcBorders>
            <w:vAlign w:val="bottom"/>
          </w:tcPr>
          <w:p w14:paraId="0D58FC4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44.28</w:t>
            </w:r>
          </w:p>
        </w:tc>
        <w:tc>
          <w:tcPr>
            <w:tcW w:w="1030" w:type="dxa"/>
            <w:tcBorders>
              <w:top w:val="nil"/>
              <w:left w:val="single" w:sz="4" w:space="0" w:color="auto"/>
              <w:bottom w:val="single" w:sz="4" w:space="0" w:color="auto"/>
              <w:right w:val="single" w:sz="4" w:space="0" w:color="auto"/>
            </w:tcBorders>
            <w:vAlign w:val="bottom"/>
          </w:tcPr>
          <w:p w14:paraId="29D393BA"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45.31</w:t>
            </w:r>
          </w:p>
        </w:tc>
        <w:tc>
          <w:tcPr>
            <w:tcW w:w="1423" w:type="dxa"/>
            <w:tcBorders>
              <w:top w:val="nil"/>
              <w:left w:val="single" w:sz="4" w:space="0" w:color="auto"/>
              <w:bottom w:val="single" w:sz="4" w:space="0" w:color="auto"/>
              <w:right w:val="single" w:sz="4" w:space="0" w:color="auto"/>
            </w:tcBorders>
            <w:vAlign w:val="bottom"/>
          </w:tcPr>
          <w:p w14:paraId="626BF689" w14:textId="6D785C6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53.82</w:t>
            </w:r>
          </w:p>
        </w:tc>
        <w:tc>
          <w:tcPr>
            <w:tcW w:w="523" w:type="dxa"/>
            <w:tcBorders>
              <w:top w:val="nil"/>
              <w:left w:val="single" w:sz="4" w:space="0" w:color="auto"/>
              <w:bottom w:val="single" w:sz="4" w:space="0" w:color="auto"/>
              <w:right w:val="single" w:sz="4" w:space="0" w:color="auto"/>
            </w:tcBorders>
            <w:vAlign w:val="bottom"/>
          </w:tcPr>
          <w:p w14:paraId="245ED489" w14:textId="333C5BCE"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42.49</w:t>
            </w:r>
          </w:p>
        </w:tc>
        <w:tc>
          <w:tcPr>
            <w:tcW w:w="1750" w:type="dxa"/>
            <w:tcBorders>
              <w:top w:val="nil"/>
              <w:left w:val="single" w:sz="4" w:space="0" w:color="auto"/>
              <w:bottom w:val="single" w:sz="4" w:space="0" w:color="auto"/>
              <w:right w:val="single" w:sz="4" w:space="0" w:color="auto"/>
            </w:tcBorders>
            <w:vAlign w:val="bottom"/>
          </w:tcPr>
          <w:p w14:paraId="0525EA17" w14:textId="6A10E8A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68.63</w:t>
            </w:r>
          </w:p>
        </w:tc>
        <w:tc>
          <w:tcPr>
            <w:tcW w:w="1030" w:type="dxa"/>
            <w:tcBorders>
              <w:top w:val="nil"/>
              <w:left w:val="single" w:sz="4" w:space="0" w:color="auto"/>
              <w:bottom w:val="single" w:sz="4" w:space="0" w:color="auto"/>
              <w:right w:val="single" w:sz="4" w:space="0" w:color="auto"/>
            </w:tcBorders>
          </w:tcPr>
          <w:p w14:paraId="1DE1EB68" w14:textId="77777777" w:rsidR="00A9073D" w:rsidRDefault="00A9073D" w:rsidP="00A9073D">
            <w:pPr>
              <w:spacing w:line="240" w:lineRule="auto"/>
              <w:jc w:val="center"/>
              <w:rPr>
                <w:rFonts w:ascii="Times New Roman" w:hAnsi="Times New Roman" w:cs="Times New Roman"/>
                <w:sz w:val="24"/>
                <w:szCs w:val="24"/>
              </w:rPr>
            </w:pPr>
          </w:p>
          <w:p w14:paraId="00CF66EA" w14:textId="0D0BEF2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65.18</w:t>
            </w:r>
          </w:p>
        </w:tc>
      </w:tr>
      <w:tr w:rsidR="00A9073D" w:rsidRPr="00101C9A" w14:paraId="68CFF5BA" w14:textId="2FABD4F5" w:rsidTr="00A9073D">
        <w:trPr>
          <w:trHeight w:val="1035"/>
        </w:trPr>
        <w:tc>
          <w:tcPr>
            <w:tcW w:w="570" w:type="dxa"/>
          </w:tcPr>
          <w:p w14:paraId="396E0B9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4</w:t>
            </w:r>
          </w:p>
        </w:tc>
        <w:tc>
          <w:tcPr>
            <w:tcW w:w="1443" w:type="dxa"/>
          </w:tcPr>
          <w:p w14:paraId="4DBE617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w:t>
            </w:r>
          </w:p>
        </w:tc>
        <w:tc>
          <w:tcPr>
            <w:tcW w:w="1243" w:type="dxa"/>
            <w:tcBorders>
              <w:top w:val="nil"/>
              <w:left w:val="single" w:sz="4" w:space="0" w:color="auto"/>
              <w:bottom w:val="single" w:sz="4" w:space="0" w:color="auto"/>
              <w:right w:val="single" w:sz="4" w:space="0" w:color="auto"/>
            </w:tcBorders>
            <w:vAlign w:val="bottom"/>
          </w:tcPr>
          <w:p w14:paraId="1BADD704"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45.42</w:t>
            </w:r>
          </w:p>
        </w:tc>
        <w:tc>
          <w:tcPr>
            <w:tcW w:w="1030" w:type="dxa"/>
            <w:tcBorders>
              <w:top w:val="nil"/>
              <w:left w:val="single" w:sz="4" w:space="0" w:color="auto"/>
              <w:bottom w:val="single" w:sz="4" w:space="0" w:color="auto"/>
              <w:right w:val="single" w:sz="4" w:space="0" w:color="auto"/>
            </w:tcBorders>
            <w:vAlign w:val="bottom"/>
          </w:tcPr>
          <w:p w14:paraId="771E848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46.49</w:t>
            </w:r>
          </w:p>
        </w:tc>
        <w:tc>
          <w:tcPr>
            <w:tcW w:w="1423" w:type="dxa"/>
            <w:tcBorders>
              <w:top w:val="nil"/>
              <w:left w:val="single" w:sz="4" w:space="0" w:color="auto"/>
              <w:bottom w:val="single" w:sz="4" w:space="0" w:color="auto"/>
              <w:right w:val="single" w:sz="4" w:space="0" w:color="auto"/>
            </w:tcBorders>
            <w:vAlign w:val="bottom"/>
          </w:tcPr>
          <w:p w14:paraId="744284D8" w14:textId="3D7E144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55.40</w:t>
            </w:r>
          </w:p>
        </w:tc>
        <w:tc>
          <w:tcPr>
            <w:tcW w:w="523" w:type="dxa"/>
            <w:tcBorders>
              <w:top w:val="nil"/>
              <w:left w:val="single" w:sz="4" w:space="0" w:color="auto"/>
              <w:bottom w:val="single" w:sz="4" w:space="0" w:color="auto"/>
              <w:right w:val="single" w:sz="4" w:space="0" w:color="auto"/>
            </w:tcBorders>
            <w:vAlign w:val="bottom"/>
          </w:tcPr>
          <w:p w14:paraId="26F38B3C" w14:textId="2D9AAFA0"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46.40</w:t>
            </w:r>
          </w:p>
        </w:tc>
        <w:tc>
          <w:tcPr>
            <w:tcW w:w="1750" w:type="dxa"/>
            <w:tcBorders>
              <w:top w:val="nil"/>
              <w:left w:val="single" w:sz="4" w:space="0" w:color="auto"/>
              <w:bottom w:val="single" w:sz="4" w:space="0" w:color="auto"/>
              <w:right w:val="single" w:sz="4" w:space="0" w:color="auto"/>
            </w:tcBorders>
            <w:vAlign w:val="bottom"/>
          </w:tcPr>
          <w:p w14:paraId="7487A29E" w14:textId="52517E3C"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69.93</w:t>
            </w:r>
          </w:p>
        </w:tc>
        <w:tc>
          <w:tcPr>
            <w:tcW w:w="1030" w:type="dxa"/>
            <w:tcBorders>
              <w:top w:val="nil"/>
              <w:left w:val="single" w:sz="4" w:space="0" w:color="auto"/>
              <w:bottom w:val="single" w:sz="4" w:space="0" w:color="auto"/>
              <w:right w:val="single" w:sz="4" w:space="0" w:color="auto"/>
            </w:tcBorders>
          </w:tcPr>
          <w:p w14:paraId="42978D33" w14:textId="77777777" w:rsidR="00A9073D" w:rsidRDefault="00A9073D" w:rsidP="00A9073D">
            <w:pPr>
              <w:spacing w:line="240" w:lineRule="auto"/>
              <w:jc w:val="center"/>
              <w:rPr>
                <w:rFonts w:ascii="Times New Roman" w:hAnsi="Times New Roman" w:cs="Times New Roman"/>
                <w:sz w:val="24"/>
                <w:szCs w:val="24"/>
              </w:rPr>
            </w:pPr>
          </w:p>
          <w:p w14:paraId="5CD5B19E" w14:textId="77777777" w:rsidR="00A9073D" w:rsidRDefault="00A9073D" w:rsidP="00A9073D">
            <w:pPr>
              <w:spacing w:line="240" w:lineRule="auto"/>
              <w:jc w:val="center"/>
              <w:rPr>
                <w:rFonts w:ascii="Times New Roman" w:hAnsi="Times New Roman" w:cs="Times New Roman"/>
                <w:sz w:val="24"/>
                <w:szCs w:val="24"/>
              </w:rPr>
            </w:pPr>
          </w:p>
          <w:p w14:paraId="6E158C73" w14:textId="4B10C15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63.91</w:t>
            </w:r>
          </w:p>
        </w:tc>
      </w:tr>
      <w:tr w:rsidR="00A9073D" w:rsidRPr="00101C9A" w14:paraId="51D9497D" w14:textId="4BBA0E20" w:rsidTr="00A9073D">
        <w:trPr>
          <w:trHeight w:val="1035"/>
        </w:trPr>
        <w:tc>
          <w:tcPr>
            <w:tcW w:w="570" w:type="dxa"/>
          </w:tcPr>
          <w:p w14:paraId="0D12DEFA"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5</w:t>
            </w:r>
          </w:p>
        </w:tc>
        <w:tc>
          <w:tcPr>
            <w:tcW w:w="1443" w:type="dxa"/>
          </w:tcPr>
          <w:p w14:paraId="2800E0B5"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KSB</w:t>
            </w:r>
          </w:p>
        </w:tc>
        <w:tc>
          <w:tcPr>
            <w:tcW w:w="1243" w:type="dxa"/>
            <w:tcBorders>
              <w:top w:val="nil"/>
              <w:left w:val="single" w:sz="4" w:space="0" w:color="auto"/>
              <w:bottom w:val="single" w:sz="4" w:space="0" w:color="auto"/>
              <w:right w:val="single" w:sz="4" w:space="0" w:color="auto"/>
            </w:tcBorders>
            <w:vAlign w:val="bottom"/>
          </w:tcPr>
          <w:p w14:paraId="44B948F5"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47.16</w:t>
            </w:r>
          </w:p>
        </w:tc>
        <w:tc>
          <w:tcPr>
            <w:tcW w:w="1030" w:type="dxa"/>
            <w:tcBorders>
              <w:top w:val="nil"/>
              <w:left w:val="single" w:sz="4" w:space="0" w:color="auto"/>
              <w:bottom w:val="single" w:sz="4" w:space="0" w:color="auto"/>
              <w:right w:val="single" w:sz="4" w:space="0" w:color="auto"/>
            </w:tcBorders>
            <w:vAlign w:val="bottom"/>
          </w:tcPr>
          <w:p w14:paraId="1330CA9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47.86</w:t>
            </w:r>
          </w:p>
        </w:tc>
        <w:tc>
          <w:tcPr>
            <w:tcW w:w="1423" w:type="dxa"/>
            <w:tcBorders>
              <w:top w:val="nil"/>
              <w:left w:val="single" w:sz="4" w:space="0" w:color="auto"/>
              <w:bottom w:val="single" w:sz="4" w:space="0" w:color="auto"/>
              <w:right w:val="single" w:sz="4" w:space="0" w:color="auto"/>
            </w:tcBorders>
            <w:vAlign w:val="bottom"/>
          </w:tcPr>
          <w:p w14:paraId="149155B0" w14:textId="28DC52B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56.52</w:t>
            </w:r>
          </w:p>
        </w:tc>
        <w:tc>
          <w:tcPr>
            <w:tcW w:w="523" w:type="dxa"/>
            <w:tcBorders>
              <w:top w:val="nil"/>
              <w:left w:val="single" w:sz="4" w:space="0" w:color="auto"/>
              <w:bottom w:val="single" w:sz="4" w:space="0" w:color="auto"/>
              <w:right w:val="single" w:sz="4" w:space="0" w:color="auto"/>
            </w:tcBorders>
            <w:vAlign w:val="bottom"/>
          </w:tcPr>
          <w:p w14:paraId="4531FB47" w14:textId="2250530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47.06</w:t>
            </w:r>
          </w:p>
        </w:tc>
        <w:tc>
          <w:tcPr>
            <w:tcW w:w="1750" w:type="dxa"/>
            <w:tcBorders>
              <w:top w:val="nil"/>
              <w:left w:val="single" w:sz="4" w:space="0" w:color="auto"/>
              <w:bottom w:val="single" w:sz="4" w:space="0" w:color="auto"/>
              <w:right w:val="single" w:sz="4" w:space="0" w:color="auto"/>
            </w:tcBorders>
            <w:vAlign w:val="bottom"/>
          </w:tcPr>
          <w:p w14:paraId="653A9359" w14:textId="7EB83F9B"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71.53</w:t>
            </w:r>
          </w:p>
        </w:tc>
        <w:tc>
          <w:tcPr>
            <w:tcW w:w="1030" w:type="dxa"/>
            <w:tcBorders>
              <w:top w:val="nil"/>
              <w:left w:val="single" w:sz="4" w:space="0" w:color="auto"/>
              <w:bottom w:val="single" w:sz="4" w:space="0" w:color="auto"/>
              <w:right w:val="single" w:sz="4" w:space="0" w:color="auto"/>
            </w:tcBorders>
          </w:tcPr>
          <w:p w14:paraId="58C685ED" w14:textId="77777777" w:rsidR="00A9073D" w:rsidRDefault="00A9073D" w:rsidP="00A9073D">
            <w:pPr>
              <w:spacing w:line="240" w:lineRule="auto"/>
              <w:jc w:val="center"/>
              <w:rPr>
                <w:rFonts w:ascii="Times New Roman" w:hAnsi="Times New Roman" w:cs="Times New Roman"/>
                <w:sz w:val="24"/>
                <w:szCs w:val="24"/>
              </w:rPr>
            </w:pPr>
          </w:p>
          <w:p w14:paraId="29E4D03F" w14:textId="77777777" w:rsidR="00A9073D" w:rsidRDefault="00A9073D" w:rsidP="00A9073D">
            <w:pPr>
              <w:spacing w:line="240" w:lineRule="auto"/>
              <w:jc w:val="center"/>
              <w:rPr>
                <w:rFonts w:ascii="Times New Roman" w:hAnsi="Times New Roman" w:cs="Times New Roman"/>
                <w:sz w:val="24"/>
                <w:szCs w:val="24"/>
              </w:rPr>
            </w:pPr>
          </w:p>
          <w:p w14:paraId="3BBCCAE6" w14:textId="530CB76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66.56</w:t>
            </w:r>
          </w:p>
        </w:tc>
      </w:tr>
      <w:tr w:rsidR="00A9073D" w:rsidRPr="00101C9A" w14:paraId="3C3279F2" w14:textId="54C0BB43" w:rsidTr="00A9073D">
        <w:trPr>
          <w:trHeight w:val="1042"/>
        </w:trPr>
        <w:tc>
          <w:tcPr>
            <w:tcW w:w="570" w:type="dxa"/>
          </w:tcPr>
          <w:p w14:paraId="17E52E8F"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6</w:t>
            </w:r>
          </w:p>
        </w:tc>
        <w:tc>
          <w:tcPr>
            <w:tcW w:w="1443" w:type="dxa"/>
          </w:tcPr>
          <w:p w14:paraId="4E37D7E0"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SSB</w:t>
            </w:r>
          </w:p>
        </w:tc>
        <w:tc>
          <w:tcPr>
            <w:tcW w:w="1243" w:type="dxa"/>
            <w:tcBorders>
              <w:top w:val="nil"/>
              <w:left w:val="single" w:sz="4" w:space="0" w:color="auto"/>
              <w:bottom w:val="single" w:sz="4" w:space="0" w:color="auto"/>
              <w:right w:val="single" w:sz="4" w:space="0" w:color="auto"/>
            </w:tcBorders>
            <w:vAlign w:val="bottom"/>
          </w:tcPr>
          <w:p w14:paraId="4F61817E"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47.70</w:t>
            </w:r>
          </w:p>
        </w:tc>
        <w:tc>
          <w:tcPr>
            <w:tcW w:w="1030" w:type="dxa"/>
            <w:tcBorders>
              <w:top w:val="nil"/>
              <w:left w:val="single" w:sz="4" w:space="0" w:color="auto"/>
              <w:bottom w:val="single" w:sz="4" w:space="0" w:color="auto"/>
              <w:right w:val="single" w:sz="4" w:space="0" w:color="auto"/>
            </w:tcBorders>
            <w:vAlign w:val="bottom"/>
          </w:tcPr>
          <w:p w14:paraId="6AB1A5C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48.38</w:t>
            </w:r>
          </w:p>
        </w:tc>
        <w:tc>
          <w:tcPr>
            <w:tcW w:w="1423" w:type="dxa"/>
            <w:tcBorders>
              <w:top w:val="nil"/>
              <w:left w:val="single" w:sz="4" w:space="0" w:color="auto"/>
              <w:bottom w:val="single" w:sz="4" w:space="0" w:color="auto"/>
              <w:right w:val="single" w:sz="4" w:space="0" w:color="auto"/>
            </w:tcBorders>
            <w:vAlign w:val="bottom"/>
          </w:tcPr>
          <w:p w14:paraId="2330EA58" w14:textId="275EF4E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58.38</w:t>
            </w:r>
          </w:p>
        </w:tc>
        <w:tc>
          <w:tcPr>
            <w:tcW w:w="523" w:type="dxa"/>
            <w:tcBorders>
              <w:top w:val="nil"/>
              <w:left w:val="single" w:sz="4" w:space="0" w:color="auto"/>
              <w:bottom w:val="single" w:sz="4" w:space="0" w:color="auto"/>
              <w:right w:val="single" w:sz="4" w:space="0" w:color="auto"/>
            </w:tcBorders>
            <w:vAlign w:val="bottom"/>
          </w:tcPr>
          <w:p w14:paraId="701EA522" w14:textId="7E8E45C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47.72</w:t>
            </w:r>
          </w:p>
        </w:tc>
        <w:tc>
          <w:tcPr>
            <w:tcW w:w="1750" w:type="dxa"/>
            <w:tcBorders>
              <w:top w:val="nil"/>
              <w:left w:val="single" w:sz="4" w:space="0" w:color="auto"/>
              <w:bottom w:val="single" w:sz="4" w:space="0" w:color="auto"/>
              <w:right w:val="single" w:sz="4" w:space="0" w:color="auto"/>
            </w:tcBorders>
            <w:vAlign w:val="bottom"/>
          </w:tcPr>
          <w:p w14:paraId="42BEA528" w14:textId="5EB8B4D6"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73.83</w:t>
            </w:r>
          </w:p>
        </w:tc>
        <w:tc>
          <w:tcPr>
            <w:tcW w:w="1030" w:type="dxa"/>
            <w:tcBorders>
              <w:top w:val="nil"/>
              <w:left w:val="single" w:sz="4" w:space="0" w:color="auto"/>
              <w:bottom w:val="single" w:sz="4" w:space="0" w:color="auto"/>
              <w:right w:val="single" w:sz="4" w:space="0" w:color="auto"/>
            </w:tcBorders>
          </w:tcPr>
          <w:p w14:paraId="1E9ADA5C" w14:textId="77777777" w:rsidR="00A9073D" w:rsidRDefault="00A9073D" w:rsidP="00A9073D">
            <w:pPr>
              <w:spacing w:line="240" w:lineRule="auto"/>
              <w:jc w:val="center"/>
              <w:rPr>
                <w:rFonts w:ascii="Times New Roman" w:hAnsi="Times New Roman" w:cs="Times New Roman"/>
                <w:sz w:val="24"/>
                <w:szCs w:val="24"/>
              </w:rPr>
            </w:pPr>
          </w:p>
          <w:p w14:paraId="6480CAEC" w14:textId="77777777" w:rsidR="00A9073D" w:rsidRDefault="00A9073D" w:rsidP="00A9073D">
            <w:pPr>
              <w:spacing w:line="240" w:lineRule="auto"/>
              <w:jc w:val="center"/>
              <w:rPr>
                <w:rFonts w:ascii="Times New Roman" w:hAnsi="Times New Roman" w:cs="Times New Roman"/>
                <w:sz w:val="24"/>
                <w:szCs w:val="24"/>
              </w:rPr>
            </w:pPr>
          </w:p>
          <w:p w14:paraId="00DCCDCA" w14:textId="35B7BAA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66.17</w:t>
            </w:r>
          </w:p>
        </w:tc>
      </w:tr>
      <w:tr w:rsidR="00A9073D" w:rsidRPr="00101C9A" w14:paraId="66FF9AC3" w14:textId="31CF66B2" w:rsidTr="00A9073D">
        <w:trPr>
          <w:trHeight w:val="1035"/>
        </w:trPr>
        <w:tc>
          <w:tcPr>
            <w:tcW w:w="570" w:type="dxa"/>
          </w:tcPr>
          <w:p w14:paraId="777D15E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7</w:t>
            </w:r>
          </w:p>
        </w:tc>
        <w:tc>
          <w:tcPr>
            <w:tcW w:w="1443" w:type="dxa"/>
          </w:tcPr>
          <w:p w14:paraId="14BE025B"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ZnSB</w:t>
            </w:r>
          </w:p>
        </w:tc>
        <w:tc>
          <w:tcPr>
            <w:tcW w:w="1243" w:type="dxa"/>
            <w:tcBorders>
              <w:top w:val="nil"/>
              <w:left w:val="single" w:sz="4" w:space="0" w:color="auto"/>
              <w:bottom w:val="single" w:sz="4" w:space="0" w:color="auto"/>
              <w:right w:val="single" w:sz="4" w:space="0" w:color="auto"/>
            </w:tcBorders>
            <w:vAlign w:val="bottom"/>
          </w:tcPr>
          <w:p w14:paraId="586D22D1"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48.94</w:t>
            </w:r>
          </w:p>
        </w:tc>
        <w:tc>
          <w:tcPr>
            <w:tcW w:w="1030" w:type="dxa"/>
            <w:tcBorders>
              <w:top w:val="nil"/>
              <w:left w:val="single" w:sz="4" w:space="0" w:color="auto"/>
              <w:bottom w:val="single" w:sz="4" w:space="0" w:color="auto"/>
              <w:right w:val="single" w:sz="4" w:space="0" w:color="auto"/>
            </w:tcBorders>
            <w:vAlign w:val="bottom"/>
          </w:tcPr>
          <w:p w14:paraId="6DDD89E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49.85</w:t>
            </w:r>
          </w:p>
        </w:tc>
        <w:tc>
          <w:tcPr>
            <w:tcW w:w="1423" w:type="dxa"/>
            <w:tcBorders>
              <w:top w:val="nil"/>
              <w:left w:val="single" w:sz="4" w:space="0" w:color="auto"/>
              <w:bottom w:val="single" w:sz="4" w:space="0" w:color="auto"/>
              <w:right w:val="single" w:sz="4" w:space="0" w:color="auto"/>
            </w:tcBorders>
            <w:vAlign w:val="bottom"/>
          </w:tcPr>
          <w:p w14:paraId="2238575E" w14:textId="00E700E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59.67</w:t>
            </w:r>
          </w:p>
        </w:tc>
        <w:tc>
          <w:tcPr>
            <w:tcW w:w="523" w:type="dxa"/>
            <w:tcBorders>
              <w:top w:val="nil"/>
              <w:left w:val="single" w:sz="4" w:space="0" w:color="auto"/>
              <w:bottom w:val="single" w:sz="4" w:space="0" w:color="auto"/>
              <w:right w:val="single" w:sz="4" w:space="0" w:color="auto"/>
            </w:tcBorders>
            <w:vAlign w:val="bottom"/>
          </w:tcPr>
          <w:p w14:paraId="5E9372E4" w14:textId="3318B8E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51.34</w:t>
            </w:r>
          </w:p>
        </w:tc>
        <w:tc>
          <w:tcPr>
            <w:tcW w:w="1750" w:type="dxa"/>
            <w:tcBorders>
              <w:top w:val="nil"/>
              <w:left w:val="single" w:sz="4" w:space="0" w:color="auto"/>
              <w:bottom w:val="single" w:sz="4" w:space="0" w:color="auto"/>
              <w:right w:val="single" w:sz="4" w:space="0" w:color="auto"/>
            </w:tcBorders>
            <w:vAlign w:val="bottom"/>
          </w:tcPr>
          <w:p w14:paraId="00EB6306" w14:textId="2CE99CA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74.47</w:t>
            </w:r>
          </w:p>
        </w:tc>
        <w:tc>
          <w:tcPr>
            <w:tcW w:w="1030" w:type="dxa"/>
            <w:tcBorders>
              <w:top w:val="nil"/>
              <w:left w:val="single" w:sz="4" w:space="0" w:color="auto"/>
              <w:bottom w:val="single" w:sz="4" w:space="0" w:color="auto"/>
              <w:right w:val="single" w:sz="4" w:space="0" w:color="auto"/>
            </w:tcBorders>
          </w:tcPr>
          <w:p w14:paraId="76023885" w14:textId="77777777" w:rsidR="00A9073D" w:rsidRDefault="00A9073D" w:rsidP="00A9073D">
            <w:pPr>
              <w:spacing w:line="240" w:lineRule="auto"/>
              <w:jc w:val="center"/>
              <w:rPr>
                <w:rFonts w:ascii="Times New Roman" w:hAnsi="Times New Roman" w:cs="Times New Roman"/>
                <w:sz w:val="24"/>
                <w:szCs w:val="24"/>
              </w:rPr>
            </w:pPr>
          </w:p>
          <w:p w14:paraId="69FA6B3C" w14:textId="77777777" w:rsidR="00A9073D" w:rsidRDefault="00A9073D" w:rsidP="00A9073D">
            <w:pPr>
              <w:spacing w:line="240" w:lineRule="auto"/>
              <w:jc w:val="center"/>
              <w:rPr>
                <w:rFonts w:ascii="Times New Roman" w:hAnsi="Times New Roman" w:cs="Times New Roman"/>
                <w:sz w:val="24"/>
                <w:szCs w:val="24"/>
              </w:rPr>
            </w:pPr>
          </w:p>
          <w:p w14:paraId="7CA389DC" w14:textId="4E3F35A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64.47</w:t>
            </w:r>
          </w:p>
        </w:tc>
      </w:tr>
      <w:tr w:rsidR="00A9073D" w:rsidRPr="00101C9A" w14:paraId="0A0E7841" w14:textId="28ECC867" w:rsidTr="00A9073D">
        <w:trPr>
          <w:trHeight w:val="1325"/>
        </w:trPr>
        <w:tc>
          <w:tcPr>
            <w:tcW w:w="570" w:type="dxa"/>
          </w:tcPr>
          <w:p w14:paraId="76E107D3"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8</w:t>
            </w:r>
          </w:p>
        </w:tc>
        <w:tc>
          <w:tcPr>
            <w:tcW w:w="1443" w:type="dxa"/>
          </w:tcPr>
          <w:p w14:paraId="31F61374"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KSB</w:t>
            </w:r>
          </w:p>
        </w:tc>
        <w:tc>
          <w:tcPr>
            <w:tcW w:w="1243" w:type="dxa"/>
            <w:tcBorders>
              <w:top w:val="nil"/>
              <w:left w:val="single" w:sz="4" w:space="0" w:color="auto"/>
              <w:bottom w:val="single" w:sz="4" w:space="0" w:color="auto"/>
              <w:right w:val="single" w:sz="4" w:space="0" w:color="auto"/>
            </w:tcBorders>
            <w:vAlign w:val="bottom"/>
          </w:tcPr>
          <w:p w14:paraId="48550EE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50.42</w:t>
            </w:r>
          </w:p>
        </w:tc>
        <w:tc>
          <w:tcPr>
            <w:tcW w:w="1030" w:type="dxa"/>
            <w:tcBorders>
              <w:top w:val="nil"/>
              <w:left w:val="single" w:sz="4" w:space="0" w:color="auto"/>
              <w:bottom w:val="single" w:sz="4" w:space="0" w:color="auto"/>
              <w:right w:val="single" w:sz="4" w:space="0" w:color="auto"/>
            </w:tcBorders>
            <w:vAlign w:val="bottom"/>
          </w:tcPr>
          <w:p w14:paraId="02296B85"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51.42</w:t>
            </w:r>
          </w:p>
        </w:tc>
        <w:tc>
          <w:tcPr>
            <w:tcW w:w="1423" w:type="dxa"/>
            <w:tcBorders>
              <w:top w:val="nil"/>
              <w:left w:val="single" w:sz="4" w:space="0" w:color="auto"/>
              <w:bottom w:val="single" w:sz="4" w:space="0" w:color="auto"/>
              <w:right w:val="single" w:sz="4" w:space="0" w:color="auto"/>
            </w:tcBorders>
            <w:vAlign w:val="bottom"/>
          </w:tcPr>
          <w:p w14:paraId="51D60A20" w14:textId="3919E7AC"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63.09</w:t>
            </w:r>
          </w:p>
        </w:tc>
        <w:tc>
          <w:tcPr>
            <w:tcW w:w="523" w:type="dxa"/>
            <w:tcBorders>
              <w:top w:val="nil"/>
              <w:left w:val="single" w:sz="4" w:space="0" w:color="auto"/>
              <w:bottom w:val="single" w:sz="4" w:space="0" w:color="auto"/>
              <w:right w:val="single" w:sz="4" w:space="0" w:color="auto"/>
            </w:tcBorders>
            <w:vAlign w:val="bottom"/>
          </w:tcPr>
          <w:p w14:paraId="24D4D8DA" w14:textId="5679E090"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54.00</w:t>
            </w:r>
          </w:p>
        </w:tc>
        <w:tc>
          <w:tcPr>
            <w:tcW w:w="1750" w:type="dxa"/>
            <w:tcBorders>
              <w:top w:val="nil"/>
              <w:left w:val="single" w:sz="4" w:space="0" w:color="auto"/>
              <w:bottom w:val="single" w:sz="4" w:space="0" w:color="auto"/>
              <w:right w:val="single" w:sz="4" w:space="0" w:color="auto"/>
            </w:tcBorders>
            <w:vAlign w:val="bottom"/>
          </w:tcPr>
          <w:p w14:paraId="4F2D8BCD" w14:textId="602ECB6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73.63</w:t>
            </w:r>
          </w:p>
        </w:tc>
        <w:tc>
          <w:tcPr>
            <w:tcW w:w="1030" w:type="dxa"/>
            <w:tcBorders>
              <w:top w:val="nil"/>
              <w:left w:val="single" w:sz="4" w:space="0" w:color="auto"/>
              <w:bottom w:val="single" w:sz="4" w:space="0" w:color="auto"/>
              <w:right w:val="single" w:sz="4" w:space="0" w:color="auto"/>
            </w:tcBorders>
          </w:tcPr>
          <w:p w14:paraId="09AA420C" w14:textId="77777777" w:rsidR="00A9073D" w:rsidRDefault="00A9073D" w:rsidP="00A9073D">
            <w:pPr>
              <w:spacing w:line="240" w:lineRule="auto"/>
              <w:jc w:val="center"/>
              <w:rPr>
                <w:rFonts w:ascii="Times New Roman" w:hAnsi="Times New Roman" w:cs="Times New Roman"/>
                <w:sz w:val="24"/>
                <w:szCs w:val="24"/>
              </w:rPr>
            </w:pPr>
          </w:p>
          <w:p w14:paraId="1D767B22" w14:textId="77777777" w:rsidR="00A9073D" w:rsidRDefault="00A9073D" w:rsidP="00A9073D">
            <w:pPr>
              <w:spacing w:line="240" w:lineRule="auto"/>
              <w:jc w:val="center"/>
              <w:rPr>
                <w:rFonts w:ascii="Times New Roman" w:hAnsi="Times New Roman" w:cs="Times New Roman"/>
                <w:sz w:val="24"/>
                <w:szCs w:val="24"/>
              </w:rPr>
            </w:pPr>
          </w:p>
          <w:p w14:paraId="1ED0E2E0" w14:textId="63B4784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67.52</w:t>
            </w:r>
          </w:p>
        </w:tc>
      </w:tr>
      <w:tr w:rsidR="00A9073D" w:rsidRPr="00101C9A" w14:paraId="258EB61F" w14:textId="4E9C5B7A" w:rsidTr="00A9073D">
        <w:trPr>
          <w:trHeight w:val="1035"/>
        </w:trPr>
        <w:tc>
          <w:tcPr>
            <w:tcW w:w="570" w:type="dxa"/>
          </w:tcPr>
          <w:p w14:paraId="68280C29"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9</w:t>
            </w:r>
          </w:p>
        </w:tc>
        <w:tc>
          <w:tcPr>
            <w:tcW w:w="1443" w:type="dxa"/>
          </w:tcPr>
          <w:p w14:paraId="63677AB7"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SSB</w:t>
            </w:r>
          </w:p>
        </w:tc>
        <w:tc>
          <w:tcPr>
            <w:tcW w:w="1243" w:type="dxa"/>
            <w:tcBorders>
              <w:top w:val="nil"/>
              <w:left w:val="single" w:sz="4" w:space="0" w:color="auto"/>
              <w:bottom w:val="single" w:sz="4" w:space="0" w:color="auto"/>
              <w:right w:val="single" w:sz="4" w:space="0" w:color="auto"/>
            </w:tcBorders>
            <w:vAlign w:val="bottom"/>
          </w:tcPr>
          <w:p w14:paraId="13DBBCB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51.17</w:t>
            </w:r>
          </w:p>
        </w:tc>
        <w:tc>
          <w:tcPr>
            <w:tcW w:w="1030" w:type="dxa"/>
            <w:tcBorders>
              <w:top w:val="nil"/>
              <w:left w:val="single" w:sz="4" w:space="0" w:color="auto"/>
              <w:bottom w:val="single" w:sz="4" w:space="0" w:color="auto"/>
              <w:right w:val="single" w:sz="4" w:space="0" w:color="auto"/>
            </w:tcBorders>
            <w:vAlign w:val="bottom"/>
          </w:tcPr>
          <w:p w14:paraId="6FE4549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52.15</w:t>
            </w:r>
          </w:p>
        </w:tc>
        <w:tc>
          <w:tcPr>
            <w:tcW w:w="1423" w:type="dxa"/>
            <w:tcBorders>
              <w:top w:val="nil"/>
              <w:left w:val="single" w:sz="4" w:space="0" w:color="auto"/>
              <w:bottom w:val="single" w:sz="4" w:space="0" w:color="auto"/>
              <w:right w:val="single" w:sz="4" w:space="0" w:color="auto"/>
            </w:tcBorders>
            <w:vAlign w:val="bottom"/>
          </w:tcPr>
          <w:p w14:paraId="4DCE36DF" w14:textId="31D977D8"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67.66</w:t>
            </w:r>
          </w:p>
        </w:tc>
        <w:tc>
          <w:tcPr>
            <w:tcW w:w="523" w:type="dxa"/>
            <w:tcBorders>
              <w:top w:val="nil"/>
              <w:left w:val="single" w:sz="4" w:space="0" w:color="auto"/>
              <w:bottom w:val="single" w:sz="4" w:space="0" w:color="auto"/>
              <w:right w:val="single" w:sz="4" w:space="0" w:color="auto"/>
            </w:tcBorders>
            <w:vAlign w:val="bottom"/>
          </w:tcPr>
          <w:p w14:paraId="6D22B68B" w14:textId="1CA8D712"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53.00</w:t>
            </w:r>
          </w:p>
        </w:tc>
        <w:tc>
          <w:tcPr>
            <w:tcW w:w="1750" w:type="dxa"/>
            <w:tcBorders>
              <w:top w:val="nil"/>
              <w:left w:val="single" w:sz="4" w:space="0" w:color="auto"/>
              <w:bottom w:val="single" w:sz="4" w:space="0" w:color="auto"/>
              <w:right w:val="single" w:sz="4" w:space="0" w:color="auto"/>
            </w:tcBorders>
            <w:vAlign w:val="bottom"/>
          </w:tcPr>
          <w:p w14:paraId="739A9D78" w14:textId="518736C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75.44</w:t>
            </w:r>
          </w:p>
        </w:tc>
        <w:tc>
          <w:tcPr>
            <w:tcW w:w="1030" w:type="dxa"/>
            <w:tcBorders>
              <w:top w:val="nil"/>
              <w:left w:val="single" w:sz="4" w:space="0" w:color="auto"/>
              <w:bottom w:val="single" w:sz="4" w:space="0" w:color="auto"/>
              <w:right w:val="single" w:sz="4" w:space="0" w:color="auto"/>
            </w:tcBorders>
          </w:tcPr>
          <w:p w14:paraId="6118400A" w14:textId="77777777" w:rsidR="00A9073D" w:rsidRDefault="00A9073D" w:rsidP="00A9073D">
            <w:pPr>
              <w:spacing w:line="240" w:lineRule="auto"/>
              <w:jc w:val="center"/>
              <w:rPr>
                <w:rFonts w:ascii="Times New Roman" w:hAnsi="Times New Roman" w:cs="Times New Roman"/>
                <w:sz w:val="24"/>
                <w:szCs w:val="24"/>
              </w:rPr>
            </w:pPr>
          </w:p>
          <w:p w14:paraId="77566047" w14:textId="77777777" w:rsidR="00A9073D" w:rsidRDefault="00A9073D" w:rsidP="00A9073D">
            <w:pPr>
              <w:spacing w:line="240" w:lineRule="auto"/>
              <w:jc w:val="center"/>
              <w:rPr>
                <w:rFonts w:ascii="Times New Roman" w:hAnsi="Times New Roman" w:cs="Times New Roman"/>
                <w:sz w:val="24"/>
                <w:szCs w:val="24"/>
              </w:rPr>
            </w:pPr>
          </w:p>
          <w:p w14:paraId="5F6E48AF" w14:textId="7A5DB0D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69.89</w:t>
            </w:r>
          </w:p>
        </w:tc>
      </w:tr>
      <w:tr w:rsidR="00A9073D" w:rsidRPr="00101C9A" w14:paraId="6CE4EDE9" w14:textId="24E75AF6" w:rsidTr="00A9073D">
        <w:trPr>
          <w:trHeight w:val="570"/>
        </w:trPr>
        <w:tc>
          <w:tcPr>
            <w:tcW w:w="570" w:type="dxa"/>
          </w:tcPr>
          <w:p w14:paraId="6EED87D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10</w:t>
            </w:r>
          </w:p>
        </w:tc>
        <w:tc>
          <w:tcPr>
            <w:tcW w:w="1443" w:type="dxa"/>
          </w:tcPr>
          <w:p w14:paraId="298064D9"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ZnSB</w:t>
            </w:r>
          </w:p>
        </w:tc>
        <w:tc>
          <w:tcPr>
            <w:tcW w:w="1243" w:type="dxa"/>
            <w:tcBorders>
              <w:top w:val="nil"/>
              <w:left w:val="single" w:sz="4" w:space="0" w:color="auto"/>
              <w:bottom w:val="single" w:sz="4" w:space="0" w:color="auto"/>
              <w:right w:val="single" w:sz="4" w:space="0" w:color="auto"/>
            </w:tcBorders>
            <w:vAlign w:val="bottom"/>
          </w:tcPr>
          <w:p w14:paraId="3DA99F7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51.17</w:t>
            </w:r>
          </w:p>
        </w:tc>
        <w:tc>
          <w:tcPr>
            <w:tcW w:w="1030" w:type="dxa"/>
            <w:tcBorders>
              <w:top w:val="nil"/>
              <w:left w:val="single" w:sz="4" w:space="0" w:color="auto"/>
              <w:bottom w:val="single" w:sz="4" w:space="0" w:color="auto"/>
              <w:right w:val="single" w:sz="4" w:space="0" w:color="auto"/>
            </w:tcBorders>
            <w:vAlign w:val="bottom"/>
          </w:tcPr>
          <w:p w14:paraId="2F586344"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52.17</w:t>
            </w:r>
          </w:p>
        </w:tc>
        <w:tc>
          <w:tcPr>
            <w:tcW w:w="1423" w:type="dxa"/>
            <w:tcBorders>
              <w:top w:val="nil"/>
              <w:left w:val="single" w:sz="4" w:space="0" w:color="auto"/>
              <w:bottom w:val="single" w:sz="4" w:space="0" w:color="auto"/>
              <w:right w:val="single" w:sz="4" w:space="0" w:color="auto"/>
            </w:tcBorders>
            <w:vAlign w:val="bottom"/>
          </w:tcPr>
          <w:p w14:paraId="7AF1134D" w14:textId="7ED76DE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70.25</w:t>
            </w:r>
          </w:p>
        </w:tc>
        <w:tc>
          <w:tcPr>
            <w:tcW w:w="523" w:type="dxa"/>
            <w:tcBorders>
              <w:top w:val="nil"/>
              <w:left w:val="single" w:sz="4" w:space="0" w:color="auto"/>
              <w:bottom w:val="single" w:sz="4" w:space="0" w:color="auto"/>
              <w:right w:val="single" w:sz="4" w:space="0" w:color="auto"/>
            </w:tcBorders>
            <w:vAlign w:val="bottom"/>
          </w:tcPr>
          <w:p w14:paraId="1291DC81" w14:textId="144F907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55.00</w:t>
            </w:r>
          </w:p>
        </w:tc>
        <w:tc>
          <w:tcPr>
            <w:tcW w:w="1750" w:type="dxa"/>
            <w:tcBorders>
              <w:top w:val="nil"/>
              <w:left w:val="single" w:sz="4" w:space="0" w:color="auto"/>
              <w:bottom w:val="single" w:sz="4" w:space="0" w:color="auto"/>
              <w:right w:val="single" w:sz="4" w:space="0" w:color="auto"/>
            </w:tcBorders>
            <w:vAlign w:val="bottom"/>
          </w:tcPr>
          <w:p w14:paraId="1B2261B0" w14:textId="4B056BE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74.85</w:t>
            </w:r>
          </w:p>
        </w:tc>
        <w:tc>
          <w:tcPr>
            <w:tcW w:w="1030" w:type="dxa"/>
            <w:tcBorders>
              <w:top w:val="nil"/>
              <w:left w:val="single" w:sz="4" w:space="0" w:color="auto"/>
              <w:bottom w:val="single" w:sz="4" w:space="0" w:color="auto"/>
              <w:right w:val="single" w:sz="4" w:space="0" w:color="auto"/>
            </w:tcBorders>
          </w:tcPr>
          <w:p w14:paraId="066E445A" w14:textId="77777777" w:rsidR="003F1C08" w:rsidRDefault="003F1C08" w:rsidP="00A9073D">
            <w:pPr>
              <w:spacing w:line="240" w:lineRule="auto"/>
              <w:jc w:val="center"/>
              <w:rPr>
                <w:rFonts w:ascii="Times New Roman" w:hAnsi="Times New Roman" w:cs="Times New Roman"/>
                <w:sz w:val="24"/>
                <w:szCs w:val="24"/>
              </w:rPr>
            </w:pPr>
          </w:p>
          <w:p w14:paraId="0A1BFF87" w14:textId="77777777" w:rsidR="003F1C08" w:rsidRDefault="003F1C08" w:rsidP="00A9073D">
            <w:pPr>
              <w:spacing w:line="240" w:lineRule="auto"/>
              <w:jc w:val="center"/>
              <w:rPr>
                <w:rFonts w:ascii="Times New Roman" w:hAnsi="Times New Roman" w:cs="Times New Roman"/>
                <w:sz w:val="24"/>
                <w:szCs w:val="24"/>
              </w:rPr>
            </w:pPr>
          </w:p>
          <w:p w14:paraId="5A994CBB" w14:textId="4F40F5A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68.97</w:t>
            </w:r>
          </w:p>
        </w:tc>
      </w:tr>
      <w:tr w:rsidR="00A9073D" w:rsidRPr="00101C9A" w14:paraId="1951FD34" w14:textId="46219912" w:rsidTr="00A9073D">
        <w:trPr>
          <w:trHeight w:val="129"/>
        </w:trPr>
        <w:tc>
          <w:tcPr>
            <w:tcW w:w="570" w:type="dxa"/>
          </w:tcPr>
          <w:p w14:paraId="2587E50E"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696B02A8"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SEm±</w:t>
            </w:r>
          </w:p>
        </w:tc>
        <w:tc>
          <w:tcPr>
            <w:tcW w:w="1243" w:type="dxa"/>
            <w:tcBorders>
              <w:top w:val="nil"/>
              <w:left w:val="single" w:sz="4" w:space="0" w:color="auto"/>
              <w:bottom w:val="single" w:sz="4" w:space="0" w:color="auto"/>
              <w:right w:val="single" w:sz="4" w:space="0" w:color="auto"/>
            </w:tcBorders>
            <w:vAlign w:val="bottom"/>
          </w:tcPr>
          <w:p w14:paraId="4951C631"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0.52</w:t>
            </w:r>
          </w:p>
        </w:tc>
        <w:tc>
          <w:tcPr>
            <w:tcW w:w="1030" w:type="dxa"/>
            <w:tcBorders>
              <w:top w:val="nil"/>
              <w:left w:val="single" w:sz="4" w:space="0" w:color="auto"/>
              <w:bottom w:val="single" w:sz="4" w:space="0" w:color="auto"/>
              <w:right w:val="single" w:sz="4" w:space="0" w:color="auto"/>
            </w:tcBorders>
            <w:vAlign w:val="bottom"/>
          </w:tcPr>
          <w:p w14:paraId="612D138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0.48</w:t>
            </w:r>
          </w:p>
        </w:tc>
        <w:tc>
          <w:tcPr>
            <w:tcW w:w="1423" w:type="dxa"/>
            <w:tcBorders>
              <w:top w:val="nil"/>
              <w:left w:val="single" w:sz="4" w:space="0" w:color="auto"/>
              <w:bottom w:val="single" w:sz="4" w:space="0" w:color="auto"/>
              <w:right w:val="single" w:sz="4" w:space="0" w:color="auto"/>
            </w:tcBorders>
            <w:vAlign w:val="bottom"/>
          </w:tcPr>
          <w:p w14:paraId="439E0190" w14:textId="7B4B428B" w:rsidR="00A9073D" w:rsidRPr="005916AE" w:rsidRDefault="00A9073D" w:rsidP="00A9073D">
            <w:pPr>
              <w:spacing w:line="240" w:lineRule="auto"/>
              <w:jc w:val="center"/>
            </w:pPr>
            <w:r w:rsidRPr="00101C9A">
              <w:rPr>
                <w:rFonts w:ascii="Times New Roman" w:hAnsi="Times New Roman" w:cs="Times New Roman"/>
                <w:sz w:val="24"/>
                <w:szCs w:val="24"/>
              </w:rPr>
              <w:t>0.93</w:t>
            </w:r>
          </w:p>
        </w:tc>
        <w:tc>
          <w:tcPr>
            <w:tcW w:w="523" w:type="dxa"/>
            <w:tcBorders>
              <w:top w:val="nil"/>
              <w:left w:val="single" w:sz="4" w:space="0" w:color="auto"/>
              <w:bottom w:val="single" w:sz="4" w:space="0" w:color="auto"/>
              <w:right w:val="single" w:sz="4" w:space="0" w:color="auto"/>
            </w:tcBorders>
            <w:vAlign w:val="bottom"/>
          </w:tcPr>
          <w:p w14:paraId="206E0D4E" w14:textId="1144D392" w:rsidR="00A9073D" w:rsidRPr="005916AE" w:rsidRDefault="00A9073D" w:rsidP="00A9073D">
            <w:pPr>
              <w:spacing w:line="240" w:lineRule="auto"/>
              <w:jc w:val="center"/>
            </w:pPr>
            <w:r w:rsidRPr="00101C9A">
              <w:rPr>
                <w:rFonts w:ascii="Times New Roman" w:hAnsi="Times New Roman" w:cs="Times New Roman"/>
                <w:sz w:val="24"/>
                <w:szCs w:val="24"/>
              </w:rPr>
              <w:t>0.98</w:t>
            </w:r>
          </w:p>
        </w:tc>
        <w:tc>
          <w:tcPr>
            <w:tcW w:w="1750" w:type="dxa"/>
            <w:tcBorders>
              <w:top w:val="nil"/>
              <w:left w:val="single" w:sz="4" w:space="0" w:color="auto"/>
              <w:bottom w:val="single" w:sz="4" w:space="0" w:color="auto"/>
              <w:right w:val="single" w:sz="4" w:space="0" w:color="auto"/>
            </w:tcBorders>
            <w:vAlign w:val="bottom"/>
          </w:tcPr>
          <w:p w14:paraId="55A74E10" w14:textId="73F0B22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1.52</w:t>
            </w:r>
          </w:p>
        </w:tc>
        <w:tc>
          <w:tcPr>
            <w:tcW w:w="1030" w:type="dxa"/>
            <w:tcBorders>
              <w:top w:val="nil"/>
              <w:left w:val="single" w:sz="4" w:space="0" w:color="auto"/>
              <w:bottom w:val="single" w:sz="4" w:space="0" w:color="auto"/>
              <w:right w:val="single" w:sz="4" w:space="0" w:color="auto"/>
            </w:tcBorders>
          </w:tcPr>
          <w:p w14:paraId="11FA1A0A" w14:textId="73EFEFC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2.26</w:t>
            </w:r>
          </w:p>
        </w:tc>
      </w:tr>
      <w:tr w:rsidR="00A9073D" w:rsidRPr="00101C9A" w14:paraId="6C8F9A05" w14:textId="42C5A496" w:rsidTr="00A9073D">
        <w:trPr>
          <w:trHeight w:val="129"/>
        </w:trPr>
        <w:tc>
          <w:tcPr>
            <w:tcW w:w="570" w:type="dxa"/>
          </w:tcPr>
          <w:p w14:paraId="796B7659"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2AA838F5"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C.D. at 5%</w:t>
            </w:r>
          </w:p>
        </w:tc>
        <w:tc>
          <w:tcPr>
            <w:tcW w:w="1243" w:type="dxa"/>
            <w:tcBorders>
              <w:top w:val="nil"/>
              <w:left w:val="single" w:sz="4" w:space="0" w:color="auto"/>
              <w:bottom w:val="single" w:sz="4" w:space="0" w:color="auto"/>
              <w:right w:val="single" w:sz="4" w:space="0" w:color="auto"/>
            </w:tcBorders>
            <w:vAlign w:val="bottom"/>
          </w:tcPr>
          <w:p w14:paraId="129DD5F7"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1.54</w:t>
            </w:r>
          </w:p>
        </w:tc>
        <w:tc>
          <w:tcPr>
            <w:tcW w:w="1030" w:type="dxa"/>
            <w:tcBorders>
              <w:top w:val="nil"/>
              <w:left w:val="single" w:sz="4" w:space="0" w:color="auto"/>
              <w:bottom w:val="single" w:sz="4" w:space="0" w:color="auto"/>
              <w:right w:val="single" w:sz="4" w:space="0" w:color="auto"/>
            </w:tcBorders>
            <w:vAlign w:val="bottom"/>
          </w:tcPr>
          <w:p w14:paraId="4C2618B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1.42</w:t>
            </w:r>
          </w:p>
        </w:tc>
        <w:tc>
          <w:tcPr>
            <w:tcW w:w="1423" w:type="dxa"/>
            <w:tcBorders>
              <w:top w:val="nil"/>
              <w:left w:val="single" w:sz="4" w:space="0" w:color="auto"/>
              <w:bottom w:val="single" w:sz="4" w:space="0" w:color="auto"/>
              <w:right w:val="single" w:sz="4" w:space="0" w:color="auto"/>
            </w:tcBorders>
            <w:vAlign w:val="bottom"/>
          </w:tcPr>
          <w:p w14:paraId="125DAA31" w14:textId="1875524C" w:rsidR="00A9073D" w:rsidRPr="005916AE" w:rsidRDefault="00A9073D" w:rsidP="00A9073D">
            <w:pPr>
              <w:spacing w:line="240" w:lineRule="auto"/>
              <w:jc w:val="center"/>
            </w:pPr>
            <w:r w:rsidRPr="00101C9A">
              <w:rPr>
                <w:rFonts w:ascii="Times New Roman" w:hAnsi="Times New Roman" w:cs="Times New Roman"/>
                <w:sz w:val="24"/>
                <w:szCs w:val="24"/>
              </w:rPr>
              <w:t>2.75</w:t>
            </w:r>
          </w:p>
        </w:tc>
        <w:tc>
          <w:tcPr>
            <w:tcW w:w="523" w:type="dxa"/>
            <w:tcBorders>
              <w:top w:val="nil"/>
              <w:left w:val="single" w:sz="4" w:space="0" w:color="auto"/>
              <w:bottom w:val="single" w:sz="4" w:space="0" w:color="auto"/>
              <w:right w:val="single" w:sz="4" w:space="0" w:color="auto"/>
            </w:tcBorders>
            <w:vAlign w:val="bottom"/>
          </w:tcPr>
          <w:p w14:paraId="7B0E90FB" w14:textId="67E2E14F" w:rsidR="00A9073D" w:rsidRPr="005916AE" w:rsidRDefault="00A9073D" w:rsidP="00A9073D">
            <w:pPr>
              <w:spacing w:line="240" w:lineRule="auto"/>
              <w:jc w:val="center"/>
            </w:pPr>
            <w:r w:rsidRPr="00101C9A">
              <w:rPr>
                <w:rFonts w:ascii="Times New Roman" w:hAnsi="Times New Roman" w:cs="Times New Roman"/>
                <w:sz w:val="24"/>
                <w:szCs w:val="24"/>
              </w:rPr>
              <w:t>2.91</w:t>
            </w:r>
          </w:p>
        </w:tc>
        <w:tc>
          <w:tcPr>
            <w:tcW w:w="1750" w:type="dxa"/>
            <w:tcBorders>
              <w:top w:val="nil"/>
              <w:left w:val="single" w:sz="4" w:space="0" w:color="auto"/>
              <w:bottom w:val="single" w:sz="4" w:space="0" w:color="auto"/>
              <w:right w:val="single" w:sz="4" w:space="0" w:color="auto"/>
            </w:tcBorders>
            <w:vAlign w:val="bottom"/>
          </w:tcPr>
          <w:p w14:paraId="2D8B3058" w14:textId="56CE0B7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4.53</w:t>
            </w:r>
          </w:p>
        </w:tc>
        <w:tc>
          <w:tcPr>
            <w:tcW w:w="1030" w:type="dxa"/>
            <w:tcBorders>
              <w:top w:val="nil"/>
              <w:left w:val="single" w:sz="4" w:space="0" w:color="auto"/>
              <w:bottom w:val="single" w:sz="4" w:space="0" w:color="auto"/>
              <w:right w:val="single" w:sz="4" w:space="0" w:color="auto"/>
            </w:tcBorders>
          </w:tcPr>
          <w:p w14:paraId="3347D5C0" w14:textId="3999D4C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6.70</w:t>
            </w:r>
          </w:p>
        </w:tc>
      </w:tr>
      <w:tr w:rsidR="00A9073D" w:rsidRPr="00101C9A" w14:paraId="3C50B681" w14:textId="65DFF69F" w:rsidTr="00A9073D">
        <w:trPr>
          <w:trHeight w:val="308"/>
        </w:trPr>
        <w:tc>
          <w:tcPr>
            <w:tcW w:w="570" w:type="dxa"/>
          </w:tcPr>
          <w:p w14:paraId="5C1494B8"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1C9A4E0F"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C.V.%</w:t>
            </w:r>
          </w:p>
        </w:tc>
        <w:tc>
          <w:tcPr>
            <w:tcW w:w="1243" w:type="dxa"/>
            <w:tcBorders>
              <w:top w:val="nil"/>
              <w:left w:val="single" w:sz="4" w:space="0" w:color="auto"/>
              <w:bottom w:val="single" w:sz="4" w:space="0" w:color="auto"/>
              <w:right w:val="single" w:sz="4" w:space="0" w:color="auto"/>
            </w:tcBorders>
            <w:vAlign w:val="bottom"/>
          </w:tcPr>
          <w:p w14:paraId="66B1488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1.93</w:t>
            </w:r>
          </w:p>
        </w:tc>
        <w:tc>
          <w:tcPr>
            <w:tcW w:w="1030" w:type="dxa"/>
            <w:tcBorders>
              <w:top w:val="nil"/>
              <w:left w:val="single" w:sz="4" w:space="0" w:color="auto"/>
              <w:bottom w:val="single" w:sz="4" w:space="0" w:color="auto"/>
              <w:right w:val="single" w:sz="4" w:space="0" w:color="auto"/>
            </w:tcBorders>
            <w:vAlign w:val="bottom"/>
          </w:tcPr>
          <w:p w14:paraId="3A391E6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1.75</w:t>
            </w:r>
          </w:p>
        </w:tc>
        <w:tc>
          <w:tcPr>
            <w:tcW w:w="1423" w:type="dxa"/>
            <w:tcBorders>
              <w:top w:val="nil"/>
              <w:left w:val="single" w:sz="4" w:space="0" w:color="auto"/>
              <w:bottom w:val="single" w:sz="4" w:space="0" w:color="auto"/>
              <w:right w:val="single" w:sz="4" w:space="0" w:color="auto"/>
            </w:tcBorders>
            <w:vAlign w:val="bottom"/>
          </w:tcPr>
          <w:p w14:paraId="5618EB6B" w14:textId="05EA7A48" w:rsidR="00A9073D" w:rsidRPr="005916AE" w:rsidRDefault="00A9073D" w:rsidP="00A9073D">
            <w:pPr>
              <w:spacing w:line="240" w:lineRule="auto"/>
              <w:jc w:val="center"/>
            </w:pPr>
            <w:r w:rsidRPr="00101C9A">
              <w:rPr>
                <w:rFonts w:ascii="Times New Roman" w:hAnsi="Times New Roman" w:cs="Times New Roman"/>
                <w:sz w:val="24"/>
                <w:szCs w:val="24"/>
              </w:rPr>
              <w:t>2.81</w:t>
            </w:r>
          </w:p>
        </w:tc>
        <w:tc>
          <w:tcPr>
            <w:tcW w:w="523" w:type="dxa"/>
            <w:tcBorders>
              <w:top w:val="nil"/>
              <w:left w:val="single" w:sz="4" w:space="0" w:color="auto"/>
              <w:bottom w:val="single" w:sz="4" w:space="0" w:color="auto"/>
              <w:right w:val="single" w:sz="4" w:space="0" w:color="auto"/>
            </w:tcBorders>
            <w:vAlign w:val="bottom"/>
          </w:tcPr>
          <w:p w14:paraId="50044FD8" w14:textId="0F61C2D3" w:rsidR="00A9073D" w:rsidRPr="005916AE" w:rsidRDefault="00A9073D" w:rsidP="00A9073D">
            <w:pPr>
              <w:spacing w:line="240" w:lineRule="auto"/>
              <w:jc w:val="center"/>
            </w:pPr>
            <w:r w:rsidRPr="00101C9A">
              <w:rPr>
                <w:rFonts w:ascii="Times New Roman" w:hAnsi="Times New Roman" w:cs="Times New Roman"/>
                <w:sz w:val="24"/>
                <w:szCs w:val="24"/>
              </w:rPr>
              <w:t>3.58</w:t>
            </w:r>
          </w:p>
        </w:tc>
        <w:tc>
          <w:tcPr>
            <w:tcW w:w="1750" w:type="dxa"/>
            <w:tcBorders>
              <w:top w:val="nil"/>
              <w:left w:val="single" w:sz="4" w:space="0" w:color="auto"/>
              <w:bottom w:val="single" w:sz="4" w:space="0" w:color="auto"/>
              <w:right w:val="single" w:sz="4" w:space="0" w:color="auto"/>
            </w:tcBorders>
            <w:vAlign w:val="bottom"/>
          </w:tcPr>
          <w:p w14:paraId="2550F024" w14:textId="5D84B14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3.79</w:t>
            </w:r>
          </w:p>
        </w:tc>
        <w:tc>
          <w:tcPr>
            <w:tcW w:w="1030" w:type="dxa"/>
            <w:tcBorders>
              <w:top w:val="nil"/>
              <w:left w:val="single" w:sz="4" w:space="0" w:color="auto"/>
              <w:bottom w:val="single" w:sz="4" w:space="0" w:color="auto"/>
              <w:right w:val="single" w:sz="4" w:space="0" w:color="auto"/>
            </w:tcBorders>
          </w:tcPr>
          <w:p w14:paraId="5C0523BA" w14:textId="4690F81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6.14</w:t>
            </w:r>
          </w:p>
        </w:tc>
      </w:tr>
      <w:tr w:rsidR="005916AE" w:rsidRPr="00101C9A" w14:paraId="1622B670" w14:textId="4C387AF9" w:rsidTr="00A9073D">
        <w:trPr>
          <w:trHeight w:val="308"/>
        </w:trPr>
        <w:tc>
          <w:tcPr>
            <w:tcW w:w="570" w:type="dxa"/>
          </w:tcPr>
          <w:p w14:paraId="7F763F36" w14:textId="77777777" w:rsidR="005916AE" w:rsidRPr="00101C9A" w:rsidRDefault="005916AE" w:rsidP="00A9073D">
            <w:pPr>
              <w:spacing w:line="240" w:lineRule="auto"/>
              <w:rPr>
                <w:rFonts w:ascii="Times New Roman" w:hAnsi="Times New Roman" w:cs="Times New Roman"/>
                <w:sz w:val="24"/>
                <w:szCs w:val="24"/>
              </w:rPr>
            </w:pPr>
          </w:p>
        </w:tc>
        <w:tc>
          <w:tcPr>
            <w:tcW w:w="1443" w:type="dxa"/>
          </w:tcPr>
          <w:p w14:paraId="7663FE57" w14:textId="77777777" w:rsidR="005916AE" w:rsidRPr="00101C9A" w:rsidRDefault="005916AE"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Initial</w:t>
            </w:r>
          </w:p>
        </w:tc>
        <w:tc>
          <w:tcPr>
            <w:tcW w:w="2273" w:type="dxa"/>
            <w:gridSpan w:val="2"/>
          </w:tcPr>
          <w:p w14:paraId="75213608" w14:textId="77777777" w:rsidR="005916AE" w:rsidRPr="00101C9A" w:rsidRDefault="005916AE"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28.05</w:t>
            </w:r>
          </w:p>
        </w:tc>
        <w:tc>
          <w:tcPr>
            <w:tcW w:w="1946" w:type="dxa"/>
            <w:gridSpan w:val="2"/>
          </w:tcPr>
          <w:p w14:paraId="2528F4C0" w14:textId="13780663" w:rsidR="005916AE" w:rsidRPr="00101C9A" w:rsidRDefault="005916AE"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28.12</w:t>
            </w:r>
          </w:p>
        </w:tc>
        <w:tc>
          <w:tcPr>
            <w:tcW w:w="2780" w:type="dxa"/>
            <w:gridSpan w:val="2"/>
          </w:tcPr>
          <w:p w14:paraId="2DD28B95" w14:textId="2D56BA65" w:rsidR="005916AE"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53.06</w:t>
            </w:r>
          </w:p>
        </w:tc>
      </w:tr>
    </w:tbl>
    <w:p w14:paraId="58305B17" w14:textId="77777777" w:rsidR="0020773C" w:rsidRDefault="0020773C" w:rsidP="007B34EC">
      <w:pPr>
        <w:tabs>
          <w:tab w:val="left" w:pos="1440"/>
        </w:tabs>
        <w:spacing w:after="100"/>
        <w:jc w:val="both"/>
        <w:rPr>
          <w:rFonts w:ascii="Times New Roman" w:hAnsi="Times New Roman" w:cs="Times New Roman"/>
          <w:b/>
          <w:sz w:val="24"/>
          <w:szCs w:val="24"/>
        </w:rPr>
      </w:pPr>
    </w:p>
    <w:p w14:paraId="78B1D5C0" w14:textId="72920E1A" w:rsidR="00522920" w:rsidRDefault="0020773C"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 xml:space="preserve">Fig. No 3 </w:t>
      </w:r>
      <w:r w:rsidRPr="00101C9A">
        <w:rPr>
          <w:rFonts w:ascii="Times New Roman" w:hAnsi="Times New Roman" w:cs="Times New Roman"/>
          <w:b/>
          <w:bCs/>
          <w:sz w:val="24"/>
          <w:szCs w:val="24"/>
        </w:rPr>
        <w:t xml:space="preserve">Effect of microbial inoculants and their consortia </w:t>
      </w:r>
      <w:commentRangeStart w:id="24"/>
      <w:r w:rsidRPr="00101C9A">
        <w:rPr>
          <w:rFonts w:ascii="Times New Roman" w:hAnsi="Times New Roman" w:cs="Times New Roman"/>
          <w:b/>
          <w:bCs/>
          <w:sz w:val="24"/>
          <w:szCs w:val="24"/>
        </w:rPr>
        <w:t>on Dehydrogenase</w:t>
      </w:r>
      <w:r>
        <w:rPr>
          <w:rFonts w:ascii="Times New Roman" w:hAnsi="Times New Roman" w:cs="Times New Roman"/>
          <w:b/>
          <w:bCs/>
          <w:sz w:val="24"/>
          <w:szCs w:val="24"/>
        </w:rPr>
        <w:t xml:space="preserve">, </w:t>
      </w:r>
      <w:r w:rsidRPr="00101C9A">
        <w:rPr>
          <w:rFonts w:ascii="Times New Roman" w:hAnsi="Times New Roman" w:cs="Times New Roman"/>
          <w:b/>
          <w:bCs/>
          <w:sz w:val="24"/>
          <w:szCs w:val="24"/>
        </w:rPr>
        <w:t xml:space="preserve">Acid phosphatase </w:t>
      </w:r>
      <w:r>
        <w:rPr>
          <w:rFonts w:ascii="Times New Roman" w:hAnsi="Times New Roman" w:cs="Times New Roman"/>
          <w:b/>
          <w:bCs/>
          <w:sz w:val="24"/>
          <w:szCs w:val="24"/>
        </w:rPr>
        <w:t xml:space="preserve">and </w:t>
      </w:r>
      <w:r w:rsidRPr="00101C9A">
        <w:rPr>
          <w:rFonts w:ascii="Times New Roman" w:hAnsi="Times New Roman" w:cs="Times New Roman"/>
          <w:b/>
          <w:bCs/>
          <w:sz w:val="24"/>
          <w:szCs w:val="24"/>
        </w:rPr>
        <w:t xml:space="preserve">alkaline phosphatase activity </w:t>
      </w:r>
      <w:commentRangeEnd w:id="24"/>
      <w:r w:rsidR="00D62BAF">
        <w:rPr>
          <w:rStyle w:val="Refdecomentario"/>
        </w:rPr>
        <w:commentReference w:id="24"/>
      </w:r>
      <w:r w:rsidRPr="00101C9A">
        <w:rPr>
          <w:rFonts w:ascii="Times New Roman" w:hAnsi="Times New Roman" w:cs="Times New Roman"/>
          <w:b/>
          <w:bCs/>
          <w:sz w:val="24"/>
          <w:szCs w:val="24"/>
        </w:rPr>
        <w:t>in soil</w:t>
      </w:r>
    </w:p>
    <w:p w14:paraId="72C10D65" w14:textId="2BDB815B" w:rsidR="0020773C" w:rsidRDefault="0020773C" w:rsidP="0020773C">
      <w:pPr>
        <w:tabs>
          <w:tab w:val="left" w:pos="1440"/>
        </w:tabs>
        <w:spacing w:after="100"/>
        <w:jc w:val="center"/>
        <w:rPr>
          <w:rFonts w:ascii="Times New Roman" w:hAnsi="Times New Roman" w:cs="Times New Roman"/>
          <w:b/>
          <w:sz w:val="24"/>
          <w:szCs w:val="24"/>
        </w:rPr>
      </w:pPr>
      <w:r>
        <w:rPr>
          <w:noProof/>
          <w14:ligatures w14:val="standardContextual"/>
        </w:rPr>
        <w:drawing>
          <wp:inline distT="0" distB="0" distL="0" distR="0" wp14:anchorId="1EFE4D9D" wp14:editId="1CF43370">
            <wp:extent cx="4572000" cy="3452813"/>
            <wp:effectExtent l="0" t="0" r="0" b="14605"/>
            <wp:docPr id="241589374" name="Chart 1">
              <a:extLst xmlns:a="http://schemas.openxmlformats.org/drawingml/2006/main">
                <a:ext uri="{FF2B5EF4-FFF2-40B4-BE49-F238E27FC236}">
                  <a16:creationId xmlns:a16="http://schemas.microsoft.com/office/drawing/2014/main" id="{18B05441-2F6C-906A-D1E4-2D6071C7B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66E885" w14:textId="192D44B7" w:rsidR="007B34EC" w:rsidRDefault="007B34EC"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CONCLUSION</w:t>
      </w:r>
    </w:p>
    <w:p w14:paraId="30F31660" w14:textId="77777777" w:rsidR="007B34EC" w:rsidRDefault="007B34EC" w:rsidP="00D66C89">
      <w:pPr>
        <w:tabs>
          <w:tab w:val="left" w:pos="1440"/>
        </w:tabs>
        <w:spacing w:after="10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F6AE5">
        <w:rPr>
          <w:rFonts w:ascii="Times New Roman" w:hAnsi="Times New Roman" w:cs="Times New Roman"/>
          <w:bCs/>
          <w:sz w:val="24"/>
          <w:szCs w:val="24"/>
        </w:rPr>
        <w:t xml:space="preserve">As the </w:t>
      </w:r>
      <w:r>
        <w:rPr>
          <w:rFonts w:ascii="Times New Roman" w:hAnsi="Times New Roman" w:cs="Times New Roman"/>
          <w:bCs/>
          <w:sz w:val="24"/>
          <w:szCs w:val="24"/>
        </w:rPr>
        <w:t xml:space="preserve">above discussion, it can be concluded that, the grain yield, straw yield and nutrient availability in soil were improved with microbial inoculants and their consortia along with RDF. </w:t>
      </w:r>
      <w:r w:rsidRPr="004F43CC">
        <w:rPr>
          <w:rFonts w:ascii="Times New Roman" w:hAnsi="Times New Roman" w:cs="Times New Roman"/>
          <w:sz w:val="24"/>
          <w:szCs w:val="24"/>
        </w:rPr>
        <w:t xml:space="preserve">Significantly maximum grain yield and straw yield of maize was recorded in </w:t>
      </w:r>
      <w:r>
        <w:rPr>
          <w:rFonts w:ascii="Times New Roman" w:hAnsi="Times New Roman" w:cs="Times New Roman"/>
          <w:sz w:val="24"/>
          <w:szCs w:val="24"/>
        </w:rPr>
        <w:t>T</w:t>
      </w:r>
      <w:r w:rsidRPr="0078007E">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Pr="004F43CC">
        <w:rPr>
          <w:rFonts w:ascii="Times New Roman" w:hAnsi="Times New Roman" w:cs="Times New Roman"/>
          <w:sz w:val="24"/>
          <w:szCs w:val="24"/>
        </w:rPr>
        <w:t xml:space="preserve">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 PSB +ZnSB </w:t>
      </w:r>
      <w:r>
        <w:rPr>
          <w:rFonts w:ascii="Times New Roman" w:hAnsi="Times New Roman" w:cs="Times New Roman"/>
          <w:sz w:val="24"/>
          <w:szCs w:val="24"/>
        </w:rPr>
        <w:t xml:space="preserve">(Consortia – VII), </w:t>
      </w:r>
      <w:r w:rsidRPr="004F43CC">
        <w:rPr>
          <w:rFonts w:ascii="Times New Roman" w:hAnsi="Times New Roman" w:cs="Times New Roman"/>
          <w:sz w:val="24"/>
          <w:szCs w:val="24"/>
        </w:rPr>
        <w:t xml:space="preserve">followed by treatment </w:t>
      </w:r>
      <w:r>
        <w:rPr>
          <w:rFonts w:ascii="Times New Roman" w:hAnsi="Times New Roman" w:cs="Times New Roman"/>
          <w:sz w:val="24"/>
          <w:szCs w:val="24"/>
        </w:rPr>
        <w:t>T</w:t>
      </w:r>
      <w:r w:rsidRPr="0078007E">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4F43CC">
        <w:rPr>
          <w:rFonts w:ascii="Times New Roman" w:hAnsi="Times New Roman" w:cs="Times New Roman"/>
          <w:sz w:val="24"/>
          <w:szCs w:val="24"/>
        </w:rPr>
        <w:t xml:space="preserve">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+PSB + KSB.</w:t>
      </w:r>
      <w:r>
        <w:rPr>
          <w:rFonts w:ascii="Times New Roman" w:hAnsi="Times New Roman" w:cs="Times New Roman"/>
          <w:sz w:val="24"/>
          <w:szCs w:val="24"/>
        </w:rPr>
        <w:t xml:space="preserve"> (Consortia – VII).</w:t>
      </w:r>
      <w:r>
        <w:rPr>
          <w:rFonts w:ascii="Times New Roman" w:hAnsi="Times New Roman" w:cs="Times New Roman"/>
          <w:bCs/>
          <w:sz w:val="24"/>
          <w:szCs w:val="24"/>
        </w:rPr>
        <w:t xml:space="preserve"> </w:t>
      </w:r>
      <w:r w:rsidRPr="004F43CC">
        <w:rPr>
          <w:rFonts w:ascii="Times New Roman" w:hAnsi="Times New Roman" w:cs="Times New Roman"/>
          <w:sz w:val="24"/>
          <w:szCs w:val="24"/>
        </w:rPr>
        <w:t>Significantly maximum nutrient availability in soil after tasseling and harvesting of maize crop was also registered with microbial inoculants and their consortia. Significantly highest value of available N, P</w:t>
      </w:r>
      <w:r w:rsidRPr="004F43CC">
        <w:rPr>
          <w:rFonts w:ascii="Times New Roman" w:hAnsi="Times New Roman" w:cs="Times New Roman"/>
          <w:sz w:val="24"/>
          <w:szCs w:val="24"/>
          <w:vertAlign w:val="subscript"/>
        </w:rPr>
        <w:t>2</w:t>
      </w:r>
      <w:r w:rsidRPr="004F43CC">
        <w:rPr>
          <w:rFonts w:ascii="Times New Roman" w:hAnsi="Times New Roman" w:cs="Times New Roman"/>
          <w:sz w:val="24"/>
          <w:szCs w:val="24"/>
        </w:rPr>
        <w:t>O</w:t>
      </w:r>
      <w:r w:rsidRPr="004F43CC">
        <w:rPr>
          <w:rFonts w:ascii="Times New Roman" w:hAnsi="Times New Roman" w:cs="Times New Roman"/>
          <w:sz w:val="24"/>
          <w:szCs w:val="24"/>
          <w:vertAlign w:val="subscript"/>
        </w:rPr>
        <w:t xml:space="preserve">5 </w:t>
      </w:r>
      <w:r w:rsidRPr="004F43CC">
        <w:rPr>
          <w:rFonts w:ascii="Times New Roman" w:hAnsi="Times New Roman" w:cs="Times New Roman"/>
          <w:sz w:val="24"/>
          <w:szCs w:val="24"/>
        </w:rPr>
        <w:t>and K</w:t>
      </w:r>
      <w:r w:rsidRPr="004F43CC">
        <w:rPr>
          <w:rFonts w:ascii="Times New Roman" w:hAnsi="Times New Roman" w:cs="Times New Roman"/>
          <w:sz w:val="24"/>
          <w:szCs w:val="24"/>
          <w:vertAlign w:val="subscript"/>
        </w:rPr>
        <w:t>2</w:t>
      </w:r>
      <w:r w:rsidRPr="004F43CC">
        <w:rPr>
          <w:rFonts w:ascii="Times New Roman" w:hAnsi="Times New Roman" w:cs="Times New Roman"/>
          <w:sz w:val="24"/>
          <w:szCs w:val="24"/>
        </w:rPr>
        <w:t xml:space="preserve">O </w:t>
      </w:r>
      <w:r>
        <w:rPr>
          <w:rFonts w:ascii="Times New Roman" w:hAnsi="Times New Roman" w:cs="Times New Roman"/>
          <w:sz w:val="24"/>
          <w:szCs w:val="24"/>
        </w:rPr>
        <w:t xml:space="preserve">and micronutrients (Fe, Mn, Zn and Cu) </w:t>
      </w:r>
      <w:r w:rsidRPr="004F43CC">
        <w:rPr>
          <w:rFonts w:ascii="Times New Roman" w:hAnsi="Times New Roman" w:cs="Times New Roman"/>
          <w:sz w:val="24"/>
          <w:szCs w:val="24"/>
        </w:rPr>
        <w:t xml:space="preserve">were recorded maximum in treatment receiving the 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 PSB + ZnSB </w:t>
      </w:r>
      <w:r>
        <w:rPr>
          <w:rFonts w:ascii="Times New Roman" w:hAnsi="Times New Roman" w:cs="Times New Roman"/>
          <w:sz w:val="24"/>
          <w:szCs w:val="24"/>
        </w:rPr>
        <w:t xml:space="preserve">(Consortia -VII) </w:t>
      </w:r>
      <w:r w:rsidRPr="004F43CC">
        <w:rPr>
          <w:rFonts w:ascii="Times New Roman" w:hAnsi="Times New Roman" w:cs="Times New Roman"/>
          <w:sz w:val="24"/>
          <w:szCs w:val="24"/>
        </w:rPr>
        <w:t xml:space="preserve">over rest of the treatments. </w:t>
      </w:r>
    </w:p>
    <w:p w14:paraId="7D8E6B96" w14:textId="77777777" w:rsidR="00946BF2" w:rsidRDefault="00946BF2" w:rsidP="005D0D62">
      <w:pPr>
        <w:jc w:val="both"/>
        <w:rPr>
          <w:rFonts w:ascii="Times New Roman" w:hAnsi="Times New Roman" w:cs="Times New Roman"/>
          <w:b/>
          <w:bCs/>
          <w:sz w:val="24"/>
          <w:szCs w:val="24"/>
        </w:rPr>
      </w:pPr>
    </w:p>
    <w:p w14:paraId="6D3B8A23" w14:textId="4115D4B8" w:rsidR="005D0D62" w:rsidRPr="005D0D62" w:rsidRDefault="007B34EC" w:rsidP="005D0D62">
      <w:pPr>
        <w:jc w:val="both"/>
        <w:rPr>
          <w:rFonts w:ascii="Times New Roman" w:hAnsi="Times New Roman" w:cs="Times New Roman"/>
          <w:b/>
          <w:bCs/>
          <w:sz w:val="24"/>
          <w:szCs w:val="24"/>
        </w:rPr>
      </w:pPr>
      <w:r w:rsidRPr="00C53647">
        <w:rPr>
          <w:rFonts w:ascii="Times New Roman" w:hAnsi="Times New Roman" w:cs="Times New Roman"/>
          <w:b/>
          <w:bCs/>
          <w:sz w:val="24"/>
          <w:szCs w:val="24"/>
        </w:rPr>
        <w:t>REFERENCE</w:t>
      </w:r>
    </w:p>
    <w:p w14:paraId="202F51DC" w14:textId="18563070" w:rsidR="005D0D62" w:rsidRPr="0090246A" w:rsidRDefault="00D179A5" w:rsidP="00A4195F">
      <w:pPr>
        <w:ind w:left="360"/>
        <w:jc w:val="both"/>
        <w:rPr>
          <w:rFonts w:ascii="Times New Roman" w:hAnsi="Times New Roman" w:cs="Times New Roman"/>
          <w:sz w:val="24"/>
          <w:szCs w:val="24"/>
          <w:lang w:val="it-IT"/>
        </w:rPr>
      </w:pPr>
      <w:proofErr w:type="spellStart"/>
      <w:r w:rsidRPr="00A4195F">
        <w:rPr>
          <w:rFonts w:ascii="Times New Roman" w:hAnsi="Times New Roman" w:cs="Times New Roman"/>
          <w:sz w:val="24"/>
          <w:szCs w:val="24"/>
        </w:rPr>
        <w:t>Ştefănescu</w:t>
      </w:r>
      <w:proofErr w:type="spellEnd"/>
      <w:r w:rsidRPr="00A4195F">
        <w:rPr>
          <w:rFonts w:ascii="Times New Roman" w:hAnsi="Times New Roman" w:cs="Times New Roman"/>
          <w:sz w:val="24"/>
          <w:szCs w:val="24"/>
        </w:rPr>
        <w:t xml:space="preserve">, I. A., Mocanu, R., &amp; </w:t>
      </w:r>
      <w:proofErr w:type="spellStart"/>
      <w:r w:rsidRPr="00A4195F">
        <w:rPr>
          <w:rFonts w:ascii="Times New Roman" w:hAnsi="Times New Roman" w:cs="Times New Roman"/>
          <w:sz w:val="24"/>
          <w:szCs w:val="24"/>
        </w:rPr>
        <w:t>Duncianu</w:t>
      </w:r>
      <w:proofErr w:type="spellEnd"/>
      <w:r w:rsidRPr="00A4195F">
        <w:rPr>
          <w:rFonts w:ascii="Times New Roman" w:hAnsi="Times New Roman" w:cs="Times New Roman"/>
          <w:sz w:val="24"/>
          <w:szCs w:val="24"/>
        </w:rPr>
        <w:t>, M. (2010). Bio-</w:t>
      </w:r>
      <w:proofErr w:type="spellStart"/>
      <w:r w:rsidRPr="00A4195F">
        <w:rPr>
          <w:rFonts w:ascii="Times New Roman" w:hAnsi="Times New Roman" w:cs="Times New Roman"/>
          <w:sz w:val="24"/>
          <w:szCs w:val="24"/>
        </w:rPr>
        <w:t>solubilisation</w:t>
      </w:r>
      <w:proofErr w:type="spellEnd"/>
      <w:r w:rsidRPr="00A4195F">
        <w:rPr>
          <w:rFonts w:ascii="Times New Roman" w:hAnsi="Times New Roman" w:cs="Times New Roman"/>
          <w:sz w:val="24"/>
          <w:szCs w:val="24"/>
        </w:rPr>
        <w:t xml:space="preserve"> capacity of Bacillus megaterium strain of some micronutrients from the polluted soil. </w:t>
      </w:r>
      <w:r w:rsidRPr="0090246A">
        <w:rPr>
          <w:rFonts w:ascii="Times New Roman" w:hAnsi="Times New Roman" w:cs="Times New Roman"/>
          <w:sz w:val="24"/>
          <w:szCs w:val="24"/>
          <w:lang w:val="it-IT"/>
        </w:rPr>
        <w:t xml:space="preserve">Cercetări Agronomice în Moldova, 43(2), 49-54. </w:t>
      </w:r>
      <w:r>
        <w:fldChar w:fldCharType="begin"/>
      </w:r>
      <w:r w:rsidRPr="0090246A">
        <w:rPr>
          <w:lang w:val="it-IT"/>
        </w:rPr>
        <w:instrText>HYPERLINK "https://repository.iuls.ro/xmlui/handle/20.500.12811/2537"</w:instrText>
      </w:r>
      <w:r>
        <w:fldChar w:fldCharType="separate"/>
      </w:r>
      <w:r w:rsidRPr="0090246A">
        <w:rPr>
          <w:rStyle w:val="Hipervnculo"/>
          <w:rFonts w:ascii="Times New Roman" w:hAnsi="Times New Roman" w:cs="Times New Roman"/>
          <w:sz w:val="24"/>
          <w:szCs w:val="24"/>
          <w:lang w:val="it-IT"/>
        </w:rPr>
        <w:t>https://repository.iuls.ro/xmlui/handle/20.500.12811/2537</w:t>
      </w:r>
      <w:r>
        <w:fldChar w:fldCharType="end"/>
      </w:r>
      <w:r w:rsidRPr="0090246A">
        <w:rPr>
          <w:rFonts w:ascii="Times New Roman" w:hAnsi="Times New Roman" w:cs="Times New Roman"/>
          <w:sz w:val="24"/>
          <w:szCs w:val="24"/>
          <w:lang w:val="it-IT"/>
        </w:rPr>
        <w:t xml:space="preserve"> </w:t>
      </w:r>
      <w:r w:rsidR="0077678B" w:rsidRPr="0090246A">
        <w:rPr>
          <w:rFonts w:ascii="Times New Roman" w:hAnsi="Times New Roman" w:cs="Times New Roman"/>
          <w:sz w:val="24"/>
          <w:szCs w:val="24"/>
          <w:lang w:val="it-IT"/>
        </w:rPr>
        <w:tab/>
      </w:r>
      <w:r w:rsidR="005D0D62" w:rsidRPr="0090246A">
        <w:rPr>
          <w:rFonts w:ascii="Times New Roman" w:hAnsi="Times New Roman" w:cs="Times New Roman"/>
          <w:sz w:val="24"/>
          <w:szCs w:val="24"/>
          <w:lang w:val="it-IT"/>
        </w:rPr>
        <w:t xml:space="preserve"> </w:t>
      </w:r>
    </w:p>
    <w:p w14:paraId="52642330" w14:textId="2F466510" w:rsidR="005D0D62" w:rsidRPr="00A4195F" w:rsidRDefault="0077678B" w:rsidP="00A4195F">
      <w:pPr>
        <w:autoSpaceDE w:val="0"/>
        <w:autoSpaceDN w:val="0"/>
        <w:adjustRightInd w:val="0"/>
        <w:spacing w:line="360" w:lineRule="auto"/>
        <w:ind w:left="360"/>
        <w:jc w:val="both"/>
        <w:rPr>
          <w:i/>
          <w:iCs/>
          <w:szCs w:val="24"/>
          <w:lang w:eastAsia="en-IN"/>
        </w:rPr>
      </w:pPr>
      <w:r w:rsidRPr="00A4195F">
        <w:rPr>
          <w:szCs w:val="24"/>
          <w:lang w:eastAsia="en-IN"/>
        </w:rPr>
        <w:t xml:space="preserve">Badda, N., Yadav, K., Kadian, N., &amp; Aggarwal, A. (2013). Impact of Arbuscular Mycorrhizal Fungi with Trichoderma viride and Pseudomonas fluorescens on Growth Enhancement of Genetically Modified </w:t>
      </w:r>
      <w:proofErr w:type="spellStart"/>
      <w:r w:rsidRPr="00A4195F">
        <w:rPr>
          <w:szCs w:val="24"/>
          <w:lang w:eastAsia="en-IN"/>
        </w:rPr>
        <w:t>Bt</w:t>
      </w:r>
      <w:proofErr w:type="spellEnd"/>
      <w:r w:rsidRPr="00A4195F">
        <w:rPr>
          <w:szCs w:val="24"/>
          <w:lang w:eastAsia="en-IN"/>
        </w:rPr>
        <w:t xml:space="preserve"> Cotton (Bacillus thuringiensis). Journal of Natural Fibers. </w:t>
      </w:r>
      <w:hyperlink r:id="rId20" w:history="1">
        <w:r w:rsidRPr="00A4195F">
          <w:rPr>
            <w:rStyle w:val="Hipervnculo"/>
            <w:szCs w:val="24"/>
            <w:lang w:eastAsia="en-IN"/>
          </w:rPr>
          <w:t>https://doi.org/10.1080/15440478.2013.791913</w:t>
        </w:r>
      </w:hyperlink>
      <w:r w:rsidRPr="00A4195F">
        <w:rPr>
          <w:szCs w:val="24"/>
          <w:lang w:eastAsia="en-IN"/>
        </w:rPr>
        <w:t xml:space="preserve"> </w:t>
      </w:r>
    </w:p>
    <w:p w14:paraId="66A6C01A" w14:textId="77777777" w:rsidR="005D0D62" w:rsidRPr="00A4195F" w:rsidRDefault="005D0D62" w:rsidP="00A4195F">
      <w:pPr>
        <w:autoSpaceDE w:val="0"/>
        <w:autoSpaceDN w:val="0"/>
        <w:adjustRightInd w:val="0"/>
        <w:spacing w:line="360" w:lineRule="auto"/>
        <w:ind w:left="360"/>
        <w:jc w:val="both"/>
        <w:rPr>
          <w:szCs w:val="24"/>
          <w:lang w:eastAsia="en-IN"/>
        </w:rPr>
      </w:pPr>
      <w:proofErr w:type="spellStart"/>
      <w:r w:rsidRPr="00A4195F">
        <w:rPr>
          <w:szCs w:val="24"/>
          <w:lang w:eastAsia="en-IN"/>
        </w:rPr>
        <w:t>Baghmare</w:t>
      </w:r>
      <w:proofErr w:type="spellEnd"/>
      <w:r w:rsidRPr="00A4195F">
        <w:rPr>
          <w:szCs w:val="24"/>
          <w:lang w:eastAsia="en-IN"/>
        </w:rPr>
        <w:t>, R., R. (2019). Growth Promoting Influence of Siderophore Producing Microorganism in Green Gram (Master’s Thesis). Vasantarao Naik</w:t>
      </w:r>
      <w:r w:rsidRPr="00A4195F">
        <w:rPr>
          <w:i/>
          <w:iCs/>
          <w:szCs w:val="24"/>
          <w:lang w:eastAsia="en-IN"/>
        </w:rPr>
        <w:t xml:space="preserve"> </w:t>
      </w:r>
      <w:r w:rsidRPr="00A4195F">
        <w:rPr>
          <w:szCs w:val="24"/>
          <w:lang w:eastAsia="en-IN"/>
        </w:rPr>
        <w:t>Marathwada Krishi Vidyapeeth, Parbhani.</w:t>
      </w:r>
    </w:p>
    <w:p w14:paraId="26249338" w14:textId="4BC9EC89" w:rsidR="005D0D62" w:rsidRPr="00A4195F" w:rsidRDefault="002C4585"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Behera, B., Das, T. K., Raj, R., Ghosh, S., Raza, M. B., &amp; Sen, S. (2020). Microbial Consortia for Sustaining Productivity of Non-legume Crops: Prospects and Challenges. Agricultural Research. </w:t>
      </w:r>
      <w:hyperlink r:id="rId21" w:history="1">
        <w:r w:rsidRPr="00A4195F">
          <w:rPr>
            <w:rStyle w:val="Hipervnculo"/>
            <w:rFonts w:ascii="Times New Roman" w:hAnsi="Times New Roman" w:cs="Times New Roman"/>
            <w:sz w:val="24"/>
            <w:szCs w:val="24"/>
          </w:rPr>
          <w:t>https://doi.org/10.1007/s40003-020-00482-3</w:t>
        </w:r>
      </w:hyperlink>
      <w:r w:rsidRPr="00A4195F">
        <w:rPr>
          <w:rFonts w:ascii="Times New Roman" w:hAnsi="Times New Roman" w:cs="Times New Roman"/>
          <w:sz w:val="24"/>
          <w:szCs w:val="24"/>
        </w:rPr>
        <w:t xml:space="preserve"> </w:t>
      </w:r>
    </w:p>
    <w:p w14:paraId="643082CA" w14:textId="77777777" w:rsidR="005D0D62" w:rsidRPr="00D66C89" w:rsidRDefault="005D0D62" w:rsidP="00A4195F">
      <w:pPr>
        <w:pStyle w:val="Default"/>
        <w:spacing w:after="160" w:line="276" w:lineRule="auto"/>
        <w:ind w:left="360"/>
        <w:jc w:val="both"/>
      </w:pPr>
      <w:r w:rsidRPr="00D66C89">
        <w:t>Bhosle, A. (2021) Enhancement of drought tolerant in wheat (</w:t>
      </w:r>
      <w:r w:rsidRPr="00D62BAF">
        <w:rPr>
          <w:i/>
          <w:iCs/>
          <w:highlight w:val="yellow"/>
        </w:rPr>
        <w:t>t</w:t>
      </w:r>
      <w:r w:rsidRPr="00D66C89">
        <w:rPr>
          <w:i/>
          <w:iCs/>
        </w:rPr>
        <w:t>riticum aestivum</w:t>
      </w:r>
      <w:r w:rsidRPr="00D66C89">
        <w:t xml:space="preserve">) and soil health using promising microbial culture in vertisol. </w:t>
      </w:r>
      <w:r w:rsidRPr="00D66C89">
        <w:rPr>
          <w:i/>
          <w:iCs/>
        </w:rPr>
        <w:t>Ph.D</w:t>
      </w:r>
      <w:r w:rsidRPr="00D66C89">
        <w:t>. Thesis, submitted to Vasantrao Naik Marathwada Agriculture University, Parbhani.</w:t>
      </w:r>
    </w:p>
    <w:p w14:paraId="3416691C" w14:textId="19881090" w:rsidR="005D0D62" w:rsidRPr="00A4195F" w:rsidRDefault="002C4585" w:rsidP="00A4195F">
      <w:pPr>
        <w:autoSpaceDE w:val="0"/>
        <w:autoSpaceDN w:val="0"/>
        <w:adjustRightInd w:val="0"/>
        <w:spacing w:after="0"/>
        <w:ind w:left="360"/>
        <w:jc w:val="both"/>
        <w:rPr>
          <w:rFonts w:ascii="Times New Roman" w:hAnsi="Times New Roman" w:cs="Times New Roman"/>
          <w:sz w:val="24"/>
          <w:szCs w:val="24"/>
          <w:lang w:val="en-IN" w:eastAsia="en-IN" w:bidi="ar-SA"/>
        </w:rPr>
      </w:pPr>
      <w:proofErr w:type="spellStart"/>
      <w:r w:rsidRPr="00A4195F">
        <w:rPr>
          <w:rFonts w:ascii="Times New Roman" w:hAnsi="Times New Roman" w:cs="Times New Roman"/>
          <w:sz w:val="24"/>
          <w:szCs w:val="24"/>
          <w:lang w:val="en-IN" w:eastAsia="en-IN" w:bidi="ar-SA"/>
        </w:rPr>
        <w:t>Chhagan</w:t>
      </w:r>
      <w:proofErr w:type="spellEnd"/>
      <w:r w:rsidRPr="00A4195F">
        <w:rPr>
          <w:rFonts w:ascii="Times New Roman" w:hAnsi="Times New Roman" w:cs="Times New Roman"/>
          <w:sz w:val="24"/>
          <w:szCs w:val="24"/>
          <w:lang w:val="en-IN" w:eastAsia="en-IN" w:bidi="ar-SA"/>
        </w:rPr>
        <w:t xml:space="preserve">, B. R., Sharma, M. P., Sharma, K. R., Samanta, A., Wani, O. A., </w:t>
      </w:r>
      <w:proofErr w:type="spellStart"/>
      <w:r w:rsidRPr="00A4195F">
        <w:rPr>
          <w:rFonts w:ascii="Times New Roman" w:hAnsi="Times New Roman" w:cs="Times New Roman"/>
          <w:sz w:val="24"/>
          <w:szCs w:val="24"/>
          <w:lang w:val="en-IN" w:eastAsia="en-IN" w:bidi="ar-SA"/>
        </w:rPr>
        <w:t>Kachroo</w:t>
      </w:r>
      <w:proofErr w:type="spellEnd"/>
      <w:r w:rsidRPr="00A4195F">
        <w:rPr>
          <w:rFonts w:ascii="Times New Roman" w:hAnsi="Times New Roman" w:cs="Times New Roman"/>
          <w:sz w:val="24"/>
          <w:szCs w:val="24"/>
          <w:lang w:val="en-IN" w:eastAsia="en-IN" w:bidi="ar-SA"/>
        </w:rPr>
        <w:t xml:space="preserve">, D., Kumar, M., Razdan, V. K., Sharma, V., Mondal, A. K., &amp; Arya, V. M. (2019). Impact of Organic, Inorganic and Biofertilizers on Crop Yield and N, P and K Uptake under Rainfed Maize-Wheat Cropping System. International Journal of Current Microbiology and Applied Sciences, 8(4), 2546-2564. </w:t>
      </w:r>
      <w:hyperlink r:id="rId22" w:history="1">
        <w:r w:rsidRPr="00A4195F">
          <w:rPr>
            <w:rStyle w:val="Hipervnculo"/>
            <w:rFonts w:ascii="Times New Roman" w:hAnsi="Times New Roman" w:cs="Times New Roman"/>
            <w:sz w:val="24"/>
            <w:szCs w:val="24"/>
            <w:lang w:val="en-IN" w:eastAsia="en-IN" w:bidi="ar-SA"/>
          </w:rPr>
          <w:t>https://doi.org/10.20546/ijcmas.2019.804.297</w:t>
        </w:r>
      </w:hyperlink>
      <w:r w:rsidRPr="00A4195F">
        <w:rPr>
          <w:rFonts w:ascii="Times New Roman" w:hAnsi="Times New Roman" w:cs="Times New Roman"/>
          <w:sz w:val="24"/>
          <w:szCs w:val="24"/>
          <w:lang w:val="en-IN" w:eastAsia="en-IN" w:bidi="ar-SA"/>
        </w:rPr>
        <w:t xml:space="preserve"> </w:t>
      </w:r>
    </w:p>
    <w:p w14:paraId="5ACB15F6" w14:textId="77777777" w:rsidR="005D0D62" w:rsidRPr="00A4195F" w:rsidRDefault="005D0D62" w:rsidP="00A4195F">
      <w:pPr>
        <w:autoSpaceDE w:val="0"/>
        <w:autoSpaceDN w:val="0"/>
        <w:adjustRightInd w:val="0"/>
        <w:spacing w:after="0"/>
        <w:ind w:left="360"/>
        <w:jc w:val="both"/>
        <w:rPr>
          <w:rFonts w:ascii="Times New Roman" w:hAnsi="Times New Roman" w:cs="Times New Roman"/>
          <w:sz w:val="24"/>
          <w:szCs w:val="24"/>
          <w:lang w:eastAsia="en-IN" w:bidi="ar-SA"/>
        </w:rPr>
      </w:pPr>
      <w:r w:rsidRPr="00A4195F">
        <w:rPr>
          <w:rFonts w:ascii="Times New Roman" w:hAnsi="Times New Roman" w:cs="Times New Roman"/>
          <w:sz w:val="24"/>
          <w:szCs w:val="24"/>
          <w:lang w:eastAsia="en-IN" w:bidi="ar-SA"/>
        </w:rPr>
        <w:t>Choudhary, K., More, S., and Bhanderi, D. (2015). Impact of biofertilizers and chemical fertilizers on growth and yield of okra (Abelmoschus esculentus L. Moench). The ecoscan, 9(1and2), 67-70.</w:t>
      </w:r>
    </w:p>
    <w:p w14:paraId="3C166073" w14:textId="40291DC8" w:rsidR="005D0D62" w:rsidRPr="00A4195F" w:rsidRDefault="00D77712"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A4195F">
        <w:rPr>
          <w:rFonts w:ascii="Times New Roman" w:hAnsi="Times New Roman" w:cs="Times New Roman"/>
          <w:sz w:val="24"/>
          <w:szCs w:val="24"/>
          <w:lang w:val="en-IN" w:eastAsia="en-IN" w:bidi="ar-SA"/>
        </w:rPr>
        <w:t xml:space="preserve">Fall, A. F., </w:t>
      </w:r>
      <w:proofErr w:type="spellStart"/>
      <w:r w:rsidRPr="00A4195F">
        <w:rPr>
          <w:rFonts w:ascii="Times New Roman" w:hAnsi="Times New Roman" w:cs="Times New Roman"/>
          <w:sz w:val="24"/>
          <w:szCs w:val="24"/>
          <w:lang w:val="en-IN" w:eastAsia="en-IN" w:bidi="ar-SA"/>
        </w:rPr>
        <w:t>Nakabonge</w:t>
      </w:r>
      <w:proofErr w:type="spellEnd"/>
      <w:r w:rsidRPr="00A4195F">
        <w:rPr>
          <w:rFonts w:ascii="Times New Roman" w:hAnsi="Times New Roman" w:cs="Times New Roman"/>
          <w:sz w:val="24"/>
          <w:szCs w:val="24"/>
          <w:lang w:val="en-IN" w:eastAsia="en-IN" w:bidi="ar-SA"/>
        </w:rPr>
        <w:t xml:space="preserve">, G., </w:t>
      </w:r>
      <w:proofErr w:type="spellStart"/>
      <w:r w:rsidRPr="00A4195F">
        <w:rPr>
          <w:rFonts w:ascii="Times New Roman" w:hAnsi="Times New Roman" w:cs="Times New Roman"/>
          <w:sz w:val="24"/>
          <w:szCs w:val="24"/>
          <w:lang w:val="en-IN" w:eastAsia="en-IN" w:bidi="ar-SA"/>
        </w:rPr>
        <w:t>Ssekandi</w:t>
      </w:r>
      <w:proofErr w:type="spellEnd"/>
      <w:r w:rsidRPr="00A4195F">
        <w:rPr>
          <w:rFonts w:ascii="Times New Roman" w:hAnsi="Times New Roman" w:cs="Times New Roman"/>
          <w:sz w:val="24"/>
          <w:szCs w:val="24"/>
          <w:lang w:val="en-IN" w:eastAsia="en-IN" w:bidi="ar-SA"/>
        </w:rPr>
        <w:t xml:space="preserve">, J., </w:t>
      </w:r>
      <w:proofErr w:type="spellStart"/>
      <w:r w:rsidRPr="00A4195F">
        <w:rPr>
          <w:rFonts w:ascii="Times New Roman" w:hAnsi="Times New Roman" w:cs="Times New Roman"/>
          <w:sz w:val="24"/>
          <w:szCs w:val="24"/>
          <w:lang w:val="en-IN" w:eastAsia="en-IN" w:bidi="ar-SA"/>
        </w:rPr>
        <w:t>Founoune</w:t>
      </w:r>
      <w:proofErr w:type="spellEnd"/>
      <w:r w:rsidRPr="00A4195F">
        <w:rPr>
          <w:rFonts w:ascii="Times New Roman" w:hAnsi="Times New Roman" w:cs="Times New Roman"/>
          <w:sz w:val="24"/>
          <w:szCs w:val="24"/>
          <w:lang w:val="en-IN" w:eastAsia="en-IN" w:bidi="ar-SA"/>
        </w:rPr>
        <w:t xml:space="preserve">-Mboup, H., Badji, A., Ndiaye, A., Ndiaye, M., Kyakuwa, P., </w:t>
      </w:r>
      <w:proofErr w:type="spellStart"/>
      <w:r w:rsidRPr="00A4195F">
        <w:rPr>
          <w:rFonts w:ascii="Times New Roman" w:hAnsi="Times New Roman" w:cs="Times New Roman"/>
          <w:sz w:val="24"/>
          <w:szCs w:val="24"/>
          <w:lang w:val="en-IN" w:eastAsia="en-IN" w:bidi="ar-SA"/>
        </w:rPr>
        <w:t>Anyoni</w:t>
      </w:r>
      <w:proofErr w:type="spellEnd"/>
      <w:r w:rsidRPr="00A4195F">
        <w:rPr>
          <w:rFonts w:ascii="Times New Roman" w:hAnsi="Times New Roman" w:cs="Times New Roman"/>
          <w:sz w:val="24"/>
          <w:szCs w:val="24"/>
          <w:lang w:val="en-IN" w:eastAsia="en-IN" w:bidi="ar-SA"/>
        </w:rPr>
        <w:t xml:space="preserve">, O. G., </w:t>
      </w:r>
      <w:proofErr w:type="spellStart"/>
      <w:r w:rsidRPr="00A4195F">
        <w:rPr>
          <w:rFonts w:ascii="Times New Roman" w:hAnsi="Times New Roman" w:cs="Times New Roman"/>
          <w:sz w:val="24"/>
          <w:szCs w:val="24"/>
          <w:lang w:val="en-IN" w:eastAsia="en-IN" w:bidi="ar-SA"/>
        </w:rPr>
        <w:t>Kabaseke</w:t>
      </w:r>
      <w:proofErr w:type="spellEnd"/>
      <w:r w:rsidRPr="00A4195F">
        <w:rPr>
          <w:rFonts w:ascii="Times New Roman" w:hAnsi="Times New Roman" w:cs="Times New Roman"/>
          <w:sz w:val="24"/>
          <w:szCs w:val="24"/>
          <w:lang w:val="en-IN" w:eastAsia="en-IN" w:bidi="ar-SA"/>
        </w:rPr>
        <w:t xml:space="preserve">, C., Ronoh, A. K., &amp; </w:t>
      </w:r>
      <w:proofErr w:type="spellStart"/>
      <w:r w:rsidRPr="00A4195F">
        <w:rPr>
          <w:rFonts w:ascii="Times New Roman" w:hAnsi="Times New Roman" w:cs="Times New Roman"/>
          <w:sz w:val="24"/>
          <w:szCs w:val="24"/>
          <w:lang w:val="en-IN" w:eastAsia="en-IN" w:bidi="ar-SA"/>
        </w:rPr>
        <w:t>Ekwangu</w:t>
      </w:r>
      <w:proofErr w:type="spellEnd"/>
      <w:r w:rsidRPr="00A4195F">
        <w:rPr>
          <w:rFonts w:ascii="Times New Roman" w:hAnsi="Times New Roman" w:cs="Times New Roman"/>
          <w:sz w:val="24"/>
          <w:szCs w:val="24"/>
          <w:lang w:val="en-IN" w:eastAsia="en-IN" w:bidi="ar-SA"/>
        </w:rPr>
        <w:t xml:space="preserve">, J. (2023). Combined Effects of Indigenous Arbuscular Mycorrhizal Fungi (AMF) and NPK Fertilizer on Growth and Yields of Maize and Soil Nutrient Availability. Sustainability, 15(3), 2243. </w:t>
      </w:r>
      <w:hyperlink r:id="rId23" w:history="1">
        <w:r w:rsidRPr="00A4195F">
          <w:rPr>
            <w:rStyle w:val="Hipervnculo"/>
            <w:rFonts w:ascii="Times New Roman" w:hAnsi="Times New Roman" w:cs="Times New Roman"/>
            <w:sz w:val="24"/>
            <w:szCs w:val="24"/>
            <w:lang w:val="en-IN" w:eastAsia="en-IN" w:bidi="ar-SA"/>
          </w:rPr>
          <w:t>https://doi.org/10.3390/su15032243</w:t>
        </w:r>
      </w:hyperlink>
      <w:r w:rsidRPr="00A4195F">
        <w:rPr>
          <w:rFonts w:ascii="Times New Roman" w:hAnsi="Times New Roman" w:cs="Times New Roman"/>
          <w:sz w:val="24"/>
          <w:szCs w:val="24"/>
          <w:lang w:val="en-IN" w:eastAsia="en-IN" w:bidi="ar-SA"/>
        </w:rPr>
        <w:t xml:space="preserve"> </w:t>
      </w:r>
    </w:p>
    <w:p w14:paraId="417EECB3" w14:textId="2B711EDF" w:rsidR="005D0D62" w:rsidRPr="00A4195F" w:rsidRDefault="00FB6758" w:rsidP="00A4195F">
      <w:pPr>
        <w:autoSpaceDE w:val="0"/>
        <w:autoSpaceDN w:val="0"/>
        <w:adjustRightInd w:val="0"/>
        <w:spacing w:after="0"/>
        <w:ind w:left="360"/>
        <w:jc w:val="both"/>
        <w:rPr>
          <w:rFonts w:ascii="Times New Roman" w:hAnsi="Times New Roman" w:cs="Times New Roman"/>
          <w:i/>
          <w:iCs/>
          <w:sz w:val="24"/>
          <w:szCs w:val="24"/>
          <w:lang w:val="en-IN" w:eastAsia="en-IN" w:bidi="ar-SA"/>
        </w:rPr>
      </w:pPr>
      <w:r w:rsidRPr="00A4195F">
        <w:rPr>
          <w:rFonts w:ascii="Times New Roman" w:hAnsi="Times New Roman" w:cs="Times New Roman"/>
          <w:sz w:val="24"/>
          <w:szCs w:val="24"/>
          <w:lang w:val="en-IN" w:eastAsia="en-IN" w:bidi="ar-SA"/>
        </w:rPr>
        <w:t xml:space="preserve">Gao, C., El-Sawah, A. M., Ali, D. F. I., Hamoud, Y. A., </w:t>
      </w:r>
      <w:proofErr w:type="spellStart"/>
      <w:r w:rsidRPr="00A4195F">
        <w:rPr>
          <w:rFonts w:ascii="Times New Roman" w:hAnsi="Times New Roman" w:cs="Times New Roman"/>
          <w:sz w:val="24"/>
          <w:szCs w:val="24"/>
          <w:lang w:val="en-IN" w:eastAsia="en-IN" w:bidi="ar-SA"/>
        </w:rPr>
        <w:t>Shaghaleh</w:t>
      </w:r>
      <w:proofErr w:type="spellEnd"/>
      <w:r w:rsidRPr="00A4195F">
        <w:rPr>
          <w:rFonts w:ascii="Times New Roman" w:hAnsi="Times New Roman" w:cs="Times New Roman"/>
          <w:sz w:val="24"/>
          <w:szCs w:val="24"/>
          <w:lang w:val="en-IN" w:eastAsia="en-IN" w:bidi="ar-SA"/>
        </w:rPr>
        <w:t xml:space="preserve">, H., &amp; </w:t>
      </w:r>
      <w:proofErr w:type="spellStart"/>
      <w:r w:rsidRPr="00A4195F">
        <w:rPr>
          <w:rFonts w:ascii="Times New Roman" w:hAnsi="Times New Roman" w:cs="Times New Roman"/>
          <w:sz w:val="24"/>
          <w:szCs w:val="24"/>
          <w:lang w:val="en-IN" w:eastAsia="en-IN" w:bidi="ar-SA"/>
        </w:rPr>
        <w:t>Sheteiwy</w:t>
      </w:r>
      <w:proofErr w:type="spellEnd"/>
      <w:r w:rsidRPr="00A4195F">
        <w:rPr>
          <w:rFonts w:ascii="Times New Roman" w:hAnsi="Times New Roman" w:cs="Times New Roman"/>
          <w:sz w:val="24"/>
          <w:szCs w:val="24"/>
          <w:lang w:val="en-IN" w:eastAsia="en-IN" w:bidi="ar-SA"/>
        </w:rPr>
        <w:t xml:space="preserve">, M. S. (2020). The integration of bio and organic fertilizers improve plant growth, grain yield, quality and metabolism of hybrid maize (Zea mays L.). *Agronomy*, *10*(3), 319. </w:t>
      </w:r>
      <w:hyperlink r:id="rId24" w:history="1">
        <w:r w:rsidRPr="00A4195F">
          <w:rPr>
            <w:rStyle w:val="Hipervnculo"/>
            <w:rFonts w:ascii="Times New Roman" w:hAnsi="Times New Roman" w:cs="Times New Roman"/>
            <w:sz w:val="24"/>
            <w:szCs w:val="24"/>
            <w:lang w:val="en-IN" w:eastAsia="en-IN" w:bidi="ar-SA"/>
          </w:rPr>
          <w:t>https://doi.org/10.3390/agronomy10030319</w:t>
        </w:r>
      </w:hyperlink>
      <w:r w:rsidRPr="00A4195F">
        <w:rPr>
          <w:rFonts w:ascii="Times New Roman" w:hAnsi="Times New Roman" w:cs="Times New Roman"/>
          <w:sz w:val="24"/>
          <w:szCs w:val="24"/>
          <w:lang w:val="en-IN" w:eastAsia="en-IN" w:bidi="ar-SA"/>
        </w:rPr>
        <w:t xml:space="preserve"> </w:t>
      </w:r>
    </w:p>
    <w:p w14:paraId="3D4B6F76" w14:textId="2C4F919C" w:rsidR="005D0D62" w:rsidRPr="00A4195F" w:rsidRDefault="008E0E0A"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A4195F">
        <w:rPr>
          <w:rFonts w:ascii="Times New Roman" w:hAnsi="Times New Roman" w:cs="Times New Roman"/>
          <w:sz w:val="24"/>
          <w:szCs w:val="24"/>
          <w:lang w:eastAsia="en-IN" w:bidi="ar-SA"/>
        </w:rPr>
        <w:t xml:space="preserve">Gohil, N. B., Ramani, V. P., </w:t>
      </w:r>
      <w:proofErr w:type="spellStart"/>
      <w:r w:rsidRPr="00A4195F">
        <w:rPr>
          <w:rFonts w:ascii="Times New Roman" w:hAnsi="Times New Roman" w:cs="Times New Roman"/>
          <w:sz w:val="24"/>
          <w:szCs w:val="24"/>
          <w:lang w:eastAsia="en-IN" w:bidi="ar-SA"/>
        </w:rPr>
        <w:t>Kadivala</w:t>
      </w:r>
      <w:proofErr w:type="spellEnd"/>
      <w:r w:rsidRPr="00A4195F">
        <w:rPr>
          <w:rFonts w:ascii="Times New Roman" w:hAnsi="Times New Roman" w:cs="Times New Roman"/>
          <w:sz w:val="24"/>
          <w:szCs w:val="24"/>
          <w:lang w:eastAsia="en-IN" w:bidi="ar-SA"/>
        </w:rPr>
        <w:t xml:space="preserve">, V. H., &amp; Kacha, R. P. (2021). Effects of Bio-NPK Consortium on Growth, Yield and Nutrient Uptake by Rice under Clay Loam Textured Soil. Journal of the Indian Society of Soil Science, 69(2), 179-186. </w:t>
      </w:r>
      <w:hyperlink r:id="rId25" w:history="1">
        <w:r w:rsidRPr="00A4195F">
          <w:rPr>
            <w:rStyle w:val="Hipervnculo"/>
            <w:rFonts w:ascii="Times New Roman" w:hAnsi="Times New Roman" w:cs="Times New Roman"/>
            <w:sz w:val="24"/>
            <w:szCs w:val="24"/>
            <w:lang w:eastAsia="en-IN" w:bidi="ar-SA"/>
          </w:rPr>
          <w:t>https://doi.org/10.5958/0974-0228.2021.00036.0</w:t>
        </w:r>
      </w:hyperlink>
      <w:r w:rsidRPr="00A4195F">
        <w:rPr>
          <w:rFonts w:ascii="Times New Roman" w:hAnsi="Times New Roman" w:cs="Times New Roman"/>
          <w:sz w:val="24"/>
          <w:szCs w:val="24"/>
          <w:lang w:eastAsia="en-IN" w:bidi="ar-SA"/>
        </w:rPr>
        <w:t xml:space="preserve"> </w:t>
      </w:r>
    </w:p>
    <w:p w14:paraId="11FFD2F1" w14:textId="7B331722" w:rsidR="005D0D62" w:rsidRPr="00A4195F" w:rsidRDefault="005F34A4" w:rsidP="00A4195F">
      <w:pPr>
        <w:autoSpaceDE w:val="0"/>
        <w:autoSpaceDN w:val="0"/>
        <w:adjustRightInd w:val="0"/>
        <w:spacing w:after="0"/>
        <w:ind w:left="360"/>
        <w:jc w:val="both"/>
        <w:rPr>
          <w:rFonts w:ascii="Times New Roman" w:hAnsi="Times New Roman" w:cs="Times New Roman"/>
          <w:i/>
          <w:iCs/>
          <w:sz w:val="24"/>
          <w:szCs w:val="24"/>
        </w:rPr>
      </w:pPr>
      <w:r w:rsidRPr="0090246A">
        <w:rPr>
          <w:rFonts w:ascii="Times New Roman" w:hAnsi="Times New Roman" w:cs="Times New Roman"/>
          <w:sz w:val="24"/>
          <w:szCs w:val="24"/>
          <w:lang w:val="it-IT"/>
        </w:rPr>
        <w:t xml:space="preserve">Goteti, P. K., Emmanuel, L. D. A., Desai, S., &amp; Shaik, M. H. A. (2013). </w:t>
      </w:r>
      <w:r w:rsidRPr="00A4195F">
        <w:rPr>
          <w:rFonts w:ascii="Times New Roman" w:hAnsi="Times New Roman" w:cs="Times New Roman"/>
          <w:sz w:val="24"/>
          <w:szCs w:val="24"/>
        </w:rPr>
        <w:t xml:space="preserve">Prospective Zinc </w:t>
      </w:r>
      <w:proofErr w:type="spellStart"/>
      <w:r w:rsidRPr="00A4195F">
        <w:rPr>
          <w:rFonts w:ascii="Times New Roman" w:hAnsi="Times New Roman" w:cs="Times New Roman"/>
          <w:sz w:val="24"/>
          <w:szCs w:val="24"/>
        </w:rPr>
        <w:t>Solubilising</w:t>
      </w:r>
      <w:proofErr w:type="spellEnd"/>
      <w:r w:rsidRPr="00A4195F">
        <w:rPr>
          <w:rFonts w:ascii="Times New Roman" w:hAnsi="Times New Roman" w:cs="Times New Roman"/>
          <w:sz w:val="24"/>
          <w:szCs w:val="24"/>
        </w:rPr>
        <w:t xml:space="preserve"> Bacteria for Enhanced Nutrient Uptake and Growth Promotion in Maize (Zea mays L.). International Journal of Microbiology, 2013, Article ID 869697. </w:t>
      </w:r>
      <w:hyperlink r:id="rId26" w:history="1">
        <w:r w:rsidRPr="00A4195F">
          <w:rPr>
            <w:rStyle w:val="Hipervnculo"/>
            <w:rFonts w:ascii="Times New Roman" w:hAnsi="Times New Roman" w:cs="Times New Roman"/>
            <w:sz w:val="24"/>
            <w:szCs w:val="24"/>
          </w:rPr>
          <w:t>https://doi.org/10.1155/2013/869697</w:t>
        </w:r>
      </w:hyperlink>
      <w:r w:rsidRPr="00A4195F">
        <w:rPr>
          <w:rFonts w:ascii="Times New Roman" w:hAnsi="Times New Roman" w:cs="Times New Roman"/>
          <w:sz w:val="24"/>
          <w:szCs w:val="24"/>
        </w:rPr>
        <w:t xml:space="preserve"> </w:t>
      </w:r>
    </w:p>
    <w:p w14:paraId="1E4C2F8F" w14:textId="3093379B" w:rsidR="005D0D62" w:rsidRPr="00A4195F" w:rsidRDefault="008567E1" w:rsidP="00A4195F">
      <w:pPr>
        <w:spacing w:line="360" w:lineRule="auto"/>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Gulnaz, Y., Fathima, P. S., Denesh, G. R., </w:t>
      </w:r>
      <w:proofErr w:type="spellStart"/>
      <w:r w:rsidRPr="00A4195F">
        <w:rPr>
          <w:rFonts w:ascii="Times New Roman" w:hAnsi="Times New Roman" w:cs="Times New Roman"/>
          <w:sz w:val="24"/>
          <w:szCs w:val="24"/>
        </w:rPr>
        <w:t>Kulmitra</w:t>
      </w:r>
      <w:proofErr w:type="spellEnd"/>
      <w:r w:rsidRPr="00A4195F">
        <w:rPr>
          <w:rFonts w:ascii="Times New Roman" w:hAnsi="Times New Roman" w:cs="Times New Roman"/>
          <w:sz w:val="24"/>
          <w:szCs w:val="24"/>
        </w:rPr>
        <w:t xml:space="preserve">, A. K., Shivraj Kumar, H. S., </w:t>
      </w:r>
      <w:proofErr w:type="spellStart"/>
      <w:r w:rsidRPr="00A4195F">
        <w:rPr>
          <w:rFonts w:ascii="Times New Roman" w:hAnsi="Times New Roman" w:cs="Times New Roman"/>
          <w:sz w:val="24"/>
          <w:szCs w:val="24"/>
        </w:rPr>
        <w:t>Sathisha</w:t>
      </w:r>
      <w:proofErr w:type="spellEnd"/>
      <w:r w:rsidRPr="00A4195F">
        <w:rPr>
          <w:rFonts w:ascii="Times New Roman" w:hAnsi="Times New Roman" w:cs="Times New Roman"/>
          <w:sz w:val="24"/>
          <w:szCs w:val="24"/>
        </w:rPr>
        <w:t xml:space="preserve">, C., </w:t>
      </w:r>
      <w:proofErr w:type="spellStart"/>
      <w:r w:rsidRPr="00A4195F">
        <w:rPr>
          <w:rFonts w:ascii="Times New Roman" w:hAnsi="Times New Roman" w:cs="Times New Roman"/>
          <w:sz w:val="24"/>
          <w:szCs w:val="24"/>
        </w:rPr>
        <w:t>Ajagol</w:t>
      </w:r>
      <w:proofErr w:type="spellEnd"/>
      <w:r w:rsidRPr="00A4195F">
        <w:rPr>
          <w:rFonts w:ascii="Times New Roman" w:hAnsi="Times New Roman" w:cs="Times New Roman"/>
          <w:sz w:val="24"/>
          <w:szCs w:val="24"/>
        </w:rPr>
        <w:t xml:space="preserve">, P., &amp; Nagesh, C. R. (2017). Effect of plant growth promoting Rhizobacteria (PGPR) and PSB on growth and yield of irrigated maize under varying levels of phosphorus. International Journal of Chemical Studies, 5(5), 1008-1010. </w:t>
      </w:r>
      <w:hyperlink r:id="rId27" w:history="1">
        <w:r w:rsidRPr="00A4195F">
          <w:rPr>
            <w:rStyle w:val="Hipervnculo"/>
            <w:rFonts w:ascii="Times New Roman" w:hAnsi="Times New Roman" w:cs="Times New Roman"/>
            <w:sz w:val="24"/>
            <w:szCs w:val="24"/>
          </w:rPr>
          <w:t>https://www.chemijournal.com/archives/2017/vol5issue5/5-5-10-100.pdf</w:t>
        </w:r>
      </w:hyperlink>
      <w:r w:rsidRPr="00A4195F">
        <w:rPr>
          <w:rFonts w:ascii="Times New Roman" w:hAnsi="Times New Roman" w:cs="Times New Roman"/>
          <w:sz w:val="24"/>
          <w:szCs w:val="24"/>
        </w:rPr>
        <w:t xml:space="preserve"> </w:t>
      </w:r>
    </w:p>
    <w:p w14:paraId="6BC949C7" w14:textId="66BD8150" w:rsidR="005D0D62" w:rsidRPr="00A4195F" w:rsidRDefault="003C2D9A" w:rsidP="00A4195F">
      <w:pPr>
        <w:ind w:left="360"/>
        <w:jc w:val="both"/>
        <w:rPr>
          <w:rFonts w:ascii="Times New Roman" w:hAnsi="Times New Roman" w:cs="Times New Roman"/>
          <w:sz w:val="24"/>
          <w:szCs w:val="24"/>
        </w:rPr>
      </w:pPr>
      <w:r w:rsidRPr="0090246A">
        <w:rPr>
          <w:rFonts w:ascii="Times New Roman" w:hAnsi="Times New Roman" w:cs="Times New Roman"/>
          <w:sz w:val="24"/>
          <w:szCs w:val="24"/>
          <w:lang w:val="it-IT"/>
        </w:rPr>
        <w:t xml:space="preserve">Ingole, A., Ismail, S., &amp; Dhamak, A. (2023). </w:t>
      </w:r>
      <w:r w:rsidRPr="00A4195F">
        <w:rPr>
          <w:rFonts w:ascii="Times New Roman" w:hAnsi="Times New Roman" w:cs="Times New Roman"/>
          <w:sz w:val="24"/>
          <w:szCs w:val="24"/>
        </w:rPr>
        <w:t xml:space="preserve">Mobilization of macro and micronutrients by promising microbial isolates in soil pot culture experiment. The Pharma Innovation Journal, 12(7), 2366-2373. </w:t>
      </w:r>
      <w:hyperlink r:id="rId28" w:history="1">
        <w:r w:rsidRPr="00A4195F">
          <w:rPr>
            <w:rStyle w:val="Hipervnculo"/>
            <w:rFonts w:ascii="Times New Roman" w:hAnsi="Times New Roman" w:cs="Times New Roman"/>
            <w:sz w:val="24"/>
            <w:szCs w:val="24"/>
          </w:rPr>
          <w:t>https://www.thepharmajournal.com/archives/2023/vol12issue7S/PartAD/12-7S-10-100.pdf</w:t>
        </w:r>
      </w:hyperlink>
      <w:r w:rsidRPr="00A4195F">
        <w:rPr>
          <w:rFonts w:ascii="Times New Roman" w:hAnsi="Times New Roman" w:cs="Times New Roman"/>
          <w:sz w:val="24"/>
          <w:szCs w:val="24"/>
        </w:rPr>
        <w:t xml:space="preserve"> </w:t>
      </w:r>
    </w:p>
    <w:p w14:paraId="2420466A" w14:textId="366A4466" w:rsidR="005D0D62" w:rsidRPr="00A4195F" w:rsidRDefault="00A354D7" w:rsidP="00A4195F">
      <w:pPr>
        <w:autoSpaceDE w:val="0"/>
        <w:autoSpaceDN w:val="0"/>
        <w:adjustRightInd w:val="0"/>
        <w:ind w:left="360"/>
        <w:jc w:val="both"/>
        <w:rPr>
          <w:rFonts w:ascii="Times New Roman" w:hAnsi="Times New Roman" w:cs="Times New Roman"/>
          <w:sz w:val="24"/>
          <w:szCs w:val="24"/>
          <w:lang w:eastAsia="en-IN"/>
        </w:rPr>
      </w:pPr>
      <w:r w:rsidRPr="00A4195F">
        <w:rPr>
          <w:rFonts w:ascii="Times New Roman" w:hAnsi="Times New Roman" w:cs="Times New Roman"/>
          <w:sz w:val="24"/>
          <w:szCs w:val="24"/>
          <w:lang w:eastAsia="en-IN"/>
        </w:rPr>
        <w:t xml:space="preserve">Kumar, B. K., &amp; Ismail, S. (2017). Influence of different microbial inoculants on biological health of soil and economics in Soybean crop grown on </w:t>
      </w:r>
      <w:proofErr w:type="spellStart"/>
      <w:r w:rsidRPr="00A4195F">
        <w:rPr>
          <w:rFonts w:ascii="Times New Roman" w:hAnsi="Times New Roman" w:cs="Times New Roman"/>
          <w:sz w:val="24"/>
          <w:szCs w:val="24"/>
          <w:lang w:eastAsia="en-IN"/>
        </w:rPr>
        <w:t>Vertisol</w:t>
      </w:r>
      <w:proofErr w:type="spellEnd"/>
      <w:r w:rsidRPr="00A4195F">
        <w:rPr>
          <w:rFonts w:ascii="Times New Roman" w:hAnsi="Times New Roman" w:cs="Times New Roman"/>
          <w:sz w:val="24"/>
          <w:szCs w:val="24"/>
          <w:lang w:eastAsia="en-IN"/>
        </w:rPr>
        <w:t xml:space="preserve">. Journal of Pharmacognosy and Phytochemistry, 6(3), 198-201. </w:t>
      </w:r>
      <w:hyperlink r:id="rId29" w:history="1">
        <w:r w:rsidRPr="00A4195F">
          <w:rPr>
            <w:rStyle w:val="Hipervnculo"/>
            <w:rFonts w:ascii="Times New Roman" w:hAnsi="Times New Roman" w:cs="Times New Roman"/>
            <w:sz w:val="24"/>
            <w:szCs w:val="24"/>
            <w:lang w:eastAsia="en-IN"/>
          </w:rPr>
          <w:t>https://www.phytojournal.com/archives/2017/vol6issue3/PartC/6-3-10-600.pdf</w:t>
        </w:r>
      </w:hyperlink>
      <w:r w:rsidRPr="00A4195F">
        <w:rPr>
          <w:rFonts w:ascii="Times New Roman" w:hAnsi="Times New Roman" w:cs="Times New Roman"/>
          <w:sz w:val="24"/>
          <w:szCs w:val="24"/>
          <w:lang w:eastAsia="en-IN"/>
        </w:rPr>
        <w:t xml:space="preserve"> </w:t>
      </w:r>
    </w:p>
    <w:p w14:paraId="053A1260" w14:textId="0954C4C1" w:rsidR="005D0D62" w:rsidRPr="00D66C89" w:rsidRDefault="00A354D7" w:rsidP="00A4195F">
      <w:pPr>
        <w:pStyle w:val="Default"/>
        <w:spacing w:after="160" w:line="276" w:lineRule="auto"/>
        <w:ind w:left="360"/>
        <w:jc w:val="both"/>
      </w:pPr>
      <w:r w:rsidRPr="00A354D7">
        <w:t xml:space="preserve">Madhukar, C. V. (2021). Comparative Studies of the Applications of Different Fertilizers on the Morphological Properties of Arachis hypogaea (L.). World Journal of Environmental Biosciences. </w:t>
      </w:r>
      <w:hyperlink r:id="rId30" w:history="1">
        <w:r w:rsidRPr="0085586F">
          <w:rPr>
            <w:rStyle w:val="Hipervnculo"/>
          </w:rPr>
          <w:t>https://doi.org/10.51847/riOZtX0uRA</w:t>
        </w:r>
      </w:hyperlink>
      <w:r>
        <w:t xml:space="preserve"> </w:t>
      </w:r>
    </w:p>
    <w:p w14:paraId="1FDF9364" w14:textId="59180FDE" w:rsidR="005D0D62" w:rsidRPr="00D66C89" w:rsidRDefault="00C94CE7" w:rsidP="00A4195F">
      <w:pPr>
        <w:pStyle w:val="Default"/>
        <w:spacing w:after="160" w:line="276" w:lineRule="auto"/>
        <w:ind w:left="360"/>
        <w:jc w:val="both"/>
      </w:pPr>
      <w:r w:rsidRPr="00C94CE7">
        <w:t xml:space="preserve">Manjunath, M., Khokhar, A., Chary, G. R., Singh, M., Yadav, S. K., Gopinath, K. A., Jyothilakshmi, N., Srinivas, K., Prabhakar, M., &amp; Singh, V. K. (2023). Microbial consortia enhance the yield of maize under sub-humid rainfed production system of India. Frontiers in Sustainable Food Systems, 7, 1108492. </w:t>
      </w:r>
      <w:hyperlink r:id="rId31" w:history="1">
        <w:r w:rsidRPr="0085586F">
          <w:rPr>
            <w:rStyle w:val="Hipervnculo"/>
          </w:rPr>
          <w:t>https://doi.org/10.3389/fsufs.2023.1108492</w:t>
        </w:r>
      </w:hyperlink>
      <w:r>
        <w:t xml:space="preserve"> </w:t>
      </w:r>
    </w:p>
    <w:p w14:paraId="5F2624BD" w14:textId="4A8C6BC3" w:rsidR="005D0D62" w:rsidRPr="00A4195F" w:rsidRDefault="00C01CBD" w:rsidP="00A4195F">
      <w:pPr>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Meena, G., Ismail, S., </w:t>
      </w:r>
      <w:proofErr w:type="spellStart"/>
      <w:r w:rsidRPr="00A4195F">
        <w:rPr>
          <w:rFonts w:ascii="Times New Roman" w:hAnsi="Times New Roman" w:cs="Times New Roman"/>
          <w:sz w:val="24"/>
          <w:szCs w:val="24"/>
        </w:rPr>
        <w:t>Umate</w:t>
      </w:r>
      <w:proofErr w:type="spellEnd"/>
      <w:r w:rsidRPr="00A4195F">
        <w:rPr>
          <w:rFonts w:ascii="Times New Roman" w:hAnsi="Times New Roman" w:cs="Times New Roman"/>
          <w:sz w:val="24"/>
          <w:szCs w:val="24"/>
        </w:rPr>
        <w:t xml:space="preserve">, S., &amp; Chavan, R. (2024). Influence of Microbial Inoculants and their Consortia on Yield and Nutrient Uptake in Maize Grown on </w:t>
      </w:r>
      <w:proofErr w:type="spellStart"/>
      <w:r w:rsidRPr="00A4195F">
        <w:rPr>
          <w:rFonts w:ascii="Times New Roman" w:hAnsi="Times New Roman" w:cs="Times New Roman"/>
          <w:sz w:val="24"/>
          <w:szCs w:val="24"/>
        </w:rPr>
        <w:t>Vertisol</w:t>
      </w:r>
      <w:proofErr w:type="spellEnd"/>
      <w:r w:rsidRPr="00A4195F">
        <w:rPr>
          <w:rFonts w:ascii="Times New Roman" w:hAnsi="Times New Roman" w:cs="Times New Roman"/>
          <w:sz w:val="24"/>
          <w:szCs w:val="24"/>
        </w:rPr>
        <w:t xml:space="preserve">. International Journal of Plant &amp; Soil Science, 36(3), 328-335. </w:t>
      </w:r>
      <w:hyperlink r:id="rId32" w:history="1">
        <w:r w:rsidRPr="00A4195F">
          <w:rPr>
            <w:rStyle w:val="Hipervnculo"/>
            <w:rFonts w:ascii="Times New Roman" w:hAnsi="Times New Roman" w:cs="Times New Roman"/>
            <w:sz w:val="24"/>
            <w:szCs w:val="24"/>
          </w:rPr>
          <w:t>https://doi.org/10.9734/ijpss/2024/v36i34430</w:t>
        </w:r>
      </w:hyperlink>
      <w:r w:rsidRPr="00A4195F">
        <w:rPr>
          <w:rFonts w:ascii="Times New Roman" w:hAnsi="Times New Roman" w:cs="Times New Roman"/>
          <w:sz w:val="24"/>
          <w:szCs w:val="24"/>
        </w:rPr>
        <w:t xml:space="preserve"> </w:t>
      </w:r>
    </w:p>
    <w:p w14:paraId="555C5674" w14:textId="179FADE5" w:rsidR="005D0D62" w:rsidRPr="00A4195F" w:rsidRDefault="00BF2A29"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90246A">
        <w:rPr>
          <w:rFonts w:ascii="Times New Roman" w:hAnsi="Times New Roman" w:cs="Times New Roman"/>
          <w:sz w:val="24"/>
          <w:szCs w:val="24"/>
          <w:lang w:val="es-MX" w:eastAsia="en-IN" w:bidi="ar-SA"/>
        </w:rPr>
        <w:t xml:space="preserve">Molina-Romero, D., Juárez-Sánchez, S., Venegas, B., </w:t>
      </w:r>
      <w:proofErr w:type="spellStart"/>
      <w:r w:rsidRPr="0090246A">
        <w:rPr>
          <w:rFonts w:ascii="Times New Roman" w:hAnsi="Times New Roman" w:cs="Times New Roman"/>
          <w:sz w:val="24"/>
          <w:szCs w:val="24"/>
          <w:lang w:val="es-MX" w:eastAsia="en-IN" w:bidi="ar-SA"/>
        </w:rPr>
        <w:t>Ortíz</w:t>
      </w:r>
      <w:proofErr w:type="spellEnd"/>
      <w:r w:rsidRPr="0090246A">
        <w:rPr>
          <w:rFonts w:ascii="Times New Roman" w:hAnsi="Times New Roman" w:cs="Times New Roman"/>
          <w:sz w:val="24"/>
          <w:szCs w:val="24"/>
          <w:lang w:val="es-MX" w:eastAsia="en-IN" w:bidi="ar-SA"/>
        </w:rPr>
        <w:t xml:space="preserve">-González, C. S., </w:t>
      </w:r>
      <w:proofErr w:type="spellStart"/>
      <w:r w:rsidRPr="0090246A">
        <w:rPr>
          <w:rFonts w:ascii="Times New Roman" w:hAnsi="Times New Roman" w:cs="Times New Roman"/>
          <w:sz w:val="24"/>
          <w:szCs w:val="24"/>
          <w:lang w:val="es-MX" w:eastAsia="en-IN" w:bidi="ar-SA"/>
        </w:rPr>
        <w:t>Baez</w:t>
      </w:r>
      <w:proofErr w:type="spellEnd"/>
      <w:r w:rsidRPr="0090246A">
        <w:rPr>
          <w:rFonts w:ascii="Times New Roman" w:hAnsi="Times New Roman" w:cs="Times New Roman"/>
          <w:sz w:val="24"/>
          <w:szCs w:val="24"/>
          <w:lang w:val="es-MX" w:eastAsia="en-IN" w:bidi="ar-SA"/>
        </w:rPr>
        <w:t xml:space="preserve">, A., Morales-García, Y. E., &amp; Muñoz-Rojas, J. (2021). </w:t>
      </w:r>
      <w:r w:rsidRPr="00A4195F">
        <w:rPr>
          <w:rFonts w:ascii="Times New Roman" w:hAnsi="Times New Roman" w:cs="Times New Roman"/>
          <w:sz w:val="24"/>
          <w:szCs w:val="24"/>
          <w:lang w:val="en-IN" w:eastAsia="en-IN" w:bidi="ar-SA"/>
        </w:rPr>
        <w:t xml:space="preserve">A Bacterial Consortium Interacts </w:t>
      </w:r>
      <w:proofErr w:type="gramStart"/>
      <w:r w:rsidRPr="00A4195F">
        <w:rPr>
          <w:rFonts w:ascii="Times New Roman" w:hAnsi="Times New Roman" w:cs="Times New Roman"/>
          <w:sz w:val="24"/>
          <w:szCs w:val="24"/>
          <w:lang w:val="en-IN" w:eastAsia="en-IN" w:bidi="ar-SA"/>
        </w:rPr>
        <w:t>With</w:t>
      </w:r>
      <w:proofErr w:type="gramEnd"/>
      <w:r w:rsidRPr="00A4195F">
        <w:rPr>
          <w:rFonts w:ascii="Times New Roman" w:hAnsi="Times New Roman" w:cs="Times New Roman"/>
          <w:sz w:val="24"/>
          <w:szCs w:val="24"/>
          <w:lang w:val="en-IN" w:eastAsia="en-IN" w:bidi="ar-SA"/>
        </w:rPr>
        <w:t xml:space="preserve"> Different Varieties of Maize, Promotes the Plant Growth, and Reduces the Application of Chemical Fertilizer Under Field Conditions. Frontiers in Sustainable Food Systems. </w:t>
      </w:r>
      <w:hyperlink r:id="rId33" w:history="1">
        <w:r w:rsidRPr="00A4195F">
          <w:rPr>
            <w:rStyle w:val="Hipervnculo"/>
            <w:rFonts w:ascii="Times New Roman" w:hAnsi="Times New Roman" w:cs="Times New Roman"/>
            <w:sz w:val="24"/>
            <w:szCs w:val="24"/>
            <w:lang w:val="en-IN" w:eastAsia="en-IN" w:bidi="ar-SA"/>
          </w:rPr>
          <w:t>https://doi.org/10.3389/fsufs.2020.616757</w:t>
        </w:r>
      </w:hyperlink>
      <w:r w:rsidRPr="00A4195F">
        <w:rPr>
          <w:rFonts w:ascii="Times New Roman" w:hAnsi="Times New Roman" w:cs="Times New Roman"/>
          <w:sz w:val="24"/>
          <w:szCs w:val="24"/>
          <w:lang w:val="en-IN" w:eastAsia="en-IN" w:bidi="ar-SA"/>
        </w:rPr>
        <w:t xml:space="preserve"> </w:t>
      </w:r>
    </w:p>
    <w:p w14:paraId="526D7A47" w14:textId="64672666" w:rsidR="005D0D62" w:rsidRPr="00A4195F" w:rsidRDefault="00BF2A29"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Moretti, L. G., </w:t>
      </w:r>
      <w:proofErr w:type="spellStart"/>
      <w:r w:rsidRPr="00A4195F">
        <w:rPr>
          <w:rFonts w:ascii="Times New Roman" w:hAnsi="Times New Roman" w:cs="Times New Roman"/>
          <w:sz w:val="24"/>
          <w:szCs w:val="24"/>
        </w:rPr>
        <w:t>Crusciol</w:t>
      </w:r>
      <w:proofErr w:type="spellEnd"/>
      <w:r w:rsidRPr="00A4195F">
        <w:rPr>
          <w:rFonts w:ascii="Times New Roman" w:hAnsi="Times New Roman" w:cs="Times New Roman"/>
          <w:sz w:val="24"/>
          <w:szCs w:val="24"/>
        </w:rPr>
        <w:t xml:space="preserve">, C. A. C., </w:t>
      </w:r>
      <w:proofErr w:type="spellStart"/>
      <w:r w:rsidRPr="00A4195F">
        <w:rPr>
          <w:rFonts w:ascii="Times New Roman" w:hAnsi="Times New Roman" w:cs="Times New Roman"/>
          <w:sz w:val="24"/>
          <w:szCs w:val="24"/>
        </w:rPr>
        <w:t>Bossolani</w:t>
      </w:r>
      <w:proofErr w:type="spellEnd"/>
      <w:r w:rsidRPr="00A4195F">
        <w:rPr>
          <w:rFonts w:ascii="Times New Roman" w:hAnsi="Times New Roman" w:cs="Times New Roman"/>
          <w:sz w:val="24"/>
          <w:szCs w:val="24"/>
        </w:rPr>
        <w:t xml:space="preserve">, J. W., </w:t>
      </w:r>
      <w:proofErr w:type="spellStart"/>
      <w:r w:rsidRPr="00A4195F">
        <w:rPr>
          <w:rFonts w:ascii="Times New Roman" w:hAnsi="Times New Roman" w:cs="Times New Roman"/>
          <w:sz w:val="24"/>
          <w:szCs w:val="24"/>
        </w:rPr>
        <w:t>Momesso</w:t>
      </w:r>
      <w:proofErr w:type="spellEnd"/>
      <w:r w:rsidRPr="00A4195F">
        <w:rPr>
          <w:rFonts w:ascii="Times New Roman" w:hAnsi="Times New Roman" w:cs="Times New Roman"/>
          <w:sz w:val="24"/>
          <w:szCs w:val="24"/>
        </w:rPr>
        <w:t xml:space="preserve">, L., Garcia, A., </w:t>
      </w:r>
      <w:proofErr w:type="spellStart"/>
      <w:r w:rsidRPr="00A4195F">
        <w:rPr>
          <w:rFonts w:ascii="Times New Roman" w:hAnsi="Times New Roman" w:cs="Times New Roman"/>
          <w:sz w:val="24"/>
          <w:szCs w:val="24"/>
        </w:rPr>
        <w:t>Kuramae</w:t>
      </w:r>
      <w:proofErr w:type="spellEnd"/>
      <w:r w:rsidRPr="00A4195F">
        <w:rPr>
          <w:rFonts w:ascii="Times New Roman" w:hAnsi="Times New Roman" w:cs="Times New Roman"/>
          <w:sz w:val="24"/>
          <w:szCs w:val="24"/>
        </w:rPr>
        <w:t xml:space="preserve">, E. E., &amp; Hungria, M. (2020). Bacterial Consortium and Microbial Metabolites Increase Grain Quality and Soybean Yield. Journal of Soil Science and Plant Nutrition, 20, 1923–1934. </w:t>
      </w:r>
      <w:hyperlink r:id="rId34" w:history="1">
        <w:r w:rsidRPr="00A4195F">
          <w:rPr>
            <w:rStyle w:val="Hipervnculo"/>
            <w:rFonts w:ascii="Times New Roman" w:hAnsi="Times New Roman" w:cs="Times New Roman"/>
            <w:sz w:val="24"/>
            <w:szCs w:val="24"/>
          </w:rPr>
          <w:t>https://doi.org/10.1007/s42729-020-00263-5</w:t>
        </w:r>
      </w:hyperlink>
      <w:r w:rsidRPr="00A4195F">
        <w:rPr>
          <w:rFonts w:ascii="Times New Roman" w:hAnsi="Times New Roman" w:cs="Times New Roman"/>
          <w:sz w:val="24"/>
          <w:szCs w:val="24"/>
        </w:rPr>
        <w:t xml:space="preserve"> </w:t>
      </w:r>
    </w:p>
    <w:p w14:paraId="4CF8E356" w14:textId="396DD0E6" w:rsidR="005D0D62" w:rsidRPr="00A4195F" w:rsidRDefault="00BF2A29" w:rsidP="00A4195F">
      <w:pPr>
        <w:autoSpaceDE w:val="0"/>
        <w:autoSpaceDN w:val="0"/>
        <w:adjustRightInd w:val="0"/>
        <w:spacing w:after="0"/>
        <w:ind w:left="360"/>
        <w:jc w:val="both"/>
        <w:rPr>
          <w:rFonts w:ascii="Times New Roman" w:hAnsi="Times New Roman" w:cs="Times New Roman"/>
          <w:sz w:val="24"/>
          <w:szCs w:val="24"/>
          <w:lang w:val="en-IN" w:eastAsia="en-IN" w:bidi="ar-SA"/>
        </w:rPr>
      </w:pPr>
      <w:r w:rsidRPr="00A4195F">
        <w:rPr>
          <w:rFonts w:ascii="Times New Roman" w:hAnsi="Times New Roman" w:cs="Times New Roman"/>
          <w:sz w:val="24"/>
          <w:szCs w:val="24"/>
          <w:lang w:val="en-IN" w:eastAsia="en-IN" w:bidi="ar-SA"/>
        </w:rPr>
        <w:t xml:space="preserve">Nosheen, S., Ajmal, I., &amp; Song, Y. (2021). Microbes as Biofertilizers, a Potential Approach for Sustainable Crop Production. Sustainability, 13(4), 1868. </w:t>
      </w:r>
      <w:hyperlink r:id="rId35" w:history="1">
        <w:r w:rsidRPr="00A4195F">
          <w:rPr>
            <w:rStyle w:val="Hipervnculo"/>
            <w:rFonts w:ascii="Times New Roman" w:hAnsi="Times New Roman" w:cs="Times New Roman"/>
            <w:sz w:val="24"/>
            <w:szCs w:val="24"/>
            <w:lang w:val="en-IN" w:eastAsia="en-IN" w:bidi="ar-SA"/>
          </w:rPr>
          <w:t>https://doi.org/10.3390/su13041868</w:t>
        </w:r>
      </w:hyperlink>
      <w:r w:rsidRPr="00A4195F">
        <w:rPr>
          <w:rFonts w:ascii="Times New Roman" w:hAnsi="Times New Roman" w:cs="Times New Roman"/>
          <w:sz w:val="24"/>
          <w:szCs w:val="24"/>
          <w:lang w:val="en-IN" w:eastAsia="en-IN" w:bidi="ar-SA"/>
        </w:rPr>
        <w:t xml:space="preserve"> </w:t>
      </w:r>
    </w:p>
    <w:p w14:paraId="03364984" w14:textId="0D342BC5" w:rsidR="005D0D62" w:rsidRPr="00A4195F" w:rsidRDefault="00E12D5E" w:rsidP="00A4195F">
      <w:pPr>
        <w:tabs>
          <w:tab w:val="left" w:pos="720"/>
        </w:tabs>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Pagar, B., &amp; Ismail, S. (2020). Effect of zinc mobilizing microbial cultures and zinc levels enhancing yield and enzymatic activity in soybean grown on </w:t>
      </w:r>
      <w:proofErr w:type="spellStart"/>
      <w:r w:rsidRPr="00A4195F">
        <w:rPr>
          <w:rFonts w:ascii="Times New Roman" w:hAnsi="Times New Roman" w:cs="Times New Roman"/>
          <w:sz w:val="24"/>
          <w:szCs w:val="24"/>
        </w:rPr>
        <w:t>Vertisol</w:t>
      </w:r>
      <w:proofErr w:type="spellEnd"/>
      <w:r w:rsidRPr="00A4195F">
        <w:rPr>
          <w:rFonts w:ascii="Times New Roman" w:hAnsi="Times New Roman" w:cs="Times New Roman"/>
          <w:sz w:val="24"/>
          <w:szCs w:val="24"/>
        </w:rPr>
        <w:t xml:space="preserve">. International Journal of Chemical Studies. </w:t>
      </w:r>
      <w:hyperlink r:id="rId36" w:history="1">
        <w:r w:rsidRPr="00A4195F">
          <w:rPr>
            <w:rStyle w:val="Hipervnculo"/>
            <w:rFonts w:ascii="Times New Roman" w:hAnsi="Times New Roman" w:cs="Times New Roman"/>
            <w:sz w:val="24"/>
            <w:szCs w:val="24"/>
          </w:rPr>
          <w:t>https://doi.org/10.22271/chemi.2020.v8.i4l.9786</w:t>
        </w:r>
      </w:hyperlink>
      <w:r w:rsidRPr="00A4195F">
        <w:rPr>
          <w:rFonts w:ascii="Times New Roman" w:hAnsi="Times New Roman" w:cs="Times New Roman"/>
          <w:sz w:val="24"/>
          <w:szCs w:val="24"/>
        </w:rPr>
        <w:t xml:space="preserve"> </w:t>
      </w:r>
    </w:p>
    <w:p w14:paraId="54AEF650" w14:textId="5260DB79" w:rsidR="005D0D62" w:rsidRPr="00A4195F" w:rsidRDefault="00E12D5E" w:rsidP="00A4195F">
      <w:pPr>
        <w:autoSpaceDE w:val="0"/>
        <w:autoSpaceDN w:val="0"/>
        <w:adjustRightInd w:val="0"/>
        <w:spacing w:line="360" w:lineRule="auto"/>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Panse, V. G., &amp; </w:t>
      </w:r>
      <w:proofErr w:type="spellStart"/>
      <w:r w:rsidRPr="00A4195F">
        <w:rPr>
          <w:rFonts w:ascii="Times New Roman" w:hAnsi="Times New Roman" w:cs="Times New Roman"/>
          <w:sz w:val="24"/>
          <w:szCs w:val="24"/>
        </w:rPr>
        <w:t>Sukhatme</w:t>
      </w:r>
      <w:proofErr w:type="spellEnd"/>
      <w:r w:rsidRPr="00A4195F">
        <w:rPr>
          <w:rFonts w:ascii="Times New Roman" w:hAnsi="Times New Roman" w:cs="Times New Roman"/>
          <w:sz w:val="24"/>
          <w:szCs w:val="24"/>
        </w:rPr>
        <w:t xml:space="preserve">, P. V. (1985). Statistical methods for agricultural workers. I.C.A.R. Pub. </w:t>
      </w:r>
      <w:hyperlink r:id="rId37" w:history="1">
        <w:r w:rsidRPr="00A4195F">
          <w:rPr>
            <w:rStyle w:val="Hipervnculo"/>
            <w:rFonts w:ascii="Times New Roman" w:hAnsi="Times New Roman" w:cs="Times New Roman"/>
            <w:sz w:val="24"/>
            <w:szCs w:val="24"/>
          </w:rPr>
          <w:t>https://books.google.com/books/about/Statistical_Methods_for_Agricultural_Wor.html?id=240tAAAAMAAJ</w:t>
        </w:r>
      </w:hyperlink>
      <w:r w:rsidRPr="00A4195F">
        <w:rPr>
          <w:rFonts w:ascii="Times New Roman" w:hAnsi="Times New Roman" w:cs="Times New Roman"/>
          <w:sz w:val="24"/>
          <w:szCs w:val="24"/>
        </w:rPr>
        <w:t xml:space="preserve"> </w:t>
      </w:r>
      <w:r w:rsidR="005D0D62" w:rsidRPr="00A4195F">
        <w:rPr>
          <w:rFonts w:ascii="Times New Roman" w:hAnsi="Times New Roman" w:cs="Times New Roman"/>
          <w:sz w:val="24"/>
          <w:szCs w:val="24"/>
        </w:rPr>
        <w:t xml:space="preserve"> </w:t>
      </w:r>
    </w:p>
    <w:p w14:paraId="572C3F18" w14:textId="77777777" w:rsidR="005D0D62" w:rsidRDefault="005D0D62" w:rsidP="00A4195F">
      <w:pPr>
        <w:spacing w:line="360" w:lineRule="auto"/>
        <w:ind w:left="360"/>
        <w:jc w:val="both"/>
      </w:pPr>
      <w:r>
        <w:t xml:space="preserve">Ramalakshmi, A., Iniyakumar, M. and Anthoni Raj, S. (2008) Influence of biofertilizers on soil physico-chemical and biological properties during cropping period. </w:t>
      </w:r>
      <w:r w:rsidRPr="00A4195F">
        <w:rPr>
          <w:i/>
        </w:rPr>
        <w:t>Asian Journal of Biological Science,</w:t>
      </w:r>
      <w:r>
        <w:t xml:space="preserve"> </w:t>
      </w:r>
      <w:r w:rsidRPr="00A4195F">
        <w:rPr>
          <w:b/>
        </w:rPr>
        <w:t>3</w:t>
      </w:r>
      <w:r>
        <w:t>(2), 348-351.</w:t>
      </w:r>
    </w:p>
    <w:p w14:paraId="577D5901" w14:textId="62E1C75F" w:rsidR="005D0D62" w:rsidRPr="00A4195F" w:rsidRDefault="008F19E3" w:rsidP="00A4195F">
      <w:pPr>
        <w:tabs>
          <w:tab w:val="left" w:pos="720"/>
        </w:tabs>
        <w:autoSpaceDE w:val="0"/>
        <w:autoSpaceDN w:val="0"/>
        <w:adjustRightInd w:val="0"/>
        <w:spacing w:after="0"/>
        <w:ind w:left="360"/>
        <w:jc w:val="both"/>
        <w:rPr>
          <w:szCs w:val="24"/>
          <w:lang w:eastAsia="en-IN"/>
        </w:rPr>
      </w:pPr>
      <w:r w:rsidRPr="00A4195F">
        <w:rPr>
          <w:szCs w:val="24"/>
          <w:lang w:eastAsia="en-IN"/>
        </w:rPr>
        <w:t xml:space="preserve">Rana, A., Joshi, M., Prasanna, R., Shivay, Y.S., &amp; Nain, L. (2012). Biofortification of wheat through inoculation of plant growth promoting rhizobacteria and cyanobacteria. The European Journal of Soil Biology, 50, 118–126. </w:t>
      </w:r>
      <w:hyperlink r:id="rId38" w:history="1">
        <w:r w:rsidRPr="00A4195F">
          <w:rPr>
            <w:rStyle w:val="Hipervnculo"/>
            <w:szCs w:val="24"/>
            <w:lang w:eastAsia="en-IN"/>
          </w:rPr>
          <w:t>https://doi.org/10.1016/j.ejsobi.2012.01.005</w:t>
        </w:r>
      </w:hyperlink>
      <w:r w:rsidRPr="00A4195F">
        <w:rPr>
          <w:szCs w:val="24"/>
          <w:lang w:eastAsia="en-IN"/>
        </w:rPr>
        <w:t xml:space="preserve"> </w:t>
      </w:r>
    </w:p>
    <w:p w14:paraId="7ECC5AAB" w14:textId="5F824B32" w:rsidR="005D0D62" w:rsidRPr="00A4195F" w:rsidRDefault="008F19E3" w:rsidP="00A4195F">
      <w:pPr>
        <w:autoSpaceDE w:val="0"/>
        <w:autoSpaceDN w:val="0"/>
        <w:adjustRightInd w:val="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Richardson, A. E., &amp; Simpson, R. J. (2011). Soil microorganisms mediating phosphorus availability update on microbial phosphorus. Plant Physiology, 156(3), 989-996. </w:t>
      </w:r>
      <w:hyperlink r:id="rId39" w:history="1">
        <w:r w:rsidRPr="00A4195F">
          <w:rPr>
            <w:rStyle w:val="Hipervnculo"/>
            <w:rFonts w:ascii="Times New Roman" w:hAnsi="Times New Roman" w:cs="Times New Roman"/>
            <w:sz w:val="24"/>
            <w:szCs w:val="24"/>
          </w:rPr>
          <w:t>https://doi.org/10.1104/pp.111.175448</w:t>
        </w:r>
      </w:hyperlink>
      <w:r w:rsidRPr="00A4195F">
        <w:rPr>
          <w:rFonts w:ascii="Times New Roman" w:hAnsi="Times New Roman" w:cs="Times New Roman"/>
          <w:sz w:val="24"/>
          <w:szCs w:val="24"/>
        </w:rPr>
        <w:t xml:space="preserve"> </w:t>
      </w:r>
    </w:p>
    <w:p w14:paraId="00BF5420" w14:textId="77777777" w:rsidR="005D0D62" w:rsidRPr="00A4195F" w:rsidRDefault="005D0D62" w:rsidP="00A4195F">
      <w:pPr>
        <w:autoSpaceDE w:val="0"/>
        <w:autoSpaceDN w:val="0"/>
        <w:adjustRightInd w:val="0"/>
        <w:ind w:left="360"/>
        <w:jc w:val="both"/>
        <w:rPr>
          <w:rFonts w:ascii="Times New Roman" w:hAnsi="Times New Roman" w:cs="Times New Roman"/>
          <w:sz w:val="24"/>
          <w:szCs w:val="24"/>
        </w:rPr>
      </w:pPr>
      <w:r w:rsidRPr="00A4195F">
        <w:rPr>
          <w:rFonts w:ascii="Times New Roman" w:hAnsi="Times New Roman" w:cs="Times New Roman"/>
          <w:sz w:val="24"/>
          <w:szCs w:val="24"/>
        </w:rPr>
        <w:t>Roshani, Khan, A., Singh, A.V., Upadhayay, V.K. and Prasad, B. Development of Potential Microbial Consortia and their Assessment on Wheat (</w:t>
      </w:r>
      <w:r w:rsidRPr="00A4195F">
        <w:rPr>
          <w:rFonts w:ascii="Times New Roman" w:hAnsi="Times New Roman" w:cs="Times New Roman"/>
          <w:i/>
          <w:iCs/>
          <w:sz w:val="24"/>
          <w:szCs w:val="24"/>
        </w:rPr>
        <w:t>Triticum aestivum</w:t>
      </w:r>
      <w:r w:rsidRPr="00A4195F">
        <w:rPr>
          <w:rFonts w:ascii="Times New Roman" w:hAnsi="Times New Roman" w:cs="Times New Roman"/>
          <w:sz w:val="24"/>
          <w:szCs w:val="24"/>
        </w:rPr>
        <w:t>) Seed Germination. (</w:t>
      </w:r>
      <w:r w:rsidRPr="00A4195F">
        <w:rPr>
          <w:rFonts w:ascii="Times New Roman" w:hAnsi="Times New Roman" w:cs="Times New Roman"/>
          <w:i/>
          <w:iCs/>
          <w:sz w:val="24"/>
          <w:szCs w:val="24"/>
        </w:rPr>
        <w:t>Environment and Ecology),</w:t>
      </w:r>
      <w:r w:rsidRPr="00A4195F">
        <w:rPr>
          <w:rFonts w:ascii="Times New Roman" w:hAnsi="Times New Roman" w:cs="Times New Roman"/>
          <w:sz w:val="24"/>
          <w:szCs w:val="24"/>
        </w:rPr>
        <w:t xml:space="preserve"> 38 (1): 6.</w:t>
      </w:r>
    </w:p>
    <w:p w14:paraId="470B08CC" w14:textId="0AA9F387" w:rsidR="005D0D62" w:rsidRPr="00A4195F" w:rsidRDefault="00B632E2" w:rsidP="00A4195F">
      <w:pPr>
        <w:autoSpaceDE w:val="0"/>
        <w:autoSpaceDN w:val="0"/>
        <w:adjustRightInd w:val="0"/>
        <w:spacing w:line="360" w:lineRule="auto"/>
        <w:ind w:left="360"/>
        <w:jc w:val="both"/>
        <w:rPr>
          <w:szCs w:val="24"/>
          <w:lang w:eastAsia="en-IN"/>
        </w:rPr>
      </w:pPr>
      <w:r w:rsidRPr="00A4195F">
        <w:rPr>
          <w:szCs w:val="24"/>
          <w:lang w:eastAsia="en-IN"/>
        </w:rPr>
        <w:t xml:space="preserve">Sable, P., Ismail, S., &amp; Pawar, A. (2016). Effect of zinc solubilizing microorganisms in enhancing enzyme activity and nutrient availability in groundnut grown on </w:t>
      </w:r>
      <w:proofErr w:type="spellStart"/>
      <w:r w:rsidRPr="00A4195F">
        <w:rPr>
          <w:szCs w:val="24"/>
          <w:lang w:eastAsia="en-IN"/>
        </w:rPr>
        <w:t>Vertisol</w:t>
      </w:r>
      <w:proofErr w:type="spellEnd"/>
      <w:r w:rsidRPr="00A4195F">
        <w:rPr>
          <w:szCs w:val="24"/>
          <w:lang w:eastAsia="en-IN"/>
        </w:rPr>
        <w:t xml:space="preserve">. International Journal of Agriculture Sciences, 8(49), 2099-2102. </w:t>
      </w:r>
      <w:hyperlink r:id="rId40" w:history="1">
        <w:r w:rsidRPr="00A4195F">
          <w:rPr>
            <w:rStyle w:val="Hipervnculo"/>
            <w:szCs w:val="24"/>
            <w:lang w:eastAsia="en-IN"/>
          </w:rPr>
          <w:t>https://www.bioinfopublication.org/pages.php?id=BPJ0000200&amp;jouid=BPJ0000099&amp;volid=BPJ0000499&amp;issueid=BPJ0000499&amp;page=2099-2102</w:t>
        </w:r>
      </w:hyperlink>
      <w:r w:rsidRPr="00A4195F">
        <w:rPr>
          <w:szCs w:val="24"/>
          <w:lang w:eastAsia="en-IN"/>
        </w:rPr>
        <w:t xml:space="preserve"> </w:t>
      </w:r>
      <w:r w:rsidR="005D0D62" w:rsidRPr="00A4195F">
        <w:rPr>
          <w:szCs w:val="24"/>
          <w:lang w:eastAsia="en-IN"/>
        </w:rPr>
        <w:t xml:space="preserve"> </w:t>
      </w:r>
    </w:p>
    <w:p w14:paraId="0D5D444B" w14:textId="68840F04" w:rsidR="005D0D62" w:rsidRPr="00A4195F" w:rsidRDefault="003465DC" w:rsidP="00A4195F">
      <w:pPr>
        <w:ind w:left="360"/>
        <w:jc w:val="both"/>
        <w:rPr>
          <w:rFonts w:ascii="Times New Roman" w:hAnsi="Times New Roman" w:cs="Times New Roman"/>
          <w:sz w:val="24"/>
          <w:szCs w:val="24"/>
        </w:rPr>
      </w:pPr>
      <w:r w:rsidRPr="0090246A">
        <w:rPr>
          <w:rFonts w:ascii="Times New Roman" w:hAnsi="Times New Roman" w:cs="Times New Roman"/>
          <w:sz w:val="24"/>
          <w:szCs w:val="24"/>
          <w:lang w:val="es-MX"/>
        </w:rPr>
        <w:t xml:space="preserve">Santoyo, G., Guzmán-Guzmán, P., Parra-Cota, F. I., Santos-Villalobos, S. d. l., Orozco-Mosqueda, M. d. C., &amp; </w:t>
      </w:r>
      <w:proofErr w:type="spellStart"/>
      <w:r w:rsidRPr="0090246A">
        <w:rPr>
          <w:rFonts w:ascii="Times New Roman" w:hAnsi="Times New Roman" w:cs="Times New Roman"/>
          <w:sz w:val="24"/>
          <w:szCs w:val="24"/>
          <w:lang w:val="es-MX"/>
        </w:rPr>
        <w:t>Glick</w:t>
      </w:r>
      <w:proofErr w:type="spellEnd"/>
      <w:r w:rsidRPr="0090246A">
        <w:rPr>
          <w:rFonts w:ascii="Times New Roman" w:hAnsi="Times New Roman" w:cs="Times New Roman"/>
          <w:sz w:val="24"/>
          <w:szCs w:val="24"/>
          <w:lang w:val="es-MX"/>
        </w:rPr>
        <w:t xml:space="preserve">, B. R. (2021). </w:t>
      </w:r>
      <w:r w:rsidRPr="00A4195F">
        <w:rPr>
          <w:rFonts w:ascii="Times New Roman" w:hAnsi="Times New Roman" w:cs="Times New Roman"/>
          <w:sz w:val="24"/>
          <w:szCs w:val="24"/>
        </w:rPr>
        <w:t xml:space="preserve">Plant Growth Stimulation by Microbial Consortia. Agronomy, 11(2), 219. </w:t>
      </w:r>
      <w:hyperlink r:id="rId41" w:history="1">
        <w:r w:rsidRPr="00A4195F">
          <w:rPr>
            <w:rStyle w:val="Hipervnculo"/>
            <w:rFonts w:ascii="Times New Roman" w:hAnsi="Times New Roman" w:cs="Times New Roman"/>
            <w:sz w:val="24"/>
            <w:szCs w:val="24"/>
          </w:rPr>
          <w:t>https://doi.org/10.3390/agronomy11020219</w:t>
        </w:r>
      </w:hyperlink>
      <w:r w:rsidRPr="00A4195F">
        <w:rPr>
          <w:rFonts w:ascii="Times New Roman" w:hAnsi="Times New Roman" w:cs="Times New Roman"/>
          <w:sz w:val="24"/>
          <w:szCs w:val="24"/>
        </w:rPr>
        <w:t xml:space="preserve"> </w:t>
      </w:r>
    </w:p>
    <w:p w14:paraId="4E11A971" w14:textId="7C03F5A1" w:rsidR="005D0D62" w:rsidRPr="00A4195F" w:rsidRDefault="00A87FF9" w:rsidP="00A4195F">
      <w:pPr>
        <w:autoSpaceDE w:val="0"/>
        <w:autoSpaceDN w:val="0"/>
        <w:adjustRightInd w:val="0"/>
        <w:spacing w:after="0"/>
        <w:ind w:left="360"/>
        <w:jc w:val="both"/>
        <w:rPr>
          <w:rFonts w:ascii="Times New Roman" w:hAnsi="Times New Roman" w:cs="Times New Roman"/>
          <w:sz w:val="24"/>
          <w:szCs w:val="24"/>
        </w:rPr>
      </w:pPr>
      <w:proofErr w:type="spellStart"/>
      <w:r w:rsidRPr="0090246A">
        <w:rPr>
          <w:rFonts w:ascii="Times New Roman" w:hAnsi="Times New Roman" w:cs="Times New Roman"/>
          <w:sz w:val="24"/>
          <w:szCs w:val="24"/>
          <w:lang w:val="pt-BR"/>
        </w:rPr>
        <w:t>Sarathambal</w:t>
      </w:r>
      <w:proofErr w:type="spellEnd"/>
      <w:r w:rsidRPr="0090246A">
        <w:rPr>
          <w:rFonts w:ascii="Times New Roman" w:hAnsi="Times New Roman" w:cs="Times New Roman"/>
          <w:sz w:val="24"/>
          <w:szCs w:val="24"/>
          <w:lang w:val="pt-BR"/>
        </w:rPr>
        <w:t xml:space="preserve">, C., </w:t>
      </w:r>
      <w:proofErr w:type="spellStart"/>
      <w:r w:rsidRPr="0090246A">
        <w:rPr>
          <w:rFonts w:ascii="Times New Roman" w:hAnsi="Times New Roman" w:cs="Times New Roman"/>
          <w:sz w:val="24"/>
          <w:szCs w:val="24"/>
          <w:lang w:val="pt-BR"/>
        </w:rPr>
        <w:t>Thangaraju</w:t>
      </w:r>
      <w:proofErr w:type="spellEnd"/>
      <w:r w:rsidRPr="0090246A">
        <w:rPr>
          <w:rFonts w:ascii="Times New Roman" w:hAnsi="Times New Roman" w:cs="Times New Roman"/>
          <w:sz w:val="24"/>
          <w:szCs w:val="24"/>
          <w:lang w:val="pt-BR"/>
        </w:rPr>
        <w:t xml:space="preserve">, M., </w:t>
      </w:r>
      <w:proofErr w:type="spellStart"/>
      <w:r w:rsidRPr="0090246A">
        <w:rPr>
          <w:rFonts w:ascii="Times New Roman" w:hAnsi="Times New Roman" w:cs="Times New Roman"/>
          <w:sz w:val="24"/>
          <w:szCs w:val="24"/>
          <w:lang w:val="pt-BR"/>
        </w:rPr>
        <w:t>Paulraj</w:t>
      </w:r>
      <w:proofErr w:type="spellEnd"/>
      <w:r w:rsidRPr="0090246A">
        <w:rPr>
          <w:rFonts w:ascii="Times New Roman" w:hAnsi="Times New Roman" w:cs="Times New Roman"/>
          <w:sz w:val="24"/>
          <w:szCs w:val="24"/>
          <w:lang w:val="pt-BR"/>
        </w:rPr>
        <w:t xml:space="preserve">, C., &amp; </w:t>
      </w:r>
      <w:proofErr w:type="spellStart"/>
      <w:r w:rsidRPr="0090246A">
        <w:rPr>
          <w:rFonts w:ascii="Times New Roman" w:hAnsi="Times New Roman" w:cs="Times New Roman"/>
          <w:sz w:val="24"/>
          <w:szCs w:val="24"/>
          <w:lang w:val="pt-BR"/>
        </w:rPr>
        <w:t>Gomathy</w:t>
      </w:r>
      <w:proofErr w:type="spellEnd"/>
      <w:r w:rsidRPr="0090246A">
        <w:rPr>
          <w:rFonts w:ascii="Times New Roman" w:hAnsi="Times New Roman" w:cs="Times New Roman"/>
          <w:sz w:val="24"/>
          <w:szCs w:val="24"/>
          <w:lang w:val="pt-BR"/>
        </w:rPr>
        <w:t xml:space="preserve">, M. (2010). </w:t>
      </w:r>
      <w:r w:rsidRPr="00A4195F">
        <w:rPr>
          <w:rFonts w:ascii="Times New Roman" w:hAnsi="Times New Roman" w:cs="Times New Roman"/>
          <w:sz w:val="24"/>
          <w:szCs w:val="24"/>
        </w:rPr>
        <w:t xml:space="preserve">Assessing the Zinc solubilization ability of </w:t>
      </w:r>
      <w:proofErr w:type="spellStart"/>
      <w:r w:rsidRPr="00A4195F">
        <w:rPr>
          <w:rFonts w:ascii="Times New Roman" w:hAnsi="Times New Roman" w:cs="Times New Roman"/>
          <w:sz w:val="24"/>
          <w:szCs w:val="24"/>
        </w:rPr>
        <w:t>Gluconacetobacter</w:t>
      </w:r>
      <w:proofErr w:type="spellEnd"/>
      <w:r w:rsidRPr="00A4195F">
        <w:rPr>
          <w:rFonts w:ascii="Times New Roman" w:hAnsi="Times New Roman" w:cs="Times New Roman"/>
          <w:sz w:val="24"/>
          <w:szCs w:val="24"/>
        </w:rPr>
        <w:t xml:space="preserve"> </w:t>
      </w:r>
      <w:proofErr w:type="spellStart"/>
      <w:r w:rsidRPr="00A4195F">
        <w:rPr>
          <w:rFonts w:ascii="Times New Roman" w:hAnsi="Times New Roman" w:cs="Times New Roman"/>
          <w:sz w:val="24"/>
          <w:szCs w:val="24"/>
        </w:rPr>
        <w:t>diazotrophicus</w:t>
      </w:r>
      <w:proofErr w:type="spellEnd"/>
      <w:r w:rsidRPr="00A4195F">
        <w:rPr>
          <w:rFonts w:ascii="Times New Roman" w:hAnsi="Times New Roman" w:cs="Times New Roman"/>
          <w:sz w:val="24"/>
          <w:szCs w:val="24"/>
        </w:rPr>
        <w:t xml:space="preserve"> in maize rhizosphere using labelled (</w:t>
      </w:r>
      <w:proofErr w:type="gramStart"/>
      <w:r w:rsidRPr="00A4195F">
        <w:rPr>
          <w:rFonts w:ascii="Times New Roman" w:hAnsi="Times New Roman" w:cs="Times New Roman"/>
          <w:sz w:val="24"/>
          <w:szCs w:val="24"/>
        </w:rPr>
        <w:t>65)Zn</w:t>
      </w:r>
      <w:proofErr w:type="gramEnd"/>
      <w:r w:rsidRPr="00A4195F">
        <w:rPr>
          <w:rFonts w:ascii="Times New Roman" w:hAnsi="Times New Roman" w:cs="Times New Roman"/>
          <w:sz w:val="24"/>
          <w:szCs w:val="24"/>
        </w:rPr>
        <w:t xml:space="preserve"> compounds. Indian Journal of Microbiology, 50(Suppl 1), S103–S109. </w:t>
      </w:r>
      <w:hyperlink r:id="rId42" w:history="1">
        <w:r w:rsidRPr="00A4195F">
          <w:rPr>
            <w:rStyle w:val="Hipervnculo"/>
            <w:rFonts w:ascii="Times New Roman" w:hAnsi="Times New Roman" w:cs="Times New Roman"/>
            <w:sz w:val="24"/>
            <w:szCs w:val="24"/>
          </w:rPr>
          <w:t>https://doi.org/10.1007/s12088-010-0066-1</w:t>
        </w:r>
      </w:hyperlink>
      <w:r w:rsidRPr="00A4195F">
        <w:rPr>
          <w:rFonts w:ascii="Times New Roman" w:hAnsi="Times New Roman" w:cs="Times New Roman"/>
          <w:sz w:val="24"/>
          <w:szCs w:val="24"/>
        </w:rPr>
        <w:t xml:space="preserve"> </w:t>
      </w:r>
    </w:p>
    <w:p w14:paraId="169E36BC" w14:textId="305EA51F" w:rsidR="005D0D62" w:rsidRPr="00A4195F" w:rsidRDefault="006C709A" w:rsidP="00A4195F">
      <w:pPr>
        <w:tabs>
          <w:tab w:val="left" w:pos="720"/>
        </w:tabs>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Sarkar, P. K., Florczyk, M. A., McDonough, K. A., &amp; Nag, D. K. (2002). SSP2, a sporulation-specific gene necessary for outer spore wall assembly in the yeast Saccharomyces cerevisiae. Molecular Genetics and Genomics, 267, 348-358. </w:t>
      </w:r>
      <w:hyperlink r:id="rId43" w:history="1">
        <w:r w:rsidRPr="00A4195F">
          <w:rPr>
            <w:rStyle w:val="Hipervnculo"/>
            <w:rFonts w:ascii="Times New Roman" w:hAnsi="Times New Roman" w:cs="Times New Roman"/>
            <w:sz w:val="24"/>
            <w:szCs w:val="24"/>
          </w:rPr>
          <w:t>https://doi.org/10.1007/s00438-002-0666-5</w:t>
        </w:r>
      </w:hyperlink>
      <w:r w:rsidRPr="00A4195F">
        <w:rPr>
          <w:rFonts w:ascii="Times New Roman" w:hAnsi="Times New Roman" w:cs="Times New Roman"/>
          <w:sz w:val="24"/>
          <w:szCs w:val="24"/>
        </w:rPr>
        <w:t xml:space="preserve"> </w:t>
      </w:r>
    </w:p>
    <w:p w14:paraId="4EA6863D" w14:textId="77777777" w:rsidR="005D0D62" w:rsidRDefault="005D0D62" w:rsidP="00A4195F">
      <w:pPr>
        <w:spacing w:line="360" w:lineRule="auto"/>
        <w:ind w:left="360"/>
        <w:jc w:val="both"/>
      </w:pPr>
      <w:proofErr w:type="spellStart"/>
      <w:r>
        <w:t>Satwadhar</w:t>
      </w:r>
      <w:proofErr w:type="spellEnd"/>
      <w:r>
        <w:t xml:space="preserve">, P.P. (2020) </w:t>
      </w:r>
      <w:r w:rsidRPr="00A4195F">
        <w:rPr>
          <w:iCs/>
        </w:rPr>
        <w:t>Response of Ginger to Graded Levels of Zinc and Zinc Solubilizing Biofertilizers</w:t>
      </w:r>
      <w:r>
        <w:t xml:space="preserve">. </w:t>
      </w:r>
      <w:r w:rsidRPr="00A4195F">
        <w:rPr>
          <w:i/>
        </w:rPr>
        <w:t xml:space="preserve">Master’s Thesis </w:t>
      </w:r>
      <w:r w:rsidRPr="00A4195F">
        <w:rPr>
          <w:iCs/>
        </w:rPr>
        <w:t>submitted to</w:t>
      </w:r>
      <w:r w:rsidRPr="00A4195F">
        <w:rPr>
          <w:i/>
        </w:rPr>
        <w:t xml:space="preserve"> </w:t>
      </w:r>
      <w:r>
        <w:t xml:space="preserve">Vasantrao Naik Marathwada Krishi Vidyapeeth, Parbhani-431402 (M.S.), India.  </w:t>
      </w:r>
    </w:p>
    <w:p w14:paraId="6578B7FC" w14:textId="77777777" w:rsidR="005D0D62" w:rsidRPr="0090246A" w:rsidRDefault="005D0D62" w:rsidP="00A4195F">
      <w:pPr>
        <w:autoSpaceDE w:val="0"/>
        <w:autoSpaceDN w:val="0"/>
        <w:adjustRightInd w:val="0"/>
        <w:ind w:left="360"/>
        <w:jc w:val="both"/>
        <w:rPr>
          <w:rFonts w:ascii="Times New Roman" w:hAnsi="Times New Roman" w:cs="Times New Roman"/>
          <w:sz w:val="24"/>
          <w:szCs w:val="24"/>
          <w:lang w:val="it-IT"/>
        </w:rPr>
      </w:pPr>
      <w:r w:rsidRPr="00A4195F">
        <w:rPr>
          <w:rFonts w:ascii="Times New Roman" w:hAnsi="Times New Roman" w:cs="Times New Roman"/>
          <w:sz w:val="24"/>
          <w:szCs w:val="24"/>
        </w:rPr>
        <w:t xml:space="preserve">Stefanescu, I. A., Mocanu, R. and Duncianu, M. (2010). Bio-solubilization capacity of Bacillus megaterium strain of some micronutrients from the polluted soil. </w:t>
      </w:r>
      <w:r w:rsidRPr="0090246A">
        <w:rPr>
          <w:rFonts w:ascii="Times New Roman" w:hAnsi="Times New Roman" w:cs="Times New Roman"/>
          <w:i/>
          <w:iCs/>
          <w:sz w:val="24"/>
          <w:szCs w:val="24"/>
          <w:lang w:val="it-IT"/>
        </w:rPr>
        <w:t xml:space="preserve">Cercetari Agronomicein </w:t>
      </w:r>
      <w:r w:rsidRPr="008F7F1B">
        <w:rPr>
          <w:rFonts w:ascii="Times New Roman" w:hAnsi="Times New Roman" w:cs="Times New Roman"/>
          <w:i/>
          <w:iCs/>
          <w:sz w:val="24"/>
          <w:szCs w:val="24"/>
          <w:highlight w:val="yellow"/>
          <w:lang w:val="it-IT"/>
        </w:rPr>
        <w:t>Moldova</w:t>
      </w:r>
      <w:r w:rsidRPr="008F7F1B">
        <w:rPr>
          <w:rFonts w:ascii="Times New Roman" w:hAnsi="Times New Roman" w:cs="Times New Roman"/>
          <w:sz w:val="24"/>
          <w:szCs w:val="24"/>
          <w:highlight w:val="yellow"/>
          <w:lang w:val="it-IT"/>
        </w:rPr>
        <w:t xml:space="preserve">, </w:t>
      </w:r>
      <w:r w:rsidRPr="008F7F1B">
        <w:rPr>
          <w:rFonts w:ascii="Times New Roman" w:hAnsi="Times New Roman" w:cs="Times New Roman"/>
          <w:b/>
          <w:bCs/>
          <w:sz w:val="24"/>
          <w:szCs w:val="24"/>
          <w:highlight w:val="yellow"/>
          <w:lang w:val="it-IT"/>
        </w:rPr>
        <w:t>43</w:t>
      </w:r>
      <w:r w:rsidRPr="008F7F1B">
        <w:rPr>
          <w:rFonts w:ascii="Times New Roman" w:hAnsi="Times New Roman" w:cs="Times New Roman"/>
          <w:sz w:val="24"/>
          <w:szCs w:val="24"/>
          <w:highlight w:val="yellow"/>
          <w:lang w:val="it-IT"/>
        </w:rPr>
        <w:t>(2), 49-</w:t>
      </w:r>
      <w:commentRangeStart w:id="25"/>
      <w:r w:rsidRPr="008F7F1B">
        <w:rPr>
          <w:rFonts w:ascii="Times New Roman" w:hAnsi="Times New Roman" w:cs="Times New Roman"/>
          <w:sz w:val="24"/>
          <w:szCs w:val="24"/>
          <w:highlight w:val="yellow"/>
          <w:lang w:val="it-IT"/>
        </w:rPr>
        <w:t>54</w:t>
      </w:r>
      <w:commentRangeEnd w:id="25"/>
      <w:r w:rsidR="008F7F1B">
        <w:rPr>
          <w:rStyle w:val="Refdecomentario"/>
        </w:rPr>
        <w:commentReference w:id="25"/>
      </w:r>
      <w:r w:rsidRPr="008F7F1B">
        <w:rPr>
          <w:rFonts w:ascii="Times New Roman" w:hAnsi="Times New Roman" w:cs="Times New Roman"/>
          <w:sz w:val="24"/>
          <w:szCs w:val="24"/>
          <w:highlight w:val="yellow"/>
          <w:lang w:val="it-IT"/>
        </w:rPr>
        <w:t>.</w:t>
      </w:r>
    </w:p>
    <w:p w14:paraId="633738FA" w14:textId="2D3E8E28" w:rsidR="005D0D62" w:rsidRPr="00A4195F" w:rsidRDefault="006C709A" w:rsidP="00A4195F">
      <w:pPr>
        <w:ind w:left="360"/>
        <w:jc w:val="both"/>
        <w:rPr>
          <w:rFonts w:ascii="Times New Roman" w:hAnsi="Times New Roman" w:cs="Times New Roman"/>
          <w:sz w:val="24"/>
          <w:szCs w:val="24"/>
        </w:rPr>
      </w:pPr>
      <w:r w:rsidRPr="0090246A">
        <w:rPr>
          <w:rFonts w:ascii="Times New Roman" w:hAnsi="Times New Roman" w:cs="Times New Roman"/>
          <w:sz w:val="24"/>
          <w:szCs w:val="24"/>
          <w:lang w:val="it-IT"/>
        </w:rPr>
        <w:t xml:space="preserve">Thakur, S. K., Jha, C. K., Kumari, G., &amp; Singh, V. P. (2010). </w:t>
      </w:r>
      <w:r w:rsidRPr="00A4195F">
        <w:rPr>
          <w:rFonts w:ascii="Times New Roman" w:hAnsi="Times New Roman" w:cs="Times New Roman"/>
          <w:sz w:val="24"/>
          <w:szCs w:val="24"/>
        </w:rPr>
        <w:t xml:space="preserve">Effect of Trichoderma inoculated trash, nitrogen level and biofertilizer on performance of sugarcane (Saccharum officinarum) in calcareous soils of Bihar. Indian Journal of Agronomy, 55(4), 308-311. </w:t>
      </w:r>
      <w:hyperlink r:id="rId44" w:history="1">
        <w:r w:rsidRPr="00A4195F">
          <w:rPr>
            <w:rStyle w:val="Hipervnculo"/>
            <w:rFonts w:ascii="Times New Roman" w:hAnsi="Times New Roman" w:cs="Times New Roman"/>
            <w:sz w:val="24"/>
            <w:szCs w:val="24"/>
          </w:rPr>
          <w:t>https://doi.org/10.59797/ija.v55i4.4757</w:t>
        </w:r>
      </w:hyperlink>
      <w:r w:rsidRPr="00A4195F">
        <w:rPr>
          <w:rFonts w:ascii="Times New Roman" w:hAnsi="Times New Roman" w:cs="Times New Roman"/>
          <w:sz w:val="24"/>
          <w:szCs w:val="24"/>
        </w:rPr>
        <w:t xml:space="preserve"> </w:t>
      </w:r>
      <w:r w:rsidR="005D0D62" w:rsidRPr="00A4195F">
        <w:rPr>
          <w:rFonts w:ascii="Times New Roman" w:hAnsi="Times New Roman" w:cs="Times New Roman"/>
          <w:sz w:val="24"/>
          <w:szCs w:val="24"/>
        </w:rPr>
        <w:t>.</w:t>
      </w:r>
    </w:p>
    <w:p w14:paraId="5891C761" w14:textId="06817D3F" w:rsidR="005D0D62" w:rsidRPr="00A4195F" w:rsidRDefault="006C709A" w:rsidP="00A4195F">
      <w:pPr>
        <w:tabs>
          <w:tab w:val="left" w:pos="720"/>
        </w:tabs>
        <w:autoSpaceDE w:val="0"/>
        <w:autoSpaceDN w:val="0"/>
        <w:adjustRightInd w:val="0"/>
        <w:spacing w:after="0"/>
        <w:ind w:left="360"/>
        <w:jc w:val="both"/>
        <w:rPr>
          <w:rFonts w:ascii="Times New Roman" w:hAnsi="Times New Roman" w:cs="Times New Roman"/>
          <w:color w:val="000000"/>
          <w:sz w:val="24"/>
          <w:szCs w:val="24"/>
          <w:lang w:val="en-IN" w:eastAsia="en-IN" w:bidi="ar-SA"/>
        </w:rPr>
      </w:pPr>
      <w:r w:rsidRPr="00A4195F">
        <w:rPr>
          <w:rFonts w:ascii="Times New Roman" w:hAnsi="Times New Roman" w:cs="Times New Roman"/>
          <w:color w:val="000000"/>
          <w:sz w:val="24"/>
          <w:szCs w:val="24"/>
          <w:lang w:val="en-IN" w:eastAsia="en-IN" w:bidi="ar-SA"/>
        </w:rPr>
        <w:t>Upadhayay, V. K. (2023). Microbial Consortium as an Important Bioproduct for Sustainable Agriculture</w:t>
      </w:r>
      <w:r w:rsidRPr="008F7F1B">
        <w:rPr>
          <w:rFonts w:ascii="Times New Roman" w:hAnsi="Times New Roman" w:cs="Times New Roman"/>
          <w:color w:val="000000"/>
          <w:sz w:val="24"/>
          <w:szCs w:val="24"/>
          <w:highlight w:val="yellow"/>
          <w:lang w:val="en-IN" w:eastAsia="en-IN" w:bidi="ar-SA"/>
        </w:rPr>
        <w:t>. *Vigyan Varta*, *4*(</w:t>
      </w:r>
      <w:r w:rsidRPr="00A4195F">
        <w:rPr>
          <w:rFonts w:ascii="Times New Roman" w:hAnsi="Times New Roman" w:cs="Times New Roman"/>
          <w:color w:val="000000"/>
          <w:sz w:val="24"/>
          <w:szCs w:val="24"/>
          <w:lang w:val="en-IN" w:eastAsia="en-IN" w:bidi="ar-SA"/>
        </w:rPr>
        <w:t xml:space="preserve">6), 5-8. </w:t>
      </w:r>
      <w:hyperlink r:id="rId45" w:history="1">
        <w:r w:rsidRPr="00A4195F">
          <w:rPr>
            <w:rStyle w:val="Hipervnculo"/>
            <w:rFonts w:ascii="Times New Roman" w:hAnsi="Times New Roman" w:cs="Times New Roman"/>
            <w:sz w:val="24"/>
            <w:szCs w:val="24"/>
            <w:lang w:val="en-IN" w:eastAsia="en-IN" w:bidi="ar-SA"/>
          </w:rPr>
          <w:t>http://www.vigyanvarta.com/</w:t>
        </w:r>
      </w:hyperlink>
      <w:r w:rsidRPr="00A4195F">
        <w:rPr>
          <w:rFonts w:ascii="Times New Roman" w:hAnsi="Times New Roman" w:cs="Times New Roman"/>
          <w:color w:val="000000"/>
          <w:sz w:val="24"/>
          <w:szCs w:val="24"/>
          <w:lang w:val="en-IN" w:eastAsia="en-IN" w:bidi="ar-SA"/>
        </w:rPr>
        <w:t xml:space="preserve"> </w:t>
      </w:r>
    </w:p>
    <w:p w14:paraId="6B9AB80A" w14:textId="7B4B82FE" w:rsidR="005D0D62" w:rsidRPr="00A4195F" w:rsidRDefault="006C709A" w:rsidP="00A4195F">
      <w:pPr>
        <w:autoSpaceDE w:val="0"/>
        <w:autoSpaceDN w:val="0"/>
        <w:adjustRightInd w:val="0"/>
        <w:spacing w:after="0"/>
        <w:ind w:left="360"/>
        <w:jc w:val="both"/>
        <w:rPr>
          <w:rFonts w:ascii="Times New Roman" w:hAnsi="Times New Roman" w:cs="Times New Roman"/>
          <w:color w:val="000000"/>
          <w:sz w:val="24"/>
          <w:szCs w:val="24"/>
          <w:lang w:val="en-IN" w:eastAsia="en-IN" w:bidi="ar-SA"/>
        </w:rPr>
      </w:pPr>
      <w:r w:rsidRPr="00A4195F">
        <w:rPr>
          <w:rFonts w:ascii="Times New Roman" w:hAnsi="Times New Roman" w:cs="Times New Roman"/>
          <w:color w:val="000000"/>
          <w:sz w:val="24"/>
          <w:szCs w:val="24"/>
          <w:lang w:val="en-IN" w:eastAsia="en-IN" w:bidi="ar-SA"/>
        </w:rPr>
        <w:t xml:space="preserve">Vazquez, I. T., Cruz, R. S., Domínguez, M. A., Ruan, V. L., Reyes, A. S., Sánchez-Carbente, M. D. R., Chacón, D. P., Batista-García, R. A., &amp; Folch-Mallol, J. L. (2020). Isolation and characterization of psychrophilic and </w:t>
      </w:r>
      <w:proofErr w:type="spellStart"/>
      <w:r w:rsidRPr="00A4195F">
        <w:rPr>
          <w:rFonts w:ascii="Times New Roman" w:hAnsi="Times New Roman" w:cs="Times New Roman"/>
          <w:color w:val="000000"/>
          <w:sz w:val="24"/>
          <w:szCs w:val="24"/>
          <w:lang w:val="en-IN" w:eastAsia="en-IN" w:bidi="ar-SA"/>
        </w:rPr>
        <w:t>psychrotolerant</w:t>
      </w:r>
      <w:proofErr w:type="spellEnd"/>
      <w:r w:rsidRPr="00A4195F">
        <w:rPr>
          <w:rFonts w:ascii="Times New Roman" w:hAnsi="Times New Roman" w:cs="Times New Roman"/>
          <w:color w:val="000000"/>
          <w:sz w:val="24"/>
          <w:szCs w:val="24"/>
          <w:lang w:val="en-IN" w:eastAsia="en-IN" w:bidi="ar-SA"/>
        </w:rPr>
        <w:t xml:space="preserve"> plant-growth promoting microorganisms from a high-altitude volcano crater in Mexico. *Microbiological Research*, *232*, 126394. </w:t>
      </w:r>
      <w:hyperlink r:id="rId46" w:history="1">
        <w:r w:rsidRPr="00A4195F">
          <w:rPr>
            <w:rStyle w:val="Hipervnculo"/>
            <w:rFonts w:ascii="Times New Roman" w:hAnsi="Times New Roman" w:cs="Times New Roman"/>
            <w:sz w:val="24"/>
            <w:szCs w:val="24"/>
            <w:lang w:val="en-IN" w:eastAsia="en-IN" w:bidi="ar-SA"/>
          </w:rPr>
          <w:t>https://doi.org/10.1016/j.micres.2019.126394</w:t>
        </w:r>
      </w:hyperlink>
      <w:r w:rsidRPr="00A4195F">
        <w:rPr>
          <w:rFonts w:ascii="Times New Roman" w:hAnsi="Times New Roman" w:cs="Times New Roman"/>
          <w:color w:val="000000"/>
          <w:sz w:val="24"/>
          <w:szCs w:val="24"/>
          <w:lang w:val="en-IN" w:eastAsia="en-IN" w:bidi="ar-SA"/>
        </w:rPr>
        <w:t xml:space="preserve"> </w:t>
      </w:r>
    </w:p>
    <w:p w14:paraId="299355BD" w14:textId="78F30ED8" w:rsidR="005D0D62" w:rsidRPr="00A4195F" w:rsidRDefault="00751D42" w:rsidP="00A4195F">
      <w:pPr>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Waghmare, Y. A., </w:t>
      </w:r>
      <w:proofErr w:type="spellStart"/>
      <w:r w:rsidRPr="00A4195F">
        <w:rPr>
          <w:rFonts w:ascii="Times New Roman" w:hAnsi="Times New Roman" w:cs="Times New Roman"/>
          <w:sz w:val="24"/>
          <w:szCs w:val="24"/>
        </w:rPr>
        <w:t>Dhamak</w:t>
      </w:r>
      <w:proofErr w:type="spellEnd"/>
      <w:r w:rsidRPr="00A4195F">
        <w:rPr>
          <w:rFonts w:ascii="Times New Roman" w:hAnsi="Times New Roman" w:cs="Times New Roman"/>
          <w:sz w:val="24"/>
          <w:szCs w:val="24"/>
        </w:rPr>
        <w:t xml:space="preserve">, A. L., &amp; Syed, I. (2020). Impact of levels of zinc and various zinc solubilizing microorganisms on changes in zinc and other soil nutrients in spinach. International Journal of Chemical Studies, 8(1), 529-535. </w:t>
      </w:r>
      <w:hyperlink r:id="rId47" w:history="1">
        <w:r w:rsidRPr="00A4195F">
          <w:rPr>
            <w:rStyle w:val="Hipervnculo"/>
            <w:rFonts w:ascii="Times New Roman" w:hAnsi="Times New Roman" w:cs="Times New Roman"/>
            <w:sz w:val="24"/>
            <w:szCs w:val="24"/>
          </w:rPr>
          <w:t>https://doi.org/10.22271/chemi.2020.v8.i1h.8313</w:t>
        </w:r>
      </w:hyperlink>
      <w:r w:rsidRPr="00A4195F">
        <w:rPr>
          <w:rFonts w:ascii="Times New Roman" w:hAnsi="Times New Roman" w:cs="Times New Roman"/>
          <w:sz w:val="24"/>
          <w:szCs w:val="24"/>
        </w:rPr>
        <w:t xml:space="preserve"> </w:t>
      </w:r>
    </w:p>
    <w:p w14:paraId="144D021D" w14:textId="77777777" w:rsidR="005D0D62" w:rsidRPr="00A4195F" w:rsidRDefault="005D0D62" w:rsidP="00A4195F">
      <w:pPr>
        <w:tabs>
          <w:tab w:val="left" w:pos="720"/>
        </w:tabs>
        <w:autoSpaceDE w:val="0"/>
        <w:autoSpaceDN w:val="0"/>
        <w:adjustRightInd w:val="0"/>
        <w:spacing w:after="0"/>
        <w:ind w:left="360"/>
        <w:jc w:val="both"/>
        <w:rPr>
          <w:rFonts w:ascii="Times New Roman" w:hAnsi="Times New Roman" w:cs="Times New Roman"/>
          <w:sz w:val="24"/>
          <w:szCs w:val="24"/>
        </w:rPr>
      </w:pPr>
      <w:r w:rsidRPr="00A4195F">
        <w:rPr>
          <w:rFonts w:ascii="Times New Roman" w:hAnsi="Times New Roman" w:cs="Times New Roman"/>
          <w:sz w:val="24"/>
          <w:szCs w:val="24"/>
        </w:rPr>
        <w:t>Walls-Thumma, D. (2000). Dehydrogenase activity in soil bacteria. </w:t>
      </w:r>
      <w:r w:rsidRPr="00A4195F">
        <w:rPr>
          <w:rFonts w:ascii="Times New Roman" w:hAnsi="Times New Roman" w:cs="Times New Roman"/>
          <w:i/>
          <w:iCs/>
          <w:sz w:val="24"/>
          <w:szCs w:val="24"/>
        </w:rPr>
        <w:t>dehydrogenase-activity-soil-bacteria. Gardenguides Pub</w:t>
      </w:r>
      <w:r w:rsidRPr="00A4195F">
        <w:rPr>
          <w:rFonts w:ascii="Times New Roman" w:hAnsi="Times New Roman" w:cs="Times New Roman"/>
          <w:sz w:val="24"/>
          <w:szCs w:val="24"/>
        </w:rPr>
        <w:t>, </w:t>
      </w:r>
      <w:r w:rsidRPr="00A4195F">
        <w:rPr>
          <w:rFonts w:ascii="Times New Roman" w:hAnsi="Times New Roman" w:cs="Times New Roman"/>
          <w:i/>
          <w:iCs/>
          <w:sz w:val="24"/>
          <w:szCs w:val="24"/>
        </w:rPr>
        <w:t>130633</w:t>
      </w:r>
      <w:r w:rsidRPr="00A4195F">
        <w:rPr>
          <w:rFonts w:ascii="Times New Roman" w:hAnsi="Times New Roman" w:cs="Times New Roman"/>
          <w:sz w:val="24"/>
          <w:szCs w:val="24"/>
        </w:rPr>
        <w:t>.</w:t>
      </w:r>
    </w:p>
    <w:p w14:paraId="6956CCD4" w14:textId="77777777" w:rsidR="005D0D62" w:rsidRPr="00A4195F" w:rsidRDefault="005D0D62"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Yadav, N., Rao, Ch. P., Luther, M. M. and Rani, Y. A. (2016) Effect of nitrogen, phosphorus and bio-fertilizers management on growth and yield of pearl millet. </w:t>
      </w:r>
      <w:r w:rsidRPr="00A4195F">
        <w:rPr>
          <w:rFonts w:ascii="Times New Roman" w:hAnsi="Times New Roman" w:cs="Times New Roman"/>
          <w:i/>
          <w:sz w:val="24"/>
          <w:szCs w:val="24"/>
        </w:rPr>
        <w:t>The Andhra Agriculture,</w:t>
      </w:r>
      <w:r w:rsidRPr="00A4195F">
        <w:rPr>
          <w:rFonts w:ascii="Times New Roman" w:hAnsi="Times New Roman" w:cs="Times New Roman"/>
          <w:sz w:val="24"/>
          <w:szCs w:val="24"/>
        </w:rPr>
        <w:t xml:space="preserve"> </w:t>
      </w:r>
      <w:r w:rsidRPr="00A4195F">
        <w:rPr>
          <w:rFonts w:ascii="Times New Roman" w:hAnsi="Times New Roman" w:cs="Times New Roman"/>
          <w:b/>
          <w:sz w:val="24"/>
          <w:szCs w:val="24"/>
        </w:rPr>
        <w:t>63</w:t>
      </w:r>
      <w:r w:rsidRPr="00A4195F">
        <w:rPr>
          <w:rFonts w:ascii="Times New Roman" w:hAnsi="Times New Roman" w:cs="Times New Roman"/>
          <w:sz w:val="24"/>
          <w:szCs w:val="24"/>
        </w:rPr>
        <w:t xml:space="preserve">(3): 503-507. </w:t>
      </w:r>
    </w:p>
    <w:p w14:paraId="41FCC6FE" w14:textId="163EA7CB" w:rsidR="005D0D62" w:rsidRPr="00A4195F" w:rsidRDefault="009340AF" w:rsidP="00A4195F">
      <w:pPr>
        <w:spacing w:line="360" w:lineRule="auto"/>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Yadav, N., Rao, C. P., Luther, M. M., &amp; Rani, Y. A. (2016). Effect of nitrogen, phosphorus and bio-fertilizers management on growth and yield of pearl millet. The Andhra Agricultural Journal, 63(3), 503-507. </w:t>
      </w:r>
      <w:hyperlink r:id="rId48" w:history="1">
        <w:r w:rsidRPr="00A4195F">
          <w:rPr>
            <w:rStyle w:val="Hipervnculo"/>
            <w:rFonts w:ascii="Times New Roman" w:hAnsi="Times New Roman" w:cs="Times New Roman"/>
            <w:sz w:val="24"/>
            <w:szCs w:val="24"/>
          </w:rPr>
          <w:t>https://aaj.org.in/archives/2016</w:t>
        </w:r>
      </w:hyperlink>
      <w:r w:rsidRPr="00A4195F">
        <w:rPr>
          <w:rFonts w:ascii="Times New Roman" w:hAnsi="Times New Roman" w:cs="Times New Roman"/>
          <w:sz w:val="24"/>
          <w:szCs w:val="24"/>
        </w:rPr>
        <w:t xml:space="preserve"> </w:t>
      </w:r>
      <w:r w:rsidR="005D0D62" w:rsidRPr="00A4195F">
        <w:rPr>
          <w:rFonts w:ascii="Times New Roman" w:hAnsi="Times New Roman" w:cs="Times New Roman"/>
          <w:sz w:val="24"/>
          <w:szCs w:val="24"/>
        </w:rPr>
        <w:t xml:space="preserve"> </w:t>
      </w:r>
    </w:p>
    <w:p w14:paraId="196AE048" w14:textId="2B01B324" w:rsidR="005D0D62" w:rsidRPr="00A4195F" w:rsidRDefault="009340AF" w:rsidP="00A4195F">
      <w:pPr>
        <w:ind w:left="360"/>
        <w:jc w:val="both"/>
        <w:rPr>
          <w:rFonts w:ascii="Times New Roman" w:hAnsi="Times New Roman" w:cs="Times New Roman"/>
          <w:sz w:val="24"/>
          <w:szCs w:val="24"/>
        </w:rPr>
      </w:pPr>
      <w:r w:rsidRPr="00A4195F">
        <w:rPr>
          <w:rFonts w:ascii="Times New Roman" w:hAnsi="Times New Roman" w:cs="Times New Roman"/>
          <w:sz w:val="24"/>
          <w:szCs w:val="24"/>
        </w:rPr>
        <w:t xml:space="preserve">Yadav, R., </w:t>
      </w:r>
      <w:proofErr w:type="spellStart"/>
      <w:r w:rsidRPr="00A4195F">
        <w:rPr>
          <w:rFonts w:ascii="Times New Roman" w:hAnsi="Times New Roman" w:cs="Times New Roman"/>
          <w:sz w:val="24"/>
          <w:szCs w:val="24"/>
        </w:rPr>
        <w:t>Ror</w:t>
      </w:r>
      <w:proofErr w:type="spellEnd"/>
      <w:r w:rsidRPr="00A4195F">
        <w:rPr>
          <w:rFonts w:ascii="Times New Roman" w:hAnsi="Times New Roman" w:cs="Times New Roman"/>
          <w:sz w:val="24"/>
          <w:szCs w:val="24"/>
        </w:rPr>
        <w:t xml:space="preserve">, P., Beniwal, R., Kumar, S., &amp; Ramakrishna, W. (2022). Bacillus sp. and arbuscular mycorrhizal fungi consortia enhance wheat nutrient and yield in the second-year field trial: Superior performance in comparison with chemical fertilizers. Journal of Applied Microbiology, 132(3), 2203–2219. </w:t>
      </w:r>
      <w:hyperlink r:id="rId49" w:history="1">
        <w:r w:rsidRPr="00A4195F">
          <w:rPr>
            <w:rStyle w:val="Hipervnculo"/>
            <w:rFonts w:ascii="Times New Roman" w:hAnsi="Times New Roman" w:cs="Times New Roman"/>
            <w:sz w:val="24"/>
            <w:szCs w:val="24"/>
          </w:rPr>
          <w:t>https://doi.org/10.1111/jam.15371</w:t>
        </w:r>
      </w:hyperlink>
      <w:r w:rsidRPr="00A4195F">
        <w:rPr>
          <w:rFonts w:ascii="Times New Roman" w:hAnsi="Times New Roman" w:cs="Times New Roman"/>
          <w:sz w:val="24"/>
          <w:szCs w:val="24"/>
        </w:rPr>
        <w:t xml:space="preserve"> </w:t>
      </w:r>
    </w:p>
    <w:p w14:paraId="342AF41D" w14:textId="037920A4" w:rsidR="005D0D62" w:rsidRPr="00A4195F" w:rsidRDefault="009340AF" w:rsidP="00A4195F">
      <w:pPr>
        <w:tabs>
          <w:tab w:val="left" w:pos="720"/>
        </w:tabs>
        <w:autoSpaceDE w:val="0"/>
        <w:autoSpaceDN w:val="0"/>
        <w:adjustRightInd w:val="0"/>
        <w:spacing w:after="0"/>
        <w:ind w:left="360"/>
        <w:jc w:val="both"/>
        <w:rPr>
          <w:rFonts w:ascii="Times New Roman" w:hAnsi="Times New Roman" w:cs="Times New Roman"/>
          <w:sz w:val="24"/>
          <w:szCs w:val="24"/>
        </w:rPr>
      </w:pPr>
      <w:proofErr w:type="spellStart"/>
      <w:r w:rsidRPr="00A4195F">
        <w:rPr>
          <w:rFonts w:ascii="Times New Roman" w:hAnsi="Times New Roman" w:cs="Times New Roman"/>
          <w:sz w:val="24"/>
          <w:szCs w:val="24"/>
        </w:rPr>
        <w:t>Yaduwanshi</w:t>
      </w:r>
      <w:proofErr w:type="spellEnd"/>
      <w:r w:rsidRPr="00A4195F">
        <w:rPr>
          <w:rFonts w:ascii="Times New Roman" w:hAnsi="Times New Roman" w:cs="Times New Roman"/>
          <w:sz w:val="24"/>
          <w:szCs w:val="24"/>
        </w:rPr>
        <w:t xml:space="preserve">, B., Sahu, R.K., Mitra, N.G., &amp; Dwivedi, B.S. (2021). Impact of Microbial Consortia on Microbial Population and Available Nutrients in Soil under Soybean Crop. Journal of the Indian Society of Soil Science, 69(2), 187-194. </w:t>
      </w:r>
      <w:hyperlink r:id="rId50" w:history="1">
        <w:r w:rsidRPr="00A4195F">
          <w:rPr>
            <w:rStyle w:val="Hipervnculo"/>
            <w:rFonts w:ascii="Times New Roman" w:hAnsi="Times New Roman" w:cs="Times New Roman"/>
            <w:sz w:val="24"/>
            <w:szCs w:val="24"/>
          </w:rPr>
          <w:t>https://doi.org/10.5958/0974-0228.2021.00029.3</w:t>
        </w:r>
      </w:hyperlink>
      <w:r w:rsidRPr="00A4195F">
        <w:rPr>
          <w:rFonts w:ascii="Times New Roman" w:hAnsi="Times New Roman" w:cs="Times New Roman"/>
          <w:sz w:val="24"/>
          <w:szCs w:val="24"/>
        </w:rPr>
        <w:t xml:space="preserve"> </w:t>
      </w:r>
    </w:p>
    <w:sectPr w:rsidR="005D0D62" w:rsidRPr="00A4195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CA" w:date="2025-12-16T14:51:00Z" w:initials="DC">
    <w:p w14:paraId="5E5C505C" w14:textId="77777777" w:rsidR="0077578F" w:rsidRDefault="0077578F" w:rsidP="0077578F">
      <w:pPr>
        <w:pStyle w:val="Textocomentario"/>
      </w:pPr>
      <w:r>
        <w:rPr>
          <w:rStyle w:val="Refdecomentario"/>
        </w:rPr>
        <w:annotationRef/>
      </w:r>
      <w:r>
        <w:t>Check the grammar; they use excessive punctuation.</w:t>
      </w:r>
    </w:p>
  </w:comment>
  <w:comment w:id="1" w:author="LCA" w:date="2025-12-16T15:40:00Z" w:initials="DC">
    <w:p w14:paraId="6DB52812" w14:textId="77777777" w:rsidR="00A3764B" w:rsidRDefault="00A3764B" w:rsidP="00A3764B">
      <w:pPr>
        <w:pStyle w:val="Textocomentario"/>
      </w:pPr>
      <w:r>
        <w:rPr>
          <w:rStyle w:val="Refdecomentario"/>
        </w:rPr>
        <w:annotationRef/>
      </w:r>
      <w:r>
        <w:t>without number and in singular</w:t>
      </w:r>
    </w:p>
  </w:comment>
  <w:comment w:id="2" w:author="LCA" w:date="2025-12-16T15:41:00Z" w:initials="DC">
    <w:p w14:paraId="7528292C" w14:textId="77777777" w:rsidR="00A3764B" w:rsidRDefault="00A3764B" w:rsidP="00A3764B">
      <w:pPr>
        <w:pStyle w:val="Textocomentario"/>
      </w:pPr>
      <w:r>
        <w:rPr>
          <w:rStyle w:val="Refdecomentario"/>
        </w:rPr>
        <w:annotationRef/>
      </w:r>
      <w:r>
        <w:t>This is implicit, restructuring the objective</w:t>
      </w:r>
    </w:p>
  </w:comment>
  <w:comment w:id="3" w:author="LCA" w:date="2025-12-16T15:48:00Z" w:initials="DC">
    <w:p w14:paraId="71A458A5" w14:textId="77777777" w:rsidR="00A3764B" w:rsidRDefault="00A3764B" w:rsidP="00A3764B">
      <w:pPr>
        <w:pStyle w:val="Textocomentario"/>
      </w:pPr>
      <w:r>
        <w:rPr>
          <w:rStyle w:val="Refdecomentario"/>
        </w:rPr>
        <w:annotationRef/>
      </w:r>
      <w:r>
        <w:rPr>
          <w:lang w:val="es-MX"/>
        </w:rPr>
        <w:t>,</w:t>
      </w:r>
    </w:p>
  </w:comment>
  <w:comment w:id="4" w:author="LCA" w:date="2025-12-16T15:46:00Z" w:initials="DC">
    <w:p w14:paraId="1032DAEF" w14:textId="094A52F1" w:rsidR="00A3764B" w:rsidRDefault="00A3764B" w:rsidP="00A3764B">
      <w:pPr>
        <w:pStyle w:val="Textocomentario"/>
      </w:pPr>
      <w:r>
        <w:rPr>
          <w:rStyle w:val="Refdecomentario"/>
        </w:rPr>
        <w:annotationRef/>
      </w:r>
      <w:r>
        <w:rPr>
          <w:lang w:val="es-MX"/>
        </w:rPr>
        <w:t>,</w:t>
      </w:r>
    </w:p>
  </w:comment>
  <w:comment w:id="5" w:author="LCA" w:date="2025-12-16T15:57:00Z" w:initials="DC">
    <w:p w14:paraId="5FDFEFE6" w14:textId="77777777" w:rsidR="0031188D" w:rsidRDefault="0031188D" w:rsidP="0031188D">
      <w:pPr>
        <w:pStyle w:val="Textocomentario"/>
      </w:pPr>
      <w:r>
        <w:rPr>
          <w:rStyle w:val="Refdecomentario"/>
        </w:rPr>
        <w:annotationRef/>
      </w:r>
      <w:r>
        <w:t>cite the table in text</w:t>
      </w:r>
    </w:p>
  </w:comment>
  <w:comment w:id="6" w:author="LCA" w:date="2025-12-16T15:59:00Z" w:initials="DC">
    <w:p w14:paraId="35CD7D66" w14:textId="77777777" w:rsidR="0031188D" w:rsidRDefault="0031188D" w:rsidP="0031188D">
      <w:pPr>
        <w:pStyle w:val="Textocomentario"/>
      </w:pPr>
      <w:r>
        <w:rPr>
          <w:rStyle w:val="Refdecomentario"/>
        </w:rPr>
        <w:annotationRef/>
      </w:r>
      <w:r>
        <w:rPr>
          <w:lang w:val="es-MX"/>
        </w:rPr>
        <w:t>meaning</w:t>
      </w:r>
    </w:p>
  </w:comment>
  <w:comment w:id="7" w:author="LCA" w:date="2025-12-16T15:58:00Z" w:initials="DC">
    <w:p w14:paraId="4C6D4FE5" w14:textId="38D35556" w:rsidR="0031188D" w:rsidRDefault="0031188D" w:rsidP="0031188D">
      <w:pPr>
        <w:pStyle w:val="Textocomentario"/>
      </w:pPr>
      <w:r>
        <w:rPr>
          <w:rStyle w:val="Refdecomentario"/>
        </w:rPr>
        <w:annotationRef/>
      </w:r>
      <w:r>
        <w:t>The methodology does not indicate how this was determined.</w:t>
      </w:r>
    </w:p>
  </w:comment>
  <w:comment w:id="8" w:author="LCA" w:date="2025-12-16T16:01:00Z" w:initials="DC">
    <w:p w14:paraId="26E4103E" w14:textId="77777777" w:rsidR="00FD4858" w:rsidRDefault="00FD4858" w:rsidP="00FD4858">
      <w:pPr>
        <w:pStyle w:val="Textocomentario"/>
      </w:pPr>
      <w:r>
        <w:rPr>
          <w:rStyle w:val="Refdecomentario"/>
        </w:rPr>
        <w:annotationRef/>
      </w:r>
      <w:r>
        <w:t>The methodology does not mention how it was determined.</w:t>
      </w:r>
    </w:p>
  </w:comment>
  <w:comment w:id="9" w:author="LCA" w:date="2025-12-16T16:07:00Z" w:initials="DC">
    <w:p w14:paraId="60C9D8FE" w14:textId="77777777" w:rsidR="00FD4858" w:rsidRDefault="00FD4858" w:rsidP="00FD4858">
      <w:pPr>
        <w:pStyle w:val="Textocomentario"/>
      </w:pPr>
      <w:r>
        <w:rPr>
          <w:rStyle w:val="Refdecomentario"/>
        </w:rPr>
        <w:annotationRef/>
      </w:r>
      <w:r>
        <w:rPr>
          <w:lang w:val="es-MX"/>
        </w:rPr>
        <w:t>,</w:t>
      </w:r>
    </w:p>
  </w:comment>
  <w:comment w:id="10" w:author="LCA" w:date="2025-12-16T16:07:00Z" w:initials="DC">
    <w:p w14:paraId="716D8CA0" w14:textId="77777777" w:rsidR="00FD4858" w:rsidRDefault="00FD4858" w:rsidP="00FD4858">
      <w:pPr>
        <w:pStyle w:val="Textocomentario"/>
      </w:pPr>
      <w:r>
        <w:rPr>
          <w:rStyle w:val="Refdecomentario"/>
        </w:rPr>
        <w:annotationRef/>
      </w:r>
      <w:r>
        <w:rPr>
          <w:lang w:val="es-MX"/>
        </w:rPr>
        <w:t>,</w:t>
      </w:r>
    </w:p>
  </w:comment>
  <w:comment w:id="11" w:author="LCA" w:date="2025-12-16T16:08:00Z" w:initials="DC">
    <w:p w14:paraId="0664D585" w14:textId="77777777" w:rsidR="00FD4858" w:rsidRDefault="00FD4858" w:rsidP="00FD4858">
      <w:pPr>
        <w:pStyle w:val="Textocomentario"/>
      </w:pPr>
      <w:r>
        <w:rPr>
          <w:rStyle w:val="Refdecomentario"/>
        </w:rPr>
        <w:annotationRef/>
      </w:r>
      <w:r>
        <w:rPr>
          <w:lang w:val="es-MX"/>
        </w:rPr>
        <w:t>,</w:t>
      </w:r>
    </w:p>
  </w:comment>
  <w:comment w:id="12" w:author="LCA" w:date="2025-12-16T16:08:00Z" w:initials="DC">
    <w:p w14:paraId="1A180C31" w14:textId="77777777" w:rsidR="00FD4858" w:rsidRDefault="00FD4858" w:rsidP="00FD4858">
      <w:pPr>
        <w:pStyle w:val="Textocomentario"/>
      </w:pPr>
      <w:r>
        <w:rPr>
          <w:rStyle w:val="Refdecomentario"/>
        </w:rPr>
        <w:annotationRef/>
      </w:r>
      <w:r>
        <w:rPr>
          <w:lang w:val="es-MX"/>
        </w:rPr>
        <w:t>,</w:t>
      </w:r>
    </w:p>
  </w:comment>
  <w:comment w:id="13" w:author="LCA" w:date="2025-12-16T16:04:00Z" w:initials="DC">
    <w:p w14:paraId="190615EB" w14:textId="62F6DF3F" w:rsidR="00FD4858" w:rsidRDefault="00FD4858" w:rsidP="00FD4858">
      <w:pPr>
        <w:pStyle w:val="Textocomentario"/>
      </w:pPr>
      <w:r>
        <w:rPr>
          <w:rStyle w:val="Refdecomentario"/>
        </w:rPr>
        <w:annotationRef/>
      </w:r>
      <w:r>
        <w:t>The methodology section does not indicate how the determinations were made and the results obtained.</w:t>
      </w:r>
    </w:p>
  </w:comment>
  <w:comment w:id="14" w:author="LCA" w:date="2025-12-16T16:04:00Z" w:initials="DC">
    <w:p w14:paraId="20331C0B" w14:textId="77777777" w:rsidR="00FD4858" w:rsidRDefault="00FD4858" w:rsidP="00FD4858">
      <w:pPr>
        <w:pStyle w:val="Textocomentario"/>
      </w:pPr>
      <w:r>
        <w:rPr>
          <w:rStyle w:val="Refdecomentario"/>
        </w:rPr>
        <w:annotationRef/>
      </w:r>
      <w:r>
        <w:rPr>
          <w:lang w:val="es-MX"/>
        </w:rPr>
        <w:t>CITE IN TEXT</w:t>
      </w:r>
    </w:p>
  </w:comment>
  <w:comment w:id="15" w:author="LCA" w:date="2025-12-16T16:08:00Z" w:initials="DC">
    <w:p w14:paraId="33DF59CA" w14:textId="77777777" w:rsidR="00FD4858" w:rsidRDefault="00FD4858" w:rsidP="00FD4858">
      <w:pPr>
        <w:pStyle w:val="Textocomentario"/>
      </w:pPr>
      <w:r>
        <w:rPr>
          <w:rStyle w:val="Refdecomentario"/>
        </w:rPr>
        <w:annotationRef/>
      </w:r>
      <w:r>
        <w:rPr>
          <w:lang w:val="es-MX"/>
        </w:rPr>
        <w:t>CITE IN TEXT</w:t>
      </w:r>
    </w:p>
  </w:comment>
  <w:comment w:id="16" w:author="LCA" w:date="2025-12-16T16:09:00Z" w:initials="DC">
    <w:p w14:paraId="4E6CEF3D" w14:textId="77777777" w:rsidR="00FD4858" w:rsidRDefault="00FD4858" w:rsidP="00FD4858">
      <w:pPr>
        <w:pStyle w:val="Textocomentario"/>
      </w:pPr>
      <w:r>
        <w:rPr>
          <w:rStyle w:val="Refdecomentario"/>
        </w:rPr>
        <w:annotationRef/>
      </w:r>
      <w:r>
        <w:rPr>
          <w:lang w:val="es-MX"/>
        </w:rPr>
        <w:t>,</w:t>
      </w:r>
    </w:p>
  </w:comment>
  <w:comment w:id="17" w:author="LCA" w:date="2025-12-16T16:09:00Z" w:initials="DC">
    <w:p w14:paraId="62AFAF13" w14:textId="77777777" w:rsidR="00FD4858" w:rsidRDefault="00FD4858" w:rsidP="00FD4858">
      <w:pPr>
        <w:pStyle w:val="Textocomentario"/>
      </w:pPr>
      <w:r>
        <w:rPr>
          <w:rStyle w:val="Refdecomentario"/>
        </w:rPr>
        <w:annotationRef/>
      </w:r>
      <w:r>
        <w:rPr>
          <w:lang w:val="es-MX"/>
        </w:rPr>
        <w:t>,</w:t>
      </w:r>
    </w:p>
  </w:comment>
  <w:comment w:id="18" w:author="LCA" w:date="2025-12-16T16:09:00Z" w:initials="DC">
    <w:p w14:paraId="26C677C4" w14:textId="77777777" w:rsidR="00FD4858" w:rsidRDefault="00FD4858" w:rsidP="00FD4858">
      <w:pPr>
        <w:pStyle w:val="Textocomentario"/>
      </w:pPr>
      <w:r>
        <w:rPr>
          <w:rStyle w:val="Refdecomentario"/>
        </w:rPr>
        <w:annotationRef/>
      </w:r>
      <w:r>
        <w:rPr>
          <w:lang w:val="es-MX"/>
        </w:rPr>
        <w:t>Item</w:t>
      </w:r>
    </w:p>
  </w:comment>
  <w:comment w:id="19" w:author="LCA" w:date="2025-12-16T16:10:00Z" w:initials="DC">
    <w:p w14:paraId="5627F344" w14:textId="77777777" w:rsidR="00FD4858" w:rsidRDefault="00FD4858" w:rsidP="00FD4858">
      <w:pPr>
        <w:pStyle w:val="Textocomentario"/>
      </w:pPr>
      <w:r>
        <w:rPr>
          <w:rStyle w:val="Refdecomentario"/>
        </w:rPr>
        <w:annotationRef/>
      </w:r>
      <w:r>
        <w:rPr>
          <w:lang w:val="es-MX"/>
        </w:rPr>
        <w:t>item</w:t>
      </w:r>
    </w:p>
  </w:comment>
  <w:comment w:id="20" w:author="LCA" w:date="2025-12-16T16:10:00Z" w:initials="DC">
    <w:p w14:paraId="33AE5544" w14:textId="77777777" w:rsidR="00FD4858" w:rsidRDefault="00FD4858" w:rsidP="00FD4858">
      <w:pPr>
        <w:pStyle w:val="Textocomentario"/>
      </w:pPr>
      <w:r>
        <w:rPr>
          <w:rStyle w:val="Refdecomentario"/>
        </w:rPr>
        <w:annotationRef/>
      </w:r>
      <w:r>
        <w:rPr>
          <w:lang w:val="es-MX"/>
        </w:rPr>
        <w:t>,</w:t>
      </w:r>
    </w:p>
  </w:comment>
  <w:comment w:id="21" w:author="LCA" w:date="2025-12-16T16:10:00Z" w:initials="DC">
    <w:p w14:paraId="0CBA4F7E" w14:textId="77777777" w:rsidR="00D62BAF" w:rsidRDefault="00D62BAF" w:rsidP="00D62BAF">
      <w:pPr>
        <w:pStyle w:val="Textocomentario"/>
      </w:pPr>
      <w:r>
        <w:rPr>
          <w:rStyle w:val="Refdecomentario"/>
        </w:rPr>
        <w:annotationRef/>
      </w:r>
      <w:r>
        <w:rPr>
          <w:lang w:val="es-MX"/>
        </w:rPr>
        <w:t>,</w:t>
      </w:r>
    </w:p>
  </w:comment>
  <w:comment w:id="22" w:author="LCA" w:date="2025-12-16T16:13:00Z" w:initials="DC">
    <w:p w14:paraId="6BFEC675" w14:textId="77777777" w:rsidR="00D62BAF" w:rsidRDefault="00D62BAF" w:rsidP="00D62BAF">
      <w:pPr>
        <w:pStyle w:val="Textocomentario"/>
      </w:pPr>
      <w:r>
        <w:rPr>
          <w:rStyle w:val="Refdecomentario"/>
        </w:rPr>
        <w:annotationRef/>
      </w:r>
      <w:r>
        <w:t>They are not mentioned as determined in the methodology section</w:t>
      </w:r>
    </w:p>
  </w:comment>
  <w:comment w:id="23" w:author="LCA" w:date="2025-12-16T16:16:00Z" w:initials="DC">
    <w:p w14:paraId="613AC515" w14:textId="77777777" w:rsidR="00D62BAF" w:rsidRDefault="00D62BAF" w:rsidP="00D62BAF">
      <w:pPr>
        <w:pStyle w:val="Textocomentario"/>
      </w:pPr>
      <w:r>
        <w:rPr>
          <w:rStyle w:val="Refdecomentario"/>
        </w:rPr>
        <w:annotationRef/>
      </w:r>
      <w:r>
        <w:rPr>
          <w:lang w:val="es-MX"/>
        </w:rPr>
        <w:t>,</w:t>
      </w:r>
    </w:p>
  </w:comment>
  <w:comment w:id="24" w:author="LCA" w:date="2025-12-16T16:18:00Z" w:initials="DC">
    <w:p w14:paraId="004FEA12" w14:textId="77777777" w:rsidR="00D62BAF" w:rsidRDefault="00D62BAF" w:rsidP="00D62BAF">
      <w:pPr>
        <w:pStyle w:val="Textocomentario"/>
      </w:pPr>
      <w:r>
        <w:rPr>
          <w:rStyle w:val="Refdecomentario"/>
        </w:rPr>
        <w:annotationRef/>
      </w:r>
      <w:r>
        <w:t>It does not describe how they were determined</w:t>
      </w:r>
    </w:p>
  </w:comment>
  <w:comment w:id="25" w:author="LCA" w:date="2025-12-16T16:21:00Z" w:initials="DC">
    <w:p w14:paraId="0F4CD804" w14:textId="77777777" w:rsidR="008F7F1B" w:rsidRDefault="008F7F1B" w:rsidP="008F7F1B">
      <w:pPr>
        <w:pStyle w:val="Textocomentario"/>
      </w:pPr>
      <w:r>
        <w:rPr>
          <w:rStyle w:val="Refdecomentario"/>
        </w:rPr>
        <w:annotationRef/>
      </w:r>
      <w:r>
        <w:t>standardize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5C505C" w15:done="0"/>
  <w15:commentEx w15:paraId="6DB52812" w15:done="0"/>
  <w15:commentEx w15:paraId="7528292C" w15:done="0"/>
  <w15:commentEx w15:paraId="71A458A5" w15:done="0"/>
  <w15:commentEx w15:paraId="1032DAEF" w15:done="0"/>
  <w15:commentEx w15:paraId="5FDFEFE6" w15:done="0"/>
  <w15:commentEx w15:paraId="35CD7D66" w15:done="0"/>
  <w15:commentEx w15:paraId="4C6D4FE5" w15:done="0"/>
  <w15:commentEx w15:paraId="26E4103E" w15:done="0"/>
  <w15:commentEx w15:paraId="60C9D8FE" w15:done="0"/>
  <w15:commentEx w15:paraId="716D8CA0" w15:done="0"/>
  <w15:commentEx w15:paraId="0664D585" w15:done="0"/>
  <w15:commentEx w15:paraId="1A180C31" w15:done="0"/>
  <w15:commentEx w15:paraId="190615EB" w15:done="0"/>
  <w15:commentEx w15:paraId="20331C0B" w15:done="0"/>
  <w15:commentEx w15:paraId="33DF59CA" w15:done="0"/>
  <w15:commentEx w15:paraId="4E6CEF3D" w15:done="0"/>
  <w15:commentEx w15:paraId="62AFAF13" w15:done="0"/>
  <w15:commentEx w15:paraId="26C677C4" w15:done="0"/>
  <w15:commentEx w15:paraId="5627F344" w15:done="0"/>
  <w15:commentEx w15:paraId="33AE5544" w15:done="0"/>
  <w15:commentEx w15:paraId="0CBA4F7E" w15:done="0"/>
  <w15:commentEx w15:paraId="6BFEC675" w15:done="0"/>
  <w15:commentEx w15:paraId="613AC515" w15:done="0"/>
  <w15:commentEx w15:paraId="004FEA12" w15:done="0"/>
  <w15:commentEx w15:paraId="0F4CD8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34FAEE" w16cex:dateUtc="2025-12-16T20:51:00Z"/>
  <w16cex:commentExtensible w16cex:durableId="4FCB02CE" w16cex:dateUtc="2025-12-16T21:40:00Z"/>
  <w16cex:commentExtensible w16cex:durableId="5ABDDC3B" w16cex:dateUtc="2025-12-16T21:41:00Z"/>
  <w16cex:commentExtensible w16cex:durableId="77D99B22" w16cex:dateUtc="2025-12-16T21:48:00Z"/>
  <w16cex:commentExtensible w16cex:durableId="705B0A89" w16cex:dateUtc="2025-12-16T21:46:00Z"/>
  <w16cex:commentExtensible w16cex:durableId="3EB20F06" w16cex:dateUtc="2025-12-16T21:57:00Z"/>
  <w16cex:commentExtensible w16cex:durableId="168D84DB" w16cex:dateUtc="2025-12-16T21:59:00Z"/>
  <w16cex:commentExtensible w16cex:durableId="446DD1AB" w16cex:dateUtc="2025-12-16T21:58:00Z"/>
  <w16cex:commentExtensible w16cex:durableId="25BEC04D" w16cex:dateUtc="2025-12-16T22:01:00Z"/>
  <w16cex:commentExtensible w16cex:durableId="466F8D28" w16cex:dateUtc="2025-12-16T22:07:00Z"/>
  <w16cex:commentExtensible w16cex:durableId="7BF5CAB5" w16cex:dateUtc="2025-12-16T22:07:00Z"/>
  <w16cex:commentExtensible w16cex:durableId="2AF3DFAC" w16cex:dateUtc="2025-12-16T22:08:00Z"/>
  <w16cex:commentExtensible w16cex:durableId="18905742" w16cex:dateUtc="2025-12-16T22:08:00Z"/>
  <w16cex:commentExtensible w16cex:durableId="49858723" w16cex:dateUtc="2025-12-16T22:04:00Z"/>
  <w16cex:commentExtensible w16cex:durableId="545ED8A7" w16cex:dateUtc="2025-12-16T22:04:00Z"/>
  <w16cex:commentExtensible w16cex:durableId="7DCA8DF3" w16cex:dateUtc="2025-12-16T22:08:00Z"/>
  <w16cex:commentExtensible w16cex:durableId="657648B7" w16cex:dateUtc="2025-12-16T22:09:00Z"/>
  <w16cex:commentExtensible w16cex:durableId="0F53906A" w16cex:dateUtc="2025-12-16T22:09:00Z"/>
  <w16cex:commentExtensible w16cex:durableId="45A92EC7" w16cex:dateUtc="2025-12-16T22:09:00Z"/>
  <w16cex:commentExtensible w16cex:durableId="585E7F4E" w16cex:dateUtc="2025-12-16T22:10:00Z"/>
  <w16cex:commentExtensible w16cex:durableId="19F97058" w16cex:dateUtc="2025-12-16T22:10:00Z"/>
  <w16cex:commentExtensible w16cex:durableId="2E8D38F0" w16cex:dateUtc="2025-12-16T22:10:00Z"/>
  <w16cex:commentExtensible w16cex:durableId="3DC4633E" w16cex:dateUtc="2025-12-16T22:13:00Z"/>
  <w16cex:commentExtensible w16cex:durableId="5A4CDF2E" w16cex:dateUtc="2025-12-16T22:16:00Z"/>
  <w16cex:commentExtensible w16cex:durableId="72EEA479" w16cex:dateUtc="2025-12-16T22:18:00Z"/>
  <w16cex:commentExtensible w16cex:durableId="6215507E" w16cex:dateUtc="2025-12-16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5C505C" w16cid:durableId="4F34FAEE"/>
  <w16cid:commentId w16cid:paraId="6DB52812" w16cid:durableId="4FCB02CE"/>
  <w16cid:commentId w16cid:paraId="7528292C" w16cid:durableId="5ABDDC3B"/>
  <w16cid:commentId w16cid:paraId="71A458A5" w16cid:durableId="77D99B22"/>
  <w16cid:commentId w16cid:paraId="1032DAEF" w16cid:durableId="705B0A89"/>
  <w16cid:commentId w16cid:paraId="5FDFEFE6" w16cid:durableId="3EB20F06"/>
  <w16cid:commentId w16cid:paraId="35CD7D66" w16cid:durableId="168D84DB"/>
  <w16cid:commentId w16cid:paraId="4C6D4FE5" w16cid:durableId="446DD1AB"/>
  <w16cid:commentId w16cid:paraId="26E4103E" w16cid:durableId="25BEC04D"/>
  <w16cid:commentId w16cid:paraId="60C9D8FE" w16cid:durableId="466F8D28"/>
  <w16cid:commentId w16cid:paraId="716D8CA0" w16cid:durableId="7BF5CAB5"/>
  <w16cid:commentId w16cid:paraId="0664D585" w16cid:durableId="2AF3DFAC"/>
  <w16cid:commentId w16cid:paraId="1A180C31" w16cid:durableId="18905742"/>
  <w16cid:commentId w16cid:paraId="190615EB" w16cid:durableId="49858723"/>
  <w16cid:commentId w16cid:paraId="20331C0B" w16cid:durableId="545ED8A7"/>
  <w16cid:commentId w16cid:paraId="33DF59CA" w16cid:durableId="7DCA8DF3"/>
  <w16cid:commentId w16cid:paraId="4E6CEF3D" w16cid:durableId="657648B7"/>
  <w16cid:commentId w16cid:paraId="62AFAF13" w16cid:durableId="0F53906A"/>
  <w16cid:commentId w16cid:paraId="26C677C4" w16cid:durableId="45A92EC7"/>
  <w16cid:commentId w16cid:paraId="5627F344" w16cid:durableId="585E7F4E"/>
  <w16cid:commentId w16cid:paraId="33AE5544" w16cid:durableId="19F97058"/>
  <w16cid:commentId w16cid:paraId="0CBA4F7E" w16cid:durableId="2E8D38F0"/>
  <w16cid:commentId w16cid:paraId="6BFEC675" w16cid:durableId="3DC4633E"/>
  <w16cid:commentId w16cid:paraId="613AC515" w16cid:durableId="5A4CDF2E"/>
  <w16cid:commentId w16cid:paraId="004FEA12" w16cid:durableId="72EEA479"/>
  <w16cid:commentId w16cid:paraId="0F4CD804" w16cid:durableId="621550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BA2B" w14:textId="77777777" w:rsidR="00037E31" w:rsidRDefault="00037E31" w:rsidP="00946BF2">
      <w:pPr>
        <w:spacing w:after="0" w:line="240" w:lineRule="auto"/>
      </w:pPr>
      <w:r>
        <w:separator/>
      </w:r>
    </w:p>
  </w:endnote>
  <w:endnote w:type="continuationSeparator" w:id="0">
    <w:p w14:paraId="211526B6" w14:textId="77777777" w:rsidR="00037E31" w:rsidRDefault="00037E31" w:rsidP="0094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3DD2" w14:textId="77777777" w:rsidR="00946BF2" w:rsidRDefault="00946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324A" w14:textId="77777777" w:rsidR="00946BF2" w:rsidRDefault="00946B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8A9" w14:textId="77777777" w:rsidR="00946BF2" w:rsidRDefault="00946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0783" w14:textId="77777777" w:rsidR="00037E31" w:rsidRDefault="00037E31" w:rsidP="00946BF2">
      <w:pPr>
        <w:spacing w:after="0" w:line="240" w:lineRule="auto"/>
      </w:pPr>
      <w:r>
        <w:separator/>
      </w:r>
    </w:p>
  </w:footnote>
  <w:footnote w:type="continuationSeparator" w:id="0">
    <w:p w14:paraId="7574D393" w14:textId="77777777" w:rsidR="00037E31" w:rsidRDefault="00037E31" w:rsidP="0094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16C1" w14:textId="320697D1" w:rsidR="00946BF2" w:rsidRDefault="00000000">
    <w:pPr>
      <w:pStyle w:val="Encabezado"/>
    </w:pPr>
    <w:r>
      <w:rPr>
        <w:noProof/>
      </w:rPr>
      <w:pict w14:anchorId="56811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220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81BD" w14:textId="463FC504" w:rsidR="00946BF2" w:rsidRDefault="00000000">
    <w:pPr>
      <w:pStyle w:val="Encabezado"/>
    </w:pPr>
    <w:r>
      <w:rPr>
        <w:noProof/>
      </w:rPr>
      <w:pict w14:anchorId="284A5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220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477B" w14:textId="240834DF" w:rsidR="00946BF2" w:rsidRDefault="00000000">
    <w:pPr>
      <w:pStyle w:val="Encabezado"/>
    </w:pPr>
    <w:r>
      <w:rPr>
        <w:noProof/>
      </w:rPr>
      <w:pict w14:anchorId="07500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220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F4B20"/>
    <w:multiLevelType w:val="hybridMultilevel"/>
    <w:tmpl w:val="B39E4B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818336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NDCwNDOyNLC0tLRQ0lEKTi0uzszPAykwrAUAX279CSwAAAA="/>
  </w:docVars>
  <w:rsids>
    <w:rsidRoot w:val="00272081"/>
    <w:rsid w:val="0003436D"/>
    <w:rsid w:val="00037E31"/>
    <w:rsid w:val="00082FE2"/>
    <w:rsid w:val="000F3004"/>
    <w:rsid w:val="0012756A"/>
    <w:rsid w:val="00144954"/>
    <w:rsid w:val="0020773C"/>
    <w:rsid w:val="00212DB9"/>
    <w:rsid w:val="00272081"/>
    <w:rsid w:val="002C4585"/>
    <w:rsid w:val="002D1713"/>
    <w:rsid w:val="0031188D"/>
    <w:rsid w:val="003465DC"/>
    <w:rsid w:val="003623C8"/>
    <w:rsid w:val="003647E5"/>
    <w:rsid w:val="003C2D9A"/>
    <w:rsid w:val="003F1C08"/>
    <w:rsid w:val="00522920"/>
    <w:rsid w:val="005916AE"/>
    <w:rsid w:val="005D0D62"/>
    <w:rsid w:val="005F34A4"/>
    <w:rsid w:val="00605837"/>
    <w:rsid w:val="00652921"/>
    <w:rsid w:val="00663BCE"/>
    <w:rsid w:val="006A4646"/>
    <w:rsid w:val="006C709A"/>
    <w:rsid w:val="006E51B6"/>
    <w:rsid w:val="00712CDA"/>
    <w:rsid w:val="00731763"/>
    <w:rsid w:val="00751D42"/>
    <w:rsid w:val="0077578F"/>
    <w:rsid w:val="0077678B"/>
    <w:rsid w:val="007B34EC"/>
    <w:rsid w:val="007C2F4E"/>
    <w:rsid w:val="007C7CE9"/>
    <w:rsid w:val="008567E1"/>
    <w:rsid w:val="008741F1"/>
    <w:rsid w:val="008A7B28"/>
    <w:rsid w:val="008E0E0A"/>
    <w:rsid w:val="008F19E3"/>
    <w:rsid w:val="008F7F1B"/>
    <w:rsid w:val="0090246A"/>
    <w:rsid w:val="009340AF"/>
    <w:rsid w:val="00946BF2"/>
    <w:rsid w:val="0098270B"/>
    <w:rsid w:val="00A354D7"/>
    <w:rsid w:val="00A3764B"/>
    <w:rsid w:val="00A4195F"/>
    <w:rsid w:val="00A45936"/>
    <w:rsid w:val="00A772A3"/>
    <w:rsid w:val="00A87FF9"/>
    <w:rsid w:val="00A9073D"/>
    <w:rsid w:val="00B632E2"/>
    <w:rsid w:val="00BF2A29"/>
    <w:rsid w:val="00C01CBD"/>
    <w:rsid w:val="00C4563B"/>
    <w:rsid w:val="00C94CE7"/>
    <w:rsid w:val="00CA4A87"/>
    <w:rsid w:val="00CC3ABF"/>
    <w:rsid w:val="00CF1274"/>
    <w:rsid w:val="00D12562"/>
    <w:rsid w:val="00D179A5"/>
    <w:rsid w:val="00D3651A"/>
    <w:rsid w:val="00D62BAF"/>
    <w:rsid w:val="00D66C89"/>
    <w:rsid w:val="00D77712"/>
    <w:rsid w:val="00DD63E0"/>
    <w:rsid w:val="00E12D5E"/>
    <w:rsid w:val="00E71D12"/>
    <w:rsid w:val="00E72076"/>
    <w:rsid w:val="00E9660E"/>
    <w:rsid w:val="00EE5675"/>
    <w:rsid w:val="00F15E40"/>
    <w:rsid w:val="00FB6758"/>
    <w:rsid w:val="00FD4858"/>
    <w:rsid w:val="00FF1A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79E1"/>
  <w15:chartTrackingRefBased/>
  <w15:docId w15:val="{17A2D57A-1EA7-4A28-9502-62628AD5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73C"/>
    <w:pPr>
      <w:spacing w:after="200" w:line="276" w:lineRule="auto"/>
    </w:pPr>
    <w:rPr>
      <w:rFonts w:ascii="Calibri" w:eastAsia="Times New Roman" w:hAnsi="Calibri" w:cs="Mangal"/>
      <w:kern w:val="0"/>
      <w:szCs w:val="20"/>
      <w:lang w:val="en-US" w:bidi="mr-IN"/>
      <w14:ligatures w14:val="none"/>
    </w:rPr>
  </w:style>
  <w:style w:type="paragraph" w:styleId="Ttulo1">
    <w:name w:val="heading 1"/>
    <w:basedOn w:val="Normal"/>
    <w:next w:val="Normal"/>
    <w:link w:val="Ttulo1Car"/>
    <w:uiPriority w:val="9"/>
    <w:qFormat/>
    <w:rsid w:val="00272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72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7208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7208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7208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7208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208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208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208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08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720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7208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7208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7208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7208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208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208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2081"/>
    <w:rPr>
      <w:rFonts w:eastAsiaTheme="majorEastAsia" w:cstheme="majorBidi"/>
      <w:color w:val="272727" w:themeColor="text1" w:themeTint="D8"/>
    </w:rPr>
  </w:style>
  <w:style w:type="paragraph" w:styleId="Ttulo">
    <w:name w:val="Title"/>
    <w:basedOn w:val="Normal"/>
    <w:next w:val="Normal"/>
    <w:link w:val="TtuloCar"/>
    <w:uiPriority w:val="10"/>
    <w:qFormat/>
    <w:rsid w:val="0027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208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208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208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2081"/>
    <w:pPr>
      <w:spacing w:before="160"/>
      <w:jc w:val="center"/>
    </w:pPr>
    <w:rPr>
      <w:i/>
      <w:iCs/>
      <w:color w:val="404040" w:themeColor="text1" w:themeTint="BF"/>
    </w:rPr>
  </w:style>
  <w:style w:type="character" w:customStyle="1" w:styleId="CitaCar">
    <w:name w:val="Cita Car"/>
    <w:basedOn w:val="Fuentedeprrafopredeter"/>
    <w:link w:val="Cita"/>
    <w:uiPriority w:val="29"/>
    <w:rsid w:val="00272081"/>
    <w:rPr>
      <w:i/>
      <w:iCs/>
      <w:color w:val="404040" w:themeColor="text1" w:themeTint="BF"/>
    </w:rPr>
  </w:style>
  <w:style w:type="paragraph" w:styleId="Prrafodelista">
    <w:name w:val="List Paragraph"/>
    <w:basedOn w:val="Normal"/>
    <w:uiPriority w:val="34"/>
    <w:qFormat/>
    <w:rsid w:val="00272081"/>
    <w:pPr>
      <w:ind w:left="720"/>
      <w:contextualSpacing/>
    </w:pPr>
  </w:style>
  <w:style w:type="character" w:styleId="nfasisintenso">
    <w:name w:val="Intense Emphasis"/>
    <w:basedOn w:val="Fuentedeprrafopredeter"/>
    <w:uiPriority w:val="21"/>
    <w:qFormat/>
    <w:rsid w:val="00272081"/>
    <w:rPr>
      <w:i/>
      <w:iCs/>
      <w:color w:val="2F5496" w:themeColor="accent1" w:themeShade="BF"/>
    </w:rPr>
  </w:style>
  <w:style w:type="paragraph" w:styleId="Citadestacada">
    <w:name w:val="Intense Quote"/>
    <w:basedOn w:val="Normal"/>
    <w:next w:val="Normal"/>
    <w:link w:val="CitadestacadaCar"/>
    <w:uiPriority w:val="30"/>
    <w:qFormat/>
    <w:rsid w:val="0027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72081"/>
    <w:rPr>
      <w:i/>
      <w:iCs/>
      <w:color w:val="2F5496" w:themeColor="accent1" w:themeShade="BF"/>
    </w:rPr>
  </w:style>
  <w:style w:type="character" w:styleId="Referenciaintensa">
    <w:name w:val="Intense Reference"/>
    <w:basedOn w:val="Fuentedeprrafopredeter"/>
    <w:uiPriority w:val="32"/>
    <w:qFormat/>
    <w:rsid w:val="00272081"/>
    <w:rPr>
      <w:b/>
      <w:bCs/>
      <w:smallCaps/>
      <w:color w:val="2F5496" w:themeColor="accent1" w:themeShade="BF"/>
      <w:spacing w:val="5"/>
    </w:rPr>
  </w:style>
  <w:style w:type="character" w:styleId="Hipervnculo">
    <w:name w:val="Hyperlink"/>
    <w:uiPriority w:val="99"/>
    <w:unhideWhenUsed/>
    <w:rsid w:val="00EE5675"/>
    <w:rPr>
      <w:color w:val="0563C1"/>
      <w:u w:val="single"/>
    </w:rPr>
  </w:style>
  <w:style w:type="paragraph" w:customStyle="1" w:styleId="Default">
    <w:name w:val="Default"/>
    <w:rsid w:val="00EE5675"/>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Normal1">
    <w:name w:val="Normal1"/>
    <w:rsid w:val="00EE5675"/>
    <w:pPr>
      <w:spacing w:after="0" w:line="276" w:lineRule="auto"/>
    </w:pPr>
    <w:rPr>
      <w:rFonts w:ascii="Arial" w:eastAsia="Arial" w:hAnsi="Arial" w:cs="Arial"/>
      <w:kern w:val="0"/>
      <w:lang w:val="en-US"/>
      <w14:ligatures w14:val="none"/>
    </w:rPr>
  </w:style>
  <w:style w:type="paragraph" w:styleId="Textoindependiente">
    <w:name w:val="Body Text"/>
    <w:basedOn w:val="Normal"/>
    <w:link w:val="TextoindependienteCar"/>
    <w:uiPriority w:val="1"/>
    <w:unhideWhenUsed/>
    <w:qFormat/>
    <w:rsid w:val="00EE5675"/>
    <w:pPr>
      <w:widowControl w:val="0"/>
      <w:autoSpaceDE w:val="0"/>
      <w:autoSpaceDN w:val="0"/>
      <w:spacing w:after="0" w:line="240" w:lineRule="auto"/>
    </w:pPr>
    <w:rPr>
      <w:rFonts w:ascii="Times New Roman" w:hAnsi="Times New Roman" w:cs="Times New Roman"/>
      <w:sz w:val="24"/>
      <w:szCs w:val="24"/>
      <w:lang w:bidi="ar-SA"/>
    </w:rPr>
  </w:style>
  <w:style w:type="character" w:customStyle="1" w:styleId="TextoindependienteCar">
    <w:name w:val="Texto independiente Car"/>
    <w:basedOn w:val="Fuentedeprrafopredeter"/>
    <w:link w:val="Textoindependiente"/>
    <w:uiPriority w:val="1"/>
    <w:rsid w:val="00EE5675"/>
    <w:rPr>
      <w:rFonts w:ascii="Times New Roman" w:eastAsia="Times New Roman" w:hAnsi="Times New Roman" w:cs="Times New Roman"/>
      <w:kern w:val="0"/>
      <w:sz w:val="24"/>
      <w:szCs w:val="24"/>
      <w:lang w:val="en-US"/>
      <w14:ligatures w14:val="none"/>
    </w:rPr>
  </w:style>
  <w:style w:type="table" w:styleId="Tablaconcuadrcula">
    <w:name w:val="Table Grid"/>
    <w:basedOn w:val="Tablanormal"/>
    <w:uiPriority w:val="39"/>
    <w:rsid w:val="0059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31763"/>
    <w:rPr>
      <w:color w:val="605E5C"/>
      <w:shd w:val="clear" w:color="auto" w:fill="E1DFDD"/>
    </w:rPr>
  </w:style>
  <w:style w:type="paragraph" w:styleId="Encabezado">
    <w:name w:val="header"/>
    <w:basedOn w:val="Normal"/>
    <w:link w:val="EncabezadoCar"/>
    <w:uiPriority w:val="99"/>
    <w:unhideWhenUsed/>
    <w:rsid w:val="00946BF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46BF2"/>
    <w:rPr>
      <w:rFonts w:ascii="Calibri" w:eastAsia="Times New Roman" w:hAnsi="Calibri" w:cs="Mangal"/>
      <w:kern w:val="0"/>
      <w:szCs w:val="20"/>
      <w:lang w:val="en-US" w:bidi="mr-IN"/>
      <w14:ligatures w14:val="none"/>
    </w:rPr>
  </w:style>
  <w:style w:type="paragraph" w:styleId="Piedepgina">
    <w:name w:val="footer"/>
    <w:basedOn w:val="Normal"/>
    <w:link w:val="PiedepginaCar"/>
    <w:uiPriority w:val="99"/>
    <w:unhideWhenUsed/>
    <w:rsid w:val="00946BF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46BF2"/>
    <w:rPr>
      <w:rFonts w:ascii="Calibri" w:eastAsia="Times New Roman" w:hAnsi="Calibri" w:cs="Mangal"/>
      <w:kern w:val="0"/>
      <w:szCs w:val="20"/>
      <w:lang w:val="en-US" w:bidi="mr-IN"/>
      <w14:ligatures w14:val="none"/>
    </w:rPr>
  </w:style>
  <w:style w:type="character" w:styleId="Refdecomentario">
    <w:name w:val="annotation reference"/>
    <w:basedOn w:val="Fuentedeprrafopredeter"/>
    <w:uiPriority w:val="99"/>
    <w:semiHidden/>
    <w:unhideWhenUsed/>
    <w:rsid w:val="0077578F"/>
    <w:rPr>
      <w:sz w:val="16"/>
      <w:szCs w:val="16"/>
    </w:rPr>
  </w:style>
  <w:style w:type="paragraph" w:styleId="Textocomentario">
    <w:name w:val="annotation text"/>
    <w:basedOn w:val="Normal"/>
    <w:link w:val="TextocomentarioCar"/>
    <w:uiPriority w:val="99"/>
    <w:unhideWhenUsed/>
    <w:rsid w:val="0077578F"/>
    <w:pPr>
      <w:spacing w:line="240" w:lineRule="auto"/>
    </w:pPr>
    <w:rPr>
      <w:sz w:val="20"/>
      <w:szCs w:val="18"/>
    </w:rPr>
  </w:style>
  <w:style w:type="character" w:customStyle="1" w:styleId="TextocomentarioCar">
    <w:name w:val="Texto comentario Car"/>
    <w:basedOn w:val="Fuentedeprrafopredeter"/>
    <w:link w:val="Textocomentario"/>
    <w:uiPriority w:val="99"/>
    <w:rsid w:val="0077578F"/>
    <w:rPr>
      <w:rFonts w:ascii="Calibri" w:eastAsia="Times New Roman" w:hAnsi="Calibri" w:cs="Mangal"/>
      <w:kern w:val="0"/>
      <w:sz w:val="20"/>
      <w:szCs w:val="18"/>
      <w:lang w:val="en-US" w:bidi="mr-IN"/>
      <w14:ligatures w14:val="none"/>
    </w:rPr>
  </w:style>
  <w:style w:type="paragraph" w:styleId="Asuntodelcomentario">
    <w:name w:val="annotation subject"/>
    <w:basedOn w:val="Textocomentario"/>
    <w:next w:val="Textocomentario"/>
    <w:link w:val="AsuntodelcomentarioCar"/>
    <w:uiPriority w:val="99"/>
    <w:semiHidden/>
    <w:unhideWhenUsed/>
    <w:rsid w:val="0077578F"/>
    <w:rPr>
      <w:b/>
      <w:bCs/>
    </w:rPr>
  </w:style>
  <w:style w:type="character" w:customStyle="1" w:styleId="AsuntodelcomentarioCar">
    <w:name w:val="Asunto del comentario Car"/>
    <w:basedOn w:val="TextocomentarioCar"/>
    <w:link w:val="Asuntodelcomentario"/>
    <w:uiPriority w:val="99"/>
    <w:semiHidden/>
    <w:rsid w:val="0077578F"/>
    <w:rPr>
      <w:rFonts w:ascii="Calibri" w:eastAsia="Times New Roman" w:hAnsi="Calibri" w:cs="Mangal"/>
      <w:b/>
      <w:bCs/>
      <w:kern w:val="0"/>
      <w:sz w:val="20"/>
      <w:szCs w:val="18"/>
      <w:lang w:val="en-US"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hyperlink" Target="https://doi.org/10.1155/2013/869697" TargetMode="External"/><Relationship Id="rId39" Type="http://schemas.openxmlformats.org/officeDocument/2006/relationships/hyperlink" Target="https://doi.org/10.1104/pp.111.175448" TargetMode="External"/><Relationship Id="rId21" Type="http://schemas.openxmlformats.org/officeDocument/2006/relationships/hyperlink" Target="https://doi.org/10.1007/s40003-020-00482-3" TargetMode="External"/><Relationship Id="rId34" Type="http://schemas.openxmlformats.org/officeDocument/2006/relationships/hyperlink" Target="https://doi.org/10.1007/s42729-020-00263-5" TargetMode="External"/><Relationship Id="rId42" Type="http://schemas.openxmlformats.org/officeDocument/2006/relationships/hyperlink" Target="https://doi.org/10.1007/s12088-010-0066-1" TargetMode="External"/><Relationship Id="rId47" Type="http://schemas.openxmlformats.org/officeDocument/2006/relationships/hyperlink" Target="https://doi.org/10.22271/chemi.2020.v8.i1h.8313" TargetMode="External"/><Relationship Id="rId50" Type="http://schemas.openxmlformats.org/officeDocument/2006/relationships/hyperlink" Target="https://doi.org/10.5958/0974-0228.2021.00029.3" TargetMode="Externa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www.phytojournal.com/archives/2017/vol6issue3/PartC/6-3-10-600.pdf" TargetMode="External"/><Relationship Id="rId11" Type="http://schemas.openxmlformats.org/officeDocument/2006/relationships/header" Target="header1.xml"/><Relationship Id="rId24" Type="http://schemas.openxmlformats.org/officeDocument/2006/relationships/hyperlink" Target="https://doi.org/10.3390/agronomy10030319" TargetMode="External"/><Relationship Id="rId32" Type="http://schemas.openxmlformats.org/officeDocument/2006/relationships/hyperlink" Target="https://doi.org/10.9734/ijpss/2024/v36i34430" TargetMode="External"/><Relationship Id="rId37" Type="http://schemas.openxmlformats.org/officeDocument/2006/relationships/hyperlink" Target="https://books.google.com/books/about/Statistical_Methods_for_Agricultural_Wor.html?id=240tAAAAMAAJ" TargetMode="External"/><Relationship Id="rId40" Type="http://schemas.openxmlformats.org/officeDocument/2006/relationships/hyperlink" Target="https://www.bioinfopublication.org/pages.php?id=BPJ0000200&amp;jouid=BPJ0000099&amp;volid=BPJ0000499&amp;issueid=BPJ0000499&amp;page=2099-2102" TargetMode="External"/><Relationship Id="rId45" Type="http://schemas.openxmlformats.org/officeDocument/2006/relationships/hyperlink" Target="http://www.vigyanvarta.com/" TargetMode="External"/><Relationship Id="rId53" Type="http://schemas.openxmlformats.org/officeDocument/2006/relationships/theme" Target="theme/theme1.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chart" Target="charts/chart3.xml"/><Relationship Id="rId31" Type="http://schemas.openxmlformats.org/officeDocument/2006/relationships/hyperlink" Target="https://doi.org/10.3389/fsufs.2023.1108492" TargetMode="External"/><Relationship Id="rId44" Type="http://schemas.openxmlformats.org/officeDocument/2006/relationships/hyperlink" Target="https://doi.org/10.59797/ija.v55i4.4757" TargetMode="External"/><Relationship Id="rId52"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20546/ijcmas.2019.804.297" TargetMode="External"/><Relationship Id="rId27" Type="http://schemas.openxmlformats.org/officeDocument/2006/relationships/hyperlink" Target="https://www.chemijournal.com/archives/2017/vol5issue5/5-5-10-100.pdf" TargetMode="External"/><Relationship Id="rId30" Type="http://schemas.openxmlformats.org/officeDocument/2006/relationships/hyperlink" Target="https://doi.org/10.51847/riOZtX0uRA" TargetMode="External"/><Relationship Id="rId35" Type="http://schemas.openxmlformats.org/officeDocument/2006/relationships/hyperlink" Target="https://doi.org/10.3390/su13041868" TargetMode="External"/><Relationship Id="rId43" Type="http://schemas.openxmlformats.org/officeDocument/2006/relationships/hyperlink" Target="https://doi.org/10.1007/s00438-002-0666-5" TargetMode="External"/><Relationship Id="rId48" Type="http://schemas.openxmlformats.org/officeDocument/2006/relationships/hyperlink" Target="https://aaj.org.in/archives/2016" TargetMode="External"/><Relationship Id="rId8" Type="http://schemas.microsoft.com/office/2011/relationships/commentsExtended" Target="commentsExtended.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s://doi.org/10.5958/0974-0228.2021.00036.0" TargetMode="External"/><Relationship Id="rId33" Type="http://schemas.openxmlformats.org/officeDocument/2006/relationships/hyperlink" Target="https://doi.org/10.3389/fsufs.2020.616757" TargetMode="External"/><Relationship Id="rId38" Type="http://schemas.openxmlformats.org/officeDocument/2006/relationships/hyperlink" Target="https://doi.org/10.1016/j.ejsobi.2012.01.005" TargetMode="External"/><Relationship Id="rId46" Type="http://schemas.openxmlformats.org/officeDocument/2006/relationships/hyperlink" Target="https://doi.org/10.1016/j.micres.2019.126394" TargetMode="External"/><Relationship Id="rId20" Type="http://schemas.openxmlformats.org/officeDocument/2006/relationships/hyperlink" Target="https://doi.org/10.1080/15440478.2013.791913" TargetMode="External"/><Relationship Id="rId41" Type="http://schemas.openxmlformats.org/officeDocument/2006/relationships/hyperlink" Target="https://doi.org/10.3390/agronomy1102021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doi.org/10.3390/su15032243" TargetMode="External"/><Relationship Id="rId28" Type="http://schemas.openxmlformats.org/officeDocument/2006/relationships/hyperlink" Target="https://www.thepharmajournal.com/archives/2023/vol12issue7S/PartAD/12-7S-10-100.pdf" TargetMode="External"/><Relationship Id="rId36" Type="http://schemas.openxmlformats.org/officeDocument/2006/relationships/hyperlink" Target="https://doi.org/10.22271/chemi.2020.v8.i4l.9786" TargetMode="External"/><Relationship Id="rId49" Type="http://schemas.openxmlformats.org/officeDocument/2006/relationships/hyperlink" Target="https://doi.org/10.1111/jam.153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Effect of microbial inoculants and their consortia on available nitrogen, phosphorus and potassium</a:t>
            </a:r>
            <a:endParaRPr lang="en-IN"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Sheet1!$C$3:$C$5</c:f>
              <c:strCache>
                <c:ptCount val="3"/>
                <c:pt idx="0">
                  <c:v>Available Nitrogen (kg ha-1)</c:v>
                </c:pt>
                <c:pt idx="2">
                  <c:v>At Harvest</c:v>
                </c:pt>
              </c:strCache>
            </c:strRef>
          </c:tx>
          <c:spPr>
            <a:solidFill>
              <a:schemeClr val="accent1"/>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Sheet1!$C$6:$C$15</c:f>
              <c:numCache>
                <c:formatCode>General</c:formatCode>
                <c:ptCount val="10"/>
                <c:pt idx="0">
                  <c:v>139.25</c:v>
                </c:pt>
                <c:pt idx="1">
                  <c:v>167.81</c:v>
                </c:pt>
                <c:pt idx="2">
                  <c:v>165.24</c:v>
                </c:pt>
                <c:pt idx="3">
                  <c:v>173.31</c:v>
                </c:pt>
                <c:pt idx="4">
                  <c:v>172.99</c:v>
                </c:pt>
                <c:pt idx="5">
                  <c:v>175.64</c:v>
                </c:pt>
                <c:pt idx="6">
                  <c:v>180.45</c:v>
                </c:pt>
                <c:pt idx="7">
                  <c:v>181.15</c:v>
                </c:pt>
                <c:pt idx="8">
                  <c:v>177.6</c:v>
                </c:pt>
                <c:pt idx="9">
                  <c:v>183.7</c:v>
                </c:pt>
              </c:numCache>
            </c:numRef>
          </c:val>
          <c:extLst>
            <c:ext xmlns:c16="http://schemas.microsoft.com/office/drawing/2014/chart" uri="{C3380CC4-5D6E-409C-BE32-E72D297353CC}">
              <c16:uniqueId val="{00000000-0D67-4E01-B74A-0F8B38DA3530}"/>
            </c:ext>
          </c:extLst>
        </c:ser>
        <c:ser>
          <c:idx val="1"/>
          <c:order val="1"/>
          <c:tx>
            <c:strRef>
              <c:f>Sheet1!$D$3:$D$5</c:f>
              <c:strCache>
                <c:ptCount val="3"/>
                <c:pt idx="0">
                  <c:v>Available Phosphorus (kg ha-1)</c:v>
                </c:pt>
              </c:strCache>
            </c:strRef>
          </c:tx>
          <c:spPr>
            <a:solidFill>
              <a:schemeClr val="accent2"/>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Sheet1!$D$6:$D$15</c:f>
              <c:numCache>
                <c:formatCode>General</c:formatCode>
                <c:ptCount val="10"/>
                <c:pt idx="0">
                  <c:v>11.67</c:v>
                </c:pt>
                <c:pt idx="1">
                  <c:v>15.24</c:v>
                </c:pt>
                <c:pt idx="2">
                  <c:v>16.37</c:v>
                </c:pt>
                <c:pt idx="3">
                  <c:v>18.59</c:v>
                </c:pt>
                <c:pt idx="4">
                  <c:v>17.11</c:v>
                </c:pt>
                <c:pt idx="5">
                  <c:v>17.04</c:v>
                </c:pt>
                <c:pt idx="6">
                  <c:v>15.36</c:v>
                </c:pt>
                <c:pt idx="7">
                  <c:v>17.52</c:v>
                </c:pt>
                <c:pt idx="8">
                  <c:v>16.66</c:v>
                </c:pt>
                <c:pt idx="9">
                  <c:v>15.2</c:v>
                </c:pt>
              </c:numCache>
            </c:numRef>
          </c:val>
          <c:extLst>
            <c:ext xmlns:c16="http://schemas.microsoft.com/office/drawing/2014/chart" uri="{C3380CC4-5D6E-409C-BE32-E72D297353CC}">
              <c16:uniqueId val="{00000001-0D67-4E01-B74A-0F8B38DA3530}"/>
            </c:ext>
          </c:extLst>
        </c:ser>
        <c:ser>
          <c:idx val="2"/>
          <c:order val="2"/>
          <c:tx>
            <c:strRef>
              <c:f>Sheet1!$E$3:$E$5</c:f>
              <c:strCache>
                <c:ptCount val="3"/>
                <c:pt idx="0">
                  <c:v>Available potassium (kg ha-1)</c:v>
                </c:pt>
              </c:strCache>
            </c:strRef>
          </c:tx>
          <c:spPr>
            <a:solidFill>
              <a:schemeClr val="accent3"/>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Sheet1!$E$6:$E$15</c:f>
              <c:numCache>
                <c:formatCode>General</c:formatCode>
                <c:ptCount val="10"/>
                <c:pt idx="0">
                  <c:v>533.13</c:v>
                </c:pt>
                <c:pt idx="1">
                  <c:v>619.47</c:v>
                </c:pt>
                <c:pt idx="2">
                  <c:v>604.13</c:v>
                </c:pt>
                <c:pt idx="3">
                  <c:v>606.6</c:v>
                </c:pt>
                <c:pt idx="4">
                  <c:v>677.67</c:v>
                </c:pt>
                <c:pt idx="5">
                  <c:v>637.63</c:v>
                </c:pt>
                <c:pt idx="6">
                  <c:v>637.53</c:v>
                </c:pt>
                <c:pt idx="7">
                  <c:v>642.29</c:v>
                </c:pt>
                <c:pt idx="8">
                  <c:v>615.88</c:v>
                </c:pt>
                <c:pt idx="9">
                  <c:v>623.92999999999995</c:v>
                </c:pt>
              </c:numCache>
            </c:numRef>
          </c:val>
          <c:extLst>
            <c:ext xmlns:c16="http://schemas.microsoft.com/office/drawing/2014/chart" uri="{C3380CC4-5D6E-409C-BE32-E72D297353CC}">
              <c16:uniqueId val="{00000002-0D67-4E01-B74A-0F8B38DA3530}"/>
            </c:ext>
          </c:extLst>
        </c:ser>
        <c:dLbls>
          <c:showLegendKey val="0"/>
          <c:showVal val="0"/>
          <c:showCatName val="0"/>
          <c:showSerName val="0"/>
          <c:showPercent val="0"/>
          <c:showBubbleSize val="0"/>
        </c:dLbls>
        <c:gapWidth val="150"/>
        <c:shape val="box"/>
        <c:axId val="769248256"/>
        <c:axId val="769248736"/>
        <c:axId val="0"/>
      </c:bar3DChart>
      <c:catAx>
        <c:axId val="769248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8736"/>
        <c:crosses val="autoZero"/>
        <c:auto val="1"/>
        <c:lblAlgn val="ctr"/>
        <c:lblOffset val="100"/>
        <c:noMultiLvlLbl val="0"/>
      </c:catAx>
      <c:valAx>
        <c:axId val="769248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NPK (Kg/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rPr>
              <a:t>Effect of microbial inoculants and their consortia on DTPA extractable Fe, Cu, Zn and Mn</a:t>
            </a:r>
            <a:endParaRPr lang="en-IN"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Sheet1!$R$5:$R$7</c:f>
              <c:strCache>
                <c:ptCount val="3"/>
                <c:pt idx="0">
                  <c:v>DTPA Fe (mg kg-1)</c:v>
                </c:pt>
                <c:pt idx="2">
                  <c:v>At Harvest</c:v>
                </c:pt>
              </c:strCache>
            </c:strRef>
          </c:tx>
          <c:spPr>
            <a:solidFill>
              <a:schemeClr val="accent1"/>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Sheet1!$R$8:$R$17</c:f>
              <c:numCache>
                <c:formatCode>General</c:formatCode>
                <c:ptCount val="10"/>
                <c:pt idx="0">
                  <c:v>3.29</c:v>
                </c:pt>
                <c:pt idx="1">
                  <c:v>4.29</c:v>
                </c:pt>
                <c:pt idx="2">
                  <c:v>4.32</c:v>
                </c:pt>
                <c:pt idx="3">
                  <c:v>4.5</c:v>
                </c:pt>
                <c:pt idx="4">
                  <c:v>4.51</c:v>
                </c:pt>
                <c:pt idx="5">
                  <c:v>4.38</c:v>
                </c:pt>
                <c:pt idx="6">
                  <c:v>4.6399999999999997</c:v>
                </c:pt>
                <c:pt idx="7">
                  <c:v>5.15</c:v>
                </c:pt>
                <c:pt idx="8">
                  <c:v>5.23</c:v>
                </c:pt>
                <c:pt idx="9">
                  <c:v>5.47</c:v>
                </c:pt>
              </c:numCache>
            </c:numRef>
          </c:val>
          <c:extLst>
            <c:ext xmlns:c16="http://schemas.microsoft.com/office/drawing/2014/chart" uri="{C3380CC4-5D6E-409C-BE32-E72D297353CC}">
              <c16:uniqueId val="{00000000-7E48-45AB-8E49-53F0307A0295}"/>
            </c:ext>
          </c:extLst>
        </c:ser>
        <c:ser>
          <c:idx val="1"/>
          <c:order val="1"/>
          <c:tx>
            <c:strRef>
              <c:f>Sheet1!$S$5:$S$7</c:f>
              <c:strCache>
                <c:ptCount val="3"/>
                <c:pt idx="0">
                  <c:v>DTPA Mn (mg kg-1)</c:v>
                </c:pt>
              </c:strCache>
            </c:strRef>
          </c:tx>
          <c:spPr>
            <a:solidFill>
              <a:schemeClr val="accent2"/>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Sheet1!$S$8:$S$17</c:f>
              <c:numCache>
                <c:formatCode>General</c:formatCode>
                <c:ptCount val="10"/>
                <c:pt idx="0">
                  <c:v>8.11</c:v>
                </c:pt>
                <c:pt idx="1">
                  <c:v>8.3699999999999992</c:v>
                </c:pt>
                <c:pt idx="2">
                  <c:v>8.58</c:v>
                </c:pt>
                <c:pt idx="3">
                  <c:v>8.65</c:v>
                </c:pt>
                <c:pt idx="4">
                  <c:v>8.32</c:v>
                </c:pt>
                <c:pt idx="5">
                  <c:v>8.7799999999999994</c:v>
                </c:pt>
                <c:pt idx="6">
                  <c:v>9.18</c:v>
                </c:pt>
                <c:pt idx="7">
                  <c:v>8.84</c:v>
                </c:pt>
                <c:pt idx="8">
                  <c:v>8.7200000000000006</c:v>
                </c:pt>
                <c:pt idx="9">
                  <c:v>9.06</c:v>
                </c:pt>
              </c:numCache>
            </c:numRef>
          </c:val>
          <c:extLst>
            <c:ext xmlns:c16="http://schemas.microsoft.com/office/drawing/2014/chart" uri="{C3380CC4-5D6E-409C-BE32-E72D297353CC}">
              <c16:uniqueId val="{00000001-7E48-45AB-8E49-53F0307A0295}"/>
            </c:ext>
          </c:extLst>
        </c:ser>
        <c:ser>
          <c:idx val="2"/>
          <c:order val="2"/>
          <c:tx>
            <c:strRef>
              <c:f>Sheet1!$T$5:$T$7</c:f>
              <c:strCache>
                <c:ptCount val="3"/>
                <c:pt idx="0">
                  <c:v>DTPA Zn (mg kg-1)</c:v>
                </c:pt>
              </c:strCache>
            </c:strRef>
          </c:tx>
          <c:spPr>
            <a:solidFill>
              <a:schemeClr val="accent3"/>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Sheet1!$T$8:$T$17</c:f>
              <c:numCache>
                <c:formatCode>General</c:formatCode>
                <c:ptCount val="10"/>
                <c:pt idx="0">
                  <c:v>0.37</c:v>
                </c:pt>
                <c:pt idx="1">
                  <c:v>0.47</c:v>
                </c:pt>
                <c:pt idx="2">
                  <c:v>0.44</c:v>
                </c:pt>
                <c:pt idx="3">
                  <c:v>0.49</c:v>
                </c:pt>
                <c:pt idx="4">
                  <c:v>0.52</c:v>
                </c:pt>
                <c:pt idx="5">
                  <c:v>0.43</c:v>
                </c:pt>
                <c:pt idx="6">
                  <c:v>0.69</c:v>
                </c:pt>
                <c:pt idx="7">
                  <c:v>0.51</c:v>
                </c:pt>
                <c:pt idx="8">
                  <c:v>0.44</c:v>
                </c:pt>
                <c:pt idx="9">
                  <c:v>0.68</c:v>
                </c:pt>
              </c:numCache>
            </c:numRef>
          </c:val>
          <c:extLst>
            <c:ext xmlns:c16="http://schemas.microsoft.com/office/drawing/2014/chart" uri="{C3380CC4-5D6E-409C-BE32-E72D297353CC}">
              <c16:uniqueId val="{00000002-7E48-45AB-8E49-53F0307A0295}"/>
            </c:ext>
          </c:extLst>
        </c:ser>
        <c:ser>
          <c:idx val="3"/>
          <c:order val="3"/>
          <c:tx>
            <c:strRef>
              <c:f>Sheet1!$U$5:$U$7</c:f>
              <c:strCache>
                <c:ptCount val="3"/>
                <c:pt idx="0">
                  <c:v>DTPA Cu (mg kg-1)</c:v>
                </c:pt>
              </c:strCache>
            </c:strRef>
          </c:tx>
          <c:spPr>
            <a:solidFill>
              <a:schemeClr val="accent4"/>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Sheet1!$U$8:$U$17</c:f>
              <c:numCache>
                <c:formatCode>General</c:formatCode>
                <c:ptCount val="10"/>
                <c:pt idx="0">
                  <c:v>2.11</c:v>
                </c:pt>
                <c:pt idx="1">
                  <c:v>2.86</c:v>
                </c:pt>
                <c:pt idx="2">
                  <c:v>2.77</c:v>
                </c:pt>
                <c:pt idx="3">
                  <c:v>2.92</c:v>
                </c:pt>
                <c:pt idx="4">
                  <c:v>3.1</c:v>
                </c:pt>
                <c:pt idx="5">
                  <c:v>3.41</c:v>
                </c:pt>
                <c:pt idx="6">
                  <c:v>3.76</c:v>
                </c:pt>
                <c:pt idx="7">
                  <c:v>3.69</c:v>
                </c:pt>
                <c:pt idx="8">
                  <c:v>4.08</c:v>
                </c:pt>
                <c:pt idx="9">
                  <c:v>3.73</c:v>
                </c:pt>
              </c:numCache>
            </c:numRef>
          </c:val>
          <c:extLst>
            <c:ext xmlns:c16="http://schemas.microsoft.com/office/drawing/2014/chart" uri="{C3380CC4-5D6E-409C-BE32-E72D297353CC}">
              <c16:uniqueId val="{00000003-7E48-45AB-8E49-53F0307A0295}"/>
            </c:ext>
          </c:extLst>
        </c:ser>
        <c:dLbls>
          <c:showLegendKey val="0"/>
          <c:showVal val="0"/>
          <c:showCatName val="0"/>
          <c:showSerName val="0"/>
          <c:showPercent val="0"/>
          <c:showBubbleSize val="0"/>
        </c:dLbls>
        <c:gapWidth val="150"/>
        <c:shape val="box"/>
        <c:axId val="938260864"/>
        <c:axId val="938261824"/>
        <c:axId val="0"/>
      </c:bar3DChart>
      <c:catAx>
        <c:axId val="938260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61824"/>
        <c:crosses val="autoZero"/>
        <c:auto val="1"/>
        <c:lblAlgn val="ctr"/>
        <c:lblOffset val="100"/>
        <c:noMultiLvlLbl val="0"/>
      </c:catAx>
      <c:valAx>
        <c:axId val="93826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6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Effect of microbial inoculants and their consortia on Dehydrogenase, Acid phosphatase and alkaline phosphatase activity in soil</a:t>
            </a:r>
            <a:endParaRPr lang="en-IN"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594050743664E-2"/>
          <c:y val="0.20554342213146209"/>
          <c:w val="0.89013626421697289"/>
          <c:h val="0.30115097458217399"/>
        </c:manualLayout>
      </c:layout>
      <c:bar3DChart>
        <c:barDir val="col"/>
        <c:grouping val="clustered"/>
        <c:varyColors val="0"/>
        <c:ser>
          <c:idx val="0"/>
          <c:order val="0"/>
          <c:tx>
            <c:strRef>
              <c:f>Sheet1!$D$3:$D$4</c:f>
              <c:strCache>
                <c:ptCount val="2"/>
                <c:pt idx="0">
                  <c:v>Dehydrogenase activity (µg g-1 soil)</c:v>
                </c:pt>
                <c:pt idx="1">
                  <c:v>At Tasselling stage</c:v>
                </c:pt>
              </c:strCache>
            </c:strRef>
          </c:tx>
          <c:spPr>
            <a:solidFill>
              <a:schemeClr val="accent1"/>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Sheet1!$D$5:$D$30</c:f>
              <c:numCache>
                <c:formatCode>General</c:formatCode>
                <c:ptCount val="26"/>
                <c:pt idx="0">
                  <c:v>38.369999999999997</c:v>
                </c:pt>
                <c:pt idx="2">
                  <c:v>39.71</c:v>
                </c:pt>
                <c:pt idx="3">
                  <c:v>44.28</c:v>
                </c:pt>
                <c:pt idx="5">
                  <c:v>45.42</c:v>
                </c:pt>
                <c:pt idx="8">
                  <c:v>47.16</c:v>
                </c:pt>
                <c:pt idx="11">
                  <c:v>47.7</c:v>
                </c:pt>
                <c:pt idx="14">
                  <c:v>48.94</c:v>
                </c:pt>
                <c:pt idx="17">
                  <c:v>50.42</c:v>
                </c:pt>
                <c:pt idx="20">
                  <c:v>51.17</c:v>
                </c:pt>
                <c:pt idx="23">
                  <c:v>51.17</c:v>
                </c:pt>
              </c:numCache>
            </c:numRef>
          </c:val>
          <c:extLst>
            <c:ext xmlns:c16="http://schemas.microsoft.com/office/drawing/2014/chart" uri="{C3380CC4-5D6E-409C-BE32-E72D297353CC}">
              <c16:uniqueId val="{00000000-B3C0-4FE0-A475-F4CE1760EBE2}"/>
            </c:ext>
          </c:extLst>
        </c:ser>
        <c:ser>
          <c:idx val="1"/>
          <c:order val="1"/>
          <c:tx>
            <c:strRef>
              <c:f>Sheet1!$E$3:$E$4</c:f>
              <c:strCache>
                <c:ptCount val="2"/>
                <c:pt idx="0">
                  <c:v>Dehydrogenase activity (µg g-1 soil)</c:v>
                </c:pt>
                <c:pt idx="1">
                  <c:v>At Harvesting Stage</c:v>
                </c:pt>
              </c:strCache>
            </c:strRef>
          </c:tx>
          <c:spPr>
            <a:solidFill>
              <a:schemeClr val="accent2"/>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Sheet1!$E$5:$E$30</c:f>
              <c:numCache>
                <c:formatCode>General</c:formatCode>
                <c:ptCount val="26"/>
                <c:pt idx="0">
                  <c:v>39.090000000000003</c:v>
                </c:pt>
                <c:pt idx="2">
                  <c:v>40.46</c:v>
                </c:pt>
                <c:pt idx="3">
                  <c:v>45.31</c:v>
                </c:pt>
                <c:pt idx="5">
                  <c:v>46.49</c:v>
                </c:pt>
                <c:pt idx="8">
                  <c:v>47.86</c:v>
                </c:pt>
                <c:pt idx="11">
                  <c:v>48.38</c:v>
                </c:pt>
                <c:pt idx="14">
                  <c:v>49.85</c:v>
                </c:pt>
                <c:pt idx="17">
                  <c:v>51.42</c:v>
                </c:pt>
                <c:pt idx="20">
                  <c:v>52.15</c:v>
                </c:pt>
                <c:pt idx="23">
                  <c:v>52.17</c:v>
                </c:pt>
              </c:numCache>
            </c:numRef>
          </c:val>
          <c:extLst>
            <c:ext xmlns:c16="http://schemas.microsoft.com/office/drawing/2014/chart" uri="{C3380CC4-5D6E-409C-BE32-E72D297353CC}">
              <c16:uniqueId val="{00000001-B3C0-4FE0-A475-F4CE1760EBE2}"/>
            </c:ext>
          </c:extLst>
        </c:ser>
        <c:ser>
          <c:idx val="2"/>
          <c:order val="2"/>
          <c:tx>
            <c:strRef>
              <c:f>Sheet1!$F$3:$F$4</c:f>
              <c:strCache>
                <c:ptCount val="2"/>
                <c:pt idx="0">
                  <c:v>Acid phosphatase activity (µg g-1 soil)</c:v>
                </c:pt>
                <c:pt idx="1">
                  <c:v>At Tasselling stage</c:v>
                </c:pt>
              </c:strCache>
            </c:strRef>
          </c:tx>
          <c:spPr>
            <a:solidFill>
              <a:schemeClr val="accent3"/>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Sheet1!$F$5:$F$30</c:f>
              <c:numCache>
                <c:formatCode>General</c:formatCode>
                <c:ptCount val="26"/>
                <c:pt idx="0">
                  <c:v>42.47</c:v>
                </c:pt>
                <c:pt idx="2">
                  <c:v>43.8</c:v>
                </c:pt>
                <c:pt idx="3">
                  <c:v>53.82</c:v>
                </c:pt>
                <c:pt idx="5">
                  <c:v>55.4</c:v>
                </c:pt>
                <c:pt idx="8">
                  <c:v>56.52</c:v>
                </c:pt>
                <c:pt idx="11">
                  <c:v>58.38</c:v>
                </c:pt>
                <c:pt idx="14">
                  <c:v>59.67</c:v>
                </c:pt>
                <c:pt idx="17">
                  <c:v>63.09</c:v>
                </c:pt>
                <c:pt idx="20">
                  <c:v>67.66</c:v>
                </c:pt>
                <c:pt idx="23">
                  <c:v>70.25</c:v>
                </c:pt>
              </c:numCache>
            </c:numRef>
          </c:val>
          <c:extLst>
            <c:ext xmlns:c16="http://schemas.microsoft.com/office/drawing/2014/chart" uri="{C3380CC4-5D6E-409C-BE32-E72D297353CC}">
              <c16:uniqueId val="{00000002-B3C0-4FE0-A475-F4CE1760EBE2}"/>
            </c:ext>
          </c:extLst>
        </c:ser>
        <c:ser>
          <c:idx val="3"/>
          <c:order val="3"/>
          <c:tx>
            <c:strRef>
              <c:f>Sheet1!$G$3:$G$4</c:f>
              <c:strCache>
                <c:ptCount val="2"/>
                <c:pt idx="0">
                  <c:v>Acid phosphatase activity (µg g-1 soil)</c:v>
                </c:pt>
                <c:pt idx="1">
                  <c:v>At Harvesting Stage</c:v>
                </c:pt>
              </c:strCache>
            </c:strRef>
          </c:tx>
          <c:spPr>
            <a:solidFill>
              <a:schemeClr val="accent4"/>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Sheet1!$G$5:$G$30</c:f>
              <c:numCache>
                <c:formatCode>General</c:formatCode>
                <c:ptCount val="26"/>
                <c:pt idx="0">
                  <c:v>37.799999999999997</c:v>
                </c:pt>
                <c:pt idx="2">
                  <c:v>39.46</c:v>
                </c:pt>
                <c:pt idx="3">
                  <c:v>42.49</c:v>
                </c:pt>
                <c:pt idx="5">
                  <c:v>46.4</c:v>
                </c:pt>
                <c:pt idx="8">
                  <c:v>47.06</c:v>
                </c:pt>
                <c:pt idx="11">
                  <c:v>47.72</c:v>
                </c:pt>
                <c:pt idx="14">
                  <c:v>51.34</c:v>
                </c:pt>
                <c:pt idx="17">
                  <c:v>54</c:v>
                </c:pt>
                <c:pt idx="20">
                  <c:v>53</c:v>
                </c:pt>
                <c:pt idx="23">
                  <c:v>55</c:v>
                </c:pt>
              </c:numCache>
            </c:numRef>
          </c:val>
          <c:extLst>
            <c:ext xmlns:c16="http://schemas.microsoft.com/office/drawing/2014/chart" uri="{C3380CC4-5D6E-409C-BE32-E72D297353CC}">
              <c16:uniqueId val="{00000003-B3C0-4FE0-A475-F4CE1760EBE2}"/>
            </c:ext>
          </c:extLst>
        </c:ser>
        <c:ser>
          <c:idx val="4"/>
          <c:order val="4"/>
          <c:tx>
            <c:strRef>
              <c:f>Sheet1!$H$3:$H$4</c:f>
              <c:strCache>
                <c:ptCount val="2"/>
                <c:pt idx="0">
                  <c:v>Alkaline phosphatase activity (µg g-1 soil)</c:v>
                </c:pt>
                <c:pt idx="1">
                  <c:v>At Tasselling stage</c:v>
                </c:pt>
              </c:strCache>
            </c:strRef>
          </c:tx>
          <c:spPr>
            <a:solidFill>
              <a:schemeClr val="accent5"/>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Sheet1!$H$5:$H$30</c:f>
              <c:numCache>
                <c:formatCode>General</c:formatCode>
                <c:ptCount val="26"/>
                <c:pt idx="0">
                  <c:v>56.33</c:v>
                </c:pt>
                <c:pt idx="2">
                  <c:v>57.69</c:v>
                </c:pt>
                <c:pt idx="3">
                  <c:v>68.63</c:v>
                </c:pt>
                <c:pt idx="5">
                  <c:v>69.930000000000007</c:v>
                </c:pt>
                <c:pt idx="8">
                  <c:v>71.53</c:v>
                </c:pt>
                <c:pt idx="11">
                  <c:v>73.83</c:v>
                </c:pt>
                <c:pt idx="14">
                  <c:v>74.47</c:v>
                </c:pt>
                <c:pt idx="17">
                  <c:v>73.63</c:v>
                </c:pt>
                <c:pt idx="20">
                  <c:v>75.44</c:v>
                </c:pt>
                <c:pt idx="23">
                  <c:v>74.849999999999994</c:v>
                </c:pt>
              </c:numCache>
            </c:numRef>
          </c:val>
          <c:extLst>
            <c:ext xmlns:c16="http://schemas.microsoft.com/office/drawing/2014/chart" uri="{C3380CC4-5D6E-409C-BE32-E72D297353CC}">
              <c16:uniqueId val="{00000004-B3C0-4FE0-A475-F4CE1760EBE2}"/>
            </c:ext>
          </c:extLst>
        </c:ser>
        <c:ser>
          <c:idx val="5"/>
          <c:order val="5"/>
          <c:tx>
            <c:strRef>
              <c:f>Sheet1!$I$3:$I$4</c:f>
              <c:strCache>
                <c:ptCount val="2"/>
                <c:pt idx="0">
                  <c:v>Alkaline phosphatase activity (µg g-1 soil)</c:v>
                </c:pt>
                <c:pt idx="1">
                  <c:v>At Harvesting Stage</c:v>
                </c:pt>
              </c:strCache>
            </c:strRef>
          </c:tx>
          <c:spPr>
            <a:solidFill>
              <a:schemeClr val="accent6"/>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Sheet1!$I$5:$I$30</c:f>
              <c:numCache>
                <c:formatCode>General</c:formatCode>
                <c:ptCount val="26"/>
                <c:pt idx="1">
                  <c:v>50.53</c:v>
                </c:pt>
                <c:pt idx="2">
                  <c:v>53.11</c:v>
                </c:pt>
                <c:pt idx="4">
                  <c:v>65.180000000000007</c:v>
                </c:pt>
                <c:pt idx="7">
                  <c:v>63.91</c:v>
                </c:pt>
                <c:pt idx="10">
                  <c:v>66.56</c:v>
                </c:pt>
                <c:pt idx="13">
                  <c:v>66.17</c:v>
                </c:pt>
                <c:pt idx="16">
                  <c:v>64.47</c:v>
                </c:pt>
                <c:pt idx="19">
                  <c:v>67.52</c:v>
                </c:pt>
                <c:pt idx="22">
                  <c:v>69.89</c:v>
                </c:pt>
                <c:pt idx="25">
                  <c:v>68.97</c:v>
                </c:pt>
              </c:numCache>
            </c:numRef>
          </c:val>
          <c:extLst>
            <c:ext xmlns:c16="http://schemas.microsoft.com/office/drawing/2014/chart" uri="{C3380CC4-5D6E-409C-BE32-E72D297353CC}">
              <c16:uniqueId val="{00000005-B3C0-4FE0-A475-F4CE1760EBE2}"/>
            </c:ext>
          </c:extLst>
        </c:ser>
        <c:dLbls>
          <c:showLegendKey val="0"/>
          <c:showVal val="0"/>
          <c:showCatName val="0"/>
          <c:showSerName val="0"/>
          <c:showPercent val="0"/>
          <c:showBubbleSize val="0"/>
        </c:dLbls>
        <c:gapWidth val="150"/>
        <c:shape val="box"/>
        <c:axId val="1713564608"/>
        <c:axId val="1713569408"/>
        <c:axId val="0"/>
      </c:bar3DChart>
      <c:catAx>
        <c:axId val="1713564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69408"/>
        <c:crosses val="autoZero"/>
        <c:auto val="1"/>
        <c:lblAlgn val="ctr"/>
        <c:lblOffset val="100"/>
        <c:noMultiLvlLbl val="0"/>
      </c:catAx>
      <c:valAx>
        <c:axId val="171356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µg g</a:t>
                </a:r>
                <a:r>
                  <a:rPr lang="en-US" sz="1000" b="1" i="0" u="none" strike="noStrike" baseline="30000">
                    <a:effectLst/>
                  </a:rPr>
                  <a:t>-1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64608"/>
        <c:crosses val="autoZero"/>
        <c:crossBetween val="between"/>
      </c:valAx>
      <c:spPr>
        <a:noFill/>
        <a:ln>
          <a:noFill/>
        </a:ln>
        <a:effectLst/>
      </c:spPr>
    </c:plotArea>
    <c:legend>
      <c:legendPos val="b"/>
      <c:layout>
        <c:manualLayout>
          <c:xMode val="edge"/>
          <c:yMode val="edge"/>
          <c:x val="0.10198206474190726"/>
          <c:y val="0.61759093237890383"/>
          <c:w val="0.78492475940507433"/>
          <c:h val="0.35463142660781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21</Pages>
  <Words>7274</Words>
  <Characters>40011</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LCA</cp:lastModifiedBy>
  <cp:revision>35</cp:revision>
  <dcterms:created xsi:type="dcterms:W3CDTF">2025-12-13T16:53:00Z</dcterms:created>
  <dcterms:modified xsi:type="dcterms:W3CDTF">2025-12-16T22:21:00Z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f49b2017-742e-4460-9f5b-a60ce5d75623</vt:lpwstr>
  </property>
</Properties>
</file>