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D546" w14:textId="5B6081F0" w:rsidR="00310A6E" w:rsidRPr="00310A6E" w:rsidRDefault="00310A6E">
      <w:pPr>
        <w:spacing w:line="0" w:lineRule="atLeast"/>
        <w:jc w:val="left"/>
        <w:rPr>
          <w:b/>
          <w:bCs/>
          <w:color w:val="000000" w:themeColor="text1"/>
          <w:sz w:val="32"/>
          <w:szCs w:val="40"/>
          <w:u w:val="single"/>
        </w:rPr>
      </w:pPr>
      <w:r w:rsidRPr="00310A6E">
        <w:rPr>
          <w:b/>
          <w:bCs/>
          <w:color w:val="000000" w:themeColor="text1"/>
          <w:sz w:val="32"/>
          <w:szCs w:val="40"/>
          <w:u w:val="single"/>
        </w:rPr>
        <w:t>Case report</w:t>
      </w:r>
    </w:p>
    <w:p w14:paraId="535890E3" w14:textId="77777777" w:rsidR="00310A6E" w:rsidRDefault="00310A6E">
      <w:pPr>
        <w:spacing w:line="0" w:lineRule="atLeast"/>
        <w:jc w:val="left"/>
        <w:rPr>
          <w:b/>
          <w:bCs/>
          <w:color w:val="000000" w:themeColor="text1"/>
          <w:sz w:val="32"/>
          <w:szCs w:val="40"/>
        </w:rPr>
      </w:pPr>
    </w:p>
    <w:p w14:paraId="4DA3F394" w14:textId="46C04362" w:rsidR="007225AC" w:rsidRPr="00717FD8" w:rsidRDefault="00621A1C">
      <w:pPr>
        <w:spacing w:line="0" w:lineRule="atLeast"/>
        <w:jc w:val="left"/>
        <w:rPr>
          <w:b/>
          <w:bCs/>
          <w:color w:val="000000" w:themeColor="text1"/>
          <w:sz w:val="32"/>
          <w:szCs w:val="40"/>
        </w:rPr>
      </w:pPr>
      <w:r w:rsidRPr="00717FD8">
        <w:rPr>
          <w:b/>
          <w:bCs/>
          <w:color w:val="000000" w:themeColor="text1"/>
          <w:sz w:val="32"/>
          <w:szCs w:val="40"/>
        </w:rPr>
        <w:t>Medial Thigh Fasciocutaneous Flap for Perineoscrotal Reconstruction</w:t>
      </w:r>
      <w:r w:rsidRPr="00717FD8">
        <w:rPr>
          <w:b/>
          <w:bCs/>
          <w:color w:val="000000" w:themeColor="text1"/>
          <w:sz w:val="32"/>
          <w:szCs w:val="40"/>
          <w:lang w:val="fr-FR"/>
        </w:rPr>
        <w:t xml:space="preserve"> </w:t>
      </w:r>
      <w:r w:rsidRPr="00717FD8">
        <w:rPr>
          <w:b/>
          <w:bCs/>
          <w:color w:val="000000" w:themeColor="text1"/>
          <w:sz w:val="32"/>
          <w:szCs w:val="40"/>
        </w:rPr>
        <w:t>After Fournier’s Gangrene</w:t>
      </w:r>
    </w:p>
    <w:p w14:paraId="4CDB8CBD" w14:textId="77777777" w:rsidR="00717FD8" w:rsidRDefault="00717FD8">
      <w:pPr>
        <w:spacing w:line="0" w:lineRule="atLeast"/>
        <w:jc w:val="left"/>
        <w:rPr>
          <w:b/>
          <w:bCs/>
          <w:color w:val="FF0000"/>
          <w:sz w:val="32"/>
          <w:szCs w:val="40"/>
        </w:rPr>
      </w:pPr>
    </w:p>
    <w:p w14:paraId="2428368D" w14:textId="77777777" w:rsidR="00BF3766" w:rsidRDefault="00BF3766" w:rsidP="00717FD8">
      <w:pPr>
        <w:tabs>
          <w:tab w:val="left" w:pos="312"/>
        </w:tabs>
        <w:jc w:val="left"/>
        <w:rPr>
          <w:sz w:val="20"/>
          <w:szCs w:val="20"/>
          <w:lang w:val="fr-FR"/>
        </w:rPr>
      </w:pPr>
    </w:p>
    <w:p w14:paraId="46BE7264" w14:textId="77777777" w:rsidR="007225AC" w:rsidRDefault="00621A1C">
      <w:pPr>
        <w:rPr>
          <w:b/>
          <w:bCs/>
          <w:color w:val="0000FF"/>
          <w:sz w:val="28"/>
          <w:szCs w:val="36"/>
        </w:rPr>
      </w:pPr>
      <w:r>
        <w:rPr>
          <w:b/>
          <w:bCs/>
          <w:color w:val="0000FF"/>
          <w:sz w:val="28"/>
          <w:szCs w:val="36"/>
        </w:rPr>
        <w:t>Abstract</w:t>
      </w:r>
    </w:p>
    <w:p w14:paraId="13372DBD" w14:textId="77777777" w:rsidR="007225AC" w:rsidRDefault="00621A1C">
      <w:r>
        <w:t xml:space="preserve">Fournier’s gangrene is a rare and potentially serious necrotizing fasciitis of the perineal and external genital area which warrants urgent, multidisciplinary management. Even with the availability of advanced intensive care, antibiotic therapy, and aggressive surgical debridement, survivors often have massive perineoscrotal tissue lesions, which represents an intricate reconstructive problem. We report a 31-year-old male with no previous medical history who developed advanced Fournier’s gangrene, leading to extensive scrotal loss of skin with bilateral exposed testicles. Management initially consisted of hemodynamic stabilization, broad-spectrum antibiotics, and surgical debridement which was repeated until complete control of the infection was reached. A definitive reconstruction was made with a long-pedicle medial thigh fasciocutaneous flap, resulting in stable coverage in a single phase. Partial donor-site dehiscence was observed in the postoperative period and controlled conservatively. A second operative procedure was then conducted with flap division and scrotal reconstruction with purse-string method, as well as split-thickness skin grafting of the donor site. The postoperative outcome after surgery was favourable and acceptable in terms of aesthetics and function. Erectile function was intact and sperm analysis was normal at follow-up. This case illustrates the reliability and functional advantages of the long-pedicle medial thigh fasciocutaneous flap in perineoscrotal reconstruction for Fournier’s gangrene. </w:t>
      </w:r>
    </w:p>
    <w:p w14:paraId="46E2631B" w14:textId="77777777" w:rsidR="007225AC" w:rsidRDefault="00621A1C">
      <w:r>
        <w:rPr>
          <w:b/>
          <w:bCs/>
          <w:color w:val="000000" w:themeColor="text1"/>
        </w:rPr>
        <w:t>Keywords:</w:t>
      </w:r>
      <w:r>
        <w:t>Fournier’s gangrene; Perineoscrotal reconstruction; Medial thigh flap; Fasciocutaneous flap; Scrotal reconstruction; Case report.</w:t>
      </w:r>
    </w:p>
    <w:p w14:paraId="7600EC88" w14:textId="77777777" w:rsidR="007225AC" w:rsidRDefault="007225AC">
      <w:pPr>
        <w:rPr>
          <w:lang w:val="fr-FR"/>
        </w:rPr>
      </w:pPr>
    </w:p>
    <w:p w14:paraId="1C7F0290" w14:textId="77777777" w:rsidR="007225AC" w:rsidRDefault="00621A1C">
      <w:pPr>
        <w:rPr>
          <w:b/>
          <w:bCs/>
          <w:color w:val="0000FF"/>
          <w:sz w:val="28"/>
          <w:szCs w:val="36"/>
        </w:rPr>
      </w:pPr>
      <w:r>
        <w:rPr>
          <w:b/>
          <w:bCs/>
          <w:color w:val="0000FF"/>
          <w:sz w:val="28"/>
          <w:szCs w:val="36"/>
        </w:rPr>
        <w:t>INTRODUCTION</w:t>
      </w:r>
    </w:p>
    <w:p w14:paraId="4F920A2E" w14:textId="3150D0A9" w:rsidR="007225AC" w:rsidRDefault="00621A1C">
      <w:pPr>
        <w:ind w:firstLineChars="50" w:firstLine="105"/>
      </w:pPr>
      <w:r>
        <w:t xml:space="preserve">Fournier’s gangrene is a rare but rapidly aggressive polymicrobial necrotizing fasciitis in the perineal and external genital tissues; the disease progresses rapidly and has extensive tissue destruction. Although critical breakthroughs in intensive care, use of broad-spectrum antibiotics and invasive surgical debridement techniques, mortality rates are still high (15% to 30% in current series) [1,3]. Among survivors, the extensive perineoscrotal tissue loss often accompanies broad and frequently repeated excisions needed to control the infection. This may result in testicular exposure, ongoing risk of local infection, and substantial functional and aesthetic sequelae [4,5]. These consequences are detrimental to quality of life and body image and sexual function, especially amongst young patients [5,6]. Hence, perineoscrotal reconstruction for this population of patients represents a major hurdle for the reconstructive surgeon [6]. The process </w:t>
      </w:r>
      <w:r w:rsidRPr="0016037E">
        <w:rPr>
          <w:color w:val="EE0000"/>
        </w:rPr>
        <w:t>must be done in a recently septic and typically fragile condition and stable, robust, and well vascularized coverage must be maintained</w:t>
      </w:r>
      <w:r w:rsidR="0016037E">
        <w:rPr>
          <w:color w:val="EE0000"/>
        </w:rPr>
        <w:t>[REPHRASE]</w:t>
      </w:r>
      <w:r w:rsidRPr="0016037E">
        <w:rPr>
          <w:color w:val="EE0000"/>
        </w:rPr>
        <w:t>.</w:t>
      </w:r>
      <w:r>
        <w:t xml:space="preserve"> The aim exceeds the straightforward skin closure and requires the maintenance of suitable testicular function, desired cosmetic development and </w:t>
      </w:r>
      <w:r>
        <w:lastRenderedPageBreak/>
        <w:t>reduced donor-site morbidity [6,7]. There are a variety of reconstructive choices described, including secondary wound healing, skin grafting, and local, regional, or free flaps. The approach of using a long-pedicle medial thigh fasciocutaneous flap, with good vascularity, low harvesting cost, anatomical convenience, and skin traits favorable for scrotal reconstruction [6,9], is thus an important one in this setting. We describe a case report evaluating our knowledge of a long-pedicle medial thigh fasciocutaneous flap in perineoscrotal reconstruction after Fournier’s gangrene and consider the role of long-pedicle medial thigh fasciocutaneous flap within current reconstructive approaches compared to recent literature.</w:t>
      </w:r>
    </w:p>
    <w:p w14:paraId="309D6592" w14:textId="77777777" w:rsidR="007225AC" w:rsidRDefault="007225AC">
      <w:pPr>
        <w:ind w:firstLineChars="50" w:firstLine="105"/>
      </w:pPr>
    </w:p>
    <w:p w14:paraId="214E6A3B" w14:textId="77777777" w:rsidR="007225AC" w:rsidRDefault="00621A1C">
      <w:pPr>
        <w:rPr>
          <w:b/>
          <w:bCs/>
          <w:color w:val="0000FF"/>
          <w:sz w:val="32"/>
          <w:szCs w:val="40"/>
        </w:rPr>
      </w:pPr>
      <w:r>
        <w:rPr>
          <w:b/>
          <w:bCs/>
          <w:color w:val="0000FF"/>
          <w:sz w:val="32"/>
          <w:szCs w:val="40"/>
        </w:rPr>
        <w:t>Case Presentation</w:t>
      </w:r>
    </w:p>
    <w:p w14:paraId="584E2B41" w14:textId="77777777" w:rsidR="007225AC" w:rsidRDefault="00621A1C">
      <w:pPr>
        <w:ind w:firstLineChars="50" w:firstLine="105"/>
      </w:pPr>
      <w:r>
        <w:t>A 31-year-old male with no significant past medical history was admitted to our institution. He had no history of diabetes mellitus, immunodeficiency, substance abuse, perineal trauma, or prior urological disease. Viral serological screening performed as part of the initial assessment, including human immunodeficiency virus (HIV), hepatitis B, and hepatitis C, was negative.</w:t>
      </w:r>
    </w:p>
    <w:p w14:paraId="49DE43F0" w14:textId="77777777" w:rsidR="007225AC" w:rsidRDefault="00621A1C">
      <w:pPr>
        <w:rPr>
          <w:b/>
          <w:bCs/>
          <w:sz w:val="22"/>
          <w:szCs w:val="28"/>
        </w:rPr>
      </w:pPr>
      <w:r>
        <w:rPr>
          <w:b/>
          <w:bCs/>
          <w:sz w:val="22"/>
          <w:szCs w:val="28"/>
        </w:rPr>
        <w:t>Acute phase: admission and initial management</w:t>
      </w:r>
    </w:p>
    <w:p w14:paraId="6EE13A88" w14:textId="65D4E730" w:rsidR="007225AC" w:rsidRDefault="00621A1C">
      <w:r>
        <w:t xml:space="preserve">The patient was admitted on an emergency basis with advanced Fournier’s gangrene. </w:t>
      </w:r>
      <w:r w:rsidRPr="0016037E">
        <w:rPr>
          <w:color w:val="EE0000"/>
        </w:rPr>
        <w:t>On clinical examination, he presented with severe perineoscrotal pain</w:t>
      </w:r>
      <w:commentRangeStart w:id="0"/>
      <w:r w:rsidR="0016037E">
        <w:rPr>
          <w:color w:val="EE0000"/>
        </w:rPr>
        <w:t>[ PAIN IS NOT PART OF EXAMINATION</w:t>
      </w:r>
      <w:commentRangeEnd w:id="0"/>
      <w:r w:rsidR="002E4FF9">
        <w:rPr>
          <w:rStyle w:val="CommentReference"/>
        </w:rPr>
        <w:commentReference w:id="0"/>
      </w:r>
      <w:r w:rsidR="0016037E">
        <w:rPr>
          <w:color w:val="EE0000"/>
        </w:rPr>
        <w:t>]</w:t>
      </w:r>
      <w:r>
        <w:t>, marked inflammatory edema, and systemic signs of infection. Local examination revealed extensive scrotal skin necrosis with bilateral testicular exposure.</w:t>
      </w:r>
    </w:p>
    <w:p w14:paraId="518F6645" w14:textId="77777777" w:rsidR="007225AC" w:rsidRDefault="00621A1C">
      <w:r>
        <w:t xml:space="preserve">Initial management was ensured by a multidisciplinary team </w:t>
      </w:r>
      <w:r w:rsidRPr="002E4FF9">
        <w:rPr>
          <w:color w:val="EE0000"/>
        </w:rPr>
        <w:t>involving intensivists and urologists</w:t>
      </w:r>
      <w:r>
        <w:t>. It included:</w:t>
      </w:r>
    </w:p>
    <w:p w14:paraId="05535071" w14:textId="77777777" w:rsidR="007225AC" w:rsidRDefault="00621A1C">
      <w:r>
        <w:t xml:space="preserve"> • appropriate resuscitation with hemodynamic stabilization,</w:t>
      </w:r>
    </w:p>
    <w:p w14:paraId="6841BDB0" w14:textId="77777777" w:rsidR="007225AC" w:rsidRDefault="00621A1C">
      <w:pPr>
        <w:jc w:val="left"/>
      </w:pPr>
      <w:r>
        <w:t xml:space="preserve"> •</w:t>
      </w:r>
      <w:r>
        <w:rPr>
          <w:lang w:val="fr-FR"/>
        </w:rPr>
        <w:t xml:space="preserve"> </w:t>
      </w:r>
      <w:r>
        <w:t>empirical broad-spectrum antibiotic therapy, subsequently adjusted according to</w:t>
      </w:r>
      <w:r>
        <w:rPr>
          <w:lang w:val="fr-FR"/>
        </w:rPr>
        <w:t xml:space="preserve"> </w:t>
      </w:r>
      <w:r>
        <w:t>bacteriological culture results,</w:t>
      </w:r>
    </w:p>
    <w:p w14:paraId="3D170372" w14:textId="5AFB1C64" w:rsidR="007225AC" w:rsidRPr="0016037E" w:rsidRDefault="00621A1C">
      <w:pPr>
        <w:jc w:val="left"/>
        <w:rPr>
          <w:color w:val="EE0000"/>
        </w:rPr>
      </w:pPr>
      <w:r>
        <w:t xml:space="preserve"> •</w:t>
      </w:r>
      <w:r>
        <w:rPr>
          <w:lang w:val="fr-FR"/>
        </w:rPr>
        <w:t xml:space="preserve"> </w:t>
      </w:r>
      <w:r>
        <w:t>repeated surgical debridement procedures.</w:t>
      </w:r>
      <w:r w:rsidR="0016037E">
        <w:t xml:space="preserve"> </w:t>
      </w:r>
      <w:commentRangeStart w:id="1"/>
      <w:r w:rsidR="0016037E" w:rsidRPr="0016037E">
        <w:rPr>
          <w:color w:val="EE0000"/>
        </w:rPr>
        <w:t>OBVIOUSLY DEBRIDEMENT</w:t>
      </w:r>
      <w:r w:rsidR="0016037E">
        <w:rPr>
          <w:color w:val="EE0000"/>
        </w:rPr>
        <w:t>S</w:t>
      </w:r>
      <w:r w:rsidR="0016037E" w:rsidRPr="0016037E">
        <w:rPr>
          <w:color w:val="EE0000"/>
        </w:rPr>
        <w:t xml:space="preserve"> WERE DONE BY GENERAL SURGEONS</w:t>
      </w:r>
      <w:commentRangeEnd w:id="1"/>
      <w:r w:rsidR="002E4FF9">
        <w:rPr>
          <w:rStyle w:val="CommentReference"/>
        </w:rPr>
        <w:commentReference w:id="1"/>
      </w:r>
    </w:p>
    <w:p w14:paraId="36EC0594" w14:textId="77777777" w:rsidR="007225AC" w:rsidRDefault="007225AC"/>
    <w:p w14:paraId="179EDE74" w14:textId="77777777" w:rsidR="007225AC" w:rsidRDefault="00621A1C">
      <w:r>
        <w:t>Initial surgical treatment consisted of wide and radical excision of all necrotic tissues, combined with decompressive incisions and drainage of any associated collections. Surgical debridement was repeated until macroscopically healthy, well-vascularized tissue was achieved. The testes were preserved and maintained in a clean, moist environment (Figure 1).</w:t>
      </w:r>
    </w:p>
    <w:p w14:paraId="44C8B9E5" w14:textId="77777777" w:rsidR="007225AC" w:rsidRDefault="00621A1C">
      <w:r>
        <w:rPr>
          <w:lang w:val="fr-FR"/>
        </w:rPr>
        <w:t xml:space="preserve">          </w:t>
      </w:r>
      <w:r>
        <w:rPr>
          <w:noProof/>
        </w:rPr>
        <w:drawing>
          <wp:inline distT="0" distB="0" distL="114300" distR="114300" wp14:anchorId="10A71B42" wp14:editId="75CD7A88">
            <wp:extent cx="4940935" cy="1890395"/>
            <wp:effectExtent l="0" t="0" r="12065" b="146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1"/>
                    <a:stretch>
                      <a:fillRect/>
                    </a:stretch>
                  </pic:blipFill>
                  <pic:spPr>
                    <a:xfrm>
                      <a:off x="0" y="0"/>
                      <a:ext cx="4940935" cy="1890395"/>
                    </a:xfrm>
                    <a:prstGeom prst="rect">
                      <a:avLst/>
                    </a:prstGeom>
                    <a:noFill/>
                    <a:ln>
                      <a:noFill/>
                    </a:ln>
                  </pic:spPr>
                </pic:pic>
              </a:graphicData>
            </a:graphic>
          </wp:inline>
        </w:drawing>
      </w:r>
    </w:p>
    <w:p w14:paraId="6390510B" w14:textId="77777777" w:rsidR="007225AC" w:rsidRDefault="00621A1C">
      <w:pPr>
        <w:rPr>
          <w:b/>
          <w:bCs/>
          <w:lang w:val="fr-FR"/>
        </w:rPr>
      </w:pPr>
      <w:r>
        <w:rPr>
          <w:lang w:val="fr-FR"/>
        </w:rPr>
        <w:t xml:space="preserve">               </w:t>
      </w:r>
      <w:r>
        <w:rPr>
          <w:b/>
          <w:bCs/>
          <w:lang w:val="fr-FR"/>
        </w:rPr>
        <w:t>Figure1: Granulating perineoscrotal wound after surgical debridement</w:t>
      </w:r>
    </w:p>
    <w:p w14:paraId="3281FE72" w14:textId="77777777" w:rsidR="007225AC" w:rsidRDefault="00621A1C">
      <w:pPr>
        <w:numPr>
          <w:ilvl w:val="0"/>
          <w:numId w:val="2"/>
        </w:numPr>
        <w:ind w:left="1044"/>
        <w:rPr>
          <w:lang w:val="fr-FR"/>
        </w:rPr>
      </w:pPr>
      <w:r>
        <w:rPr>
          <w:lang w:val="fr-FR"/>
        </w:rPr>
        <w:t>Frontal view</w:t>
      </w:r>
    </w:p>
    <w:p w14:paraId="400B2106" w14:textId="77777777" w:rsidR="007225AC" w:rsidRDefault="00621A1C">
      <w:pPr>
        <w:numPr>
          <w:ilvl w:val="0"/>
          <w:numId w:val="2"/>
        </w:numPr>
        <w:ind w:left="1044"/>
        <w:rPr>
          <w:lang w:val="fr-FR"/>
        </w:rPr>
      </w:pPr>
      <w:r>
        <w:rPr>
          <w:lang w:val="fr-FR"/>
        </w:rPr>
        <w:lastRenderedPageBreak/>
        <w:t>Superior view</w:t>
      </w:r>
    </w:p>
    <w:p w14:paraId="05FEB335" w14:textId="77777777" w:rsidR="007225AC" w:rsidRDefault="007225AC"/>
    <w:p w14:paraId="172DAB6F" w14:textId="77777777" w:rsidR="007225AC" w:rsidRDefault="00621A1C">
      <w:r>
        <w:t>Daily local wound care was continued, with close clinical and biological monitoring. Definitive reconstruction was considered only after complete control of the infectious process, as evidenced by improvement in the patient’s general condition, progressive normalization of inflammatory markers, and the presence of a clean, well-vascularized granulation tissue bed.</w:t>
      </w:r>
    </w:p>
    <w:p w14:paraId="4E16771F" w14:textId="77777777" w:rsidR="007225AC" w:rsidRDefault="007225AC"/>
    <w:p w14:paraId="4EE4CA23" w14:textId="77777777" w:rsidR="007225AC" w:rsidRDefault="00621A1C">
      <w:pPr>
        <w:rPr>
          <w:b/>
          <w:bCs/>
          <w:sz w:val="24"/>
          <w:szCs w:val="32"/>
        </w:rPr>
      </w:pPr>
      <w:r>
        <w:rPr>
          <w:b/>
          <w:bCs/>
          <w:sz w:val="24"/>
          <w:szCs w:val="32"/>
        </w:rPr>
        <w:t>Reconstructive indication</w:t>
      </w:r>
    </w:p>
    <w:p w14:paraId="3A2B6D71" w14:textId="77777777" w:rsidR="007225AC" w:rsidRDefault="00621A1C">
      <w:r>
        <w:t>After clinical stabilization, the defect predominantly involved the scrotal region, with bilateral testicular exposure and no associated penile involvement. Given the extent of tissue loss, the recent septic context, and the patient’s young age, reconstruction using skin grafting alone was considered inappropriate because of the high risk of maceration, scar contracture, and unsatisfactory aesthetic outcomes.</w:t>
      </w:r>
    </w:p>
    <w:p w14:paraId="2F1261E4" w14:textId="77777777" w:rsidR="007225AC" w:rsidRDefault="00621A1C">
      <w:r>
        <w:t>A medial thigh fasciocutaneous flap was therefore selected, allowing reliable reconstruction with well-vascularized tissue, stable protection of the testes, and limited donor-site morbidity.</w:t>
      </w:r>
    </w:p>
    <w:p w14:paraId="6F42397F" w14:textId="77777777" w:rsidR="007225AC" w:rsidRDefault="007225AC">
      <w:pPr>
        <w:rPr>
          <w:b/>
          <w:bCs/>
          <w:sz w:val="24"/>
          <w:szCs w:val="32"/>
        </w:rPr>
      </w:pPr>
    </w:p>
    <w:p w14:paraId="5AA4BCE3" w14:textId="77777777" w:rsidR="007225AC" w:rsidRDefault="00621A1C">
      <w:pPr>
        <w:rPr>
          <w:b/>
          <w:bCs/>
          <w:sz w:val="24"/>
          <w:szCs w:val="32"/>
        </w:rPr>
      </w:pPr>
      <w:r>
        <w:rPr>
          <w:b/>
          <w:bCs/>
          <w:sz w:val="24"/>
          <w:szCs w:val="32"/>
        </w:rPr>
        <w:t>First</w:t>
      </w:r>
      <w:r>
        <w:rPr>
          <w:b/>
          <w:bCs/>
          <w:sz w:val="24"/>
          <w:szCs w:val="32"/>
          <w:lang w:val="fr-FR"/>
        </w:rPr>
        <w:t xml:space="preserve"> </w:t>
      </w:r>
      <w:r>
        <w:rPr>
          <w:b/>
          <w:bCs/>
          <w:sz w:val="24"/>
          <w:szCs w:val="32"/>
        </w:rPr>
        <w:t>surgery: flap reconstruction</w:t>
      </w:r>
    </w:p>
    <w:p w14:paraId="7CEF4520" w14:textId="77777777" w:rsidR="007225AC" w:rsidRDefault="00621A1C">
      <w:pPr>
        <w:ind w:firstLineChars="50" w:firstLine="105"/>
      </w:pPr>
      <w:r>
        <w:t>The procedure was performed under general anesthesia. The patient was placed in the supine position, with the lower limbs slightly abducted to allow simultaneous access to the perineoscrotal region and the medial aspect of the thigh.</w:t>
      </w:r>
    </w:p>
    <w:p w14:paraId="023BD5B7" w14:textId="2C486DCB" w:rsidR="007225AC" w:rsidRPr="002E4FF9" w:rsidRDefault="00621A1C">
      <w:pPr>
        <w:ind w:firstLineChars="50" w:firstLine="105"/>
        <w:rPr>
          <w:color w:val="EE0000"/>
        </w:rPr>
      </w:pPr>
      <w:r>
        <w:t>After precise measurement of the defect following complete release of the affected tissues, the flap was designed on the medial thigh along a longitudinal axis, with a proximal base oriented toward the femoral triangle (Figure 2).</w:t>
      </w:r>
      <w:r w:rsidR="002E4FF9">
        <w:t>[</w:t>
      </w:r>
      <w:commentRangeStart w:id="2"/>
      <w:r w:rsidR="002E4FF9">
        <w:rPr>
          <w:color w:val="EE0000"/>
        </w:rPr>
        <w:t>VASCULAR BASIS OF THE FLAP?]</w:t>
      </w:r>
      <w:commentRangeEnd w:id="2"/>
      <w:r w:rsidR="002E4FF9">
        <w:rPr>
          <w:rStyle w:val="CommentReference"/>
        </w:rPr>
        <w:commentReference w:id="2"/>
      </w:r>
    </w:p>
    <w:p w14:paraId="4C826EF9" w14:textId="77777777" w:rsidR="007225AC" w:rsidRDefault="00621A1C">
      <w:r>
        <w:rPr>
          <w:lang w:val="fr-FR"/>
        </w:rPr>
        <w:t xml:space="preserve">         </w:t>
      </w:r>
      <w:r>
        <w:rPr>
          <w:noProof/>
        </w:rPr>
        <w:drawing>
          <wp:inline distT="0" distB="0" distL="114300" distR="114300" wp14:anchorId="66E29F27" wp14:editId="1F007CCD">
            <wp:extent cx="4695190" cy="2414905"/>
            <wp:effectExtent l="0" t="0" r="10160" b="44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2"/>
                    <a:stretch>
                      <a:fillRect/>
                    </a:stretch>
                  </pic:blipFill>
                  <pic:spPr>
                    <a:xfrm>
                      <a:off x="0" y="0"/>
                      <a:ext cx="4695190" cy="2414905"/>
                    </a:xfrm>
                    <a:prstGeom prst="rect">
                      <a:avLst/>
                    </a:prstGeom>
                    <a:noFill/>
                    <a:ln>
                      <a:noFill/>
                    </a:ln>
                  </pic:spPr>
                </pic:pic>
              </a:graphicData>
            </a:graphic>
          </wp:inline>
        </w:drawing>
      </w:r>
    </w:p>
    <w:p w14:paraId="42E827B7" w14:textId="77777777" w:rsidR="007225AC" w:rsidRDefault="00621A1C">
      <w:pPr>
        <w:rPr>
          <w:b/>
          <w:bCs/>
          <w:lang w:val="fr-FR"/>
        </w:rPr>
      </w:pPr>
      <w:r>
        <w:rPr>
          <w:lang w:val="fr-FR"/>
        </w:rPr>
        <w:t xml:space="preserve">                    </w:t>
      </w:r>
      <w:r>
        <w:rPr>
          <w:b/>
          <w:bCs/>
          <w:lang w:val="fr-FR"/>
        </w:rPr>
        <w:t xml:space="preserve">    Figure 2. Flap planning and assessment of the perineoscrotal defect.</w:t>
      </w:r>
    </w:p>
    <w:p w14:paraId="5F487F7B" w14:textId="77777777" w:rsidR="007225AC" w:rsidRDefault="00621A1C">
      <w:pPr>
        <w:numPr>
          <w:ilvl w:val="0"/>
          <w:numId w:val="3"/>
        </w:numPr>
        <w:ind w:firstLineChars="850" w:firstLine="1785"/>
        <w:rPr>
          <w:lang w:val="fr-FR"/>
        </w:rPr>
      </w:pPr>
      <w:r>
        <w:rPr>
          <w:lang w:val="fr-FR"/>
        </w:rPr>
        <w:t>Initial flap design</w:t>
      </w:r>
    </w:p>
    <w:p w14:paraId="7B4F7004" w14:textId="77777777" w:rsidR="007225AC" w:rsidRDefault="00621A1C">
      <w:pPr>
        <w:numPr>
          <w:ilvl w:val="0"/>
          <w:numId w:val="3"/>
        </w:numPr>
        <w:ind w:firstLineChars="850" w:firstLine="1785"/>
        <w:rPr>
          <w:lang w:val="fr-FR"/>
        </w:rPr>
      </w:pPr>
      <w:r>
        <w:rPr>
          <w:lang w:val="fr-FR"/>
        </w:rPr>
        <w:t xml:space="preserve"> Defect measurement</w:t>
      </w:r>
    </w:p>
    <w:p w14:paraId="31893D98" w14:textId="77777777" w:rsidR="007225AC" w:rsidRDefault="007225AC">
      <w:pPr>
        <w:ind w:firstLineChars="100" w:firstLine="210"/>
      </w:pPr>
    </w:p>
    <w:p w14:paraId="790CB8AC" w14:textId="77777777" w:rsidR="007225AC" w:rsidRDefault="00621A1C">
      <w:pPr>
        <w:ind w:firstLineChars="100" w:firstLine="210"/>
      </w:pPr>
      <w:r>
        <w:t>The flap was elevated down to the deep fascia. Dissection was carried out from distal to proximal, respecting anatomical planes and preserving the vascular pedicle. After mobilization, the flap was transposed to the perineoscrotal region without excessive tension and secured to the recipient site using interrupted sutures, ensuring stable coverage of the testes. A split-</w:t>
      </w:r>
      <w:r>
        <w:lastRenderedPageBreak/>
        <w:t>thickness skin graft was applied to the penile shaft. The donor site was closed primarily after placement of a suction drain (Figure 3).</w:t>
      </w:r>
    </w:p>
    <w:p w14:paraId="7815911F" w14:textId="77777777" w:rsidR="007225AC" w:rsidRDefault="00621A1C">
      <w:pPr>
        <w:ind w:firstLineChars="100" w:firstLine="210"/>
      </w:pPr>
      <w:r>
        <w:rPr>
          <w:lang w:val="fr-FR"/>
        </w:rPr>
        <w:t xml:space="preserve">                </w:t>
      </w:r>
      <w:r>
        <w:rPr>
          <w:noProof/>
        </w:rPr>
        <w:drawing>
          <wp:inline distT="0" distB="0" distL="114300" distR="114300" wp14:anchorId="70C091F2" wp14:editId="26ABEA13">
            <wp:extent cx="3823335" cy="3618865"/>
            <wp:effectExtent l="0" t="0" r="571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13"/>
                    <a:stretch>
                      <a:fillRect/>
                    </a:stretch>
                  </pic:blipFill>
                  <pic:spPr>
                    <a:xfrm>
                      <a:off x="0" y="0"/>
                      <a:ext cx="3823335" cy="3618865"/>
                    </a:xfrm>
                    <a:prstGeom prst="rect">
                      <a:avLst/>
                    </a:prstGeom>
                    <a:noFill/>
                    <a:ln>
                      <a:noFill/>
                    </a:ln>
                  </pic:spPr>
                </pic:pic>
              </a:graphicData>
            </a:graphic>
          </wp:inline>
        </w:drawing>
      </w:r>
    </w:p>
    <w:p w14:paraId="6E6D4F2A" w14:textId="77777777" w:rsidR="007225AC" w:rsidRDefault="00621A1C">
      <w:pPr>
        <w:ind w:firstLineChars="100" w:firstLine="210"/>
        <w:rPr>
          <w:b/>
          <w:bCs/>
          <w:lang w:val="fr-FR"/>
        </w:rPr>
      </w:pPr>
      <w:r>
        <w:rPr>
          <w:lang w:val="fr-FR"/>
        </w:rPr>
        <w:t xml:space="preserve">                           </w:t>
      </w:r>
      <w:r>
        <w:rPr>
          <w:b/>
          <w:bCs/>
          <w:lang w:val="fr-FR"/>
        </w:rPr>
        <w:t xml:space="preserve">         Figure 3. Intraoperative  flap reconstruction.</w:t>
      </w:r>
    </w:p>
    <w:p w14:paraId="7282F6AA" w14:textId="77777777" w:rsidR="007225AC" w:rsidRDefault="00621A1C">
      <w:pPr>
        <w:numPr>
          <w:ilvl w:val="0"/>
          <w:numId w:val="4"/>
        </w:numPr>
        <w:ind w:firstLineChars="700" w:firstLine="1470"/>
        <w:rPr>
          <w:lang w:val="fr-FR"/>
        </w:rPr>
      </w:pPr>
      <w:r>
        <w:rPr>
          <w:lang w:val="fr-FR"/>
        </w:rPr>
        <w:t>Post-dissection view with donor-site closure and penile skin graft.</w:t>
      </w:r>
    </w:p>
    <w:p w14:paraId="253DD411" w14:textId="77777777" w:rsidR="007225AC" w:rsidRDefault="00621A1C">
      <w:pPr>
        <w:numPr>
          <w:ilvl w:val="0"/>
          <w:numId w:val="4"/>
        </w:numPr>
        <w:ind w:firstLineChars="700" w:firstLine="1470"/>
        <w:rPr>
          <w:lang w:val="fr-FR"/>
        </w:rPr>
      </w:pPr>
      <w:r>
        <w:rPr>
          <w:lang w:val="fr-FR"/>
        </w:rPr>
        <w:t xml:space="preserve"> Superior view of flap inset.</w:t>
      </w:r>
    </w:p>
    <w:p w14:paraId="4FFD50D7" w14:textId="77777777" w:rsidR="007225AC" w:rsidRDefault="00621A1C">
      <w:pPr>
        <w:numPr>
          <w:ilvl w:val="0"/>
          <w:numId w:val="4"/>
        </w:numPr>
        <w:ind w:firstLineChars="700" w:firstLine="1470"/>
        <w:rPr>
          <w:lang w:val="fr-FR"/>
        </w:rPr>
      </w:pPr>
      <w:r>
        <w:rPr>
          <w:lang w:val="fr-FR"/>
        </w:rPr>
        <w:t xml:space="preserve"> Lateral view after donor-site closure.</w:t>
      </w:r>
    </w:p>
    <w:p w14:paraId="44131894" w14:textId="77777777" w:rsidR="007225AC" w:rsidRDefault="00621A1C">
      <w:pPr>
        <w:numPr>
          <w:ilvl w:val="0"/>
          <w:numId w:val="4"/>
        </w:numPr>
        <w:ind w:firstLineChars="700" w:firstLine="1470"/>
        <w:rPr>
          <w:lang w:val="fr-FR"/>
        </w:rPr>
      </w:pPr>
      <w:r>
        <w:rPr>
          <w:lang w:val="fr-FR"/>
        </w:rPr>
        <w:t xml:space="preserve"> Inferior view after flap suturing.</w:t>
      </w:r>
    </w:p>
    <w:p w14:paraId="2BA2C2C1" w14:textId="77777777" w:rsidR="007225AC" w:rsidRDefault="007225AC"/>
    <w:p w14:paraId="1E16298D" w14:textId="77777777" w:rsidR="007225AC" w:rsidRDefault="00621A1C">
      <w:pPr>
        <w:rPr>
          <w:b/>
          <w:bCs/>
          <w:sz w:val="24"/>
          <w:szCs w:val="32"/>
        </w:rPr>
      </w:pPr>
      <w:r>
        <w:rPr>
          <w:b/>
          <w:bCs/>
          <w:sz w:val="24"/>
          <w:szCs w:val="32"/>
        </w:rPr>
        <w:t>Early postoperative course and complication</w:t>
      </w:r>
    </w:p>
    <w:p w14:paraId="5344CBFB" w14:textId="77777777" w:rsidR="007225AC" w:rsidRDefault="00621A1C">
      <w:pPr>
        <w:ind w:firstLineChars="50" w:firstLine="105"/>
      </w:pPr>
      <w:r>
        <w:t>The immediate postoperative course was marked by good flap viability, with no evidence of partial or total necrosis and no local infectious complications. However, during follow-up, a partial donor-site wound dehiscence was observed.</w:t>
      </w:r>
    </w:p>
    <w:p w14:paraId="11523A26" w14:textId="77777777" w:rsidR="007225AC" w:rsidRDefault="00621A1C">
      <w:pPr>
        <w:ind w:firstLineChars="50" w:firstLine="105"/>
      </w:pPr>
      <w:r>
        <w:t>This complication, occurring in a recently septic field, was managed conservatively with regular local wound care.The clinical course was favorable, with progressive formation of healthy, well-vascularized granulation tissue, allowing consideration of secondary surgical revision (Figure 4).</w:t>
      </w:r>
    </w:p>
    <w:p w14:paraId="1A8D6EBE" w14:textId="77777777" w:rsidR="007225AC" w:rsidRDefault="007225AC">
      <w:pPr>
        <w:ind w:firstLineChars="50" w:firstLine="105"/>
      </w:pPr>
    </w:p>
    <w:p w14:paraId="3EDE2592" w14:textId="77777777" w:rsidR="007225AC" w:rsidRDefault="00621A1C">
      <w:r>
        <w:rPr>
          <w:lang w:val="fr-FR"/>
        </w:rPr>
        <w:lastRenderedPageBreak/>
        <w:t xml:space="preserve">                        </w:t>
      </w:r>
      <w:r>
        <w:rPr>
          <w:noProof/>
        </w:rPr>
        <w:drawing>
          <wp:inline distT="0" distB="0" distL="114300" distR="114300" wp14:anchorId="2C3FA9CE" wp14:editId="21620194">
            <wp:extent cx="3543935" cy="2470785"/>
            <wp:effectExtent l="0" t="0" r="18415"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pic:cNvPicPr>
                  </pic:nvPicPr>
                  <pic:blipFill>
                    <a:blip r:embed="rId14"/>
                    <a:stretch>
                      <a:fillRect/>
                    </a:stretch>
                  </pic:blipFill>
                  <pic:spPr>
                    <a:xfrm>
                      <a:off x="0" y="0"/>
                      <a:ext cx="3543935" cy="2470785"/>
                    </a:xfrm>
                    <a:prstGeom prst="rect">
                      <a:avLst/>
                    </a:prstGeom>
                    <a:noFill/>
                    <a:ln>
                      <a:noFill/>
                    </a:ln>
                  </pic:spPr>
                </pic:pic>
              </a:graphicData>
            </a:graphic>
          </wp:inline>
        </w:drawing>
      </w:r>
    </w:p>
    <w:p w14:paraId="6B5434DE" w14:textId="77777777" w:rsidR="007225AC" w:rsidRDefault="00621A1C">
      <w:pPr>
        <w:rPr>
          <w:b/>
          <w:bCs/>
          <w:lang w:val="fr-FR"/>
        </w:rPr>
      </w:pPr>
      <w:r>
        <w:rPr>
          <w:lang w:val="fr-FR"/>
        </w:rPr>
        <w:t xml:space="preserve">                                 </w:t>
      </w:r>
      <w:r>
        <w:rPr>
          <w:b/>
          <w:bCs/>
          <w:lang w:val="fr-FR"/>
        </w:rPr>
        <w:t xml:space="preserve"> Figure 4. Donor-site complication and evolution.</w:t>
      </w:r>
    </w:p>
    <w:p w14:paraId="187D18E5" w14:textId="77777777" w:rsidR="007225AC" w:rsidRDefault="00621A1C">
      <w:pPr>
        <w:numPr>
          <w:ilvl w:val="0"/>
          <w:numId w:val="5"/>
        </w:numPr>
        <w:ind w:firstLineChars="800" w:firstLine="1680"/>
        <w:rPr>
          <w:lang w:val="fr-FR"/>
        </w:rPr>
      </w:pPr>
      <w:r>
        <w:rPr>
          <w:lang w:val="fr-FR"/>
        </w:rPr>
        <w:t>Partial donor-site wound dehiscence.</w:t>
      </w:r>
    </w:p>
    <w:p w14:paraId="1230C091" w14:textId="77777777" w:rsidR="007225AC" w:rsidRDefault="00621A1C">
      <w:pPr>
        <w:numPr>
          <w:ilvl w:val="0"/>
          <w:numId w:val="5"/>
        </w:numPr>
        <w:ind w:firstLineChars="800" w:firstLine="1680"/>
        <w:rPr>
          <w:lang w:val="fr-FR"/>
        </w:rPr>
      </w:pPr>
      <w:r>
        <w:rPr>
          <w:lang w:val="fr-FR"/>
        </w:rPr>
        <w:t xml:space="preserve">Favorable evolution with granulation tissue </w:t>
      </w:r>
    </w:p>
    <w:p w14:paraId="73583711" w14:textId="77777777" w:rsidR="007225AC" w:rsidRDefault="007225AC">
      <w:pPr>
        <w:rPr>
          <w:lang w:val="fr-FR"/>
        </w:rPr>
      </w:pPr>
    </w:p>
    <w:p w14:paraId="1A457074" w14:textId="77777777" w:rsidR="007225AC" w:rsidRDefault="00621A1C">
      <w:pPr>
        <w:rPr>
          <w:b/>
          <w:bCs/>
          <w:sz w:val="24"/>
          <w:szCs w:val="32"/>
        </w:rPr>
      </w:pPr>
      <w:r>
        <w:rPr>
          <w:b/>
          <w:bCs/>
          <w:sz w:val="24"/>
          <w:szCs w:val="32"/>
        </w:rPr>
        <w:t>Second</w:t>
      </w:r>
      <w:r>
        <w:rPr>
          <w:b/>
          <w:bCs/>
          <w:sz w:val="24"/>
          <w:szCs w:val="32"/>
          <w:lang w:val="fr-FR"/>
        </w:rPr>
        <w:t xml:space="preserve"> </w:t>
      </w:r>
      <w:r>
        <w:rPr>
          <w:b/>
          <w:bCs/>
          <w:sz w:val="24"/>
          <w:szCs w:val="32"/>
        </w:rPr>
        <w:t>surgery: flap division and aesthetic refinement</w:t>
      </w:r>
    </w:p>
    <w:p w14:paraId="74F7CD8E" w14:textId="77777777" w:rsidR="007225AC" w:rsidRDefault="00621A1C">
      <w:pPr>
        <w:ind w:firstLineChars="50" w:firstLine="105"/>
      </w:pPr>
      <w:r>
        <w:t>After local stabilization and achievement of a favorable healing environment, a second surgical stage was performed. This consisted of flap division combined with scrotal reconstruction using a purse-string technique. This approach improved the aesthetic appearance of the external genitalia and restored a more anatomical scrotal configuration (Figure</w:t>
      </w:r>
      <w:r>
        <w:rPr>
          <w:lang w:val="fr-FR"/>
        </w:rPr>
        <w:t>5</w:t>
      </w:r>
      <w:r>
        <w:t>).</w:t>
      </w:r>
    </w:p>
    <w:p w14:paraId="6195C25C" w14:textId="77777777" w:rsidR="007225AC" w:rsidRDefault="00621A1C">
      <w:pPr>
        <w:ind w:firstLineChars="50" w:firstLine="105"/>
      </w:pPr>
      <w:r>
        <w:t>The donor site was covered with a skin graft, which demonstrated good graft take and satisfactory healing .</w:t>
      </w:r>
    </w:p>
    <w:p w14:paraId="494E3457" w14:textId="77777777" w:rsidR="007225AC" w:rsidRDefault="00621A1C">
      <w:pPr>
        <w:ind w:firstLineChars="50" w:firstLine="105"/>
      </w:pPr>
      <w:r>
        <w:rPr>
          <w:lang w:val="fr-FR"/>
        </w:rPr>
        <w:t xml:space="preserve">                        </w:t>
      </w:r>
      <w:r>
        <w:rPr>
          <w:noProof/>
        </w:rPr>
        <w:drawing>
          <wp:inline distT="0" distB="0" distL="114300" distR="114300" wp14:anchorId="47E35804" wp14:editId="77B475B4">
            <wp:extent cx="3728720" cy="2369185"/>
            <wp:effectExtent l="0" t="0" r="5080" b="1206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a:picLocks noChangeAspect="1"/>
                    </pic:cNvPicPr>
                  </pic:nvPicPr>
                  <pic:blipFill>
                    <a:blip r:embed="rId15"/>
                    <a:stretch>
                      <a:fillRect/>
                    </a:stretch>
                  </pic:blipFill>
                  <pic:spPr>
                    <a:xfrm>
                      <a:off x="0" y="0"/>
                      <a:ext cx="3728720" cy="2369185"/>
                    </a:xfrm>
                    <a:prstGeom prst="rect">
                      <a:avLst/>
                    </a:prstGeom>
                    <a:noFill/>
                    <a:ln>
                      <a:noFill/>
                    </a:ln>
                  </pic:spPr>
                </pic:pic>
              </a:graphicData>
            </a:graphic>
          </wp:inline>
        </w:drawing>
      </w:r>
    </w:p>
    <w:p w14:paraId="583ABD2E" w14:textId="77777777" w:rsidR="007225AC" w:rsidRDefault="00621A1C">
      <w:pPr>
        <w:ind w:firstLineChars="50" w:firstLine="105"/>
        <w:rPr>
          <w:b/>
          <w:bCs/>
          <w:lang w:val="fr-FR"/>
        </w:rPr>
      </w:pPr>
      <w:r>
        <w:rPr>
          <w:lang w:val="fr-FR"/>
        </w:rPr>
        <w:t xml:space="preserve">                                 </w:t>
      </w:r>
      <w:r>
        <w:rPr>
          <w:b/>
          <w:bCs/>
          <w:lang w:val="fr-FR"/>
        </w:rPr>
        <w:t xml:space="preserve">   Figure 5. Flap division and donor-site skin grafting.</w:t>
      </w:r>
    </w:p>
    <w:p w14:paraId="607863CD" w14:textId="77777777" w:rsidR="007225AC" w:rsidRDefault="00621A1C">
      <w:pPr>
        <w:numPr>
          <w:ilvl w:val="0"/>
          <w:numId w:val="6"/>
        </w:numPr>
        <w:ind w:firstLineChars="1100" w:firstLine="2310"/>
        <w:rPr>
          <w:lang w:val="fr-FR"/>
        </w:rPr>
      </w:pPr>
      <w:r>
        <w:rPr>
          <w:lang w:val="fr-FR"/>
        </w:rPr>
        <w:t>Immediate postoperative view.</w:t>
      </w:r>
    </w:p>
    <w:p w14:paraId="0599A45D" w14:textId="77777777" w:rsidR="007225AC" w:rsidRDefault="00621A1C">
      <w:pPr>
        <w:numPr>
          <w:ilvl w:val="0"/>
          <w:numId w:val="6"/>
        </w:numPr>
        <w:ind w:firstLineChars="1100" w:firstLine="2310"/>
        <w:rPr>
          <w:lang w:val="fr-FR"/>
        </w:rPr>
      </w:pPr>
      <w:r>
        <w:rPr>
          <w:lang w:val="fr-FR"/>
        </w:rPr>
        <w:t>(B) Postoperative day 5 with good graft integration.</w:t>
      </w:r>
    </w:p>
    <w:p w14:paraId="7243450C" w14:textId="77777777" w:rsidR="007225AC" w:rsidRDefault="007225AC">
      <w:pPr>
        <w:rPr>
          <w:b/>
          <w:bCs/>
          <w:sz w:val="22"/>
          <w:szCs w:val="28"/>
        </w:rPr>
      </w:pPr>
    </w:p>
    <w:p w14:paraId="19BCBF38" w14:textId="77777777" w:rsidR="007225AC" w:rsidRDefault="00621A1C">
      <w:pPr>
        <w:rPr>
          <w:b/>
          <w:bCs/>
          <w:sz w:val="22"/>
          <w:szCs w:val="28"/>
        </w:rPr>
      </w:pPr>
      <w:r>
        <w:rPr>
          <w:b/>
          <w:bCs/>
          <w:sz w:val="22"/>
          <w:szCs w:val="28"/>
        </w:rPr>
        <w:t>Follow-up and functional outcomes</w:t>
      </w:r>
    </w:p>
    <w:p w14:paraId="79008382" w14:textId="77777777" w:rsidR="007225AC" w:rsidRDefault="00621A1C">
      <w:pPr>
        <w:ind w:firstLineChars="50" w:firstLine="105"/>
      </w:pPr>
      <w:r>
        <w:t xml:space="preserve">Postoperative follow-up was based on appropriate local wound care. Staple removal was performed on postoperative day 5, with a favorable clinical course and no secondary infectious </w:t>
      </w:r>
      <w:r>
        <w:lastRenderedPageBreak/>
        <w:t>complications. At long-term follow-up, scrotal coverage remained stable, and the aesthetic outcome was considered satisfactory (Figure 6).</w:t>
      </w:r>
    </w:p>
    <w:p w14:paraId="23C20CF6" w14:textId="77777777" w:rsidR="007225AC" w:rsidRDefault="00621A1C">
      <w:pPr>
        <w:ind w:firstLineChars="50" w:firstLine="105"/>
      </w:pPr>
      <w:r>
        <w:rPr>
          <w:lang w:val="fr-FR"/>
        </w:rPr>
        <w:t xml:space="preserve">           </w:t>
      </w:r>
      <w:r>
        <w:rPr>
          <w:noProof/>
        </w:rPr>
        <w:drawing>
          <wp:inline distT="0" distB="0" distL="114300" distR="114300" wp14:anchorId="61147BF1" wp14:editId="69E3A8A3">
            <wp:extent cx="4409440" cy="2345055"/>
            <wp:effectExtent l="0" t="0" r="10160" b="17145"/>
            <wp:docPr id="1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8"/>
                    <pic:cNvPicPr>
                      <a:picLocks noChangeAspect="1"/>
                    </pic:cNvPicPr>
                  </pic:nvPicPr>
                  <pic:blipFill>
                    <a:blip r:embed="rId16"/>
                    <a:stretch>
                      <a:fillRect/>
                    </a:stretch>
                  </pic:blipFill>
                  <pic:spPr>
                    <a:xfrm>
                      <a:off x="0" y="0"/>
                      <a:ext cx="4409440" cy="2345055"/>
                    </a:xfrm>
                    <a:prstGeom prst="rect">
                      <a:avLst/>
                    </a:prstGeom>
                    <a:noFill/>
                    <a:ln>
                      <a:noFill/>
                    </a:ln>
                  </pic:spPr>
                </pic:pic>
              </a:graphicData>
            </a:graphic>
          </wp:inline>
        </w:drawing>
      </w:r>
    </w:p>
    <w:p w14:paraId="66780139" w14:textId="77777777" w:rsidR="007225AC" w:rsidRDefault="00621A1C">
      <w:pPr>
        <w:ind w:firstLineChars="50" w:firstLine="105"/>
        <w:rPr>
          <w:b/>
          <w:bCs/>
          <w:lang w:val="fr-FR"/>
        </w:rPr>
      </w:pPr>
      <w:r>
        <w:rPr>
          <w:lang w:val="fr-FR"/>
        </w:rPr>
        <w:t xml:space="preserve">              </w:t>
      </w:r>
      <w:r>
        <w:rPr>
          <w:b/>
          <w:bCs/>
          <w:lang w:val="fr-FR"/>
        </w:rPr>
        <w:t>Figure 6. Ten-month postoperative  aesthetic outcome of the scrotum and penis.</w:t>
      </w:r>
    </w:p>
    <w:p w14:paraId="24D3C8F7" w14:textId="77777777" w:rsidR="007225AC" w:rsidRDefault="00621A1C">
      <w:pPr>
        <w:numPr>
          <w:ilvl w:val="0"/>
          <w:numId w:val="7"/>
        </w:numPr>
        <w:ind w:firstLineChars="700" w:firstLine="1470"/>
        <w:rPr>
          <w:lang w:val="fr-FR"/>
        </w:rPr>
      </w:pPr>
      <w:r>
        <w:rPr>
          <w:lang w:val="fr-FR"/>
        </w:rPr>
        <w:t>Superior view.</w:t>
      </w:r>
    </w:p>
    <w:p w14:paraId="6BD17CBA" w14:textId="77777777" w:rsidR="007225AC" w:rsidRDefault="00621A1C">
      <w:pPr>
        <w:numPr>
          <w:ilvl w:val="0"/>
          <w:numId w:val="7"/>
        </w:numPr>
        <w:ind w:firstLineChars="700" w:firstLine="1470"/>
        <w:rPr>
          <w:lang w:val="fr-FR"/>
        </w:rPr>
      </w:pPr>
      <w:r>
        <w:rPr>
          <w:lang w:val="fr-FR"/>
        </w:rPr>
        <w:t xml:space="preserve"> Inferior view.</w:t>
      </w:r>
    </w:p>
    <w:p w14:paraId="5EAAD2F8" w14:textId="77777777" w:rsidR="007225AC" w:rsidRDefault="007225AC"/>
    <w:p w14:paraId="5A6C6768" w14:textId="77777777" w:rsidR="007225AC" w:rsidRDefault="00621A1C">
      <w:pPr>
        <w:ind w:firstLineChars="50" w:firstLine="105"/>
      </w:pPr>
      <w:r>
        <w:t>From a functional perspective, erectile function was preserved. A sperm analysis performed during follow-up was normal, confirming preservation of reproductive function. The patient also reported a marked improvement in comfort, body image, and overall quality of life.</w:t>
      </w:r>
    </w:p>
    <w:p w14:paraId="0BC7EF87" w14:textId="77777777" w:rsidR="007225AC" w:rsidRDefault="00621A1C">
      <w:r>
        <w:t xml:space="preserve">   </w:t>
      </w:r>
    </w:p>
    <w:p w14:paraId="103CD35B" w14:textId="77777777" w:rsidR="007225AC" w:rsidRDefault="00621A1C">
      <w:pPr>
        <w:rPr>
          <w:b/>
          <w:bCs/>
          <w:color w:val="0000FF"/>
          <w:sz w:val="36"/>
          <w:szCs w:val="44"/>
        </w:rPr>
      </w:pPr>
      <w:r>
        <w:rPr>
          <w:b/>
          <w:bCs/>
          <w:color w:val="0000FF"/>
          <w:sz w:val="36"/>
          <w:szCs w:val="44"/>
        </w:rPr>
        <w:t xml:space="preserve"> DISCUSSION </w:t>
      </w:r>
    </w:p>
    <w:p w14:paraId="0884FE36" w14:textId="77777777" w:rsidR="007225AC" w:rsidRDefault="00621A1C">
      <w:r>
        <w:t xml:space="preserve">  </w:t>
      </w:r>
      <w:r>
        <w:rPr>
          <w:lang w:val="fr-FR"/>
        </w:rPr>
        <w:t xml:space="preserve"> </w:t>
      </w:r>
      <w:r>
        <w:t>Fournier’s gangrene is a serious and potentially life-threatening condition [1,3] and despite recent developments in therapies, mortality continues to be significant. Patient survival depends mainly on early diagnosis, rapid and aggressive surgical debridement, and collaborative multidisciplinary care from intensivists, urologists, and reconstructive surgeons [4]. Extensive severe perineoscrotal tissue loss associated with wide and repeated excisions is a significant reconstructive challenge in survivors. Such defects constitute a higher risk of secondary infection, delayed wound healing, and substantial functional and aesthetic sequelae, often associated with considerable psychological distress [5,6].</w:t>
      </w:r>
    </w:p>
    <w:p w14:paraId="71192146" w14:textId="77777777" w:rsidR="007225AC" w:rsidRDefault="00621A1C">
      <w:pPr>
        <w:rPr>
          <w:lang w:val="fr-FR"/>
        </w:rPr>
      </w:pPr>
      <w:r>
        <w:t xml:space="preserve"> Restoration of function and body integrity is central to surgical treatment in SCROTAL RECONSTRUCTION where a cosmetic or secondary surgery should be avoided as essential, necessary rehabilitation for the restoration to body integrity and health. Limitations on perineoscrotal reconstruction. The perineoscrotal region has unique anatomical and functional constraints, which include persistent moisture, great tissue mobility, exposure to urinary and fecal contamination, and stringent thermal requirements connected with spermatogenesis [7]. </w:t>
      </w:r>
      <w:r>
        <w:rPr>
          <w:lang w:val="fr-FR"/>
        </w:rPr>
        <w:t xml:space="preserve"> </w:t>
      </w:r>
    </w:p>
    <w:p w14:paraId="6C1E7B74" w14:textId="77777777" w:rsidR="007225AC" w:rsidRDefault="00621A1C">
      <w:pPr>
        <w:ind w:firstLineChars="50" w:firstLine="105"/>
      </w:pPr>
      <w:r>
        <w:t xml:space="preserve">These exact features may also account for the shortcomings and even the high complication rates noted with certain reconstructive methods in that particular zone. In certain cases limiting tissue loss, secondary wound healing might be seen as a temporary or bridging treatment, and may be combined with negative pressure wound therapy [8]. Yet this method is associated with extended healing time, additional painful and sometimes repetitive wound treatment, and an extraordinary scar risk, leading to unfavorable functional and cosmetic outcomes [8]. Skin </w:t>
      </w:r>
      <w:r>
        <w:lastRenderedPageBreak/>
        <w:t>grafting is an easy and widely available method of reconstruction. However, for Fournier’s gangrene, skin grafting has been associated with high and frequently unsatisfactory cosmetic outcomes, particularly in diabetic patients, those who are malnourished or whose localized infection persists [10]. In conclusion, it is recommended by some authors to keep skin grafts for selective superficial defects and for a second-line salvage procedure [6].</w:t>
      </w:r>
    </w:p>
    <w:p w14:paraId="68730940" w14:textId="71A8CF72" w:rsidR="007225AC" w:rsidRDefault="00621A1C">
      <w:pPr>
        <w:ind w:firstLineChars="50" w:firstLine="105"/>
      </w:pPr>
      <w:r>
        <w:t xml:space="preserve"> Flaps are used for scrotal reconstructive practice. Historically, musculocutaneous flaps have been used for scrotal reconstruction, especially the gracilis flap, due to the reliable vascularity of its ability.</w:t>
      </w:r>
      <w:r w:rsidR="002E4FF9">
        <w:t xml:space="preserve"> </w:t>
      </w:r>
      <w:r>
        <w:t xml:space="preserve">Nonetheless, its use comes with multiple limitations including increased tissue bulk, local temperature elevation, which could negatively affect testicular function, and donor-site morbidity due to muscle sacrifice [11]. </w:t>
      </w:r>
    </w:p>
    <w:p w14:paraId="2036BCAF" w14:textId="77777777" w:rsidR="007225AC" w:rsidRDefault="00621A1C">
      <w:pPr>
        <w:ind w:firstLineChars="50" w:firstLine="105"/>
      </w:pPr>
      <w:r>
        <w:t>Free flaps are more flexible and have increased reconstructive freedom and coverage to large or complicated defects. However, their application in a recently septic microvascular environment is controversial because of increased chances of microvascular complications, increased complexity of procedures, greater technical difficulty and time, and longer time in the operating room [12].</w:t>
      </w:r>
    </w:p>
    <w:p w14:paraId="6EF156A5" w14:textId="77777777" w:rsidR="007225AC" w:rsidRDefault="00621A1C">
      <w:pPr>
        <w:ind w:firstLineChars="50" w:firstLine="105"/>
      </w:pPr>
      <w:r>
        <w:t>Th</w:t>
      </w:r>
      <w:r>
        <w:rPr>
          <w:lang w:val="fr-FR"/>
        </w:rPr>
        <w:t>ose</w:t>
      </w:r>
      <w:r>
        <w:t xml:space="preserve"> free tissue transfer is usually only for certain complicated cases when locoregional means for grafting cannot be achieved. Benefits of medial thigh fasciocutaneous flap. The long-pedicle medial thigh fasciocutaneous flap seems to be particularly suitable for perineoscrotal reconstruction after Fournier’s gangrene within this reconstructive range. Various recent series have focused attention on its growing importance and beneficial results in this particular indication [6,9]. Its vascular supply is based on a reliable perforator network which emerges from branches of the profunda femoris artery, providing both consistent perfusion and adequate venous drainage [13]. The flap is easy to harvest and reproducible, and does not require muscle sacrifice to be maintained with the benefit of minimal donor-site morbidity [9]. Moreover, the close anatomical location to the perineal area makes the transposition process simple with a good arc of rotation and sufficient ability to cover extensive scrotal defects while typically allowing primary closure of the donor site [13]. </w:t>
      </w:r>
    </w:p>
    <w:p w14:paraId="3B95E650" w14:textId="77777777" w:rsidR="007225AC" w:rsidRDefault="00621A1C">
      <w:pPr>
        <w:ind w:firstLineChars="50" w:firstLine="105"/>
        <w:jc w:val="left"/>
      </w:pPr>
      <w:r>
        <w:t xml:space="preserve">The texture, thickness, and elasticity found in medial thigh skin closely parallel native scrotal skin, which has favorable functional and aesthetic results [6]. Outcomes and staged reconstruction. Another benefit of a staged reconstructive approach is presented by our case. Dehiscence of the partial donor site wound, which was observed in patients with recent septic history, was effectively managed conservatively and a healthy and vascularized granulation tissue bed was developed before undergoing surgical reconstruction [8]. Secondary flap division was coupled with purse-string scrotoplasty, to optimize the final aesthetic outcome while preserving flap viability. Multiple authors advocate for a stepwise approach, which allows patients to postpone finishing procedures for beneficial effect on function and aesthetics and reduce complications [9,13]. </w:t>
      </w:r>
    </w:p>
    <w:p w14:paraId="00B153F9" w14:textId="77777777" w:rsidR="007225AC" w:rsidRDefault="00621A1C">
      <w:pPr>
        <w:ind w:firstLineChars="50" w:firstLine="105"/>
        <w:jc w:val="left"/>
      </w:pPr>
      <w:r>
        <w:t>In addition to issues surrounding mechanical methods, perineoscrotal reconstruction after Fournier’s gangrene has a human dimension. The effects of this condition on body image, sexual function and overall quality of life have been extensively reported [5,6]. Erectile function and normal fertility preservation in our patient illustrates the need for a patient-centred and highly adaptable reconstructive strategy, especially in young patients.</w:t>
      </w:r>
    </w:p>
    <w:p w14:paraId="2DEF20D2" w14:textId="77777777" w:rsidR="007225AC" w:rsidRDefault="007225AC">
      <w:pPr>
        <w:rPr>
          <w:b/>
          <w:bCs/>
          <w:sz w:val="32"/>
          <w:szCs w:val="40"/>
        </w:rPr>
      </w:pPr>
    </w:p>
    <w:p w14:paraId="49CAD5F5" w14:textId="77777777" w:rsidR="007225AC" w:rsidRDefault="007225AC">
      <w:pPr>
        <w:rPr>
          <w:b/>
          <w:bCs/>
          <w:color w:val="0000FF"/>
          <w:sz w:val="36"/>
          <w:szCs w:val="44"/>
        </w:rPr>
      </w:pPr>
    </w:p>
    <w:p w14:paraId="057EE9CB" w14:textId="77777777" w:rsidR="007225AC" w:rsidRDefault="00621A1C">
      <w:pPr>
        <w:rPr>
          <w:b/>
          <w:bCs/>
          <w:color w:val="0000FF"/>
          <w:sz w:val="36"/>
          <w:szCs w:val="44"/>
        </w:rPr>
      </w:pPr>
      <w:r>
        <w:rPr>
          <w:b/>
          <w:bCs/>
          <w:color w:val="0000FF"/>
          <w:sz w:val="36"/>
          <w:szCs w:val="44"/>
        </w:rPr>
        <w:lastRenderedPageBreak/>
        <w:t>Conclusion</w:t>
      </w:r>
    </w:p>
    <w:p w14:paraId="70DBBB01" w14:textId="77777777" w:rsidR="007225AC" w:rsidRDefault="00621A1C">
      <w:pPr>
        <w:ind w:firstLineChars="50" w:firstLine="105"/>
      </w:pPr>
      <w:r>
        <w:t xml:space="preserve">The medial thigh fasciocutaneous flap represents a reliable and versatile reconstructive option for perineoscrotal defects following Fournier’s gangrene. By providing well-vascularized tissue in a previously infected field, this technique ensures stable coverage with satisfactory functional and aesthetic outcomes, while maintaining limited donor-site morbidity </w:t>
      </w:r>
      <w:commentRangeStart w:id="3"/>
      <w:r w:rsidRPr="002E4FF9">
        <w:rPr>
          <w:color w:val="EE0000"/>
        </w:rPr>
        <w:t xml:space="preserve">[6,9,13]. </w:t>
      </w:r>
      <w:commentRangeEnd w:id="3"/>
      <w:r w:rsidR="002E4FF9">
        <w:rPr>
          <w:rStyle w:val="CommentReference"/>
        </w:rPr>
        <w:commentReference w:id="3"/>
      </w:r>
      <w:r>
        <w:t>Furthermore, a staged reconstructive strategy, including secondary flap division when indicated, allows safe management of postoperative complications and refinement of the final result. This approach is particularly valuable in young patients, in whom preservation of genital function and restoration of body image are essential components of recovery.</w:t>
      </w:r>
    </w:p>
    <w:p w14:paraId="790CF9B8" w14:textId="77777777" w:rsidR="007225AC" w:rsidRDefault="007225AC">
      <w:pPr>
        <w:jc w:val="left"/>
      </w:pPr>
    </w:p>
    <w:p w14:paraId="01D50880" w14:textId="77777777" w:rsidR="007225AC" w:rsidRDefault="007225AC">
      <w:pPr>
        <w:jc w:val="left"/>
        <w:rPr>
          <w:color w:val="0000FF"/>
        </w:rPr>
      </w:pPr>
    </w:p>
    <w:p w14:paraId="64B3C554" w14:textId="77777777" w:rsidR="007225AC" w:rsidRDefault="00621A1C">
      <w:pPr>
        <w:rPr>
          <w:b/>
          <w:bCs/>
          <w:color w:val="0000FF"/>
          <w:sz w:val="32"/>
          <w:szCs w:val="40"/>
        </w:rPr>
      </w:pPr>
      <w:r>
        <w:rPr>
          <w:b/>
          <w:bCs/>
          <w:color w:val="0000FF"/>
          <w:sz w:val="32"/>
          <w:szCs w:val="40"/>
        </w:rPr>
        <w:t>References</w:t>
      </w:r>
    </w:p>
    <w:p w14:paraId="5FA61583" w14:textId="77777777" w:rsidR="007225AC" w:rsidRDefault="00621A1C">
      <w:r>
        <w:t xml:space="preserve"> 1. Sorensen MD, Krieger JN. Fournier’s gangrene: Epidemiology and outcomes in the general US population. Urol Int. 2016;97(3):249–259.doi: 10.1159/000445695</w:t>
      </w:r>
    </w:p>
    <w:p w14:paraId="019425F3" w14:textId="77777777" w:rsidR="007225AC" w:rsidRDefault="00621A1C">
      <w:r>
        <w:t xml:space="preserve"> 2. El-Qushayri AE, Khalaf KM, Dahy A, Mahmoud AR, Benmelouka AY, Ghozy S, et al. Fournier’s gangrene mortality: A 17-year systematic review and meta-analysis. Int J Infect Dis. 2020;92:218–225.doi: 10.1016/j.ijid.2019.12.030</w:t>
      </w:r>
    </w:p>
    <w:p w14:paraId="2B808936" w14:textId="77777777" w:rsidR="007225AC" w:rsidRDefault="00621A1C">
      <w:r>
        <w:t xml:space="preserve"> 3. Chennamsetty A, Khourdaji I, Burks F, Killinger KA. Contemporary diagnosis and management of Fournier’s gangrene. Ther Adv Urol. 2015;7(4):203–215.doi: 10.1177/1756287215584740</w:t>
      </w:r>
    </w:p>
    <w:p w14:paraId="7D1C9D5A" w14:textId="77777777" w:rsidR="007225AC" w:rsidRDefault="00621A1C">
      <w:pPr>
        <w:jc w:val="left"/>
      </w:pPr>
      <w:r>
        <w:t xml:space="preserve"> 4. Huyallani MT, Cheema AS, McGuire MJ, Janis JE. Practical review of the current management of Fournier’s gangrene. Plast Reconstr Surg Glob Open. 2022;10(3):e4191.doi: 10.1097/GOX.0000000000004191</w:t>
      </w:r>
    </w:p>
    <w:p w14:paraId="4DCD8F00" w14:textId="77777777" w:rsidR="007225AC" w:rsidRDefault="00621A1C">
      <w:r>
        <w:t xml:space="preserve"> 5. Karian LS, Chung SY, Lee ES. Reconstruction of defects after Fournier gangrene: A systematic review. ePlasty. 2015;15:e18.</w:t>
      </w:r>
    </w:p>
    <w:p w14:paraId="61F3DAA0" w14:textId="77777777" w:rsidR="007225AC" w:rsidRDefault="00621A1C">
      <w:r>
        <w:t xml:space="preserve"> 6. Insua-Pereira I, Costa Ferreira P, Teixeira S, Barreiro D, Silva Á. Fournier’s gangrene: A review of reconstructive options. Cent European J Urol. 2020;73(1):74–79.doi: 10.5173/ceju.2020.0060</w:t>
      </w:r>
    </w:p>
    <w:p w14:paraId="63170DFB" w14:textId="77777777" w:rsidR="007225AC" w:rsidRDefault="00621A1C">
      <w:pPr>
        <w:numPr>
          <w:ilvl w:val="0"/>
          <w:numId w:val="8"/>
        </w:numPr>
        <w:jc w:val="left"/>
      </w:pPr>
      <w:r>
        <w:t>Thwaini A, Khan A, Malik A, Cherian J, Barua J, Shergill IS, Mammen K. Fournier’s gangrene and its emergency management. Postgrad Med J. 2006;82(970):516–519.</w:t>
      </w:r>
    </w:p>
    <w:p w14:paraId="06803891" w14:textId="77777777" w:rsidR="007225AC" w:rsidRDefault="00621A1C">
      <w:pPr>
        <w:ind w:left="47"/>
        <w:jc w:val="left"/>
      </w:pPr>
      <w:r>
        <w:t>doi: 10.1136/pgmj.2005.042069</w:t>
      </w:r>
    </w:p>
    <w:p w14:paraId="0006D91D" w14:textId="77777777" w:rsidR="007225AC" w:rsidRDefault="00621A1C">
      <w:pPr>
        <w:jc w:val="left"/>
      </w:pPr>
      <w:r>
        <w:t xml:space="preserve"> 8. Yanar H, Taviloglu K, Ertekin C, Guloglu R, Zorba U, Cabioglu N, Baspinar I. Fournier’s gangrene: Risk factors and strategies for management. World J Surg. 2006;30(9):1750–1754.doi: 10.1007/s00268-005-0777-3</w:t>
      </w:r>
    </w:p>
    <w:p w14:paraId="21C3D71F" w14:textId="77777777" w:rsidR="007225AC" w:rsidRDefault="00621A1C">
      <w:r>
        <w:t xml:space="preserve"> 9. Kahveci R; Turkish Wound Working Group. Negative pressure wound therapy for complex surgical wounds in 59 patients across secondary and tertiary care centers in Turkey. ePlasty. 2022;22:e60.PMID: 36545643 | PMCID: PMC9748823</w:t>
      </w:r>
    </w:p>
    <w:p w14:paraId="712092D5" w14:textId="77777777" w:rsidR="007225AC" w:rsidRDefault="00621A1C">
      <w:pPr>
        <w:jc w:val="left"/>
      </w:pPr>
      <w:r>
        <w:t xml:space="preserve"> 10. Chen SY, Fu JP, Chen TM, Chen SG. Reconstruction of scrotal and perineal defects in Fournier’s gangrene. J Plast Reconstr Aesthet Surg. 2011;64(4):528–534.</w:t>
      </w:r>
      <w:r>
        <w:rPr>
          <w:lang w:val="fr-FR"/>
        </w:rPr>
        <w:t xml:space="preserve"> </w:t>
      </w:r>
      <w:r>
        <w:t>doi:10.1016/j.bjps.2010.07.018</w:t>
      </w:r>
      <w:r>
        <w:rPr>
          <w:lang w:val="fr-FR"/>
        </w:rPr>
        <w:t>.</w:t>
      </w:r>
      <w:r>
        <w:t>PMID: 20797927</w:t>
      </w:r>
    </w:p>
    <w:p w14:paraId="09ADE34D" w14:textId="77777777" w:rsidR="007225AC" w:rsidRDefault="00621A1C">
      <w:r>
        <w:t xml:space="preserve"> 11. Goldie SJ, Almasharqah R, Fogg QA, Anderson W. Extending the use of the gracilis muscle flap in perineal reconstruction surgery. J Plast Reconstr Aesthet Surg. 2016;69(8):1097–1101.doi: 10.1016/j.bjps.2016.05.002</w:t>
      </w:r>
      <w:r>
        <w:rPr>
          <w:lang w:val="fr-FR"/>
        </w:rPr>
        <w:t>.</w:t>
      </w:r>
      <w:r>
        <w:t>PMID: 27221783</w:t>
      </w:r>
    </w:p>
    <w:p w14:paraId="6EF5C66E" w14:textId="77777777" w:rsidR="007225AC" w:rsidRDefault="00621A1C">
      <w:r>
        <w:t xml:space="preserve"> 12. Norton KS, Johnson LW, Perry T, Perry KH, Sehon JK, Zibari GB. Management of Fournier’s </w:t>
      </w:r>
      <w:r>
        <w:lastRenderedPageBreak/>
        <w:t>gangrene: An eleven-year retrospective analysis of early recognition, diagnosis, and treatment. Am Surg. 2002;68(8):709–713.PMID: 12206606</w:t>
      </w:r>
    </w:p>
    <w:p w14:paraId="65CA5269" w14:textId="77777777" w:rsidR="007225AC" w:rsidRDefault="00621A1C">
      <w:r>
        <w:t xml:space="preserve"> 13. Delia G, Battaglia F, Cigna E, Ioppolo L, Maruccia M, Stagno d’Alcontres F. Medial fascia lata perforator flap: Anatomical basis and clinical application as a pedicled or free flap. JPRAS Open. 2023;38:25–35.doi: 10.1016/j.jpra.2023.07.009</w:t>
      </w:r>
      <w:r>
        <w:rPr>
          <w:lang w:val="fr-FR"/>
        </w:rPr>
        <w:t>.</w:t>
      </w:r>
      <w:r>
        <w:t>PMID: 37662865</w:t>
      </w:r>
    </w:p>
    <w:p w14:paraId="1DC86814" w14:textId="77777777" w:rsidR="007225AC" w:rsidRDefault="00621A1C">
      <w:r>
        <w:t xml:space="preserve"> 14. Eke N. Fournier’s gangrene: A review of 1726 cases. Br J Surg. 2000;87(6):718–728.</w:t>
      </w:r>
    </w:p>
    <w:p w14:paraId="2C4D8A41" w14:textId="77777777" w:rsidR="007225AC" w:rsidRDefault="00621A1C">
      <w:r>
        <w:t>doi: 10.1046/j.1365-2168.2000.01497.x</w:t>
      </w:r>
      <w:r>
        <w:rPr>
          <w:lang w:val="fr-FR"/>
        </w:rPr>
        <w:t>.</w:t>
      </w:r>
      <w:r>
        <w:t>PMID: 10848848</w:t>
      </w:r>
    </w:p>
    <w:p w14:paraId="35BDA1ED" w14:textId="77777777" w:rsidR="007225AC" w:rsidRDefault="00621A1C">
      <w:r>
        <w:t xml:space="preserve"> 15. Dayan JH, Clarke-Pearson EM, Dayan E, Smith ML. Aesthetic scrotal reconstruction following extensive Fournier’s gangrene using bilateral island pedicled sensate anterolateral thigh flaps: A case report. Can Urol Assoc J. 2014;8(1–2):E114–E117.doi: 10.5489/cuaj.1384</w:t>
      </w:r>
      <w:r>
        <w:rPr>
          <w:lang w:val="fr-FR"/>
        </w:rPr>
        <w:t>.</w:t>
      </w:r>
      <w:r>
        <w:t>PMID: 24554975 | PMCID: PMC3926927</w:t>
      </w:r>
    </w:p>
    <w:p w14:paraId="46F9D16C" w14:textId="77777777" w:rsidR="007225AC" w:rsidRDefault="007225AC"/>
    <w:p w14:paraId="5C06EC61" w14:textId="77777777" w:rsidR="007225AC" w:rsidRDefault="007225AC"/>
    <w:sectPr w:rsidR="007225AC">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pil Rampal" w:date="2026-01-17T17:32:00Z" w:initials="KR">
    <w:p w14:paraId="2423B5C0" w14:textId="77777777" w:rsidR="002E4FF9" w:rsidRDefault="002E4FF9" w:rsidP="002E4FF9">
      <w:pPr>
        <w:pStyle w:val="CommentText"/>
        <w:jc w:val="left"/>
      </w:pPr>
      <w:r>
        <w:rPr>
          <w:rStyle w:val="CommentReference"/>
        </w:rPr>
        <w:annotationRef/>
      </w:r>
      <w:r>
        <w:rPr>
          <w:color w:val="EE0000"/>
        </w:rPr>
        <w:t>[ PAIN IS NOT PART OF EXAMINATION</w:t>
      </w:r>
    </w:p>
  </w:comment>
  <w:comment w:id="1" w:author="Kapil Rampal" w:date="2026-01-17T17:33:00Z" w:initials="KR">
    <w:p w14:paraId="156A3DFD" w14:textId="77777777" w:rsidR="002E4FF9" w:rsidRDefault="002E4FF9" w:rsidP="002E4FF9">
      <w:pPr>
        <w:pStyle w:val="CommentText"/>
        <w:jc w:val="left"/>
      </w:pPr>
      <w:r>
        <w:rPr>
          <w:rStyle w:val="CommentReference"/>
        </w:rPr>
        <w:annotationRef/>
      </w:r>
      <w:r>
        <w:rPr>
          <w:color w:val="EE0000"/>
        </w:rPr>
        <w:t>[ PAIN IS NOT PART OF EXAMINATION</w:t>
      </w:r>
    </w:p>
  </w:comment>
  <w:comment w:id="2" w:author="Kapil Rampal" w:date="2026-01-17T17:34:00Z" w:initials="KR">
    <w:p w14:paraId="6D80024A" w14:textId="77777777" w:rsidR="002E4FF9" w:rsidRDefault="002E4FF9" w:rsidP="002E4FF9">
      <w:pPr>
        <w:pStyle w:val="CommentText"/>
        <w:jc w:val="left"/>
      </w:pPr>
      <w:r>
        <w:rPr>
          <w:rStyle w:val="CommentReference"/>
        </w:rPr>
        <w:annotationRef/>
      </w:r>
      <w:r>
        <w:rPr>
          <w:color w:val="EE0000"/>
        </w:rPr>
        <w:t>VASCULAR BASIS OF THE FLAP?]</w:t>
      </w:r>
    </w:p>
  </w:comment>
  <w:comment w:id="3" w:author="Kapil Rampal" w:date="2026-01-17T17:32:00Z" w:initials="KR">
    <w:p w14:paraId="742B4C49" w14:textId="0B78518A" w:rsidR="002E4FF9" w:rsidRDefault="002E4FF9" w:rsidP="002E4FF9">
      <w:pPr>
        <w:pStyle w:val="CommentText"/>
        <w:jc w:val="left"/>
      </w:pPr>
      <w:r>
        <w:rPr>
          <w:rStyle w:val="CommentReference"/>
        </w:rPr>
        <w:annotationRef/>
      </w:r>
      <w:r>
        <w:rPr>
          <w:lang w:val="en-IN"/>
        </w:rPr>
        <w:t>CONCLUSION NEED NOT HAVE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23B5C0" w15:done="0"/>
  <w15:commentEx w15:paraId="156A3DFD" w15:done="0"/>
  <w15:commentEx w15:paraId="6D80024A" w15:done="0"/>
  <w15:commentEx w15:paraId="742B4C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5B280" w16cex:dateUtc="2026-01-17T12:02:00Z"/>
  <w16cex:commentExtensible w16cex:durableId="30A56759" w16cex:dateUtc="2026-01-17T12:03:00Z"/>
  <w16cex:commentExtensible w16cex:durableId="5DA7E09A" w16cex:dateUtc="2026-01-17T12:04:00Z"/>
  <w16cex:commentExtensible w16cex:durableId="32B7E225" w16cex:dateUtc="2026-01-17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23B5C0" w16cid:durableId="1385B280"/>
  <w16cid:commentId w16cid:paraId="156A3DFD" w16cid:durableId="30A56759"/>
  <w16cid:commentId w16cid:paraId="6D80024A" w16cid:durableId="5DA7E09A"/>
  <w16cid:commentId w16cid:paraId="742B4C49" w16cid:durableId="32B7E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21EB" w14:textId="77777777" w:rsidR="00F36707" w:rsidRDefault="00F36707" w:rsidP="009C4434">
      <w:r>
        <w:separator/>
      </w:r>
    </w:p>
  </w:endnote>
  <w:endnote w:type="continuationSeparator" w:id="0">
    <w:p w14:paraId="7FEB8B3D" w14:textId="77777777" w:rsidR="00F36707" w:rsidRDefault="00F36707" w:rsidP="009C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09DE" w14:textId="77777777" w:rsidR="009C4434" w:rsidRDefault="009C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6B6" w14:textId="77777777" w:rsidR="009C4434" w:rsidRDefault="009C4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29B9A" w14:textId="77777777" w:rsidR="009C4434" w:rsidRDefault="009C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59A2" w14:textId="77777777" w:rsidR="00F36707" w:rsidRDefault="00F36707" w:rsidP="009C4434">
      <w:r>
        <w:separator/>
      </w:r>
    </w:p>
  </w:footnote>
  <w:footnote w:type="continuationSeparator" w:id="0">
    <w:p w14:paraId="2270E361" w14:textId="77777777" w:rsidR="00F36707" w:rsidRDefault="00F36707" w:rsidP="009C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9C9F" w14:textId="0E7A96F9" w:rsidR="009C4434" w:rsidRDefault="00000000">
    <w:pPr>
      <w:pStyle w:val="Header"/>
    </w:pPr>
    <w:r>
      <w:rPr>
        <w:noProof/>
      </w:rPr>
      <w:pict w14:anchorId="2DC58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6" o:spid="_x0000_s1026"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AEB3" w14:textId="06209A18" w:rsidR="009C4434" w:rsidRDefault="00000000">
    <w:pPr>
      <w:pStyle w:val="Header"/>
    </w:pPr>
    <w:r>
      <w:rPr>
        <w:noProof/>
      </w:rPr>
      <w:pict w14:anchorId="7FA8B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7" o:spid="_x0000_s1027"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7355" w14:textId="79E10601" w:rsidR="009C4434" w:rsidRDefault="00000000">
    <w:pPr>
      <w:pStyle w:val="Header"/>
    </w:pPr>
    <w:r>
      <w:rPr>
        <w:noProof/>
      </w:rPr>
      <w:pict w14:anchorId="59D27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657765" o:spid="_x0000_s1025"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44B6F4"/>
    <w:multiLevelType w:val="singleLevel"/>
    <w:tmpl w:val="A944B6F4"/>
    <w:lvl w:ilvl="0">
      <w:start w:val="1"/>
      <w:numFmt w:val="upperLetter"/>
      <w:suff w:val="space"/>
      <w:lvlText w:val="(%1)"/>
      <w:lvlJc w:val="left"/>
    </w:lvl>
  </w:abstractNum>
  <w:abstractNum w:abstractNumId="1" w15:restartNumberingAfterBreak="0">
    <w:nsid w:val="B6873D83"/>
    <w:multiLevelType w:val="singleLevel"/>
    <w:tmpl w:val="B6873D83"/>
    <w:lvl w:ilvl="0">
      <w:start w:val="1"/>
      <w:numFmt w:val="upperLetter"/>
      <w:suff w:val="space"/>
      <w:lvlText w:val="(%1)"/>
      <w:lvlJc w:val="left"/>
    </w:lvl>
  </w:abstractNum>
  <w:abstractNum w:abstractNumId="2" w15:restartNumberingAfterBreak="0">
    <w:nsid w:val="B883BDC4"/>
    <w:multiLevelType w:val="singleLevel"/>
    <w:tmpl w:val="B883BDC4"/>
    <w:lvl w:ilvl="0">
      <w:start w:val="1"/>
      <w:numFmt w:val="upperLetter"/>
      <w:suff w:val="space"/>
      <w:lvlText w:val="(%1)"/>
      <w:lvlJc w:val="left"/>
    </w:lvl>
  </w:abstractNum>
  <w:abstractNum w:abstractNumId="3" w15:restartNumberingAfterBreak="0">
    <w:nsid w:val="D3C018FE"/>
    <w:multiLevelType w:val="singleLevel"/>
    <w:tmpl w:val="D3C018FE"/>
    <w:lvl w:ilvl="0">
      <w:start w:val="7"/>
      <w:numFmt w:val="decimal"/>
      <w:suff w:val="space"/>
      <w:lvlText w:val="%1."/>
      <w:lvlJc w:val="left"/>
      <w:pPr>
        <w:ind w:left="47" w:firstLine="0"/>
      </w:pPr>
    </w:lvl>
  </w:abstractNum>
  <w:abstractNum w:abstractNumId="4" w15:restartNumberingAfterBreak="0">
    <w:nsid w:val="0997D24C"/>
    <w:multiLevelType w:val="singleLevel"/>
    <w:tmpl w:val="0997D24C"/>
    <w:lvl w:ilvl="0">
      <w:start w:val="8"/>
      <w:numFmt w:val="upperLetter"/>
      <w:lvlText w:val="%1."/>
      <w:lvlJc w:val="left"/>
      <w:pPr>
        <w:tabs>
          <w:tab w:val="left" w:pos="312"/>
        </w:tabs>
      </w:pPr>
    </w:lvl>
  </w:abstractNum>
  <w:abstractNum w:abstractNumId="5" w15:restartNumberingAfterBreak="0">
    <w:nsid w:val="529AD9D1"/>
    <w:multiLevelType w:val="singleLevel"/>
    <w:tmpl w:val="529AD9D1"/>
    <w:lvl w:ilvl="0">
      <w:start w:val="1"/>
      <w:numFmt w:val="upperLetter"/>
      <w:suff w:val="space"/>
      <w:lvlText w:val="(%1)"/>
      <w:lvlJc w:val="left"/>
    </w:lvl>
  </w:abstractNum>
  <w:abstractNum w:abstractNumId="6" w15:restartNumberingAfterBreak="0">
    <w:nsid w:val="68DD7963"/>
    <w:multiLevelType w:val="singleLevel"/>
    <w:tmpl w:val="68DD7963"/>
    <w:lvl w:ilvl="0">
      <w:start w:val="1"/>
      <w:numFmt w:val="upperLetter"/>
      <w:suff w:val="space"/>
      <w:lvlText w:val="(%1)"/>
      <w:lvlJc w:val="left"/>
    </w:lvl>
  </w:abstractNum>
  <w:abstractNum w:abstractNumId="7" w15:restartNumberingAfterBreak="0">
    <w:nsid w:val="72368C86"/>
    <w:multiLevelType w:val="singleLevel"/>
    <w:tmpl w:val="72368C86"/>
    <w:lvl w:ilvl="0">
      <w:start w:val="1"/>
      <w:numFmt w:val="upperLetter"/>
      <w:suff w:val="space"/>
      <w:lvlText w:val="(%1)"/>
      <w:lvlJc w:val="left"/>
    </w:lvl>
  </w:abstractNum>
  <w:num w:numId="1" w16cid:durableId="1108741674">
    <w:abstractNumId w:val="4"/>
  </w:num>
  <w:num w:numId="2" w16cid:durableId="244727983">
    <w:abstractNumId w:val="1"/>
  </w:num>
  <w:num w:numId="3" w16cid:durableId="19859199">
    <w:abstractNumId w:val="6"/>
  </w:num>
  <w:num w:numId="4" w16cid:durableId="1133865641">
    <w:abstractNumId w:val="5"/>
  </w:num>
  <w:num w:numId="5" w16cid:durableId="484784058">
    <w:abstractNumId w:val="0"/>
  </w:num>
  <w:num w:numId="6" w16cid:durableId="820780111">
    <w:abstractNumId w:val="7"/>
  </w:num>
  <w:num w:numId="7" w16cid:durableId="124781581">
    <w:abstractNumId w:val="2"/>
  </w:num>
  <w:num w:numId="8" w16cid:durableId="12010923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pil Rampal">
    <w15:presenceInfo w15:providerId="Windows Live" w15:userId="089f7748b97aed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708"/>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112BC6"/>
    <w:rsid w:val="00082A6C"/>
    <w:rsid w:val="0016037E"/>
    <w:rsid w:val="00190528"/>
    <w:rsid w:val="002E4FF9"/>
    <w:rsid w:val="002F2E58"/>
    <w:rsid w:val="00310A6E"/>
    <w:rsid w:val="005D742D"/>
    <w:rsid w:val="00621A1C"/>
    <w:rsid w:val="006D00C8"/>
    <w:rsid w:val="00717FD8"/>
    <w:rsid w:val="007225AC"/>
    <w:rsid w:val="00752A35"/>
    <w:rsid w:val="00813ABA"/>
    <w:rsid w:val="009C4434"/>
    <w:rsid w:val="00BF3766"/>
    <w:rsid w:val="00F36707"/>
    <w:rsid w:val="09DE4DFD"/>
    <w:rsid w:val="42112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A9F68"/>
  <w15:docId w15:val="{E160B23F-239F-4AE3-BA07-BC07B5929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semiHidden="1" w:uiPriority="0" w:unhideWhenUsed="1"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uiPriority="0" w:qFormat="1"/>
    <w:lsdException w:name="Closing" w:uiPriority="0"/>
    <w:lsdException w:name="Signature" w:uiPriority="0"/>
    <w:lsdException w:name="Default Paragraph Font" w:semiHidden="1"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uiPriority="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1" w:uiPriority="0"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lang w:eastAsia="zh-CN"/>
    </w:rPr>
  </w:style>
  <w:style w:type="paragraph" w:styleId="Heading2">
    <w:name w:val="heading 2"/>
    <w:next w:val="Normal"/>
    <w:uiPriority w:val="9"/>
    <w:unhideWhenUsed/>
    <w:qFormat/>
    <w:pPr>
      <w:keepNext/>
      <w:keepLines/>
      <w:widowControl w:val="0"/>
      <w:jc w:val="both"/>
      <w:outlineLvl w:val="1"/>
    </w:pPr>
    <w:rPr>
      <w:rFonts w:ascii="Arial" w:eastAsiaTheme="majorEastAsia" w:hAnsi="Arial" w:cstheme="majorBidi"/>
      <w:b/>
      <w:bCs/>
      <w:kern w:val="2"/>
      <w:sz w:val="21"/>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customStyle="1" w:styleId="ReferHead">
    <w:name w:val="Refer Head"/>
    <w:qFormat/>
    <w:pPr>
      <w:keepNext/>
      <w:widowControl w:val="0"/>
      <w:spacing w:after="240"/>
      <w:jc w:val="both"/>
    </w:pPr>
    <w:rPr>
      <w:rFonts w:ascii="Helvetica" w:eastAsia="Times New Roman" w:hAnsi="Helvetica" w:cs="Times New Roman"/>
      <w:b/>
      <w:caps/>
      <w:kern w:val="2"/>
      <w:sz w:val="21"/>
      <w:lang w:eastAsia="zh-CN"/>
    </w:rPr>
  </w:style>
  <w:style w:type="character" w:styleId="UnresolvedMention">
    <w:name w:val="Unresolved Mention"/>
    <w:basedOn w:val="DefaultParagraphFont"/>
    <w:uiPriority w:val="99"/>
    <w:semiHidden/>
    <w:unhideWhenUsed/>
    <w:rsid w:val="00717FD8"/>
    <w:rPr>
      <w:color w:val="605E5C"/>
      <w:shd w:val="clear" w:color="auto" w:fill="E1DFDD"/>
    </w:rPr>
  </w:style>
  <w:style w:type="paragraph" w:styleId="Header">
    <w:name w:val="header"/>
    <w:basedOn w:val="Normal"/>
    <w:link w:val="HeaderChar"/>
    <w:rsid w:val="009C4434"/>
    <w:pPr>
      <w:tabs>
        <w:tab w:val="center" w:pos="4680"/>
        <w:tab w:val="right" w:pos="9360"/>
      </w:tabs>
    </w:pPr>
  </w:style>
  <w:style w:type="character" w:customStyle="1" w:styleId="HeaderChar">
    <w:name w:val="Header Char"/>
    <w:basedOn w:val="DefaultParagraphFont"/>
    <w:link w:val="Header"/>
    <w:rsid w:val="009C4434"/>
    <w:rPr>
      <w:kern w:val="2"/>
      <w:sz w:val="21"/>
      <w:szCs w:val="24"/>
      <w:lang w:eastAsia="zh-CN"/>
    </w:rPr>
  </w:style>
  <w:style w:type="paragraph" w:styleId="Footer">
    <w:name w:val="footer"/>
    <w:basedOn w:val="Normal"/>
    <w:link w:val="FooterChar"/>
    <w:rsid w:val="009C4434"/>
    <w:pPr>
      <w:tabs>
        <w:tab w:val="center" w:pos="4680"/>
        <w:tab w:val="right" w:pos="9360"/>
      </w:tabs>
    </w:pPr>
  </w:style>
  <w:style w:type="character" w:customStyle="1" w:styleId="FooterChar">
    <w:name w:val="Footer Char"/>
    <w:basedOn w:val="DefaultParagraphFont"/>
    <w:link w:val="Footer"/>
    <w:rsid w:val="009C4434"/>
    <w:rPr>
      <w:kern w:val="2"/>
      <w:sz w:val="21"/>
      <w:szCs w:val="24"/>
      <w:lang w:eastAsia="zh-CN"/>
    </w:rPr>
  </w:style>
  <w:style w:type="character" w:styleId="CommentReference">
    <w:name w:val="annotation reference"/>
    <w:basedOn w:val="DefaultParagraphFont"/>
    <w:rsid w:val="002E4FF9"/>
    <w:rPr>
      <w:sz w:val="16"/>
      <w:szCs w:val="16"/>
    </w:rPr>
  </w:style>
  <w:style w:type="paragraph" w:styleId="CommentText">
    <w:name w:val="annotation text"/>
    <w:basedOn w:val="Normal"/>
    <w:link w:val="CommentTextChar"/>
    <w:rsid w:val="002E4FF9"/>
    <w:rPr>
      <w:sz w:val="20"/>
      <w:szCs w:val="20"/>
    </w:rPr>
  </w:style>
  <w:style w:type="character" w:customStyle="1" w:styleId="CommentTextChar">
    <w:name w:val="Comment Text Char"/>
    <w:basedOn w:val="DefaultParagraphFont"/>
    <w:link w:val="CommentText"/>
    <w:rsid w:val="002E4FF9"/>
    <w:rPr>
      <w:kern w:val="2"/>
      <w:lang w:eastAsia="zh-CN"/>
    </w:rPr>
  </w:style>
  <w:style w:type="paragraph" w:styleId="CommentSubject">
    <w:name w:val="annotation subject"/>
    <w:basedOn w:val="CommentText"/>
    <w:next w:val="CommentText"/>
    <w:link w:val="CommentSubjectChar"/>
    <w:rsid w:val="002E4FF9"/>
    <w:rPr>
      <w:b/>
      <w:bCs/>
    </w:rPr>
  </w:style>
  <w:style w:type="character" w:customStyle="1" w:styleId="CommentSubjectChar">
    <w:name w:val="Comment Subject Char"/>
    <w:basedOn w:val="CommentTextChar"/>
    <w:link w:val="CommentSubject"/>
    <w:rsid w:val="002E4FF9"/>
    <w:rPr>
      <w:b/>
      <w:bCs/>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Kapil Rampal</cp:lastModifiedBy>
  <cp:revision>20</cp:revision>
  <dcterms:created xsi:type="dcterms:W3CDTF">2026-01-16T21:15:00Z</dcterms:created>
  <dcterms:modified xsi:type="dcterms:W3CDTF">2026-01-17T12:04:00Z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9487D228A968467A8A7FBE45965DADE0_11</vt:lpwstr>
  </property>
</Properties>
</file>