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E771" w14:textId="77777777" w:rsidR="00BA6C97" w:rsidRPr="00DB5227" w:rsidRDefault="00BA6C97"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8B36EA">
        <w:rPr>
          <w:rFonts w:ascii="Times New Roman" w:eastAsia="Times New Roman" w:hAnsi="Times New Roman" w:cs="Times New Roman"/>
          <w:b/>
          <w:bCs/>
          <w:highlight w:val="red"/>
          <w:lang w:val="en"/>
        </w:rPr>
        <w:t>A STUDY ON</w:t>
      </w:r>
      <w:r w:rsidRPr="00DB5227">
        <w:rPr>
          <w:rFonts w:ascii="Times New Roman" w:eastAsia="Times New Roman" w:hAnsi="Times New Roman" w:cs="Times New Roman"/>
          <w:b/>
          <w:bCs/>
          <w:lang w:val="en"/>
        </w:rPr>
        <w:t xml:space="preserve"> DETERMINING THE COST OF PRODUCTION, BREAK-EVEN POINT, AND SENSITIVITY ANALYSIS OF OYSTER MUSHROOM CHIPS PRODUCTION</w:t>
      </w:r>
    </w:p>
    <w:p w14:paraId="3E2DB6F6" w14:textId="77777777" w:rsidR="00BA6C97" w:rsidRPr="00DB5227" w:rsidRDefault="00BA6C97"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079BDD00" w14:textId="77777777" w:rsidR="00D37E5B" w:rsidRDefault="00D37E5B"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lang w:val="en"/>
        </w:rPr>
      </w:pPr>
    </w:p>
    <w:p w14:paraId="33712BD6" w14:textId="7C5C9A64" w:rsidR="00673F41" w:rsidRPr="00F27A0A" w:rsidRDefault="00673F41"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lang w:val="en"/>
        </w:rPr>
      </w:pPr>
      <w:r>
        <w:rPr>
          <w:rFonts w:ascii="Times New Roman" w:eastAsiaTheme="majorEastAsia" w:hAnsi="Times New Roman" w:cs="Times New Roman"/>
          <w:lang w:val="en"/>
        </w:rPr>
        <w:t xml:space="preserve"> </w:t>
      </w:r>
    </w:p>
    <w:p w14:paraId="68F019B8" w14:textId="77777777" w:rsidR="00DB5227" w:rsidRPr="00DB5227" w:rsidRDefault="00DB5227"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b/>
          <w:bCs/>
          <w:lang w:val="en"/>
        </w:rPr>
      </w:pPr>
    </w:p>
    <w:p w14:paraId="195940F9" w14:textId="393CB4C7" w:rsidR="00BA6C97" w:rsidRPr="00DB5227" w:rsidRDefault="00BA6C97"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eastAsiaTheme="majorEastAsia" w:hAnsi="Times New Roman" w:cs="Times New Roman"/>
          <w:b/>
          <w:bCs/>
          <w:lang w:val="en"/>
        </w:rPr>
      </w:pPr>
      <w:r w:rsidRPr="00DB5227">
        <w:rPr>
          <w:rStyle w:val="y2iqfc"/>
          <w:rFonts w:ascii="Times New Roman" w:eastAsiaTheme="majorEastAsia" w:hAnsi="Times New Roman" w:cs="Times New Roman"/>
          <w:b/>
          <w:bCs/>
          <w:lang w:val="en"/>
        </w:rPr>
        <w:t>ABSTRACT</w:t>
      </w:r>
    </w:p>
    <w:p w14:paraId="101E486F" w14:textId="04978198" w:rsidR="00BA6C97" w:rsidRPr="008B36EA" w:rsidRDefault="00DB5227" w:rsidP="00BA6C97">
      <w:pPr>
        <w:pStyle w:val="HTMLPreformatted"/>
        <w:jc w:val="both"/>
        <w:rPr>
          <w:rStyle w:val="y2iqfc"/>
          <w:rFonts w:ascii="Times New Roman" w:eastAsiaTheme="majorEastAsia" w:hAnsi="Times New Roman" w:cs="Times New Roman"/>
          <w:color w:val="FF0000"/>
          <w:sz w:val="22"/>
          <w:szCs w:val="22"/>
          <w:lang w:val="en"/>
        </w:rPr>
      </w:pPr>
      <w:r w:rsidRPr="00DB5227">
        <w:rPr>
          <w:rStyle w:val="y2iqfc"/>
          <w:rFonts w:ascii="Times New Roman" w:eastAsiaTheme="majorEastAsia" w:hAnsi="Times New Roman" w:cs="Times New Roman"/>
          <w:sz w:val="22"/>
          <w:szCs w:val="22"/>
          <w:lang w:val="en"/>
        </w:rPr>
        <w:t xml:space="preserve">Oyster </w:t>
      </w:r>
      <w:r>
        <w:rPr>
          <w:rStyle w:val="y2iqfc"/>
          <w:rFonts w:ascii="Times New Roman" w:eastAsiaTheme="majorEastAsia" w:hAnsi="Times New Roman" w:cs="Times New Roman"/>
          <w:sz w:val="22"/>
          <w:szCs w:val="22"/>
          <w:lang w:val="en"/>
        </w:rPr>
        <w:t xml:space="preserve">Mushroom </w:t>
      </w:r>
      <w:r w:rsidRPr="00DB5227">
        <w:rPr>
          <w:rStyle w:val="y2iqfc"/>
          <w:rFonts w:ascii="Times New Roman" w:eastAsiaTheme="majorEastAsia" w:hAnsi="Times New Roman" w:cs="Times New Roman"/>
          <w:sz w:val="22"/>
          <w:szCs w:val="22"/>
          <w:lang w:val="en"/>
        </w:rPr>
        <w:t xml:space="preserve">Etam </w:t>
      </w:r>
      <w:r w:rsidR="00BA6C97" w:rsidRPr="00DB5227">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JATAM)</w:t>
      </w:r>
      <w:r w:rsidRPr="00DB5227">
        <w:rPr>
          <w:rStyle w:val="y2iqfc"/>
          <w:rFonts w:ascii="Times New Roman" w:eastAsiaTheme="majorEastAsia" w:hAnsi="Times New Roman" w:cs="Times New Roman"/>
          <w:sz w:val="22"/>
          <w:szCs w:val="22"/>
          <w:lang w:val="en"/>
        </w:rPr>
        <w:t xml:space="preserve"> </w:t>
      </w:r>
      <w:r w:rsidR="00BA6C97" w:rsidRPr="00DB5227">
        <w:rPr>
          <w:rStyle w:val="y2iqfc"/>
          <w:rFonts w:ascii="Times New Roman" w:eastAsiaTheme="majorEastAsia" w:hAnsi="Times New Roman" w:cs="Times New Roman"/>
          <w:sz w:val="22"/>
          <w:szCs w:val="22"/>
          <w:lang w:val="en"/>
        </w:rPr>
        <w:t xml:space="preserve">is the only MSME producing packaged oyster mushroom chips in </w:t>
      </w:r>
      <w:proofErr w:type="spellStart"/>
      <w:r w:rsidR="00BA6C97" w:rsidRPr="00DB5227">
        <w:rPr>
          <w:rStyle w:val="y2iqfc"/>
          <w:rFonts w:ascii="Times New Roman" w:eastAsiaTheme="majorEastAsia" w:hAnsi="Times New Roman" w:cs="Times New Roman"/>
          <w:sz w:val="22"/>
          <w:szCs w:val="22"/>
          <w:lang w:val="en"/>
        </w:rPr>
        <w:t>Samarinda</w:t>
      </w:r>
      <w:proofErr w:type="spellEnd"/>
      <w:r w:rsidR="00BA6C97" w:rsidRPr="00DB5227">
        <w:rPr>
          <w:rStyle w:val="y2iqfc"/>
          <w:rFonts w:ascii="Times New Roman" w:eastAsiaTheme="majorEastAsia" w:hAnsi="Times New Roman" w:cs="Times New Roman"/>
          <w:sz w:val="22"/>
          <w:szCs w:val="22"/>
          <w:lang w:val="en"/>
        </w:rPr>
        <w:t xml:space="preserve"> City. This study aims to determine the calculation and comparison of production costs currently applied by JATAM MSME, using the full costing and variable costing methods, determine the break-even point, and measure the business's sensitivity to changes in the break-even point. The research method used was a case study. Data were analyzed using production cost calculation methods, namely full costing and variable costing, as well as break-even point (BEP) analysis and sensitivity analysis. The results show that JATAM MSME's method resulted in a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12,182.20 per package. The full costing method resulted in the highest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13,077.86 per package because it takes into account all variable and fixed costs, while the variable costing method resulted in a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12,832.20 per package. The break-even point (BEP) for sales revenue was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400,812.00, with a production volume of 2,004.06 grams (23 packages of JATAM chips). The sensitivity of JATAM chips production is seen in the 7% increase in production costs, which resulted in an increase in the BEP for sales revenue to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546,694.00, and an increase in the BEP for production volume to 2,733.47 grams (32 packages of JATAM chips).</w:t>
      </w:r>
      <w:r w:rsidR="008B36EA">
        <w:rPr>
          <w:rStyle w:val="y2iqfc"/>
          <w:rFonts w:ascii="Times New Roman" w:eastAsiaTheme="majorEastAsia" w:hAnsi="Times New Roman" w:cs="Times New Roman"/>
          <w:sz w:val="22"/>
          <w:szCs w:val="22"/>
          <w:lang w:val="en"/>
        </w:rPr>
        <w:t xml:space="preserve"> </w:t>
      </w:r>
      <w:r w:rsidR="008B36EA" w:rsidRPr="008B36EA">
        <w:rPr>
          <w:rStyle w:val="y2iqfc"/>
          <w:rFonts w:ascii="Times New Roman" w:eastAsiaTheme="majorEastAsia" w:hAnsi="Times New Roman" w:cs="Times New Roman"/>
          <w:i/>
          <w:iCs/>
          <w:color w:val="FF0000"/>
          <w:sz w:val="22"/>
          <w:szCs w:val="22"/>
          <w:lang w:val="en"/>
        </w:rPr>
        <w:t>(The abstract should include conclusion and recommendation</w:t>
      </w:r>
      <w:r w:rsidR="008B36EA">
        <w:rPr>
          <w:rStyle w:val="y2iqfc"/>
          <w:rFonts w:ascii="Times New Roman" w:eastAsiaTheme="majorEastAsia" w:hAnsi="Times New Roman" w:cs="Times New Roman"/>
          <w:i/>
          <w:iCs/>
          <w:color w:val="FF0000"/>
          <w:sz w:val="22"/>
          <w:szCs w:val="22"/>
          <w:lang w:val="en"/>
        </w:rPr>
        <w:t>)</w:t>
      </w:r>
    </w:p>
    <w:p w14:paraId="6AA32430" w14:textId="77777777" w:rsidR="00DB5227" w:rsidRDefault="00DB5227" w:rsidP="00BA6C97">
      <w:pPr>
        <w:pStyle w:val="HTMLPreformatted"/>
        <w:jc w:val="both"/>
        <w:rPr>
          <w:rStyle w:val="y2iqfc"/>
          <w:rFonts w:ascii="Times New Roman" w:eastAsiaTheme="majorEastAsia" w:hAnsi="Times New Roman" w:cs="Times New Roman"/>
          <w:sz w:val="22"/>
          <w:szCs w:val="22"/>
          <w:lang w:val="en"/>
        </w:rPr>
      </w:pPr>
    </w:p>
    <w:p w14:paraId="74CD71BC" w14:textId="5B3DBDB1" w:rsidR="00BA6C97" w:rsidRPr="00DB5227" w:rsidRDefault="00BA6C97" w:rsidP="00BA6C97">
      <w:pPr>
        <w:pStyle w:val="HTMLPreformatted"/>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Keywords: MSMEs, Full Costing, Variable Costing, Break Event Point, Sensitivity</w:t>
      </w:r>
    </w:p>
    <w:p w14:paraId="49A3C59A" w14:textId="77777777" w:rsidR="00BA6C97" w:rsidRPr="00DB5227" w:rsidRDefault="00BA6C97">
      <w:pPr>
        <w:rPr>
          <w:rFonts w:ascii="Times New Roman" w:hAnsi="Times New Roman" w:cs="Times New Roman"/>
          <w:b/>
          <w:bCs/>
        </w:rPr>
      </w:pPr>
    </w:p>
    <w:p w14:paraId="14549EB1" w14:textId="741671F2" w:rsidR="00BA6C97" w:rsidRPr="00DB5227" w:rsidRDefault="00811CD1" w:rsidP="00BA6C97">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 xml:space="preserve">1.0 </w:t>
      </w:r>
      <w:r w:rsidR="00BA6C97" w:rsidRPr="00DB5227">
        <w:rPr>
          <w:rStyle w:val="y2iqfc"/>
          <w:rFonts w:ascii="Times New Roman" w:eastAsiaTheme="majorEastAsia" w:hAnsi="Times New Roman" w:cs="Times New Roman"/>
          <w:b/>
          <w:bCs/>
          <w:sz w:val="22"/>
          <w:szCs w:val="22"/>
          <w:lang w:val="en"/>
        </w:rPr>
        <w:t>INTRODUCTION</w:t>
      </w:r>
    </w:p>
    <w:p w14:paraId="0D58A0D4" w14:textId="77777777" w:rsidR="00BA6C9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transformation of the agricultural sector into an industrial sector is inevitable for developing countries like Indonesia. Development in the industrial sector, supported by agriculture, will also advance. Therefore, an economic balance is needed between a strong industrial sector and strong agricultural support. Agroindustry, which is the agricultural processing industry, utilizes agricultural products to produce economically valuable products and is also a key stage in sustainable agricultural development [1].</w:t>
      </w:r>
    </w:p>
    <w:p w14:paraId="3561BD6C" w14:textId="3E5C7ECD" w:rsidR="006E324D" w:rsidRPr="006E324D" w:rsidRDefault="006E324D" w:rsidP="006E324D">
      <w:pPr>
        <w:pStyle w:val="HTMLPreformatted"/>
        <w:jc w:val="both"/>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1.1 Micro, Small and Medium Enterprises.</w:t>
      </w:r>
    </w:p>
    <w:p w14:paraId="659F0B5C" w14:textId="605D6C3E"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Agroindustry, particularly in the Micro, Small, and Medium Enterprises (MSMEs) sector, plays a crucial role in the Indonesian economy. Research conducted by the Institute for Development of Economics and Finance (INDEF) shows that the agricultural sector dominates the MSME sector in Indonesia. This sector contributes 50% of the total number of MSMEs in Indonesia [2]. Law No. 20 of 2008 defines MSMEs as productive businesses owned by individuals or business entities that have met the criteria as micro-enterprises [3]. In its role as a pillar of the Indonesian economy, MSMEs have a very large number and show a positive trend</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with their numbers continuing to increase every year [4]. According to data collected by the Ministry of Cooperatives and SMEs, it is revealed that the number of MSMEs is 65.46 million, helping the national economy</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including contributing to the Gross Domestic Product (GDP) at current prices with a percentage of 60.51% and absorbing a workforce of 123.3 thousand workers.</w:t>
      </w:r>
    </w:p>
    <w:p w14:paraId="480CC6D5" w14:textId="77777777" w:rsidR="00BA6C97" w:rsidRDefault="00BA6C9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East Kalimantan, a region in Indonesia, has significant potential for the development of agro-industry-based MSMEs. This is reflected in the agricultural sector's contribution to East Kalimantan's economy in 2023, which amounted to 8.02%, equivalent to IDR 67.69 trillion. Horticulture is a sub-sector contributing to East Kalimantan's Gross Regional Domestic Product (GRDP), contributing IDR 2.74 trillion to the region's GRDP [5].</w:t>
      </w:r>
    </w:p>
    <w:p w14:paraId="3496B737" w14:textId="1DD2E571" w:rsidR="006E324D" w:rsidRPr="006E324D" w:rsidRDefault="006E324D" w:rsidP="006E324D">
      <w:pPr>
        <w:pStyle w:val="HTMLPreformatted"/>
        <w:jc w:val="both"/>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1.2 Oyster mushroom production cost.</w:t>
      </w:r>
    </w:p>
    <w:p w14:paraId="2D34A548"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Oyster mushrooms (</w:t>
      </w:r>
      <w:r w:rsidRPr="00DB5227">
        <w:rPr>
          <w:rStyle w:val="y2iqfc"/>
          <w:rFonts w:ascii="Times New Roman" w:eastAsiaTheme="majorEastAsia" w:hAnsi="Times New Roman" w:cs="Times New Roman"/>
          <w:i/>
          <w:iCs/>
          <w:sz w:val="22"/>
          <w:szCs w:val="22"/>
          <w:lang w:val="en"/>
        </w:rPr>
        <w:t>Pleurotus ostreatus</w:t>
      </w:r>
      <w:r w:rsidRPr="00DB5227">
        <w:rPr>
          <w:rStyle w:val="y2iqfc"/>
          <w:rFonts w:ascii="Times New Roman" w:eastAsiaTheme="majorEastAsia" w:hAnsi="Times New Roman" w:cs="Times New Roman"/>
          <w:sz w:val="22"/>
          <w:szCs w:val="22"/>
          <w:lang w:val="en"/>
        </w:rPr>
        <w:t>), a horticultural product, are widely used to meet agro-industry needs. The oyster mushroom agroindustry processes oyster mushrooms, which are perishable, into value-added products with a longer shelf life. Oyster mushrooms, positioned as an industrial raw material, can be guaranteed to be available as production increases [6]. Oyster mushroom production in East Kalimantan reached 54,810 kg in 2021, then increased to 167,050 kg in 2022 [7].</w:t>
      </w:r>
    </w:p>
    <w:p w14:paraId="6E1B5692"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Despite their potential and strategic contribution, MSMEs face various challenges, particularly in the agro-industry. The biggest challenge for MSMEs in the agro-industry is intense competition among competitors. They compete not only on quality but also on the selling price of their products. The selling price is determined by adding the cost of production per unit to the desired profit margin. Therefore, before setting a selling price, MSMEs must accurately calculate the cost of production to maintain product competitiveness in the market.</w:t>
      </w:r>
    </w:p>
    <w:p w14:paraId="29D514AE" w14:textId="77777777" w:rsidR="00BA6C97" w:rsidRPr="00DB5227" w:rsidRDefault="00BA6C97" w:rsidP="00BA6C9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correct cost of production can be determined through calculations based on cost accounting. To calculate the cost of production based on cost accounting, both full costing and variable costing methods can be used. The full costing method combines all elements of production costs, including raw material costs, direct labor costs, and variable and fixed overhead costs. Meanwhile, the variable costing method considers only variable costs, consisting of raw material costs, direct labor costs, and variable overhead costs [8].</w:t>
      </w:r>
    </w:p>
    <w:p w14:paraId="584EFD66" w14:textId="5240B736" w:rsidR="006E324D" w:rsidRPr="00177B4F" w:rsidRDefault="00177B4F" w:rsidP="00177B4F">
      <w:pPr>
        <w:pStyle w:val="HTMLPreformatted"/>
        <w:jc w:val="both"/>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1.3 Determining break-even point.</w:t>
      </w:r>
    </w:p>
    <w:p w14:paraId="41ECFE40" w14:textId="3EB8F2FF"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Research results </w:t>
      </w:r>
      <w:r w:rsidRPr="006E324D">
        <w:rPr>
          <w:rStyle w:val="y2iqfc"/>
          <w:rFonts w:ascii="Times New Roman" w:eastAsiaTheme="majorEastAsia" w:hAnsi="Times New Roman" w:cs="Times New Roman"/>
          <w:sz w:val="22"/>
          <w:szCs w:val="22"/>
          <w:highlight w:val="red"/>
          <w:lang w:val="en"/>
        </w:rPr>
        <w:t>[9]</w:t>
      </w:r>
      <w:r w:rsidRPr="00DB5227">
        <w:rPr>
          <w:rStyle w:val="y2iqfc"/>
          <w:rFonts w:ascii="Times New Roman" w:eastAsiaTheme="majorEastAsia" w:hAnsi="Times New Roman" w:cs="Times New Roman"/>
          <w:sz w:val="22"/>
          <w:szCs w:val="22"/>
          <w:lang w:val="en"/>
        </w:rPr>
        <w:t xml:space="preserve"> reported that MSMEs also need to know the break-even point (BEP) so they have a benchmark or reference in the production process. BEP describes a condition where total costs and revenues are in balance, so that MSMEs do not experience losses or profits</w:t>
      </w:r>
      <w:r w:rsidR="006E324D">
        <w:rPr>
          <w:rStyle w:val="y2iqfc"/>
          <w:rFonts w:ascii="Times New Roman" w:eastAsiaTheme="majorEastAsia" w:hAnsi="Times New Roman" w:cs="Times New Roman"/>
          <w:sz w:val="22"/>
          <w:szCs w:val="22"/>
          <w:lang w:val="en"/>
        </w:rPr>
        <w:t xml:space="preserve"> </w:t>
      </w:r>
      <w:r w:rsidR="006E324D" w:rsidRPr="006E324D">
        <w:rPr>
          <w:rStyle w:val="y2iqfc"/>
          <w:rFonts w:ascii="Times New Roman" w:eastAsiaTheme="majorEastAsia" w:hAnsi="Times New Roman" w:cs="Times New Roman"/>
          <w:color w:val="0070C0"/>
          <w:sz w:val="22"/>
          <w:szCs w:val="22"/>
          <w:lang w:val="en"/>
        </w:rPr>
        <w:t>[9]</w:t>
      </w:r>
      <w:r w:rsidRPr="00DB5227">
        <w:rPr>
          <w:rStyle w:val="y2iqfc"/>
          <w:rFonts w:ascii="Times New Roman" w:eastAsiaTheme="majorEastAsia" w:hAnsi="Times New Roman" w:cs="Times New Roman"/>
          <w:sz w:val="22"/>
          <w:szCs w:val="22"/>
          <w:lang w:val="en"/>
        </w:rPr>
        <w:t>. This calculation helps MSMEs determine the minimum number of products that must be sold to cover production costs and avoid losses. In carrying out their business activities, every MSME is constantly faced with uncertainty that can affect performance and profitability. To address this, sensitivity analysis is used as a tool to identify the impact of changes in production parameters on changes in the performance of the production system in generating profits, so that MSMEs have a more comprehensive picture in planning and managing their businesses [10].</w:t>
      </w:r>
    </w:p>
    <w:p w14:paraId="7192D5D7" w14:textId="7B0E7484" w:rsidR="00BA6C97" w:rsidRDefault="00BA6C9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Oyster </w:t>
      </w:r>
      <w:r w:rsidR="00DB5227">
        <w:rPr>
          <w:rStyle w:val="y2iqfc"/>
          <w:rFonts w:ascii="Times New Roman" w:eastAsiaTheme="majorEastAsia" w:hAnsi="Times New Roman" w:cs="Times New Roman"/>
          <w:sz w:val="22"/>
          <w:szCs w:val="22"/>
          <w:lang w:val="en"/>
        </w:rPr>
        <w:t xml:space="preserve">Mushroom </w:t>
      </w:r>
      <w:r w:rsidRPr="00DB5227">
        <w:rPr>
          <w:rStyle w:val="y2iqfc"/>
          <w:rFonts w:ascii="Times New Roman" w:eastAsiaTheme="majorEastAsia" w:hAnsi="Times New Roman" w:cs="Times New Roman"/>
          <w:sz w:val="22"/>
          <w:szCs w:val="22"/>
          <w:lang w:val="en"/>
        </w:rPr>
        <w:t xml:space="preserve">Etam (JATAM) is the only MSME producing packaged oyster mushroom chips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located in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Sungai Pinang District,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This business was established in 2022 and now holds a halal certificate and a Home Industry Food Production Certificate (SPP-IRT). This business, which processes oyster mushrooms into oyster mushroom chips, develops its business through continuous innovation by always taking advantage of opportunities. However, JATAM MSME still faces several challenges. To date, in determining the cost of production, the MSME has not used a cost accounting-based approach, but only calculates based on the business owner's personal assumptions</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and does not detail the overall costs incurred during the production process. Furthermore, the MSME has not calculated the break-even point for sales revenue and production volume, or conducted a sensitivity analysis for future possibilities.</w:t>
      </w:r>
    </w:p>
    <w:p w14:paraId="6ED3DF48" w14:textId="6A7FF779" w:rsidR="008B36EA" w:rsidRPr="008B36EA" w:rsidRDefault="008B36EA" w:rsidP="008B36EA">
      <w:pPr>
        <w:pStyle w:val="HTMLPreformatted"/>
        <w:jc w:val="both"/>
        <w:rPr>
          <w:rFonts w:ascii="Times New Roman" w:hAnsi="Times New Roman" w:cs="Times New Roman"/>
          <w:b/>
          <w:bCs/>
          <w:color w:val="0070C0"/>
          <w:sz w:val="22"/>
          <w:szCs w:val="22"/>
        </w:rPr>
      </w:pPr>
      <w:r w:rsidRPr="008B36EA">
        <w:rPr>
          <w:rStyle w:val="y2iqfc"/>
          <w:rFonts w:ascii="Times New Roman" w:eastAsiaTheme="majorEastAsia" w:hAnsi="Times New Roman" w:cs="Times New Roman"/>
          <w:b/>
          <w:bCs/>
          <w:color w:val="0070C0"/>
          <w:sz w:val="22"/>
          <w:szCs w:val="22"/>
          <w:lang w:val="en"/>
        </w:rPr>
        <w:t>Research Objectives.</w:t>
      </w:r>
    </w:p>
    <w:p w14:paraId="449144DE" w14:textId="7450CA6D" w:rsidR="00BA6C97" w:rsidRPr="00DB5227" w:rsidRDefault="00BA6C97" w:rsidP="00BA6C9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In connection with the description above, a study was conducted on the determination and comparison of production costs based on the methods applied by MSMEs, with the full costing method, and variable costing, as well as break</w:t>
      </w:r>
      <w:r w:rsidR="008B36EA">
        <w:rPr>
          <w:rStyle w:val="y2iqfc"/>
          <w:rFonts w:ascii="Times New Roman" w:eastAsiaTheme="majorEastAsia" w:hAnsi="Times New Roman" w:cs="Times New Roman"/>
          <w:color w:val="0070C0"/>
          <w:sz w:val="22"/>
          <w:szCs w:val="22"/>
          <w:lang w:val="en"/>
        </w:rPr>
        <w:t>-</w:t>
      </w:r>
      <w:r w:rsidRPr="00DB5227">
        <w:rPr>
          <w:rStyle w:val="y2iqfc"/>
          <w:rFonts w:ascii="Times New Roman" w:eastAsiaTheme="majorEastAsia" w:hAnsi="Times New Roman" w:cs="Times New Roman"/>
          <w:sz w:val="22"/>
          <w:szCs w:val="22"/>
          <w:lang w:val="en"/>
        </w:rPr>
        <w:t xml:space="preserve">even point analysis, and sensitivity analysis of oyster mushroom chips production, with a case study on the JATAM MSME located in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w:t>
      </w:r>
    </w:p>
    <w:p w14:paraId="669B63A6" w14:textId="77777777" w:rsidR="00BA6C97" w:rsidRPr="00DB5227" w:rsidRDefault="00BA6C97" w:rsidP="00DB5227">
      <w:pPr>
        <w:pStyle w:val="HTMLPreformatted"/>
        <w:rPr>
          <w:rFonts w:ascii="Times New Roman" w:hAnsi="Times New Roman" w:cs="Times New Roman"/>
          <w:sz w:val="22"/>
          <w:szCs w:val="22"/>
        </w:rPr>
      </w:pPr>
    </w:p>
    <w:p w14:paraId="27916FC6" w14:textId="137916EC" w:rsidR="00DF5477" w:rsidRPr="00DB5227" w:rsidRDefault="00177B4F" w:rsidP="00DF5477">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 xml:space="preserve">2.0 </w:t>
      </w:r>
      <w:r w:rsidR="00DF5477" w:rsidRPr="00DB5227">
        <w:rPr>
          <w:rStyle w:val="y2iqfc"/>
          <w:rFonts w:ascii="Times New Roman" w:eastAsiaTheme="majorEastAsia" w:hAnsi="Times New Roman" w:cs="Times New Roman"/>
          <w:b/>
          <w:bCs/>
          <w:sz w:val="22"/>
          <w:szCs w:val="22"/>
          <w:lang w:val="en"/>
        </w:rPr>
        <w:t>RESEARCH METHODS</w:t>
      </w:r>
    </w:p>
    <w:p w14:paraId="367886C4" w14:textId="62BE159F" w:rsidR="00177B4F" w:rsidRPr="00177B4F" w:rsidRDefault="00177B4F" w:rsidP="00177B4F">
      <w:pPr>
        <w:pStyle w:val="HTMLPreformatted"/>
        <w:jc w:val="both"/>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2.1 Study location.</w:t>
      </w:r>
    </w:p>
    <w:p w14:paraId="1179C717" w14:textId="27710925" w:rsidR="00DF5477" w:rsidRPr="00DB5227" w:rsidRDefault="00DF547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research was conducted from October 2024 to January 2025 at the JATAM MSME, located on Jalan Poros </w:t>
      </w:r>
      <w:proofErr w:type="spellStart"/>
      <w:r w:rsidRPr="00DB5227">
        <w:rPr>
          <w:rStyle w:val="y2iqfc"/>
          <w:rFonts w:ascii="Times New Roman" w:eastAsiaTheme="majorEastAsia" w:hAnsi="Times New Roman" w:cs="Times New Roman"/>
          <w:sz w:val="22"/>
          <w:szCs w:val="22"/>
          <w:lang w:val="en"/>
        </w:rPr>
        <w:t>Kebun</w:t>
      </w:r>
      <w:proofErr w:type="spellEnd"/>
      <w:r w:rsidRPr="00DB5227">
        <w:rPr>
          <w:rStyle w:val="y2iqfc"/>
          <w:rFonts w:ascii="Times New Roman" w:eastAsiaTheme="majorEastAsia" w:hAnsi="Times New Roman" w:cs="Times New Roman"/>
          <w:sz w:val="22"/>
          <w:szCs w:val="22"/>
          <w:lang w:val="en"/>
        </w:rPr>
        <w:t xml:space="preserve"> Agung, </w:t>
      </w:r>
      <w:proofErr w:type="spellStart"/>
      <w:r w:rsidRPr="00DB5227">
        <w:rPr>
          <w:rStyle w:val="y2iqfc"/>
          <w:rFonts w:ascii="Times New Roman" w:eastAsiaTheme="majorEastAsia" w:hAnsi="Times New Roman" w:cs="Times New Roman"/>
          <w:sz w:val="22"/>
          <w:szCs w:val="22"/>
          <w:lang w:val="en"/>
        </w:rPr>
        <w:t>Lempake</w:t>
      </w:r>
      <w:proofErr w:type="spellEnd"/>
      <w:r w:rsidRPr="00DB5227">
        <w:rPr>
          <w:rStyle w:val="y2iqfc"/>
          <w:rFonts w:ascii="Times New Roman" w:eastAsiaTheme="majorEastAsia" w:hAnsi="Times New Roman" w:cs="Times New Roman"/>
          <w:sz w:val="22"/>
          <w:szCs w:val="22"/>
          <w:lang w:val="en"/>
        </w:rPr>
        <w:t xml:space="preserve"> Village, North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District,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The location was selected based on the consideration that this MSME is the only agro-industry-based business processing oyster mushrooms into oyster mushroom chips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w:t>
      </w:r>
    </w:p>
    <w:p w14:paraId="518E1D0E" w14:textId="350B3BA3" w:rsidR="000255D0" w:rsidRPr="00096949" w:rsidRDefault="000255D0" w:rsidP="000255D0">
      <w:pPr>
        <w:pStyle w:val="HTMLPreformatted"/>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lastRenderedPageBreak/>
        <w:t>2.2 Study population.</w:t>
      </w:r>
    </w:p>
    <w:p w14:paraId="53FD87C3" w14:textId="77777777" w:rsidR="000255D0" w:rsidRPr="00096949" w:rsidRDefault="000255D0" w:rsidP="000255D0">
      <w:pPr>
        <w:pStyle w:val="HTMLPreformatted"/>
        <w:ind w:firstLine="567"/>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The respondent in this study was Risa Agustina, a 26-year-old owner of the JATAM MSME. Based on the definition of the Central Statistics Agency (BPS), the productive age group includes individuals aged 15 to 64. Therefore, the owner is within her productive age, generally possessing the energy, adaptability, and capacity to drive business growth [14]. Her most recent formal education was high school (SMA). She also actively participates in training organized by the Department of Industry, Trade, and Cooperatives (</w:t>
      </w:r>
      <w:proofErr w:type="spellStart"/>
      <w:r w:rsidRPr="00096949">
        <w:rPr>
          <w:rStyle w:val="y2iqfc"/>
          <w:rFonts w:ascii="Times New Roman" w:eastAsiaTheme="majorEastAsia" w:hAnsi="Times New Roman" w:cs="Times New Roman"/>
          <w:color w:val="0070C0"/>
          <w:sz w:val="22"/>
          <w:szCs w:val="22"/>
          <w:lang w:val="en"/>
        </w:rPr>
        <w:t>Disperindagkop</w:t>
      </w:r>
      <w:proofErr w:type="spellEnd"/>
      <w:r w:rsidRPr="00096949">
        <w:rPr>
          <w:rStyle w:val="y2iqfc"/>
          <w:rFonts w:ascii="Times New Roman" w:eastAsiaTheme="majorEastAsia" w:hAnsi="Times New Roman" w:cs="Times New Roman"/>
          <w:color w:val="0070C0"/>
          <w:sz w:val="22"/>
          <w:szCs w:val="22"/>
          <w:lang w:val="en"/>
        </w:rPr>
        <w:t>), which focuses on MSME development, thus contributing to improving the respondents' business management skills.</w:t>
      </w:r>
    </w:p>
    <w:p w14:paraId="404E3056" w14:textId="77777777" w:rsidR="000255D0" w:rsidRPr="00096949" w:rsidRDefault="000255D0" w:rsidP="000255D0">
      <w:pPr>
        <w:pStyle w:val="HTMLPreformatted"/>
        <w:ind w:firstLine="567"/>
        <w:jc w:val="both"/>
        <w:rPr>
          <w:rStyle w:val="y2iqfc"/>
          <w:rFonts w:ascii="Times New Roman" w:eastAsiaTheme="majorEastAsia" w:hAnsi="Times New Roman" w:cs="Times New Roman"/>
          <w:color w:val="0070C0"/>
          <w:sz w:val="22"/>
          <w:szCs w:val="22"/>
          <w:lang w:val="en"/>
        </w:rPr>
      </w:pPr>
    </w:p>
    <w:p w14:paraId="12A12DAF" w14:textId="0AFBA234" w:rsidR="000255D0" w:rsidRPr="00096949" w:rsidRDefault="000255D0" w:rsidP="000255D0">
      <w:pPr>
        <w:pStyle w:val="HTMLPreformatted"/>
        <w:rPr>
          <w:rStyle w:val="y2iqfc"/>
          <w:rFonts w:ascii="Times New Roman" w:eastAsiaTheme="majorEastAsia" w:hAnsi="Times New Roman" w:cs="Times New Roman"/>
          <w:b/>
          <w:bCs/>
          <w:color w:val="0070C0"/>
          <w:sz w:val="22"/>
          <w:szCs w:val="22"/>
          <w:lang w:val="en"/>
        </w:rPr>
      </w:pPr>
      <w:r w:rsidRPr="00096949">
        <w:rPr>
          <w:rStyle w:val="y2iqfc"/>
          <w:rFonts w:ascii="Times New Roman" w:eastAsiaTheme="majorEastAsia" w:hAnsi="Times New Roman" w:cs="Times New Roman"/>
          <w:b/>
          <w:bCs/>
          <w:color w:val="0070C0"/>
          <w:sz w:val="22"/>
          <w:szCs w:val="22"/>
          <w:lang w:val="en"/>
        </w:rPr>
        <w:t>2.</w:t>
      </w:r>
      <w:r>
        <w:rPr>
          <w:rStyle w:val="y2iqfc"/>
          <w:rFonts w:ascii="Times New Roman" w:eastAsiaTheme="majorEastAsia" w:hAnsi="Times New Roman" w:cs="Times New Roman"/>
          <w:b/>
          <w:bCs/>
          <w:color w:val="0070C0"/>
          <w:sz w:val="22"/>
          <w:szCs w:val="22"/>
          <w:lang w:val="en"/>
        </w:rPr>
        <w:t>3</w:t>
      </w:r>
      <w:r w:rsidRPr="00096949">
        <w:rPr>
          <w:rStyle w:val="y2iqfc"/>
          <w:rFonts w:ascii="Times New Roman" w:eastAsiaTheme="majorEastAsia" w:hAnsi="Times New Roman" w:cs="Times New Roman"/>
          <w:b/>
          <w:bCs/>
          <w:color w:val="0070C0"/>
          <w:sz w:val="22"/>
          <w:szCs w:val="22"/>
          <w:lang w:val="en"/>
        </w:rPr>
        <w:t xml:space="preserve"> Overview of JATAM MSME</w:t>
      </w:r>
    </w:p>
    <w:p w14:paraId="4C624F44" w14:textId="77777777" w:rsidR="000255D0" w:rsidRPr="00096949" w:rsidRDefault="000255D0" w:rsidP="000255D0">
      <w:pPr>
        <w:pStyle w:val="HTMLPreformatted"/>
        <w:ind w:firstLine="567"/>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 xml:space="preserve">JATAM is an MSME located in </w:t>
      </w:r>
      <w:proofErr w:type="spellStart"/>
      <w:r w:rsidRPr="00096949">
        <w:rPr>
          <w:rStyle w:val="y2iqfc"/>
          <w:rFonts w:ascii="Times New Roman" w:eastAsiaTheme="majorEastAsia" w:hAnsi="Times New Roman" w:cs="Times New Roman"/>
          <w:color w:val="0070C0"/>
          <w:sz w:val="22"/>
          <w:szCs w:val="22"/>
          <w:lang w:val="en"/>
        </w:rPr>
        <w:t>Samarinda</w:t>
      </w:r>
      <w:proofErr w:type="spellEnd"/>
      <w:r w:rsidRPr="00096949">
        <w:rPr>
          <w:rStyle w:val="y2iqfc"/>
          <w:rFonts w:ascii="Times New Roman" w:eastAsiaTheme="majorEastAsia" w:hAnsi="Times New Roman" w:cs="Times New Roman"/>
          <w:color w:val="0070C0"/>
          <w:sz w:val="22"/>
          <w:szCs w:val="22"/>
          <w:lang w:val="en"/>
        </w:rPr>
        <w:t xml:space="preserve"> City, specifically on Jalan Poros </w:t>
      </w:r>
      <w:proofErr w:type="spellStart"/>
      <w:r w:rsidRPr="00096949">
        <w:rPr>
          <w:rStyle w:val="y2iqfc"/>
          <w:rFonts w:ascii="Times New Roman" w:eastAsiaTheme="majorEastAsia" w:hAnsi="Times New Roman" w:cs="Times New Roman"/>
          <w:color w:val="0070C0"/>
          <w:sz w:val="22"/>
          <w:szCs w:val="22"/>
          <w:lang w:val="en"/>
        </w:rPr>
        <w:t>Kebun</w:t>
      </w:r>
      <w:proofErr w:type="spellEnd"/>
      <w:r w:rsidRPr="00096949">
        <w:rPr>
          <w:rStyle w:val="y2iqfc"/>
          <w:rFonts w:ascii="Times New Roman" w:eastAsiaTheme="majorEastAsia" w:hAnsi="Times New Roman" w:cs="Times New Roman"/>
          <w:color w:val="0070C0"/>
          <w:sz w:val="22"/>
          <w:szCs w:val="22"/>
          <w:lang w:val="en"/>
        </w:rPr>
        <w:t xml:space="preserve"> Agung RT. 3 No. 51, </w:t>
      </w:r>
      <w:proofErr w:type="spellStart"/>
      <w:r w:rsidRPr="00096949">
        <w:rPr>
          <w:rStyle w:val="y2iqfc"/>
          <w:rFonts w:ascii="Times New Roman" w:eastAsiaTheme="majorEastAsia" w:hAnsi="Times New Roman" w:cs="Times New Roman"/>
          <w:color w:val="0070C0"/>
          <w:sz w:val="22"/>
          <w:szCs w:val="22"/>
          <w:lang w:val="en"/>
        </w:rPr>
        <w:t>Lempake</w:t>
      </w:r>
      <w:proofErr w:type="spellEnd"/>
      <w:r w:rsidRPr="00096949">
        <w:rPr>
          <w:rStyle w:val="y2iqfc"/>
          <w:rFonts w:ascii="Times New Roman" w:eastAsiaTheme="majorEastAsia" w:hAnsi="Times New Roman" w:cs="Times New Roman"/>
          <w:color w:val="0070C0"/>
          <w:sz w:val="22"/>
          <w:szCs w:val="22"/>
          <w:lang w:val="en"/>
        </w:rPr>
        <w:t xml:space="preserve"> Village, North </w:t>
      </w:r>
      <w:proofErr w:type="spellStart"/>
      <w:r w:rsidRPr="00096949">
        <w:rPr>
          <w:rStyle w:val="y2iqfc"/>
          <w:rFonts w:ascii="Times New Roman" w:eastAsiaTheme="majorEastAsia" w:hAnsi="Times New Roman" w:cs="Times New Roman"/>
          <w:color w:val="0070C0"/>
          <w:sz w:val="22"/>
          <w:szCs w:val="22"/>
          <w:lang w:val="en"/>
        </w:rPr>
        <w:t>Samarinda</w:t>
      </w:r>
      <w:proofErr w:type="spellEnd"/>
      <w:r w:rsidRPr="00096949">
        <w:rPr>
          <w:rStyle w:val="y2iqfc"/>
          <w:rFonts w:ascii="Times New Roman" w:eastAsiaTheme="majorEastAsia" w:hAnsi="Times New Roman" w:cs="Times New Roman"/>
          <w:color w:val="0070C0"/>
          <w:sz w:val="22"/>
          <w:szCs w:val="22"/>
          <w:lang w:val="en"/>
        </w:rPr>
        <w:t xml:space="preserve"> District. Its establishment was motivated by the consideration that one of the MSME owner's family members, her in-laws, is an oyster mushroom farmer. Due to the perishable nature of oyster mushrooms, the idea arose to increase the product's shelf life by processing it into oyster mushroom chips. The oyster mushroom chips produced by the JATAM MSME have a shelf life of five to six months.</w:t>
      </w:r>
    </w:p>
    <w:p w14:paraId="7287C27C" w14:textId="77777777" w:rsidR="000255D0" w:rsidRPr="00096949" w:rsidRDefault="000255D0" w:rsidP="000255D0">
      <w:pPr>
        <w:pStyle w:val="HTMLPreformatted"/>
        <w:ind w:firstLine="567"/>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 xml:space="preserve">JATAM MSME has been operating for two years, having been established in November 2022 with an initial capital of IDR 2,000,000.00. The quality of JATAM's chips is meticulously maintained, ensuring both taste and crispiness. During its production process, JATAM MSME has received official recognition in the form of a certificate from the </w:t>
      </w:r>
      <w:proofErr w:type="gramStart"/>
      <w:r w:rsidRPr="00096949">
        <w:rPr>
          <w:rStyle w:val="y2iqfc"/>
          <w:rFonts w:ascii="Times New Roman" w:eastAsiaTheme="majorEastAsia" w:hAnsi="Times New Roman" w:cs="Times New Roman"/>
          <w:color w:val="0070C0"/>
          <w:sz w:val="22"/>
          <w:szCs w:val="22"/>
          <w:lang w:val="en"/>
        </w:rPr>
        <w:t>Health</w:t>
      </w:r>
      <w:proofErr w:type="gramEnd"/>
      <w:r w:rsidRPr="00096949">
        <w:rPr>
          <w:rStyle w:val="y2iqfc"/>
          <w:rFonts w:ascii="Times New Roman" w:eastAsiaTheme="majorEastAsia" w:hAnsi="Times New Roman" w:cs="Times New Roman"/>
          <w:color w:val="0070C0"/>
          <w:sz w:val="22"/>
          <w:szCs w:val="22"/>
          <w:lang w:val="en"/>
        </w:rPr>
        <w:t xml:space="preserve"> Office with number SPP-IRT 5046472010233-27, issued on December 1, 2022. Furthermore, JATAM's chips were also certified halal by the Indonesian Ulema Council (MUI) on January 12, 2023, with certificate number ID 64110001304801222, guaranteeing the chips' halal status.</w:t>
      </w:r>
    </w:p>
    <w:p w14:paraId="5D3D06A2" w14:textId="77777777" w:rsidR="000255D0" w:rsidRPr="00096949" w:rsidRDefault="000255D0" w:rsidP="000255D0">
      <w:pPr>
        <w:pStyle w:val="HTMLPreformatted"/>
        <w:ind w:firstLine="567"/>
        <w:jc w:val="both"/>
        <w:rPr>
          <w:rFonts w:ascii="Times New Roman" w:hAnsi="Times New Roman" w:cs="Times New Roman"/>
          <w:color w:val="0070C0"/>
          <w:sz w:val="22"/>
          <w:szCs w:val="22"/>
        </w:rPr>
      </w:pPr>
      <w:r w:rsidRPr="00096949">
        <w:rPr>
          <w:rStyle w:val="y2iqfc"/>
          <w:rFonts w:ascii="Times New Roman" w:eastAsiaTheme="majorEastAsia" w:hAnsi="Times New Roman" w:cs="Times New Roman"/>
          <w:color w:val="0070C0"/>
          <w:sz w:val="22"/>
          <w:szCs w:val="22"/>
          <w:lang w:val="en"/>
        </w:rPr>
        <w:t xml:space="preserve">JATAM MSME has undertaken various strategic efforts to improve the quality of its products, thereby qualifying to market JATAM chips to major retailers. These oyster mushroom chips are marketed at Rp 17,000 per 85-gram package. Over the past two years, JATAM has completed a partnership with </w:t>
      </w:r>
      <w:proofErr w:type="spellStart"/>
      <w:r w:rsidRPr="00096949">
        <w:rPr>
          <w:rStyle w:val="y2iqfc"/>
          <w:rFonts w:ascii="Times New Roman" w:eastAsiaTheme="majorEastAsia" w:hAnsi="Times New Roman" w:cs="Times New Roman"/>
          <w:color w:val="0070C0"/>
          <w:sz w:val="22"/>
          <w:szCs w:val="22"/>
          <w:lang w:val="en"/>
        </w:rPr>
        <w:t>Toko</w:t>
      </w:r>
      <w:proofErr w:type="spellEnd"/>
      <w:r w:rsidRPr="00096949">
        <w:rPr>
          <w:rStyle w:val="y2iqfc"/>
          <w:rFonts w:ascii="Times New Roman" w:eastAsiaTheme="majorEastAsia" w:hAnsi="Times New Roman" w:cs="Times New Roman"/>
          <w:color w:val="0070C0"/>
          <w:sz w:val="22"/>
          <w:szCs w:val="22"/>
          <w:lang w:val="en"/>
        </w:rPr>
        <w:t xml:space="preserve"> Oleh-oleh Najwa, located on Jalan </w:t>
      </w:r>
      <w:proofErr w:type="spellStart"/>
      <w:r w:rsidRPr="00096949">
        <w:rPr>
          <w:rStyle w:val="y2iqfc"/>
          <w:rFonts w:ascii="Times New Roman" w:eastAsiaTheme="majorEastAsia" w:hAnsi="Times New Roman" w:cs="Times New Roman"/>
          <w:color w:val="0070C0"/>
          <w:sz w:val="22"/>
          <w:szCs w:val="22"/>
          <w:lang w:val="en"/>
        </w:rPr>
        <w:t>Pangeran</w:t>
      </w:r>
      <w:proofErr w:type="spellEnd"/>
      <w:r w:rsidRPr="00096949">
        <w:rPr>
          <w:rStyle w:val="y2iqfc"/>
          <w:rFonts w:ascii="Times New Roman" w:eastAsiaTheme="majorEastAsia" w:hAnsi="Times New Roman" w:cs="Times New Roman"/>
          <w:color w:val="0070C0"/>
          <w:sz w:val="22"/>
          <w:szCs w:val="22"/>
          <w:lang w:val="en"/>
        </w:rPr>
        <w:t xml:space="preserve"> </w:t>
      </w:r>
      <w:proofErr w:type="spellStart"/>
      <w:r w:rsidRPr="00096949">
        <w:rPr>
          <w:rStyle w:val="y2iqfc"/>
          <w:rFonts w:ascii="Times New Roman" w:eastAsiaTheme="majorEastAsia" w:hAnsi="Times New Roman" w:cs="Times New Roman"/>
          <w:color w:val="0070C0"/>
          <w:sz w:val="22"/>
          <w:szCs w:val="22"/>
          <w:lang w:val="en"/>
        </w:rPr>
        <w:t>Antasari</w:t>
      </w:r>
      <w:proofErr w:type="spellEnd"/>
      <w:r w:rsidRPr="00096949">
        <w:rPr>
          <w:rStyle w:val="y2iqfc"/>
          <w:rFonts w:ascii="Times New Roman" w:eastAsiaTheme="majorEastAsia" w:hAnsi="Times New Roman" w:cs="Times New Roman"/>
          <w:color w:val="0070C0"/>
          <w:sz w:val="22"/>
          <w:szCs w:val="22"/>
          <w:lang w:val="en"/>
        </w:rPr>
        <w:t xml:space="preserve">. Furthermore, JATAM chips are also marketed in several local supermarkets, including </w:t>
      </w:r>
      <w:proofErr w:type="spellStart"/>
      <w:r w:rsidRPr="00096949">
        <w:rPr>
          <w:rStyle w:val="y2iqfc"/>
          <w:rFonts w:ascii="Times New Roman" w:eastAsiaTheme="majorEastAsia" w:hAnsi="Times New Roman" w:cs="Times New Roman"/>
          <w:color w:val="0070C0"/>
          <w:sz w:val="22"/>
          <w:szCs w:val="22"/>
          <w:lang w:val="en"/>
        </w:rPr>
        <w:t>Hypermart</w:t>
      </w:r>
      <w:proofErr w:type="spellEnd"/>
      <w:r w:rsidRPr="00096949">
        <w:rPr>
          <w:rStyle w:val="y2iqfc"/>
          <w:rFonts w:ascii="Times New Roman" w:eastAsiaTheme="majorEastAsia" w:hAnsi="Times New Roman" w:cs="Times New Roman"/>
          <w:color w:val="0070C0"/>
          <w:sz w:val="22"/>
          <w:szCs w:val="22"/>
          <w:lang w:val="en"/>
        </w:rPr>
        <w:t xml:space="preserve">, </w:t>
      </w:r>
      <w:proofErr w:type="spellStart"/>
      <w:r w:rsidRPr="00096949">
        <w:rPr>
          <w:rStyle w:val="y2iqfc"/>
          <w:rFonts w:ascii="Times New Roman" w:eastAsiaTheme="majorEastAsia" w:hAnsi="Times New Roman" w:cs="Times New Roman"/>
          <w:color w:val="0070C0"/>
          <w:sz w:val="22"/>
          <w:szCs w:val="22"/>
          <w:lang w:val="en"/>
        </w:rPr>
        <w:t>Foodmart</w:t>
      </w:r>
      <w:proofErr w:type="spellEnd"/>
      <w:r w:rsidRPr="00096949">
        <w:rPr>
          <w:rStyle w:val="y2iqfc"/>
          <w:rFonts w:ascii="Times New Roman" w:eastAsiaTheme="majorEastAsia" w:hAnsi="Times New Roman" w:cs="Times New Roman"/>
          <w:color w:val="0070C0"/>
          <w:sz w:val="22"/>
          <w:szCs w:val="22"/>
          <w:lang w:val="en"/>
        </w:rPr>
        <w:t xml:space="preserve">, Farmers Market, </w:t>
      </w:r>
      <w:proofErr w:type="spellStart"/>
      <w:r w:rsidRPr="00096949">
        <w:rPr>
          <w:rStyle w:val="y2iqfc"/>
          <w:rFonts w:ascii="Times New Roman" w:eastAsiaTheme="majorEastAsia" w:hAnsi="Times New Roman" w:cs="Times New Roman"/>
          <w:color w:val="0070C0"/>
          <w:sz w:val="22"/>
          <w:szCs w:val="22"/>
          <w:lang w:val="en"/>
        </w:rPr>
        <w:t>Joymart</w:t>
      </w:r>
      <w:proofErr w:type="spellEnd"/>
      <w:r w:rsidRPr="00096949">
        <w:rPr>
          <w:rStyle w:val="y2iqfc"/>
          <w:rFonts w:ascii="Times New Roman" w:eastAsiaTheme="majorEastAsia" w:hAnsi="Times New Roman" w:cs="Times New Roman"/>
          <w:color w:val="0070C0"/>
          <w:sz w:val="22"/>
          <w:szCs w:val="22"/>
          <w:lang w:val="en"/>
        </w:rPr>
        <w:t xml:space="preserve">, and Mega </w:t>
      </w:r>
      <w:proofErr w:type="spellStart"/>
      <w:r w:rsidRPr="00096949">
        <w:rPr>
          <w:rStyle w:val="y2iqfc"/>
          <w:rFonts w:ascii="Times New Roman" w:eastAsiaTheme="majorEastAsia" w:hAnsi="Times New Roman" w:cs="Times New Roman"/>
          <w:color w:val="0070C0"/>
          <w:sz w:val="22"/>
          <w:szCs w:val="22"/>
          <w:lang w:val="en"/>
        </w:rPr>
        <w:t>Swalayan</w:t>
      </w:r>
      <w:proofErr w:type="spellEnd"/>
      <w:r w:rsidRPr="00096949">
        <w:rPr>
          <w:rStyle w:val="y2iqfc"/>
          <w:rFonts w:ascii="Times New Roman" w:eastAsiaTheme="majorEastAsia" w:hAnsi="Times New Roman" w:cs="Times New Roman"/>
          <w:color w:val="0070C0"/>
          <w:sz w:val="22"/>
          <w:szCs w:val="22"/>
          <w:lang w:val="en"/>
        </w:rPr>
        <w:t>.</w:t>
      </w:r>
    </w:p>
    <w:p w14:paraId="09344ACC" w14:textId="77777777" w:rsidR="000255D0" w:rsidRPr="00096949" w:rsidRDefault="000255D0" w:rsidP="000255D0">
      <w:pPr>
        <w:pStyle w:val="HTMLPreformatted"/>
        <w:ind w:firstLine="567"/>
        <w:jc w:val="both"/>
        <w:rPr>
          <w:rFonts w:ascii="Times New Roman" w:hAnsi="Times New Roman" w:cs="Times New Roman"/>
          <w:color w:val="0070C0"/>
          <w:sz w:val="22"/>
          <w:szCs w:val="22"/>
        </w:rPr>
      </w:pPr>
    </w:p>
    <w:p w14:paraId="362634B3" w14:textId="3BBE85E9" w:rsidR="000255D0" w:rsidRPr="00096949" w:rsidRDefault="000255D0" w:rsidP="000255D0">
      <w:pPr>
        <w:pStyle w:val="HTMLPreformatted"/>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2.4</w:t>
      </w:r>
      <w:r w:rsidRPr="00096949">
        <w:rPr>
          <w:rStyle w:val="y2iqfc"/>
          <w:rFonts w:ascii="Times New Roman" w:eastAsiaTheme="majorEastAsia" w:hAnsi="Times New Roman" w:cs="Times New Roman"/>
          <w:color w:val="0070C0"/>
          <w:sz w:val="22"/>
          <w:szCs w:val="22"/>
          <w:lang w:val="en"/>
        </w:rPr>
        <w:t xml:space="preserve"> </w:t>
      </w:r>
      <w:r w:rsidRPr="00096949">
        <w:rPr>
          <w:rStyle w:val="y2iqfc"/>
          <w:rFonts w:ascii="Times New Roman" w:eastAsiaTheme="majorEastAsia" w:hAnsi="Times New Roman" w:cs="Times New Roman"/>
          <w:b/>
          <w:bCs/>
          <w:color w:val="0070C0"/>
          <w:sz w:val="22"/>
          <w:szCs w:val="22"/>
          <w:lang w:val="en"/>
        </w:rPr>
        <w:t>Oyster Mushroom Chip Production Process at JATAM MSME</w:t>
      </w:r>
    </w:p>
    <w:p w14:paraId="72C08087" w14:textId="77777777" w:rsidR="000255D0" w:rsidRPr="00096949" w:rsidRDefault="000255D0" w:rsidP="000255D0">
      <w:pPr>
        <w:pStyle w:val="HTMLPreformatted"/>
        <w:ind w:firstLine="567"/>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JATAM MSME produces once a week, resulting in four production runs per month. In one production run, 10 kg of fresh oyster mushrooms can produce 100 packages. The stages in the oyster mushroom chip production process are as follows:</w:t>
      </w:r>
    </w:p>
    <w:p w14:paraId="5E0FC283" w14:textId="77777777" w:rsidR="000255D0" w:rsidRPr="00096949" w:rsidRDefault="000255D0" w:rsidP="000255D0">
      <w:pPr>
        <w:pStyle w:val="HTMLPreformatted"/>
        <w:ind w:left="284" w:hanging="284"/>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 xml:space="preserve">a. Ingredients preparation: The ingredients used to process oyster mushrooms into oyster mushroom chips are fresh white oyster mushrooms, water, wheat flour, rice flour, tapioca flour, mixed and flavored with flavorings (sugar, salt, and chicken-flavored </w:t>
      </w:r>
      <w:proofErr w:type="spellStart"/>
      <w:r w:rsidRPr="00096949">
        <w:rPr>
          <w:rStyle w:val="y2iqfc"/>
          <w:rFonts w:ascii="Times New Roman" w:eastAsiaTheme="majorEastAsia" w:hAnsi="Times New Roman" w:cs="Times New Roman"/>
          <w:color w:val="0070C0"/>
          <w:sz w:val="22"/>
          <w:szCs w:val="22"/>
          <w:lang w:val="en"/>
        </w:rPr>
        <w:t>masako</w:t>
      </w:r>
      <w:proofErr w:type="spellEnd"/>
      <w:r w:rsidRPr="00096949">
        <w:rPr>
          <w:rStyle w:val="y2iqfc"/>
          <w:rFonts w:ascii="Times New Roman" w:eastAsiaTheme="majorEastAsia" w:hAnsi="Times New Roman" w:cs="Times New Roman"/>
          <w:color w:val="0070C0"/>
          <w:sz w:val="22"/>
          <w:szCs w:val="22"/>
          <w:lang w:val="en"/>
        </w:rPr>
        <w:t xml:space="preserve">), as well as seasonings in various flavors: </w:t>
      </w:r>
      <w:proofErr w:type="spellStart"/>
      <w:r w:rsidRPr="00096949">
        <w:rPr>
          <w:rStyle w:val="y2iqfc"/>
          <w:rFonts w:ascii="Times New Roman" w:eastAsiaTheme="majorEastAsia" w:hAnsi="Times New Roman" w:cs="Times New Roman"/>
          <w:color w:val="0070C0"/>
          <w:sz w:val="22"/>
          <w:szCs w:val="22"/>
          <w:lang w:val="en"/>
        </w:rPr>
        <w:t>Antaka</w:t>
      </w:r>
      <w:proofErr w:type="spellEnd"/>
      <w:r w:rsidRPr="00096949">
        <w:rPr>
          <w:rStyle w:val="y2iqfc"/>
          <w:rFonts w:ascii="Times New Roman" w:eastAsiaTheme="majorEastAsia" w:hAnsi="Times New Roman" w:cs="Times New Roman"/>
          <w:color w:val="0070C0"/>
          <w:sz w:val="22"/>
          <w:szCs w:val="22"/>
          <w:lang w:val="en"/>
        </w:rPr>
        <w:t xml:space="preserve"> roasted corn, </w:t>
      </w:r>
      <w:proofErr w:type="spellStart"/>
      <w:r w:rsidRPr="00096949">
        <w:rPr>
          <w:rStyle w:val="y2iqfc"/>
          <w:rFonts w:ascii="Times New Roman" w:eastAsiaTheme="majorEastAsia" w:hAnsi="Times New Roman" w:cs="Times New Roman"/>
          <w:color w:val="0070C0"/>
          <w:sz w:val="22"/>
          <w:szCs w:val="22"/>
          <w:lang w:val="en"/>
        </w:rPr>
        <w:t>Antaka</w:t>
      </w:r>
      <w:proofErr w:type="spellEnd"/>
      <w:r w:rsidRPr="00096949">
        <w:rPr>
          <w:rStyle w:val="y2iqfc"/>
          <w:rFonts w:ascii="Times New Roman" w:eastAsiaTheme="majorEastAsia" w:hAnsi="Times New Roman" w:cs="Times New Roman"/>
          <w:color w:val="0070C0"/>
          <w:sz w:val="22"/>
          <w:szCs w:val="22"/>
          <w:lang w:val="en"/>
        </w:rPr>
        <w:t xml:space="preserve"> barbecue, and </w:t>
      </w:r>
      <w:proofErr w:type="spellStart"/>
      <w:r w:rsidRPr="00096949">
        <w:rPr>
          <w:rStyle w:val="y2iqfc"/>
          <w:rFonts w:ascii="Times New Roman" w:eastAsiaTheme="majorEastAsia" w:hAnsi="Times New Roman" w:cs="Times New Roman"/>
          <w:color w:val="0070C0"/>
          <w:sz w:val="22"/>
          <w:szCs w:val="22"/>
          <w:lang w:val="en"/>
        </w:rPr>
        <w:t>Antaka</w:t>
      </w:r>
      <w:proofErr w:type="spellEnd"/>
      <w:r w:rsidRPr="00096949">
        <w:rPr>
          <w:rStyle w:val="y2iqfc"/>
          <w:rFonts w:ascii="Times New Roman" w:eastAsiaTheme="majorEastAsia" w:hAnsi="Times New Roman" w:cs="Times New Roman"/>
          <w:color w:val="0070C0"/>
          <w:sz w:val="22"/>
          <w:szCs w:val="22"/>
          <w:lang w:val="en"/>
        </w:rPr>
        <w:t xml:space="preserve"> </w:t>
      </w:r>
      <w:proofErr w:type="spellStart"/>
      <w:r w:rsidRPr="00096949">
        <w:rPr>
          <w:rStyle w:val="y2iqfc"/>
          <w:rFonts w:ascii="Times New Roman" w:eastAsiaTheme="majorEastAsia" w:hAnsi="Times New Roman" w:cs="Times New Roman"/>
          <w:color w:val="0070C0"/>
          <w:sz w:val="22"/>
          <w:szCs w:val="22"/>
          <w:lang w:val="en"/>
        </w:rPr>
        <w:t>balado</w:t>
      </w:r>
      <w:proofErr w:type="spellEnd"/>
      <w:r w:rsidRPr="00096949">
        <w:rPr>
          <w:rStyle w:val="y2iqfc"/>
          <w:rFonts w:ascii="Times New Roman" w:eastAsiaTheme="majorEastAsia" w:hAnsi="Times New Roman" w:cs="Times New Roman"/>
          <w:color w:val="0070C0"/>
          <w:sz w:val="22"/>
          <w:szCs w:val="22"/>
          <w:lang w:val="en"/>
        </w:rPr>
        <w:t>.</w:t>
      </w:r>
    </w:p>
    <w:p w14:paraId="1DA60504" w14:textId="77777777" w:rsidR="000255D0" w:rsidRPr="00096949" w:rsidRDefault="000255D0" w:rsidP="000255D0">
      <w:pPr>
        <w:pStyle w:val="HTMLPreformatted"/>
        <w:ind w:left="284" w:hanging="284"/>
        <w:jc w:val="both"/>
        <w:rPr>
          <w:rFonts w:ascii="Times New Roman" w:hAnsi="Times New Roman" w:cs="Times New Roman"/>
          <w:color w:val="0070C0"/>
          <w:sz w:val="22"/>
          <w:szCs w:val="22"/>
        </w:rPr>
      </w:pPr>
      <w:r w:rsidRPr="00096949">
        <w:rPr>
          <w:rStyle w:val="y2iqfc"/>
          <w:rFonts w:ascii="Times New Roman" w:eastAsiaTheme="majorEastAsia" w:hAnsi="Times New Roman" w:cs="Times New Roman"/>
          <w:color w:val="0070C0"/>
          <w:sz w:val="22"/>
          <w:szCs w:val="22"/>
          <w:lang w:val="en"/>
        </w:rPr>
        <w:t xml:space="preserve">b. Mixing the wet dough: The wet dough is made by mixing wheat flour, rice flour, and tapioca flour, seasoned with flavorings (sugar, salt, and chicken-flavored </w:t>
      </w:r>
      <w:proofErr w:type="spellStart"/>
      <w:r w:rsidRPr="00096949">
        <w:rPr>
          <w:rStyle w:val="y2iqfc"/>
          <w:rFonts w:ascii="Times New Roman" w:eastAsiaTheme="majorEastAsia" w:hAnsi="Times New Roman" w:cs="Times New Roman"/>
          <w:color w:val="0070C0"/>
          <w:sz w:val="22"/>
          <w:szCs w:val="22"/>
          <w:lang w:val="en"/>
        </w:rPr>
        <w:t>masako</w:t>
      </w:r>
      <w:proofErr w:type="spellEnd"/>
      <w:r w:rsidRPr="00096949">
        <w:rPr>
          <w:rStyle w:val="y2iqfc"/>
          <w:rFonts w:ascii="Times New Roman" w:eastAsiaTheme="majorEastAsia" w:hAnsi="Times New Roman" w:cs="Times New Roman"/>
          <w:color w:val="0070C0"/>
          <w:sz w:val="22"/>
          <w:szCs w:val="22"/>
          <w:lang w:val="en"/>
        </w:rPr>
        <w:t>). Once the dough is thoroughly mixed, the fresh oyster mushrooms are added to the mixture.</w:t>
      </w:r>
    </w:p>
    <w:p w14:paraId="051B33BD" w14:textId="77777777" w:rsidR="000255D0" w:rsidRPr="00096949" w:rsidRDefault="000255D0" w:rsidP="000255D0">
      <w:pPr>
        <w:pStyle w:val="HTMLPreformatted"/>
        <w:ind w:left="284" w:hanging="284"/>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 xml:space="preserve">c. Mixing the dry flour mixture: Oyster mushrooms coated in the wet flour mixture are dipped one by one into the dry flour mixture, a mixture of wheat flour, rice flour, and tapioca flour, seasoned with additional seasonings (sugar, salt, and chicken-flavored </w:t>
      </w:r>
      <w:proofErr w:type="spellStart"/>
      <w:r w:rsidRPr="00096949">
        <w:rPr>
          <w:rStyle w:val="y2iqfc"/>
          <w:rFonts w:ascii="Times New Roman" w:eastAsiaTheme="majorEastAsia" w:hAnsi="Times New Roman" w:cs="Times New Roman"/>
          <w:color w:val="0070C0"/>
          <w:sz w:val="22"/>
          <w:szCs w:val="22"/>
          <w:lang w:val="en"/>
        </w:rPr>
        <w:t>masako</w:t>
      </w:r>
      <w:proofErr w:type="spellEnd"/>
      <w:r w:rsidRPr="00096949">
        <w:rPr>
          <w:rStyle w:val="y2iqfc"/>
          <w:rFonts w:ascii="Times New Roman" w:eastAsiaTheme="majorEastAsia" w:hAnsi="Times New Roman" w:cs="Times New Roman"/>
          <w:color w:val="0070C0"/>
          <w:sz w:val="22"/>
          <w:szCs w:val="22"/>
          <w:lang w:val="en"/>
        </w:rPr>
        <w:t>).</w:t>
      </w:r>
    </w:p>
    <w:p w14:paraId="7F9C7F7F" w14:textId="77777777" w:rsidR="000255D0" w:rsidRPr="00096949" w:rsidRDefault="000255D0" w:rsidP="000255D0">
      <w:pPr>
        <w:pStyle w:val="HTMLPreformatted"/>
        <w:ind w:left="284" w:hanging="284"/>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d. Sifting the mixture: Sifting ensures the flour doesn't stick too much to the mushrooms, resulting in a crispier fried product.</w:t>
      </w:r>
    </w:p>
    <w:p w14:paraId="31D420ED" w14:textId="77777777" w:rsidR="000255D0" w:rsidRPr="00096949" w:rsidRDefault="000255D0" w:rsidP="000255D0">
      <w:pPr>
        <w:pStyle w:val="HTMLPreformatted"/>
        <w:ind w:left="284" w:hanging="284"/>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e. Frying: The first stage is carried out at 180°C until half-cooked, indicated by a yellow color change. The second stage is carried out at a maximum temperature of 100°C, continuing to fry until fully cooked, indicated by a brown color change.</w:t>
      </w:r>
    </w:p>
    <w:p w14:paraId="31FFEC41" w14:textId="77777777" w:rsidR="000255D0" w:rsidRPr="00096949" w:rsidRDefault="000255D0" w:rsidP="000255D0">
      <w:pPr>
        <w:pStyle w:val="HTMLPreformatted"/>
        <w:ind w:left="284" w:hanging="284"/>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f. Draining the chips: Draining is carried out using a modified spinner machine, in two cycles. Each cycle (one machine operation) takes 2.5 minutes.</w:t>
      </w:r>
    </w:p>
    <w:p w14:paraId="42175061" w14:textId="77777777" w:rsidR="000255D0" w:rsidRPr="00096949" w:rsidRDefault="000255D0" w:rsidP="000255D0">
      <w:pPr>
        <w:pStyle w:val="HTMLPreformatted"/>
        <w:ind w:left="284" w:hanging="284"/>
        <w:jc w:val="both"/>
        <w:rPr>
          <w:rStyle w:val="y2iqfc"/>
          <w:rFonts w:ascii="Times New Roman" w:eastAsiaTheme="majorEastAsia" w:hAnsi="Times New Roman" w:cs="Times New Roman"/>
          <w:color w:val="0070C0"/>
          <w:sz w:val="22"/>
          <w:szCs w:val="22"/>
          <w:lang w:val="en"/>
        </w:rPr>
      </w:pPr>
      <w:r w:rsidRPr="00096949">
        <w:rPr>
          <w:rStyle w:val="y2iqfc"/>
          <w:rFonts w:ascii="Times New Roman" w:eastAsiaTheme="majorEastAsia" w:hAnsi="Times New Roman" w:cs="Times New Roman"/>
          <w:color w:val="0070C0"/>
          <w:sz w:val="22"/>
          <w:szCs w:val="22"/>
          <w:lang w:val="en"/>
        </w:rPr>
        <w:t xml:space="preserve">g. Packaging: This stage begins with labeling the flavor and expiration date on the packaging. Next, the product is packaged, followed by seasoning with various </w:t>
      </w:r>
      <w:proofErr w:type="spellStart"/>
      <w:r w:rsidRPr="00096949">
        <w:rPr>
          <w:rStyle w:val="y2iqfc"/>
          <w:rFonts w:ascii="Times New Roman" w:eastAsiaTheme="majorEastAsia" w:hAnsi="Times New Roman" w:cs="Times New Roman"/>
          <w:color w:val="0070C0"/>
          <w:sz w:val="22"/>
          <w:szCs w:val="22"/>
          <w:lang w:val="en"/>
        </w:rPr>
        <w:t>Antaka</w:t>
      </w:r>
      <w:proofErr w:type="spellEnd"/>
      <w:r w:rsidRPr="00096949">
        <w:rPr>
          <w:rStyle w:val="y2iqfc"/>
          <w:rFonts w:ascii="Times New Roman" w:eastAsiaTheme="majorEastAsia" w:hAnsi="Times New Roman" w:cs="Times New Roman"/>
          <w:color w:val="0070C0"/>
          <w:sz w:val="22"/>
          <w:szCs w:val="22"/>
          <w:lang w:val="en"/>
        </w:rPr>
        <w:t xml:space="preserve"> flavors (barbecue, </w:t>
      </w:r>
      <w:proofErr w:type="spellStart"/>
      <w:r w:rsidRPr="00096949">
        <w:rPr>
          <w:rStyle w:val="y2iqfc"/>
          <w:rFonts w:ascii="Times New Roman" w:eastAsiaTheme="majorEastAsia" w:hAnsi="Times New Roman" w:cs="Times New Roman"/>
          <w:color w:val="0070C0"/>
          <w:sz w:val="22"/>
          <w:szCs w:val="22"/>
          <w:lang w:val="en"/>
        </w:rPr>
        <w:lastRenderedPageBreak/>
        <w:t>balado</w:t>
      </w:r>
      <w:proofErr w:type="spellEnd"/>
      <w:r w:rsidRPr="00096949">
        <w:rPr>
          <w:rStyle w:val="y2iqfc"/>
          <w:rFonts w:ascii="Times New Roman" w:eastAsiaTheme="majorEastAsia" w:hAnsi="Times New Roman" w:cs="Times New Roman"/>
          <w:color w:val="0070C0"/>
          <w:sz w:val="22"/>
          <w:szCs w:val="22"/>
          <w:lang w:val="en"/>
        </w:rPr>
        <w:t>, roasted corn). Finally, the packaging is sealed using a sealing machine to maintain product quality and durability.</w:t>
      </w:r>
    </w:p>
    <w:p w14:paraId="1AD1B2E0" w14:textId="5C1741B6" w:rsidR="00096949" w:rsidRPr="00096949" w:rsidRDefault="00096949" w:rsidP="00096949">
      <w:pPr>
        <w:pStyle w:val="HTMLPreformatted"/>
        <w:jc w:val="both"/>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2.</w:t>
      </w:r>
      <w:r w:rsidR="000255D0">
        <w:rPr>
          <w:rStyle w:val="y2iqfc"/>
          <w:rFonts w:ascii="Times New Roman" w:eastAsiaTheme="majorEastAsia" w:hAnsi="Times New Roman" w:cs="Times New Roman"/>
          <w:b/>
          <w:bCs/>
          <w:color w:val="0070C0"/>
          <w:sz w:val="22"/>
          <w:szCs w:val="22"/>
          <w:lang w:val="en"/>
        </w:rPr>
        <w:t>5</w:t>
      </w:r>
      <w:r>
        <w:rPr>
          <w:rStyle w:val="y2iqfc"/>
          <w:rFonts w:ascii="Times New Roman" w:eastAsiaTheme="majorEastAsia" w:hAnsi="Times New Roman" w:cs="Times New Roman"/>
          <w:b/>
          <w:bCs/>
          <w:color w:val="0070C0"/>
          <w:sz w:val="22"/>
          <w:szCs w:val="22"/>
          <w:lang w:val="en"/>
        </w:rPr>
        <w:t xml:space="preserve"> Study Design.</w:t>
      </w:r>
    </w:p>
    <w:p w14:paraId="07D76DC3" w14:textId="685B8A33" w:rsidR="00DF5477" w:rsidRDefault="00DF547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research method used was a case study focused on the business of processing oyster mushrooms into packaged oyster mushroom chips. The case study method aims to analyze a case in depth, so the results cannot be generalized [11].</w:t>
      </w:r>
    </w:p>
    <w:p w14:paraId="764ADD69" w14:textId="68F38E44" w:rsidR="00177B4F" w:rsidRPr="00177B4F" w:rsidRDefault="00096949" w:rsidP="00177B4F">
      <w:pPr>
        <w:pStyle w:val="HTMLPreformatted"/>
        <w:jc w:val="both"/>
        <w:rPr>
          <w:rFonts w:ascii="Times New Roman" w:hAnsi="Times New Roman" w:cs="Times New Roman"/>
          <w:b/>
          <w:bCs/>
          <w:color w:val="0070C0"/>
          <w:sz w:val="22"/>
          <w:szCs w:val="22"/>
        </w:rPr>
      </w:pPr>
      <w:r>
        <w:rPr>
          <w:rStyle w:val="y2iqfc"/>
          <w:rFonts w:ascii="Times New Roman" w:eastAsiaTheme="majorEastAsia" w:hAnsi="Times New Roman" w:cs="Times New Roman"/>
          <w:b/>
          <w:bCs/>
          <w:color w:val="0070C0"/>
          <w:sz w:val="22"/>
          <w:szCs w:val="22"/>
          <w:lang w:val="en"/>
        </w:rPr>
        <w:t>2.</w:t>
      </w:r>
      <w:r w:rsidR="000255D0">
        <w:rPr>
          <w:rStyle w:val="y2iqfc"/>
          <w:rFonts w:ascii="Times New Roman" w:eastAsiaTheme="majorEastAsia" w:hAnsi="Times New Roman" w:cs="Times New Roman"/>
          <w:b/>
          <w:bCs/>
          <w:color w:val="0070C0"/>
          <w:sz w:val="22"/>
          <w:szCs w:val="22"/>
          <w:lang w:val="en"/>
        </w:rPr>
        <w:t>6</w:t>
      </w:r>
      <w:r>
        <w:rPr>
          <w:rStyle w:val="y2iqfc"/>
          <w:rFonts w:ascii="Times New Roman" w:eastAsiaTheme="majorEastAsia" w:hAnsi="Times New Roman" w:cs="Times New Roman"/>
          <w:b/>
          <w:bCs/>
          <w:color w:val="0070C0"/>
          <w:sz w:val="22"/>
          <w:szCs w:val="22"/>
          <w:lang w:val="en"/>
        </w:rPr>
        <w:t xml:space="preserve"> </w:t>
      </w:r>
      <w:r w:rsidR="00177B4F">
        <w:rPr>
          <w:rStyle w:val="y2iqfc"/>
          <w:rFonts w:ascii="Times New Roman" w:eastAsiaTheme="majorEastAsia" w:hAnsi="Times New Roman" w:cs="Times New Roman"/>
          <w:b/>
          <w:bCs/>
          <w:color w:val="0070C0"/>
          <w:sz w:val="22"/>
          <w:szCs w:val="22"/>
          <w:lang w:val="en"/>
        </w:rPr>
        <w:t>Sampling technique.</w:t>
      </w:r>
    </w:p>
    <w:p w14:paraId="541B724D" w14:textId="7498DEAA" w:rsidR="00DF5477" w:rsidRPr="00DB5227" w:rsidRDefault="00DF5477" w:rsidP="00DF547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research object was determined using purposive sampling, considering that this MSME is the only business in </w:t>
      </w:r>
      <w:proofErr w:type="spellStart"/>
      <w:r w:rsidRPr="00DB5227">
        <w:rPr>
          <w:rStyle w:val="y2iqfc"/>
          <w:rFonts w:ascii="Times New Roman" w:eastAsiaTheme="majorEastAsia" w:hAnsi="Times New Roman" w:cs="Times New Roman"/>
          <w:sz w:val="22"/>
          <w:szCs w:val="22"/>
          <w:lang w:val="en"/>
        </w:rPr>
        <w:t>Samarinda</w:t>
      </w:r>
      <w:proofErr w:type="spellEnd"/>
      <w:r w:rsidRPr="00DB5227">
        <w:rPr>
          <w:rStyle w:val="y2iqfc"/>
          <w:rFonts w:ascii="Times New Roman" w:eastAsiaTheme="majorEastAsia" w:hAnsi="Times New Roman" w:cs="Times New Roman"/>
          <w:sz w:val="22"/>
          <w:szCs w:val="22"/>
          <w:lang w:val="en"/>
        </w:rPr>
        <w:t xml:space="preserve"> City that has continuously developed oyster mushroom processing into packaged oyster mushroom chips. The types and techniques of data collection in this study consisted of primary data obtained through direct field observation and interviews with parties related to the research topic, namely</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the owner of the JATAM MSME. Secondary data were obtained from library research, scientific articles, and literature from relevant agencies.</w:t>
      </w:r>
    </w:p>
    <w:p w14:paraId="44F273FB" w14:textId="0788779D" w:rsidR="00177B4F" w:rsidRPr="00177B4F" w:rsidRDefault="00096949" w:rsidP="00177B4F">
      <w:pPr>
        <w:pStyle w:val="HTMLPreformatted"/>
        <w:jc w:val="both"/>
        <w:rPr>
          <w:rStyle w:val="y2iqfc"/>
          <w:rFonts w:ascii="Times New Roman" w:eastAsiaTheme="majorEastAsia" w:hAnsi="Times New Roman" w:cs="Times New Roman"/>
          <w:b/>
          <w:bCs/>
          <w:color w:val="0070C0"/>
          <w:sz w:val="22"/>
          <w:szCs w:val="22"/>
          <w:lang w:val="en"/>
        </w:rPr>
      </w:pPr>
      <w:r>
        <w:rPr>
          <w:rStyle w:val="y2iqfc"/>
          <w:rFonts w:ascii="Times New Roman" w:eastAsiaTheme="majorEastAsia" w:hAnsi="Times New Roman" w:cs="Times New Roman"/>
          <w:b/>
          <w:bCs/>
          <w:color w:val="0070C0"/>
          <w:sz w:val="22"/>
          <w:szCs w:val="22"/>
          <w:lang w:val="en"/>
        </w:rPr>
        <w:t>2.</w:t>
      </w:r>
      <w:r w:rsidR="000255D0">
        <w:rPr>
          <w:rStyle w:val="y2iqfc"/>
          <w:rFonts w:ascii="Times New Roman" w:eastAsiaTheme="majorEastAsia" w:hAnsi="Times New Roman" w:cs="Times New Roman"/>
          <w:b/>
          <w:bCs/>
          <w:color w:val="0070C0"/>
          <w:sz w:val="22"/>
          <w:szCs w:val="22"/>
          <w:lang w:val="en"/>
        </w:rPr>
        <w:t>7</w:t>
      </w:r>
      <w:r>
        <w:rPr>
          <w:rStyle w:val="y2iqfc"/>
          <w:rFonts w:ascii="Times New Roman" w:eastAsiaTheme="majorEastAsia" w:hAnsi="Times New Roman" w:cs="Times New Roman"/>
          <w:b/>
          <w:bCs/>
          <w:color w:val="0070C0"/>
          <w:sz w:val="22"/>
          <w:szCs w:val="22"/>
          <w:lang w:val="en"/>
        </w:rPr>
        <w:t xml:space="preserve"> </w:t>
      </w:r>
      <w:r w:rsidR="00177B4F">
        <w:rPr>
          <w:rStyle w:val="y2iqfc"/>
          <w:rFonts w:ascii="Times New Roman" w:eastAsiaTheme="majorEastAsia" w:hAnsi="Times New Roman" w:cs="Times New Roman"/>
          <w:b/>
          <w:bCs/>
          <w:color w:val="0070C0"/>
          <w:sz w:val="22"/>
          <w:szCs w:val="22"/>
          <w:lang w:val="en"/>
        </w:rPr>
        <w:t>Data Analysis.</w:t>
      </w:r>
    </w:p>
    <w:p w14:paraId="3BFCE09F" w14:textId="4B9597EE" w:rsidR="00DF5477" w:rsidRPr="00DB5227" w:rsidRDefault="00DF5477" w:rsidP="00DF547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Data analysis methods in this study included full costing and variable costing, break-even point analysis, and sensitivity analysis. The following is the analytical framework used in this study:</w:t>
      </w:r>
    </w:p>
    <w:p w14:paraId="57120D13" w14:textId="77777777" w:rsidR="00DF5477" w:rsidRPr="00DB5227" w:rsidRDefault="00DF5477" w:rsidP="00DF5477">
      <w:pPr>
        <w:pStyle w:val="HTMLPreformatted"/>
        <w:numPr>
          <w:ilvl w:val="0"/>
          <w:numId w:val="1"/>
        </w:numPr>
        <w:ind w:left="426" w:hanging="426"/>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method used to determine the cost of production is based on the full costing and variable costing methods [8]. </w:t>
      </w:r>
    </w:p>
    <w:p w14:paraId="552710BC" w14:textId="0FC90DAE"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Full Costing Method</w:t>
      </w:r>
    </w:p>
    <w:p w14:paraId="56B9F169" w14:textId="3982AC0D"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Raw Material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366F1F50" w14:textId="206143AD"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Direct Labor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6011158E" w14:textId="7CF9A376"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Fixed Overhead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0A74CC18" w14:textId="765EFA00" w:rsidR="00DF5477" w:rsidRPr="00DB5227" w:rsidRDefault="00DB5227" w:rsidP="00DF5477">
      <w:pPr>
        <w:pStyle w:val="HTMLPreformatted"/>
        <w:rPr>
          <w:rStyle w:val="y2iqfc"/>
          <w:rFonts w:ascii="Times New Roman" w:eastAsiaTheme="majorEastAsia" w:hAnsi="Times New Roman" w:cs="Times New Roman"/>
          <w:sz w:val="22"/>
          <w:szCs w:val="22"/>
          <w:u w:val="single"/>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u w:val="single"/>
          <w:lang w:val="en"/>
        </w:rPr>
        <w:t xml:space="preserve">Variable Overhead Cost </w:t>
      </w:r>
      <w:r w:rsidR="00DF5477" w:rsidRPr="00DB5227">
        <w:rPr>
          <w:rStyle w:val="y2iqfc"/>
          <w:rFonts w:ascii="Times New Roman" w:eastAsiaTheme="majorEastAsia" w:hAnsi="Times New Roman" w:cs="Times New Roman"/>
          <w:sz w:val="22"/>
          <w:szCs w:val="22"/>
          <w:u w:val="single"/>
          <w:lang w:val="en"/>
        </w:rPr>
        <w:tab/>
      </w:r>
      <w:r w:rsidR="00DF5477" w:rsidRPr="00DB5227">
        <w:rPr>
          <w:rStyle w:val="y2iqfc"/>
          <w:rFonts w:ascii="Times New Roman" w:eastAsiaTheme="majorEastAsia" w:hAnsi="Times New Roman" w:cs="Times New Roman"/>
          <w:sz w:val="22"/>
          <w:szCs w:val="22"/>
          <w:u w:val="single"/>
          <w:lang w:val="en"/>
        </w:rPr>
        <w:tab/>
      </w:r>
      <w:r>
        <w:rPr>
          <w:rStyle w:val="y2iqfc"/>
          <w:rFonts w:ascii="Times New Roman" w:eastAsiaTheme="majorEastAsia" w:hAnsi="Times New Roman" w:cs="Times New Roman"/>
          <w:sz w:val="22"/>
          <w:szCs w:val="22"/>
          <w:u w:val="single"/>
          <w:lang w:val="en"/>
        </w:rPr>
        <w:t xml:space="preserve">                 IDR</w:t>
      </w:r>
      <w:r w:rsidR="00DF5477" w:rsidRPr="00DB5227">
        <w:rPr>
          <w:rStyle w:val="y2iqfc"/>
          <w:rFonts w:ascii="Times New Roman" w:eastAsiaTheme="majorEastAsia" w:hAnsi="Times New Roman" w:cs="Times New Roman"/>
          <w:sz w:val="22"/>
          <w:szCs w:val="22"/>
          <w:u w:val="single"/>
          <w:lang w:val="en"/>
        </w:rPr>
        <w:t xml:space="preserve"> xxx (+)</w:t>
      </w:r>
    </w:p>
    <w:p w14:paraId="3DC67096" w14:textId="494000EE"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Cost of Goods Manufactured (COGS) </w:t>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00DA095B"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47A599E3" w14:textId="40227D34" w:rsidR="00DF5477" w:rsidRPr="00DB5227" w:rsidRDefault="00DF5477" w:rsidP="00DF547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COGS Per Unit = (Cost of Goods Manufactured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Total Production (Packaging))</w:t>
      </w:r>
    </w:p>
    <w:p w14:paraId="728BD7C9"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370D6B4A" w14:textId="4363CE70"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Variable Costing Method</w:t>
      </w:r>
    </w:p>
    <w:p w14:paraId="18D9C250" w14:textId="4B3EA25B"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Raw Material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75003506" w14:textId="708DCEB4"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Direct Labor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23FF2FB3" w14:textId="156E1862" w:rsidR="00DF5477" w:rsidRPr="00DB5227" w:rsidRDefault="00DB5227" w:rsidP="00DF5477">
      <w:pPr>
        <w:pStyle w:val="HTMLPreformatted"/>
        <w:rPr>
          <w:rStyle w:val="y2iqfc"/>
          <w:rFonts w:ascii="Times New Roman" w:eastAsiaTheme="majorEastAsia" w:hAnsi="Times New Roman" w:cs="Times New Roman"/>
          <w:sz w:val="22"/>
          <w:szCs w:val="22"/>
          <w:u w:val="single"/>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u w:val="single"/>
          <w:lang w:val="en"/>
        </w:rPr>
        <w:t xml:space="preserve">Variable Overhead Cost </w:t>
      </w:r>
      <w:r w:rsidR="00DF5477" w:rsidRPr="00DB5227">
        <w:rPr>
          <w:rStyle w:val="y2iqfc"/>
          <w:rFonts w:ascii="Times New Roman" w:eastAsiaTheme="majorEastAsia" w:hAnsi="Times New Roman" w:cs="Times New Roman"/>
          <w:sz w:val="22"/>
          <w:szCs w:val="22"/>
          <w:u w:val="single"/>
          <w:lang w:val="en"/>
        </w:rPr>
        <w:tab/>
      </w:r>
      <w:r w:rsidR="00DF5477" w:rsidRPr="00DB5227">
        <w:rPr>
          <w:rStyle w:val="y2iqfc"/>
          <w:rFonts w:ascii="Times New Roman" w:eastAsiaTheme="majorEastAsia" w:hAnsi="Times New Roman" w:cs="Times New Roman"/>
          <w:sz w:val="22"/>
          <w:szCs w:val="22"/>
          <w:u w:val="single"/>
          <w:lang w:val="en"/>
        </w:rPr>
        <w:tab/>
      </w:r>
      <w:r>
        <w:rPr>
          <w:rStyle w:val="y2iqfc"/>
          <w:rFonts w:ascii="Times New Roman" w:eastAsiaTheme="majorEastAsia" w:hAnsi="Times New Roman" w:cs="Times New Roman"/>
          <w:sz w:val="22"/>
          <w:szCs w:val="22"/>
          <w:u w:val="single"/>
          <w:lang w:val="en"/>
        </w:rPr>
        <w:t xml:space="preserve">                 IDR</w:t>
      </w:r>
      <w:r w:rsidR="00DF5477" w:rsidRPr="00DB5227">
        <w:rPr>
          <w:rStyle w:val="y2iqfc"/>
          <w:rFonts w:ascii="Times New Roman" w:eastAsiaTheme="majorEastAsia" w:hAnsi="Times New Roman" w:cs="Times New Roman"/>
          <w:sz w:val="22"/>
          <w:szCs w:val="22"/>
          <w:u w:val="single"/>
          <w:lang w:val="en"/>
        </w:rPr>
        <w:t xml:space="preserve"> xxx (+)</w:t>
      </w:r>
    </w:p>
    <w:p w14:paraId="0FD5BE12" w14:textId="0849C486" w:rsidR="00DF5477" w:rsidRPr="00DB5227" w:rsidRDefault="00DB522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Cost of Goods Manufactured (COGS) </w:t>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 xml:space="preserve"> IDR</w:t>
      </w:r>
      <w:r w:rsidR="00DF5477" w:rsidRPr="00DB5227">
        <w:rPr>
          <w:rStyle w:val="y2iqfc"/>
          <w:rFonts w:ascii="Times New Roman" w:eastAsiaTheme="majorEastAsia" w:hAnsi="Times New Roman" w:cs="Times New Roman"/>
          <w:sz w:val="22"/>
          <w:szCs w:val="22"/>
          <w:lang w:val="en"/>
        </w:rPr>
        <w:t xml:space="preserve"> xxx</w:t>
      </w:r>
    </w:p>
    <w:p w14:paraId="15E97C6D"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39572ACE" w14:textId="4E788CA3" w:rsidR="00DF5477" w:rsidRPr="00DB5227" w:rsidRDefault="00DF5477" w:rsidP="00DF547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COGS Per Unit = (Cost of Goods Manufactured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Total Production (Packaging))</w:t>
      </w:r>
    </w:p>
    <w:p w14:paraId="6011E611"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29B41416" w14:textId="45E7814E" w:rsidR="00DF5477" w:rsidRPr="00DB5227" w:rsidRDefault="00DB5227" w:rsidP="00DF5477">
      <w:pPr>
        <w:pStyle w:val="HTMLPreformatted"/>
        <w:numPr>
          <w:ilvl w:val="0"/>
          <w:numId w:val="1"/>
        </w:numPr>
        <w:ind w:left="426" w:hanging="426"/>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The </w:t>
      </w:r>
      <w:r w:rsidR="00DF5477" w:rsidRPr="00DB5227">
        <w:rPr>
          <w:rStyle w:val="y2iqfc"/>
          <w:rFonts w:ascii="Times New Roman" w:eastAsiaTheme="majorEastAsia" w:hAnsi="Times New Roman" w:cs="Times New Roman"/>
          <w:sz w:val="22"/>
          <w:szCs w:val="22"/>
          <w:lang w:val="en"/>
        </w:rPr>
        <w:t>Method used to determine the break-even point [13]:</w:t>
      </w:r>
    </w:p>
    <w:p w14:paraId="7C7357C5" w14:textId="77777777" w:rsidR="00DF5477" w:rsidRPr="00DB5227" w:rsidRDefault="00DF5477" w:rsidP="00DF5477">
      <w:pPr>
        <w:pStyle w:val="HTMLPreformatted"/>
        <w:jc w:val="center"/>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BEP Sales Revenue = TFC/(1-TVC/S)</w:t>
      </w:r>
    </w:p>
    <w:p w14:paraId="6FFB213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1036368A" w14:textId="51F4E7BA"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TFC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Fixed Cost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0AD713D8" w14:textId="4E949832"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TVC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Variable Cost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7820F26C" w14:textId="69CF3A20"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Sales Value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230118D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59D8C68E" w14:textId="4DF5D942"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BEP Production Volume = [</w:t>
      </w:r>
      <w:proofErr w:type="gramStart"/>
      <w:r w:rsidRPr="00DB5227">
        <w:rPr>
          <w:rStyle w:val="y2iqfc"/>
          <w:rFonts w:ascii="Times New Roman" w:eastAsiaTheme="majorEastAsia" w:hAnsi="Times New Roman" w:cs="Times New Roman"/>
          <w:sz w:val="22"/>
          <w:szCs w:val="22"/>
          <w:lang w:val="en"/>
        </w:rPr>
        <w:t>TFC[</w:t>
      </w:r>
      <w:proofErr w:type="gramEnd"/>
      <w:r w:rsidRPr="00DB5227">
        <w:rPr>
          <w:rStyle w:val="y2iqfc"/>
          <w:rFonts w:ascii="Times New Roman" w:eastAsiaTheme="majorEastAsia" w:hAnsi="Times New Roman" w:cs="Times New Roman"/>
          <w:sz w:val="22"/>
          <w:szCs w:val="22"/>
          <w:lang w:val="en"/>
        </w:rPr>
        <w:t xml:space="preserve"> /[1-TVC/S))/P]</w:t>
      </w:r>
    </w:p>
    <w:p w14:paraId="4BD06213" w14:textId="6B9C8793" w:rsidR="00BA6C97" w:rsidRDefault="00DF5477" w:rsidP="00DB522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 P: Price (IDR/Gram)</w:t>
      </w:r>
    </w:p>
    <w:p w14:paraId="6DD5145F" w14:textId="77777777" w:rsidR="00DB5227" w:rsidRPr="00DB5227" w:rsidRDefault="00DB5227" w:rsidP="00DB5227">
      <w:pPr>
        <w:pStyle w:val="HTMLPreformatted"/>
        <w:rPr>
          <w:rFonts w:ascii="Times New Roman" w:eastAsiaTheme="majorEastAsia" w:hAnsi="Times New Roman" w:cs="Times New Roman"/>
          <w:sz w:val="22"/>
          <w:szCs w:val="22"/>
          <w:lang w:val="en"/>
        </w:rPr>
      </w:pPr>
    </w:p>
    <w:p w14:paraId="0867BA1B" w14:textId="3897EBE8" w:rsidR="00DF5477" w:rsidRPr="00DB5227" w:rsidRDefault="00DF5477" w:rsidP="00DF5477">
      <w:pPr>
        <w:pStyle w:val="HTMLPreformatted"/>
        <w:numPr>
          <w:ilvl w:val="0"/>
          <w:numId w:val="1"/>
        </w:numPr>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sensitivity analysis in this study was conducted using a production cost increase scenario to determine the extent to which changes in production costs affect the business's Break-E</w:t>
      </w:r>
      <w:r w:rsidR="00555088">
        <w:rPr>
          <w:rStyle w:val="y2iqfc"/>
          <w:rFonts w:ascii="Times New Roman" w:eastAsiaTheme="majorEastAsia" w:hAnsi="Times New Roman" w:cs="Times New Roman"/>
          <w:sz w:val="22"/>
          <w:szCs w:val="22"/>
          <w:lang w:val="en"/>
        </w:rPr>
        <w:t>ven Poin</w:t>
      </w:r>
      <w:r w:rsidRPr="00DB5227">
        <w:rPr>
          <w:rStyle w:val="y2iqfc"/>
          <w:rFonts w:ascii="Times New Roman" w:eastAsiaTheme="majorEastAsia" w:hAnsi="Times New Roman" w:cs="Times New Roman"/>
          <w:sz w:val="22"/>
          <w:szCs w:val="22"/>
          <w:lang w:val="en"/>
        </w:rPr>
        <w:t>t (BEP). Sensitivity can be calculated using the formula [11]: Sensitivity = [TFC x S]</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S – TVC]</w:t>
      </w:r>
    </w:p>
    <w:p w14:paraId="0E5B4E9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5FE2B3D8" w14:textId="0B6651BC" w:rsidR="00DF5477" w:rsidRPr="00DB5227" w:rsidRDefault="00DF5477" w:rsidP="00DF5477">
      <w:pPr>
        <w:pStyle w:val="HTMLPreformatted"/>
        <w:rPr>
          <w:rStyle w:val="y2iqfc"/>
          <w:rFonts w:ascii="Times New Roman" w:eastAsiaTheme="majorEastAsia" w:hAnsi="Times New Roman" w:cs="Times New Roman"/>
          <w:sz w:val="22"/>
          <w:szCs w:val="22"/>
          <w:lang w:val="en"/>
        </w:rPr>
      </w:pPr>
      <w:proofErr w:type="gramStart"/>
      <w:r w:rsidRPr="00DB5227">
        <w:rPr>
          <w:rStyle w:val="y2iqfc"/>
          <w:rFonts w:ascii="Times New Roman" w:eastAsiaTheme="majorEastAsia" w:hAnsi="Times New Roman" w:cs="Times New Roman"/>
          <w:sz w:val="22"/>
          <w:szCs w:val="22"/>
          <w:lang w:val="en"/>
        </w:rPr>
        <w:t>TFC</w:t>
      </w:r>
      <w:r w:rsidR="00DB5227">
        <w:rPr>
          <w:rStyle w:val="y2iqfc"/>
          <w:rFonts w:ascii="Times New Roman" w:eastAsiaTheme="majorEastAsia" w:hAnsi="Times New Roman" w:cs="Times New Roman"/>
          <w:sz w:val="22"/>
          <w:szCs w:val="22"/>
          <w:lang w:val="en"/>
        </w:rPr>
        <w:t xml:space="preserve">  =</w:t>
      </w:r>
      <w:proofErr w:type="gramEnd"/>
      <w:r w:rsidRPr="00DB5227">
        <w:rPr>
          <w:rStyle w:val="y2iqfc"/>
          <w:rFonts w:ascii="Times New Roman" w:eastAsiaTheme="majorEastAsia" w:hAnsi="Times New Roman" w:cs="Times New Roman"/>
          <w:sz w:val="22"/>
          <w:szCs w:val="22"/>
          <w:lang w:val="en"/>
        </w:rPr>
        <w:t xml:space="preserve"> Total Fixed Cost (IDR/Month)</w:t>
      </w:r>
    </w:p>
    <w:p w14:paraId="171A6021" w14:textId="6CC2F0F4"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TVC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Variable Cost (IDR/Month)</w:t>
      </w:r>
    </w:p>
    <w:p w14:paraId="69E692B9" w14:textId="40969B24" w:rsidR="00DF5477" w:rsidRPr="00DB5227" w:rsidRDefault="00DF5477" w:rsidP="00DF547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lastRenderedPageBreak/>
        <w:t>S</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Sales Value (IDR/Month)</w:t>
      </w:r>
    </w:p>
    <w:p w14:paraId="2B24DC73" w14:textId="77777777" w:rsidR="00DF5477" w:rsidRPr="00DB5227" w:rsidRDefault="00DF5477" w:rsidP="005B214E">
      <w:pPr>
        <w:rPr>
          <w:rFonts w:ascii="Times New Roman" w:hAnsi="Times New Roman" w:cs="Times New Roman"/>
        </w:rPr>
      </w:pPr>
    </w:p>
    <w:p w14:paraId="0884C62D" w14:textId="49083AEF" w:rsidR="005B214E" w:rsidRPr="00DB5227" w:rsidRDefault="00096949" w:rsidP="005B214E">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 xml:space="preserve">3.0 </w:t>
      </w:r>
      <w:r w:rsidR="005B214E" w:rsidRPr="00DB5227">
        <w:rPr>
          <w:rStyle w:val="y2iqfc"/>
          <w:rFonts w:ascii="Times New Roman" w:eastAsiaTheme="majorEastAsia" w:hAnsi="Times New Roman" w:cs="Times New Roman"/>
          <w:b/>
          <w:bCs/>
          <w:sz w:val="22"/>
          <w:szCs w:val="22"/>
          <w:lang w:val="en"/>
        </w:rPr>
        <w:t>RESULTS AND DISCUSSION</w:t>
      </w:r>
    </w:p>
    <w:p w14:paraId="68B34EBD" w14:textId="77777777" w:rsidR="005B214E" w:rsidRPr="00096949" w:rsidRDefault="005B214E" w:rsidP="005B214E">
      <w:pPr>
        <w:pStyle w:val="HTMLPreformatted"/>
        <w:rPr>
          <w:rStyle w:val="y2iqfc"/>
          <w:rFonts w:ascii="Times New Roman" w:eastAsiaTheme="majorEastAsia" w:hAnsi="Times New Roman" w:cs="Times New Roman"/>
          <w:b/>
          <w:bCs/>
          <w:sz w:val="22"/>
          <w:szCs w:val="22"/>
          <w:highlight w:val="red"/>
          <w:lang w:val="en"/>
        </w:rPr>
      </w:pPr>
      <w:r w:rsidRPr="00096949">
        <w:rPr>
          <w:rStyle w:val="y2iqfc"/>
          <w:rFonts w:ascii="Times New Roman" w:eastAsiaTheme="majorEastAsia" w:hAnsi="Times New Roman" w:cs="Times New Roman"/>
          <w:b/>
          <w:bCs/>
          <w:sz w:val="22"/>
          <w:szCs w:val="22"/>
          <w:highlight w:val="red"/>
          <w:lang w:val="en"/>
        </w:rPr>
        <w:t>1. Respondents</w:t>
      </w:r>
    </w:p>
    <w:p w14:paraId="41E090D0" w14:textId="77777777" w:rsidR="005B214E" w:rsidRPr="00096949" w:rsidRDefault="005B214E" w:rsidP="005B214E">
      <w:pPr>
        <w:pStyle w:val="HTMLPreformatted"/>
        <w:ind w:firstLine="567"/>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The respondent in this study was Risa Agustina, a 26-year-old owner of the JATAM MSME. Based on the definition of the Central Statistics Agency (BPS), the productive age group includes individuals aged 15 to 64. Therefore, the owner is within her productive age, generally possessing the energy, adaptability, and capacity to drive business growth [14]. Her most recent formal education was high school (SMA). She also actively participates in training organized by the Department of Industry, Trade, and Cooperatives (Disperindagkop), which focuses on MSME development, thus contributing to improving the respondents' business management skills.</w:t>
      </w:r>
    </w:p>
    <w:p w14:paraId="2F12A04E" w14:textId="77777777" w:rsidR="00DB5227" w:rsidRPr="00096949" w:rsidRDefault="00DB5227" w:rsidP="005B214E">
      <w:pPr>
        <w:pStyle w:val="HTMLPreformatted"/>
        <w:ind w:firstLine="567"/>
        <w:jc w:val="both"/>
        <w:rPr>
          <w:rStyle w:val="y2iqfc"/>
          <w:rFonts w:ascii="Times New Roman" w:eastAsiaTheme="majorEastAsia" w:hAnsi="Times New Roman" w:cs="Times New Roman"/>
          <w:sz w:val="22"/>
          <w:szCs w:val="22"/>
          <w:highlight w:val="red"/>
          <w:lang w:val="en"/>
        </w:rPr>
      </w:pPr>
    </w:p>
    <w:p w14:paraId="5F204178" w14:textId="77777777" w:rsidR="005B214E" w:rsidRPr="00096949" w:rsidRDefault="005B214E" w:rsidP="005B214E">
      <w:pPr>
        <w:pStyle w:val="HTMLPreformatted"/>
        <w:rPr>
          <w:rStyle w:val="y2iqfc"/>
          <w:rFonts w:ascii="Times New Roman" w:eastAsiaTheme="majorEastAsia" w:hAnsi="Times New Roman" w:cs="Times New Roman"/>
          <w:b/>
          <w:bCs/>
          <w:sz w:val="22"/>
          <w:szCs w:val="22"/>
          <w:highlight w:val="red"/>
          <w:lang w:val="en"/>
        </w:rPr>
      </w:pPr>
      <w:r w:rsidRPr="00096949">
        <w:rPr>
          <w:rStyle w:val="y2iqfc"/>
          <w:rFonts w:ascii="Times New Roman" w:eastAsiaTheme="majorEastAsia" w:hAnsi="Times New Roman" w:cs="Times New Roman"/>
          <w:b/>
          <w:bCs/>
          <w:sz w:val="22"/>
          <w:szCs w:val="22"/>
          <w:highlight w:val="red"/>
          <w:lang w:val="en"/>
        </w:rPr>
        <w:t>2. Overview of JATAM MSME</w:t>
      </w:r>
    </w:p>
    <w:p w14:paraId="737C847D" w14:textId="3B983B8A" w:rsidR="005B214E" w:rsidRPr="00096949" w:rsidRDefault="005B214E" w:rsidP="005B214E">
      <w:pPr>
        <w:pStyle w:val="HTMLPreformatted"/>
        <w:ind w:firstLine="567"/>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 xml:space="preserve">JATAM is an MSME located in </w:t>
      </w:r>
      <w:proofErr w:type="spellStart"/>
      <w:r w:rsidRPr="00096949">
        <w:rPr>
          <w:rStyle w:val="y2iqfc"/>
          <w:rFonts w:ascii="Times New Roman" w:eastAsiaTheme="majorEastAsia" w:hAnsi="Times New Roman" w:cs="Times New Roman"/>
          <w:sz w:val="22"/>
          <w:szCs w:val="22"/>
          <w:highlight w:val="red"/>
          <w:lang w:val="en"/>
        </w:rPr>
        <w:t>Samarinda</w:t>
      </w:r>
      <w:proofErr w:type="spellEnd"/>
      <w:r w:rsidRPr="00096949">
        <w:rPr>
          <w:rStyle w:val="y2iqfc"/>
          <w:rFonts w:ascii="Times New Roman" w:eastAsiaTheme="majorEastAsia" w:hAnsi="Times New Roman" w:cs="Times New Roman"/>
          <w:sz w:val="22"/>
          <w:szCs w:val="22"/>
          <w:highlight w:val="red"/>
          <w:lang w:val="en"/>
        </w:rPr>
        <w:t xml:space="preserve"> City, specifically on Jalan Poros Kebun Agung RT. 3 No. 51, </w:t>
      </w:r>
      <w:proofErr w:type="spellStart"/>
      <w:r w:rsidRPr="00096949">
        <w:rPr>
          <w:rStyle w:val="y2iqfc"/>
          <w:rFonts w:ascii="Times New Roman" w:eastAsiaTheme="majorEastAsia" w:hAnsi="Times New Roman" w:cs="Times New Roman"/>
          <w:sz w:val="22"/>
          <w:szCs w:val="22"/>
          <w:highlight w:val="red"/>
          <w:lang w:val="en"/>
        </w:rPr>
        <w:t>Lempake</w:t>
      </w:r>
      <w:proofErr w:type="spellEnd"/>
      <w:r w:rsidRPr="00096949">
        <w:rPr>
          <w:rStyle w:val="y2iqfc"/>
          <w:rFonts w:ascii="Times New Roman" w:eastAsiaTheme="majorEastAsia" w:hAnsi="Times New Roman" w:cs="Times New Roman"/>
          <w:sz w:val="22"/>
          <w:szCs w:val="22"/>
          <w:highlight w:val="red"/>
          <w:lang w:val="en"/>
        </w:rPr>
        <w:t xml:space="preserve"> Village, North </w:t>
      </w:r>
      <w:proofErr w:type="spellStart"/>
      <w:r w:rsidRPr="00096949">
        <w:rPr>
          <w:rStyle w:val="y2iqfc"/>
          <w:rFonts w:ascii="Times New Roman" w:eastAsiaTheme="majorEastAsia" w:hAnsi="Times New Roman" w:cs="Times New Roman"/>
          <w:sz w:val="22"/>
          <w:szCs w:val="22"/>
          <w:highlight w:val="red"/>
          <w:lang w:val="en"/>
        </w:rPr>
        <w:t>Samarinda</w:t>
      </w:r>
      <w:proofErr w:type="spellEnd"/>
      <w:r w:rsidRPr="00096949">
        <w:rPr>
          <w:rStyle w:val="y2iqfc"/>
          <w:rFonts w:ascii="Times New Roman" w:eastAsiaTheme="majorEastAsia" w:hAnsi="Times New Roman" w:cs="Times New Roman"/>
          <w:sz w:val="22"/>
          <w:szCs w:val="22"/>
          <w:highlight w:val="red"/>
          <w:lang w:val="en"/>
        </w:rPr>
        <w:t xml:space="preserve"> District. Its establishment was motivated by the consideration that one of the MSME owner's family members, her in-laws, is an oyster mushroom farmer. Due to the perishable nature of oyster mushrooms, the idea arose to increase the product's shelf life by processing it into oyster mushroom chips. The oyster mushroom chips produced by the JATAM MSME have a shelf life of five to six months.</w:t>
      </w:r>
    </w:p>
    <w:p w14:paraId="1B2AE5BB" w14:textId="77777777" w:rsidR="005B214E" w:rsidRPr="00096949" w:rsidRDefault="005B214E" w:rsidP="005B214E">
      <w:pPr>
        <w:pStyle w:val="HTMLPreformatted"/>
        <w:ind w:firstLine="567"/>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JATAM MSME has been operating for two years, having been established in November 2022 with an initial capital of IDR 2,000,000.00. The quality of JATAM's chips is meticulously maintained, ensuring both taste and crispiness. During its production process, JATAM MSME has received official recognition in the form of a certificate from the Health Office with number SPP-IRT 5046472010233-27, issued on December 1, 2022. Furthermore, JATAM's chips were also certified halal by the Indonesian Ulema Council (MUI) on January 12, 2023, with certificate number ID 64110001304801222, guaranteeing the chips' halal status.</w:t>
      </w:r>
    </w:p>
    <w:p w14:paraId="57BBFA85" w14:textId="3741FDA5" w:rsidR="005B214E" w:rsidRPr="00096949" w:rsidRDefault="005B214E" w:rsidP="005B214E">
      <w:pPr>
        <w:pStyle w:val="HTMLPreformatted"/>
        <w:ind w:firstLine="567"/>
        <w:jc w:val="both"/>
        <w:rPr>
          <w:rFonts w:ascii="Times New Roman" w:hAnsi="Times New Roman" w:cs="Times New Roman"/>
          <w:sz w:val="22"/>
          <w:szCs w:val="22"/>
          <w:highlight w:val="red"/>
        </w:rPr>
      </w:pPr>
      <w:r w:rsidRPr="00096949">
        <w:rPr>
          <w:rStyle w:val="y2iqfc"/>
          <w:rFonts w:ascii="Times New Roman" w:eastAsiaTheme="majorEastAsia" w:hAnsi="Times New Roman" w:cs="Times New Roman"/>
          <w:sz w:val="22"/>
          <w:szCs w:val="22"/>
          <w:highlight w:val="red"/>
          <w:lang w:val="en"/>
        </w:rPr>
        <w:t xml:space="preserve">JATAM MSME has undertaken various strategic efforts to improve the quality of its products, thereby qualifying to market JATAM chips to major retailers. These oyster mushroom chips are marketed at Rp 17,000 per 85-gram package. Over the past two years, JATAM has completed a partnership with Toko Oleh-oleh Najwa, located on Jalan </w:t>
      </w:r>
      <w:proofErr w:type="spellStart"/>
      <w:r w:rsidRPr="00096949">
        <w:rPr>
          <w:rStyle w:val="y2iqfc"/>
          <w:rFonts w:ascii="Times New Roman" w:eastAsiaTheme="majorEastAsia" w:hAnsi="Times New Roman" w:cs="Times New Roman"/>
          <w:sz w:val="22"/>
          <w:szCs w:val="22"/>
          <w:highlight w:val="red"/>
          <w:lang w:val="en"/>
        </w:rPr>
        <w:t>Pangeran</w:t>
      </w:r>
      <w:proofErr w:type="spellEnd"/>
      <w:r w:rsidRPr="00096949">
        <w:rPr>
          <w:rStyle w:val="y2iqfc"/>
          <w:rFonts w:ascii="Times New Roman" w:eastAsiaTheme="majorEastAsia" w:hAnsi="Times New Roman" w:cs="Times New Roman"/>
          <w:sz w:val="22"/>
          <w:szCs w:val="22"/>
          <w:highlight w:val="red"/>
          <w:lang w:val="en"/>
        </w:rPr>
        <w:t xml:space="preserve"> </w:t>
      </w:r>
      <w:proofErr w:type="spellStart"/>
      <w:r w:rsidRPr="00096949">
        <w:rPr>
          <w:rStyle w:val="y2iqfc"/>
          <w:rFonts w:ascii="Times New Roman" w:eastAsiaTheme="majorEastAsia" w:hAnsi="Times New Roman" w:cs="Times New Roman"/>
          <w:sz w:val="22"/>
          <w:szCs w:val="22"/>
          <w:highlight w:val="red"/>
          <w:lang w:val="en"/>
        </w:rPr>
        <w:t>Antasari</w:t>
      </w:r>
      <w:proofErr w:type="spellEnd"/>
      <w:r w:rsidRPr="00096949">
        <w:rPr>
          <w:rStyle w:val="y2iqfc"/>
          <w:rFonts w:ascii="Times New Roman" w:eastAsiaTheme="majorEastAsia" w:hAnsi="Times New Roman" w:cs="Times New Roman"/>
          <w:sz w:val="22"/>
          <w:szCs w:val="22"/>
          <w:highlight w:val="red"/>
          <w:lang w:val="en"/>
        </w:rPr>
        <w:t xml:space="preserve">. Furthermore, JATAM chips are also marketed in several local supermarkets, including </w:t>
      </w:r>
      <w:proofErr w:type="spellStart"/>
      <w:r w:rsidRPr="00096949">
        <w:rPr>
          <w:rStyle w:val="y2iqfc"/>
          <w:rFonts w:ascii="Times New Roman" w:eastAsiaTheme="majorEastAsia" w:hAnsi="Times New Roman" w:cs="Times New Roman"/>
          <w:sz w:val="22"/>
          <w:szCs w:val="22"/>
          <w:highlight w:val="red"/>
          <w:lang w:val="en"/>
        </w:rPr>
        <w:t>Hypermart</w:t>
      </w:r>
      <w:proofErr w:type="spellEnd"/>
      <w:r w:rsidRPr="00096949">
        <w:rPr>
          <w:rStyle w:val="y2iqfc"/>
          <w:rFonts w:ascii="Times New Roman" w:eastAsiaTheme="majorEastAsia" w:hAnsi="Times New Roman" w:cs="Times New Roman"/>
          <w:sz w:val="22"/>
          <w:szCs w:val="22"/>
          <w:highlight w:val="red"/>
          <w:lang w:val="en"/>
        </w:rPr>
        <w:t xml:space="preserve">, </w:t>
      </w:r>
      <w:proofErr w:type="spellStart"/>
      <w:r w:rsidRPr="00096949">
        <w:rPr>
          <w:rStyle w:val="y2iqfc"/>
          <w:rFonts w:ascii="Times New Roman" w:eastAsiaTheme="majorEastAsia" w:hAnsi="Times New Roman" w:cs="Times New Roman"/>
          <w:sz w:val="22"/>
          <w:szCs w:val="22"/>
          <w:highlight w:val="red"/>
          <w:lang w:val="en"/>
        </w:rPr>
        <w:t>Foodmart</w:t>
      </w:r>
      <w:proofErr w:type="spellEnd"/>
      <w:r w:rsidRPr="00096949">
        <w:rPr>
          <w:rStyle w:val="y2iqfc"/>
          <w:rFonts w:ascii="Times New Roman" w:eastAsiaTheme="majorEastAsia" w:hAnsi="Times New Roman" w:cs="Times New Roman"/>
          <w:sz w:val="22"/>
          <w:szCs w:val="22"/>
          <w:highlight w:val="red"/>
          <w:lang w:val="en"/>
        </w:rPr>
        <w:t xml:space="preserve">, Farmers Market, </w:t>
      </w:r>
      <w:proofErr w:type="spellStart"/>
      <w:r w:rsidRPr="00096949">
        <w:rPr>
          <w:rStyle w:val="y2iqfc"/>
          <w:rFonts w:ascii="Times New Roman" w:eastAsiaTheme="majorEastAsia" w:hAnsi="Times New Roman" w:cs="Times New Roman"/>
          <w:sz w:val="22"/>
          <w:szCs w:val="22"/>
          <w:highlight w:val="red"/>
          <w:lang w:val="en"/>
        </w:rPr>
        <w:t>Joymart</w:t>
      </w:r>
      <w:proofErr w:type="spellEnd"/>
      <w:r w:rsidRPr="00096949">
        <w:rPr>
          <w:rStyle w:val="y2iqfc"/>
          <w:rFonts w:ascii="Times New Roman" w:eastAsiaTheme="majorEastAsia" w:hAnsi="Times New Roman" w:cs="Times New Roman"/>
          <w:sz w:val="22"/>
          <w:szCs w:val="22"/>
          <w:highlight w:val="red"/>
          <w:lang w:val="en"/>
        </w:rPr>
        <w:t xml:space="preserve">, and Mega </w:t>
      </w:r>
      <w:proofErr w:type="spellStart"/>
      <w:r w:rsidRPr="00096949">
        <w:rPr>
          <w:rStyle w:val="y2iqfc"/>
          <w:rFonts w:ascii="Times New Roman" w:eastAsiaTheme="majorEastAsia" w:hAnsi="Times New Roman" w:cs="Times New Roman"/>
          <w:sz w:val="22"/>
          <w:szCs w:val="22"/>
          <w:highlight w:val="red"/>
          <w:lang w:val="en"/>
        </w:rPr>
        <w:t>Swalayan</w:t>
      </w:r>
      <w:proofErr w:type="spellEnd"/>
      <w:r w:rsidRPr="00096949">
        <w:rPr>
          <w:rStyle w:val="y2iqfc"/>
          <w:rFonts w:ascii="Times New Roman" w:eastAsiaTheme="majorEastAsia" w:hAnsi="Times New Roman" w:cs="Times New Roman"/>
          <w:sz w:val="22"/>
          <w:szCs w:val="22"/>
          <w:highlight w:val="red"/>
          <w:lang w:val="en"/>
        </w:rPr>
        <w:t>.</w:t>
      </w:r>
    </w:p>
    <w:p w14:paraId="575BA530" w14:textId="77777777" w:rsidR="005B214E" w:rsidRPr="00096949" w:rsidRDefault="005B214E" w:rsidP="005B214E">
      <w:pPr>
        <w:pStyle w:val="HTMLPreformatted"/>
        <w:ind w:firstLine="567"/>
        <w:jc w:val="both"/>
        <w:rPr>
          <w:rFonts w:ascii="Times New Roman" w:hAnsi="Times New Roman" w:cs="Times New Roman"/>
          <w:sz w:val="22"/>
          <w:szCs w:val="22"/>
          <w:highlight w:val="red"/>
        </w:rPr>
      </w:pPr>
    </w:p>
    <w:p w14:paraId="4E87B8B7" w14:textId="77777777" w:rsidR="005B214E" w:rsidRPr="00096949" w:rsidRDefault="005B214E" w:rsidP="005B214E">
      <w:pPr>
        <w:pStyle w:val="HTMLPreformatted"/>
        <w:rPr>
          <w:rStyle w:val="y2iqfc"/>
          <w:rFonts w:ascii="Times New Roman" w:eastAsiaTheme="majorEastAsia" w:hAnsi="Times New Roman" w:cs="Times New Roman"/>
          <w:b/>
          <w:bCs/>
          <w:sz w:val="22"/>
          <w:szCs w:val="22"/>
          <w:highlight w:val="red"/>
          <w:lang w:val="en"/>
        </w:rPr>
      </w:pPr>
      <w:r w:rsidRPr="00096949">
        <w:rPr>
          <w:rStyle w:val="y2iqfc"/>
          <w:rFonts w:ascii="Times New Roman" w:eastAsiaTheme="majorEastAsia" w:hAnsi="Times New Roman" w:cs="Times New Roman"/>
          <w:b/>
          <w:bCs/>
          <w:sz w:val="22"/>
          <w:szCs w:val="22"/>
          <w:highlight w:val="red"/>
          <w:lang w:val="en"/>
        </w:rPr>
        <w:t>3.</w:t>
      </w:r>
      <w:r w:rsidRPr="00096949">
        <w:rPr>
          <w:rStyle w:val="y2iqfc"/>
          <w:rFonts w:ascii="Times New Roman" w:eastAsiaTheme="majorEastAsia" w:hAnsi="Times New Roman" w:cs="Times New Roman"/>
          <w:sz w:val="22"/>
          <w:szCs w:val="22"/>
          <w:highlight w:val="red"/>
          <w:lang w:val="en"/>
        </w:rPr>
        <w:t xml:space="preserve"> </w:t>
      </w:r>
      <w:r w:rsidRPr="00096949">
        <w:rPr>
          <w:rStyle w:val="y2iqfc"/>
          <w:rFonts w:ascii="Times New Roman" w:eastAsiaTheme="majorEastAsia" w:hAnsi="Times New Roman" w:cs="Times New Roman"/>
          <w:b/>
          <w:bCs/>
          <w:sz w:val="22"/>
          <w:szCs w:val="22"/>
          <w:highlight w:val="red"/>
          <w:lang w:val="en"/>
        </w:rPr>
        <w:t>Oyster Mushroom Chip Production Process at JATAM MSME</w:t>
      </w:r>
    </w:p>
    <w:p w14:paraId="47C6285C" w14:textId="77777777" w:rsidR="005B214E" w:rsidRPr="00096949" w:rsidRDefault="005B214E" w:rsidP="005B214E">
      <w:pPr>
        <w:pStyle w:val="HTMLPreformatted"/>
        <w:ind w:firstLine="567"/>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JATAM MSME produces once a week, resulting in four production runs per month. In one production run, 10 kg of fresh oyster mushrooms can produce 100 packages. The stages in the oyster mushroom chip production process are as follows:</w:t>
      </w:r>
    </w:p>
    <w:p w14:paraId="18073022" w14:textId="79AC7F06" w:rsidR="005B214E" w:rsidRPr="00096949" w:rsidRDefault="005B214E" w:rsidP="00DB5227">
      <w:pPr>
        <w:pStyle w:val="HTMLPreformatted"/>
        <w:ind w:left="284" w:hanging="284"/>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 xml:space="preserve">a. Ingredients preparation: The ingredients used to process oyster mushrooms into oyster mushroom chips are fresh white oyster mushrooms, water, wheat flour, rice flour, tapioca flour, mixed and flavored with flavorings (sugar, salt, and chicken-flavored </w:t>
      </w:r>
      <w:proofErr w:type="spellStart"/>
      <w:r w:rsidRPr="00096949">
        <w:rPr>
          <w:rStyle w:val="y2iqfc"/>
          <w:rFonts w:ascii="Times New Roman" w:eastAsiaTheme="majorEastAsia" w:hAnsi="Times New Roman" w:cs="Times New Roman"/>
          <w:sz w:val="22"/>
          <w:szCs w:val="22"/>
          <w:highlight w:val="red"/>
          <w:lang w:val="en"/>
        </w:rPr>
        <w:t>masako</w:t>
      </w:r>
      <w:proofErr w:type="spellEnd"/>
      <w:r w:rsidRPr="00096949">
        <w:rPr>
          <w:rStyle w:val="y2iqfc"/>
          <w:rFonts w:ascii="Times New Roman" w:eastAsiaTheme="majorEastAsia" w:hAnsi="Times New Roman" w:cs="Times New Roman"/>
          <w:sz w:val="22"/>
          <w:szCs w:val="22"/>
          <w:highlight w:val="red"/>
          <w:lang w:val="en"/>
        </w:rPr>
        <w:t xml:space="preserve">), as well as seasonings in various flavors: </w:t>
      </w:r>
      <w:proofErr w:type="spellStart"/>
      <w:r w:rsidRPr="00096949">
        <w:rPr>
          <w:rStyle w:val="y2iqfc"/>
          <w:rFonts w:ascii="Times New Roman" w:eastAsiaTheme="majorEastAsia" w:hAnsi="Times New Roman" w:cs="Times New Roman"/>
          <w:sz w:val="22"/>
          <w:szCs w:val="22"/>
          <w:highlight w:val="red"/>
          <w:lang w:val="en"/>
        </w:rPr>
        <w:t>Antaka</w:t>
      </w:r>
      <w:proofErr w:type="spellEnd"/>
      <w:r w:rsidRPr="00096949">
        <w:rPr>
          <w:rStyle w:val="y2iqfc"/>
          <w:rFonts w:ascii="Times New Roman" w:eastAsiaTheme="majorEastAsia" w:hAnsi="Times New Roman" w:cs="Times New Roman"/>
          <w:sz w:val="22"/>
          <w:szCs w:val="22"/>
          <w:highlight w:val="red"/>
          <w:lang w:val="en"/>
        </w:rPr>
        <w:t xml:space="preserve"> roasted corn, </w:t>
      </w:r>
      <w:proofErr w:type="spellStart"/>
      <w:r w:rsidRPr="00096949">
        <w:rPr>
          <w:rStyle w:val="y2iqfc"/>
          <w:rFonts w:ascii="Times New Roman" w:eastAsiaTheme="majorEastAsia" w:hAnsi="Times New Roman" w:cs="Times New Roman"/>
          <w:sz w:val="22"/>
          <w:szCs w:val="22"/>
          <w:highlight w:val="red"/>
          <w:lang w:val="en"/>
        </w:rPr>
        <w:t>Antaka</w:t>
      </w:r>
      <w:proofErr w:type="spellEnd"/>
      <w:r w:rsidRPr="00096949">
        <w:rPr>
          <w:rStyle w:val="y2iqfc"/>
          <w:rFonts w:ascii="Times New Roman" w:eastAsiaTheme="majorEastAsia" w:hAnsi="Times New Roman" w:cs="Times New Roman"/>
          <w:sz w:val="22"/>
          <w:szCs w:val="22"/>
          <w:highlight w:val="red"/>
          <w:lang w:val="en"/>
        </w:rPr>
        <w:t xml:space="preserve"> barbecue, and </w:t>
      </w:r>
      <w:proofErr w:type="spellStart"/>
      <w:r w:rsidRPr="00096949">
        <w:rPr>
          <w:rStyle w:val="y2iqfc"/>
          <w:rFonts w:ascii="Times New Roman" w:eastAsiaTheme="majorEastAsia" w:hAnsi="Times New Roman" w:cs="Times New Roman"/>
          <w:sz w:val="22"/>
          <w:szCs w:val="22"/>
          <w:highlight w:val="red"/>
          <w:lang w:val="en"/>
        </w:rPr>
        <w:t>Antaka</w:t>
      </w:r>
      <w:proofErr w:type="spellEnd"/>
      <w:r w:rsidRPr="00096949">
        <w:rPr>
          <w:rStyle w:val="y2iqfc"/>
          <w:rFonts w:ascii="Times New Roman" w:eastAsiaTheme="majorEastAsia" w:hAnsi="Times New Roman" w:cs="Times New Roman"/>
          <w:sz w:val="22"/>
          <w:szCs w:val="22"/>
          <w:highlight w:val="red"/>
          <w:lang w:val="en"/>
        </w:rPr>
        <w:t xml:space="preserve"> </w:t>
      </w:r>
      <w:proofErr w:type="spellStart"/>
      <w:r w:rsidRPr="00096949">
        <w:rPr>
          <w:rStyle w:val="y2iqfc"/>
          <w:rFonts w:ascii="Times New Roman" w:eastAsiaTheme="majorEastAsia" w:hAnsi="Times New Roman" w:cs="Times New Roman"/>
          <w:sz w:val="22"/>
          <w:szCs w:val="22"/>
          <w:highlight w:val="red"/>
          <w:lang w:val="en"/>
        </w:rPr>
        <w:t>balado</w:t>
      </w:r>
      <w:proofErr w:type="spellEnd"/>
      <w:r w:rsidRPr="00096949">
        <w:rPr>
          <w:rStyle w:val="y2iqfc"/>
          <w:rFonts w:ascii="Times New Roman" w:eastAsiaTheme="majorEastAsia" w:hAnsi="Times New Roman" w:cs="Times New Roman"/>
          <w:sz w:val="22"/>
          <w:szCs w:val="22"/>
          <w:highlight w:val="red"/>
          <w:lang w:val="en"/>
        </w:rPr>
        <w:t>.</w:t>
      </w:r>
    </w:p>
    <w:p w14:paraId="66CE529A" w14:textId="77777777" w:rsidR="005B214E" w:rsidRPr="00096949" w:rsidRDefault="005B214E" w:rsidP="00DB5227">
      <w:pPr>
        <w:pStyle w:val="HTMLPreformatted"/>
        <w:ind w:left="284" w:hanging="284"/>
        <w:jc w:val="both"/>
        <w:rPr>
          <w:rFonts w:ascii="Times New Roman" w:hAnsi="Times New Roman" w:cs="Times New Roman"/>
          <w:sz w:val="22"/>
          <w:szCs w:val="22"/>
          <w:highlight w:val="red"/>
        </w:rPr>
      </w:pPr>
      <w:r w:rsidRPr="00096949">
        <w:rPr>
          <w:rStyle w:val="y2iqfc"/>
          <w:rFonts w:ascii="Times New Roman" w:eastAsiaTheme="majorEastAsia" w:hAnsi="Times New Roman" w:cs="Times New Roman"/>
          <w:sz w:val="22"/>
          <w:szCs w:val="22"/>
          <w:highlight w:val="red"/>
          <w:lang w:val="en"/>
        </w:rPr>
        <w:t xml:space="preserve">b. Mixing the wet dough: The wet dough is made by mixing wheat flour, rice flour, and tapioca flour, seasoned with flavorings (sugar, salt, and chicken-flavored </w:t>
      </w:r>
      <w:proofErr w:type="spellStart"/>
      <w:r w:rsidRPr="00096949">
        <w:rPr>
          <w:rStyle w:val="y2iqfc"/>
          <w:rFonts w:ascii="Times New Roman" w:eastAsiaTheme="majorEastAsia" w:hAnsi="Times New Roman" w:cs="Times New Roman"/>
          <w:sz w:val="22"/>
          <w:szCs w:val="22"/>
          <w:highlight w:val="red"/>
          <w:lang w:val="en"/>
        </w:rPr>
        <w:t>masako</w:t>
      </w:r>
      <w:proofErr w:type="spellEnd"/>
      <w:r w:rsidRPr="00096949">
        <w:rPr>
          <w:rStyle w:val="y2iqfc"/>
          <w:rFonts w:ascii="Times New Roman" w:eastAsiaTheme="majorEastAsia" w:hAnsi="Times New Roman" w:cs="Times New Roman"/>
          <w:sz w:val="22"/>
          <w:szCs w:val="22"/>
          <w:highlight w:val="red"/>
          <w:lang w:val="en"/>
        </w:rPr>
        <w:t>). Once the dough is thoroughly mixed, the fresh oyster mushrooms are added to the mixture.</w:t>
      </w:r>
    </w:p>
    <w:p w14:paraId="42C20861" w14:textId="3AD1A297" w:rsidR="005B214E" w:rsidRPr="00096949" w:rsidRDefault="005B214E" w:rsidP="00DB5227">
      <w:pPr>
        <w:pStyle w:val="HTMLPreformatted"/>
        <w:ind w:left="284" w:hanging="284"/>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 xml:space="preserve">c. Mixing the dry flour mixture: Oyster mushrooms coated in the wet flour mixture are dipped one by one into the dry flour mixture, a mixture of wheat flour, rice flour, and tapioca flour, seasoned with additional seasonings (sugar, salt, and chicken-flavored </w:t>
      </w:r>
      <w:proofErr w:type="spellStart"/>
      <w:r w:rsidRPr="00096949">
        <w:rPr>
          <w:rStyle w:val="y2iqfc"/>
          <w:rFonts w:ascii="Times New Roman" w:eastAsiaTheme="majorEastAsia" w:hAnsi="Times New Roman" w:cs="Times New Roman"/>
          <w:sz w:val="22"/>
          <w:szCs w:val="22"/>
          <w:highlight w:val="red"/>
          <w:lang w:val="en"/>
        </w:rPr>
        <w:t>masako</w:t>
      </w:r>
      <w:proofErr w:type="spellEnd"/>
      <w:r w:rsidRPr="00096949">
        <w:rPr>
          <w:rStyle w:val="y2iqfc"/>
          <w:rFonts w:ascii="Times New Roman" w:eastAsiaTheme="majorEastAsia" w:hAnsi="Times New Roman" w:cs="Times New Roman"/>
          <w:sz w:val="22"/>
          <w:szCs w:val="22"/>
          <w:highlight w:val="red"/>
          <w:lang w:val="en"/>
        </w:rPr>
        <w:t>).</w:t>
      </w:r>
    </w:p>
    <w:p w14:paraId="28C85C9D" w14:textId="77777777" w:rsidR="005B214E" w:rsidRPr="00096949" w:rsidRDefault="005B214E" w:rsidP="00DB5227">
      <w:pPr>
        <w:pStyle w:val="HTMLPreformatted"/>
        <w:ind w:left="284" w:hanging="284"/>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d. Sifting the mixture: Sifting ensures the flour doesn't stick too much to the mushrooms, resulting in a crispier fried product.</w:t>
      </w:r>
    </w:p>
    <w:p w14:paraId="2995B1AD" w14:textId="77777777" w:rsidR="005B214E" w:rsidRPr="00096949" w:rsidRDefault="005B214E" w:rsidP="00DB5227">
      <w:pPr>
        <w:pStyle w:val="HTMLPreformatted"/>
        <w:ind w:left="284" w:hanging="284"/>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t>e. Frying: The first stage is carried out at 180°C until half-cooked, indicated by a yellow color change. The second stage is carried out at a maximum temperature of 100°C, continuing to fry until fully cooked, indicated by a brown color change.</w:t>
      </w:r>
    </w:p>
    <w:p w14:paraId="6ECE0DFD" w14:textId="77777777" w:rsidR="005B214E" w:rsidRPr="00096949" w:rsidRDefault="005B214E" w:rsidP="00DB5227">
      <w:pPr>
        <w:pStyle w:val="HTMLPreformatted"/>
        <w:ind w:left="284" w:hanging="284"/>
        <w:jc w:val="both"/>
        <w:rPr>
          <w:rStyle w:val="y2iqfc"/>
          <w:rFonts w:ascii="Times New Roman" w:eastAsiaTheme="majorEastAsia" w:hAnsi="Times New Roman" w:cs="Times New Roman"/>
          <w:sz w:val="22"/>
          <w:szCs w:val="22"/>
          <w:highlight w:val="red"/>
          <w:lang w:val="en"/>
        </w:rPr>
      </w:pPr>
      <w:r w:rsidRPr="00096949">
        <w:rPr>
          <w:rStyle w:val="y2iqfc"/>
          <w:rFonts w:ascii="Times New Roman" w:eastAsiaTheme="majorEastAsia" w:hAnsi="Times New Roman" w:cs="Times New Roman"/>
          <w:sz w:val="22"/>
          <w:szCs w:val="22"/>
          <w:highlight w:val="red"/>
          <w:lang w:val="en"/>
        </w:rPr>
        <w:lastRenderedPageBreak/>
        <w:t>f. Draining the chips: Draining is carried out using a modified spinner machine, in two cycles. Each cycle (one machine operation) takes 2.5 minutes.</w:t>
      </w:r>
    </w:p>
    <w:p w14:paraId="71FBA26F" w14:textId="77777777" w:rsidR="005B214E"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096949">
        <w:rPr>
          <w:rStyle w:val="y2iqfc"/>
          <w:rFonts w:ascii="Times New Roman" w:eastAsiaTheme="majorEastAsia" w:hAnsi="Times New Roman" w:cs="Times New Roman"/>
          <w:sz w:val="22"/>
          <w:szCs w:val="22"/>
          <w:highlight w:val="red"/>
          <w:lang w:val="en"/>
        </w:rPr>
        <w:t xml:space="preserve">g. Packaging: This stage begins with labeling the flavor and expiration date on the packaging. Next, the product is packaged, followed by seasoning with various </w:t>
      </w:r>
      <w:proofErr w:type="spellStart"/>
      <w:r w:rsidRPr="00096949">
        <w:rPr>
          <w:rStyle w:val="y2iqfc"/>
          <w:rFonts w:ascii="Times New Roman" w:eastAsiaTheme="majorEastAsia" w:hAnsi="Times New Roman" w:cs="Times New Roman"/>
          <w:sz w:val="22"/>
          <w:szCs w:val="22"/>
          <w:highlight w:val="red"/>
          <w:lang w:val="en"/>
        </w:rPr>
        <w:t>Antaka</w:t>
      </w:r>
      <w:proofErr w:type="spellEnd"/>
      <w:r w:rsidRPr="00096949">
        <w:rPr>
          <w:rStyle w:val="y2iqfc"/>
          <w:rFonts w:ascii="Times New Roman" w:eastAsiaTheme="majorEastAsia" w:hAnsi="Times New Roman" w:cs="Times New Roman"/>
          <w:sz w:val="22"/>
          <w:szCs w:val="22"/>
          <w:highlight w:val="red"/>
          <w:lang w:val="en"/>
        </w:rPr>
        <w:t xml:space="preserve"> flavors (barbecue, </w:t>
      </w:r>
      <w:proofErr w:type="spellStart"/>
      <w:r w:rsidRPr="00096949">
        <w:rPr>
          <w:rStyle w:val="y2iqfc"/>
          <w:rFonts w:ascii="Times New Roman" w:eastAsiaTheme="majorEastAsia" w:hAnsi="Times New Roman" w:cs="Times New Roman"/>
          <w:sz w:val="22"/>
          <w:szCs w:val="22"/>
          <w:highlight w:val="red"/>
          <w:lang w:val="en"/>
        </w:rPr>
        <w:t>balado</w:t>
      </w:r>
      <w:proofErr w:type="spellEnd"/>
      <w:r w:rsidRPr="00096949">
        <w:rPr>
          <w:rStyle w:val="y2iqfc"/>
          <w:rFonts w:ascii="Times New Roman" w:eastAsiaTheme="majorEastAsia" w:hAnsi="Times New Roman" w:cs="Times New Roman"/>
          <w:sz w:val="22"/>
          <w:szCs w:val="22"/>
          <w:highlight w:val="red"/>
          <w:lang w:val="en"/>
        </w:rPr>
        <w:t>, roasted corn). Finally, the packaging is sealed using a sealing machine to maintain product quality and durability.</w:t>
      </w:r>
    </w:p>
    <w:p w14:paraId="2DF149BE" w14:textId="77777777" w:rsidR="00DB5227" w:rsidRDefault="00DB5227" w:rsidP="00DB5227">
      <w:pPr>
        <w:pStyle w:val="HTMLPreformatted"/>
        <w:ind w:left="284" w:hanging="284"/>
        <w:jc w:val="both"/>
        <w:rPr>
          <w:rFonts w:ascii="Times New Roman" w:hAnsi="Times New Roman" w:cs="Times New Roman"/>
          <w:sz w:val="22"/>
          <w:szCs w:val="22"/>
        </w:rPr>
      </w:pPr>
    </w:p>
    <w:p w14:paraId="09343A81" w14:textId="3D8CA84B" w:rsidR="005B214E" w:rsidRPr="00DB5227" w:rsidRDefault="000255D0" w:rsidP="005B214E">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3.1</w:t>
      </w:r>
      <w:r w:rsidR="005B214E" w:rsidRPr="000255D0">
        <w:rPr>
          <w:rStyle w:val="y2iqfc"/>
          <w:rFonts w:ascii="Times New Roman" w:eastAsiaTheme="majorEastAsia" w:hAnsi="Times New Roman" w:cs="Times New Roman"/>
          <w:b/>
          <w:bCs/>
          <w:sz w:val="22"/>
          <w:szCs w:val="22"/>
          <w:highlight w:val="red"/>
          <w:lang w:val="en"/>
        </w:rPr>
        <w:t>4.</w:t>
      </w:r>
      <w:r w:rsidR="005B214E" w:rsidRPr="00DB5227">
        <w:rPr>
          <w:rStyle w:val="y2iqfc"/>
          <w:rFonts w:ascii="Times New Roman" w:eastAsiaTheme="majorEastAsia" w:hAnsi="Times New Roman" w:cs="Times New Roman"/>
          <w:b/>
          <w:bCs/>
          <w:sz w:val="22"/>
          <w:szCs w:val="22"/>
          <w:lang w:val="en"/>
        </w:rPr>
        <w:t xml:space="preserve"> Cost of Goods Sold Analysis</w:t>
      </w:r>
    </w:p>
    <w:p w14:paraId="33B518FE" w14:textId="2EDC2CED" w:rsidR="005B214E" w:rsidRPr="00DB5227" w:rsidRDefault="000255D0" w:rsidP="005B214E">
      <w:pPr>
        <w:pStyle w:val="HTMLPreformatted"/>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3.1.1</w:t>
      </w:r>
      <w:r w:rsidR="005B214E" w:rsidRPr="000255D0">
        <w:rPr>
          <w:rStyle w:val="y2iqfc"/>
          <w:rFonts w:ascii="Times New Roman" w:eastAsiaTheme="majorEastAsia" w:hAnsi="Times New Roman" w:cs="Times New Roman"/>
          <w:b/>
          <w:bCs/>
          <w:sz w:val="22"/>
          <w:szCs w:val="22"/>
          <w:highlight w:val="red"/>
          <w:lang w:val="en"/>
        </w:rPr>
        <w:t>a.</w:t>
      </w:r>
      <w:r w:rsidR="005B214E" w:rsidRPr="00DB5227">
        <w:rPr>
          <w:rStyle w:val="y2iqfc"/>
          <w:rFonts w:ascii="Times New Roman" w:eastAsiaTheme="majorEastAsia" w:hAnsi="Times New Roman" w:cs="Times New Roman"/>
          <w:b/>
          <w:bCs/>
          <w:sz w:val="22"/>
          <w:szCs w:val="22"/>
          <w:lang w:val="en"/>
        </w:rPr>
        <w:t xml:space="preserve"> Cost of Goods Sold Calculation According to JATAM MSMEs</w:t>
      </w:r>
    </w:p>
    <w:p w14:paraId="458C8F9B" w14:textId="77777777"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method used by JATAM MSMEs only calculates a few cost components based on the business owner's assumptions. These cost components include raw material costs, direct labor costs, packaging costs, the cost of various flavored seasonings, and the cost of purchasing sachet chili sauce. Details of the cost of goods sold calculation using this method are presented in Table 1.</w:t>
      </w:r>
    </w:p>
    <w:p w14:paraId="4B188D75" w14:textId="77777777" w:rsidR="005B214E" w:rsidRPr="00DB5227" w:rsidRDefault="005B214E" w:rsidP="005B214E">
      <w:pPr>
        <w:pStyle w:val="HTMLPreformatted"/>
        <w:ind w:left="1134" w:hanging="1134"/>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1. Calculation of Cost of Goods Sold Using the JATAM MSME Method,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544"/>
      </w:tblGrid>
      <w:tr w:rsidR="005B214E" w:rsidRPr="00DB5227" w14:paraId="64A85EBB" w14:textId="77777777" w:rsidTr="00DD3C2F">
        <w:tc>
          <w:tcPr>
            <w:tcW w:w="8498" w:type="dxa"/>
            <w:gridSpan w:val="3"/>
            <w:tcBorders>
              <w:top w:val="single" w:sz="4" w:space="0" w:color="auto"/>
              <w:bottom w:val="single" w:sz="4" w:space="0" w:color="auto"/>
            </w:tcBorders>
          </w:tcPr>
          <w:p w14:paraId="0A178050" w14:textId="36482A23"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r w:rsidR="00DB5227" w:rsidRPr="00DB5227">
              <w:rPr>
                <w:rFonts w:ascii="Times New Roman" w:hAnsi="Times New Roman" w:cs="Times New Roman"/>
                <w:b/>
                <w:bCs/>
                <w:szCs w:val="22"/>
              </w:rPr>
              <w:t xml:space="preserve"> Method</w:t>
            </w:r>
          </w:p>
          <w:p w14:paraId="42A23A6E" w14:textId="72F23292"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05AEBC6B" w14:textId="77777777" w:rsidTr="00DD3C2F">
        <w:trPr>
          <w:trHeight w:val="365"/>
        </w:trPr>
        <w:tc>
          <w:tcPr>
            <w:tcW w:w="3828" w:type="dxa"/>
            <w:tcBorders>
              <w:top w:val="single" w:sz="4" w:space="0" w:color="auto"/>
              <w:bottom w:val="single" w:sz="4" w:space="0" w:color="auto"/>
            </w:tcBorders>
            <w:vAlign w:val="center"/>
          </w:tcPr>
          <w:p w14:paraId="2A4724CB" w14:textId="426B3EAA" w:rsidR="005B214E" w:rsidRPr="00DB5227" w:rsidRDefault="00DB5227" w:rsidP="00DB5227">
            <w:pPr>
              <w:pStyle w:val="HTMLPreformatted"/>
              <w:rPr>
                <w:rFonts w:ascii="Times New Roman" w:hAnsi="Times New Roman" w:cs="Times New Roman"/>
                <w:b/>
                <w:bCs/>
                <w:sz w:val="22"/>
                <w:szCs w:val="22"/>
              </w:rPr>
            </w:pPr>
            <w:r w:rsidRPr="00DB5227">
              <w:rPr>
                <w:rStyle w:val="y2iqfc"/>
                <w:rFonts w:ascii="Times New Roman" w:eastAsiaTheme="majorEastAsia" w:hAnsi="Times New Roman" w:cs="Times New Roman"/>
                <w:b/>
                <w:bCs/>
                <w:sz w:val="22"/>
                <w:szCs w:val="22"/>
                <w:lang w:val="en"/>
              </w:rPr>
              <w:t>Cost Components</w:t>
            </w:r>
          </w:p>
        </w:tc>
        <w:tc>
          <w:tcPr>
            <w:tcW w:w="2126" w:type="dxa"/>
            <w:tcBorders>
              <w:top w:val="single" w:sz="4" w:space="0" w:color="auto"/>
              <w:bottom w:val="single" w:sz="4" w:space="0" w:color="auto"/>
            </w:tcBorders>
            <w:vAlign w:val="center"/>
          </w:tcPr>
          <w:p w14:paraId="065B5911" w14:textId="3352B035" w:rsidR="005B214E" w:rsidRPr="00DB5227" w:rsidRDefault="00DB5227"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sidRPr="00DB5227">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79748211" w14:textId="4AEC4110"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 xml:space="preserve">Total </w:t>
            </w:r>
            <w:r w:rsidR="00DB5227" w:rsidRPr="00DB5227">
              <w:rPr>
                <w:rFonts w:ascii="Times New Roman" w:hAnsi="Times New Roman" w:cs="Times New Roman"/>
                <w:b/>
                <w:bCs/>
                <w:szCs w:val="22"/>
              </w:rPr>
              <w:t>Cost</w:t>
            </w:r>
            <w:r w:rsidRPr="00DB5227">
              <w:rPr>
                <w:rFonts w:ascii="Times New Roman" w:hAnsi="Times New Roman" w:cs="Times New Roman"/>
                <w:b/>
                <w:bCs/>
                <w:szCs w:val="22"/>
              </w:rPr>
              <w:t xml:space="preserve"> (</w:t>
            </w:r>
            <w:r w:rsidR="00DB5227" w:rsidRPr="00DB5227">
              <w:rPr>
                <w:rFonts w:ascii="Times New Roman" w:hAnsi="Times New Roman" w:cs="Times New Roman"/>
                <w:b/>
                <w:bCs/>
                <w:szCs w:val="22"/>
              </w:rPr>
              <w:t>IDR</w:t>
            </w:r>
            <w:r w:rsidRPr="00DB5227">
              <w:rPr>
                <w:rFonts w:ascii="Times New Roman" w:hAnsi="Times New Roman" w:cs="Times New Roman"/>
                <w:b/>
                <w:bCs/>
                <w:szCs w:val="22"/>
              </w:rPr>
              <w:t>)</w:t>
            </w:r>
          </w:p>
        </w:tc>
      </w:tr>
      <w:tr w:rsidR="005B214E" w:rsidRPr="00DB5227" w14:paraId="3F7E074B" w14:textId="77777777" w:rsidTr="00DD3C2F">
        <w:tc>
          <w:tcPr>
            <w:tcW w:w="3828" w:type="dxa"/>
            <w:tcBorders>
              <w:top w:val="single" w:sz="4" w:space="0" w:color="auto"/>
            </w:tcBorders>
          </w:tcPr>
          <w:p w14:paraId="1B7EFA43" w14:textId="70F89B7F" w:rsidR="005B214E" w:rsidRPr="00DB5227" w:rsidRDefault="00DB5227" w:rsidP="00DD3C2F">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Borders>
              <w:top w:val="single" w:sz="4" w:space="0" w:color="auto"/>
            </w:tcBorders>
          </w:tcPr>
          <w:p w14:paraId="7153A850"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316D0C4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5B214E" w:rsidRPr="00DB5227" w14:paraId="238D2D89" w14:textId="77777777" w:rsidTr="00DD3C2F">
        <w:tc>
          <w:tcPr>
            <w:tcW w:w="3828" w:type="dxa"/>
          </w:tcPr>
          <w:p w14:paraId="60EAA4DB" w14:textId="7B70CD03"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Direct labor costs</w:t>
            </w:r>
          </w:p>
        </w:tc>
        <w:tc>
          <w:tcPr>
            <w:tcW w:w="2126" w:type="dxa"/>
          </w:tcPr>
          <w:p w14:paraId="24C352E2"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Pr>
          <w:p w14:paraId="744F5C19"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0FDE5142" w14:textId="77777777" w:rsidTr="00DD3C2F">
        <w:trPr>
          <w:trHeight w:val="1051"/>
        </w:trPr>
        <w:tc>
          <w:tcPr>
            <w:tcW w:w="3828" w:type="dxa"/>
          </w:tcPr>
          <w:p w14:paraId="27ADEFDE"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442AA6B2" w14:textId="5DD9C84D" w:rsidR="00DB5227" w:rsidRPr="00DB5227" w:rsidRDefault="00DB5227" w:rsidP="00DB5227">
            <w:pPr>
              <w:pStyle w:val="HTMLPreformatted"/>
              <w:numPr>
                <w:ilvl w:val="0"/>
                <w:numId w:val="2"/>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23A1CDD2" w14:textId="6A295BB4" w:rsidR="00DB5227" w:rsidRPr="00DB5227" w:rsidRDefault="00DB5227" w:rsidP="00DB5227">
            <w:pPr>
              <w:pStyle w:val="HTMLPreformatted"/>
              <w:numPr>
                <w:ilvl w:val="0"/>
                <w:numId w:val="2"/>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22C49192" w14:textId="7CE31229" w:rsidR="005B214E" w:rsidRPr="00DB5227" w:rsidRDefault="00DB5227" w:rsidP="005B214E">
            <w:pPr>
              <w:pStyle w:val="ListParagraph"/>
              <w:widowControl w:val="0"/>
              <w:numPr>
                <w:ilvl w:val="0"/>
                <w:numId w:val="2"/>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 xml:space="preserve">Chili </w:t>
            </w:r>
            <w:r w:rsidR="005B214E" w:rsidRPr="00DB5227">
              <w:rPr>
                <w:rFonts w:ascii="Times New Roman" w:hAnsi="Times New Roman" w:cs="Times New Roman"/>
                <w:i/>
                <w:iCs/>
                <w:szCs w:val="22"/>
              </w:rPr>
              <w:t>Sachet</w:t>
            </w:r>
          </w:p>
        </w:tc>
        <w:tc>
          <w:tcPr>
            <w:tcW w:w="2126" w:type="dxa"/>
          </w:tcPr>
          <w:p w14:paraId="6A115226"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358959EA"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714B453D"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w:t>
            </w:r>
          </w:p>
          <w:p w14:paraId="2B330FD6" w14:textId="77777777" w:rsidR="00DB5227" w:rsidRPr="00DB5227" w:rsidRDefault="00DB5227" w:rsidP="00DD3C2F">
            <w:pPr>
              <w:widowControl w:val="0"/>
              <w:autoSpaceDE w:val="0"/>
              <w:autoSpaceDN w:val="0"/>
              <w:adjustRightInd w:val="0"/>
              <w:jc w:val="right"/>
              <w:rPr>
                <w:rFonts w:ascii="Times New Roman" w:hAnsi="Times New Roman" w:cs="Times New Roman"/>
                <w:szCs w:val="22"/>
              </w:rPr>
            </w:pPr>
          </w:p>
          <w:p w14:paraId="6FAC3031" w14:textId="4FAFED65"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3BC1AB88"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r>
      <w:tr w:rsidR="005B214E" w:rsidRPr="00DB5227" w14:paraId="1A61F64F" w14:textId="77777777" w:rsidTr="00DD3C2F">
        <w:tc>
          <w:tcPr>
            <w:tcW w:w="3828" w:type="dxa"/>
            <w:tcBorders>
              <w:bottom w:val="single" w:sz="4" w:space="0" w:color="auto"/>
            </w:tcBorders>
          </w:tcPr>
          <w:p w14:paraId="2E7EBA34"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485A0B81"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262D9E80" w14:textId="517972AE"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(IDR/Package)</w:t>
            </w:r>
          </w:p>
        </w:tc>
        <w:tc>
          <w:tcPr>
            <w:tcW w:w="2126" w:type="dxa"/>
            <w:tcBorders>
              <w:bottom w:val="single" w:sz="4" w:space="0" w:color="auto"/>
            </w:tcBorders>
          </w:tcPr>
          <w:p w14:paraId="3F2660DA"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3E5E688E"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4.872.880,00</w:t>
            </w:r>
          </w:p>
          <w:p w14:paraId="46DDF5DD"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09EA2271" w14:textId="77777777" w:rsidR="00DB5227" w:rsidRPr="00DB5227" w:rsidRDefault="00DB5227" w:rsidP="00DD3C2F">
            <w:pPr>
              <w:widowControl w:val="0"/>
              <w:autoSpaceDE w:val="0"/>
              <w:autoSpaceDN w:val="0"/>
              <w:adjustRightInd w:val="0"/>
              <w:jc w:val="right"/>
              <w:rPr>
                <w:rFonts w:ascii="Times New Roman" w:hAnsi="Times New Roman" w:cs="Times New Roman"/>
                <w:szCs w:val="22"/>
              </w:rPr>
            </w:pPr>
          </w:p>
          <w:p w14:paraId="4C2DF6CD" w14:textId="6BA3E73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12.182,20</w:t>
            </w:r>
          </w:p>
        </w:tc>
      </w:tr>
    </w:tbl>
    <w:p w14:paraId="47F7409B" w14:textId="30D217DA"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08D1B6F2" w14:textId="77777777" w:rsidR="005B214E" w:rsidRPr="00DB5227" w:rsidRDefault="005B214E" w:rsidP="005B214E">
      <w:pPr>
        <w:pStyle w:val="HTMLPreformatted"/>
        <w:rPr>
          <w:rFonts w:ascii="Times New Roman" w:hAnsi="Times New Roman" w:cs="Times New Roman"/>
          <w:sz w:val="22"/>
          <w:szCs w:val="22"/>
        </w:rPr>
      </w:pPr>
    </w:p>
    <w:p w14:paraId="3430BF71"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Table 1, it is known that MSMEs have calculated the cost of goods manufactured. However, they have not yet taken into account several cost components, including fixed overhead costs, the cost of purchasing gallon water, the cost of purchasing electricity vouchers, the cost of 3 kg gas refills, and transportation costs (fuel). Inaccuracies in the accumulation of production costs can impact the accuracy of the calculation of the cost of goods manufactured, potentially impacting the product's selling price strategy.</w:t>
      </w:r>
    </w:p>
    <w:p w14:paraId="71C4CC86" w14:textId="77777777" w:rsidR="005B214E" w:rsidRPr="00DB5227" w:rsidRDefault="005B214E" w:rsidP="00DB5227">
      <w:pPr>
        <w:pStyle w:val="HTMLPreformatted"/>
        <w:jc w:val="both"/>
        <w:rPr>
          <w:rStyle w:val="y2iqfc"/>
          <w:rFonts w:ascii="Times New Roman" w:eastAsiaTheme="majorEastAsia" w:hAnsi="Times New Roman" w:cs="Times New Roman"/>
          <w:sz w:val="22"/>
          <w:szCs w:val="22"/>
          <w:lang w:val="en"/>
        </w:rPr>
      </w:pPr>
    </w:p>
    <w:p w14:paraId="4D2D145D" w14:textId="5708565E" w:rsidR="005B214E" w:rsidRPr="00DB5227" w:rsidRDefault="000255D0" w:rsidP="005B214E">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3.1.2</w:t>
      </w:r>
      <w:r w:rsidR="005B214E" w:rsidRPr="000255D0">
        <w:rPr>
          <w:rStyle w:val="y2iqfc"/>
          <w:rFonts w:ascii="Times New Roman" w:eastAsiaTheme="majorEastAsia" w:hAnsi="Times New Roman" w:cs="Times New Roman"/>
          <w:b/>
          <w:bCs/>
          <w:sz w:val="22"/>
          <w:szCs w:val="22"/>
          <w:highlight w:val="red"/>
          <w:lang w:val="en"/>
        </w:rPr>
        <w:t>b.</w:t>
      </w:r>
      <w:r w:rsidR="005B214E" w:rsidRPr="00DB5227">
        <w:rPr>
          <w:rStyle w:val="y2iqfc"/>
          <w:rFonts w:ascii="Times New Roman" w:eastAsiaTheme="majorEastAsia" w:hAnsi="Times New Roman" w:cs="Times New Roman"/>
          <w:b/>
          <w:bCs/>
          <w:sz w:val="22"/>
          <w:szCs w:val="22"/>
          <w:lang w:val="en"/>
        </w:rPr>
        <w:t xml:space="preserve"> Calculating Cost of Goods Manufactured Using the Full Costing Method</w:t>
      </w:r>
    </w:p>
    <w:p w14:paraId="5573041B" w14:textId="77777777" w:rsidR="005B214E"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full costing method calculates the cost of goods manufactured by adding all production cost components, including raw material costs, direct labor costs, variable overhead costs, and fixed overhead costs. Details of the calculation of the cost of goods manufactured for JATAM chips using the full costing method can be seen in Table 2 below.</w:t>
      </w:r>
    </w:p>
    <w:p w14:paraId="7BB676A7"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00065C62"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60541BCA"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42A2842D"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241D501C"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24688FCD"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68F0EEFE"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65FE5E3C"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34CE08D9"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4172B873"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46D03274"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0DC16653"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5FB0A75D"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14FBA10F"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047D39D8" w14:textId="77777777" w:rsidR="00DB5227" w:rsidRDefault="00DB5227" w:rsidP="005B214E">
      <w:pPr>
        <w:pStyle w:val="HTMLPreformatted"/>
        <w:ind w:firstLine="567"/>
        <w:jc w:val="both"/>
        <w:rPr>
          <w:rStyle w:val="y2iqfc"/>
          <w:rFonts w:ascii="Times New Roman" w:eastAsiaTheme="majorEastAsia" w:hAnsi="Times New Roman" w:cs="Times New Roman"/>
          <w:sz w:val="22"/>
          <w:szCs w:val="22"/>
          <w:lang w:val="en"/>
        </w:rPr>
      </w:pPr>
    </w:p>
    <w:p w14:paraId="2C743877" w14:textId="77777777" w:rsidR="00DB5227" w:rsidRPr="00DB5227" w:rsidRDefault="00DB5227" w:rsidP="005B214E">
      <w:pPr>
        <w:pStyle w:val="HTMLPreformatted"/>
        <w:ind w:firstLine="567"/>
        <w:jc w:val="both"/>
        <w:rPr>
          <w:rFonts w:ascii="Times New Roman" w:hAnsi="Times New Roman" w:cs="Times New Roman"/>
          <w:sz w:val="22"/>
          <w:szCs w:val="22"/>
        </w:rPr>
      </w:pPr>
    </w:p>
    <w:p w14:paraId="744B7061" w14:textId="00DF37F6" w:rsidR="005B214E" w:rsidRPr="00DB5227" w:rsidRDefault="005B214E" w:rsidP="005B214E">
      <w:pPr>
        <w:pStyle w:val="HTMLPreformatted"/>
        <w:ind w:left="1134" w:hanging="1134"/>
        <w:jc w:val="both"/>
        <w:rPr>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Table 2. Calculation of Cost of Goods Sold Using the Full Costing Method, December 2024</w:t>
      </w: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2545"/>
      </w:tblGrid>
      <w:tr w:rsidR="005B214E" w:rsidRPr="00DB5227" w14:paraId="6BF058D3" w14:textId="77777777" w:rsidTr="00DB5227">
        <w:tc>
          <w:tcPr>
            <w:tcW w:w="8924" w:type="dxa"/>
            <w:gridSpan w:val="3"/>
            <w:tcBorders>
              <w:top w:val="single" w:sz="4" w:space="0" w:color="auto"/>
              <w:bottom w:val="single" w:sz="4" w:space="0" w:color="auto"/>
            </w:tcBorders>
          </w:tcPr>
          <w:p w14:paraId="0D23321A" w14:textId="77777777"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p>
          <w:p w14:paraId="1A45C279" w14:textId="77777777" w:rsidR="005B214E" w:rsidRPr="00DB5227" w:rsidRDefault="005B214E" w:rsidP="00DD3C2F">
            <w:pPr>
              <w:widowControl w:val="0"/>
              <w:autoSpaceDE w:val="0"/>
              <w:autoSpaceDN w:val="0"/>
              <w:adjustRightInd w:val="0"/>
              <w:jc w:val="center"/>
              <w:rPr>
                <w:rFonts w:ascii="Times New Roman" w:hAnsi="Times New Roman" w:cs="Times New Roman"/>
                <w:b/>
                <w:bCs/>
                <w:i/>
                <w:iCs/>
                <w:szCs w:val="22"/>
              </w:rPr>
            </w:pPr>
            <w:r w:rsidRPr="00DB5227">
              <w:rPr>
                <w:rFonts w:ascii="Times New Roman" w:hAnsi="Times New Roman" w:cs="Times New Roman"/>
                <w:b/>
                <w:bCs/>
                <w:szCs w:val="22"/>
              </w:rPr>
              <w:t xml:space="preserve">Metode </w:t>
            </w:r>
            <w:r w:rsidRPr="00DB5227">
              <w:rPr>
                <w:rFonts w:ascii="Times New Roman" w:hAnsi="Times New Roman" w:cs="Times New Roman"/>
                <w:b/>
                <w:bCs/>
                <w:i/>
                <w:iCs/>
                <w:szCs w:val="22"/>
              </w:rPr>
              <w:t>Full Costing</w:t>
            </w:r>
          </w:p>
          <w:p w14:paraId="01426A30" w14:textId="1800327E"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3380E379" w14:textId="77777777" w:rsidTr="00DB5227">
        <w:trPr>
          <w:trHeight w:val="365"/>
        </w:trPr>
        <w:tc>
          <w:tcPr>
            <w:tcW w:w="4253" w:type="dxa"/>
            <w:tcBorders>
              <w:top w:val="single" w:sz="4" w:space="0" w:color="auto"/>
            </w:tcBorders>
            <w:vAlign w:val="center"/>
          </w:tcPr>
          <w:p w14:paraId="7E8C88FE" w14:textId="3EFA837B" w:rsidR="005B214E" w:rsidRPr="00DB5227" w:rsidRDefault="00DB5227" w:rsidP="00DD3C2F">
            <w:pPr>
              <w:widowControl w:val="0"/>
              <w:autoSpaceDE w:val="0"/>
              <w:autoSpaceDN w:val="0"/>
              <w:adjustRightInd w:val="0"/>
              <w:rPr>
                <w:rFonts w:ascii="Times New Roman" w:hAnsi="Times New Roman" w:cs="Times New Roman"/>
                <w:b/>
                <w:bCs/>
                <w:szCs w:val="22"/>
              </w:rPr>
            </w:pPr>
            <w:r w:rsidRPr="00DB5227">
              <w:rPr>
                <w:rFonts w:ascii="Times New Roman" w:hAnsi="Times New Roman" w:cs="Times New Roman"/>
                <w:b/>
                <w:bCs/>
                <w:szCs w:val="22"/>
              </w:rPr>
              <w:t>Cost C</w:t>
            </w:r>
            <w:r w:rsidR="005B214E" w:rsidRPr="00DB5227">
              <w:rPr>
                <w:rFonts w:ascii="Times New Roman" w:hAnsi="Times New Roman" w:cs="Times New Roman"/>
                <w:b/>
                <w:bCs/>
                <w:szCs w:val="22"/>
              </w:rPr>
              <w:t>omponen</w:t>
            </w:r>
            <w:r w:rsidRPr="00DB5227">
              <w:rPr>
                <w:rFonts w:ascii="Times New Roman" w:hAnsi="Times New Roman" w:cs="Times New Roman"/>
                <w:b/>
                <w:bCs/>
                <w:szCs w:val="22"/>
              </w:rPr>
              <w:t>t</w:t>
            </w:r>
          </w:p>
        </w:tc>
        <w:tc>
          <w:tcPr>
            <w:tcW w:w="2126" w:type="dxa"/>
            <w:tcBorders>
              <w:top w:val="single" w:sz="4" w:space="0" w:color="auto"/>
            </w:tcBorders>
            <w:vAlign w:val="center"/>
          </w:tcPr>
          <w:p w14:paraId="707064B1" w14:textId="767E2F4B" w:rsidR="005B214E" w:rsidRPr="00DB5227" w:rsidRDefault="00DB5227"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tcBorders>
            <w:vAlign w:val="center"/>
          </w:tcPr>
          <w:p w14:paraId="22D3D436" w14:textId="66988E55" w:rsidR="005B214E" w:rsidRPr="00DB5227" w:rsidRDefault="00DB5227"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 xml:space="preserve">             </w:t>
            </w:r>
            <w:r w:rsidR="005B214E" w:rsidRPr="00DB5227">
              <w:rPr>
                <w:rFonts w:ascii="Times New Roman" w:hAnsi="Times New Roman" w:cs="Times New Roman"/>
                <w:b/>
                <w:bCs/>
                <w:szCs w:val="22"/>
              </w:rPr>
              <w:t xml:space="preserve">Total </w:t>
            </w:r>
            <w:r>
              <w:rPr>
                <w:rFonts w:ascii="Times New Roman" w:hAnsi="Times New Roman" w:cs="Times New Roman"/>
                <w:b/>
                <w:bCs/>
                <w:szCs w:val="22"/>
              </w:rPr>
              <w:t>Cost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r>
      <w:tr w:rsidR="00DB5227" w:rsidRPr="00DB5227" w14:paraId="39B7BD88" w14:textId="77777777" w:rsidTr="00DB5227">
        <w:tc>
          <w:tcPr>
            <w:tcW w:w="4253" w:type="dxa"/>
          </w:tcPr>
          <w:p w14:paraId="72A37A36" w14:textId="5B4B8CAB"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Pr>
          <w:p w14:paraId="049460FB"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4B593E4C"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B5227" w:rsidRPr="00DB5227" w14:paraId="133BAE70" w14:textId="77777777" w:rsidTr="00DB5227">
        <w:tc>
          <w:tcPr>
            <w:tcW w:w="4253" w:type="dxa"/>
          </w:tcPr>
          <w:p w14:paraId="58EECEAA" w14:textId="18A8DAB4"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Style w:val="y2iqfc"/>
                <w:rFonts w:ascii="Times New Roman" w:hAnsi="Times New Roman" w:cs="Times New Roman"/>
                <w:szCs w:val="22"/>
                <w:lang w:val="en"/>
              </w:rPr>
              <w:t>Direct labor costs</w:t>
            </w:r>
          </w:p>
        </w:tc>
        <w:tc>
          <w:tcPr>
            <w:tcW w:w="2126" w:type="dxa"/>
          </w:tcPr>
          <w:p w14:paraId="5C7B3BCE"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7EB224D3"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25349E73" w14:textId="77777777" w:rsidTr="00DB5227">
        <w:trPr>
          <w:trHeight w:val="2248"/>
        </w:trPr>
        <w:tc>
          <w:tcPr>
            <w:tcW w:w="4253" w:type="dxa"/>
          </w:tcPr>
          <w:p w14:paraId="092BAABC"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3377900D" w14:textId="369F3647"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Gallon water</w:t>
            </w:r>
          </w:p>
          <w:p w14:paraId="33E7284E" w14:textId="20B26932"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Electricity costs</w:t>
            </w:r>
          </w:p>
          <w:p w14:paraId="22DB8D77" w14:textId="2F43E799" w:rsidR="005B214E" w:rsidRPr="00DB5227" w:rsidRDefault="005B214E" w:rsidP="00DB5227">
            <w:pPr>
              <w:pStyle w:val="ListParagraph"/>
              <w:widowControl w:val="0"/>
              <w:numPr>
                <w:ilvl w:val="0"/>
                <w:numId w:val="3"/>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 xml:space="preserve">Gas </w:t>
            </w:r>
            <w:r w:rsidR="00DB5227" w:rsidRPr="00DB5227">
              <w:rPr>
                <w:rFonts w:ascii="Times New Roman" w:hAnsi="Times New Roman" w:cs="Times New Roman"/>
                <w:szCs w:val="22"/>
              </w:rPr>
              <w:t>(</w:t>
            </w:r>
            <w:r w:rsidRPr="00DB5227">
              <w:rPr>
                <w:rFonts w:ascii="Times New Roman" w:hAnsi="Times New Roman" w:cs="Times New Roman"/>
                <w:szCs w:val="22"/>
              </w:rPr>
              <w:t>3 kg</w:t>
            </w:r>
            <w:r w:rsidR="00DB5227" w:rsidRPr="00DB5227">
              <w:rPr>
                <w:rFonts w:ascii="Times New Roman" w:hAnsi="Times New Roman" w:cs="Times New Roman"/>
                <w:szCs w:val="22"/>
              </w:rPr>
              <w:t>)</w:t>
            </w:r>
          </w:p>
          <w:p w14:paraId="431462C2" w14:textId="6A436E8C"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Transportation costs (fuel)</w:t>
            </w:r>
          </w:p>
          <w:p w14:paraId="01E21996" w14:textId="4A7A23D4" w:rsidR="00DB5227" w:rsidRPr="00DB5227" w:rsidRDefault="00DB5227" w:rsidP="00DB5227">
            <w:pPr>
              <w:pStyle w:val="HTMLPreformatted"/>
              <w:numPr>
                <w:ilvl w:val="0"/>
                <w:numId w:val="3"/>
              </w:numPr>
              <w:tabs>
                <w:tab w:val="clear" w:pos="3664"/>
              </w:tabs>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1E14B9B8" w14:textId="77777777"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0C0597E6" w14:textId="7DCD45DD" w:rsidR="005B214E" w:rsidRPr="00DB5227" w:rsidRDefault="00DB5227" w:rsidP="00DB5227">
            <w:pPr>
              <w:pStyle w:val="ListParagraph"/>
              <w:widowControl w:val="0"/>
              <w:numPr>
                <w:ilvl w:val="0"/>
                <w:numId w:val="3"/>
              </w:numPr>
              <w:autoSpaceDE w:val="0"/>
              <w:autoSpaceDN w:val="0"/>
              <w:adjustRightInd w:val="0"/>
              <w:spacing w:line="276" w:lineRule="auto"/>
              <w:jc w:val="both"/>
              <w:rPr>
                <w:rFonts w:ascii="Times New Roman" w:hAnsi="Times New Roman" w:cs="Times New Roman"/>
                <w:szCs w:val="22"/>
              </w:rPr>
            </w:pPr>
            <w:r w:rsidRPr="00DB5227">
              <w:rPr>
                <w:rFonts w:ascii="Times New Roman" w:hAnsi="Times New Roman" w:cs="Times New Roman"/>
                <w:szCs w:val="22"/>
              </w:rPr>
              <w:t>Chili</w:t>
            </w:r>
            <w:r w:rsidR="005B214E" w:rsidRPr="00DB5227">
              <w:rPr>
                <w:rFonts w:ascii="Times New Roman" w:hAnsi="Times New Roman" w:cs="Times New Roman"/>
                <w:szCs w:val="22"/>
              </w:rPr>
              <w:t xml:space="preserve"> </w:t>
            </w:r>
            <w:r w:rsidR="005B214E" w:rsidRPr="00DB5227">
              <w:rPr>
                <w:rFonts w:ascii="Times New Roman" w:hAnsi="Times New Roman" w:cs="Times New Roman"/>
                <w:i/>
                <w:iCs/>
                <w:szCs w:val="22"/>
              </w:rPr>
              <w:t>Sachet</w:t>
            </w:r>
          </w:p>
          <w:p w14:paraId="4DA111DE" w14:textId="11E40872"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Fixed Overhead Costs</w:t>
            </w:r>
          </w:p>
        </w:tc>
        <w:tc>
          <w:tcPr>
            <w:tcW w:w="2126" w:type="dxa"/>
          </w:tcPr>
          <w:p w14:paraId="37375E25"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62238BE1"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08BA19CC"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667C5F87"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p w14:paraId="4C69B5A1"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40.000,00</w:t>
            </w:r>
          </w:p>
          <w:p w14:paraId="0E69B76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08AEDDEB"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280.000,00</w:t>
            </w:r>
          </w:p>
          <w:p w14:paraId="67F5680F" w14:textId="77777777" w:rsidR="00DB5227" w:rsidRDefault="00DB5227" w:rsidP="00DD3C2F">
            <w:pPr>
              <w:widowControl w:val="0"/>
              <w:autoSpaceDE w:val="0"/>
              <w:autoSpaceDN w:val="0"/>
              <w:adjustRightInd w:val="0"/>
              <w:jc w:val="right"/>
              <w:rPr>
                <w:rFonts w:ascii="Times New Roman" w:hAnsi="Times New Roman" w:cs="Times New Roman"/>
                <w:szCs w:val="22"/>
              </w:rPr>
            </w:pPr>
          </w:p>
          <w:p w14:paraId="37842383" w14:textId="1C258F41"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635339B2"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AD94B17"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4D227AA3"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3EC78B6B"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083C574C"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0DEDC6C5"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75EF23F8"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7243C7F8" w14:textId="77777777" w:rsidR="005B214E" w:rsidRPr="00DB5227" w:rsidRDefault="005B214E" w:rsidP="00DD3C2F">
            <w:pPr>
              <w:widowControl w:val="0"/>
              <w:autoSpaceDE w:val="0"/>
              <w:autoSpaceDN w:val="0"/>
              <w:adjustRightInd w:val="0"/>
              <w:spacing w:line="276" w:lineRule="auto"/>
              <w:jc w:val="both"/>
              <w:rPr>
                <w:rFonts w:ascii="Times New Roman" w:hAnsi="Times New Roman" w:cs="Times New Roman"/>
                <w:szCs w:val="22"/>
              </w:rPr>
            </w:pPr>
          </w:p>
          <w:p w14:paraId="15220A24" w14:textId="77777777" w:rsidR="00DB5227" w:rsidRDefault="00DB5227" w:rsidP="00DD3C2F">
            <w:pPr>
              <w:widowControl w:val="0"/>
              <w:autoSpaceDE w:val="0"/>
              <w:autoSpaceDN w:val="0"/>
              <w:adjustRightInd w:val="0"/>
              <w:jc w:val="right"/>
              <w:rPr>
                <w:rFonts w:ascii="Times New Roman" w:hAnsi="Times New Roman" w:cs="Times New Roman"/>
                <w:szCs w:val="22"/>
              </w:rPr>
            </w:pPr>
          </w:p>
          <w:p w14:paraId="2D5B5E12" w14:textId="4CA5F12C"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98.265,00</w:t>
            </w:r>
          </w:p>
        </w:tc>
      </w:tr>
      <w:tr w:rsidR="005B214E" w:rsidRPr="00DB5227" w14:paraId="0549481E" w14:textId="77777777" w:rsidTr="00DB5227">
        <w:tc>
          <w:tcPr>
            <w:tcW w:w="4253" w:type="dxa"/>
            <w:tcBorders>
              <w:bottom w:val="single" w:sz="4" w:space="0" w:color="auto"/>
            </w:tcBorders>
          </w:tcPr>
          <w:p w14:paraId="2745AF22"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15290A64"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603829A2" w14:textId="12D0A52F"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(IDR/Package)</w:t>
            </w:r>
          </w:p>
        </w:tc>
        <w:tc>
          <w:tcPr>
            <w:tcW w:w="2126" w:type="dxa"/>
            <w:tcBorders>
              <w:bottom w:val="single" w:sz="4" w:space="0" w:color="auto"/>
            </w:tcBorders>
          </w:tcPr>
          <w:p w14:paraId="65A20E9B"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15173996"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5.231.145,00</w:t>
            </w:r>
          </w:p>
          <w:p w14:paraId="468C4F7D" w14:textId="57054CA6" w:rsidR="00DB5227" w:rsidRDefault="005B214E"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6C25E82F" w14:textId="19394EAF"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13.077,86</w:t>
            </w:r>
          </w:p>
        </w:tc>
      </w:tr>
    </w:tbl>
    <w:p w14:paraId="5C434571"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54D46C4C" w14:textId="77777777" w:rsidR="005B214E" w:rsidRPr="00DB5227" w:rsidRDefault="005B214E" w:rsidP="005B214E">
      <w:pPr>
        <w:pStyle w:val="HTMLPreformatted"/>
        <w:ind w:left="1134" w:hanging="1134"/>
        <w:jc w:val="both"/>
        <w:rPr>
          <w:rFonts w:ascii="Times New Roman" w:hAnsi="Times New Roman" w:cs="Times New Roman"/>
          <w:sz w:val="22"/>
          <w:szCs w:val="22"/>
        </w:rPr>
      </w:pPr>
    </w:p>
    <w:p w14:paraId="64C7A6AB" w14:textId="7FEE5A4A"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total production cost using the full costing method was Rp5,231,145.00. Furthermore, the production cost per package was obtained by dividing the total production cost by the production quantity, resulting in a production cost per package of IDR 13,077.86.</w:t>
      </w:r>
    </w:p>
    <w:p w14:paraId="08E9D84E"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5A51D90B" w14:textId="60B556C6" w:rsidR="005B214E" w:rsidRPr="00DB5227" w:rsidRDefault="000255D0" w:rsidP="005B214E">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3.2</w:t>
      </w:r>
      <w:r w:rsidR="005B214E" w:rsidRPr="000255D0">
        <w:rPr>
          <w:rStyle w:val="y2iqfc"/>
          <w:rFonts w:ascii="Times New Roman" w:eastAsiaTheme="majorEastAsia" w:hAnsi="Times New Roman" w:cs="Times New Roman"/>
          <w:b/>
          <w:bCs/>
          <w:sz w:val="22"/>
          <w:szCs w:val="22"/>
          <w:highlight w:val="red"/>
          <w:lang w:val="en"/>
        </w:rPr>
        <w:t>c.</w:t>
      </w:r>
      <w:r w:rsidR="005B214E" w:rsidRPr="00DB5227">
        <w:rPr>
          <w:rStyle w:val="y2iqfc"/>
          <w:rFonts w:ascii="Times New Roman" w:eastAsiaTheme="majorEastAsia" w:hAnsi="Times New Roman" w:cs="Times New Roman"/>
          <w:b/>
          <w:bCs/>
          <w:sz w:val="22"/>
          <w:szCs w:val="22"/>
          <w:lang w:val="en"/>
        </w:rPr>
        <w:t xml:space="preserve"> Calculating Production Cost Using the Variable Costing Method</w:t>
      </w:r>
    </w:p>
    <w:p w14:paraId="11005C8E" w14:textId="77777777"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variable costing method is a method for calculating production cost based on the accumulation of variable costs throughout the JATAM chip production process. Costs included in this method include raw material costs, direct labor costs, and variable overhead costs. Details of the production cost calculation using the variable costing method are presented in Table 3 below.</w:t>
      </w:r>
    </w:p>
    <w:p w14:paraId="38FE5E5A" w14:textId="77777777" w:rsidR="005B214E" w:rsidRPr="00DB5227" w:rsidRDefault="005B214E" w:rsidP="005B214E">
      <w:pPr>
        <w:pStyle w:val="HTMLPreformatted"/>
        <w:ind w:left="1134" w:firstLine="567"/>
        <w:jc w:val="both"/>
        <w:rPr>
          <w:rFonts w:ascii="Times New Roman" w:hAnsi="Times New Roman" w:cs="Times New Roman"/>
          <w:sz w:val="22"/>
          <w:szCs w:val="22"/>
        </w:rPr>
      </w:pPr>
    </w:p>
    <w:p w14:paraId="432938FB" w14:textId="77777777" w:rsidR="005B214E" w:rsidRPr="00DB5227" w:rsidRDefault="005B214E" w:rsidP="005B214E">
      <w:pPr>
        <w:pStyle w:val="HTMLPreformatted"/>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3. Calculation of Cost of Goods Sold Using the Variable Costing Method,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544"/>
      </w:tblGrid>
      <w:tr w:rsidR="005B214E" w:rsidRPr="00DB5227" w14:paraId="3D769598" w14:textId="77777777" w:rsidTr="00DD3C2F">
        <w:tc>
          <w:tcPr>
            <w:tcW w:w="8498" w:type="dxa"/>
            <w:gridSpan w:val="3"/>
            <w:tcBorders>
              <w:top w:val="single" w:sz="4" w:space="0" w:color="auto"/>
              <w:bottom w:val="single" w:sz="4" w:space="0" w:color="auto"/>
            </w:tcBorders>
          </w:tcPr>
          <w:p w14:paraId="7EDD23C9" w14:textId="77777777"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p>
          <w:p w14:paraId="04B2C392" w14:textId="77777777" w:rsidR="005B214E" w:rsidRPr="00DB5227" w:rsidRDefault="005B214E" w:rsidP="00DD3C2F">
            <w:pPr>
              <w:widowControl w:val="0"/>
              <w:autoSpaceDE w:val="0"/>
              <w:autoSpaceDN w:val="0"/>
              <w:adjustRightInd w:val="0"/>
              <w:jc w:val="center"/>
              <w:rPr>
                <w:rFonts w:ascii="Times New Roman" w:hAnsi="Times New Roman" w:cs="Times New Roman"/>
                <w:b/>
                <w:bCs/>
                <w:i/>
                <w:iCs/>
                <w:szCs w:val="22"/>
              </w:rPr>
            </w:pPr>
            <w:r w:rsidRPr="00DB5227">
              <w:rPr>
                <w:rFonts w:ascii="Times New Roman" w:hAnsi="Times New Roman" w:cs="Times New Roman"/>
                <w:b/>
                <w:bCs/>
                <w:szCs w:val="22"/>
              </w:rPr>
              <w:t xml:space="preserve">Metode </w:t>
            </w:r>
            <w:r w:rsidRPr="00DB5227">
              <w:rPr>
                <w:rFonts w:ascii="Times New Roman" w:hAnsi="Times New Roman" w:cs="Times New Roman"/>
                <w:b/>
                <w:bCs/>
                <w:i/>
                <w:iCs/>
                <w:szCs w:val="22"/>
              </w:rPr>
              <w:t>Variable Costing</w:t>
            </w:r>
          </w:p>
          <w:p w14:paraId="59055ABB" w14:textId="50BEF852" w:rsidR="005B214E" w:rsidRPr="00DB5227" w:rsidRDefault="005B214E"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0092E32B" w14:textId="77777777" w:rsidTr="00DD3C2F">
        <w:trPr>
          <w:trHeight w:val="365"/>
        </w:trPr>
        <w:tc>
          <w:tcPr>
            <w:tcW w:w="3828" w:type="dxa"/>
            <w:tcBorders>
              <w:top w:val="single" w:sz="4" w:space="0" w:color="auto"/>
              <w:bottom w:val="single" w:sz="4" w:space="0" w:color="auto"/>
            </w:tcBorders>
            <w:vAlign w:val="center"/>
          </w:tcPr>
          <w:p w14:paraId="0955C402" w14:textId="395FB27B" w:rsidR="005B214E" w:rsidRPr="00DB5227" w:rsidRDefault="00AE06ED" w:rsidP="00DD3C2F">
            <w:pPr>
              <w:widowControl w:val="0"/>
              <w:autoSpaceDE w:val="0"/>
              <w:autoSpaceDN w:val="0"/>
              <w:adjustRightInd w:val="0"/>
              <w:rPr>
                <w:rFonts w:ascii="Times New Roman" w:hAnsi="Times New Roman" w:cs="Times New Roman"/>
                <w:b/>
                <w:bCs/>
                <w:szCs w:val="22"/>
              </w:rPr>
            </w:pPr>
            <w:r>
              <w:rPr>
                <w:rFonts w:ascii="Times New Roman" w:hAnsi="Times New Roman" w:cs="Times New Roman"/>
                <w:b/>
                <w:bCs/>
                <w:szCs w:val="22"/>
              </w:rPr>
              <w:t>Cost C</w:t>
            </w:r>
            <w:r w:rsidR="005B214E" w:rsidRPr="00DB5227">
              <w:rPr>
                <w:rFonts w:ascii="Times New Roman" w:hAnsi="Times New Roman" w:cs="Times New Roman"/>
                <w:b/>
                <w:bCs/>
                <w:szCs w:val="22"/>
              </w:rPr>
              <w:t>omponen</w:t>
            </w:r>
            <w:r>
              <w:rPr>
                <w:rFonts w:ascii="Times New Roman" w:hAnsi="Times New Roman" w:cs="Times New Roman"/>
                <w:b/>
                <w:bCs/>
                <w:szCs w:val="22"/>
              </w:rPr>
              <w:t>t</w:t>
            </w:r>
          </w:p>
        </w:tc>
        <w:tc>
          <w:tcPr>
            <w:tcW w:w="2126" w:type="dxa"/>
            <w:tcBorders>
              <w:top w:val="single" w:sz="4" w:space="0" w:color="auto"/>
              <w:bottom w:val="single" w:sz="4" w:space="0" w:color="auto"/>
            </w:tcBorders>
            <w:vAlign w:val="center"/>
          </w:tcPr>
          <w:p w14:paraId="3A4D47C2" w14:textId="2EA57499" w:rsidR="005B214E" w:rsidRPr="00DB5227" w:rsidRDefault="00AE06ED"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41C6BECF" w14:textId="3B987B95" w:rsidR="005B214E" w:rsidRPr="00DB5227" w:rsidRDefault="00AE06ED"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Total Cost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r>
      <w:tr w:rsidR="00DB5227" w:rsidRPr="00DB5227" w14:paraId="24AC85CA" w14:textId="77777777" w:rsidTr="00DD3C2F">
        <w:tc>
          <w:tcPr>
            <w:tcW w:w="3828" w:type="dxa"/>
            <w:tcBorders>
              <w:top w:val="single" w:sz="4" w:space="0" w:color="auto"/>
            </w:tcBorders>
          </w:tcPr>
          <w:p w14:paraId="1E21A58A" w14:textId="624E9FF9"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Borders>
              <w:top w:val="single" w:sz="4" w:space="0" w:color="auto"/>
            </w:tcBorders>
          </w:tcPr>
          <w:p w14:paraId="0BD86C77"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08C5BB3B"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B5227" w:rsidRPr="00DB5227" w14:paraId="1A65ECF2" w14:textId="77777777" w:rsidTr="00DD3C2F">
        <w:tc>
          <w:tcPr>
            <w:tcW w:w="3828" w:type="dxa"/>
          </w:tcPr>
          <w:p w14:paraId="09954CD2" w14:textId="4F291A8D"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Style w:val="y2iqfc"/>
                <w:rFonts w:ascii="Times New Roman" w:hAnsi="Times New Roman" w:cs="Times New Roman"/>
                <w:szCs w:val="22"/>
                <w:lang w:val="en"/>
              </w:rPr>
              <w:t>Direct labor costs</w:t>
            </w:r>
          </w:p>
        </w:tc>
        <w:tc>
          <w:tcPr>
            <w:tcW w:w="2126" w:type="dxa"/>
          </w:tcPr>
          <w:p w14:paraId="3FB0D97C"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7E944D49"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39F4B92C" w14:textId="77777777" w:rsidTr="00DD3C2F">
        <w:trPr>
          <w:trHeight w:val="1955"/>
        </w:trPr>
        <w:tc>
          <w:tcPr>
            <w:tcW w:w="3828" w:type="dxa"/>
          </w:tcPr>
          <w:p w14:paraId="67434EEE"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lastRenderedPageBreak/>
              <w:t>Variable Overhead Costs</w:t>
            </w:r>
          </w:p>
          <w:p w14:paraId="47C42E11"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Gallon water</w:t>
            </w:r>
          </w:p>
          <w:p w14:paraId="4C282F7F"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Electricity costs</w:t>
            </w:r>
          </w:p>
          <w:p w14:paraId="3CB2F580" w14:textId="77777777" w:rsidR="00DB5227" w:rsidRPr="00DB5227" w:rsidRDefault="00DB5227" w:rsidP="00DB5227">
            <w:pPr>
              <w:pStyle w:val="ListParagraph"/>
              <w:widowControl w:val="0"/>
              <w:numPr>
                <w:ilvl w:val="0"/>
                <w:numId w:val="4"/>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Gas (3 kg)</w:t>
            </w:r>
          </w:p>
          <w:p w14:paraId="38810B96"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Transportation costs (fuel)</w:t>
            </w:r>
          </w:p>
          <w:p w14:paraId="49A65C66" w14:textId="77777777" w:rsidR="00DB5227" w:rsidRPr="00DB5227" w:rsidRDefault="00DB5227" w:rsidP="00DB5227">
            <w:pPr>
              <w:pStyle w:val="HTMLPreformatted"/>
              <w:numPr>
                <w:ilvl w:val="0"/>
                <w:numId w:val="4"/>
              </w:numPr>
              <w:tabs>
                <w:tab w:val="clear" w:pos="3664"/>
              </w:tabs>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0E3385E8"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5B61CCEC" w14:textId="38DC9498" w:rsidR="005B214E" w:rsidRPr="00DB5227" w:rsidRDefault="00DB5227" w:rsidP="00DB5227">
            <w:pPr>
              <w:pStyle w:val="ListParagraph"/>
              <w:widowControl w:val="0"/>
              <w:numPr>
                <w:ilvl w:val="0"/>
                <w:numId w:val="4"/>
              </w:numPr>
              <w:autoSpaceDE w:val="0"/>
              <w:autoSpaceDN w:val="0"/>
              <w:adjustRightInd w:val="0"/>
              <w:spacing w:line="276" w:lineRule="auto"/>
              <w:jc w:val="both"/>
              <w:rPr>
                <w:rFonts w:ascii="Times New Roman" w:hAnsi="Times New Roman" w:cs="Times New Roman"/>
                <w:szCs w:val="22"/>
              </w:rPr>
            </w:pPr>
            <w:r w:rsidRPr="00DB5227">
              <w:rPr>
                <w:rFonts w:ascii="Times New Roman" w:hAnsi="Times New Roman" w:cs="Times New Roman"/>
                <w:szCs w:val="22"/>
              </w:rPr>
              <w:t xml:space="preserve">Chili </w:t>
            </w:r>
            <w:r w:rsidRPr="00DB5227">
              <w:rPr>
                <w:rFonts w:ascii="Times New Roman" w:hAnsi="Times New Roman" w:cs="Times New Roman"/>
                <w:i/>
                <w:iCs/>
                <w:szCs w:val="22"/>
              </w:rPr>
              <w:t>Sachet</w:t>
            </w:r>
          </w:p>
        </w:tc>
        <w:tc>
          <w:tcPr>
            <w:tcW w:w="2126" w:type="dxa"/>
          </w:tcPr>
          <w:p w14:paraId="51FF700C"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4F7A4EEE"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2232E0B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14E4C287"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p w14:paraId="27075EEE"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40.000,00</w:t>
            </w:r>
          </w:p>
          <w:p w14:paraId="60D1988A"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63D5DC4B"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280.000,00</w:t>
            </w:r>
          </w:p>
          <w:p w14:paraId="1E71143F"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7322770C"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C3DF01D"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3F31399D"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5E7C14E6"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p w14:paraId="593AA5BA" w14:textId="77777777" w:rsidR="005B214E" w:rsidRPr="00DB5227" w:rsidRDefault="005B214E" w:rsidP="00DD3C2F">
            <w:pPr>
              <w:widowControl w:val="0"/>
              <w:autoSpaceDE w:val="0"/>
              <w:autoSpaceDN w:val="0"/>
              <w:adjustRightInd w:val="0"/>
              <w:rPr>
                <w:rFonts w:ascii="Times New Roman" w:hAnsi="Times New Roman" w:cs="Times New Roman"/>
                <w:szCs w:val="22"/>
              </w:rPr>
            </w:pPr>
          </w:p>
        </w:tc>
      </w:tr>
      <w:tr w:rsidR="005B214E" w:rsidRPr="00DB5227" w14:paraId="167CE473" w14:textId="77777777" w:rsidTr="00DD3C2F">
        <w:tc>
          <w:tcPr>
            <w:tcW w:w="3828" w:type="dxa"/>
            <w:tcBorders>
              <w:bottom w:val="single" w:sz="4" w:space="0" w:color="auto"/>
            </w:tcBorders>
          </w:tcPr>
          <w:p w14:paraId="65ED318A"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1B0FC3B1"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075B4FC0" w14:textId="3C2BF513"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(Rp/Package)</w:t>
            </w:r>
          </w:p>
        </w:tc>
        <w:tc>
          <w:tcPr>
            <w:tcW w:w="2126" w:type="dxa"/>
            <w:tcBorders>
              <w:bottom w:val="single" w:sz="4" w:space="0" w:color="auto"/>
            </w:tcBorders>
          </w:tcPr>
          <w:p w14:paraId="550F28DA" w14:textId="77777777" w:rsidR="005B214E" w:rsidRPr="00DB5227" w:rsidRDefault="005B214E" w:rsidP="00DD3C2F">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419F2490"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5.132.880,00</w:t>
            </w:r>
          </w:p>
          <w:p w14:paraId="114A7B56"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716A4F9B" w14:textId="77777777" w:rsidR="005B214E" w:rsidRPr="00DB5227" w:rsidRDefault="005B214E"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12.832,20</w:t>
            </w:r>
          </w:p>
        </w:tc>
      </w:tr>
    </w:tbl>
    <w:p w14:paraId="21F1AC87"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32FEC9D9"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075B25F2" w14:textId="6033E30C"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Table 3, the total cost of production calculated using the variable costing method is IDR 5,132,880.00</w:t>
      </w:r>
      <w:r w:rsidR="00555088">
        <w:rPr>
          <w:rStyle w:val="y2iqfc"/>
          <w:rFonts w:ascii="Times New Roman" w:eastAsiaTheme="majorEastAsia" w:hAnsi="Times New Roman" w:cs="Times New Roman"/>
          <w:sz w:val="22"/>
          <w:szCs w:val="22"/>
          <w:lang w:val="en"/>
        </w:rPr>
        <w:t>. W</w:t>
      </w:r>
      <w:r w:rsidRPr="00DB5227">
        <w:rPr>
          <w:rStyle w:val="y2iqfc"/>
          <w:rFonts w:ascii="Times New Roman" w:eastAsiaTheme="majorEastAsia" w:hAnsi="Times New Roman" w:cs="Times New Roman"/>
          <w:sz w:val="22"/>
          <w:szCs w:val="22"/>
          <w:lang w:val="en"/>
        </w:rPr>
        <w:t>ith a production volume of 400 packages in one month, the cost of production per package based on the variable costing method is IDR 12,832.20.</w:t>
      </w:r>
    </w:p>
    <w:p w14:paraId="12F930D2" w14:textId="77777777" w:rsidR="005B214E" w:rsidRPr="00DB5227" w:rsidRDefault="005B214E" w:rsidP="005B214E">
      <w:pPr>
        <w:pStyle w:val="HTMLPreformatted"/>
        <w:jc w:val="both"/>
        <w:rPr>
          <w:rStyle w:val="y2iqfc"/>
          <w:rFonts w:ascii="Times New Roman" w:eastAsiaTheme="majorEastAsia" w:hAnsi="Times New Roman" w:cs="Times New Roman"/>
          <w:sz w:val="22"/>
          <w:szCs w:val="22"/>
          <w:lang w:val="en"/>
        </w:rPr>
      </w:pPr>
    </w:p>
    <w:p w14:paraId="540A41D7" w14:textId="68CF9E9C" w:rsidR="005B214E" w:rsidRPr="00DB5227" w:rsidRDefault="000255D0" w:rsidP="005B214E">
      <w:pPr>
        <w:pStyle w:val="HTMLPreformatted"/>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3.3</w:t>
      </w:r>
      <w:r w:rsidR="005B214E" w:rsidRPr="000255D0">
        <w:rPr>
          <w:rStyle w:val="y2iqfc"/>
          <w:rFonts w:ascii="Times New Roman" w:eastAsiaTheme="majorEastAsia" w:hAnsi="Times New Roman" w:cs="Times New Roman"/>
          <w:b/>
          <w:bCs/>
          <w:sz w:val="22"/>
          <w:szCs w:val="22"/>
          <w:highlight w:val="red"/>
          <w:lang w:val="en"/>
        </w:rPr>
        <w:t>d.</w:t>
      </w:r>
      <w:r w:rsidR="005B214E" w:rsidRPr="00DB5227">
        <w:rPr>
          <w:rStyle w:val="y2iqfc"/>
          <w:rFonts w:ascii="Times New Roman" w:eastAsiaTheme="majorEastAsia" w:hAnsi="Times New Roman" w:cs="Times New Roman"/>
          <w:b/>
          <w:bCs/>
          <w:sz w:val="22"/>
          <w:szCs w:val="22"/>
          <w:lang w:val="en"/>
        </w:rPr>
        <w:t xml:space="preserve"> Comparison of Cost of Goods Sold Between the Three Methods</w:t>
      </w:r>
    </w:p>
    <w:p w14:paraId="288CBA69" w14:textId="419A315B"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The differences in calculating </w:t>
      </w:r>
      <w:r w:rsidR="00555088">
        <w:rPr>
          <w:rStyle w:val="y2iqfc"/>
          <w:rFonts w:ascii="Times New Roman" w:eastAsiaTheme="majorEastAsia" w:hAnsi="Times New Roman" w:cs="Times New Roman"/>
          <w:sz w:val="22"/>
          <w:szCs w:val="22"/>
          <w:lang w:val="en"/>
        </w:rPr>
        <w:t xml:space="preserve">the </w:t>
      </w:r>
      <w:r w:rsidRPr="00DB5227">
        <w:rPr>
          <w:rStyle w:val="y2iqfc"/>
          <w:rFonts w:ascii="Times New Roman" w:eastAsiaTheme="majorEastAsia" w:hAnsi="Times New Roman" w:cs="Times New Roman"/>
          <w:sz w:val="22"/>
          <w:szCs w:val="22"/>
          <w:lang w:val="en"/>
        </w:rPr>
        <w:t>cost of goods sold between the methods currently used by JATAM MSMEs, the full costing method, and the variable costing method, indicate that each method has a different approach to accumulating production costs. A detailed comparison of the cost of goods sold between the three methods is presented in Table 4 below.</w:t>
      </w:r>
    </w:p>
    <w:p w14:paraId="1F0C7F10" w14:textId="77777777" w:rsidR="005B214E" w:rsidRPr="00DB5227" w:rsidRDefault="005B214E" w:rsidP="005B214E">
      <w:pPr>
        <w:pStyle w:val="HTMLPreformatted"/>
        <w:jc w:val="both"/>
        <w:rPr>
          <w:rFonts w:ascii="Times New Roman" w:hAnsi="Times New Roman" w:cs="Times New Roman"/>
          <w:sz w:val="22"/>
          <w:szCs w:val="22"/>
        </w:rPr>
      </w:pPr>
    </w:p>
    <w:p w14:paraId="6AE4FCC6" w14:textId="77777777" w:rsidR="005B214E" w:rsidRPr="00DB5227" w:rsidRDefault="005B214E" w:rsidP="000E6436">
      <w:pPr>
        <w:pStyle w:val="HTMLPreformatted"/>
        <w:ind w:left="851" w:hanging="851"/>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4. Comparison of Cost of Goods Sold Using the JATAM MSME Method, with the Full Costing and Variable Costing Methods,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978"/>
        <w:gridCol w:w="2125"/>
      </w:tblGrid>
      <w:tr w:rsidR="005B214E" w:rsidRPr="00DB5227" w14:paraId="7D0CD4E8" w14:textId="77777777" w:rsidTr="00DD3C2F">
        <w:tc>
          <w:tcPr>
            <w:tcW w:w="2835" w:type="dxa"/>
            <w:tcBorders>
              <w:top w:val="single" w:sz="4" w:space="0" w:color="auto"/>
              <w:bottom w:val="single" w:sz="4" w:space="0" w:color="auto"/>
            </w:tcBorders>
            <w:vAlign w:val="center"/>
          </w:tcPr>
          <w:p w14:paraId="776F894F" w14:textId="77777777" w:rsidR="000E6436"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Information</w:t>
            </w:r>
          </w:p>
          <w:p w14:paraId="24C6F80C" w14:textId="322CB02D" w:rsidR="005B214E" w:rsidRPr="000E6436" w:rsidRDefault="005B214E" w:rsidP="00DD3C2F">
            <w:pPr>
              <w:widowControl w:val="0"/>
              <w:autoSpaceDE w:val="0"/>
              <w:autoSpaceDN w:val="0"/>
              <w:adjustRightInd w:val="0"/>
              <w:jc w:val="center"/>
              <w:rPr>
                <w:rFonts w:ascii="Times New Roman" w:hAnsi="Times New Roman" w:cs="Times New Roman"/>
                <w:b/>
                <w:bCs/>
                <w:szCs w:val="22"/>
              </w:rPr>
            </w:pPr>
          </w:p>
        </w:tc>
        <w:tc>
          <w:tcPr>
            <w:tcW w:w="1560" w:type="dxa"/>
            <w:tcBorders>
              <w:top w:val="single" w:sz="4" w:space="0" w:color="auto"/>
              <w:bottom w:val="single" w:sz="4" w:space="0" w:color="auto"/>
            </w:tcBorders>
            <w:vAlign w:val="center"/>
          </w:tcPr>
          <w:p w14:paraId="0026B6C9" w14:textId="4C68291A" w:rsidR="005B214E" w:rsidRPr="000E6436" w:rsidRDefault="005B214E" w:rsidP="00DD3C2F">
            <w:pPr>
              <w:widowControl w:val="0"/>
              <w:autoSpaceDE w:val="0"/>
              <w:autoSpaceDN w:val="0"/>
              <w:adjustRightInd w:val="0"/>
              <w:jc w:val="center"/>
              <w:rPr>
                <w:rFonts w:ascii="Times New Roman" w:hAnsi="Times New Roman" w:cs="Times New Roman"/>
                <w:b/>
                <w:bCs/>
                <w:szCs w:val="22"/>
              </w:rPr>
            </w:pPr>
            <w:r w:rsidRPr="000E6436">
              <w:rPr>
                <w:rFonts w:ascii="Times New Roman" w:hAnsi="Times New Roman" w:cs="Times New Roman"/>
                <w:b/>
                <w:bCs/>
                <w:szCs w:val="22"/>
              </w:rPr>
              <w:t>Met</w:t>
            </w:r>
            <w:r w:rsidR="000E6436" w:rsidRPr="000E6436">
              <w:rPr>
                <w:rFonts w:ascii="Times New Roman" w:hAnsi="Times New Roman" w:cs="Times New Roman"/>
                <w:b/>
                <w:bCs/>
                <w:szCs w:val="22"/>
              </w:rPr>
              <w:t>h</w:t>
            </w:r>
            <w:r w:rsidRPr="000E6436">
              <w:rPr>
                <w:rFonts w:ascii="Times New Roman" w:hAnsi="Times New Roman" w:cs="Times New Roman"/>
                <w:b/>
                <w:bCs/>
                <w:szCs w:val="22"/>
              </w:rPr>
              <w:t>od</w:t>
            </w:r>
            <w:r w:rsidR="000E6436" w:rsidRPr="000E6436">
              <w:rPr>
                <w:rFonts w:ascii="Times New Roman" w:hAnsi="Times New Roman" w:cs="Times New Roman"/>
                <w:b/>
                <w:bCs/>
                <w:szCs w:val="22"/>
              </w:rPr>
              <w:t xml:space="preserve"> of</w:t>
            </w:r>
            <w:r w:rsidRPr="000E6436">
              <w:rPr>
                <w:rFonts w:ascii="Times New Roman" w:hAnsi="Times New Roman" w:cs="Times New Roman"/>
                <w:b/>
                <w:bCs/>
                <w:szCs w:val="22"/>
              </w:rPr>
              <w:t xml:space="preserve"> UMKM JATAM</w:t>
            </w:r>
          </w:p>
        </w:tc>
        <w:tc>
          <w:tcPr>
            <w:tcW w:w="1978" w:type="dxa"/>
            <w:tcBorders>
              <w:top w:val="single" w:sz="4" w:space="0" w:color="auto"/>
              <w:bottom w:val="single" w:sz="4" w:space="0" w:color="auto"/>
            </w:tcBorders>
            <w:vAlign w:val="center"/>
          </w:tcPr>
          <w:p w14:paraId="2EFA47F2" w14:textId="77777777" w:rsidR="000E6436" w:rsidRPr="000E6436" w:rsidRDefault="000E6436" w:rsidP="000E6436">
            <w:pPr>
              <w:pStyle w:val="HTMLPreformatted"/>
              <w:jc w:val="center"/>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Author's Analysis of Full Costing Method</w:t>
            </w:r>
          </w:p>
          <w:p w14:paraId="683EE900" w14:textId="28C88099" w:rsidR="005B214E" w:rsidRPr="000E6436" w:rsidRDefault="005B214E" w:rsidP="000E6436">
            <w:pPr>
              <w:widowControl w:val="0"/>
              <w:autoSpaceDE w:val="0"/>
              <w:autoSpaceDN w:val="0"/>
              <w:adjustRightInd w:val="0"/>
              <w:jc w:val="center"/>
              <w:rPr>
                <w:rFonts w:ascii="Times New Roman" w:hAnsi="Times New Roman" w:cs="Times New Roman"/>
                <w:b/>
                <w:bCs/>
                <w:i/>
                <w:iCs/>
                <w:szCs w:val="22"/>
              </w:rPr>
            </w:pPr>
          </w:p>
        </w:tc>
        <w:tc>
          <w:tcPr>
            <w:tcW w:w="2125" w:type="dxa"/>
            <w:tcBorders>
              <w:top w:val="single" w:sz="4" w:space="0" w:color="auto"/>
              <w:bottom w:val="single" w:sz="4" w:space="0" w:color="auto"/>
            </w:tcBorders>
            <w:vAlign w:val="center"/>
          </w:tcPr>
          <w:p w14:paraId="507D96BE" w14:textId="56F939D3" w:rsidR="005B214E" w:rsidRPr="000E6436" w:rsidRDefault="000E6436" w:rsidP="000E6436">
            <w:pPr>
              <w:pStyle w:val="HTMLPreformatted"/>
              <w:jc w:val="center"/>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Author's Analysis of Variable Costing Method</w:t>
            </w:r>
          </w:p>
        </w:tc>
      </w:tr>
      <w:tr w:rsidR="005B214E" w:rsidRPr="00DB5227" w14:paraId="52AA2497" w14:textId="77777777" w:rsidTr="00DD3C2F">
        <w:tc>
          <w:tcPr>
            <w:tcW w:w="2835" w:type="dxa"/>
            <w:tcBorders>
              <w:top w:val="single" w:sz="4" w:space="0" w:color="auto"/>
            </w:tcBorders>
          </w:tcPr>
          <w:p w14:paraId="7050B8F9" w14:textId="7572A390"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COGS per package</w:t>
            </w:r>
          </w:p>
        </w:tc>
        <w:tc>
          <w:tcPr>
            <w:tcW w:w="1560" w:type="dxa"/>
            <w:tcBorders>
              <w:top w:val="single" w:sz="4" w:space="0" w:color="auto"/>
            </w:tcBorders>
          </w:tcPr>
          <w:p w14:paraId="63D5097D" w14:textId="77777777" w:rsidR="005B214E" w:rsidRPr="000E6436" w:rsidRDefault="005B214E" w:rsidP="00DD3C2F">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12.182,20</w:t>
            </w:r>
          </w:p>
        </w:tc>
        <w:tc>
          <w:tcPr>
            <w:tcW w:w="1978" w:type="dxa"/>
            <w:tcBorders>
              <w:top w:val="single" w:sz="4" w:space="0" w:color="auto"/>
            </w:tcBorders>
          </w:tcPr>
          <w:p w14:paraId="7ED9E2F0" w14:textId="77777777" w:rsidR="005B214E" w:rsidRPr="000E6436" w:rsidRDefault="005B214E" w:rsidP="00DD3C2F">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13.077,86</w:t>
            </w:r>
          </w:p>
        </w:tc>
        <w:tc>
          <w:tcPr>
            <w:tcW w:w="2125" w:type="dxa"/>
            <w:tcBorders>
              <w:top w:val="single" w:sz="4" w:space="0" w:color="auto"/>
            </w:tcBorders>
          </w:tcPr>
          <w:p w14:paraId="07E40BEC" w14:textId="77777777" w:rsidR="005B214E" w:rsidRPr="000E6436" w:rsidRDefault="005B214E" w:rsidP="00DD3C2F">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12.832,20</w:t>
            </w:r>
          </w:p>
        </w:tc>
      </w:tr>
      <w:tr w:rsidR="005B214E" w:rsidRPr="00DB5227" w14:paraId="700FB58C" w14:textId="77777777" w:rsidTr="00DD3C2F">
        <w:tc>
          <w:tcPr>
            <w:tcW w:w="2835" w:type="dxa"/>
          </w:tcPr>
          <w:p w14:paraId="644A961C" w14:textId="30CBBED6"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cost of goods manufactured</w:t>
            </w:r>
          </w:p>
        </w:tc>
        <w:tc>
          <w:tcPr>
            <w:tcW w:w="1560" w:type="dxa"/>
          </w:tcPr>
          <w:p w14:paraId="1C6DA789"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4.872.880,00</w:t>
            </w:r>
          </w:p>
        </w:tc>
        <w:tc>
          <w:tcPr>
            <w:tcW w:w="1978" w:type="dxa"/>
          </w:tcPr>
          <w:p w14:paraId="35C0F3CF"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5.231.145,00</w:t>
            </w:r>
          </w:p>
        </w:tc>
        <w:tc>
          <w:tcPr>
            <w:tcW w:w="2125" w:type="dxa"/>
          </w:tcPr>
          <w:p w14:paraId="46561927"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5.132.880,00</w:t>
            </w:r>
          </w:p>
        </w:tc>
      </w:tr>
      <w:tr w:rsidR="005B214E" w:rsidRPr="00DB5227" w14:paraId="15B214F0" w14:textId="77777777" w:rsidTr="00DD3C2F">
        <w:tc>
          <w:tcPr>
            <w:tcW w:w="2835" w:type="dxa"/>
          </w:tcPr>
          <w:p w14:paraId="25B4A789" w14:textId="4BEDD0F6"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Profit 35%</w:t>
            </w:r>
          </w:p>
        </w:tc>
        <w:tc>
          <w:tcPr>
            <w:tcW w:w="1560" w:type="dxa"/>
          </w:tcPr>
          <w:p w14:paraId="1E8BE6FF"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1.705.508,00</w:t>
            </w:r>
          </w:p>
        </w:tc>
        <w:tc>
          <w:tcPr>
            <w:tcW w:w="1978" w:type="dxa"/>
          </w:tcPr>
          <w:p w14:paraId="78298F43"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1.830.900,75</w:t>
            </w:r>
          </w:p>
        </w:tc>
        <w:tc>
          <w:tcPr>
            <w:tcW w:w="2125" w:type="dxa"/>
          </w:tcPr>
          <w:p w14:paraId="6D69FA3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1.796.508,00</w:t>
            </w:r>
          </w:p>
        </w:tc>
      </w:tr>
      <w:tr w:rsidR="005B214E" w:rsidRPr="00DB5227" w14:paraId="7A67A214" w14:textId="77777777" w:rsidTr="00DD3C2F">
        <w:tc>
          <w:tcPr>
            <w:tcW w:w="2835" w:type="dxa"/>
          </w:tcPr>
          <w:p w14:paraId="6BD9EAC4" w14:textId="3DDD1B65"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selling price</w:t>
            </w:r>
          </w:p>
        </w:tc>
        <w:tc>
          <w:tcPr>
            <w:tcW w:w="1560" w:type="dxa"/>
          </w:tcPr>
          <w:p w14:paraId="22104828"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6.578.388,00</w:t>
            </w:r>
          </w:p>
        </w:tc>
        <w:tc>
          <w:tcPr>
            <w:tcW w:w="1978" w:type="dxa"/>
          </w:tcPr>
          <w:p w14:paraId="65ACF02F"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7.062.045,75</w:t>
            </w:r>
          </w:p>
        </w:tc>
        <w:tc>
          <w:tcPr>
            <w:tcW w:w="2125" w:type="dxa"/>
          </w:tcPr>
          <w:p w14:paraId="36872A1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6.929.388,00</w:t>
            </w:r>
          </w:p>
        </w:tc>
      </w:tr>
      <w:tr w:rsidR="005B214E" w:rsidRPr="00DB5227" w14:paraId="13CB08B4" w14:textId="77777777" w:rsidTr="00DD3C2F">
        <w:tc>
          <w:tcPr>
            <w:tcW w:w="2835" w:type="dxa"/>
          </w:tcPr>
          <w:p w14:paraId="74C1C9A8" w14:textId="56921148"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Number of products (packages)</w:t>
            </w:r>
          </w:p>
        </w:tc>
        <w:tc>
          <w:tcPr>
            <w:tcW w:w="1560" w:type="dxa"/>
          </w:tcPr>
          <w:p w14:paraId="49621D8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c>
          <w:tcPr>
            <w:tcW w:w="1978" w:type="dxa"/>
          </w:tcPr>
          <w:p w14:paraId="54149D3D"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c>
          <w:tcPr>
            <w:tcW w:w="2125" w:type="dxa"/>
          </w:tcPr>
          <w:p w14:paraId="35E10008"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r>
      <w:tr w:rsidR="005B214E" w:rsidRPr="00DB5227" w14:paraId="1F3952C6" w14:textId="77777777" w:rsidTr="00DD3C2F">
        <w:tc>
          <w:tcPr>
            <w:tcW w:w="2835" w:type="dxa"/>
            <w:tcBorders>
              <w:bottom w:val="single" w:sz="4" w:space="0" w:color="auto"/>
            </w:tcBorders>
          </w:tcPr>
          <w:p w14:paraId="6F19940A" w14:textId="0CFB10F7"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selling price per package</w:t>
            </w:r>
          </w:p>
        </w:tc>
        <w:tc>
          <w:tcPr>
            <w:tcW w:w="1560" w:type="dxa"/>
            <w:tcBorders>
              <w:bottom w:val="single" w:sz="4" w:space="0" w:color="auto"/>
            </w:tcBorders>
          </w:tcPr>
          <w:p w14:paraId="43513BBE"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16.445,97</w:t>
            </w:r>
          </w:p>
        </w:tc>
        <w:tc>
          <w:tcPr>
            <w:tcW w:w="1978" w:type="dxa"/>
            <w:tcBorders>
              <w:bottom w:val="single" w:sz="4" w:space="0" w:color="auto"/>
            </w:tcBorders>
          </w:tcPr>
          <w:p w14:paraId="1E6DC875"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17.655,11</w:t>
            </w:r>
          </w:p>
        </w:tc>
        <w:tc>
          <w:tcPr>
            <w:tcW w:w="2125" w:type="dxa"/>
            <w:tcBorders>
              <w:bottom w:val="single" w:sz="4" w:space="0" w:color="auto"/>
            </w:tcBorders>
          </w:tcPr>
          <w:p w14:paraId="74B00193" w14:textId="77777777" w:rsidR="005B214E" w:rsidRPr="000E6436" w:rsidRDefault="005B214E" w:rsidP="00DD3C2F">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17.323,47</w:t>
            </w:r>
          </w:p>
        </w:tc>
      </w:tr>
    </w:tbl>
    <w:p w14:paraId="400ECBF7"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12B389FE"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7A532A58" w14:textId="43CB7C5B"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comparative analysis of the cost of goods manufactured presented in Table 4 shows a difference in the cost of goods manufactured between the methods applied by JATAM MSMEs, the full costing method, and the variable costing method. The method currently applied by JATAM MSMEs results in a cost of goods manufactured per package of IDR 12,182.20. Meanwhile, calculations using the full costing method result in a cost of goods manufactured per package of IDR 13,077.86, resulting in a difference of Rp895.66 per package compared to the JATAM MSME method. Calculations using the variable costing method result in a cost of goods manufactured of Rp12,832.20 per package, indicating a difference of IDR 650.00 compared to the JATAM MSME method, and a difference of IDR 245.66 per package compared to the full costing method.</w:t>
      </w:r>
    </w:p>
    <w:p w14:paraId="1062A3DF" w14:textId="77777777" w:rsidR="00DD2147" w:rsidRPr="00DB5227" w:rsidRDefault="00DD2147" w:rsidP="00DD2147">
      <w:pPr>
        <w:pStyle w:val="HTMLPreformatted"/>
        <w:rPr>
          <w:rStyle w:val="y2iqfc"/>
          <w:rFonts w:ascii="Times New Roman" w:eastAsiaTheme="majorEastAsia" w:hAnsi="Times New Roman" w:cs="Times New Roman"/>
          <w:sz w:val="22"/>
          <w:szCs w:val="22"/>
          <w:lang w:val="en"/>
        </w:rPr>
      </w:pPr>
    </w:p>
    <w:p w14:paraId="11AAA285" w14:textId="39D020CD" w:rsidR="00DD2147" w:rsidRPr="00DB5227" w:rsidRDefault="000255D0" w:rsidP="00DD2147">
      <w:pPr>
        <w:pStyle w:val="HTMLPreformatted"/>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3.4</w:t>
      </w:r>
      <w:r w:rsidR="00DD2147" w:rsidRPr="000255D0">
        <w:rPr>
          <w:rStyle w:val="y2iqfc"/>
          <w:rFonts w:ascii="Times New Roman" w:eastAsiaTheme="majorEastAsia" w:hAnsi="Times New Roman" w:cs="Times New Roman"/>
          <w:b/>
          <w:bCs/>
          <w:sz w:val="22"/>
          <w:szCs w:val="22"/>
          <w:highlight w:val="red"/>
          <w:lang w:val="en"/>
        </w:rPr>
        <w:t>5.</w:t>
      </w:r>
      <w:r w:rsidR="00DD2147" w:rsidRPr="00DB5227">
        <w:rPr>
          <w:rStyle w:val="y2iqfc"/>
          <w:rFonts w:ascii="Times New Roman" w:eastAsiaTheme="majorEastAsia" w:hAnsi="Times New Roman" w:cs="Times New Roman"/>
          <w:b/>
          <w:bCs/>
          <w:sz w:val="22"/>
          <w:szCs w:val="22"/>
          <w:lang w:val="en"/>
        </w:rPr>
        <w:t xml:space="preserve"> Break-Even Point Analysis for JATAM Chips Production</w:t>
      </w:r>
    </w:p>
    <w:p w14:paraId="5A298C6D" w14:textId="77777777" w:rsidR="00DD2147" w:rsidRPr="00DB5227" w:rsidRDefault="00DD2147" w:rsidP="00DD214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Break-even point analysis is a method used by management to determine the balance point between revenue and costs, where the company experiences neither a loss nor a profit. In calculating the break-even point, the first step is to classify costs based on their behavior [16]. Fixed costs in this study come from equipment depreciation, while costs included in the variable cost category include raw materials, direct labor, and variable overhead. After identifying fixed and variable costs, the next step is to calculate the Break-Even Point (BEP) based on sales revenue and production volume. The results of the BEP calculation are presented in Table 5 below.</w:t>
      </w:r>
    </w:p>
    <w:p w14:paraId="00D95FAC" w14:textId="77777777" w:rsidR="00AE06ED" w:rsidRDefault="00AE06ED" w:rsidP="00193D39">
      <w:pPr>
        <w:pStyle w:val="HTMLPreformatted"/>
        <w:rPr>
          <w:rStyle w:val="y2iqfc"/>
          <w:rFonts w:ascii="Times New Roman" w:eastAsiaTheme="majorEastAsia" w:hAnsi="Times New Roman" w:cs="Times New Roman"/>
          <w:sz w:val="22"/>
          <w:szCs w:val="22"/>
          <w:lang w:val="en"/>
        </w:rPr>
      </w:pPr>
    </w:p>
    <w:p w14:paraId="3F79C80E" w14:textId="476E6581" w:rsidR="00193D39" w:rsidRPr="00DB5227" w:rsidRDefault="00193D39" w:rsidP="00193D39">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5. Calculation of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for JATAM Chips Production,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85"/>
        <w:gridCol w:w="2544"/>
      </w:tblGrid>
      <w:tr w:rsidR="00DD2147" w:rsidRPr="00DB5227" w14:paraId="79282A5F" w14:textId="77777777" w:rsidTr="00DD3C2F">
        <w:trPr>
          <w:trHeight w:val="365"/>
        </w:trPr>
        <w:tc>
          <w:tcPr>
            <w:tcW w:w="3969" w:type="dxa"/>
            <w:tcBorders>
              <w:top w:val="single" w:sz="4" w:space="0" w:color="auto"/>
              <w:bottom w:val="single" w:sz="4" w:space="0" w:color="auto"/>
            </w:tcBorders>
            <w:vAlign w:val="center"/>
          </w:tcPr>
          <w:p w14:paraId="1B145087" w14:textId="77777777" w:rsidR="00AE06ED" w:rsidRPr="00AE06ED" w:rsidRDefault="00AE06ED" w:rsidP="00AE06ED">
            <w:pPr>
              <w:pStyle w:val="HTMLPreformatted"/>
              <w:rPr>
                <w:rFonts w:ascii="Times New Roman" w:hAnsi="Times New Roman" w:cs="Times New Roman"/>
                <w:b/>
                <w:bCs/>
                <w:sz w:val="22"/>
                <w:szCs w:val="22"/>
              </w:rPr>
            </w:pPr>
            <w:r w:rsidRPr="00AE06ED">
              <w:rPr>
                <w:rStyle w:val="y2iqfc"/>
                <w:rFonts w:ascii="Times New Roman" w:eastAsiaTheme="majorEastAsia" w:hAnsi="Times New Roman" w:cs="Times New Roman"/>
                <w:b/>
                <w:bCs/>
                <w:sz w:val="22"/>
                <w:szCs w:val="22"/>
                <w:lang w:val="en"/>
              </w:rPr>
              <w:t>Calculation Components</w:t>
            </w:r>
          </w:p>
          <w:p w14:paraId="53AFE78E" w14:textId="10580068" w:rsidR="00DD2147" w:rsidRPr="00DB5227" w:rsidRDefault="00DD2147" w:rsidP="00DD3C2F">
            <w:pPr>
              <w:widowControl w:val="0"/>
              <w:autoSpaceDE w:val="0"/>
              <w:autoSpaceDN w:val="0"/>
              <w:adjustRightInd w:val="0"/>
              <w:rPr>
                <w:rFonts w:ascii="Times New Roman" w:hAnsi="Times New Roman" w:cs="Times New Roman"/>
                <w:b/>
                <w:bCs/>
                <w:szCs w:val="22"/>
              </w:rPr>
            </w:pPr>
          </w:p>
        </w:tc>
        <w:tc>
          <w:tcPr>
            <w:tcW w:w="1985" w:type="dxa"/>
            <w:tcBorders>
              <w:top w:val="single" w:sz="4" w:space="0" w:color="auto"/>
              <w:bottom w:val="single" w:sz="4" w:space="0" w:color="auto"/>
            </w:tcBorders>
            <w:vAlign w:val="center"/>
          </w:tcPr>
          <w:p w14:paraId="1E53090E" w14:textId="3F1B4472" w:rsidR="00DD2147" w:rsidRPr="00DB5227" w:rsidRDefault="00AE06ED" w:rsidP="00DD3C2F">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DD2147" w:rsidRPr="00DB5227">
              <w:rPr>
                <w:rFonts w:ascii="Times New Roman" w:hAnsi="Times New Roman" w:cs="Times New Roman"/>
                <w:b/>
                <w:bCs/>
                <w:szCs w:val="22"/>
              </w:rPr>
              <w:t xml:space="preserve"> (</w:t>
            </w:r>
            <w:r>
              <w:rPr>
                <w:rFonts w:ascii="Times New Roman" w:hAnsi="Times New Roman" w:cs="Times New Roman"/>
                <w:b/>
                <w:bCs/>
                <w:szCs w:val="22"/>
              </w:rPr>
              <w:t>IDR</w:t>
            </w:r>
            <w:r w:rsidR="00DD2147"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728F2916" w14:textId="2C16DC58" w:rsidR="00DD2147" w:rsidRPr="00DB5227" w:rsidRDefault="00DD2147" w:rsidP="00DD3C2F">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 xml:space="preserve">Total </w:t>
            </w:r>
            <w:r w:rsidR="00AE06ED">
              <w:rPr>
                <w:rFonts w:ascii="Times New Roman" w:hAnsi="Times New Roman" w:cs="Times New Roman"/>
                <w:b/>
                <w:bCs/>
                <w:szCs w:val="22"/>
              </w:rPr>
              <w:t>Cost</w:t>
            </w:r>
            <w:r w:rsidRPr="00DB5227">
              <w:rPr>
                <w:rFonts w:ascii="Times New Roman" w:hAnsi="Times New Roman" w:cs="Times New Roman"/>
                <w:b/>
                <w:bCs/>
                <w:szCs w:val="22"/>
              </w:rPr>
              <w:t xml:space="preserve"> (Rp)</w:t>
            </w:r>
          </w:p>
        </w:tc>
      </w:tr>
      <w:tr w:rsidR="00DD2147" w:rsidRPr="00DB5227" w14:paraId="384971D5" w14:textId="77777777" w:rsidTr="00DD3C2F">
        <w:tc>
          <w:tcPr>
            <w:tcW w:w="3969" w:type="dxa"/>
            <w:tcBorders>
              <w:top w:val="single" w:sz="4" w:space="0" w:color="auto"/>
            </w:tcBorders>
          </w:tcPr>
          <w:p w14:paraId="14EE889C" w14:textId="452D5693"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Raw Material Costs</w:t>
            </w:r>
          </w:p>
        </w:tc>
        <w:tc>
          <w:tcPr>
            <w:tcW w:w="1985" w:type="dxa"/>
            <w:tcBorders>
              <w:top w:val="single" w:sz="4" w:space="0" w:color="auto"/>
            </w:tcBorders>
          </w:tcPr>
          <w:p w14:paraId="1DFB7329" w14:textId="77777777" w:rsidR="00DD2147" w:rsidRPr="00DB5227" w:rsidRDefault="00DD2147" w:rsidP="00DD3C2F">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527D9EFF"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D2147" w:rsidRPr="00DB5227" w14:paraId="35AAB9D3" w14:textId="77777777" w:rsidTr="00DD3C2F">
        <w:trPr>
          <w:trHeight w:val="994"/>
        </w:trPr>
        <w:tc>
          <w:tcPr>
            <w:tcW w:w="3969" w:type="dxa"/>
          </w:tcPr>
          <w:p w14:paraId="74A0C002" w14:textId="2A594BAA" w:rsidR="00DD2147" w:rsidRPr="00AE06ED" w:rsidRDefault="00DD2147" w:rsidP="00DD3C2F">
            <w:pPr>
              <w:widowControl w:val="0"/>
              <w:autoSpaceDE w:val="0"/>
              <w:autoSpaceDN w:val="0"/>
              <w:adjustRightInd w:val="0"/>
              <w:jc w:val="both"/>
              <w:rPr>
                <w:rFonts w:ascii="Times New Roman" w:hAnsi="Times New Roman" w:cs="Times New Roman"/>
                <w:szCs w:val="22"/>
              </w:rPr>
            </w:pPr>
            <w:r w:rsidRPr="00AE06ED">
              <w:rPr>
                <w:rFonts w:ascii="Times New Roman" w:hAnsi="Times New Roman" w:cs="Times New Roman"/>
                <w:i/>
                <w:iCs/>
                <w:szCs w:val="22"/>
              </w:rPr>
              <w:t>Variable Cost</w:t>
            </w:r>
          </w:p>
          <w:p w14:paraId="456C1660" w14:textId="1925A48C" w:rsidR="00AE06ED" w:rsidRPr="00AE06ED" w:rsidRDefault="00AE06ED" w:rsidP="00AE06E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a. Raw material costs</w:t>
            </w:r>
          </w:p>
          <w:p w14:paraId="5EA32941" w14:textId="06707679" w:rsidR="00AE06ED" w:rsidRPr="00AE06ED" w:rsidRDefault="00AE06ED" w:rsidP="00AE06E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b. Direct labor costs</w:t>
            </w:r>
          </w:p>
          <w:p w14:paraId="0447D54C" w14:textId="28597AFF" w:rsidR="00DD2147" w:rsidRPr="00AE06ED" w:rsidRDefault="00AE06ED" w:rsidP="00AE06ED">
            <w:pPr>
              <w:pStyle w:val="HTMLPreformatted"/>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c. Variable overhead costs</w:t>
            </w:r>
          </w:p>
        </w:tc>
        <w:tc>
          <w:tcPr>
            <w:tcW w:w="1985" w:type="dxa"/>
          </w:tcPr>
          <w:p w14:paraId="52CE71A4" w14:textId="77777777" w:rsidR="00DD2147" w:rsidRPr="00DB5227" w:rsidRDefault="00DD2147" w:rsidP="00DD3C2F">
            <w:pPr>
              <w:widowControl w:val="0"/>
              <w:autoSpaceDE w:val="0"/>
              <w:autoSpaceDN w:val="0"/>
              <w:adjustRightInd w:val="0"/>
              <w:jc w:val="both"/>
              <w:rPr>
                <w:rFonts w:ascii="Times New Roman" w:hAnsi="Times New Roman" w:cs="Times New Roman"/>
                <w:szCs w:val="22"/>
              </w:rPr>
            </w:pPr>
          </w:p>
          <w:p w14:paraId="54EA80C9"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435B818D"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2885D298"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tc>
        <w:tc>
          <w:tcPr>
            <w:tcW w:w="2544" w:type="dxa"/>
          </w:tcPr>
          <w:p w14:paraId="30ECD8ED" w14:textId="77777777" w:rsidR="00DD2147" w:rsidRPr="00DB5227" w:rsidRDefault="00DD2147" w:rsidP="00DD3C2F">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94ACF6C" w14:textId="77777777" w:rsidR="00DD2147" w:rsidRPr="00DB5227" w:rsidRDefault="00DD2147" w:rsidP="00DD3C2F">
            <w:pPr>
              <w:widowControl w:val="0"/>
              <w:autoSpaceDE w:val="0"/>
              <w:autoSpaceDN w:val="0"/>
              <w:adjustRightInd w:val="0"/>
              <w:jc w:val="both"/>
              <w:rPr>
                <w:rFonts w:ascii="Times New Roman" w:hAnsi="Times New Roman" w:cs="Times New Roman"/>
                <w:szCs w:val="22"/>
              </w:rPr>
            </w:pPr>
          </w:p>
          <w:p w14:paraId="1604151D" w14:textId="77777777" w:rsidR="00DD2147" w:rsidRPr="00DB5227" w:rsidRDefault="00DD2147" w:rsidP="00DD3C2F">
            <w:pPr>
              <w:widowControl w:val="0"/>
              <w:autoSpaceDE w:val="0"/>
              <w:autoSpaceDN w:val="0"/>
              <w:adjustRightInd w:val="0"/>
              <w:rPr>
                <w:rFonts w:ascii="Times New Roman" w:hAnsi="Times New Roman" w:cs="Times New Roman"/>
                <w:szCs w:val="22"/>
              </w:rPr>
            </w:pPr>
          </w:p>
        </w:tc>
      </w:tr>
      <w:tr w:rsidR="00AE06ED" w:rsidRPr="00DB5227" w14:paraId="73979F3E" w14:textId="77777777" w:rsidTr="00DD3C2F">
        <w:tc>
          <w:tcPr>
            <w:tcW w:w="3969" w:type="dxa"/>
          </w:tcPr>
          <w:p w14:paraId="71A7A7A5" w14:textId="0D6C8C78"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Production Quantity (85 Gram Package)</w:t>
            </w:r>
          </w:p>
        </w:tc>
        <w:tc>
          <w:tcPr>
            <w:tcW w:w="1985" w:type="dxa"/>
          </w:tcPr>
          <w:p w14:paraId="47D75688"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Pr>
          <w:p w14:paraId="2B1F8755"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tc>
      </w:tr>
      <w:tr w:rsidR="00AE06ED" w:rsidRPr="00DB5227" w14:paraId="67BB04A1" w14:textId="77777777" w:rsidTr="00DD3C2F">
        <w:tc>
          <w:tcPr>
            <w:tcW w:w="3969" w:type="dxa"/>
          </w:tcPr>
          <w:p w14:paraId="1AC505C9" w14:textId="25323E4C"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Selling Price per Package</w:t>
            </w:r>
          </w:p>
        </w:tc>
        <w:tc>
          <w:tcPr>
            <w:tcW w:w="1985" w:type="dxa"/>
          </w:tcPr>
          <w:p w14:paraId="137BB807"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Pr>
          <w:p w14:paraId="0C4FAD60"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17.000,00</w:t>
            </w:r>
          </w:p>
        </w:tc>
      </w:tr>
      <w:tr w:rsidR="00AE06ED" w:rsidRPr="00DB5227" w14:paraId="68EDD9F8" w14:textId="77777777" w:rsidTr="00DD3C2F">
        <w:tc>
          <w:tcPr>
            <w:tcW w:w="3969" w:type="dxa"/>
            <w:tcBorders>
              <w:bottom w:val="single" w:sz="4" w:space="0" w:color="auto"/>
            </w:tcBorders>
          </w:tcPr>
          <w:p w14:paraId="0CAD7CA4" w14:textId="19A8EAA9"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Sales Revenue</w:t>
            </w:r>
          </w:p>
        </w:tc>
        <w:tc>
          <w:tcPr>
            <w:tcW w:w="1985" w:type="dxa"/>
            <w:tcBorders>
              <w:bottom w:val="single" w:sz="4" w:space="0" w:color="auto"/>
            </w:tcBorders>
          </w:tcPr>
          <w:p w14:paraId="7693657C"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0FA931F2"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6.800.000,00</w:t>
            </w:r>
          </w:p>
        </w:tc>
      </w:tr>
      <w:tr w:rsidR="00DD2147" w:rsidRPr="00DB5227" w14:paraId="07E82A9D" w14:textId="77777777" w:rsidTr="00DD3C2F">
        <w:trPr>
          <w:trHeight w:val="160"/>
        </w:trPr>
        <w:tc>
          <w:tcPr>
            <w:tcW w:w="3969" w:type="dxa"/>
            <w:tcBorders>
              <w:top w:val="single" w:sz="4" w:space="0" w:color="auto"/>
              <w:bottom w:val="single" w:sz="4" w:space="0" w:color="auto"/>
            </w:tcBorders>
            <w:vAlign w:val="center"/>
          </w:tcPr>
          <w:p w14:paraId="07CFDCC2" w14:textId="1BE126B4"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BEP Sales Revenue (IDR/Month)</w:t>
            </w:r>
          </w:p>
        </w:tc>
        <w:tc>
          <w:tcPr>
            <w:tcW w:w="1985" w:type="dxa"/>
            <w:tcBorders>
              <w:top w:val="single" w:sz="4" w:space="0" w:color="auto"/>
              <w:bottom w:val="single" w:sz="4" w:space="0" w:color="auto"/>
            </w:tcBorders>
            <w:vAlign w:val="center"/>
          </w:tcPr>
          <w:p w14:paraId="4C54B3E6" w14:textId="77777777" w:rsidR="00DD2147" w:rsidRPr="00DB5227" w:rsidRDefault="00DD2147" w:rsidP="00DD3C2F">
            <w:pPr>
              <w:widowControl w:val="0"/>
              <w:autoSpaceDE w:val="0"/>
              <w:autoSpaceDN w:val="0"/>
              <w:adjustRightInd w:val="0"/>
              <w:rPr>
                <w:rFonts w:ascii="Times New Roman" w:hAnsi="Times New Roman" w:cs="Times New Roman"/>
                <w:b/>
                <w:bCs/>
                <w:szCs w:val="22"/>
              </w:rPr>
            </w:pPr>
          </w:p>
        </w:tc>
        <w:tc>
          <w:tcPr>
            <w:tcW w:w="2544" w:type="dxa"/>
            <w:tcBorders>
              <w:top w:val="single" w:sz="4" w:space="0" w:color="auto"/>
              <w:bottom w:val="single" w:sz="4" w:space="0" w:color="auto"/>
            </w:tcBorders>
            <w:vAlign w:val="center"/>
          </w:tcPr>
          <w:p w14:paraId="68866BF3" w14:textId="77777777" w:rsidR="00DD2147" w:rsidRPr="00DB5227" w:rsidRDefault="00DD2147" w:rsidP="00DD3C2F">
            <w:pPr>
              <w:widowControl w:val="0"/>
              <w:autoSpaceDE w:val="0"/>
              <w:autoSpaceDN w:val="0"/>
              <w:adjustRightInd w:val="0"/>
              <w:jc w:val="right"/>
              <w:rPr>
                <w:rFonts w:ascii="Times New Roman" w:hAnsi="Times New Roman" w:cs="Times New Roman"/>
                <w:b/>
                <w:bCs/>
                <w:szCs w:val="22"/>
              </w:rPr>
            </w:pPr>
            <w:r w:rsidRPr="00DB5227">
              <w:rPr>
                <w:rFonts w:ascii="Times New Roman" w:hAnsi="Times New Roman" w:cs="Times New Roman"/>
                <w:b/>
                <w:bCs/>
                <w:szCs w:val="22"/>
              </w:rPr>
              <w:t>400.812,00</w:t>
            </w:r>
          </w:p>
        </w:tc>
      </w:tr>
      <w:tr w:rsidR="00DD2147" w:rsidRPr="00DB5227" w14:paraId="54910CF6" w14:textId="77777777" w:rsidTr="00DD3C2F">
        <w:trPr>
          <w:trHeight w:val="55"/>
        </w:trPr>
        <w:tc>
          <w:tcPr>
            <w:tcW w:w="3969" w:type="dxa"/>
            <w:tcBorders>
              <w:top w:val="single" w:sz="4" w:space="0" w:color="auto"/>
              <w:bottom w:val="single" w:sz="4" w:space="0" w:color="auto"/>
            </w:tcBorders>
            <w:vAlign w:val="center"/>
          </w:tcPr>
          <w:p w14:paraId="70B77AA3" w14:textId="00F1A298"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BEP Production Volume (Gram/Month)</w:t>
            </w:r>
          </w:p>
        </w:tc>
        <w:tc>
          <w:tcPr>
            <w:tcW w:w="1985" w:type="dxa"/>
            <w:tcBorders>
              <w:top w:val="single" w:sz="4" w:space="0" w:color="auto"/>
              <w:bottom w:val="single" w:sz="4" w:space="0" w:color="auto"/>
            </w:tcBorders>
            <w:vAlign w:val="center"/>
          </w:tcPr>
          <w:p w14:paraId="49E8A27F" w14:textId="77777777" w:rsidR="00DD2147" w:rsidRPr="00DB5227" w:rsidRDefault="00DD2147" w:rsidP="00DD3C2F">
            <w:pPr>
              <w:widowControl w:val="0"/>
              <w:autoSpaceDE w:val="0"/>
              <w:autoSpaceDN w:val="0"/>
              <w:adjustRightInd w:val="0"/>
              <w:rPr>
                <w:rFonts w:ascii="Times New Roman" w:hAnsi="Times New Roman" w:cs="Times New Roman"/>
                <w:b/>
                <w:bCs/>
                <w:szCs w:val="22"/>
              </w:rPr>
            </w:pPr>
          </w:p>
        </w:tc>
        <w:tc>
          <w:tcPr>
            <w:tcW w:w="2544" w:type="dxa"/>
            <w:tcBorders>
              <w:top w:val="single" w:sz="4" w:space="0" w:color="auto"/>
              <w:bottom w:val="single" w:sz="4" w:space="0" w:color="auto"/>
            </w:tcBorders>
            <w:vAlign w:val="center"/>
          </w:tcPr>
          <w:p w14:paraId="7CAEAF89" w14:textId="77777777" w:rsidR="00DD2147" w:rsidRPr="00DB5227" w:rsidRDefault="00DD2147" w:rsidP="00DD3C2F">
            <w:pPr>
              <w:widowControl w:val="0"/>
              <w:autoSpaceDE w:val="0"/>
              <w:autoSpaceDN w:val="0"/>
              <w:adjustRightInd w:val="0"/>
              <w:jc w:val="right"/>
              <w:rPr>
                <w:rFonts w:ascii="Times New Roman" w:hAnsi="Times New Roman" w:cs="Times New Roman"/>
                <w:b/>
                <w:bCs/>
                <w:szCs w:val="22"/>
              </w:rPr>
            </w:pPr>
            <w:r w:rsidRPr="00DB5227">
              <w:rPr>
                <w:rFonts w:ascii="Times New Roman" w:hAnsi="Times New Roman" w:cs="Times New Roman"/>
                <w:b/>
                <w:bCs/>
                <w:szCs w:val="22"/>
              </w:rPr>
              <w:t>2.004,06</w:t>
            </w:r>
          </w:p>
        </w:tc>
      </w:tr>
    </w:tbl>
    <w:p w14:paraId="5F4DD07F" w14:textId="77777777" w:rsidR="00193D39" w:rsidRPr="00DB5227" w:rsidRDefault="00193D39" w:rsidP="00193D3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00606CC3" w14:textId="77777777" w:rsidR="00AE06ED" w:rsidRDefault="00AE06ED" w:rsidP="00193D39">
      <w:pPr>
        <w:pStyle w:val="HTMLPreformatted"/>
        <w:ind w:firstLine="567"/>
        <w:jc w:val="both"/>
        <w:rPr>
          <w:rStyle w:val="y2iqfc"/>
          <w:rFonts w:ascii="Times New Roman" w:eastAsiaTheme="majorEastAsia" w:hAnsi="Times New Roman" w:cs="Times New Roman"/>
          <w:sz w:val="22"/>
          <w:szCs w:val="22"/>
          <w:lang w:val="en"/>
        </w:rPr>
      </w:pPr>
    </w:p>
    <w:p w14:paraId="7EF90FC0" w14:textId="2CBD9741" w:rsidR="00193D39" w:rsidRPr="00DB5227" w:rsidRDefault="00193D39" w:rsidP="00193D3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In carrying out production activities, JATAM UMKM strives to use costs efficiently, so that it can obtain production results and profits.</w:t>
      </w:r>
    </w:p>
    <w:p w14:paraId="474474D3" w14:textId="27DF2138"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r w:rsidRPr="00DB5227">
        <w:rPr>
          <w:rFonts w:ascii="Times New Roman" w:hAnsi="Times New Roman" w:cs="Times New Roman"/>
          <w:noProof/>
          <w:sz w:val="22"/>
          <w:szCs w:val="22"/>
        </w:rPr>
        <w:drawing>
          <wp:anchor distT="0" distB="0" distL="114300" distR="114300" simplePos="0" relativeHeight="251659264" behindDoc="0" locked="0" layoutInCell="1" allowOverlap="1" wp14:anchorId="604042EA" wp14:editId="35978593">
            <wp:simplePos x="0" y="0"/>
            <wp:positionH relativeFrom="column">
              <wp:posOffset>1572260</wp:posOffset>
            </wp:positionH>
            <wp:positionV relativeFrom="paragraph">
              <wp:posOffset>143510</wp:posOffset>
            </wp:positionV>
            <wp:extent cx="2781300" cy="2159635"/>
            <wp:effectExtent l="0" t="0" r="0" b="0"/>
            <wp:wrapNone/>
            <wp:docPr id="565580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03" name="Gambar 56558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1300" cy="2159635"/>
                    </a:xfrm>
                    <a:prstGeom prst="rect">
                      <a:avLst/>
                    </a:prstGeom>
                  </pic:spPr>
                </pic:pic>
              </a:graphicData>
            </a:graphic>
            <wp14:sizeRelH relativeFrom="page">
              <wp14:pctWidth>0</wp14:pctWidth>
            </wp14:sizeRelH>
            <wp14:sizeRelV relativeFrom="page">
              <wp14:pctHeight>0</wp14:pctHeight>
            </wp14:sizeRelV>
          </wp:anchor>
        </w:drawing>
      </w:r>
    </w:p>
    <w:p w14:paraId="5DE4B752" w14:textId="4B08B39B"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13663EB"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436DB75B"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A4B3D2F"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D824BF5"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B3CEBFD"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0B3E1F1E"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097C83A"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31E2CB5C"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78EC0A3D"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76D015C"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6E3E984"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247D61E8"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2008D228"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126545EE"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4DE26E79" w14:textId="49C4DF1D" w:rsidR="00193D39" w:rsidRPr="00DB5227" w:rsidRDefault="00193D39" w:rsidP="00193D39">
      <w:pPr>
        <w:pStyle w:val="HTMLPreformatted"/>
        <w:jc w:val="both"/>
        <w:rPr>
          <w:rStyle w:val="y2iqfc"/>
          <w:rFonts w:ascii="Times New Roman" w:eastAsiaTheme="majorEastAsia" w:hAnsi="Times New Roman" w:cs="Times New Roman"/>
          <w:sz w:val="22"/>
          <w:szCs w:val="22"/>
          <w:lang w:val="en"/>
        </w:rPr>
      </w:pPr>
    </w:p>
    <w:p w14:paraId="6CF11E27" w14:textId="77777777" w:rsidR="00193D39" w:rsidRPr="00DB5227" w:rsidRDefault="00193D39" w:rsidP="00193D39">
      <w:pPr>
        <w:pStyle w:val="HTMLPreformatted"/>
        <w:jc w:val="center"/>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Figure 1. Break-Even Point Graph for JATAM Chip Production</w:t>
      </w:r>
    </w:p>
    <w:p w14:paraId="791EA87D" w14:textId="77777777" w:rsidR="00193D39" w:rsidRPr="00DB5227" w:rsidRDefault="00193D39" w:rsidP="00193D3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50960DB0" w14:textId="2FC7F898" w:rsidR="00866F99" w:rsidRPr="00AE06ED" w:rsidRDefault="00866F99" w:rsidP="00866F99">
      <w:pPr>
        <w:widowControl w:val="0"/>
        <w:autoSpaceDE w:val="0"/>
        <w:autoSpaceDN w:val="0"/>
        <w:adjustRightInd w:val="0"/>
        <w:spacing w:after="0" w:line="240" w:lineRule="auto"/>
        <w:ind w:left="1276" w:hanging="1276"/>
        <w:jc w:val="both"/>
        <w:rPr>
          <w:rFonts w:ascii="Times New Roman" w:hAnsi="Times New Roman" w:cs="Times New Roman"/>
        </w:rPr>
      </w:pPr>
      <w:r w:rsidRPr="00DB5227">
        <w:rPr>
          <w:rFonts w:ascii="Times New Roman" w:hAnsi="Times New Roman" w:cs="Times New Roman"/>
        </w:rPr>
        <w:tab/>
        <w:t xml:space="preserve">: </w:t>
      </w:r>
      <w:r w:rsidRPr="00AE06ED">
        <w:rPr>
          <w:rFonts w:ascii="Times New Roman" w:hAnsi="Times New Roman" w:cs="Times New Roman"/>
        </w:rPr>
        <w:t>Break</w:t>
      </w:r>
      <w:r w:rsidR="00555088">
        <w:rPr>
          <w:rFonts w:ascii="Times New Roman" w:hAnsi="Times New Roman" w:cs="Times New Roman"/>
        </w:rPr>
        <w:t>-</w:t>
      </w:r>
      <w:r w:rsidRPr="00AE06ED">
        <w:rPr>
          <w:rFonts w:ascii="Times New Roman" w:hAnsi="Times New Roman" w:cs="Times New Roman"/>
        </w:rPr>
        <w:t>Even Point (BEP)</w:t>
      </w:r>
    </w:p>
    <w:p w14:paraId="2797F89F" w14:textId="2630A13A"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AE06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115E14E" wp14:editId="7F7132F1">
                <wp:simplePos x="0" y="0"/>
                <wp:positionH relativeFrom="column">
                  <wp:posOffset>49530</wp:posOffset>
                </wp:positionH>
                <wp:positionV relativeFrom="paragraph">
                  <wp:posOffset>89756</wp:posOffset>
                </wp:positionV>
                <wp:extent cx="540000" cy="0"/>
                <wp:effectExtent l="0" t="0" r="0" b="0"/>
                <wp:wrapNone/>
                <wp:docPr id="674168699"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905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56084783" id="Konektor Lurus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05pt" to="46.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" strokecolor="black [3213]" strokeweight="1.5pt">
                <v:stroke dashstyle="3 1"/>
              </v:line>
            </w:pict>
          </mc:Fallback>
        </mc:AlternateContent>
      </w:r>
      <w:r w:rsidRPr="00AE06ED">
        <w:rPr>
          <w:rFonts w:ascii="Times New Roman" w:hAnsi="Times New Roman" w:cs="Times New Roman"/>
        </w:rPr>
        <w:t>:</w:t>
      </w:r>
      <w:r w:rsidRPr="00DB5227">
        <w:rPr>
          <w:rFonts w:ascii="Times New Roman" w:hAnsi="Times New Roman" w:cs="Times New Roman"/>
        </w:rPr>
        <w:t xml:space="preserve"> </w:t>
      </w:r>
      <w:r w:rsidR="00AE06ED">
        <w:rPr>
          <w:rFonts w:ascii="Times New Roman" w:hAnsi="Times New Roman" w:cs="Times New Roman"/>
        </w:rPr>
        <w:t xml:space="preserve">Fluctuating costs and revenues   </w:t>
      </w:r>
    </w:p>
    <w:p w14:paraId="0C29C3E2" w14:textId="77777777"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4BC3DF0" wp14:editId="34A0F9BA">
                <wp:simplePos x="0" y="0"/>
                <wp:positionH relativeFrom="column">
                  <wp:posOffset>52926</wp:posOffset>
                </wp:positionH>
                <wp:positionV relativeFrom="paragraph">
                  <wp:posOffset>88265</wp:posOffset>
                </wp:positionV>
                <wp:extent cx="539750" cy="0"/>
                <wp:effectExtent l="0" t="0" r="0" b="0"/>
                <wp:wrapNone/>
                <wp:docPr id="792475682" name="Konektor Lurus 5"/>
                <wp:cNvGraphicFramePr/>
                <a:graphic xmlns:a="http://schemas.openxmlformats.org/drawingml/2006/main">
                  <a:graphicData uri="http://schemas.microsoft.com/office/word/2010/wordprocessingShape">
                    <wps:wsp>
                      <wps:cNvCnPr/>
                      <wps:spPr>
                        <a:xfrm>
                          <a:off x="0" y="0"/>
                          <a:ext cx="539750" cy="0"/>
                        </a:xfrm>
                        <a:prstGeom prst="line">
                          <a:avLst/>
                        </a:prstGeom>
                        <a:ln w="12700">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579E60C9" id="Konektor Lurus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6.95pt" to="46.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" strokecolor="black [3213]" strokeweight="1pt"/>
            </w:pict>
          </mc:Fallback>
        </mc:AlternateContent>
      </w:r>
      <w:r w:rsidRPr="00DB5227">
        <w:rPr>
          <w:rFonts w:ascii="Times New Roman" w:hAnsi="Times New Roman" w:cs="Times New Roman"/>
        </w:rPr>
        <w:t xml:space="preserve">: </w:t>
      </w:r>
      <w:r w:rsidRPr="00AE06ED">
        <w:rPr>
          <w:rFonts w:ascii="Times New Roman" w:hAnsi="Times New Roman" w:cs="Times New Roman"/>
        </w:rPr>
        <w:t>Total Fixed Cost (TFC)</w:t>
      </w:r>
    </w:p>
    <w:p w14:paraId="54CF71BC" w14:textId="77777777" w:rsidR="00866F99" w:rsidRDefault="00866F99" w:rsidP="00866F99">
      <w:pPr>
        <w:widowControl w:val="0"/>
        <w:autoSpaceDE w:val="0"/>
        <w:autoSpaceDN w:val="0"/>
        <w:adjustRightInd w:val="0"/>
        <w:spacing w:after="0" w:line="240" w:lineRule="auto"/>
        <w:jc w:val="both"/>
        <w:rPr>
          <w:rFonts w:ascii="Times New Roman" w:hAnsi="Times New Roman" w:cs="Times New Roman"/>
        </w:rPr>
      </w:pPr>
    </w:p>
    <w:p w14:paraId="76401C5B" w14:textId="77777777" w:rsidR="00AE06ED" w:rsidRPr="00DB5227" w:rsidRDefault="00AE06ED" w:rsidP="00866F99">
      <w:pPr>
        <w:widowControl w:val="0"/>
        <w:autoSpaceDE w:val="0"/>
        <w:autoSpaceDN w:val="0"/>
        <w:adjustRightInd w:val="0"/>
        <w:spacing w:after="0" w:line="240" w:lineRule="auto"/>
        <w:jc w:val="both"/>
        <w:rPr>
          <w:rFonts w:ascii="Times New Roman" w:hAnsi="Times New Roman" w:cs="Times New Roman"/>
        </w:rPr>
      </w:pPr>
    </w:p>
    <w:p w14:paraId="61655D0B"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Based on the graph presented in Figure 1, the break-even point occurs when the sales revenue (TR) line intersects the total cost (TC) line, specifically at a production volume of 2,004.06 grams per month with sales revenue of IDR 400,812.00. Before reaching this point, the business is in the loss zone because revenue is less than total production costs. Conversely, after passing the BEP point, the business enters the profit zone, where revenue exceeds total costs.</w:t>
      </w:r>
    </w:p>
    <w:p w14:paraId="08AF6BC1"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horizontal (X) axis in the figure represents the production volume of JATAM chips, while the vertical (Y) axis shows the total costs and revenue in rupiah. The green line in the graph represents the total revenue earned from JATAM chip sales, the yellow line shows the total production costs incurred during the JATAM chip production process, the orange line represents total variable costs, and the black line in the graph represents the total fixed costs incurred by the JATAM MSME.</w:t>
      </w:r>
    </w:p>
    <w:p w14:paraId="13BA37E0" w14:textId="77777777" w:rsidR="00866F99" w:rsidRPr="00DB5227" w:rsidRDefault="00866F99" w:rsidP="00866F99">
      <w:pPr>
        <w:pStyle w:val="HTMLPreformatted"/>
        <w:jc w:val="both"/>
        <w:rPr>
          <w:rStyle w:val="y2iqfc"/>
          <w:rFonts w:ascii="Times New Roman" w:eastAsiaTheme="majorEastAsia" w:hAnsi="Times New Roman" w:cs="Times New Roman"/>
          <w:sz w:val="22"/>
          <w:szCs w:val="22"/>
          <w:lang w:val="en"/>
        </w:rPr>
      </w:pPr>
    </w:p>
    <w:p w14:paraId="566E2AF5" w14:textId="35F424B7" w:rsidR="00866F99" w:rsidRPr="00DB5227" w:rsidRDefault="000255D0" w:rsidP="00866F99">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3.5</w:t>
      </w:r>
      <w:r w:rsidR="00866F99" w:rsidRPr="000255D0">
        <w:rPr>
          <w:rStyle w:val="y2iqfc"/>
          <w:rFonts w:ascii="Times New Roman" w:eastAsiaTheme="majorEastAsia" w:hAnsi="Times New Roman" w:cs="Times New Roman"/>
          <w:b/>
          <w:bCs/>
          <w:sz w:val="22"/>
          <w:szCs w:val="22"/>
          <w:highlight w:val="red"/>
          <w:lang w:val="en"/>
        </w:rPr>
        <w:t>6.</w:t>
      </w:r>
      <w:r w:rsidR="00866F99" w:rsidRPr="00DB5227">
        <w:rPr>
          <w:rStyle w:val="y2iqfc"/>
          <w:rFonts w:ascii="Times New Roman" w:eastAsiaTheme="majorEastAsia" w:hAnsi="Times New Roman" w:cs="Times New Roman"/>
          <w:b/>
          <w:bCs/>
          <w:sz w:val="22"/>
          <w:szCs w:val="22"/>
          <w:lang w:val="en"/>
        </w:rPr>
        <w:t xml:space="preserve"> Sensitivity Analysis</w:t>
      </w:r>
    </w:p>
    <w:p w14:paraId="5B72DC0F" w14:textId="77777777" w:rsidR="00866F99" w:rsidRPr="00DB5227" w:rsidRDefault="00866F99" w:rsidP="00866F9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purpose of the sensitivity analysis is to determine the impact of changes in production parameters on the business's break-even point. In this study, the scenario for the changes experienced by the JATAM MSME is a 7% increase in total production costs. This projected increase is based on the inflation rate from the business's inception in November 2022 to December 2024 [17]. The impact of these changes in production costs is simulated and presented in detail in Table 6.</w:t>
      </w:r>
    </w:p>
    <w:p w14:paraId="586EB0AE" w14:textId="77777777" w:rsidR="00866F99" w:rsidRPr="00DB5227" w:rsidRDefault="00866F99" w:rsidP="00866F99">
      <w:pPr>
        <w:pStyle w:val="HTMLPreformatted"/>
        <w:ind w:firstLine="567"/>
        <w:jc w:val="both"/>
        <w:rPr>
          <w:rFonts w:ascii="Times New Roman" w:hAnsi="Times New Roman" w:cs="Times New Roman"/>
          <w:sz w:val="22"/>
          <w:szCs w:val="22"/>
        </w:rPr>
      </w:pPr>
    </w:p>
    <w:p w14:paraId="39113275" w14:textId="77777777" w:rsidR="00866F99" w:rsidRPr="00DB5227" w:rsidRDefault="00866F99" w:rsidP="00866F99">
      <w:pPr>
        <w:pStyle w:val="HTMLPreformatted"/>
        <w:ind w:left="1276" w:hanging="1276"/>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6. Simulation of Sensitivity Analysis to a 7% Increase in Production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40"/>
        <w:gridCol w:w="1276"/>
        <w:gridCol w:w="1559"/>
        <w:gridCol w:w="1559"/>
        <w:gridCol w:w="1701"/>
      </w:tblGrid>
      <w:tr w:rsidR="00866F99" w:rsidRPr="00DB5227" w14:paraId="1CB8F1A0" w14:textId="77777777" w:rsidTr="00DD3C2F">
        <w:tc>
          <w:tcPr>
            <w:tcW w:w="570" w:type="dxa"/>
            <w:tcBorders>
              <w:top w:val="single" w:sz="4" w:space="0" w:color="auto"/>
              <w:bottom w:val="single" w:sz="4" w:space="0" w:color="auto"/>
            </w:tcBorders>
            <w:vAlign w:val="center"/>
          </w:tcPr>
          <w:p w14:paraId="57F3EBA6" w14:textId="77777777" w:rsidR="00866F99" w:rsidRPr="00DB5227" w:rsidRDefault="00866F99" w:rsidP="00866F99">
            <w:pPr>
              <w:tabs>
                <w:tab w:val="left" w:pos="2268"/>
              </w:tabs>
              <w:jc w:val="both"/>
              <w:rPr>
                <w:rFonts w:ascii="Times New Roman" w:hAnsi="Times New Roman" w:cs="Times New Roman"/>
                <w:b/>
                <w:bCs/>
                <w:szCs w:val="22"/>
              </w:rPr>
            </w:pPr>
            <w:bookmarkStart w:id="0" w:name="_Hlk193861428"/>
            <w:r w:rsidRPr="00DB5227">
              <w:rPr>
                <w:rFonts w:ascii="Times New Roman" w:hAnsi="Times New Roman" w:cs="Times New Roman"/>
                <w:b/>
                <w:bCs/>
                <w:szCs w:val="22"/>
              </w:rPr>
              <w:t>No.</w:t>
            </w:r>
          </w:p>
        </w:tc>
        <w:tc>
          <w:tcPr>
            <w:tcW w:w="1840" w:type="dxa"/>
            <w:tcBorders>
              <w:top w:val="single" w:sz="4" w:space="0" w:color="auto"/>
              <w:bottom w:val="single" w:sz="4" w:space="0" w:color="auto"/>
            </w:tcBorders>
            <w:vAlign w:val="center"/>
          </w:tcPr>
          <w:p w14:paraId="43A427AE" w14:textId="55D2BC46" w:rsidR="00866F99" w:rsidRPr="00DB5227"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Informations</w:t>
            </w:r>
          </w:p>
        </w:tc>
        <w:tc>
          <w:tcPr>
            <w:tcW w:w="1276" w:type="dxa"/>
            <w:tcBorders>
              <w:top w:val="single" w:sz="4" w:space="0" w:color="auto"/>
              <w:bottom w:val="single" w:sz="4" w:space="0" w:color="auto"/>
            </w:tcBorders>
            <w:vAlign w:val="center"/>
          </w:tcPr>
          <w:p w14:paraId="0B931907" w14:textId="393C72AC" w:rsidR="00866F99" w:rsidRPr="00DB5227"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Fixed Costs</w:t>
            </w:r>
            <w:r w:rsidR="00866F99" w:rsidRPr="00DB5227">
              <w:rPr>
                <w:rFonts w:ascii="Times New Roman" w:hAnsi="Times New Roman" w:cs="Times New Roman"/>
                <w:b/>
                <w:bCs/>
                <w:szCs w:val="22"/>
              </w:rPr>
              <w:t xml:space="preserve"> (</w:t>
            </w:r>
            <w:r>
              <w:rPr>
                <w:rFonts w:ascii="Times New Roman" w:hAnsi="Times New Roman" w:cs="Times New Roman"/>
                <w:b/>
                <w:bCs/>
                <w:szCs w:val="22"/>
              </w:rPr>
              <w:t>IDR</w:t>
            </w:r>
            <w:r w:rsidR="00866F99" w:rsidRPr="00DB5227">
              <w:rPr>
                <w:rFonts w:ascii="Times New Roman" w:hAnsi="Times New Roman" w:cs="Times New Roman"/>
                <w:b/>
                <w:bCs/>
                <w:szCs w:val="22"/>
              </w:rPr>
              <w:t>)</w:t>
            </w:r>
          </w:p>
        </w:tc>
        <w:tc>
          <w:tcPr>
            <w:tcW w:w="1559" w:type="dxa"/>
            <w:tcBorders>
              <w:top w:val="single" w:sz="4" w:space="0" w:color="auto"/>
              <w:bottom w:val="single" w:sz="4" w:space="0" w:color="auto"/>
            </w:tcBorders>
            <w:vAlign w:val="center"/>
          </w:tcPr>
          <w:p w14:paraId="23345423" w14:textId="77777777" w:rsidR="00AE06ED"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 xml:space="preserve">Variable </w:t>
            </w:r>
          </w:p>
          <w:p w14:paraId="2533DAB7" w14:textId="7C31F296" w:rsidR="00866F99" w:rsidRPr="00DB5227" w:rsidRDefault="00AE06ED" w:rsidP="00DD3C2F">
            <w:pPr>
              <w:tabs>
                <w:tab w:val="left" w:pos="2268"/>
              </w:tabs>
              <w:jc w:val="center"/>
              <w:rPr>
                <w:rFonts w:ascii="Times New Roman" w:hAnsi="Times New Roman" w:cs="Times New Roman"/>
                <w:b/>
                <w:bCs/>
                <w:szCs w:val="22"/>
              </w:rPr>
            </w:pPr>
            <w:r>
              <w:rPr>
                <w:rFonts w:ascii="Times New Roman" w:hAnsi="Times New Roman" w:cs="Times New Roman"/>
                <w:b/>
                <w:bCs/>
                <w:szCs w:val="22"/>
              </w:rPr>
              <w:t>Cost</w:t>
            </w:r>
          </w:p>
          <w:p w14:paraId="515A68A9" w14:textId="1EC5D236" w:rsidR="00866F99" w:rsidRPr="00DB5227" w:rsidRDefault="00866F99" w:rsidP="00DD3C2F">
            <w:pPr>
              <w:tabs>
                <w:tab w:val="left" w:pos="2268"/>
              </w:tabs>
              <w:jc w:val="center"/>
              <w:rPr>
                <w:rFonts w:ascii="Times New Roman" w:hAnsi="Times New Roman" w:cs="Times New Roman"/>
                <w:b/>
                <w:bCs/>
                <w:szCs w:val="22"/>
              </w:rPr>
            </w:pPr>
            <w:r w:rsidRPr="00DB5227">
              <w:rPr>
                <w:rFonts w:ascii="Times New Roman" w:hAnsi="Times New Roman" w:cs="Times New Roman"/>
                <w:b/>
                <w:bCs/>
                <w:szCs w:val="22"/>
              </w:rPr>
              <w:t>(</w:t>
            </w:r>
            <w:r w:rsidR="00AE06ED">
              <w:rPr>
                <w:rFonts w:ascii="Times New Roman" w:hAnsi="Times New Roman" w:cs="Times New Roman"/>
                <w:b/>
                <w:bCs/>
                <w:szCs w:val="22"/>
              </w:rPr>
              <w:t>IDR</w:t>
            </w:r>
            <w:r w:rsidRPr="00DB5227">
              <w:rPr>
                <w:rFonts w:ascii="Times New Roman" w:hAnsi="Times New Roman" w:cs="Times New Roman"/>
                <w:b/>
                <w:bCs/>
                <w:szCs w:val="22"/>
              </w:rPr>
              <w:t>)</w:t>
            </w:r>
          </w:p>
        </w:tc>
        <w:tc>
          <w:tcPr>
            <w:tcW w:w="1559" w:type="dxa"/>
            <w:tcBorders>
              <w:top w:val="single" w:sz="4" w:space="0" w:color="auto"/>
              <w:bottom w:val="single" w:sz="4" w:space="0" w:color="auto"/>
            </w:tcBorders>
          </w:tcPr>
          <w:p w14:paraId="5E8A8D27" w14:textId="795B7FCF" w:rsidR="00AE06ED" w:rsidRPr="00AE06ED" w:rsidRDefault="00AE06ED" w:rsidP="00AE06ED">
            <w:pPr>
              <w:pStyle w:val="HTMLPreformatted"/>
              <w:rPr>
                <w:rFonts w:ascii="Times New Roman" w:hAnsi="Times New Roman" w:cs="Times New Roman"/>
                <w:b/>
                <w:bCs/>
                <w:sz w:val="22"/>
                <w:szCs w:val="22"/>
              </w:rPr>
            </w:pPr>
            <w:r w:rsidRPr="00AE06ED">
              <w:rPr>
                <w:rStyle w:val="y2iqfc"/>
                <w:rFonts w:ascii="Times New Roman" w:eastAsiaTheme="majorEastAsia" w:hAnsi="Times New Roman" w:cs="Times New Roman"/>
                <w:b/>
                <w:bCs/>
                <w:sz w:val="22"/>
                <w:szCs w:val="22"/>
                <w:lang w:val="en"/>
              </w:rPr>
              <w:t>BEP Sales Revenue (IDR)</w:t>
            </w:r>
          </w:p>
          <w:p w14:paraId="146DEE7E" w14:textId="584B5F0E" w:rsidR="00866F99" w:rsidRPr="00AE06ED" w:rsidRDefault="00866F99" w:rsidP="00DD3C2F">
            <w:pPr>
              <w:tabs>
                <w:tab w:val="left" w:pos="2268"/>
              </w:tabs>
              <w:jc w:val="center"/>
              <w:rPr>
                <w:rFonts w:ascii="Times New Roman" w:hAnsi="Times New Roman" w:cs="Times New Roman"/>
                <w:b/>
                <w:bCs/>
                <w:szCs w:val="22"/>
              </w:rPr>
            </w:pPr>
          </w:p>
        </w:tc>
        <w:tc>
          <w:tcPr>
            <w:tcW w:w="1701" w:type="dxa"/>
            <w:tcBorders>
              <w:top w:val="single" w:sz="4" w:space="0" w:color="auto"/>
              <w:bottom w:val="single" w:sz="4" w:space="0" w:color="auto"/>
            </w:tcBorders>
            <w:vAlign w:val="center"/>
          </w:tcPr>
          <w:p w14:paraId="3031F576" w14:textId="6FE63BC6" w:rsidR="00AE06ED" w:rsidRPr="00AE06ED" w:rsidRDefault="00AE06ED" w:rsidP="00AE06ED">
            <w:pPr>
              <w:pStyle w:val="HTMLPreformatted"/>
              <w:rPr>
                <w:rStyle w:val="y2iqfc"/>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Break</w:t>
            </w:r>
            <w:r w:rsidR="00555088">
              <w:rPr>
                <w:rStyle w:val="y2iqfc"/>
                <w:rFonts w:ascii="Times New Roman" w:eastAsiaTheme="majorEastAsia" w:hAnsi="Times New Roman" w:cs="Times New Roman"/>
                <w:b/>
                <w:bCs/>
                <w:sz w:val="22"/>
                <w:szCs w:val="22"/>
                <w:lang w:val="en"/>
              </w:rPr>
              <w:t>-</w:t>
            </w:r>
            <w:r w:rsidRPr="00AE06ED">
              <w:rPr>
                <w:rStyle w:val="y2iqfc"/>
                <w:rFonts w:ascii="Times New Roman" w:eastAsiaTheme="majorEastAsia" w:hAnsi="Times New Roman" w:cs="Times New Roman"/>
                <w:b/>
                <w:bCs/>
                <w:sz w:val="22"/>
                <w:szCs w:val="22"/>
                <w:lang w:val="en"/>
              </w:rPr>
              <w:t xml:space="preserve">Even Point </w:t>
            </w:r>
          </w:p>
          <w:p w14:paraId="01A0B565" w14:textId="44A2D77E" w:rsidR="00AE06ED" w:rsidRPr="00AE06ED" w:rsidRDefault="00AE06ED" w:rsidP="00AE06ED">
            <w:pPr>
              <w:pStyle w:val="HTMLPreformatted"/>
              <w:rPr>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Production Volume</w:t>
            </w:r>
            <w:r>
              <w:rPr>
                <w:rStyle w:val="y2iqfc"/>
                <w:rFonts w:ascii="Times New Roman" w:eastAsiaTheme="majorEastAsia" w:hAnsi="Times New Roman" w:cs="Times New Roman"/>
                <w:b/>
                <w:bCs/>
                <w:sz w:val="22"/>
                <w:szCs w:val="22"/>
                <w:lang w:val="en"/>
              </w:rPr>
              <w:t xml:space="preserve"> </w:t>
            </w:r>
            <w:r w:rsidRPr="00AE06ED">
              <w:rPr>
                <w:rStyle w:val="y2iqfc"/>
                <w:rFonts w:ascii="Times New Roman" w:eastAsiaTheme="majorEastAsia" w:hAnsi="Times New Roman" w:cs="Times New Roman"/>
                <w:b/>
                <w:bCs/>
                <w:sz w:val="22"/>
                <w:szCs w:val="22"/>
                <w:lang w:val="en"/>
              </w:rPr>
              <w:t>(gr)</w:t>
            </w:r>
          </w:p>
          <w:p w14:paraId="6B89B385" w14:textId="2B45CF64" w:rsidR="00866F99" w:rsidRPr="00AE06ED" w:rsidRDefault="00866F99" w:rsidP="00DD3C2F">
            <w:pPr>
              <w:tabs>
                <w:tab w:val="left" w:pos="2268"/>
              </w:tabs>
              <w:ind w:right="26"/>
              <w:jc w:val="center"/>
              <w:rPr>
                <w:rFonts w:ascii="Times New Roman" w:hAnsi="Times New Roman" w:cs="Times New Roman"/>
                <w:b/>
                <w:bCs/>
                <w:szCs w:val="22"/>
              </w:rPr>
            </w:pPr>
          </w:p>
        </w:tc>
      </w:tr>
      <w:tr w:rsidR="00AE06ED" w:rsidRPr="00DB5227" w14:paraId="2187AB36" w14:textId="77777777" w:rsidTr="001A34FE">
        <w:trPr>
          <w:trHeight w:val="328"/>
        </w:trPr>
        <w:tc>
          <w:tcPr>
            <w:tcW w:w="570" w:type="dxa"/>
            <w:tcBorders>
              <w:top w:val="single" w:sz="4" w:space="0" w:color="auto"/>
            </w:tcBorders>
            <w:vAlign w:val="center"/>
          </w:tcPr>
          <w:p w14:paraId="7E1A47C9" w14:textId="77777777" w:rsidR="00AE06ED" w:rsidRPr="00DB5227" w:rsidRDefault="00AE06ED" w:rsidP="00AE06ED">
            <w:pPr>
              <w:tabs>
                <w:tab w:val="left" w:pos="2268"/>
              </w:tabs>
              <w:jc w:val="center"/>
              <w:rPr>
                <w:rFonts w:ascii="Times New Roman" w:hAnsi="Times New Roman" w:cs="Times New Roman"/>
                <w:szCs w:val="22"/>
              </w:rPr>
            </w:pPr>
            <w:r w:rsidRPr="00DB5227">
              <w:rPr>
                <w:rFonts w:ascii="Times New Roman" w:hAnsi="Times New Roman" w:cs="Times New Roman"/>
                <w:szCs w:val="22"/>
              </w:rPr>
              <w:t>1.</w:t>
            </w:r>
          </w:p>
        </w:tc>
        <w:tc>
          <w:tcPr>
            <w:tcW w:w="1840" w:type="dxa"/>
            <w:tcBorders>
              <w:top w:val="single" w:sz="4" w:space="0" w:color="auto"/>
            </w:tcBorders>
          </w:tcPr>
          <w:p w14:paraId="5140E0DB" w14:textId="1FE284E2" w:rsidR="00AE06ED" w:rsidRPr="00AE06ED" w:rsidRDefault="00AE06ED" w:rsidP="00AE06ED">
            <w:pPr>
              <w:tabs>
                <w:tab w:val="left" w:pos="2268"/>
              </w:tabs>
              <w:rPr>
                <w:rFonts w:ascii="Times New Roman" w:hAnsi="Times New Roman" w:cs="Times New Roman"/>
                <w:szCs w:val="22"/>
              </w:rPr>
            </w:pPr>
            <w:r w:rsidRPr="00AE06ED">
              <w:rPr>
                <w:rStyle w:val="y2iqfc"/>
                <w:rFonts w:ascii="Times New Roman" w:hAnsi="Times New Roman" w:cs="Times New Roman"/>
                <w:lang w:val="en"/>
              </w:rPr>
              <w:t>Before Ascension</w:t>
            </w:r>
          </w:p>
        </w:tc>
        <w:tc>
          <w:tcPr>
            <w:tcW w:w="1276" w:type="dxa"/>
            <w:tcBorders>
              <w:top w:val="single" w:sz="4" w:space="0" w:color="auto"/>
            </w:tcBorders>
            <w:vAlign w:val="center"/>
          </w:tcPr>
          <w:p w14:paraId="40FF0EB2"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98.265,00</w:t>
            </w:r>
          </w:p>
        </w:tc>
        <w:tc>
          <w:tcPr>
            <w:tcW w:w="1559" w:type="dxa"/>
            <w:tcBorders>
              <w:top w:val="single" w:sz="4" w:space="0" w:color="auto"/>
            </w:tcBorders>
            <w:vAlign w:val="center"/>
          </w:tcPr>
          <w:p w14:paraId="13E3940A"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5.132.880,00</w:t>
            </w:r>
          </w:p>
        </w:tc>
        <w:tc>
          <w:tcPr>
            <w:tcW w:w="1559" w:type="dxa"/>
            <w:tcBorders>
              <w:top w:val="single" w:sz="4" w:space="0" w:color="auto"/>
            </w:tcBorders>
            <w:vAlign w:val="center"/>
          </w:tcPr>
          <w:p w14:paraId="1CB30127" w14:textId="77777777" w:rsidR="00AE06ED" w:rsidRPr="00DB5227" w:rsidRDefault="00AE06ED" w:rsidP="00AE06ED">
            <w:pPr>
              <w:jc w:val="right"/>
              <w:rPr>
                <w:rFonts w:ascii="Times New Roman" w:hAnsi="Times New Roman" w:cs="Times New Roman"/>
                <w:szCs w:val="22"/>
              </w:rPr>
            </w:pPr>
            <w:r w:rsidRPr="00DB5227">
              <w:rPr>
                <w:rFonts w:ascii="Times New Roman" w:hAnsi="Times New Roman" w:cs="Times New Roman"/>
                <w:szCs w:val="22"/>
              </w:rPr>
              <w:t>400.812,00</w:t>
            </w:r>
          </w:p>
        </w:tc>
        <w:tc>
          <w:tcPr>
            <w:tcW w:w="1701" w:type="dxa"/>
            <w:tcBorders>
              <w:top w:val="single" w:sz="4" w:space="0" w:color="auto"/>
            </w:tcBorders>
            <w:vAlign w:val="center"/>
          </w:tcPr>
          <w:p w14:paraId="1A3FED84"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2.004,06</w:t>
            </w:r>
          </w:p>
        </w:tc>
      </w:tr>
      <w:tr w:rsidR="00AE06ED" w:rsidRPr="00DB5227" w14:paraId="6F1B87EC" w14:textId="77777777" w:rsidTr="001A34FE">
        <w:trPr>
          <w:trHeight w:val="373"/>
        </w:trPr>
        <w:tc>
          <w:tcPr>
            <w:tcW w:w="570" w:type="dxa"/>
            <w:tcBorders>
              <w:bottom w:val="single" w:sz="4" w:space="0" w:color="auto"/>
            </w:tcBorders>
            <w:vAlign w:val="center"/>
          </w:tcPr>
          <w:p w14:paraId="6CBFEA51" w14:textId="77777777" w:rsidR="00AE06ED" w:rsidRPr="00DB5227" w:rsidRDefault="00AE06ED" w:rsidP="00AE06ED">
            <w:pPr>
              <w:tabs>
                <w:tab w:val="left" w:pos="2268"/>
              </w:tabs>
              <w:jc w:val="center"/>
              <w:rPr>
                <w:rFonts w:ascii="Times New Roman" w:hAnsi="Times New Roman" w:cs="Times New Roman"/>
                <w:b/>
                <w:bCs/>
                <w:szCs w:val="22"/>
              </w:rPr>
            </w:pPr>
            <w:r w:rsidRPr="00DB5227">
              <w:rPr>
                <w:rFonts w:ascii="Times New Roman" w:hAnsi="Times New Roman" w:cs="Times New Roman"/>
                <w:b/>
                <w:bCs/>
                <w:szCs w:val="22"/>
              </w:rPr>
              <w:t>2.</w:t>
            </w:r>
          </w:p>
        </w:tc>
        <w:tc>
          <w:tcPr>
            <w:tcW w:w="1840" w:type="dxa"/>
            <w:tcBorders>
              <w:bottom w:val="single" w:sz="4" w:space="0" w:color="auto"/>
            </w:tcBorders>
          </w:tcPr>
          <w:p w14:paraId="198D0C01" w14:textId="24E4304F" w:rsidR="00AE06ED" w:rsidRPr="00AE06ED" w:rsidRDefault="00AE06ED" w:rsidP="00AE06ED">
            <w:pPr>
              <w:tabs>
                <w:tab w:val="left" w:pos="2268"/>
              </w:tabs>
              <w:rPr>
                <w:rFonts w:ascii="Times New Roman" w:hAnsi="Times New Roman" w:cs="Times New Roman"/>
                <w:b/>
                <w:bCs/>
                <w:szCs w:val="22"/>
              </w:rPr>
            </w:pPr>
            <w:r w:rsidRPr="00AE06ED">
              <w:rPr>
                <w:rStyle w:val="y2iqfc"/>
                <w:rFonts w:ascii="Times New Roman" w:hAnsi="Times New Roman" w:cs="Times New Roman"/>
                <w:lang w:val="en"/>
              </w:rPr>
              <w:t>After Ascension</w:t>
            </w:r>
          </w:p>
        </w:tc>
        <w:tc>
          <w:tcPr>
            <w:tcW w:w="1276" w:type="dxa"/>
            <w:tcBorders>
              <w:bottom w:val="single" w:sz="4" w:space="0" w:color="auto"/>
            </w:tcBorders>
            <w:vAlign w:val="center"/>
          </w:tcPr>
          <w:p w14:paraId="53124F77"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105.143,55</w:t>
            </w:r>
          </w:p>
        </w:tc>
        <w:tc>
          <w:tcPr>
            <w:tcW w:w="1559" w:type="dxa"/>
            <w:tcBorders>
              <w:bottom w:val="single" w:sz="4" w:space="0" w:color="auto"/>
            </w:tcBorders>
            <w:vAlign w:val="center"/>
          </w:tcPr>
          <w:p w14:paraId="007F5E8D"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5.492.181,60</w:t>
            </w:r>
          </w:p>
        </w:tc>
        <w:tc>
          <w:tcPr>
            <w:tcW w:w="1559" w:type="dxa"/>
            <w:tcBorders>
              <w:bottom w:val="single" w:sz="4" w:space="0" w:color="auto"/>
            </w:tcBorders>
            <w:vAlign w:val="center"/>
          </w:tcPr>
          <w:p w14:paraId="315B044A"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546.694,00</w:t>
            </w:r>
          </w:p>
        </w:tc>
        <w:tc>
          <w:tcPr>
            <w:tcW w:w="1701" w:type="dxa"/>
            <w:tcBorders>
              <w:bottom w:val="single" w:sz="4" w:space="0" w:color="auto"/>
            </w:tcBorders>
            <w:vAlign w:val="center"/>
          </w:tcPr>
          <w:p w14:paraId="0BC06626"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2.733,47</w:t>
            </w:r>
          </w:p>
        </w:tc>
      </w:tr>
    </w:tbl>
    <w:bookmarkEnd w:id="0"/>
    <w:p w14:paraId="5CE20179" w14:textId="77777777" w:rsidR="00866F99" w:rsidRPr="00DB5227" w:rsidRDefault="00866F99" w:rsidP="00866F9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3C387AC4" w14:textId="77777777" w:rsidR="00866F99" w:rsidRPr="00DB5227" w:rsidRDefault="00866F99" w:rsidP="00866F99">
      <w:pPr>
        <w:widowControl w:val="0"/>
        <w:autoSpaceDE w:val="0"/>
        <w:autoSpaceDN w:val="0"/>
        <w:adjustRightInd w:val="0"/>
        <w:spacing w:after="0" w:line="240" w:lineRule="auto"/>
        <w:jc w:val="both"/>
        <w:rPr>
          <w:rFonts w:ascii="Times New Roman" w:hAnsi="Times New Roman" w:cs="Times New Roman"/>
        </w:rPr>
      </w:pPr>
    </w:p>
    <w:p w14:paraId="2A041957" w14:textId="77777777" w:rsidR="00866F99" w:rsidRPr="00DB5227" w:rsidRDefault="00866F99" w:rsidP="00866F9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Based on Table 6, it is known that a 7% increase in production costs resulted in an increase in the break-even point for JATAM's chips business. The shift in the break-even point due to the increase in production costs is visualized in Figure 2.</w:t>
      </w:r>
    </w:p>
    <w:p w14:paraId="61C1AC7A"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0CA224E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r w:rsidRPr="00DB5227">
        <w:rPr>
          <w:rFonts w:ascii="Times New Roman" w:hAnsi="Times New Roman" w:cs="Times New Roman"/>
          <w:noProof/>
        </w:rPr>
        <w:drawing>
          <wp:anchor distT="0" distB="0" distL="114300" distR="114300" simplePos="0" relativeHeight="251664384" behindDoc="0" locked="0" layoutInCell="1" allowOverlap="1" wp14:anchorId="7C2EBBAD" wp14:editId="6BDDC33A">
            <wp:simplePos x="0" y="0"/>
            <wp:positionH relativeFrom="column">
              <wp:posOffset>0</wp:posOffset>
            </wp:positionH>
            <wp:positionV relativeFrom="paragraph">
              <wp:posOffset>-160655</wp:posOffset>
            </wp:positionV>
            <wp:extent cx="2794000" cy="2159635"/>
            <wp:effectExtent l="0" t="0" r="6350" b="0"/>
            <wp:wrapNone/>
            <wp:docPr id="1236068292"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68292" name="Gambar 12360682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000" cy="2159635"/>
                    </a:xfrm>
                    <a:prstGeom prst="rect">
                      <a:avLst/>
                    </a:prstGeom>
                  </pic:spPr>
                </pic:pic>
              </a:graphicData>
            </a:graphic>
            <wp14:sizeRelH relativeFrom="page">
              <wp14:pctWidth>0</wp14:pctWidth>
            </wp14:sizeRelH>
            <wp14:sizeRelV relativeFrom="page">
              <wp14:pctHeight>0</wp14:pctHeight>
            </wp14:sizeRelV>
          </wp:anchor>
        </w:drawing>
      </w:r>
    </w:p>
    <w:p w14:paraId="76E52E0B"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4973FF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082C1465"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989FBD0"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183D0E8A"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76F1329"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3BBD3878"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9EC1799"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B942624"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58501A83"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2A562EB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17E8C443"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F7D1214" w14:textId="25F2A131" w:rsidR="00866F99" w:rsidRPr="00DB5227" w:rsidRDefault="00866F99" w:rsidP="00866F99">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Figure 2.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Shift Graph for JATAM Chips Production</w:t>
      </w:r>
    </w:p>
    <w:p w14:paraId="558DF617" w14:textId="071B2A8D" w:rsidR="00866F99" w:rsidRPr="00DB5227" w:rsidRDefault="00866F99" w:rsidP="00866F99">
      <w:pPr>
        <w:widowControl w:val="0"/>
        <w:autoSpaceDE w:val="0"/>
        <w:autoSpaceDN w:val="0"/>
        <w:adjustRightInd w:val="0"/>
        <w:spacing w:after="0" w:line="240" w:lineRule="auto"/>
        <w:jc w:val="both"/>
        <w:rPr>
          <w:rFonts w:ascii="Times New Roman" w:hAnsi="Times New Roman" w:cs="Times New Roman"/>
        </w:rPr>
      </w:pPr>
      <w:r w:rsidRPr="00DB5227">
        <w:rPr>
          <w:rFonts w:ascii="Times New Roman" w:hAnsi="Times New Roman" w:cs="Times New Roman"/>
        </w:rPr>
        <w:t>Description:</w:t>
      </w:r>
    </w:p>
    <w:p w14:paraId="4226C53E" w14:textId="79167E2A" w:rsidR="00866F99" w:rsidRPr="00DB5227" w:rsidRDefault="00866F99" w:rsidP="00866F99">
      <w:pPr>
        <w:widowControl w:val="0"/>
        <w:autoSpaceDE w:val="0"/>
        <w:autoSpaceDN w:val="0"/>
        <w:adjustRightInd w:val="0"/>
        <w:spacing w:after="0" w:line="240" w:lineRule="auto"/>
        <w:ind w:left="1276" w:hanging="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BB8B7C7" wp14:editId="186F13BA">
                <wp:simplePos x="0" y="0"/>
                <wp:positionH relativeFrom="column">
                  <wp:posOffset>51214</wp:posOffset>
                </wp:positionH>
                <wp:positionV relativeFrom="paragraph">
                  <wp:posOffset>88900</wp:posOffset>
                </wp:positionV>
                <wp:extent cx="540000" cy="0"/>
                <wp:effectExtent l="0" t="0" r="0" b="0"/>
                <wp:wrapNone/>
                <wp:docPr id="1914884496"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270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2E7CDE23" id="Konektor Lurus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7pt" to="4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" strokecolor="black [3213]" strokeweight="1pt">
                <v:stroke dashstyle="3 1"/>
              </v:line>
            </w:pict>
          </mc:Fallback>
        </mc:AlternateContent>
      </w:r>
      <w:r w:rsidRPr="00DB5227">
        <w:rPr>
          <w:rFonts w:ascii="Times New Roman" w:hAnsi="Times New Roman" w:cs="Times New Roman"/>
        </w:rPr>
        <w:tab/>
        <w:t>: Break</w:t>
      </w:r>
      <w:r w:rsidR="00555088">
        <w:rPr>
          <w:rFonts w:ascii="Times New Roman" w:hAnsi="Times New Roman" w:cs="Times New Roman"/>
        </w:rPr>
        <w:t>-</w:t>
      </w:r>
      <w:r w:rsidRPr="00DB5227">
        <w:rPr>
          <w:rFonts w:ascii="Times New Roman" w:hAnsi="Times New Roman" w:cs="Times New Roman"/>
        </w:rPr>
        <w:t>Even Point (BEP) dan Sensitivit</w:t>
      </w:r>
      <w:r w:rsidR="00AE06ED">
        <w:rPr>
          <w:rFonts w:ascii="Times New Roman" w:hAnsi="Times New Roman" w:cs="Times New Roman"/>
        </w:rPr>
        <w:t>y</w:t>
      </w:r>
    </w:p>
    <w:p w14:paraId="6469C326" w14:textId="7DE62E21"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8549684" wp14:editId="601F3EE3">
                <wp:simplePos x="0" y="0"/>
                <wp:positionH relativeFrom="column">
                  <wp:posOffset>49530</wp:posOffset>
                </wp:positionH>
                <wp:positionV relativeFrom="paragraph">
                  <wp:posOffset>89756</wp:posOffset>
                </wp:positionV>
                <wp:extent cx="540000" cy="0"/>
                <wp:effectExtent l="0" t="0" r="0" b="0"/>
                <wp:wrapNone/>
                <wp:docPr id="16646676"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905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C3E0162" id="Konektor Lurus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05pt" to="46.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" strokecolor="black [3213]" strokeweight="1.5pt">
                <v:stroke dashstyle="3 1"/>
              </v:line>
            </w:pict>
          </mc:Fallback>
        </mc:AlternateContent>
      </w:r>
      <w:r w:rsidRPr="00DB5227">
        <w:rPr>
          <w:rFonts w:ascii="Times New Roman" w:hAnsi="Times New Roman" w:cs="Times New Roman"/>
        </w:rPr>
        <w:t xml:space="preserve">: </w:t>
      </w:r>
      <w:r w:rsidR="00AE06ED">
        <w:rPr>
          <w:rFonts w:ascii="Times New Roman" w:hAnsi="Times New Roman" w:cs="Times New Roman"/>
        </w:rPr>
        <w:t>Fluctuating costs and revenues</w:t>
      </w:r>
      <w:r w:rsidR="00555088">
        <w:rPr>
          <w:rFonts w:ascii="Times New Roman" w:hAnsi="Times New Roman" w:cs="Times New Roman"/>
        </w:rPr>
        <w:t>,</w:t>
      </w:r>
      <w:r w:rsidR="00AE06ED">
        <w:rPr>
          <w:rFonts w:ascii="Times New Roman" w:hAnsi="Times New Roman" w:cs="Times New Roman"/>
        </w:rPr>
        <w:t xml:space="preserve"> and sens</w:t>
      </w:r>
      <w:r w:rsidR="00555088">
        <w:rPr>
          <w:rFonts w:ascii="Times New Roman" w:hAnsi="Times New Roman" w:cs="Times New Roman"/>
        </w:rPr>
        <w:t>i</w:t>
      </w:r>
      <w:r w:rsidR="00AE06ED">
        <w:rPr>
          <w:rFonts w:ascii="Times New Roman" w:hAnsi="Times New Roman" w:cs="Times New Roman"/>
        </w:rPr>
        <w:t>tivity</w:t>
      </w:r>
    </w:p>
    <w:p w14:paraId="48706AA9" w14:textId="2813EFAD"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9BC6AE6" wp14:editId="3C5DCAA1">
                <wp:simplePos x="0" y="0"/>
                <wp:positionH relativeFrom="column">
                  <wp:posOffset>52926</wp:posOffset>
                </wp:positionH>
                <wp:positionV relativeFrom="paragraph">
                  <wp:posOffset>88265</wp:posOffset>
                </wp:positionV>
                <wp:extent cx="539750" cy="0"/>
                <wp:effectExtent l="0" t="0" r="0" b="0"/>
                <wp:wrapNone/>
                <wp:docPr id="526213203" name="Konektor Lurus 5"/>
                <wp:cNvGraphicFramePr/>
                <a:graphic xmlns:a="http://schemas.openxmlformats.org/drawingml/2006/main">
                  <a:graphicData uri="http://schemas.microsoft.com/office/word/2010/wordprocessingShape">
                    <wps:wsp>
                      <wps:cNvCnPr/>
                      <wps:spPr>
                        <a:xfrm>
                          <a:off x="0" y="0"/>
                          <a:ext cx="539750" cy="0"/>
                        </a:xfrm>
                        <a:prstGeom prst="line">
                          <a:avLst/>
                        </a:prstGeom>
                        <a:ln w="12700">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5C156F0" id="Konektor Lurus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6.95pt" to="46.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" strokecolor="black [3213]" strokeweight="1pt"/>
            </w:pict>
          </mc:Fallback>
        </mc:AlternateContent>
      </w:r>
      <w:r w:rsidRPr="00DB5227">
        <w:rPr>
          <w:rFonts w:ascii="Times New Roman" w:hAnsi="Times New Roman" w:cs="Times New Roman"/>
        </w:rPr>
        <w:t>: Total Fixed Cost (TFC) dan Sensitivit</w:t>
      </w:r>
      <w:r w:rsidR="00AE06ED">
        <w:rPr>
          <w:rFonts w:ascii="Times New Roman" w:hAnsi="Times New Roman" w:cs="Times New Roman"/>
        </w:rPr>
        <w:t>y</w:t>
      </w:r>
    </w:p>
    <w:p w14:paraId="36FD662A" w14:textId="77777777" w:rsidR="00AE06ED" w:rsidRDefault="00AE06ED" w:rsidP="00866F99">
      <w:pPr>
        <w:pStyle w:val="HTMLPreformatted"/>
        <w:ind w:firstLine="567"/>
        <w:jc w:val="both"/>
        <w:rPr>
          <w:rStyle w:val="y2iqfc"/>
          <w:rFonts w:ascii="Times New Roman" w:eastAsiaTheme="majorEastAsia" w:hAnsi="Times New Roman" w:cs="Times New Roman"/>
          <w:sz w:val="22"/>
          <w:szCs w:val="22"/>
          <w:lang w:val="en"/>
        </w:rPr>
      </w:pPr>
    </w:p>
    <w:p w14:paraId="665A6329" w14:textId="33EACBEE"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Figure 2 shows a shift in the break-even point due to the increase in production costs. </w:t>
      </w:r>
      <w:r w:rsidR="00555088">
        <w:rPr>
          <w:rStyle w:val="y2iqfc"/>
          <w:rFonts w:ascii="Times New Roman" w:eastAsiaTheme="majorEastAsia" w:hAnsi="Times New Roman" w:cs="Times New Roman"/>
          <w:sz w:val="22"/>
          <w:szCs w:val="22"/>
          <w:lang w:val="en"/>
        </w:rPr>
        <w:t>Before</w:t>
      </w:r>
      <w:r w:rsidRPr="00DB5227">
        <w:rPr>
          <w:rStyle w:val="y2iqfc"/>
          <w:rFonts w:ascii="Times New Roman" w:eastAsiaTheme="majorEastAsia" w:hAnsi="Times New Roman" w:cs="Times New Roman"/>
          <w:sz w:val="22"/>
          <w:szCs w:val="22"/>
          <w:lang w:val="en"/>
        </w:rPr>
        <w:t xml:space="preserve"> the increase, the break-even point (BEP) was at its initial position (BEP 1) with sales revenue of Rp400,812.00. After the production costs increased, the BEP for sales revenue shifted upward to Rp546,694.00. This was followed by a shift in the BEP for production volume to the right, reaching 2,733.47 grams per month, equivalent to 32 packages of JATAM chips. At BEP 2, the business generates neither a profit nor a loss, but is still able to cover all production costs. Therefore, as long as sales revenue exceeds the new break-even point (BEP 2), the JATAM chips business remains viable. The horizontal axis (X) in the graph presents the production volume of JATAM chips, the vertical axis (Y) shows the amount in rupiah in the form of total costs or income, the blue line depicts the total income from the sale of JATAM chips, the dark red line shows the total fixed costs after the increase in production costs, the red line depicts the total variable costs after the increase in production costs, the dark orange line depicts the total fixed costs after the increase in production costs.</w:t>
      </w:r>
    </w:p>
    <w:p w14:paraId="41F65643" w14:textId="1643EA5A" w:rsidR="00866F99" w:rsidRPr="00D126D2" w:rsidRDefault="00D126D2" w:rsidP="00866F99">
      <w:pPr>
        <w:pStyle w:val="HTMLPreformatted"/>
        <w:jc w:val="both"/>
        <w:rPr>
          <w:rStyle w:val="y2iqfc"/>
          <w:rFonts w:ascii="Times New Roman" w:eastAsiaTheme="majorEastAsia" w:hAnsi="Times New Roman" w:cs="Times New Roman"/>
          <w:i/>
          <w:iCs/>
          <w:color w:val="FF0000"/>
          <w:sz w:val="22"/>
          <w:szCs w:val="22"/>
          <w:lang w:val="en"/>
        </w:rPr>
      </w:pPr>
      <w:r>
        <w:rPr>
          <w:rStyle w:val="y2iqfc"/>
          <w:rFonts w:ascii="Times New Roman" w:eastAsiaTheme="majorEastAsia" w:hAnsi="Times New Roman" w:cs="Times New Roman"/>
          <w:i/>
          <w:iCs/>
          <w:color w:val="FF0000"/>
          <w:sz w:val="22"/>
          <w:szCs w:val="22"/>
          <w:lang w:val="en"/>
        </w:rPr>
        <w:t>(The results presented are not discussed in relationship with findings from related studies.)</w:t>
      </w:r>
    </w:p>
    <w:p w14:paraId="07E097FE" w14:textId="3FE75502" w:rsidR="00866F99" w:rsidRPr="00DB5227" w:rsidRDefault="000255D0" w:rsidP="00866F99">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color w:val="0070C0"/>
          <w:sz w:val="22"/>
          <w:szCs w:val="22"/>
          <w:lang w:val="en"/>
        </w:rPr>
        <w:t xml:space="preserve">4.0 </w:t>
      </w:r>
      <w:r w:rsidR="00866F99" w:rsidRPr="00DB5227">
        <w:rPr>
          <w:rStyle w:val="y2iqfc"/>
          <w:rFonts w:ascii="Times New Roman" w:eastAsiaTheme="majorEastAsia" w:hAnsi="Times New Roman" w:cs="Times New Roman"/>
          <w:b/>
          <w:bCs/>
          <w:sz w:val="22"/>
          <w:szCs w:val="22"/>
          <w:lang w:val="en"/>
        </w:rPr>
        <w:t>CONCLUSION</w:t>
      </w:r>
    </w:p>
    <w:p w14:paraId="4E33B17B"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the analysis and discussion presented, the following conclusions can be drawn:</w:t>
      </w:r>
    </w:p>
    <w:p w14:paraId="302C9D17"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 The calculation of the production cost of JATAM chips, currently used by the JATAM MSME, is based on the owner's personal assumptions. The calculated costs include raw material costs, direct labor costs, and several variable overhead costs, including the purchase of packaging, various flavored seasonings, and sachet chili sauce. However, fixed overhead costs and several other variable overhead costs, including the cost of water gallons, electricity, 3-kg gas refills, and fuel, are not included in the calculation. Using this method, the production cost of JATAM chips is Rp12,182.20 per package.</w:t>
      </w:r>
    </w:p>
    <w:p w14:paraId="3A935A4A"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2. The calculation using the full costing method is Rp13,077.86 per package, while the variable costing method yields a production cost of Rp12,832.20 per package.</w:t>
      </w:r>
    </w:p>
    <w:p w14:paraId="41FBA80B" w14:textId="77777777" w:rsidR="00866F99" w:rsidRPr="00DB5227" w:rsidRDefault="00866F99" w:rsidP="00866F99">
      <w:pPr>
        <w:pStyle w:val="HTMLPreformatted"/>
        <w:ind w:left="426" w:hanging="426"/>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3. A comparison of the calculation results shows a significant difference in production costs between the three methods. The difference in the cost of goods manufactured using the JATAM UMKM method compared to the full costing method is Rp895.66 per package. Meanwhile, the difference between the JATAM UMKM method and the variable costing method is Rp650.00 per package. The difference in the cost of goods manufactured using the full costing method compared to the variable costing method is Rp245.66.</w:t>
      </w:r>
    </w:p>
    <w:p w14:paraId="5370352C"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4. The calculation results show that to reach the break-even point, the JATAM MSME needs to sell 2,004.06 grams of JATAM chips per month, equivalent to 23 packages, with a minimum sales revenue of Rp400,812.00 per month to cover all production costs.</w:t>
      </w:r>
    </w:p>
    <w:p w14:paraId="12B4B5E6" w14:textId="77777777" w:rsidR="00866F99" w:rsidRPr="00DB5227" w:rsidRDefault="00866F99" w:rsidP="00866F99">
      <w:pPr>
        <w:pStyle w:val="HTMLPreformatted"/>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5. The sensitivity of the JATAM MSME is seen based on a scenario of a 7% increase in production costs. This scenario causes the BEP for sales revenue to increase to Rp546,694.00 and the BEP for production volume to increase to 2,733.47, equivalent to 32 packages of JATAM chips. Despite the increase in BEP, the JATAM chip business remains viable because the actual revenue and production volume remain above the BEP.</w:t>
      </w:r>
    </w:p>
    <w:p w14:paraId="24EB4A91" w14:textId="7D65D897" w:rsidR="00AE06ED" w:rsidRPr="00D126D2" w:rsidRDefault="000255D0" w:rsidP="008B6317">
      <w:pPr>
        <w:pStyle w:val="HTMLPreformatted"/>
        <w:rPr>
          <w:rStyle w:val="y2iqfc"/>
          <w:rFonts w:ascii="Times New Roman" w:eastAsiaTheme="majorEastAsia" w:hAnsi="Times New Roman" w:cs="Times New Roman"/>
          <w:i/>
          <w:iCs/>
          <w:color w:val="FF0000"/>
          <w:sz w:val="22"/>
          <w:szCs w:val="22"/>
          <w:lang w:val="en"/>
        </w:rPr>
      </w:pPr>
      <w:r w:rsidRPr="00D126D2">
        <w:rPr>
          <w:rStyle w:val="y2iqfc"/>
          <w:rFonts w:ascii="Times New Roman" w:eastAsiaTheme="majorEastAsia" w:hAnsi="Times New Roman" w:cs="Times New Roman"/>
          <w:i/>
          <w:iCs/>
          <w:color w:val="FF0000"/>
          <w:sz w:val="22"/>
          <w:szCs w:val="22"/>
          <w:lang w:val="en"/>
        </w:rPr>
        <w:t xml:space="preserve">(It is often necessary to make </w:t>
      </w:r>
      <w:r w:rsidR="00D126D2" w:rsidRPr="00D126D2">
        <w:rPr>
          <w:rStyle w:val="y2iqfc"/>
          <w:rFonts w:ascii="Times New Roman" w:eastAsiaTheme="majorEastAsia" w:hAnsi="Times New Roman" w:cs="Times New Roman"/>
          <w:i/>
          <w:iCs/>
          <w:color w:val="FF0000"/>
          <w:sz w:val="22"/>
          <w:szCs w:val="22"/>
          <w:lang w:val="en"/>
        </w:rPr>
        <w:t>recommendation)</w:t>
      </w:r>
    </w:p>
    <w:p w14:paraId="415372BB" w14:textId="419EA64D" w:rsidR="008B6317" w:rsidRPr="00DB5227" w:rsidRDefault="00D126D2" w:rsidP="008B6317">
      <w:pPr>
        <w:pStyle w:val="HTMLPreformatted"/>
        <w:rPr>
          <w:rStyle w:val="y2iqfc"/>
          <w:rFonts w:ascii="Times New Roman" w:eastAsiaTheme="majorEastAsia" w:hAnsi="Times New Roman" w:cs="Times New Roman"/>
          <w:b/>
          <w:bCs/>
          <w:sz w:val="22"/>
          <w:szCs w:val="22"/>
          <w:lang w:val="en"/>
        </w:rPr>
      </w:pPr>
      <w:proofErr w:type="spellStart"/>
      <w:r>
        <w:rPr>
          <w:rStyle w:val="y2iqfc"/>
          <w:rFonts w:ascii="Times New Roman" w:eastAsiaTheme="majorEastAsia" w:hAnsi="Times New Roman" w:cs="Times New Roman"/>
          <w:b/>
          <w:bCs/>
          <w:color w:val="0070C0"/>
          <w:sz w:val="22"/>
          <w:szCs w:val="22"/>
          <w:lang w:val="en"/>
        </w:rPr>
        <w:t>References</w:t>
      </w:r>
      <w:r w:rsidR="008B6317" w:rsidRPr="00D126D2">
        <w:rPr>
          <w:rStyle w:val="y2iqfc"/>
          <w:rFonts w:ascii="Times New Roman" w:eastAsiaTheme="majorEastAsia" w:hAnsi="Times New Roman" w:cs="Times New Roman"/>
          <w:b/>
          <w:bCs/>
          <w:sz w:val="22"/>
          <w:szCs w:val="22"/>
          <w:highlight w:val="red"/>
          <w:lang w:val="en"/>
        </w:rPr>
        <w:t>BIBLIOGRAPHY</w:t>
      </w:r>
      <w:proofErr w:type="spellEnd"/>
    </w:p>
    <w:p w14:paraId="3965394A" w14:textId="4F0A8742"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 Sonia, F. P., </w:t>
      </w:r>
      <w:proofErr w:type="spellStart"/>
      <w:r w:rsidRPr="00DB5227">
        <w:rPr>
          <w:rStyle w:val="y2iqfc"/>
          <w:rFonts w:ascii="Times New Roman" w:eastAsiaTheme="majorEastAsia" w:hAnsi="Times New Roman" w:cs="Times New Roman"/>
          <w:sz w:val="22"/>
          <w:szCs w:val="22"/>
          <w:lang w:val="en"/>
        </w:rPr>
        <w:t>Sayekti</w:t>
      </w:r>
      <w:proofErr w:type="spellEnd"/>
      <w:r w:rsidRPr="00DB5227">
        <w:rPr>
          <w:rStyle w:val="y2iqfc"/>
          <w:rFonts w:ascii="Times New Roman" w:eastAsiaTheme="majorEastAsia" w:hAnsi="Times New Roman" w:cs="Times New Roman"/>
          <w:sz w:val="22"/>
          <w:szCs w:val="22"/>
          <w:lang w:val="en"/>
        </w:rPr>
        <w:t xml:space="preserve">, W. D., &amp; </w:t>
      </w:r>
      <w:proofErr w:type="spellStart"/>
      <w:r w:rsidRPr="00DB5227">
        <w:rPr>
          <w:rStyle w:val="y2iqfc"/>
          <w:rFonts w:ascii="Times New Roman" w:eastAsiaTheme="majorEastAsia" w:hAnsi="Times New Roman" w:cs="Times New Roman"/>
          <w:sz w:val="22"/>
          <w:szCs w:val="22"/>
          <w:lang w:val="en"/>
        </w:rPr>
        <w:t>Prasmatiwi</w:t>
      </w:r>
      <w:proofErr w:type="spellEnd"/>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F. E. 2023. Business Profits, Cost of Goods Sold (HPP), and Consumer Satisfaction of the Instant Ginger Agroindustry in the Harapan Jaya Women's Farmers Group (KWT) in Bandar Lampung City. </w:t>
      </w:r>
      <w:proofErr w:type="spellStart"/>
      <w:r w:rsidRPr="00DB5227">
        <w:rPr>
          <w:rStyle w:val="y2iqfc"/>
          <w:rFonts w:ascii="Times New Roman" w:eastAsiaTheme="majorEastAsia" w:hAnsi="Times New Roman" w:cs="Times New Roman"/>
          <w:sz w:val="22"/>
          <w:szCs w:val="22"/>
          <w:lang w:val="en"/>
        </w:rPr>
        <w:t>Agroinfo</w:t>
      </w:r>
      <w:proofErr w:type="spellEnd"/>
      <w:r w:rsidRPr="00DB5227">
        <w:rPr>
          <w:rStyle w:val="y2iqfc"/>
          <w:rFonts w:ascii="Times New Roman" w:eastAsiaTheme="majorEastAsia" w:hAnsi="Times New Roman" w:cs="Times New Roman"/>
          <w:sz w:val="22"/>
          <w:szCs w:val="22"/>
          <w:lang w:val="en"/>
        </w:rPr>
        <w:t xml:space="preserve"> </w:t>
      </w:r>
      <w:proofErr w:type="spellStart"/>
      <w:r w:rsidRPr="00DB5227">
        <w:rPr>
          <w:rStyle w:val="y2iqfc"/>
          <w:rFonts w:ascii="Times New Roman" w:eastAsiaTheme="majorEastAsia" w:hAnsi="Times New Roman" w:cs="Times New Roman"/>
          <w:sz w:val="22"/>
          <w:szCs w:val="22"/>
          <w:lang w:val="en"/>
        </w:rPr>
        <w:t>Galuh</w:t>
      </w:r>
      <w:proofErr w:type="spellEnd"/>
      <w:r w:rsidRPr="00DB5227">
        <w:rPr>
          <w:rStyle w:val="y2iqfc"/>
          <w:rFonts w:ascii="Times New Roman" w:eastAsiaTheme="majorEastAsia" w:hAnsi="Times New Roman" w:cs="Times New Roman"/>
          <w:sz w:val="22"/>
          <w:szCs w:val="22"/>
          <w:lang w:val="en"/>
        </w:rPr>
        <w:t xml:space="preserve"> Student Scientific Journal. Vol. 10, No. 2: 1370-1382.</w:t>
      </w:r>
    </w:p>
    <w:p w14:paraId="7B539F0D"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[2] Institute for Development of Economics and Finance. 2021. Evaluation of the Indonesian Economy 2021: MSMEs and the Digital Economy.</w:t>
      </w:r>
    </w:p>
    <w:p w14:paraId="5209A763"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[3] </w:t>
      </w:r>
      <w:proofErr w:type="spellStart"/>
      <w:r w:rsidRPr="00DB5227">
        <w:rPr>
          <w:rStyle w:val="y2iqfc"/>
          <w:rFonts w:ascii="Times New Roman" w:eastAsiaTheme="majorEastAsia" w:hAnsi="Times New Roman" w:cs="Times New Roman"/>
          <w:sz w:val="22"/>
          <w:szCs w:val="22"/>
          <w:lang w:val="en"/>
        </w:rPr>
        <w:t>Sujarweni</w:t>
      </w:r>
      <w:proofErr w:type="spellEnd"/>
      <w:r w:rsidRPr="00DB5227">
        <w:rPr>
          <w:rStyle w:val="y2iqfc"/>
          <w:rFonts w:ascii="Times New Roman" w:eastAsiaTheme="majorEastAsia" w:hAnsi="Times New Roman" w:cs="Times New Roman"/>
          <w:sz w:val="22"/>
          <w:szCs w:val="22"/>
          <w:lang w:val="en"/>
        </w:rPr>
        <w:t>, V. W. Accounting for MSMEs (Micro, Small, and Medium Enterprises). Pustaka Baru Press. Yogyakarta.</w:t>
      </w:r>
    </w:p>
    <w:p w14:paraId="0E195716"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[4] Ministry of Cooperatives and SMEs. 2019. Development of Micro, Small, and Medium Enterprises (MSMEs) and Large Enterprises (UB) Data 2015-2019. https://www.kemenkopukm.go.id/data-umkm</w:t>
      </w:r>
    </w:p>
    <w:p w14:paraId="7D2EA26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[5] Central Statistics Agency. 2023. Gross Regional Domestic Product of East Kalimantan Province by Business Sector 2019-2023.</w:t>
      </w:r>
    </w:p>
    <w:p w14:paraId="01197190"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[6] </w:t>
      </w:r>
      <w:proofErr w:type="spellStart"/>
      <w:r w:rsidRPr="00DB5227">
        <w:rPr>
          <w:rStyle w:val="y2iqfc"/>
          <w:rFonts w:ascii="Times New Roman" w:eastAsiaTheme="majorEastAsia" w:hAnsi="Times New Roman" w:cs="Times New Roman"/>
          <w:sz w:val="22"/>
          <w:szCs w:val="22"/>
          <w:lang w:val="en"/>
        </w:rPr>
        <w:t>Ristika</w:t>
      </w:r>
      <w:proofErr w:type="spellEnd"/>
      <w:r w:rsidRPr="00DB5227">
        <w:rPr>
          <w:rStyle w:val="y2iqfc"/>
          <w:rFonts w:ascii="Times New Roman" w:eastAsiaTheme="majorEastAsia" w:hAnsi="Times New Roman" w:cs="Times New Roman"/>
          <w:sz w:val="22"/>
          <w:szCs w:val="22"/>
          <w:lang w:val="en"/>
        </w:rPr>
        <w:t xml:space="preserve">, W., </w:t>
      </w:r>
      <w:proofErr w:type="spellStart"/>
      <w:r w:rsidRPr="00DB5227">
        <w:rPr>
          <w:rStyle w:val="y2iqfc"/>
          <w:rFonts w:ascii="Times New Roman" w:eastAsiaTheme="majorEastAsia" w:hAnsi="Times New Roman" w:cs="Times New Roman"/>
          <w:sz w:val="22"/>
          <w:szCs w:val="22"/>
          <w:lang w:val="en"/>
        </w:rPr>
        <w:t>Bafadal</w:t>
      </w:r>
      <w:proofErr w:type="spellEnd"/>
      <w:r w:rsidRPr="00DB5227">
        <w:rPr>
          <w:rStyle w:val="y2iqfc"/>
          <w:rFonts w:ascii="Times New Roman" w:eastAsiaTheme="majorEastAsia" w:hAnsi="Times New Roman" w:cs="Times New Roman"/>
          <w:sz w:val="22"/>
          <w:szCs w:val="22"/>
          <w:lang w:val="en"/>
        </w:rPr>
        <w:t xml:space="preserve">, A., and Zani, M. Analysis of Added Value of Oyster Mushroom Processing in </w:t>
      </w:r>
      <w:proofErr w:type="spellStart"/>
      <w:r w:rsidRPr="00DB5227">
        <w:rPr>
          <w:rStyle w:val="y2iqfc"/>
          <w:rFonts w:ascii="Times New Roman" w:eastAsiaTheme="majorEastAsia" w:hAnsi="Times New Roman" w:cs="Times New Roman"/>
          <w:sz w:val="22"/>
          <w:szCs w:val="22"/>
          <w:lang w:val="en"/>
        </w:rPr>
        <w:t>Palangga</w:t>
      </w:r>
      <w:proofErr w:type="spellEnd"/>
      <w:r w:rsidRPr="00DB5227">
        <w:rPr>
          <w:rStyle w:val="y2iqfc"/>
          <w:rFonts w:ascii="Times New Roman" w:eastAsiaTheme="majorEastAsia" w:hAnsi="Times New Roman" w:cs="Times New Roman"/>
          <w:sz w:val="22"/>
          <w:szCs w:val="22"/>
          <w:lang w:val="en"/>
        </w:rPr>
        <w:t xml:space="preserve"> District, South </w:t>
      </w:r>
      <w:proofErr w:type="spellStart"/>
      <w:r w:rsidRPr="00DB5227">
        <w:rPr>
          <w:rStyle w:val="y2iqfc"/>
          <w:rFonts w:ascii="Times New Roman" w:eastAsiaTheme="majorEastAsia" w:hAnsi="Times New Roman" w:cs="Times New Roman"/>
          <w:sz w:val="22"/>
          <w:szCs w:val="22"/>
          <w:lang w:val="en"/>
        </w:rPr>
        <w:t>Konawe</w:t>
      </w:r>
      <w:proofErr w:type="spellEnd"/>
      <w:r w:rsidRPr="00DB5227">
        <w:rPr>
          <w:rStyle w:val="y2iqfc"/>
          <w:rFonts w:ascii="Times New Roman" w:eastAsiaTheme="majorEastAsia" w:hAnsi="Times New Roman" w:cs="Times New Roman"/>
          <w:sz w:val="22"/>
          <w:szCs w:val="22"/>
          <w:lang w:val="en"/>
        </w:rPr>
        <w:t xml:space="preserve"> Regency (Case Study of Mushroom Chips Business). Vol. 4, No. 3: 16617–16629.</w:t>
      </w:r>
    </w:p>
    <w:p w14:paraId="48264581"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[7] Central Statistics Agency. 2023. Statistics of Vegetables and Fruits in East Kalimantan Province 2022. Volume 22.</w:t>
      </w:r>
    </w:p>
    <w:p w14:paraId="7F45356F"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[8] Mulyadi. 2023 Cost Accounting. Fifth Edition. UPP STIM YKPN. Yogyakarta City.</w:t>
      </w:r>
    </w:p>
    <w:p w14:paraId="1D1FEB3F" w14:textId="40046416"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[9] </w:t>
      </w:r>
      <w:proofErr w:type="spellStart"/>
      <w:r w:rsidRPr="00DB5227">
        <w:rPr>
          <w:rStyle w:val="y2iqfc"/>
          <w:rFonts w:ascii="Times New Roman" w:eastAsiaTheme="majorEastAsia" w:hAnsi="Times New Roman" w:cs="Times New Roman"/>
          <w:sz w:val="22"/>
          <w:szCs w:val="22"/>
          <w:lang w:val="en"/>
        </w:rPr>
        <w:t>Romadlon</w:t>
      </w:r>
      <w:proofErr w:type="spellEnd"/>
      <w:r w:rsidRPr="00DB5227">
        <w:rPr>
          <w:rStyle w:val="y2iqfc"/>
          <w:rFonts w:ascii="Times New Roman" w:eastAsiaTheme="majorEastAsia" w:hAnsi="Times New Roman" w:cs="Times New Roman"/>
          <w:sz w:val="22"/>
          <w:szCs w:val="22"/>
          <w:lang w:val="en"/>
        </w:rPr>
        <w:t>, C. G., and Sujud, F. A. 2024.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Even Point Analysis in Determining Profit Projections at the </w:t>
      </w:r>
      <w:proofErr w:type="spellStart"/>
      <w:r w:rsidRPr="00DB5227">
        <w:rPr>
          <w:rStyle w:val="y2iqfc"/>
          <w:rFonts w:ascii="Times New Roman" w:eastAsiaTheme="majorEastAsia" w:hAnsi="Times New Roman" w:cs="Times New Roman"/>
          <w:sz w:val="22"/>
          <w:szCs w:val="22"/>
          <w:lang w:val="en"/>
        </w:rPr>
        <w:t>D'Bantar</w:t>
      </w:r>
      <w:proofErr w:type="spellEnd"/>
      <w:r w:rsidRPr="00DB5227">
        <w:rPr>
          <w:rStyle w:val="y2iqfc"/>
          <w:rFonts w:ascii="Times New Roman" w:eastAsiaTheme="majorEastAsia" w:hAnsi="Times New Roman" w:cs="Times New Roman"/>
          <w:sz w:val="22"/>
          <w:szCs w:val="22"/>
          <w:lang w:val="en"/>
        </w:rPr>
        <w:t xml:space="preserve"> Bamboo Craft Grocery Store, </w:t>
      </w:r>
      <w:proofErr w:type="spellStart"/>
      <w:r w:rsidRPr="00DB5227">
        <w:rPr>
          <w:rStyle w:val="y2iqfc"/>
          <w:rFonts w:ascii="Times New Roman" w:eastAsiaTheme="majorEastAsia" w:hAnsi="Times New Roman" w:cs="Times New Roman"/>
          <w:sz w:val="22"/>
          <w:szCs w:val="22"/>
          <w:lang w:val="en"/>
        </w:rPr>
        <w:t>Mandiraja</w:t>
      </w:r>
      <w:proofErr w:type="spellEnd"/>
      <w:r w:rsidRPr="00DB5227">
        <w:rPr>
          <w:rStyle w:val="y2iqfc"/>
          <w:rFonts w:ascii="Times New Roman" w:eastAsiaTheme="majorEastAsia" w:hAnsi="Times New Roman" w:cs="Times New Roman"/>
          <w:sz w:val="22"/>
          <w:szCs w:val="22"/>
          <w:lang w:val="en"/>
        </w:rPr>
        <w:t xml:space="preserve"> District, </w:t>
      </w:r>
      <w:proofErr w:type="spellStart"/>
      <w:r w:rsidRPr="00DB5227">
        <w:rPr>
          <w:rStyle w:val="y2iqfc"/>
          <w:rFonts w:ascii="Times New Roman" w:eastAsiaTheme="majorEastAsia" w:hAnsi="Times New Roman" w:cs="Times New Roman"/>
          <w:sz w:val="22"/>
          <w:szCs w:val="22"/>
          <w:lang w:val="en"/>
        </w:rPr>
        <w:t>Banjarnegara</w:t>
      </w:r>
      <w:proofErr w:type="spellEnd"/>
      <w:r w:rsidRPr="00DB5227">
        <w:rPr>
          <w:rStyle w:val="y2iqfc"/>
          <w:rFonts w:ascii="Times New Roman" w:eastAsiaTheme="majorEastAsia" w:hAnsi="Times New Roman" w:cs="Times New Roman"/>
          <w:sz w:val="22"/>
          <w:szCs w:val="22"/>
          <w:lang w:val="en"/>
        </w:rPr>
        <w:t xml:space="preserve"> Regency. </w:t>
      </w:r>
      <w:proofErr w:type="spellStart"/>
      <w:r w:rsidRPr="00DB5227">
        <w:rPr>
          <w:rStyle w:val="y2iqfc"/>
          <w:rFonts w:ascii="Times New Roman" w:eastAsiaTheme="majorEastAsia" w:hAnsi="Times New Roman" w:cs="Times New Roman"/>
          <w:sz w:val="22"/>
          <w:szCs w:val="22"/>
          <w:lang w:val="en"/>
        </w:rPr>
        <w:t>Tanbih</w:t>
      </w:r>
      <w:proofErr w:type="spellEnd"/>
      <w:r w:rsidRPr="00DB5227">
        <w:rPr>
          <w:rStyle w:val="y2iqfc"/>
          <w:rFonts w:ascii="Times New Roman" w:eastAsiaTheme="majorEastAsia" w:hAnsi="Times New Roman" w:cs="Times New Roman"/>
          <w:sz w:val="22"/>
          <w:szCs w:val="22"/>
          <w:lang w:val="en"/>
        </w:rPr>
        <w:t xml:space="preserve"> Journal. Vol. 1, No. 2.</w:t>
      </w:r>
    </w:p>
    <w:p w14:paraId="6C90968B" w14:textId="73922941" w:rsidR="008B6317" w:rsidRPr="00DB5227" w:rsidRDefault="008B6317" w:rsidP="008B6317">
      <w:pPr>
        <w:pStyle w:val="HTMLPreformatted"/>
        <w:ind w:left="567" w:hanging="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[10] </w:t>
      </w:r>
      <w:proofErr w:type="spellStart"/>
      <w:r w:rsidRPr="00DB5227">
        <w:rPr>
          <w:rStyle w:val="y2iqfc"/>
          <w:rFonts w:ascii="Times New Roman" w:eastAsiaTheme="majorEastAsia" w:hAnsi="Times New Roman" w:cs="Times New Roman"/>
          <w:sz w:val="22"/>
          <w:szCs w:val="22"/>
          <w:lang w:val="en"/>
        </w:rPr>
        <w:t>Khasana</w:t>
      </w:r>
      <w:proofErr w:type="spellEnd"/>
      <w:r w:rsidRPr="00DB5227">
        <w:rPr>
          <w:rStyle w:val="y2iqfc"/>
          <w:rFonts w:ascii="Times New Roman" w:eastAsiaTheme="majorEastAsia" w:hAnsi="Times New Roman" w:cs="Times New Roman"/>
          <w:sz w:val="22"/>
          <w:szCs w:val="22"/>
          <w:lang w:val="en"/>
        </w:rPr>
        <w:t>, U. 2024.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Even Point (BEP) Analysis and Income Sensitivity of Rice Farming (Case Study of the Hati Mulia Farmer Group in </w:t>
      </w:r>
      <w:proofErr w:type="spellStart"/>
      <w:r w:rsidRPr="00DB5227">
        <w:rPr>
          <w:rStyle w:val="y2iqfc"/>
          <w:rFonts w:ascii="Times New Roman" w:eastAsiaTheme="majorEastAsia" w:hAnsi="Times New Roman" w:cs="Times New Roman"/>
          <w:sz w:val="22"/>
          <w:szCs w:val="22"/>
          <w:lang w:val="en"/>
        </w:rPr>
        <w:t>Cakura</w:t>
      </w:r>
      <w:proofErr w:type="spellEnd"/>
      <w:r w:rsidRPr="00DB5227">
        <w:rPr>
          <w:rStyle w:val="y2iqfc"/>
          <w:rFonts w:ascii="Times New Roman" w:eastAsiaTheme="majorEastAsia" w:hAnsi="Times New Roman" w:cs="Times New Roman"/>
          <w:sz w:val="22"/>
          <w:szCs w:val="22"/>
          <w:lang w:val="en"/>
        </w:rPr>
        <w:t xml:space="preserve"> Village, </w:t>
      </w:r>
      <w:proofErr w:type="spellStart"/>
      <w:r w:rsidRPr="00DB5227">
        <w:rPr>
          <w:rStyle w:val="y2iqfc"/>
          <w:rFonts w:ascii="Times New Roman" w:eastAsiaTheme="majorEastAsia" w:hAnsi="Times New Roman" w:cs="Times New Roman"/>
          <w:sz w:val="22"/>
          <w:szCs w:val="22"/>
          <w:lang w:val="en"/>
        </w:rPr>
        <w:t>Polongbangkeng</w:t>
      </w:r>
      <w:proofErr w:type="spellEnd"/>
      <w:r w:rsidRPr="00DB5227">
        <w:rPr>
          <w:rStyle w:val="y2iqfc"/>
          <w:rFonts w:ascii="Times New Roman" w:eastAsiaTheme="majorEastAsia" w:hAnsi="Times New Roman" w:cs="Times New Roman"/>
          <w:sz w:val="22"/>
          <w:szCs w:val="22"/>
          <w:lang w:val="en"/>
        </w:rPr>
        <w:t xml:space="preserve"> Selatan District, </w:t>
      </w:r>
      <w:proofErr w:type="spellStart"/>
      <w:r w:rsidRPr="00DB5227">
        <w:rPr>
          <w:rStyle w:val="y2iqfc"/>
          <w:rFonts w:ascii="Times New Roman" w:eastAsiaTheme="majorEastAsia" w:hAnsi="Times New Roman" w:cs="Times New Roman"/>
          <w:sz w:val="22"/>
          <w:szCs w:val="22"/>
          <w:lang w:val="en"/>
        </w:rPr>
        <w:t>Takalar</w:t>
      </w:r>
      <w:proofErr w:type="spellEnd"/>
      <w:r w:rsidRPr="00DB5227">
        <w:rPr>
          <w:rStyle w:val="y2iqfc"/>
          <w:rFonts w:ascii="Times New Roman" w:eastAsiaTheme="majorEastAsia" w:hAnsi="Times New Roman" w:cs="Times New Roman"/>
          <w:sz w:val="22"/>
          <w:szCs w:val="22"/>
          <w:lang w:val="en"/>
        </w:rPr>
        <w:t xml:space="preserve"> Regency). Thesis. Faculty of Agriculture. Muhammadiyah University of Makassar.</w:t>
      </w:r>
    </w:p>
    <w:p w14:paraId="62BB3122" w14:textId="01FB5ABB"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[11] Rahayu, N, </w:t>
      </w:r>
      <w:r w:rsidR="00555088">
        <w:rPr>
          <w:rStyle w:val="y2iqfc"/>
          <w:rFonts w:ascii="Times New Roman" w:eastAsiaTheme="majorEastAsia" w:hAnsi="Times New Roman" w:cs="Times New Roman"/>
          <w:sz w:val="22"/>
          <w:szCs w:val="22"/>
          <w:lang w:val="en"/>
        </w:rPr>
        <w:t>N.S.</w:t>
      </w:r>
      <w:r w:rsidRPr="00DB5227">
        <w:rPr>
          <w:rStyle w:val="y2iqfc"/>
          <w:rFonts w:ascii="Times New Roman" w:eastAsiaTheme="majorEastAsia" w:hAnsi="Times New Roman" w:cs="Times New Roman"/>
          <w:sz w:val="22"/>
          <w:szCs w:val="22"/>
          <w:lang w:val="en"/>
        </w:rPr>
        <w:t xml:space="preserve">, </w:t>
      </w:r>
      <w:r w:rsidR="00555088">
        <w:rPr>
          <w:rStyle w:val="y2iqfc"/>
          <w:rFonts w:ascii="Times New Roman" w:eastAsiaTheme="majorEastAsia" w:hAnsi="Times New Roman" w:cs="Times New Roman"/>
          <w:sz w:val="22"/>
          <w:szCs w:val="22"/>
          <w:lang w:val="en"/>
        </w:rPr>
        <w:t>N.S.</w:t>
      </w:r>
      <w:r w:rsidRPr="00DB5227">
        <w:rPr>
          <w:rStyle w:val="y2iqfc"/>
          <w:rFonts w:ascii="Times New Roman" w:eastAsiaTheme="majorEastAsia" w:hAnsi="Times New Roman" w:cs="Times New Roman"/>
          <w:sz w:val="22"/>
          <w:szCs w:val="22"/>
          <w:lang w:val="en"/>
        </w:rPr>
        <w:t xml:space="preserve">M., </w:t>
      </w:r>
      <w:proofErr w:type="spellStart"/>
      <w:r w:rsidRPr="00DB5227">
        <w:rPr>
          <w:rStyle w:val="y2iqfc"/>
          <w:rFonts w:ascii="Times New Roman" w:eastAsiaTheme="majorEastAsia" w:hAnsi="Times New Roman" w:cs="Times New Roman"/>
          <w:sz w:val="22"/>
          <w:szCs w:val="22"/>
          <w:lang w:val="en"/>
        </w:rPr>
        <w:t>Nuryaman</w:t>
      </w:r>
      <w:proofErr w:type="spellEnd"/>
      <w:r w:rsidRPr="00DB5227">
        <w:rPr>
          <w:rStyle w:val="y2iqfc"/>
          <w:rFonts w:ascii="Times New Roman" w:eastAsiaTheme="majorEastAsia" w:hAnsi="Times New Roman" w:cs="Times New Roman"/>
          <w:sz w:val="22"/>
          <w:szCs w:val="22"/>
          <w:lang w:val="en"/>
        </w:rPr>
        <w:t xml:space="preserve">, H., </w:t>
      </w:r>
      <w:proofErr w:type="spellStart"/>
      <w:r w:rsidRPr="00DB5227">
        <w:rPr>
          <w:rStyle w:val="y2iqfc"/>
          <w:rFonts w:ascii="Times New Roman" w:eastAsiaTheme="majorEastAsia" w:hAnsi="Times New Roman" w:cs="Times New Roman"/>
          <w:sz w:val="22"/>
          <w:szCs w:val="22"/>
          <w:lang w:val="en"/>
        </w:rPr>
        <w:t>Suyadi</w:t>
      </w:r>
      <w:proofErr w:type="spellEnd"/>
      <w:r w:rsidRPr="00DB5227">
        <w:rPr>
          <w:rStyle w:val="y2iqfc"/>
          <w:rFonts w:ascii="Times New Roman" w:eastAsiaTheme="majorEastAsia" w:hAnsi="Times New Roman" w:cs="Times New Roman"/>
          <w:sz w:val="22"/>
          <w:szCs w:val="22"/>
          <w:lang w:val="en"/>
        </w:rPr>
        <w:t xml:space="preserve">, &amp; </w:t>
      </w:r>
      <w:proofErr w:type="spellStart"/>
      <w:r w:rsidRPr="00DB5227">
        <w:rPr>
          <w:rStyle w:val="y2iqfc"/>
          <w:rFonts w:ascii="Times New Roman" w:eastAsiaTheme="majorEastAsia" w:hAnsi="Times New Roman" w:cs="Times New Roman"/>
          <w:sz w:val="22"/>
          <w:szCs w:val="22"/>
          <w:lang w:val="en"/>
        </w:rPr>
        <w:t>Mutiarasari</w:t>
      </w:r>
      <w:proofErr w:type="spellEnd"/>
      <w:r w:rsidRPr="00DB5227">
        <w:rPr>
          <w:rStyle w:val="y2iqfc"/>
          <w:rFonts w:ascii="Times New Roman" w:eastAsiaTheme="majorEastAsia" w:hAnsi="Times New Roman" w:cs="Times New Roman"/>
          <w:sz w:val="22"/>
          <w:szCs w:val="22"/>
          <w:lang w:val="en"/>
        </w:rPr>
        <w:t xml:space="preserve">, N, R. 2024. Cost of Production, Break-Even Point, and Sensitivity of Honje Processing </w:t>
      </w:r>
      <w:proofErr w:type="gramStart"/>
      <w:r w:rsidRPr="00DB5227">
        <w:rPr>
          <w:rStyle w:val="y2iqfc"/>
          <w:rFonts w:ascii="Times New Roman" w:eastAsiaTheme="majorEastAsia" w:hAnsi="Times New Roman" w:cs="Times New Roman"/>
          <w:sz w:val="22"/>
          <w:szCs w:val="22"/>
          <w:lang w:val="en"/>
        </w:rPr>
        <w:t>Into</w:t>
      </w:r>
      <w:proofErr w:type="gramEnd"/>
      <w:r w:rsidRPr="00DB5227">
        <w:rPr>
          <w:rStyle w:val="y2iqfc"/>
          <w:rFonts w:ascii="Times New Roman" w:eastAsiaTheme="majorEastAsia" w:hAnsi="Times New Roman" w:cs="Times New Roman"/>
          <w:sz w:val="22"/>
          <w:szCs w:val="22"/>
          <w:lang w:val="en"/>
        </w:rPr>
        <w:t xml:space="preserve"> Honjo Juice. IOP Conference Series: Earth and Environmental Science. 1-9.</w:t>
      </w:r>
    </w:p>
    <w:p w14:paraId="4258D3CC"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[12] Mulyadi. 2023. Cost Accounting. Fifth Edition. UPP STIM YKPN. Yogyakarta City.</w:t>
      </w:r>
    </w:p>
    <w:p w14:paraId="64C208E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[13] </w:t>
      </w:r>
      <w:proofErr w:type="spellStart"/>
      <w:r w:rsidRPr="00DB5227">
        <w:rPr>
          <w:rStyle w:val="y2iqfc"/>
          <w:rFonts w:ascii="Times New Roman" w:eastAsiaTheme="majorEastAsia" w:hAnsi="Times New Roman" w:cs="Times New Roman"/>
          <w:sz w:val="22"/>
          <w:szCs w:val="22"/>
          <w:lang w:val="en"/>
        </w:rPr>
        <w:t>Anggraini</w:t>
      </w:r>
      <w:proofErr w:type="spellEnd"/>
      <w:r w:rsidRPr="00DB5227">
        <w:rPr>
          <w:rStyle w:val="y2iqfc"/>
          <w:rFonts w:ascii="Times New Roman" w:eastAsiaTheme="majorEastAsia" w:hAnsi="Times New Roman" w:cs="Times New Roman"/>
          <w:sz w:val="22"/>
          <w:szCs w:val="22"/>
          <w:lang w:val="en"/>
        </w:rPr>
        <w:t xml:space="preserve">, N., et al. 2022. Introduction to Microeconomics (Theory and Practice). First Edition. </w:t>
      </w:r>
      <w:proofErr w:type="spellStart"/>
      <w:r w:rsidRPr="00DB5227">
        <w:rPr>
          <w:rStyle w:val="y2iqfc"/>
          <w:rFonts w:ascii="Times New Roman" w:eastAsiaTheme="majorEastAsia" w:hAnsi="Times New Roman" w:cs="Times New Roman"/>
          <w:sz w:val="22"/>
          <w:szCs w:val="22"/>
          <w:lang w:val="en"/>
        </w:rPr>
        <w:t>Widina</w:t>
      </w:r>
      <w:proofErr w:type="spellEnd"/>
      <w:r w:rsidRPr="00DB5227">
        <w:rPr>
          <w:rStyle w:val="y2iqfc"/>
          <w:rFonts w:ascii="Times New Roman" w:eastAsiaTheme="majorEastAsia" w:hAnsi="Times New Roman" w:cs="Times New Roman"/>
          <w:sz w:val="22"/>
          <w:szCs w:val="22"/>
          <w:lang w:val="en"/>
        </w:rPr>
        <w:t xml:space="preserve"> Media Utama. Bandung.</w:t>
      </w:r>
    </w:p>
    <w:p w14:paraId="02DC974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[14] BPS. 2022. Analysis of the Indonesian Population Profile 2020. https://www.bps.go.id/id/publication/2022/06/24/ea52f6a38d3913a5bc557c5f/analisis-profil-penduduk-indonesia.html.</w:t>
      </w:r>
    </w:p>
    <w:p w14:paraId="63A46751" w14:textId="475DAD05"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[15] </w:t>
      </w:r>
      <w:proofErr w:type="spellStart"/>
      <w:r w:rsidRPr="00DB5227">
        <w:rPr>
          <w:rStyle w:val="y2iqfc"/>
          <w:rFonts w:ascii="Times New Roman" w:eastAsiaTheme="majorEastAsia" w:hAnsi="Times New Roman" w:cs="Times New Roman"/>
          <w:sz w:val="22"/>
          <w:szCs w:val="22"/>
          <w:lang w:val="en"/>
        </w:rPr>
        <w:t>Pasapan</w:t>
      </w:r>
      <w:proofErr w:type="spellEnd"/>
      <w:r w:rsidRPr="00DB5227">
        <w:rPr>
          <w:rStyle w:val="y2iqfc"/>
          <w:rFonts w:ascii="Times New Roman" w:eastAsiaTheme="majorEastAsia" w:hAnsi="Times New Roman" w:cs="Times New Roman"/>
          <w:sz w:val="22"/>
          <w:szCs w:val="22"/>
          <w:lang w:val="en"/>
        </w:rPr>
        <w:t xml:space="preserve">, V W., Pusung, R J., </w:t>
      </w:r>
      <w:proofErr w:type="spellStart"/>
      <w:r w:rsidRPr="00DB5227">
        <w:rPr>
          <w:rStyle w:val="y2iqfc"/>
          <w:rFonts w:ascii="Times New Roman" w:eastAsiaTheme="majorEastAsia" w:hAnsi="Times New Roman" w:cs="Times New Roman"/>
          <w:sz w:val="22"/>
          <w:szCs w:val="22"/>
          <w:lang w:val="en"/>
        </w:rPr>
        <w:t>Maradesa</w:t>
      </w:r>
      <w:proofErr w:type="spellEnd"/>
      <w:r w:rsidRPr="00DB5227">
        <w:rPr>
          <w:rStyle w:val="y2iqfc"/>
          <w:rFonts w:ascii="Times New Roman" w:eastAsiaTheme="majorEastAsia" w:hAnsi="Times New Roman" w:cs="Times New Roman"/>
          <w:sz w:val="22"/>
          <w:szCs w:val="22"/>
          <w:lang w:val="en"/>
        </w:rPr>
        <w:t>, D. 2023. Analysis of Full Costing and Variable Costing Methods in Determining the Cost of Production of Jackfruit Seed Boba at the Subin Mood Boba MSME. EMBA Journal. Vol. 11, No. 2: 453-463.</w:t>
      </w:r>
    </w:p>
    <w:p w14:paraId="351C772E"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[16] Mahardika, P.I. 2018. Cost Accounting: A Complete Guide to Cost Analysis and Calculation of Cost of Production, First Edition. Quadrant. Yogyakarta City.</w:t>
      </w:r>
    </w:p>
    <w:p w14:paraId="2014E7A5" w14:textId="77777777" w:rsidR="008B6317" w:rsidRPr="00DB5227" w:rsidRDefault="008B6317" w:rsidP="008B6317">
      <w:pPr>
        <w:pStyle w:val="HTMLPreformatted"/>
        <w:ind w:left="567" w:hanging="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[17] Bank Indonesia. Inflation Statistics Data November 2022-December 2024. Central Bank of the Republic of Indonesia. https://www.bi.go.id/id/statistik/indikator/data-inflasi.aspx.</w:t>
      </w:r>
    </w:p>
    <w:p w14:paraId="2692F2BD" w14:textId="77777777" w:rsidR="008B6317" w:rsidRPr="00DB5227" w:rsidRDefault="008B6317" w:rsidP="008B6317">
      <w:pPr>
        <w:pStyle w:val="HTMLPreformatted"/>
        <w:ind w:left="567" w:hanging="567"/>
        <w:jc w:val="both"/>
        <w:rPr>
          <w:rFonts w:ascii="Times New Roman" w:hAnsi="Times New Roman" w:cs="Times New Roman"/>
          <w:sz w:val="22"/>
          <w:szCs w:val="22"/>
        </w:rPr>
      </w:pPr>
    </w:p>
    <w:p w14:paraId="368324CF" w14:textId="77777777" w:rsidR="008B6317" w:rsidRPr="00DB5227" w:rsidRDefault="008B6317" w:rsidP="00866F99">
      <w:pPr>
        <w:pStyle w:val="HTMLPreformatted"/>
        <w:ind w:left="426" w:hanging="426"/>
        <w:jc w:val="both"/>
        <w:rPr>
          <w:rFonts w:ascii="Times New Roman" w:hAnsi="Times New Roman" w:cs="Times New Roman"/>
          <w:sz w:val="22"/>
          <w:szCs w:val="22"/>
        </w:rPr>
      </w:pPr>
    </w:p>
    <w:p w14:paraId="2B746141" w14:textId="77777777" w:rsidR="00866F99" w:rsidRPr="00DB5227" w:rsidRDefault="00866F99" w:rsidP="00866F99">
      <w:pPr>
        <w:pStyle w:val="HTMLPreformatted"/>
        <w:ind w:left="426" w:hanging="426"/>
        <w:jc w:val="both"/>
        <w:rPr>
          <w:rFonts w:ascii="Times New Roman" w:hAnsi="Times New Roman" w:cs="Times New Roman"/>
          <w:sz w:val="22"/>
          <w:szCs w:val="22"/>
        </w:rPr>
      </w:pPr>
    </w:p>
    <w:p w14:paraId="0C10986C" w14:textId="77777777" w:rsidR="00547FB6" w:rsidRPr="00DB5227" w:rsidRDefault="00547FB6" w:rsidP="00547FB6">
      <w:pPr>
        <w:spacing w:before="240" w:after="0" w:line="240" w:lineRule="auto"/>
        <w:jc w:val="both"/>
        <w:rPr>
          <w:rFonts w:ascii="Times New Roman" w:hAnsi="Times New Roman" w:cs="Times New Roman"/>
        </w:rPr>
      </w:pPr>
    </w:p>
    <w:p w14:paraId="73B4201A" w14:textId="77777777" w:rsidR="00547FB6" w:rsidRPr="00DB5227" w:rsidRDefault="00547FB6" w:rsidP="00547FB6">
      <w:pPr>
        <w:spacing w:before="240" w:after="0" w:line="240" w:lineRule="auto"/>
        <w:jc w:val="center"/>
        <w:rPr>
          <w:rFonts w:ascii="Times New Roman" w:hAnsi="Times New Roman" w:cs="Times New Roman"/>
          <w:i/>
          <w:iCs/>
        </w:rPr>
      </w:pPr>
    </w:p>
    <w:p w14:paraId="394C5998" w14:textId="591455DC" w:rsidR="00866F99" w:rsidRPr="00DB5227" w:rsidRDefault="00866F99" w:rsidP="00866F99">
      <w:pPr>
        <w:widowControl w:val="0"/>
        <w:autoSpaceDE w:val="0"/>
        <w:autoSpaceDN w:val="0"/>
        <w:adjustRightInd w:val="0"/>
        <w:spacing w:after="0" w:line="240" w:lineRule="auto"/>
        <w:rPr>
          <w:rFonts w:ascii="Times New Roman" w:hAnsi="Times New Roman" w:cs="Times New Roman"/>
        </w:rPr>
        <w:sectPr w:rsidR="00866F99" w:rsidRPr="00DB5227" w:rsidSect="00866F99">
          <w:headerReference w:type="even" r:id="rId9"/>
          <w:headerReference w:type="default" r:id="rId10"/>
          <w:footerReference w:type="even" r:id="rId11"/>
          <w:footerReference w:type="default" r:id="rId12"/>
          <w:headerReference w:type="first" r:id="rId13"/>
          <w:footerReference w:type="first" r:id="rId14"/>
          <w:pgSz w:w="11910" w:h="16840"/>
          <w:pgMar w:top="1701" w:right="1701" w:bottom="1701" w:left="1701" w:header="720" w:footer="720" w:gutter="0"/>
          <w:cols w:space="286"/>
          <w:docGrid w:linePitch="299"/>
        </w:sectPr>
      </w:pPr>
    </w:p>
    <w:p w14:paraId="4A6CF23E" w14:textId="77777777" w:rsidR="00866F99" w:rsidRPr="00DB5227" w:rsidRDefault="00866F99" w:rsidP="00193D39">
      <w:pPr>
        <w:pStyle w:val="HTMLPreformatted"/>
        <w:rPr>
          <w:rStyle w:val="y2iqfc"/>
          <w:rFonts w:ascii="Times New Roman" w:eastAsiaTheme="majorEastAsia" w:hAnsi="Times New Roman" w:cs="Times New Roman"/>
          <w:sz w:val="22"/>
          <w:szCs w:val="22"/>
          <w:lang w:val="en"/>
        </w:rPr>
      </w:pPr>
    </w:p>
    <w:sectPr w:rsidR="00866F99" w:rsidRPr="00DB5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4514" w14:textId="77777777" w:rsidR="004C2606" w:rsidRDefault="004C2606" w:rsidP="00D37E5B">
      <w:pPr>
        <w:spacing w:after="0" w:line="240" w:lineRule="auto"/>
      </w:pPr>
      <w:r>
        <w:separator/>
      </w:r>
    </w:p>
  </w:endnote>
  <w:endnote w:type="continuationSeparator" w:id="0">
    <w:p w14:paraId="4A917C0B" w14:textId="77777777" w:rsidR="004C2606" w:rsidRDefault="004C2606" w:rsidP="00D3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5E5F" w14:textId="77777777" w:rsidR="00D37E5B" w:rsidRDefault="00D3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017C" w14:textId="77777777" w:rsidR="00D37E5B" w:rsidRDefault="00D37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8C78" w14:textId="77777777" w:rsidR="00D37E5B" w:rsidRDefault="00D3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52DA" w14:textId="77777777" w:rsidR="004C2606" w:rsidRDefault="004C2606" w:rsidP="00D37E5B">
      <w:pPr>
        <w:spacing w:after="0" w:line="240" w:lineRule="auto"/>
      </w:pPr>
      <w:r>
        <w:separator/>
      </w:r>
    </w:p>
  </w:footnote>
  <w:footnote w:type="continuationSeparator" w:id="0">
    <w:p w14:paraId="18840FB8" w14:textId="77777777" w:rsidR="004C2606" w:rsidRDefault="004C2606" w:rsidP="00D37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9532" w14:textId="12AA6193" w:rsidR="00D37E5B" w:rsidRDefault="00000000">
    <w:pPr>
      <w:pStyle w:val="Header"/>
    </w:pPr>
    <w:r>
      <w:rPr>
        <w:noProof/>
      </w:rPr>
      <w:pict w14:anchorId="6CB26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6" o:spid="_x0000_s1026" type="#_x0000_t136" style="position:absolute;margin-left:0;margin-top:0;width:504.55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6A47" w14:textId="3E5FBD5E" w:rsidR="00D37E5B" w:rsidRDefault="00000000">
    <w:pPr>
      <w:pStyle w:val="Header"/>
    </w:pPr>
    <w:r>
      <w:rPr>
        <w:noProof/>
      </w:rPr>
      <w:pict w14:anchorId="01FF6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7" o:spid="_x0000_s1027" type="#_x0000_t136" style="position:absolute;margin-left:0;margin-top:0;width:504.55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E36" w14:textId="0171562F" w:rsidR="00D37E5B" w:rsidRDefault="00000000">
    <w:pPr>
      <w:pStyle w:val="Header"/>
    </w:pPr>
    <w:r>
      <w:rPr>
        <w:noProof/>
      </w:rPr>
      <w:pict w14:anchorId="38431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5" o:spid="_x0000_s1025" type="#_x0000_t136" style="position:absolute;margin-left:0;margin-top:0;width:504.55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1A20"/>
    <w:multiLevelType w:val="hybridMultilevel"/>
    <w:tmpl w:val="8F7CF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7D3413"/>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3D505A"/>
    <w:multiLevelType w:val="hybridMultilevel"/>
    <w:tmpl w:val="C5E21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F03BC"/>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7B2E7C"/>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7298628">
    <w:abstractNumId w:val="2"/>
  </w:num>
  <w:num w:numId="2" w16cid:durableId="2125151847">
    <w:abstractNumId w:val="0"/>
  </w:num>
  <w:num w:numId="3" w16cid:durableId="1417358229">
    <w:abstractNumId w:val="4"/>
  </w:num>
  <w:num w:numId="4" w16cid:durableId="44184377">
    <w:abstractNumId w:val="1"/>
  </w:num>
  <w:num w:numId="5" w16cid:durableId="2753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zNDc3NzM1tjC1NLBQ0lEKTi0uzszPAykwrgUA2+kw9SwAAAA="/>
  </w:docVars>
  <w:rsids>
    <w:rsidRoot w:val="00BA6C97"/>
    <w:rsid w:val="000255D0"/>
    <w:rsid w:val="00092E4C"/>
    <w:rsid w:val="00096949"/>
    <w:rsid w:val="000E6436"/>
    <w:rsid w:val="00177B4F"/>
    <w:rsid w:val="00181718"/>
    <w:rsid w:val="00193D39"/>
    <w:rsid w:val="0027436A"/>
    <w:rsid w:val="004B6C89"/>
    <w:rsid w:val="004C2606"/>
    <w:rsid w:val="00547FB6"/>
    <w:rsid w:val="00555088"/>
    <w:rsid w:val="00585BC1"/>
    <w:rsid w:val="005B214E"/>
    <w:rsid w:val="00673F41"/>
    <w:rsid w:val="006A06AA"/>
    <w:rsid w:val="006E324D"/>
    <w:rsid w:val="00712FA1"/>
    <w:rsid w:val="00811CD1"/>
    <w:rsid w:val="00866F99"/>
    <w:rsid w:val="008B36EA"/>
    <w:rsid w:val="008B6317"/>
    <w:rsid w:val="00975D60"/>
    <w:rsid w:val="00AE06ED"/>
    <w:rsid w:val="00B63F55"/>
    <w:rsid w:val="00BA6C97"/>
    <w:rsid w:val="00D126D2"/>
    <w:rsid w:val="00D37E5B"/>
    <w:rsid w:val="00D4634F"/>
    <w:rsid w:val="00DB5227"/>
    <w:rsid w:val="00DD2147"/>
    <w:rsid w:val="00DF5477"/>
    <w:rsid w:val="00E34634"/>
    <w:rsid w:val="00E61128"/>
    <w:rsid w:val="00E93652"/>
    <w:rsid w:val="00F2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271A"/>
  <w15:chartTrackingRefBased/>
  <w15:docId w15:val="{2F83335B-4D39-4BDC-A4C3-1B09A47E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C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C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C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C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C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C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C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C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C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C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C97"/>
    <w:rPr>
      <w:rFonts w:eastAsiaTheme="majorEastAsia" w:cstheme="majorBidi"/>
      <w:color w:val="272727" w:themeColor="text1" w:themeTint="D8"/>
    </w:rPr>
  </w:style>
  <w:style w:type="paragraph" w:styleId="Title">
    <w:name w:val="Title"/>
    <w:basedOn w:val="Normal"/>
    <w:next w:val="Normal"/>
    <w:link w:val="TitleChar"/>
    <w:uiPriority w:val="10"/>
    <w:qFormat/>
    <w:rsid w:val="00BA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C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C97"/>
    <w:rPr>
      <w:i/>
      <w:iCs/>
      <w:color w:val="404040" w:themeColor="text1" w:themeTint="BF"/>
    </w:rPr>
  </w:style>
  <w:style w:type="paragraph" w:styleId="ListParagraph">
    <w:name w:val="List Paragraph"/>
    <w:basedOn w:val="Normal"/>
    <w:uiPriority w:val="34"/>
    <w:qFormat/>
    <w:rsid w:val="00BA6C97"/>
    <w:pPr>
      <w:ind w:left="720"/>
      <w:contextualSpacing/>
    </w:pPr>
  </w:style>
  <w:style w:type="character" w:styleId="IntenseEmphasis">
    <w:name w:val="Intense Emphasis"/>
    <w:basedOn w:val="DefaultParagraphFont"/>
    <w:uiPriority w:val="21"/>
    <w:qFormat/>
    <w:rsid w:val="00BA6C97"/>
    <w:rPr>
      <w:i/>
      <w:iCs/>
      <w:color w:val="365F91" w:themeColor="accent1" w:themeShade="BF"/>
    </w:rPr>
  </w:style>
  <w:style w:type="paragraph" w:styleId="IntenseQuote">
    <w:name w:val="Intense Quote"/>
    <w:basedOn w:val="Normal"/>
    <w:next w:val="Normal"/>
    <w:link w:val="IntenseQuoteChar"/>
    <w:uiPriority w:val="30"/>
    <w:qFormat/>
    <w:rsid w:val="00BA6C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C97"/>
    <w:rPr>
      <w:i/>
      <w:iCs/>
      <w:color w:val="365F91" w:themeColor="accent1" w:themeShade="BF"/>
    </w:rPr>
  </w:style>
  <w:style w:type="character" w:styleId="IntenseReference">
    <w:name w:val="Intense Reference"/>
    <w:basedOn w:val="DefaultParagraphFont"/>
    <w:uiPriority w:val="32"/>
    <w:qFormat/>
    <w:rsid w:val="00BA6C97"/>
    <w:rPr>
      <w:b/>
      <w:bCs/>
      <w:smallCaps/>
      <w:color w:val="365F91" w:themeColor="accent1" w:themeShade="BF"/>
      <w:spacing w:val="5"/>
    </w:rPr>
  </w:style>
  <w:style w:type="paragraph" w:styleId="HTMLPreformatted">
    <w:name w:val="HTML Preformatted"/>
    <w:basedOn w:val="Normal"/>
    <w:link w:val="HTMLPreformattedChar"/>
    <w:uiPriority w:val="99"/>
    <w:unhideWhenUsed/>
    <w:rsid w:val="00BA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C97"/>
    <w:rPr>
      <w:rFonts w:ascii="Courier New" w:eastAsia="Times New Roman" w:hAnsi="Courier New" w:cs="Courier New"/>
      <w:sz w:val="20"/>
      <w:szCs w:val="20"/>
    </w:rPr>
  </w:style>
  <w:style w:type="character" w:customStyle="1" w:styleId="y2iqfc">
    <w:name w:val="y2iqfc"/>
    <w:basedOn w:val="DefaultParagraphFont"/>
    <w:rsid w:val="00BA6C97"/>
  </w:style>
  <w:style w:type="table" w:styleId="TableGrid">
    <w:name w:val="Table Grid"/>
    <w:basedOn w:val="TableNormal"/>
    <w:uiPriority w:val="39"/>
    <w:rsid w:val="005B214E"/>
    <w:pPr>
      <w:spacing w:after="0" w:line="240" w:lineRule="auto"/>
    </w:pPr>
    <w:rPr>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227"/>
    <w:rPr>
      <w:color w:val="0000FF" w:themeColor="hyperlink"/>
      <w:u w:val="single"/>
    </w:rPr>
  </w:style>
  <w:style w:type="character" w:customStyle="1" w:styleId="Bodytext2Exact">
    <w:name w:val="Body text (2) Exact"/>
    <w:basedOn w:val="DefaultParagraphFont"/>
    <w:rsid w:val="00DB5227"/>
    <w:rPr>
      <w:rFonts w:ascii="Times New Roman" w:eastAsia="Times New Roman" w:hAnsi="Times New Roman" w:cs="Times New Roman"/>
      <w:b w:val="0"/>
      <w:bCs w:val="0"/>
      <w:i w:val="0"/>
      <w:iCs w:val="0"/>
      <w:smallCaps w:val="0"/>
      <w:strike w:val="0"/>
      <w:u w:val="none"/>
    </w:rPr>
  </w:style>
  <w:style w:type="paragraph" w:styleId="Header">
    <w:name w:val="header"/>
    <w:basedOn w:val="Normal"/>
    <w:link w:val="HeaderChar"/>
    <w:uiPriority w:val="99"/>
    <w:unhideWhenUsed/>
    <w:rsid w:val="00DB5227"/>
    <w:pPr>
      <w:tabs>
        <w:tab w:val="center" w:pos="4513"/>
        <w:tab w:val="right" w:pos="9026"/>
      </w:tabs>
      <w:spacing w:after="0" w:line="240" w:lineRule="auto"/>
    </w:pPr>
    <w:rPr>
      <w:kern w:val="2"/>
      <w:szCs w:val="28"/>
      <w:lang w:val="id-ID" w:bidi="th-TH"/>
      <w14:ligatures w14:val="standardContextual"/>
    </w:rPr>
  </w:style>
  <w:style w:type="character" w:customStyle="1" w:styleId="HeaderChar">
    <w:name w:val="Header Char"/>
    <w:basedOn w:val="DefaultParagraphFont"/>
    <w:link w:val="Header"/>
    <w:uiPriority w:val="99"/>
    <w:rsid w:val="00DB5227"/>
    <w:rPr>
      <w:kern w:val="2"/>
      <w:szCs w:val="28"/>
      <w:lang w:val="id-ID" w:bidi="th-TH"/>
      <w14:ligatures w14:val="standardContextual"/>
    </w:rPr>
  </w:style>
  <w:style w:type="character" w:styleId="UnresolvedMention">
    <w:name w:val="Unresolved Mention"/>
    <w:basedOn w:val="DefaultParagraphFont"/>
    <w:uiPriority w:val="99"/>
    <w:semiHidden/>
    <w:unhideWhenUsed/>
    <w:rsid w:val="00DB5227"/>
    <w:rPr>
      <w:color w:val="605E5C"/>
      <w:shd w:val="clear" w:color="auto" w:fill="E1DFDD"/>
    </w:rPr>
  </w:style>
  <w:style w:type="paragraph" w:styleId="Footer">
    <w:name w:val="footer"/>
    <w:basedOn w:val="Normal"/>
    <w:link w:val="FooterChar"/>
    <w:uiPriority w:val="99"/>
    <w:unhideWhenUsed/>
    <w:rsid w:val="00D37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13</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aderemi Adewale</cp:lastModifiedBy>
  <cp:revision>20</cp:revision>
  <dcterms:created xsi:type="dcterms:W3CDTF">2025-11-26T22:53:00Z</dcterms:created>
  <dcterms:modified xsi:type="dcterms:W3CDTF">2026-01-10T11:35:00Z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4db0976f-5078-4dba-a50c-c8c155114c07</vt:lpwstr>
  </property>
</Properties>
</file>