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3C1C8" w14:textId="0E4179EE" w:rsidR="00754C9A" w:rsidRPr="0060754C" w:rsidRDefault="0060754C" w:rsidP="00441B6F">
      <w:pPr>
        <w:pStyle w:val="Title"/>
        <w:spacing w:after="0"/>
        <w:jc w:val="both"/>
        <w:rPr>
          <w:rFonts w:ascii="Arial" w:hAnsi="Arial" w:cs="Arial"/>
          <w:sz w:val="28"/>
          <w:szCs w:val="16"/>
          <w:u w:val="single"/>
        </w:rPr>
      </w:pPr>
      <w:r w:rsidRPr="0060754C">
        <w:rPr>
          <w:rFonts w:ascii="Arial" w:hAnsi="Arial" w:cs="Arial"/>
          <w:sz w:val="28"/>
          <w:szCs w:val="16"/>
          <w:u w:val="single"/>
        </w:rPr>
        <w:t>Short Research Article</w:t>
      </w:r>
    </w:p>
    <w:p w14:paraId="04DD6005" w14:textId="77777777" w:rsidR="0060754C" w:rsidRDefault="00D54673" w:rsidP="0095578F">
      <w:pPr>
        <w:pStyle w:val="Author"/>
        <w:spacing w:line="240" w:lineRule="auto"/>
        <w:rPr>
          <w:rFonts w:ascii="Arial" w:hAnsi="Arial" w:cs="Arial"/>
          <w:bCs/>
          <w:iCs/>
          <w:kern w:val="28"/>
          <w:sz w:val="36"/>
        </w:rPr>
      </w:pPr>
      <w:r>
        <w:rPr>
          <w:rFonts w:ascii="Arial" w:hAnsi="Arial" w:cs="Arial"/>
          <w:bCs/>
          <w:iCs/>
          <w:kern w:val="28"/>
          <w:sz w:val="36"/>
        </w:rPr>
        <w:t xml:space="preserve"> </w:t>
      </w:r>
    </w:p>
    <w:p w14:paraId="4ABDD69E" w14:textId="43468EB4" w:rsidR="00A258C3" w:rsidRDefault="004D63DB" w:rsidP="0095578F">
      <w:pPr>
        <w:pStyle w:val="Author"/>
        <w:spacing w:line="240" w:lineRule="auto"/>
        <w:rPr>
          <w:rFonts w:ascii="Arial" w:hAnsi="Arial" w:cs="Arial"/>
          <w:bCs/>
          <w:iCs/>
          <w:kern w:val="28"/>
          <w:sz w:val="36"/>
        </w:rPr>
      </w:pPr>
      <w:r w:rsidRPr="004D63DB">
        <w:rPr>
          <w:rFonts w:ascii="Arial" w:hAnsi="Arial" w:cs="Arial"/>
          <w:bCs/>
          <w:iCs/>
          <w:kern w:val="28"/>
          <w:sz w:val="36"/>
        </w:rPr>
        <w:t xml:space="preserve">Spatial </w:t>
      </w:r>
      <w:r w:rsidR="00BD796F">
        <w:rPr>
          <w:rFonts w:ascii="Arial" w:hAnsi="Arial" w:cs="Arial"/>
          <w:bCs/>
          <w:iCs/>
          <w:kern w:val="28"/>
          <w:sz w:val="36"/>
        </w:rPr>
        <w:t>Assessment</w:t>
      </w:r>
      <w:r w:rsidRPr="004D63DB">
        <w:rPr>
          <w:rFonts w:ascii="Arial" w:hAnsi="Arial" w:cs="Arial"/>
          <w:bCs/>
          <w:iCs/>
          <w:kern w:val="28"/>
          <w:sz w:val="36"/>
        </w:rPr>
        <w:t xml:space="preserve"> of Physicochemical and Microbiological </w:t>
      </w:r>
      <w:r w:rsidR="00BD796F">
        <w:rPr>
          <w:rFonts w:ascii="Arial" w:hAnsi="Arial" w:cs="Arial"/>
          <w:bCs/>
          <w:iCs/>
          <w:kern w:val="28"/>
          <w:sz w:val="36"/>
        </w:rPr>
        <w:t>Water Quality</w:t>
      </w:r>
      <w:r w:rsidR="00D877E4">
        <w:rPr>
          <w:rFonts w:ascii="Arial" w:hAnsi="Arial" w:cs="Arial"/>
          <w:bCs/>
          <w:iCs/>
          <w:kern w:val="28"/>
          <w:sz w:val="36"/>
        </w:rPr>
        <w:t xml:space="preserve"> </w:t>
      </w:r>
      <w:r w:rsidRPr="004D63DB">
        <w:rPr>
          <w:rFonts w:ascii="Arial" w:hAnsi="Arial" w:cs="Arial"/>
          <w:bCs/>
          <w:iCs/>
          <w:kern w:val="28"/>
          <w:sz w:val="36"/>
        </w:rPr>
        <w:t xml:space="preserve">in </w:t>
      </w:r>
      <w:proofErr w:type="spellStart"/>
      <w:r w:rsidRPr="004D63DB">
        <w:rPr>
          <w:rFonts w:ascii="Arial" w:hAnsi="Arial" w:cs="Arial"/>
          <w:bCs/>
          <w:iCs/>
          <w:kern w:val="28"/>
          <w:sz w:val="36"/>
        </w:rPr>
        <w:t>Laligan</w:t>
      </w:r>
      <w:proofErr w:type="spellEnd"/>
      <w:r w:rsidRPr="004D63DB">
        <w:rPr>
          <w:rFonts w:ascii="Arial" w:hAnsi="Arial" w:cs="Arial"/>
          <w:bCs/>
          <w:iCs/>
          <w:kern w:val="28"/>
          <w:sz w:val="36"/>
        </w:rPr>
        <w:t xml:space="preserve"> River</w:t>
      </w:r>
      <w:r>
        <w:rPr>
          <w:rFonts w:ascii="Arial" w:hAnsi="Arial" w:cs="Arial"/>
          <w:bCs/>
          <w:iCs/>
          <w:kern w:val="28"/>
          <w:sz w:val="36"/>
        </w:rPr>
        <w:t>, Valencia City, Bukidnon, Philippines</w:t>
      </w:r>
    </w:p>
    <w:p w14:paraId="6FDF57BE" w14:textId="77777777" w:rsidR="00997B8D" w:rsidRPr="00790ADA" w:rsidRDefault="00997B8D" w:rsidP="00441B6F">
      <w:pPr>
        <w:pStyle w:val="Author"/>
        <w:spacing w:line="240" w:lineRule="auto"/>
        <w:jc w:val="both"/>
        <w:rPr>
          <w:rFonts w:ascii="Arial" w:hAnsi="Arial" w:cs="Arial"/>
          <w:sz w:val="36"/>
        </w:rPr>
      </w:pPr>
    </w:p>
    <w:p w14:paraId="4B61E6A5" w14:textId="77777777" w:rsidR="00D02890" w:rsidRDefault="00D02890" w:rsidP="00997B8D">
      <w:pPr>
        <w:pStyle w:val="Affiliation"/>
        <w:spacing w:after="0" w:line="240" w:lineRule="auto"/>
        <w:rPr>
          <w:rFonts w:ascii="Arial" w:hAnsi="Arial" w:cs="Arial"/>
        </w:rPr>
      </w:pPr>
    </w:p>
    <w:p w14:paraId="1B910FDE" w14:textId="77777777" w:rsidR="00D02890" w:rsidRDefault="00D02890" w:rsidP="00997B8D">
      <w:pPr>
        <w:pStyle w:val="Affiliation"/>
        <w:spacing w:after="0" w:line="240" w:lineRule="auto"/>
        <w:rPr>
          <w:rFonts w:ascii="Arial" w:hAnsi="Arial" w:cs="Arial"/>
        </w:rPr>
      </w:pPr>
    </w:p>
    <w:p w14:paraId="03CE8549" w14:textId="05DA1CD7" w:rsidR="00DA47F7" w:rsidRDefault="00DA47F7" w:rsidP="00997B8D">
      <w:pPr>
        <w:pStyle w:val="Affiliation"/>
        <w:spacing w:after="0" w:line="240" w:lineRule="auto"/>
        <w:rPr>
          <w:rFonts w:ascii="Arial" w:hAnsi="Arial" w:cs="Arial"/>
        </w:rPr>
      </w:pPr>
      <w:r>
        <w:rPr>
          <w:rFonts w:ascii="Arial" w:hAnsi="Arial" w:cs="Arial"/>
        </w:rPr>
        <w:t xml:space="preserve"> </w:t>
      </w:r>
    </w:p>
    <w:p w14:paraId="1C0D9689" w14:textId="77777777" w:rsidR="002C57D2" w:rsidRPr="00FB3A86" w:rsidRDefault="002C57D2" w:rsidP="00441B6F">
      <w:pPr>
        <w:pStyle w:val="Affiliation"/>
        <w:spacing w:after="0" w:line="240" w:lineRule="auto"/>
        <w:jc w:val="both"/>
        <w:rPr>
          <w:rFonts w:ascii="Arial" w:hAnsi="Arial" w:cs="Arial"/>
        </w:rPr>
      </w:pPr>
    </w:p>
    <w:p w14:paraId="5054B892" w14:textId="77777777" w:rsidR="00B01FCD" w:rsidRPr="00FB3A86" w:rsidRDefault="00C26A26" w:rsidP="00441B6F">
      <w:pPr>
        <w:pStyle w:val="Copyright"/>
        <w:spacing w:after="0" w:line="240" w:lineRule="auto"/>
        <w:jc w:val="both"/>
        <w:rPr>
          <w:rFonts w:ascii="Arial" w:hAnsi="Arial" w:cs="Arial"/>
        </w:rPr>
        <w:sectPr w:rsidR="00B01FCD" w:rsidRPr="00FB3A86" w:rsidSect="00D028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A4785D4" wp14:editId="24E608BC">
                <wp:extent cx="5303520" cy="0"/>
                <wp:effectExtent l="11430" t="17780" r="952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D2D9E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D3998B9"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05A4C95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FC051D0" w14:textId="77777777" w:rsidTr="00997B8D">
        <w:trPr>
          <w:trHeight w:val="3950"/>
        </w:trPr>
        <w:tc>
          <w:tcPr>
            <w:tcW w:w="9576" w:type="dxa"/>
            <w:shd w:val="clear" w:color="auto" w:fill="F2F2F2"/>
          </w:tcPr>
          <w:p w14:paraId="1DCC4002" w14:textId="77777777" w:rsidR="00505F06" w:rsidRPr="00BA1B01" w:rsidRDefault="00F13EB7" w:rsidP="005E4E6F">
            <w:pPr>
              <w:pStyle w:val="Body"/>
              <w:spacing w:after="0"/>
              <w:rPr>
                <w:rFonts w:ascii="Arial" w:eastAsia="Calibri" w:hAnsi="Arial" w:cs="Arial"/>
                <w:szCs w:val="22"/>
              </w:rPr>
            </w:pPr>
            <w:r w:rsidRPr="00F13EB7">
              <w:rPr>
                <w:rFonts w:ascii="Arial" w:eastAsia="Calibri" w:hAnsi="Arial" w:cs="Arial"/>
                <w:szCs w:val="22"/>
              </w:rPr>
              <w:t xml:space="preserve">Rivers are crucial global freshwater resources, but human activities often cause degradation, emphasizing the need for water quality monitoring. This study used a descriptive design to assess the health of the Laligan River in Valencia City, Bukidnon, analyzing physicochemical and microbiological parameters at its upstream, midstream, and downstream sections. The analysis was benchmarked against the </w:t>
            </w:r>
            <w:commentRangeStart w:id="0"/>
            <w:r w:rsidRPr="00F13EB7">
              <w:rPr>
                <w:rFonts w:ascii="Arial" w:eastAsia="Calibri" w:hAnsi="Arial" w:cs="Arial"/>
                <w:szCs w:val="22"/>
              </w:rPr>
              <w:t>DENR</w:t>
            </w:r>
            <w:commentRangeEnd w:id="0"/>
            <w:r w:rsidR="00A9013C">
              <w:rPr>
                <w:rStyle w:val="CommentReference"/>
                <w:rFonts w:ascii="Times New Roman" w:hAnsi="Times New Roman"/>
                <w:lang w:val="nb-NO" w:eastAsia="nb-NO"/>
              </w:rPr>
              <w:commentReference w:id="0"/>
            </w:r>
            <w:r w:rsidRPr="00F13EB7">
              <w:rPr>
                <w:rFonts w:ascii="Arial" w:eastAsia="Calibri" w:hAnsi="Arial" w:cs="Arial"/>
                <w:szCs w:val="22"/>
              </w:rPr>
              <w:t xml:space="preserve"> Class C water standards. Physicochemical</w:t>
            </w:r>
            <w:bookmarkStart w:id="1" w:name="_GoBack"/>
            <w:bookmarkEnd w:id="1"/>
            <w:r w:rsidRPr="00F13EB7">
              <w:rPr>
                <w:rFonts w:ascii="Arial" w:eastAsia="Calibri" w:hAnsi="Arial" w:cs="Arial"/>
                <w:szCs w:val="22"/>
              </w:rPr>
              <w:t xml:space="preserve"> results were mixed. Parameters like Total Dissolved Solids (188.41 mg/L), Turbidity (0.78 NTU), pH (7.76), and Total Alkalinity (98.11 mg/L) were compliant. However, two parameters exceeded the limit: Nitrate (8.81 mg/L average, limit 7 mg/L) and the toxic heavy metal Cadmium (0.006 mg/L average, limit 0.005 mg/L), with both peaking midstream. Most critically, the average Dissolved Oxygen (DO) was 4.48 mg/L, falling below the 5.0 mg/L minimum standard, decrease sharply midstream and downstream due to likely organic pollution. The microbiological quality showed severe contamination. Fecal Coliforms (FC) were already non-compliant upstream at 4,000 MPN/100 mL (limit 400 MPN/100 mL). This concentration dramatically escalated to 17,000 MPN/100 mL midstream and downstream, exceeding the standard by over 42 times and indicating a massive influx of domestic or animal waste. Total Coliforms (TC) mirrored this trend, soaring from a compliant 3,000 MPN/100 mL upstream to 15,000 MPN/100 mL mid- and downstream. While basic parameters are stable, the combination of low DO, elevated Nitrate and Cadmium, and overwhelmingly high Fecal Coliform counts renders the river unsuitable for Class C uses and poses a grave public health risk</w:t>
            </w:r>
            <w:r>
              <w:rPr>
                <w:rFonts w:ascii="Arial" w:eastAsia="Calibri" w:hAnsi="Arial" w:cs="Arial"/>
                <w:szCs w:val="22"/>
              </w:rPr>
              <w:t>.</w:t>
            </w:r>
          </w:p>
        </w:tc>
      </w:tr>
    </w:tbl>
    <w:p w14:paraId="500F5E2C" w14:textId="77777777" w:rsidR="00636EB2" w:rsidRDefault="00636EB2" w:rsidP="00441B6F">
      <w:pPr>
        <w:pStyle w:val="Body"/>
        <w:spacing w:after="0"/>
        <w:rPr>
          <w:rFonts w:ascii="Arial" w:hAnsi="Arial" w:cs="Arial"/>
          <w:i/>
        </w:rPr>
      </w:pPr>
    </w:p>
    <w:p w14:paraId="789C8E01" w14:textId="77777777" w:rsidR="00A24E7E" w:rsidRDefault="00A24E7E" w:rsidP="00441B6F">
      <w:pPr>
        <w:pStyle w:val="Body"/>
        <w:spacing w:after="0"/>
        <w:rPr>
          <w:rFonts w:ascii="Arial" w:hAnsi="Arial" w:cs="Arial"/>
          <w:i/>
        </w:rPr>
      </w:pPr>
      <w:r>
        <w:rPr>
          <w:rFonts w:ascii="Arial" w:hAnsi="Arial" w:cs="Arial"/>
          <w:i/>
        </w:rPr>
        <w:t xml:space="preserve">Keywords: </w:t>
      </w:r>
      <w:r w:rsidR="00F13EB7" w:rsidRPr="00F13EB7">
        <w:rPr>
          <w:rFonts w:ascii="Arial" w:hAnsi="Arial" w:cs="Arial"/>
          <w:i/>
        </w:rPr>
        <w:t>River health, physicochemical parameters, microbiological quality, water quality assessment, total suspended solids</w:t>
      </w:r>
    </w:p>
    <w:p w14:paraId="2900BC45" w14:textId="77777777" w:rsidR="00505F06" w:rsidRPr="00A24E7E" w:rsidRDefault="00505F06" w:rsidP="00441B6F">
      <w:pPr>
        <w:pStyle w:val="Body"/>
        <w:spacing w:after="0"/>
        <w:rPr>
          <w:rFonts w:ascii="Arial" w:hAnsi="Arial" w:cs="Arial"/>
          <w:i/>
        </w:rPr>
      </w:pPr>
    </w:p>
    <w:p w14:paraId="1C4358F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EB7E007" w14:textId="77777777" w:rsidR="00790ADA" w:rsidRPr="00FB3A86" w:rsidRDefault="00790ADA" w:rsidP="00441B6F">
      <w:pPr>
        <w:pStyle w:val="AbstHead"/>
        <w:spacing w:after="0"/>
        <w:jc w:val="both"/>
        <w:rPr>
          <w:rFonts w:ascii="Arial" w:hAnsi="Arial" w:cs="Arial"/>
        </w:rPr>
      </w:pPr>
    </w:p>
    <w:p w14:paraId="4F1A5B83" w14:textId="77777777" w:rsidR="00F13EB7" w:rsidRPr="00F13EB7" w:rsidRDefault="00F13EB7" w:rsidP="00F13EB7">
      <w:pPr>
        <w:pStyle w:val="Body"/>
        <w:rPr>
          <w:rFonts w:ascii="Arial" w:hAnsi="Arial" w:cs="Arial"/>
        </w:rPr>
      </w:pPr>
      <w:r w:rsidRPr="00F13EB7">
        <w:rPr>
          <w:rFonts w:ascii="Arial" w:hAnsi="Arial" w:cs="Arial"/>
        </w:rPr>
        <w:t>Rivers are important supply of freshwater resources in the world, supporting varied aquatic habitats, agriculture, and human populations. In recent years, it has become more susceptible to degradation due to an unbalanced interaction between natural processes and growing human activity, including sewage discharge, agricultural runoff, and untreated industrial waste (Mustapha &amp; Aris, 2012; Nehme et al., 2021). It has an impact on the water's quality and usefulness, presenting serious threats to ecological integrity and public health. Effective resource conservation and management demand the thorough monitoring of river water quality (Liang et al., 2025). This is primarily done by assessing the water's physicochemical and microbial properties.</w:t>
      </w:r>
    </w:p>
    <w:p w14:paraId="41358ACE" w14:textId="77777777" w:rsidR="00F13EB7" w:rsidRPr="00F13EB7" w:rsidRDefault="00F13EB7" w:rsidP="00F13EB7">
      <w:pPr>
        <w:pStyle w:val="Body"/>
        <w:rPr>
          <w:rFonts w:ascii="Arial" w:hAnsi="Arial" w:cs="Arial"/>
        </w:rPr>
      </w:pPr>
      <w:r w:rsidRPr="00F13EB7">
        <w:rPr>
          <w:rFonts w:ascii="Arial" w:hAnsi="Arial" w:cs="Arial"/>
        </w:rPr>
        <w:lastRenderedPageBreak/>
        <w:t xml:space="preserve">In the agricultural province of Bukidnon, studies on the physicochemical and microbiological quality assessment of rivers show a variability in water quality parameters influenced heavily by agricultural activities, anthropogenic factors, and natural conditions. Current water quality studies on rivers in Bukidnon and Mindanao present a complex scenario where physicochemical health is often better than microbiological safety, particularly in areas impacted by human activity. Specifically, research on the Sabangan River in Malaybalay City, a tributary of the </w:t>
      </w:r>
      <w:proofErr w:type="spellStart"/>
      <w:r w:rsidRPr="00F13EB7">
        <w:rPr>
          <w:rFonts w:ascii="Arial" w:hAnsi="Arial" w:cs="Arial"/>
        </w:rPr>
        <w:t>Tagoloan</w:t>
      </w:r>
      <w:proofErr w:type="spellEnd"/>
      <w:r w:rsidRPr="00F13EB7">
        <w:rPr>
          <w:rFonts w:ascii="Arial" w:hAnsi="Arial" w:cs="Arial"/>
        </w:rPr>
        <w:t xml:space="preserve"> River, showed that its physicochemical parameters, including Total Dissolved Solids (TDS), Dissolved Oxygen (DO), pH, turbidity, and total alkalinity, were generally within the Department of Environment and Natural Resources (DENR) Class C standards for recreational use (Redoble et al., 2025). However, this localized assessment of physical and chemical health contrasts with the broader pattern observed in other Bukidnon rivers, such as the Tigua tributaries of the </w:t>
      </w:r>
      <w:proofErr w:type="spellStart"/>
      <w:r w:rsidRPr="00F13EB7">
        <w:rPr>
          <w:rFonts w:ascii="Arial" w:hAnsi="Arial" w:cs="Arial"/>
        </w:rPr>
        <w:t>Pulangi</w:t>
      </w:r>
      <w:proofErr w:type="spellEnd"/>
      <w:r w:rsidRPr="00F13EB7">
        <w:rPr>
          <w:rFonts w:ascii="Arial" w:hAnsi="Arial" w:cs="Arial"/>
        </w:rPr>
        <w:t xml:space="preserve"> River (</w:t>
      </w:r>
      <w:proofErr w:type="spellStart"/>
      <w:r w:rsidRPr="00F13EB7">
        <w:rPr>
          <w:rFonts w:ascii="Arial" w:hAnsi="Arial" w:cs="Arial"/>
        </w:rPr>
        <w:t>Galarpe</w:t>
      </w:r>
      <w:proofErr w:type="spellEnd"/>
      <w:r w:rsidRPr="00F13EB7">
        <w:rPr>
          <w:rFonts w:ascii="Arial" w:hAnsi="Arial" w:cs="Arial"/>
        </w:rPr>
        <w:t xml:space="preserve"> et al., 2017). While fundamental parameters like pH and temperature remain stable, the presence of organic matter discharges and agricultural runoff in populated areas leads to concerning issues like low dissolved oxygen (DO), elevated levels of TDS and conductivity, increased turbidity, and higher nitrate concentrations, signaling ecosystem stress.</w:t>
      </w:r>
    </w:p>
    <w:p w14:paraId="3E1ACEFD" w14:textId="77777777" w:rsidR="00F13EB7" w:rsidRPr="00F13EB7" w:rsidRDefault="00F13EB7" w:rsidP="00F13EB7">
      <w:pPr>
        <w:pStyle w:val="Body"/>
        <w:rPr>
          <w:rFonts w:ascii="Arial" w:hAnsi="Arial" w:cs="Arial"/>
        </w:rPr>
      </w:pPr>
      <w:r w:rsidRPr="00F13EB7">
        <w:rPr>
          <w:rFonts w:ascii="Arial" w:hAnsi="Arial" w:cs="Arial"/>
        </w:rPr>
        <w:t xml:space="preserve">When the focus shifts to the larger </w:t>
      </w:r>
      <w:proofErr w:type="spellStart"/>
      <w:r w:rsidRPr="00F13EB7">
        <w:rPr>
          <w:rFonts w:ascii="Arial" w:hAnsi="Arial" w:cs="Arial"/>
        </w:rPr>
        <w:t>Tagoloan</w:t>
      </w:r>
      <w:proofErr w:type="spellEnd"/>
      <w:r w:rsidRPr="00F13EB7">
        <w:rPr>
          <w:rFonts w:ascii="Arial" w:hAnsi="Arial" w:cs="Arial"/>
        </w:rPr>
        <w:t xml:space="preserve"> River system, including the area of Sabangan, a more concerning microbiological picture emerges. An analysis of the </w:t>
      </w:r>
      <w:proofErr w:type="spellStart"/>
      <w:r w:rsidRPr="00F13EB7">
        <w:rPr>
          <w:rFonts w:ascii="Arial" w:hAnsi="Arial" w:cs="Arial"/>
        </w:rPr>
        <w:t>Tagoloan</w:t>
      </w:r>
      <w:proofErr w:type="spellEnd"/>
      <w:r w:rsidRPr="00F13EB7">
        <w:rPr>
          <w:rFonts w:ascii="Arial" w:hAnsi="Arial" w:cs="Arial"/>
        </w:rPr>
        <w:t xml:space="preserve"> River in </w:t>
      </w:r>
      <w:proofErr w:type="spellStart"/>
      <w:r w:rsidRPr="00F13EB7">
        <w:rPr>
          <w:rFonts w:ascii="Arial" w:hAnsi="Arial" w:cs="Arial"/>
        </w:rPr>
        <w:t>Sabangan</w:t>
      </w:r>
      <w:proofErr w:type="spellEnd"/>
      <w:r w:rsidRPr="00F13EB7">
        <w:rPr>
          <w:rFonts w:ascii="Arial" w:hAnsi="Arial" w:cs="Arial"/>
        </w:rPr>
        <w:t>, Can-</w:t>
      </w:r>
      <w:proofErr w:type="spellStart"/>
      <w:r w:rsidRPr="00F13EB7">
        <w:rPr>
          <w:rFonts w:ascii="Arial" w:hAnsi="Arial" w:cs="Arial"/>
        </w:rPr>
        <w:t>ayan</w:t>
      </w:r>
      <w:proofErr w:type="spellEnd"/>
      <w:r w:rsidRPr="00F13EB7">
        <w:rPr>
          <w:rFonts w:ascii="Arial" w:hAnsi="Arial" w:cs="Arial"/>
        </w:rPr>
        <w:t xml:space="preserve">, </w:t>
      </w:r>
      <w:proofErr w:type="spellStart"/>
      <w:r w:rsidRPr="00F13EB7">
        <w:rPr>
          <w:rFonts w:ascii="Arial" w:hAnsi="Arial" w:cs="Arial"/>
        </w:rPr>
        <w:t>Malaybalay</w:t>
      </w:r>
      <w:proofErr w:type="spellEnd"/>
      <w:r w:rsidRPr="00F13EB7">
        <w:rPr>
          <w:rFonts w:ascii="Arial" w:hAnsi="Arial" w:cs="Arial"/>
        </w:rPr>
        <w:t xml:space="preserve"> City, revealed that fecal coliforms exceeded the 200 MPN/100 mL limit, classifying the water as unsuitable for primary contact recreation (</w:t>
      </w:r>
      <w:proofErr w:type="spellStart"/>
      <w:r w:rsidRPr="00F13EB7">
        <w:rPr>
          <w:rFonts w:ascii="Arial" w:hAnsi="Arial" w:cs="Arial"/>
        </w:rPr>
        <w:t>Bete</w:t>
      </w:r>
      <w:proofErr w:type="spellEnd"/>
      <w:r w:rsidRPr="00F13EB7">
        <w:rPr>
          <w:rFonts w:ascii="Arial" w:hAnsi="Arial" w:cs="Arial"/>
        </w:rPr>
        <w:t xml:space="preserve"> et al., 2024). This microbial contamination, coupled with high salinity indicating pollution from domestic and industrial wastewater, classified the </w:t>
      </w:r>
      <w:proofErr w:type="spellStart"/>
      <w:r w:rsidRPr="00F13EB7">
        <w:rPr>
          <w:rFonts w:ascii="Arial" w:hAnsi="Arial" w:cs="Arial"/>
        </w:rPr>
        <w:t>Tagoloan</w:t>
      </w:r>
      <w:proofErr w:type="spellEnd"/>
      <w:r w:rsidRPr="00F13EB7">
        <w:rPr>
          <w:rFonts w:ascii="Arial" w:hAnsi="Arial" w:cs="Arial"/>
        </w:rPr>
        <w:t xml:space="preserve"> River as marginal water. Similarly, assessments of other Bukidnon rivers, such as the </w:t>
      </w:r>
      <w:proofErr w:type="spellStart"/>
      <w:r w:rsidRPr="00F13EB7">
        <w:rPr>
          <w:rFonts w:ascii="Arial" w:hAnsi="Arial" w:cs="Arial"/>
        </w:rPr>
        <w:t>Dahilayan</w:t>
      </w:r>
      <w:proofErr w:type="spellEnd"/>
      <w:r w:rsidRPr="00F13EB7">
        <w:rPr>
          <w:rFonts w:ascii="Arial" w:hAnsi="Arial" w:cs="Arial"/>
        </w:rPr>
        <w:t xml:space="preserve"> River and tributaries of the </w:t>
      </w:r>
      <w:proofErr w:type="spellStart"/>
      <w:r w:rsidRPr="00F13EB7">
        <w:rPr>
          <w:rFonts w:ascii="Arial" w:hAnsi="Arial" w:cs="Arial"/>
        </w:rPr>
        <w:t>Pulangi</w:t>
      </w:r>
      <w:proofErr w:type="spellEnd"/>
      <w:r w:rsidRPr="00F13EB7">
        <w:rPr>
          <w:rFonts w:ascii="Arial" w:hAnsi="Arial" w:cs="Arial"/>
        </w:rPr>
        <w:t xml:space="preserve"> River (</w:t>
      </w:r>
      <w:proofErr w:type="spellStart"/>
      <w:r w:rsidRPr="00F13EB7">
        <w:rPr>
          <w:rFonts w:ascii="Arial" w:hAnsi="Arial" w:cs="Arial"/>
        </w:rPr>
        <w:t>Galarpe</w:t>
      </w:r>
      <w:proofErr w:type="spellEnd"/>
      <w:r w:rsidRPr="00F13EB7">
        <w:rPr>
          <w:rFonts w:ascii="Arial" w:hAnsi="Arial" w:cs="Arial"/>
        </w:rPr>
        <w:t xml:space="preserve"> et al., 2017; </w:t>
      </w:r>
      <w:proofErr w:type="spellStart"/>
      <w:r w:rsidRPr="00F13EB7">
        <w:rPr>
          <w:rFonts w:ascii="Arial" w:hAnsi="Arial" w:cs="Arial"/>
        </w:rPr>
        <w:t>Anud</w:t>
      </w:r>
      <w:proofErr w:type="spellEnd"/>
      <w:r w:rsidRPr="00F13EB7">
        <w:rPr>
          <w:rFonts w:ascii="Arial" w:hAnsi="Arial" w:cs="Arial"/>
        </w:rPr>
        <w:t xml:space="preserve"> et al., 2022), also demonstrate satisfactory physicochemical levels but alarmingly high bacterial counts, suggesting that microbial contamination from unmonitored human settlements and agricultural activities is the most significant and pervasive threat to river water potability and public health across the region.</w:t>
      </w:r>
    </w:p>
    <w:p w14:paraId="258384B2" w14:textId="77777777" w:rsidR="00F13EB7" w:rsidRPr="00F13EB7" w:rsidRDefault="00F13EB7" w:rsidP="00F13EB7">
      <w:pPr>
        <w:pStyle w:val="Body"/>
        <w:rPr>
          <w:rFonts w:ascii="Arial" w:hAnsi="Arial" w:cs="Arial"/>
        </w:rPr>
      </w:pPr>
      <w:r w:rsidRPr="00F13EB7">
        <w:rPr>
          <w:rFonts w:ascii="Arial" w:hAnsi="Arial" w:cs="Arial"/>
        </w:rPr>
        <w:t xml:space="preserve">Although it is smaller than the larger </w:t>
      </w:r>
      <w:proofErr w:type="spellStart"/>
      <w:r w:rsidRPr="00F13EB7">
        <w:rPr>
          <w:rFonts w:ascii="Arial" w:hAnsi="Arial" w:cs="Arial"/>
        </w:rPr>
        <w:t>Pulangi</w:t>
      </w:r>
      <w:proofErr w:type="spellEnd"/>
      <w:r w:rsidRPr="00F13EB7">
        <w:rPr>
          <w:rFonts w:ascii="Arial" w:hAnsi="Arial" w:cs="Arial"/>
        </w:rPr>
        <w:t xml:space="preserve"> River into which it eventually merge, the Laligan River is an important body of water because of its significance in the barangay's hydrology and agriculture. The area along the river has been a focus for flood control projects, indicating a possible disturbance in river's flow and local biodiversity making its stability and quality a matter of public safety and environmental concern. As </w:t>
      </w:r>
      <w:proofErr w:type="spellStart"/>
      <w:r w:rsidRPr="00F13EB7">
        <w:rPr>
          <w:rFonts w:ascii="Arial" w:hAnsi="Arial" w:cs="Arial"/>
        </w:rPr>
        <w:t>Bungabong</w:t>
      </w:r>
      <w:proofErr w:type="spellEnd"/>
      <w:r w:rsidRPr="00F13EB7">
        <w:rPr>
          <w:rFonts w:ascii="Arial" w:hAnsi="Arial" w:cs="Arial"/>
        </w:rPr>
        <w:t xml:space="preserve"> et al. (2023) revealed that structural measures like check dams and river walls can critically influence river hydrology and ecological systems.</w:t>
      </w:r>
    </w:p>
    <w:p w14:paraId="418670C3" w14:textId="77777777" w:rsidR="003C0A0B" w:rsidRDefault="00F13EB7" w:rsidP="00F13EB7">
      <w:pPr>
        <w:pStyle w:val="Body"/>
        <w:spacing w:after="0"/>
        <w:rPr>
          <w:rFonts w:ascii="Arial" w:hAnsi="Arial" w:cs="Arial"/>
        </w:rPr>
      </w:pPr>
      <w:r w:rsidRPr="00F13EB7">
        <w:rPr>
          <w:rFonts w:ascii="Arial" w:hAnsi="Arial" w:cs="Arial"/>
        </w:rPr>
        <w:t>This study investigated the relationship between the physicochemical and microbiological quality of the Laligan River's water across its upstream, midstream, and downstream sections. Specifically, the research aimed to assess the water quality through physicochemical analyses of parameters including alkalinity, turbidity, pH, Total Dissolved Solids, and Dissolved Oxygen, alongside measuring the concentrations of the heavy metals Cadmium, and the nutrient Nitrate. Additionally, the study sought to describe the river's current microbiological quality by quantifying the levels of Total and Fecal coliforms.</w:t>
      </w:r>
    </w:p>
    <w:p w14:paraId="5DA0C959" w14:textId="77777777" w:rsidR="00F13EB7" w:rsidRPr="00FB3A86" w:rsidRDefault="00F13EB7" w:rsidP="00F13EB7">
      <w:pPr>
        <w:pStyle w:val="Body"/>
        <w:spacing w:after="0"/>
        <w:rPr>
          <w:rFonts w:ascii="Arial" w:hAnsi="Arial" w:cs="Arial"/>
        </w:rPr>
      </w:pPr>
    </w:p>
    <w:p w14:paraId="7C59335F"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7F7B32">
        <w:rPr>
          <w:rFonts w:ascii="Arial" w:hAnsi="Arial" w:cs="Arial"/>
        </w:rPr>
        <w:t xml:space="preserve"> </w:t>
      </w:r>
    </w:p>
    <w:p w14:paraId="0514ADC4" w14:textId="77777777" w:rsidR="00790ADA" w:rsidRDefault="00790ADA" w:rsidP="00441B6F">
      <w:pPr>
        <w:pStyle w:val="AbstHead"/>
        <w:spacing w:after="0"/>
        <w:jc w:val="both"/>
        <w:rPr>
          <w:rFonts w:ascii="Arial" w:hAnsi="Arial" w:cs="Arial"/>
        </w:rPr>
      </w:pPr>
    </w:p>
    <w:p w14:paraId="055ADB33" w14:textId="77777777" w:rsidR="002E5452" w:rsidRDefault="002E5452" w:rsidP="002E5452">
      <w:pPr>
        <w:pStyle w:val="Body"/>
        <w:spacing w:after="0"/>
        <w:rPr>
          <w:rFonts w:ascii="Arial" w:hAnsi="Arial" w:cs="Arial"/>
        </w:rPr>
      </w:pPr>
      <w:r w:rsidRPr="00C30A0F">
        <w:rPr>
          <w:rFonts w:ascii="Arial" w:hAnsi="Arial" w:cs="Arial"/>
          <w:b/>
          <w:caps/>
          <w:sz w:val="22"/>
        </w:rPr>
        <w:t xml:space="preserve">2.1 </w:t>
      </w:r>
      <w:r>
        <w:rPr>
          <w:rFonts w:ascii="Arial" w:hAnsi="Arial" w:cs="Arial"/>
          <w:b/>
          <w:sz w:val="22"/>
        </w:rPr>
        <w:t>Research Design</w:t>
      </w:r>
      <w:r w:rsidRPr="00C30A0F">
        <w:rPr>
          <w:rFonts w:ascii="Arial" w:hAnsi="Arial" w:cs="Arial"/>
          <w:b/>
          <w:sz w:val="22"/>
        </w:rPr>
        <w:t xml:space="preserve"> </w:t>
      </w:r>
    </w:p>
    <w:p w14:paraId="0997E057" w14:textId="77777777" w:rsidR="002E5452" w:rsidRPr="00FB3A86" w:rsidRDefault="002E5452" w:rsidP="00441B6F">
      <w:pPr>
        <w:pStyle w:val="AbstHead"/>
        <w:spacing w:after="0"/>
        <w:jc w:val="both"/>
        <w:rPr>
          <w:rFonts w:ascii="Arial" w:hAnsi="Arial" w:cs="Arial"/>
        </w:rPr>
      </w:pPr>
    </w:p>
    <w:p w14:paraId="22860E8C" w14:textId="77777777" w:rsidR="002E5452" w:rsidRDefault="00F13EB7" w:rsidP="00441B6F">
      <w:pPr>
        <w:pStyle w:val="Body"/>
        <w:spacing w:after="0"/>
        <w:rPr>
          <w:rFonts w:ascii="Arial" w:hAnsi="Arial" w:cs="Arial"/>
        </w:rPr>
      </w:pPr>
      <w:r w:rsidRPr="00F13EB7">
        <w:rPr>
          <w:rFonts w:ascii="Arial" w:hAnsi="Arial" w:cs="Arial"/>
        </w:rPr>
        <w:t xml:space="preserve">The research employed a descriptive design to characterize the water quality of the Laligan River by assessing its existing physical, chemical, and microbiological status across different sections. This approach was chosen to provide a detailed assessment of the river's condition and the pollutants present at the time of the study. Researchers systematically collected water </w:t>
      </w:r>
      <w:r w:rsidRPr="00F13EB7">
        <w:rPr>
          <w:rFonts w:ascii="Arial" w:hAnsi="Arial" w:cs="Arial"/>
        </w:rPr>
        <w:lastRenderedPageBreak/>
        <w:t>samples from distinct points: upstream, midstream, and downstream, to capture any variation in pollutant levels along the river.</w:t>
      </w:r>
    </w:p>
    <w:p w14:paraId="0BE8D965" w14:textId="77777777" w:rsidR="00F13EB7" w:rsidRDefault="00F13EB7" w:rsidP="00441B6F">
      <w:pPr>
        <w:pStyle w:val="Body"/>
        <w:spacing w:after="0"/>
        <w:rPr>
          <w:rFonts w:ascii="Arial" w:hAnsi="Arial" w:cs="Arial"/>
        </w:rPr>
      </w:pPr>
    </w:p>
    <w:p w14:paraId="7EE8A492" w14:textId="77777777" w:rsidR="00101BFF" w:rsidRPr="00F13EB7" w:rsidRDefault="002E5452" w:rsidP="00101BFF">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00F13EB7">
        <w:rPr>
          <w:rFonts w:ascii="Arial" w:hAnsi="Arial" w:cs="Arial"/>
          <w:b/>
          <w:caps/>
          <w:sz w:val="22"/>
        </w:rPr>
        <w:t xml:space="preserve"> </w:t>
      </w:r>
      <w:r w:rsidR="00101BFF">
        <w:rPr>
          <w:rFonts w:ascii="Arial" w:hAnsi="Arial" w:cs="Arial"/>
          <w:b/>
          <w:sz w:val="22"/>
        </w:rPr>
        <w:t>Locale of the Study</w:t>
      </w:r>
    </w:p>
    <w:p w14:paraId="3DFE6DAD" w14:textId="77777777" w:rsidR="00594EBA" w:rsidRDefault="00594EBA" w:rsidP="00101BFF">
      <w:pPr>
        <w:pStyle w:val="Body"/>
        <w:spacing w:after="0"/>
        <w:rPr>
          <w:rFonts w:ascii="Arial" w:hAnsi="Arial" w:cs="Arial"/>
        </w:rPr>
      </w:pPr>
    </w:p>
    <w:p w14:paraId="64C24A68" w14:textId="77777777" w:rsidR="00101BFF" w:rsidRDefault="00F13EB7" w:rsidP="00441B6F">
      <w:pPr>
        <w:pStyle w:val="Body"/>
        <w:spacing w:after="0"/>
        <w:rPr>
          <w:rFonts w:ascii="Arial" w:hAnsi="Arial" w:cs="Arial"/>
        </w:rPr>
      </w:pPr>
      <w:r w:rsidRPr="00F13EB7">
        <w:rPr>
          <w:rFonts w:ascii="Arial" w:hAnsi="Arial" w:cs="Arial"/>
        </w:rPr>
        <w:t>The study was conducted along a defined stretch of the Laligan River in Valencia City, Philippines, employing a longitudinal sampling design to assess spatial variations in water quality. Three distinct sampling stations were established and precisely georeferenced using a Global Positioning System (GPS): the Upstream station, designated as the presumed reference point at 7.875213˚ N, 125.1985˚  E; the Midstream station, strategically located 218 meters downstream to capture potential impacts from anthropogenic activities at 7.875800 ˚ N, 125.1966 ˚ E; and the Downstream station, positioned 252 meters further below the midstream site (totaling 470 meters from the upstream point) at 7.876236˚ N, 125.1943˚ E, to monitor any subsequent recovery or cumulative effects.</w:t>
      </w:r>
    </w:p>
    <w:p w14:paraId="0CAD5957" w14:textId="77777777" w:rsidR="00F13EB7" w:rsidRDefault="00F13EB7" w:rsidP="00441B6F">
      <w:pPr>
        <w:pStyle w:val="Body"/>
        <w:spacing w:after="0"/>
        <w:rPr>
          <w:rFonts w:ascii="Arial" w:hAnsi="Arial" w:cs="Arial"/>
        </w:rPr>
      </w:pPr>
    </w:p>
    <w:p w14:paraId="7149251C" w14:textId="77777777" w:rsidR="00101BFF" w:rsidRDefault="00F13EB7" w:rsidP="00441B6F">
      <w:pPr>
        <w:pStyle w:val="Body"/>
        <w:spacing w:after="0"/>
        <w:rPr>
          <w:rFonts w:ascii="Arial" w:hAnsi="Arial" w:cs="Arial"/>
        </w:rPr>
      </w:pPr>
      <w:r>
        <w:rPr>
          <w:rFonts w:ascii="Arial" w:hAnsi="Arial" w:cs="Arial"/>
          <w:noProof/>
        </w:rPr>
        <w:drawing>
          <wp:anchor distT="0" distB="0" distL="114300" distR="114300" simplePos="0" relativeHeight="251658240" behindDoc="0" locked="0" layoutInCell="1" allowOverlap="1" wp14:anchorId="27E9CB5F" wp14:editId="4F2BC265">
            <wp:simplePos x="0" y="0"/>
            <wp:positionH relativeFrom="column">
              <wp:posOffset>182880</wp:posOffset>
            </wp:positionH>
            <wp:positionV relativeFrom="paragraph">
              <wp:posOffset>79548</wp:posOffset>
            </wp:positionV>
            <wp:extent cx="4761230" cy="2761615"/>
            <wp:effectExtent l="0" t="0" r="127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1230" cy="2761615"/>
                    </a:xfrm>
                    <a:prstGeom prst="rect">
                      <a:avLst/>
                    </a:prstGeom>
                    <a:noFill/>
                  </pic:spPr>
                </pic:pic>
              </a:graphicData>
            </a:graphic>
            <wp14:sizeRelH relativeFrom="page">
              <wp14:pctWidth>0</wp14:pctWidth>
            </wp14:sizeRelH>
            <wp14:sizeRelV relativeFrom="page">
              <wp14:pctHeight>0</wp14:pctHeight>
            </wp14:sizeRelV>
          </wp:anchor>
        </w:drawing>
      </w:r>
    </w:p>
    <w:p w14:paraId="1E21A074" w14:textId="77777777" w:rsidR="00101BFF" w:rsidRDefault="00101BFF" w:rsidP="00441B6F">
      <w:pPr>
        <w:pStyle w:val="Body"/>
        <w:spacing w:after="0"/>
        <w:rPr>
          <w:rFonts w:ascii="Arial" w:hAnsi="Arial" w:cs="Arial"/>
        </w:rPr>
      </w:pPr>
    </w:p>
    <w:p w14:paraId="0B155098" w14:textId="77777777" w:rsidR="00101BFF" w:rsidRDefault="00101BFF" w:rsidP="00441B6F">
      <w:pPr>
        <w:pStyle w:val="Body"/>
        <w:spacing w:after="0"/>
        <w:rPr>
          <w:rFonts w:ascii="Arial" w:hAnsi="Arial" w:cs="Arial"/>
        </w:rPr>
      </w:pPr>
    </w:p>
    <w:p w14:paraId="4BC19183" w14:textId="77777777" w:rsidR="00101BFF" w:rsidRDefault="00101BFF" w:rsidP="00441B6F">
      <w:pPr>
        <w:pStyle w:val="Body"/>
        <w:spacing w:after="0"/>
        <w:rPr>
          <w:rFonts w:ascii="Arial" w:hAnsi="Arial" w:cs="Arial"/>
        </w:rPr>
      </w:pPr>
    </w:p>
    <w:p w14:paraId="5BF83491" w14:textId="77777777" w:rsidR="00101BFF" w:rsidRDefault="00101BFF" w:rsidP="00441B6F">
      <w:pPr>
        <w:pStyle w:val="Body"/>
        <w:spacing w:after="0"/>
        <w:rPr>
          <w:rFonts w:ascii="Arial" w:hAnsi="Arial" w:cs="Arial"/>
        </w:rPr>
      </w:pPr>
    </w:p>
    <w:p w14:paraId="5C0580AE" w14:textId="77777777" w:rsidR="00101BFF" w:rsidRDefault="00101BFF" w:rsidP="00441B6F">
      <w:pPr>
        <w:pStyle w:val="Body"/>
        <w:spacing w:after="0"/>
        <w:rPr>
          <w:rFonts w:ascii="Arial" w:hAnsi="Arial" w:cs="Arial"/>
        </w:rPr>
      </w:pPr>
    </w:p>
    <w:p w14:paraId="5A268387" w14:textId="77777777" w:rsidR="00101BFF" w:rsidRDefault="00101BFF" w:rsidP="00441B6F">
      <w:pPr>
        <w:pStyle w:val="Body"/>
        <w:spacing w:after="0"/>
        <w:rPr>
          <w:rFonts w:ascii="Arial" w:hAnsi="Arial" w:cs="Arial"/>
        </w:rPr>
      </w:pPr>
    </w:p>
    <w:p w14:paraId="1290B69A" w14:textId="77777777" w:rsidR="00101BFF" w:rsidRDefault="00101BFF" w:rsidP="00441B6F">
      <w:pPr>
        <w:pStyle w:val="Body"/>
        <w:spacing w:after="0"/>
        <w:rPr>
          <w:rFonts w:ascii="Arial" w:hAnsi="Arial" w:cs="Arial"/>
        </w:rPr>
      </w:pPr>
    </w:p>
    <w:p w14:paraId="54B9DC47" w14:textId="77777777" w:rsidR="00101BFF" w:rsidRDefault="00101BFF" w:rsidP="00441B6F">
      <w:pPr>
        <w:pStyle w:val="Body"/>
        <w:spacing w:after="0"/>
        <w:rPr>
          <w:rFonts w:ascii="Arial" w:hAnsi="Arial" w:cs="Arial"/>
        </w:rPr>
      </w:pPr>
    </w:p>
    <w:p w14:paraId="794481AE" w14:textId="77777777" w:rsidR="00101BFF" w:rsidRDefault="00101BFF" w:rsidP="00441B6F">
      <w:pPr>
        <w:pStyle w:val="Body"/>
        <w:spacing w:after="0"/>
        <w:rPr>
          <w:rFonts w:ascii="Arial" w:hAnsi="Arial" w:cs="Arial"/>
        </w:rPr>
      </w:pPr>
    </w:p>
    <w:p w14:paraId="542FF402" w14:textId="77777777" w:rsidR="00101BFF" w:rsidRDefault="00101BFF" w:rsidP="00441B6F">
      <w:pPr>
        <w:pStyle w:val="Body"/>
        <w:spacing w:after="0"/>
        <w:rPr>
          <w:rFonts w:ascii="Arial" w:hAnsi="Arial" w:cs="Arial"/>
        </w:rPr>
      </w:pPr>
    </w:p>
    <w:p w14:paraId="4EB0DE0C" w14:textId="77777777" w:rsidR="00101BFF" w:rsidRDefault="00101BFF" w:rsidP="00441B6F">
      <w:pPr>
        <w:pStyle w:val="Body"/>
        <w:spacing w:after="0"/>
        <w:rPr>
          <w:rFonts w:ascii="Arial" w:hAnsi="Arial" w:cs="Arial"/>
        </w:rPr>
      </w:pPr>
    </w:p>
    <w:p w14:paraId="72434CB8" w14:textId="77777777" w:rsidR="00101BFF" w:rsidRDefault="00101BFF" w:rsidP="00441B6F">
      <w:pPr>
        <w:pStyle w:val="Body"/>
        <w:spacing w:after="0"/>
        <w:rPr>
          <w:rFonts w:ascii="Arial" w:hAnsi="Arial" w:cs="Arial"/>
        </w:rPr>
      </w:pPr>
    </w:p>
    <w:p w14:paraId="1AE3314C" w14:textId="77777777" w:rsidR="00101BFF" w:rsidRDefault="00101BFF" w:rsidP="00441B6F">
      <w:pPr>
        <w:pStyle w:val="Body"/>
        <w:spacing w:after="0"/>
        <w:rPr>
          <w:rFonts w:ascii="Arial" w:hAnsi="Arial" w:cs="Arial"/>
        </w:rPr>
      </w:pPr>
    </w:p>
    <w:p w14:paraId="18E6ED3B" w14:textId="77777777" w:rsidR="00101BFF" w:rsidRDefault="00101BFF" w:rsidP="00441B6F">
      <w:pPr>
        <w:pStyle w:val="Body"/>
        <w:spacing w:after="0"/>
        <w:rPr>
          <w:rFonts w:ascii="Arial" w:hAnsi="Arial" w:cs="Arial"/>
        </w:rPr>
      </w:pPr>
    </w:p>
    <w:p w14:paraId="6E27A1E2" w14:textId="77777777" w:rsidR="00101BFF" w:rsidRDefault="00101BFF" w:rsidP="00441B6F">
      <w:pPr>
        <w:pStyle w:val="Body"/>
        <w:spacing w:after="0"/>
        <w:rPr>
          <w:rFonts w:ascii="Arial" w:hAnsi="Arial" w:cs="Arial"/>
        </w:rPr>
      </w:pPr>
    </w:p>
    <w:p w14:paraId="017A56D0" w14:textId="77777777" w:rsidR="00101BFF" w:rsidRDefault="00101BFF" w:rsidP="00441B6F">
      <w:pPr>
        <w:pStyle w:val="Body"/>
        <w:spacing w:after="0"/>
        <w:rPr>
          <w:rFonts w:ascii="Arial" w:hAnsi="Arial" w:cs="Arial"/>
        </w:rPr>
      </w:pPr>
    </w:p>
    <w:p w14:paraId="4D6118D7" w14:textId="77777777" w:rsidR="00101BFF" w:rsidRDefault="00101BFF" w:rsidP="00441B6F">
      <w:pPr>
        <w:pStyle w:val="Body"/>
        <w:spacing w:after="0"/>
        <w:rPr>
          <w:rFonts w:ascii="Arial" w:hAnsi="Arial" w:cs="Arial"/>
        </w:rPr>
      </w:pPr>
    </w:p>
    <w:p w14:paraId="2102E18D" w14:textId="77777777" w:rsidR="00101BFF" w:rsidRDefault="00101BFF" w:rsidP="00441B6F">
      <w:pPr>
        <w:pStyle w:val="Body"/>
        <w:spacing w:after="0"/>
        <w:rPr>
          <w:rFonts w:ascii="Arial" w:hAnsi="Arial" w:cs="Arial"/>
        </w:rPr>
      </w:pPr>
    </w:p>
    <w:p w14:paraId="06939D51" w14:textId="77777777" w:rsidR="00101BFF" w:rsidRDefault="00101BFF" w:rsidP="00441B6F">
      <w:pPr>
        <w:pStyle w:val="Body"/>
        <w:spacing w:after="0"/>
        <w:rPr>
          <w:rFonts w:ascii="Arial" w:hAnsi="Arial" w:cs="Arial"/>
        </w:rPr>
      </w:pPr>
    </w:p>
    <w:p w14:paraId="6806DDA7" w14:textId="77777777" w:rsidR="00101BFF" w:rsidRPr="00101BFF" w:rsidRDefault="00101BFF" w:rsidP="00101BFF">
      <w:pPr>
        <w:pStyle w:val="Body"/>
        <w:jc w:val="center"/>
        <w:rPr>
          <w:rFonts w:ascii="Arial" w:hAnsi="Arial" w:cs="Arial"/>
          <w:i/>
        </w:rPr>
      </w:pPr>
      <w:r w:rsidRPr="00101BFF">
        <w:rPr>
          <w:rFonts w:ascii="Arial" w:hAnsi="Arial" w:cs="Arial"/>
          <w:b/>
          <w:i/>
        </w:rPr>
        <w:t>Figure 1:</w:t>
      </w:r>
      <w:r w:rsidRPr="00101BFF">
        <w:rPr>
          <w:rFonts w:ascii="Arial" w:hAnsi="Arial" w:cs="Arial"/>
          <w:i/>
        </w:rPr>
        <w:t xml:space="preserve"> </w:t>
      </w:r>
      <w:r w:rsidR="007B4025">
        <w:rPr>
          <w:rFonts w:ascii="Arial" w:hAnsi="Arial" w:cs="Arial"/>
          <w:i/>
        </w:rPr>
        <w:t>Collection</w:t>
      </w:r>
      <w:r w:rsidR="007B4025" w:rsidRPr="007B4025">
        <w:rPr>
          <w:rFonts w:ascii="Arial" w:hAnsi="Arial" w:cs="Arial"/>
          <w:i/>
        </w:rPr>
        <w:t xml:space="preserve"> Sites </w:t>
      </w:r>
      <w:r w:rsidR="007B4025">
        <w:rPr>
          <w:rFonts w:ascii="Arial" w:hAnsi="Arial" w:cs="Arial"/>
          <w:i/>
        </w:rPr>
        <w:t>along</w:t>
      </w:r>
      <w:r w:rsidR="007B4025" w:rsidRPr="007B4025">
        <w:rPr>
          <w:rFonts w:ascii="Arial" w:hAnsi="Arial" w:cs="Arial"/>
          <w:i/>
        </w:rPr>
        <w:t xml:space="preserve"> Laligan River</w:t>
      </w:r>
      <w:r w:rsidR="00ED54C2">
        <w:rPr>
          <w:rFonts w:ascii="Arial" w:hAnsi="Arial" w:cs="Arial"/>
          <w:i/>
        </w:rPr>
        <w:t>, Valencia City</w:t>
      </w:r>
    </w:p>
    <w:p w14:paraId="6A723678" w14:textId="77777777" w:rsidR="00594EBA" w:rsidRDefault="00594EBA" w:rsidP="00594EBA">
      <w:pPr>
        <w:pStyle w:val="Body"/>
        <w:spacing w:after="0"/>
        <w:rPr>
          <w:rFonts w:ascii="Arial" w:hAnsi="Arial" w:cs="Arial"/>
          <w:b/>
          <w:sz w:val="22"/>
        </w:rPr>
      </w:pPr>
      <w:r w:rsidRPr="00C30A0F">
        <w:rPr>
          <w:rFonts w:ascii="Arial" w:hAnsi="Arial" w:cs="Arial"/>
          <w:b/>
          <w:caps/>
          <w:sz w:val="22"/>
        </w:rPr>
        <w:t>2.</w:t>
      </w:r>
      <w:r w:rsidR="00F13EB7">
        <w:rPr>
          <w:rFonts w:ascii="Arial" w:hAnsi="Arial" w:cs="Arial"/>
          <w:b/>
          <w:caps/>
          <w:sz w:val="22"/>
        </w:rPr>
        <w:t>3</w:t>
      </w:r>
      <w:r w:rsidRPr="00C30A0F">
        <w:rPr>
          <w:rFonts w:ascii="Arial" w:hAnsi="Arial" w:cs="Arial"/>
          <w:b/>
          <w:caps/>
          <w:sz w:val="22"/>
        </w:rPr>
        <w:t xml:space="preserve"> </w:t>
      </w:r>
      <w:r w:rsidR="007B4025" w:rsidRPr="007B4025">
        <w:rPr>
          <w:rFonts w:ascii="Arial" w:hAnsi="Arial" w:cs="Arial"/>
          <w:b/>
          <w:sz w:val="22"/>
        </w:rPr>
        <w:t>Collection and Analysis of the Physicochemical and Microbiological Parameters</w:t>
      </w:r>
    </w:p>
    <w:p w14:paraId="3AA07B87" w14:textId="77777777" w:rsidR="00F76BDD" w:rsidRDefault="00F76BDD" w:rsidP="00594EBA">
      <w:pPr>
        <w:pStyle w:val="Body"/>
        <w:spacing w:after="0"/>
        <w:rPr>
          <w:rFonts w:ascii="Arial" w:hAnsi="Arial" w:cs="Arial"/>
          <w:b/>
          <w:sz w:val="22"/>
        </w:rPr>
      </w:pPr>
    </w:p>
    <w:p w14:paraId="39AFAD08" w14:textId="77777777" w:rsidR="007B4025" w:rsidRPr="007B4025" w:rsidRDefault="007B4025" w:rsidP="007B4025">
      <w:pPr>
        <w:pStyle w:val="Body"/>
        <w:rPr>
          <w:rFonts w:ascii="Arial" w:hAnsi="Arial" w:cs="Arial"/>
        </w:rPr>
      </w:pPr>
      <w:r w:rsidRPr="007B4025">
        <w:rPr>
          <w:rFonts w:ascii="Arial" w:hAnsi="Arial" w:cs="Arial"/>
        </w:rPr>
        <w:t>The researchers selected three distinct sampling sites along the Laligan River, designated as upstream, midstream, and downstream. The precise location of these three stations was determined using the transect walk method, where the researchers walked a defined path along the river to observe, document, and select points that captured the maximu</w:t>
      </w:r>
      <w:r>
        <w:rPr>
          <w:rFonts w:ascii="Arial" w:hAnsi="Arial" w:cs="Arial"/>
        </w:rPr>
        <w:t xml:space="preserve">m environmental variability. </w:t>
      </w:r>
    </w:p>
    <w:p w14:paraId="238DCE38" w14:textId="77777777" w:rsidR="007B4025" w:rsidRPr="007B4025" w:rsidRDefault="007B4025" w:rsidP="007B4025">
      <w:pPr>
        <w:pStyle w:val="Body"/>
        <w:rPr>
          <w:rFonts w:ascii="Arial" w:hAnsi="Arial" w:cs="Arial"/>
        </w:rPr>
      </w:pPr>
      <w:r w:rsidRPr="007B4025">
        <w:rPr>
          <w:rFonts w:ascii="Arial" w:hAnsi="Arial" w:cs="Arial"/>
        </w:rPr>
        <w:t>Before collection, all glassware and high-density polyethylene bottles intended for heavy metals and nutrients were meticulously acid-washed and rinsed with deionized water, while microbiological containers were pre-sterilized. At each site, the researchers, wearing protective equipment including latex gloves, faced upstream to avoid contamination from disturbed sediments.</w:t>
      </w:r>
      <w:r>
        <w:rPr>
          <w:rFonts w:ascii="Arial" w:hAnsi="Arial" w:cs="Arial"/>
        </w:rPr>
        <w:t xml:space="preserve"> </w:t>
      </w:r>
      <w:r w:rsidRPr="007B4025">
        <w:rPr>
          <w:rFonts w:ascii="Arial" w:hAnsi="Arial" w:cs="Arial"/>
        </w:rPr>
        <w:t xml:space="preserve">All collected samples were immediately placed in a portable ice chest containing ice packs to maintain a temperature below 4°C to slow down biological and chemical degradation. Each bottle was clearly labeled with the sampling location (upstream, </w:t>
      </w:r>
      <w:r w:rsidRPr="007B4025">
        <w:rPr>
          <w:rFonts w:ascii="Arial" w:hAnsi="Arial" w:cs="Arial"/>
        </w:rPr>
        <w:lastRenderedPageBreak/>
        <w:t>midstream, downstream), the date, and the time of collection. All samples were then transported to the accredited laboratory for analysis within the maximum permissible holding times for microbiological analysis which must commence within 6-24 hours.</w:t>
      </w:r>
    </w:p>
    <w:p w14:paraId="122D0AAC" w14:textId="77777777" w:rsidR="00F76BDD" w:rsidRDefault="007B4025" w:rsidP="007B4025">
      <w:pPr>
        <w:pStyle w:val="Body"/>
        <w:spacing w:after="0"/>
        <w:rPr>
          <w:rFonts w:ascii="Arial" w:hAnsi="Arial" w:cs="Arial"/>
        </w:rPr>
      </w:pPr>
      <w:r w:rsidRPr="007B4025">
        <w:rPr>
          <w:rFonts w:ascii="Arial" w:hAnsi="Arial" w:cs="Arial"/>
        </w:rPr>
        <w:t>The analysis of the results employed the DENR Class C water standards based on DENR Administrative Order (DAO) No. 2016-08 (Water Quality Guidelines and General Effluent Standards). This classification designates the water as suitable for several key purposes: it serves as a Fishery Water, supporting the propagation and growth of fish and other aquatic resources; it is classified as Recreational Water Class II, intended for secondary contact activities such as boating and fishing; and it is also deemed appropriate for Agriculture, Irrigation, and Livestock Watering.</w:t>
      </w:r>
    </w:p>
    <w:p w14:paraId="64FF112B" w14:textId="77777777" w:rsidR="00F13EB7" w:rsidRDefault="00F13EB7" w:rsidP="00441B6F">
      <w:pPr>
        <w:pStyle w:val="Body"/>
        <w:spacing w:after="0"/>
        <w:rPr>
          <w:rFonts w:ascii="Arial" w:hAnsi="Arial" w:cs="Arial"/>
        </w:rPr>
      </w:pPr>
    </w:p>
    <w:p w14:paraId="284290AA" w14:textId="77777777" w:rsidR="00ED54C2" w:rsidRDefault="00ED54C2" w:rsidP="00ED54C2">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Entry Protocol</w:t>
      </w:r>
    </w:p>
    <w:p w14:paraId="1CB48EC5" w14:textId="77777777" w:rsidR="00ED54C2" w:rsidRDefault="00ED54C2" w:rsidP="00ED54C2">
      <w:pPr>
        <w:pStyle w:val="Body"/>
        <w:spacing w:after="0"/>
        <w:rPr>
          <w:rFonts w:ascii="Arial" w:hAnsi="Arial" w:cs="Arial"/>
          <w:b/>
          <w:sz w:val="22"/>
        </w:rPr>
      </w:pPr>
    </w:p>
    <w:p w14:paraId="55D5DA35" w14:textId="77777777" w:rsidR="00ED54C2" w:rsidRPr="00ED54C2" w:rsidRDefault="00ED54C2" w:rsidP="00441B6F">
      <w:pPr>
        <w:pStyle w:val="Body"/>
        <w:spacing w:after="0"/>
        <w:rPr>
          <w:rFonts w:ascii="Arial" w:hAnsi="Arial" w:cs="Arial"/>
        </w:rPr>
      </w:pPr>
      <w:r w:rsidRPr="00ED54C2">
        <w:rPr>
          <w:rFonts w:ascii="Arial" w:hAnsi="Arial" w:cs="Arial"/>
        </w:rPr>
        <w:t>To ensure the ethical integrity and regulatory compliance of the investigation, all necessary permits for conducting off-campus research at the Laligan River were secured prior to the fieldwork. Formal written requests, detailing the study's objectives, scope, and duration, were submitted to the relevant authorities.</w:t>
      </w:r>
    </w:p>
    <w:p w14:paraId="0820F767" w14:textId="77777777" w:rsidR="00ED54C2" w:rsidRDefault="00ED54C2" w:rsidP="00441B6F">
      <w:pPr>
        <w:pStyle w:val="Body"/>
        <w:spacing w:after="0"/>
        <w:rPr>
          <w:rFonts w:ascii="Arial" w:hAnsi="Arial" w:cs="Arial"/>
          <w:b/>
          <w:u w:val="single"/>
        </w:rPr>
      </w:pPr>
    </w:p>
    <w:p w14:paraId="73BFDD37" w14:textId="77777777" w:rsidR="00ED54C2" w:rsidRDefault="00ED54C2" w:rsidP="00441B6F">
      <w:pPr>
        <w:pStyle w:val="Body"/>
        <w:spacing w:after="0"/>
        <w:rPr>
          <w:rFonts w:ascii="Arial" w:hAnsi="Arial" w:cs="Arial"/>
        </w:rPr>
      </w:pPr>
    </w:p>
    <w:p w14:paraId="22968D0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AD1DBD" w14:textId="77777777" w:rsidR="00790ADA" w:rsidRPr="00FB3A86" w:rsidRDefault="00790ADA" w:rsidP="00441B6F">
      <w:pPr>
        <w:pStyle w:val="Head1"/>
        <w:spacing w:after="0"/>
        <w:jc w:val="both"/>
        <w:rPr>
          <w:rFonts w:ascii="Arial" w:hAnsi="Arial" w:cs="Arial"/>
        </w:rPr>
      </w:pPr>
    </w:p>
    <w:p w14:paraId="005A871F" w14:textId="77777777" w:rsidR="00E053D0" w:rsidRPr="00C4704B" w:rsidRDefault="00C4704B" w:rsidP="00441B6F">
      <w:pPr>
        <w:pStyle w:val="Body"/>
        <w:spacing w:after="0"/>
        <w:rPr>
          <w:rFonts w:ascii="Arial" w:hAnsi="Arial" w:cs="Arial"/>
          <w:b/>
          <w:sz w:val="22"/>
        </w:rPr>
      </w:pPr>
      <w:r w:rsidRPr="00C4704B">
        <w:rPr>
          <w:rFonts w:ascii="Arial" w:hAnsi="Arial" w:cs="Arial"/>
          <w:b/>
          <w:sz w:val="22"/>
        </w:rPr>
        <w:t xml:space="preserve">3.1 </w:t>
      </w:r>
      <w:r w:rsidR="008E0D63" w:rsidRPr="008E0D63">
        <w:rPr>
          <w:rFonts w:ascii="Arial" w:hAnsi="Arial" w:cs="Arial"/>
          <w:b/>
          <w:sz w:val="22"/>
        </w:rPr>
        <w:t>Descriptive analysis of Physicochemical Water Quality Parameter of Laligan River</w:t>
      </w:r>
    </w:p>
    <w:p w14:paraId="2BFE713A" w14:textId="77777777" w:rsidR="008E0D63" w:rsidRDefault="008E0D63" w:rsidP="00441B6F">
      <w:pPr>
        <w:pStyle w:val="Body"/>
        <w:spacing w:after="0"/>
        <w:rPr>
          <w:rFonts w:ascii="Arial" w:hAnsi="Arial" w:cs="Arial"/>
        </w:rPr>
      </w:pPr>
    </w:p>
    <w:p w14:paraId="5B4A840E" w14:textId="77777777" w:rsidR="008E0D63" w:rsidRPr="008E0D63" w:rsidRDefault="008E0D63" w:rsidP="008E0D63">
      <w:pPr>
        <w:jc w:val="center"/>
        <w:rPr>
          <w:rFonts w:ascii="Arial" w:eastAsia="Libre Caslon Text" w:hAnsi="Arial" w:cs="Arial"/>
          <w:sz w:val="18"/>
          <w:szCs w:val="18"/>
        </w:rPr>
      </w:pPr>
      <w:r w:rsidRPr="008E0D63">
        <w:rPr>
          <w:rFonts w:ascii="Arial" w:eastAsia="Libre Caslon Text" w:hAnsi="Arial" w:cs="Arial"/>
          <w:b/>
          <w:sz w:val="18"/>
          <w:szCs w:val="18"/>
        </w:rPr>
        <w:t>Table 1:</w:t>
      </w:r>
      <w:r w:rsidRPr="008E0D63">
        <w:rPr>
          <w:rFonts w:ascii="Arial" w:eastAsia="Libre Caslon Text" w:hAnsi="Arial" w:cs="Arial"/>
          <w:sz w:val="18"/>
          <w:szCs w:val="18"/>
        </w:rPr>
        <w:t xml:space="preserve"> </w:t>
      </w:r>
      <w:r w:rsidRPr="008E0D63">
        <w:rPr>
          <w:rFonts w:ascii="Arial" w:eastAsia="Libre Caslon Text" w:hAnsi="Arial" w:cs="Arial"/>
          <w:i/>
          <w:sz w:val="18"/>
          <w:szCs w:val="18"/>
        </w:rPr>
        <w:t>Test Results for Physicochemical Parameters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30"/>
        <w:gridCol w:w="1140"/>
        <w:gridCol w:w="1140"/>
        <w:gridCol w:w="1230"/>
        <w:gridCol w:w="810"/>
        <w:gridCol w:w="1420"/>
      </w:tblGrid>
      <w:tr w:rsidR="008E0D63" w:rsidRPr="008E0D63" w14:paraId="62B9B6C5" w14:textId="77777777" w:rsidTr="008E0D63">
        <w:trPr>
          <w:trHeight w:val="352"/>
        </w:trPr>
        <w:tc>
          <w:tcPr>
            <w:tcW w:w="1800" w:type="dxa"/>
            <w:tcBorders>
              <w:top w:val="single" w:sz="4" w:space="0" w:color="auto"/>
              <w:bottom w:val="single" w:sz="4" w:space="0" w:color="auto"/>
            </w:tcBorders>
            <w:vAlign w:val="center"/>
          </w:tcPr>
          <w:p w14:paraId="54B8E7F9"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Parameters</w:t>
            </w:r>
          </w:p>
        </w:tc>
        <w:tc>
          <w:tcPr>
            <w:tcW w:w="630" w:type="dxa"/>
            <w:tcBorders>
              <w:top w:val="single" w:sz="4" w:space="0" w:color="auto"/>
              <w:bottom w:val="single" w:sz="4" w:space="0" w:color="auto"/>
            </w:tcBorders>
            <w:vAlign w:val="center"/>
          </w:tcPr>
          <w:p w14:paraId="54A821F5"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Unit</w:t>
            </w:r>
          </w:p>
        </w:tc>
        <w:tc>
          <w:tcPr>
            <w:tcW w:w="1140" w:type="dxa"/>
            <w:tcBorders>
              <w:top w:val="single" w:sz="4" w:space="0" w:color="auto"/>
              <w:bottom w:val="single" w:sz="4" w:space="0" w:color="auto"/>
            </w:tcBorders>
            <w:vAlign w:val="center"/>
          </w:tcPr>
          <w:p w14:paraId="512BA06D"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Upstream</w:t>
            </w:r>
          </w:p>
        </w:tc>
        <w:tc>
          <w:tcPr>
            <w:tcW w:w="1140" w:type="dxa"/>
            <w:tcBorders>
              <w:top w:val="single" w:sz="4" w:space="0" w:color="auto"/>
              <w:bottom w:val="single" w:sz="4" w:space="0" w:color="auto"/>
            </w:tcBorders>
            <w:vAlign w:val="center"/>
          </w:tcPr>
          <w:p w14:paraId="11B64912"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Midstream</w:t>
            </w:r>
          </w:p>
        </w:tc>
        <w:tc>
          <w:tcPr>
            <w:tcW w:w="1230" w:type="dxa"/>
            <w:tcBorders>
              <w:top w:val="single" w:sz="4" w:space="0" w:color="auto"/>
              <w:bottom w:val="single" w:sz="4" w:space="0" w:color="auto"/>
            </w:tcBorders>
            <w:vAlign w:val="center"/>
          </w:tcPr>
          <w:p w14:paraId="191DF85B"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Downstream</w:t>
            </w:r>
          </w:p>
        </w:tc>
        <w:tc>
          <w:tcPr>
            <w:tcW w:w="810" w:type="dxa"/>
            <w:tcBorders>
              <w:top w:val="single" w:sz="4" w:space="0" w:color="auto"/>
              <w:bottom w:val="single" w:sz="4" w:space="0" w:color="auto"/>
            </w:tcBorders>
            <w:vAlign w:val="center"/>
          </w:tcPr>
          <w:p w14:paraId="2DCD731B" w14:textId="77777777" w:rsidR="008E0D63" w:rsidRPr="008E0D63" w:rsidRDefault="008E0D63" w:rsidP="008E0D63">
            <w:pPr>
              <w:jc w:val="center"/>
              <w:rPr>
                <w:rFonts w:ascii="Arial" w:eastAsia="Libre Caslon Text" w:hAnsi="Arial" w:cs="Arial"/>
                <w:b/>
                <w:sz w:val="16"/>
                <w:szCs w:val="16"/>
              </w:rPr>
            </w:pPr>
            <w:r w:rsidRPr="008E0D63">
              <w:rPr>
                <w:rFonts w:ascii="Arial" w:eastAsia="Libre Caslon Text" w:hAnsi="Arial" w:cs="Arial"/>
                <w:b/>
                <w:sz w:val="16"/>
                <w:szCs w:val="16"/>
              </w:rPr>
              <w:t>Mean</w:t>
            </w:r>
          </w:p>
        </w:tc>
        <w:tc>
          <w:tcPr>
            <w:tcW w:w="1420" w:type="dxa"/>
            <w:tcBorders>
              <w:top w:val="single" w:sz="4" w:space="0" w:color="auto"/>
              <w:bottom w:val="single" w:sz="4" w:space="0" w:color="auto"/>
            </w:tcBorders>
          </w:tcPr>
          <w:p w14:paraId="3DC5A78E"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DENR Standard</w:t>
            </w:r>
            <w:r w:rsidRPr="008E0D63">
              <w:rPr>
                <w:rFonts w:ascii="Arial" w:eastAsia="Libre Caslon Text" w:hAnsi="Arial" w:cs="Arial"/>
                <w:b/>
                <w:sz w:val="16"/>
                <w:szCs w:val="16"/>
              </w:rPr>
              <w:br/>
            </w:r>
            <w:r w:rsidRPr="008E0D63">
              <w:rPr>
                <w:rFonts w:ascii="Arial" w:eastAsia="Libre Caslon Text" w:hAnsi="Arial" w:cs="Arial"/>
                <w:sz w:val="16"/>
                <w:szCs w:val="16"/>
              </w:rPr>
              <w:t>(Class C)</w:t>
            </w:r>
          </w:p>
        </w:tc>
      </w:tr>
      <w:tr w:rsidR="008E0D63" w:rsidRPr="008E0D63" w14:paraId="7BAC4B4A" w14:textId="77777777" w:rsidTr="008E0D63">
        <w:trPr>
          <w:trHeight w:val="251"/>
        </w:trPr>
        <w:tc>
          <w:tcPr>
            <w:tcW w:w="1800" w:type="dxa"/>
            <w:tcBorders>
              <w:top w:val="single" w:sz="4" w:space="0" w:color="auto"/>
            </w:tcBorders>
          </w:tcPr>
          <w:p w14:paraId="09A588A6" w14:textId="77777777" w:rsidR="008E0D63" w:rsidRPr="008E0D63" w:rsidRDefault="008E0D63" w:rsidP="00542783">
            <w:pPr>
              <w:spacing w:line="360" w:lineRule="auto"/>
              <w:rPr>
                <w:rFonts w:ascii="Arial" w:eastAsia="Libre Caslon Text" w:hAnsi="Arial" w:cs="Arial"/>
                <w:sz w:val="16"/>
                <w:szCs w:val="16"/>
              </w:rPr>
            </w:pPr>
            <w:r w:rsidRPr="008E0D63">
              <w:rPr>
                <w:rFonts w:ascii="Arial" w:eastAsia="Libre Caslon Text" w:hAnsi="Arial" w:cs="Arial"/>
                <w:sz w:val="16"/>
                <w:szCs w:val="16"/>
              </w:rPr>
              <w:t>Total Dissolved Solids</w:t>
            </w:r>
          </w:p>
        </w:tc>
        <w:tc>
          <w:tcPr>
            <w:tcW w:w="630" w:type="dxa"/>
            <w:tcBorders>
              <w:top w:val="single" w:sz="4" w:space="0" w:color="auto"/>
            </w:tcBorders>
          </w:tcPr>
          <w:p w14:paraId="2E77FD0E"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Borders>
              <w:top w:val="single" w:sz="4" w:space="0" w:color="auto"/>
            </w:tcBorders>
          </w:tcPr>
          <w:p w14:paraId="4C33D72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183.23</w:t>
            </w:r>
          </w:p>
        </w:tc>
        <w:tc>
          <w:tcPr>
            <w:tcW w:w="1140" w:type="dxa"/>
            <w:tcBorders>
              <w:top w:val="single" w:sz="4" w:space="0" w:color="auto"/>
            </w:tcBorders>
          </w:tcPr>
          <w:p w14:paraId="7BD0ED0B"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180.33</w:t>
            </w:r>
          </w:p>
        </w:tc>
        <w:tc>
          <w:tcPr>
            <w:tcW w:w="1230" w:type="dxa"/>
            <w:tcBorders>
              <w:top w:val="single" w:sz="4" w:space="0" w:color="auto"/>
            </w:tcBorders>
          </w:tcPr>
          <w:p w14:paraId="1922B9F5"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201.66</w:t>
            </w:r>
          </w:p>
        </w:tc>
        <w:tc>
          <w:tcPr>
            <w:tcW w:w="810" w:type="dxa"/>
            <w:tcBorders>
              <w:top w:val="single" w:sz="4" w:space="0" w:color="auto"/>
            </w:tcBorders>
          </w:tcPr>
          <w:p w14:paraId="6444A253" w14:textId="77777777" w:rsidR="008E0D63" w:rsidRPr="008E0D63" w:rsidRDefault="008E0D63" w:rsidP="008E0D6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188.41</w:t>
            </w:r>
          </w:p>
        </w:tc>
        <w:tc>
          <w:tcPr>
            <w:tcW w:w="1420" w:type="dxa"/>
            <w:tcBorders>
              <w:top w:val="single" w:sz="4" w:space="0" w:color="auto"/>
            </w:tcBorders>
          </w:tcPr>
          <w:p w14:paraId="38143E7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1000</w:t>
            </w:r>
          </w:p>
        </w:tc>
      </w:tr>
      <w:tr w:rsidR="008E0D63" w:rsidRPr="008E0D63" w14:paraId="09477C09" w14:textId="77777777" w:rsidTr="008E0D63">
        <w:trPr>
          <w:trHeight w:val="268"/>
        </w:trPr>
        <w:tc>
          <w:tcPr>
            <w:tcW w:w="1800" w:type="dxa"/>
          </w:tcPr>
          <w:p w14:paraId="1BD158B6" w14:textId="77777777" w:rsidR="008E0D63" w:rsidRPr="008E0D63" w:rsidRDefault="008E0D63" w:rsidP="00542783">
            <w:pPr>
              <w:spacing w:line="360" w:lineRule="auto"/>
              <w:rPr>
                <w:rFonts w:ascii="Arial" w:eastAsia="Libre Caslon Text" w:hAnsi="Arial" w:cs="Arial"/>
                <w:sz w:val="16"/>
                <w:szCs w:val="16"/>
              </w:rPr>
            </w:pPr>
            <w:r w:rsidRPr="008E0D63">
              <w:rPr>
                <w:rFonts w:ascii="Arial" w:eastAsia="Libre Caslon Text" w:hAnsi="Arial" w:cs="Arial"/>
                <w:sz w:val="16"/>
                <w:szCs w:val="16"/>
              </w:rPr>
              <w:t>Turbidity</w:t>
            </w:r>
          </w:p>
        </w:tc>
        <w:tc>
          <w:tcPr>
            <w:tcW w:w="630" w:type="dxa"/>
          </w:tcPr>
          <w:p w14:paraId="4944F74A"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NTU</w:t>
            </w:r>
          </w:p>
        </w:tc>
        <w:tc>
          <w:tcPr>
            <w:tcW w:w="1140" w:type="dxa"/>
          </w:tcPr>
          <w:p w14:paraId="75CF9C0F"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0.77</w:t>
            </w:r>
          </w:p>
        </w:tc>
        <w:tc>
          <w:tcPr>
            <w:tcW w:w="1140" w:type="dxa"/>
          </w:tcPr>
          <w:p w14:paraId="38A2E4E9"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0.75</w:t>
            </w:r>
          </w:p>
        </w:tc>
        <w:tc>
          <w:tcPr>
            <w:tcW w:w="1230" w:type="dxa"/>
          </w:tcPr>
          <w:p w14:paraId="5C34830D"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0.81</w:t>
            </w:r>
          </w:p>
        </w:tc>
        <w:tc>
          <w:tcPr>
            <w:tcW w:w="810" w:type="dxa"/>
            <w:vAlign w:val="bottom"/>
          </w:tcPr>
          <w:p w14:paraId="659483B4"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0.78</w:t>
            </w:r>
          </w:p>
        </w:tc>
        <w:tc>
          <w:tcPr>
            <w:tcW w:w="1420" w:type="dxa"/>
          </w:tcPr>
          <w:p w14:paraId="0D8D8582"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5</w:t>
            </w:r>
          </w:p>
        </w:tc>
      </w:tr>
      <w:tr w:rsidR="008E0D63" w:rsidRPr="008E0D63" w14:paraId="262698F1" w14:textId="77777777" w:rsidTr="008E0D63">
        <w:trPr>
          <w:trHeight w:val="268"/>
        </w:trPr>
        <w:tc>
          <w:tcPr>
            <w:tcW w:w="1800" w:type="dxa"/>
          </w:tcPr>
          <w:p w14:paraId="166E1467" w14:textId="77777777" w:rsidR="008E0D63" w:rsidRPr="008E0D63" w:rsidRDefault="00636AA9" w:rsidP="00542783">
            <w:pPr>
              <w:spacing w:line="360" w:lineRule="auto"/>
              <w:rPr>
                <w:rFonts w:ascii="Arial" w:eastAsia="Libre Caslon Text" w:hAnsi="Arial" w:cs="Arial"/>
                <w:sz w:val="16"/>
                <w:szCs w:val="16"/>
              </w:rPr>
            </w:pPr>
            <w:r>
              <w:rPr>
                <w:rFonts w:ascii="Arial" w:eastAsia="Libre Caslon Text" w:hAnsi="Arial" w:cs="Arial"/>
                <w:sz w:val="16"/>
                <w:szCs w:val="16"/>
              </w:rPr>
              <w:t>pH</w:t>
            </w:r>
          </w:p>
        </w:tc>
        <w:tc>
          <w:tcPr>
            <w:tcW w:w="630" w:type="dxa"/>
          </w:tcPr>
          <w:p w14:paraId="18117090" w14:textId="77777777" w:rsidR="008E0D63" w:rsidRPr="008E0D63" w:rsidRDefault="008E0D63" w:rsidP="00542783">
            <w:pPr>
              <w:spacing w:line="360" w:lineRule="auto"/>
              <w:jc w:val="both"/>
              <w:rPr>
                <w:rFonts w:ascii="Arial" w:eastAsia="Libre Caslon Text" w:hAnsi="Arial" w:cs="Arial"/>
                <w:sz w:val="16"/>
                <w:szCs w:val="16"/>
              </w:rPr>
            </w:pPr>
          </w:p>
        </w:tc>
        <w:tc>
          <w:tcPr>
            <w:tcW w:w="1140" w:type="dxa"/>
          </w:tcPr>
          <w:p w14:paraId="7018002D"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7.78</w:t>
            </w:r>
          </w:p>
        </w:tc>
        <w:tc>
          <w:tcPr>
            <w:tcW w:w="1140" w:type="dxa"/>
          </w:tcPr>
          <w:p w14:paraId="63CBC39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7.73</w:t>
            </w:r>
          </w:p>
        </w:tc>
        <w:tc>
          <w:tcPr>
            <w:tcW w:w="1230" w:type="dxa"/>
          </w:tcPr>
          <w:p w14:paraId="1B1A9062"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7.77</w:t>
            </w:r>
          </w:p>
        </w:tc>
        <w:tc>
          <w:tcPr>
            <w:tcW w:w="810" w:type="dxa"/>
            <w:vAlign w:val="bottom"/>
          </w:tcPr>
          <w:p w14:paraId="6521B8FF"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7.76</w:t>
            </w:r>
          </w:p>
        </w:tc>
        <w:tc>
          <w:tcPr>
            <w:tcW w:w="1420" w:type="dxa"/>
          </w:tcPr>
          <w:p w14:paraId="59C2EDB8"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6.5 – 9.0</w:t>
            </w:r>
          </w:p>
        </w:tc>
      </w:tr>
      <w:tr w:rsidR="008E0D63" w:rsidRPr="008E0D63" w14:paraId="0D2FF145" w14:textId="77777777" w:rsidTr="008E0D63">
        <w:trPr>
          <w:trHeight w:val="268"/>
        </w:trPr>
        <w:tc>
          <w:tcPr>
            <w:tcW w:w="1800" w:type="dxa"/>
          </w:tcPr>
          <w:p w14:paraId="31C61B03"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Dissolved Oxygen</w:t>
            </w:r>
          </w:p>
        </w:tc>
        <w:tc>
          <w:tcPr>
            <w:tcW w:w="630" w:type="dxa"/>
          </w:tcPr>
          <w:p w14:paraId="1807042E"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Pr>
          <w:p w14:paraId="6038142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6.56</w:t>
            </w:r>
          </w:p>
        </w:tc>
        <w:tc>
          <w:tcPr>
            <w:tcW w:w="1140" w:type="dxa"/>
          </w:tcPr>
          <w:p w14:paraId="62691166"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3.45</w:t>
            </w:r>
          </w:p>
        </w:tc>
        <w:tc>
          <w:tcPr>
            <w:tcW w:w="1230" w:type="dxa"/>
          </w:tcPr>
          <w:p w14:paraId="73CD66F8"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3.42</w:t>
            </w:r>
          </w:p>
        </w:tc>
        <w:tc>
          <w:tcPr>
            <w:tcW w:w="810" w:type="dxa"/>
            <w:vAlign w:val="bottom"/>
          </w:tcPr>
          <w:p w14:paraId="29F42E08"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4.48</w:t>
            </w:r>
          </w:p>
        </w:tc>
        <w:tc>
          <w:tcPr>
            <w:tcW w:w="1420" w:type="dxa"/>
          </w:tcPr>
          <w:p w14:paraId="1796BF27"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5</w:t>
            </w:r>
          </w:p>
        </w:tc>
      </w:tr>
      <w:tr w:rsidR="008E0D63" w:rsidRPr="008E0D63" w14:paraId="67CA13AD" w14:textId="77777777" w:rsidTr="008E0D63">
        <w:trPr>
          <w:trHeight w:val="268"/>
        </w:trPr>
        <w:tc>
          <w:tcPr>
            <w:tcW w:w="1800" w:type="dxa"/>
          </w:tcPr>
          <w:p w14:paraId="03479D17"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Total Alkalinity</w:t>
            </w:r>
          </w:p>
        </w:tc>
        <w:tc>
          <w:tcPr>
            <w:tcW w:w="630" w:type="dxa"/>
          </w:tcPr>
          <w:p w14:paraId="6D623798"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Pr>
          <w:p w14:paraId="6BFBC3EB"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98.40</w:t>
            </w:r>
          </w:p>
        </w:tc>
        <w:tc>
          <w:tcPr>
            <w:tcW w:w="1140" w:type="dxa"/>
          </w:tcPr>
          <w:p w14:paraId="34980F53"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96.55</w:t>
            </w:r>
          </w:p>
        </w:tc>
        <w:tc>
          <w:tcPr>
            <w:tcW w:w="1230" w:type="dxa"/>
          </w:tcPr>
          <w:p w14:paraId="4890ADDB"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99.39</w:t>
            </w:r>
          </w:p>
        </w:tc>
        <w:tc>
          <w:tcPr>
            <w:tcW w:w="810" w:type="dxa"/>
            <w:vAlign w:val="bottom"/>
          </w:tcPr>
          <w:p w14:paraId="716A881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98.11</w:t>
            </w:r>
          </w:p>
        </w:tc>
        <w:tc>
          <w:tcPr>
            <w:tcW w:w="1420" w:type="dxa"/>
          </w:tcPr>
          <w:p w14:paraId="1EF2E864"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5-500</w:t>
            </w:r>
          </w:p>
        </w:tc>
      </w:tr>
      <w:tr w:rsidR="008E0D63" w:rsidRPr="008E0D63" w14:paraId="794E2D8D" w14:textId="77777777" w:rsidTr="008E0D63">
        <w:trPr>
          <w:trHeight w:val="268"/>
        </w:trPr>
        <w:tc>
          <w:tcPr>
            <w:tcW w:w="1800" w:type="dxa"/>
          </w:tcPr>
          <w:p w14:paraId="4E61BB66"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Nitrate</w:t>
            </w:r>
          </w:p>
        </w:tc>
        <w:tc>
          <w:tcPr>
            <w:tcW w:w="630" w:type="dxa"/>
          </w:tcPr>
          <w:p w14:paraId="165F12F2"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Pr>
          <w:p w14:paraId="58668E0D"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8.33</w:t>
            </w:r>
          </w:p>
        </w:tc>
        <w:tc>
          <w:tcPr>
            <w:tcW w:w="1140" w:type="dxa"/>
          </w:tcPr>
          <w:p w14:paraId="71647524"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9.54</w:t>
            </w:r>
          </w:p>
        </w:tc>
        <w:tc>
          <w:tcPr>
            <w:tcW w:w="1230" w:type="dxa"/>
          </w:tcPr>
          <w:p w14:paraId="35EEDFEA"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8.56</w:t>
            </w:r>
          </w:p>
        </w:tc>
        <w:tc>
          <w:tcPr>
            <w:tcW w:w="810" w:type="dxa"/>
            <w:vAlign w:val="bottom"/>
          </w:tcPr>
          <w:p w14:paraId="2810D4F9"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8.81</w:t>
            </w:r>
          </w:p>
        </w:tc>
        <w:tc>
          <w:tcPr>
            <w:tcW w:w="1420" w:type="dxa"/>
          </w:tcPr>
          <w:p w14:paraId="28C71A7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w:t>
            </w:r>
          </w:p>
        </w:tc>
      </w:tr>
      <w:tr w:rsidR="008E0D63" w:rsidRPr="008E0D63" w14:paraId="5E9A65CD" w14:textId="77777777" w:rsidTr="008E0D63">
        <w:trPr>
          <w:trHeight w:val="251"/>
        </w:trPr>
        <w:tc>
          <w:tcPr>
            <w:tcW w:w="1800" w:type="dxa"/>
            <w:tcBorders>
              <w:bottom w:val="single" w:sz="4" w:space="0" w:color="auto"/>
            </w:tcBorders>
          </w:tcPr>
          <w:p w14:paraId="47366585"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Cadmium</w:t>
            </w:r>
          </w:p>
        </w:tc>
        <w:tc>
          <w:tcPr>
            <w:tcW w:w="630" w:type="dxa"/>
            <w:tcBorders>
              <w:bottom w:val="single" w:sz="4" w:space="0" w:color="auto"/>
            </w:tcBorders>
          </w:tcPr>
          <w:p w14:paraId="0CE17D5B"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Borders>
              <w:bottom w:val="single" w:sz="4" w:space="0" w:color="auto"/>
            </w:tcBorders>
          </w:tcPr>
          <w:p w14:paraId="4192BDF6"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0.004</w:t>
            </w:r>
          </w:p>
        </w:tc>
        <w:tc>
          <w:tcPr>
            <w:tcW w:w="1140" w:type="dxa"/>
            <w:tcBorders>
              <w:bottom w:val="single" w:sz="4" w:space="0" w:color="auto"/>
            </w:tcBorders>
          </w:tcPr>
          <w:p w14:paraId="358E5F28"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0.007</w:t>
            </w:r>
          </w:p>
        </w:tc>
        <w:tc>
          <w:tcPr>
            <w:tcW w:w="1230" w:type="dxa"/>
            <w:tcBorders>
              <w:bottom w:val="single" w:sz="4" w:space="0" w:color="auto"/>
            </w:tcBorders>
          </w:tcPr>
          <w:p w14:paraId="31E564BD"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0.006</w:t>
            </w:r>
          </w:p>
        </w:tc>
        <w:tc>
          <w:tcPr>
            <w:tcW w:w="810" w:type="dxa"/>
            <w:tcBorders>
              <w:bottom w:val="single" w:sz="4" w:space="0" w:color="auto"/>
            </w:tcBorders>
            <w:vAlign w:val="bottom"/>
          </w:tcPr>
          <w:p w14:paraId="48566D05"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0.006</w:t>
            </w:r>
          </w:p>
        </w:tc>
        <w:tc>
          <w:tcPr>
            <w:tcW w:w="1420" w:type="dxa"/>
            <w:tcBorders>
              <w:bottom w:val="single" w:sz="4" w:space="0" w:color="auto"/>
            </w:tcBorders>
          </w:tcPr>
          <w:p w14:paraId="36A121CC"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0.005</w:t>
            </w:r>
          </w:p>
        </w:tc>
      </w:tr>
    </w:tbl>
    <w:p w14:paraId="64404961" w14:textId="77777777" w:rsidR="008E0D63" w:rsidRDefault="008E0D63" w:rsidP="00441B6F">
      <w:pPr>
        <w:pStyle w:val="Body"/>
        <w:spacing w:after="0"/>
        <w:rPr>
          <w:rFonts w:ascii="Arial" w:hAnsi="Arial" w:cs="Arial"/>
        </w:rPr>
      </w:pPr>
    </w:p>
    <w:p w14:paraId="114BFB43" w14:textId="77777777" w:rsidR="008E0D63" w:rsidRDefault="008E0D63" w:rsidP="00441B6F">
      <w:pPr>
        <w:pStyle w:val="Body"/>
        <w:spacing w:after="0"/>
        <w:rPr>
          <w:rFonts w:ascii="Arial" w:hAnsi="Arial" w:cs="Arial"/>
        </w:rPr>
      </w:pPr>
      <w:r w:rsidRPr="008E0D63">
        <w:rPr>
          <w:rFonts w:ascii="Arial" w:hAnsi="Arial" w:cs="Arial"/>
        </w:rPr>
        <w:t>The table 1 presents the measured water quality indicators in an aquatic system across three sampling locations: upstream, midstream, and downstream. It shows the key physicochemical metrics such as total dissolved solids, turbidity, pH, dissolved oxygen, total alkalinity, nitrate, and cadmium, comparing their concentrations to the standards set by the DENR for Class C waters. The data shows the initial assessment of river health, highlighting both the variations in water quality parameters along the river course and their compliance with regulatory standards, thus setting the foundation for a more detailed analysis of each parameter’s ecological and regulatory significance.</w:t>
      </w:r>
    </w:p>
    <w:p w14:paraId="2AF2F7D5" w14:textId="77777777" w:rsidR="008E0D63" w:rsidRDefault="008E0D63" w:rsidP="00441B6F">
      <w:pPr>
        <w:pStyle w:val="Body"/>
        <w:spacing w:after="0"/>
        <w:rPr>
          <w:rFonts w:ascii="Arial" w:hAnsi="Arial" w:cs="Arial"/>
        </w:rPr>
      </w:pPr>
    </w:p>
    <w:p w14:paraId="461A6C96" w14:textId="77777777" w:rsidR="008E0D63" w:rsidRPr="008E0D63" w:rsidRDefault="008E0D63" w:rsidP="008E0D63">
      <w:pPr>
        <w:pStyle w:val="Body"/>
        <w:rPr>
          <w:rFonts w:ascii="Arial" w:hAnsi="Arial" w:cs="Arial"/>
          <w:i/>
          <w:u w:val="single"/>
        </w:rPr>
      </w:pPr>
      <w:r w:rsidRPr="008E0D63">
        <w:rPr>
          <w:rFonts w:ascii="Arial" w:hAnsi="Arial" w:cs="Arial"/>
          <w:i/>
          <w:u w:val="single"/>
        </w:rPr>
        <w:t>3.1.1 Total Dissolved Solids</w:t>
      </w:r>
    </w:p>
    <w:p w14:paraId="7EC497E5" w14:textId="77777777" w:rsidR="008E0D63" w:rsidRPr="008E0D63" w:rsidRDefault="008E0D63" w:rsidP="008E0D63">
      <w:pPr>
        <w:pStyle w:val="Body"/>
        <w:rPr>
          <w:rFonts w:ascii="Arial" w:hAnsi="Arial" w:cs="Arial"/>
        </w:rPr>
      </w:pPr>
      <w:r w:rsidRPr="008E0D63">
        <w:rPr>
          <w:rFonts w:ascii="Arial" w:hAnsi="Arial" w:cs="Arial"/>
        </w:rPr>
        <w:t xml:space="preserve">The average TDS value was 188.41 mg/L, which is well below the DENR limit of 1000 mg/L. Values increased slightly from upstream (183.23 mg/L) to downstream (201.66 mg/L). The low TDS values suggest the water body has a minimal concentration of dissolved inorganic and organic substances. This is generally favorable for aquatic life and human consumption. The </w:t>
      </w:r>
      <w:r w:rsidRPr="008E0D63">
        <w:rPr>
          <w:rFonts w:ascii="Arial" w:hAnsi="Arial" w:cs="Arial"/>
        </w:rPr>
        <w:lastRenderedPageBreak/>
        <w:t>minor increase moving downstream might indicate a slight accumulation of dissolved material from surface runoff o</w:t>
      </w:r>
      <w:r>
        <w:rPr>
          <w:rFonts w:ascii="Arial" w:hAnsi="Arial" w:cs="Arial"/>
        </w:rPr>
        <w:t xml:space="preserve">r localized discharges. </w:t>
      </w:r>
    </w:p>
    <w:p w14:paraId="5704317D" w14:textId="77777777" w:rsidR="008E0D63" w:rsidRPr="008E0D63" w:rsidRDefault="008E0D63" w:rsidP="008E0D63">
      <w:pPr>
        <w:pStyle w:val="Body"/>
        <w:rPr>
          <w:rFonts w:ascii="Arial" w:hAnsi="Arial" w:cs="Arial"/>
        </w:rPr>
      </w:pPr>
      <w:r w:rsidRPr="008E0D63">
        <w:rPr>
          <w:rFonts w:ascii="Arial" w:hAnsi="Arial" w:cs="Arial"/>
        </w:rPr>
        <w:t>The relatively low TDS concentration overall indicates minimal concentration of dissolved substances, suggesting a relatively unpolluted water body (</w:t>
      </w:r>
      <w:proofErr w:type="spellStart"/>
      <w:r w:rsidRPr="008E0D63">
        <w:rPr>
          <w:rFonts w:ascii="Arial" w:hAnsi="Arial" w:cs="Arial"/>
        </w:rPr>
        <w:t>Maglangit</w:t>
      </w:r>
      <w:proofErr w:type="spellEnd"/>
      <w:r w:rsidRPr="008E0D63">
        <w:rPr>
          <w:rFonts w:ascii="Arial" w:hAnsi="Arial" w:cs="Arial"/>
        </w:rPr>
        <w:t xml:space="preserve"> et al., 2015). The minor increase from the upstream (183.23 mg/L) to the downstream (201.66 mg/L) section is a common trend that can be linked to the progressive, though still slight, accumulation of dissolved materials from diffuse sources like surface runoff or potentially minor, localized discharges as the river flows through areas of increased human activity (</w:t>
      </w:r>
      <w:proofErr w:type="spellStart"/>
      <w:r w:rsidRPr="008E0D63">
        <w:rPr>
          <w:rFonts w:ascii="Arial" w:hAnsi="Arial" w:cs="Arial"/>
        </w:rPr>
        <w:t>Tibebe</w:t>
      </w:r>
      <w:proofErr w:type="spellEnd"/>
      <w:r w:rsidRPr="008E0D63">
        <w:rPr>
          <w:rFonts w:ascii="Arial" w:hAnsi="Arial" w:cs="Arial"/>
        </w:rPr>
        <w:t xml:space="preserve"> et al., 2022).</w:t>
      </w:r>
    </w:p>
    <w:p w14:paraId="56EB67A5" w14:textId="77777777" w:rsidR="008E0D63" w:rsidRPr="0086772E" w:rsidRDefault="008E0D63" w:rsidP="008E0D63">
      <w:pPr>
        <w:pStyle w:val="Body"/>
        <w:rPr>
          <w:rFonts w:ascii="Arial" w:hAnsi="Arial" w:cs="Arial"/>
          <w:i/>
          <w:u w:val="single"/>
        </w:rPr>
      </w:pPr>
      <w:r w:rsidRPr="0086772E">
        <w:rPr>
          <w:rFonts w:ascii="Arial" w:hAnsi="Arial" w:cs="Arial"/>
          <w:i/>
          <w:u w:val="single"/>
        </w:rPr>
        <w:t>3.1.2 Turbidity</w:t>
      </w:r>
    </w:p>
    <w:p w14:paraId="1FF3F99D" w14:textId="77777777" w:rsidR="008E0D63" w:rsidRPr="008E0D63" w:rsidRDefault="008E0D63" w:rsidP="008E0D63">
      <w:pPr>
        <w:pStyle w:val="Body"/>
        <w:rPr>
          <w:rFonts w:ascii="Arial" w:hAnsi="Arial" w:cs="Arial"/>
        </w:rPr>
      </w:pPr>
      <w:r w:rsidRPr="008E0D63">
        <w:rPr>
          <w:rFonts w:ascii="Arial" w:hAnsi="Arial" w:cs="Arial"/>
        </w:rPr>
        <w:t xml:space="preserve">The average turbidity was 0.78 NTU, significantly lower than the DENR standard of 5 NTU. The values remained consistently low across all sampling points (0.77 NTU to 0.81 NTU). The low turbidity indicates the water is clear with a low amount of suspended matter. This is essential for the penetration of sunlight, supporting photosynthetic aquatic organisms. Low turbidity also minimizes the potential for pollutants and pathogens to attach to suspended particles, thus promoting better water quality. </w:t>
      </w:r>
    </w:p>
    <w:p w14:paraId="6DBBB940" w14:textId="77777777" w:rsidR="008E0D63" w:rsidRPr="008E0D63" w:rsidRDefault="008E0D63" w:rsidP="008E0D63">
      <w:pPr>
        <w:pStyle w:val="Body"/>
        <w:rPr>
          <w:rFonts w:ascii="Arial" w:hAnsi="Arial" w:cs="Arial"/>
        </w:rPr>
      </w:pPr>
      <w:r w:rsidRPr="008E0D63">
        <w:rPr>
          <w:rFonts w:ascii="Arial" w:hAnsi="Arial" w:cs="Arial"/>
        </w:rPr>
        <w:t xml:space="preserve">Low turbidity is ecologically crucial for tropical aquatic environments, as it maximizes light penetration for submerged photosynthetic organisms, such as phytoplankton and aquatic plants, which form the base of the food web and contribute to dissolved oxygen levels (Baldoza et al., 2020). Additionally, lower suspended matter is generally associated with a reduced transport mechanism for pollutants like heavy metals and pathogens, as these contaminants often adhere to fine particles. In the context of the Philippines' frequent water quality challenges, where high turbidity is a recurring issue following typhoons and heavy rainfall (Alburo et al., 2015; </w:t>
      </w:r>
      <w:proofErr w:type="spellStart"/>
      <w:r w:rsidRPr="008E0D63">
        <w:rPr>
          <w:rFonts w:ascii="Arial" w:hAnsi="Arial" w:cs="Arial"/>
        </w:rPr>
        <w:t>Magliwang</w:t>
      </w:r>
      <w:proofErr w:type="spellEnd"/>
      <w:r w:rsidRPr="008E0D63">
        <w:rPr>
          <w:rFonts w:ascii="Arial" w:hAnsi="Arial" w:cs="Arial"/>
        </w:rPr>
        <w:t xml:space="preserve"> et al., 2023), maintaining such clarity is essential for both the sustainability of aquatic ecosystems and for minimizing the operational difficulties and costs associated with water treatment. </w:t>
      </w:r>
    </w:p>
    <w:p w14:paraId="55BEB573" w14:textId="77777777" w:rsidR="008E0D63" w:rsidRPr="0086772E" w:rsidRDefault="0086772E" w:rsidP="008E0D63">
      <w:pPr>
        <w:pStyle w:val="Body"/>
        <w:rPr>
          <w:rFonts w:ascii="Arial" w:hAnsi="Arial" w:cs="Arial"/>
          <w:i/>
          <w:u w:val="single"/>
        </w:rPr>
      </w:pPr>
      <w:r>
        <w:rPr>
          <w:rFonts w:ascii="Arial" w:hAnsi="Arial" w:cs="Arial"/>
          <w:i/>
          <w:u w:val="single"/>
        </w:rPr>
        <w:t>3.</w:t>
      </w:r>
      <w:r w:rsidRPr="0086772E">
        <w:rPr>
          <w:rFonts w:ascii="Arial" w:hAnsi="Arial" w:cs="Arial"/>
          <w:i/>
          <w:u w:val="single"/>
        </w:rPr>
        <w:t>1.3 pH</w:t>
      </w:r>
    </w:p>
    <w:p w14:paraId="1043D785" w14:textId="77777777" w:rsidR="008E0D63" w:rsidRPr="008E0D63" w:rsidRDefault="008E0D63" w:rsidP="008E0D63">
      <w:pPr>
        <w:pStyle w:val="Body"/>
        <w:rPr>
          <w:rFonts w:ascii="Arial" w:hAnsi="Arial" w:cs="Arial"/>
        </w:rPr>
      </w:pPr>
      <w:r w:rsidRPr="008E0D63">
        <w:rPr>
          <w:rFonts w:ascii="Arial" w:hAnsi="Arial" w:cs="Arial"/>
        </w:rPr>
        <w:t>The average pH was 7.76 showing its value within the acceptable DENR range of 6.5–9.0. All measured values (7.78 upstream to 7.77 downstream) indicate a slightly alkaline condition. The pH is within the standard, meaning the water is neither excessively acidic nor basic. This near-neutral range is crucial because most aquatic organisms have a narrow pH tolerance. Maintaining this optimal pH minimizes stress on the ecosystem and prevents changes in the chemical forms and toxicity of certain pollutants. This consistent near-neutral condition is a critical indicator of stable water quality, which is essential for preserving the aquatic biodiversity which generally have a very narrow pH tolerance (</w:t>
      </w:r>
      <w:proofErr w:type="spellStart"/>
      <w:r w:rsidRPr="008E0D63">
        <w:rPr>
          <w:rFonts w:ascii="Arial" w:hAnsi="Arial" w:cs="Arial"/>
        </w:rPr>
        <w:t>Maglangit</w:t>
      </w:r>
      <w:proofErr w:type="spellEnd"/>
      <w:r w:rsidRPr="008E0D63">
        <w:rPr>
          <w:rFonts w:ascii="Arial" w:hAnsi="Arial" w:cs="Arial"/>
        </w:rPr>
        <w:t xml:space="preserve"> et al., 2015; Baltazar, 2020).</w:t>
      </w:r>
    </w:p>
    <w:p w14:paraId="15AFBB85" w14:textId="77777777" w:rsidR="008E0D63" w:rsidRDefault="008E0D63" w:rsidP="008E0D63">
      <w:pPr>
        <w:pStyle w:val="Body"/>
        <w:rPr>
          <w:rFonts w:ascii="Arial" w:hAnsi="Arial" w:cs="Arial"/>
        </w:rPr>
      </w:pPr>
      <w:r w:rsidRPr="008E0D63">
        <w:rPr>
          <w:rFonts w:ascii="Arial" w:hAnsi="Arial" w:cs="Arial"/>
        </w:rPr>
        <w:t xml:space="preserve">Maintaining a stable, near-neutral pH is vital because it minimizes the environmental stress on native fish and invertebrate species and, crucially, prevents the increase in toxicity of pollutants; for instance, at higher alkaline pH levels (above 8.5), the less toxic ammonium ion can be converted into the highly toxic un-ionized ammonia a common concern in water bodies receiving domestic or agricultural runoff, which is a frequent source of contamination across Mindanao's watersheds (Ido, 2016). </w:t>
      </w:r>
    </w:p>
    <w:p w14:paraId="11B9AB9F" w14:textId="77777777" w:rsidR="0086772E" w:rsidRDefault="0086772E" w:rsidP="008E0D63">
      <w:pPr>
        <w:pStyle w:val="Body"/>
        <w:rPr>
          <w:rFonts w:ascii="Arial" w:hAnsi="Arial" w:cs="Arial"/>
        </w:rPr>
      </w:pPr>
    </w:p>
    <w:p w14:paraId="1AF99F1F" w14:textId="77777777" w:rsidR="0086772E" w:rsidRPr="008E0D63" w:rsidRDefault="0086772E" w:rsidP="008E0D63">
      <w:pPr>
        <w:pStyle w:val="Body"/>
        <w:rPr>
          <w:rFonts w:ascii="Arial" w:hAnsi="Arial" w:cs="Arial"/>
        </w:rPr>
      </w:pPr>
    </w:p>
    <w:p w14:paraId="755A301D" w14:textId="77777777" w:rsidR="008E0D63" w:rsidRPr="0086772E" w:rsidRDefault="0086772E" w:rsidP="008E0D63">
      <w:pPr>
        <w:pStyle w:val="Body"/>
        <w:rPr>
          <w:rFonts w:ascii="Arial" w:hAnsi="Arial" w:cs="Arial"/>
          <w:i/>
          <w:u w:val="single"/>
        </w:rPr>
      </w:pPr>
      <w:r w:rsidRPr="0086772E">
        <w:rPr>
          <w:rFonts w:ascii="Arial" w:hAnsi="Arial" w:cs="Arial"/>
          <w:i/>
          <w:u w:val="single"/>
        </w:rPr>
        <w:lastRenderedPageBreak/>
        <w:t>3.1.4 Dissolved Oxygen</w:t>
      </w:r>
    </w:p>
    <w:p w14:paraId="1FF4D028" w14:textId="77777777" w:rsidR="008E0D63" w:rsidRPr="008E0D63" w:rsidRDefault="008E0D63" w:rsidP="008E0D63">
      <w:pPr>
        <w:pStyle w:val="Body"/>
        <w:rPr>
          <w:rFonts w:ascii="Arial" w:hAnsi="Arial" w:cs="Arial"/>
        </w:rPr>
      </w:pPr>
      <w:r w:rsidRPr="008E0D63">
        <w:rPr>
          <w:rFonts w:ascii="Arial" w:hAnsi="Arial" w:cs="Arial"/>
        </w:rPr>
        <w:t>The observed average Dissolved Oxygen (DO) concentration of 4.48 mg/L is critically low and indicates a state of environmental stress, as it falls below the mandatory minimum of 5.0 mg/L. The decrease from the clean upstream reading of 6.56 mg/L to the hypoxic levels of 3.45 mg/L midstream and 3.42 mg/L downstream strongly suggests a significant load of untreated organic pollution, which is a common problem in rivers across the Mindanao region. This rapid DO depletion, or DO deficit, is primarily caused by microbial decomposition of organic matter (such as domestic sewage or agricultural waste) in the mid- and downstream sections, a process that consumes vast amounts of oxygen. In the Philippines where many aquatic species, including fish and crustaceans, are highly sensitive to low DO conditions, concentrations consistently below 5.0 mg/L can lead to hypoxia, causing significant physiological stress, avoidance behavior, suffocation, and a dramatic reduction in biotic integrity and species diversity in the affected lower reaches of the water body (Alcantara et al., 2003; Ido, 2016).</w:t>
      </w:r>
    </w:p>
    <w:p w14:paraId="0DE25FAF" w14:textId="77777777" w:rsidR="008E0D63" w:rsidRPr="0086772E" w:rsidRDefault="0086772E" w:rsidP="008E0D63">
      <w:pPr>
        <w:pStyle w:val="Body"/>
        <w:rPr>
          <w:rFonts w:ascii="Arial" w:hAnsi="Arial" w:cs="Arial"/>
          <w:i/>
          <w:u w:val="single"/>
        </w:rPr>
      </w:pPr>
      <w:r w:rsidRPr="0086772E">
        <w:rPr>
          <w:rFonts w:ascii="Arial" w:hAnsi="Arial" w:cs="Arial"/>
          <w:i/>
          <w:u w:val="single"/>
        </w:rPr>
        <w:t>3.1.5 Total Alkalinity</w:t>
      </w:r>
    </w:p>
    <w:p w14:paraId="407D6530" w14:textId="77777777" w:rsidR="008E0D63" w:rsidRPr="008E0D63" w:rsidRDefault="008E0D63" w:rsidP="008E0D63">
      <w:pPr>
        <w:pStyle w:val="Body"/>
        <w:rPr>
          <w:rFonts w:ascii="Arial" w:hAnsi="Arial" w:cs="Arial"/>
        </w:rPr>
      </w:pPr>
      <w:r w:rsidRPr="008E0D63">
        <w:rPr>
          <w:rFonts w:ascii="Arial" w:hAnsi="Arial" w:cs="Arial"/>
        </w:rPr>
        <w:t>The average total alkalinity was 98.11 mg/L, which is well within the wide DENR standard of 5–500 mg/L. Values were consistent across all sites. Total alkalinity is a measure of the water's capacity to neutralize acid, acting as a natural buffer. The measured values indicate a healthy buffering capacity, which helps to stabilize the pH against inputs of acid (such as acid rain or industrial effluent). This stability is beneficial for the entire aquatic ecosystem. One study, focusing on the pH and Acid Neutralizing Capacity (ANC) profile of Manila Bay coastal water samples, reported a mean ANC (a measure closely related to alkalinity) of 112.60±16.53 mg CaCO3 /L, which is well above the recommended ANC minimum of 20 mg CaCO3/L for aquatic life protection, as noted by the Laguna Lake Development Authority (</w:t>
      </w:r>
      <w:proofErr w:type="spellStart"/>
      <w:r w:rsidRPr="008E0D63">
        <w:rPr>
          <w:rFonts w:ascii="Arial" w:hAnsi="Arial" w:cs="Arial"/>
        </w:rPr>
        <w:t>Sumalapao</w:t>
      </w:r>
      <w:proofErr w:type="spellEnd"/>
      <w:r w:rsidRPr="008E0D63">
        <w:rPr>
          <w:rFonts w:ascii="Arial" w:hAnsi="Arial" w:cs="Arial"/>
        </w:rPr>
        <w:t xml:space="preserve"> et al., 2016). </w:t>
      </w:r>
    </w:p>
    <w:p w14:paraId="259FA726" w14:textId="77777777" w:rsidR="008E0D63" w:rsidRPr="0086772E" w:rsidRDefault="0086772E" w:rsidP="008E0D63">
      <w:pPr>
        <w:pStyle w:val="Body"/>
        <w:rPr>
          <w:rFonts w:ascii="Arial" w:hAnsi="Arial" w:cs="Arial"/>
          <w:i/>
          <w:u w:val="single"/>
        </w:rPr>
      </w:pPr>
      <w:r w:rsidRPr="0086772E">
        <w:rPr>
          <w:rFonts w:ascii="Arial" w:hAnsi="Arial" w:cs="Arial"/>
          <w:i/>
          <w:u w:val="single"/>
        </w:rPr>
        <w:t>3.1.6 Nitrate</w:t>
      </w:r>
    </w:p>
    <w:p w14:paraId="78DC25EE" w14:textId="77777777" w:rsidR="008E0D63" w:rsidRPr="008E0D63" w:rsidRDefault="008E0D63" w:rsidP="008E0D63">
      <w:pPr>
        <w:pStyle w:val="Body"/>
        <w:rPr>
          <w:rFonts w:ascii="Arial" w:hAnsi="Arial" w:cs="Arial"/>
        </w:rPr>
      </w:pPr>
      <w:r w:rsidRPr="008E0D63">
        <w:rPr>
          <w:rFonts w:ascii="Arial" w:hAnsi="Arial" w:cs="Arial"/>
        </w:rPr>
        <w:t>The average nitrate concentration was 8.81 mg/L, exceeding the DENR limit of 7 mg/L. The midstream reading of 9.54 mg/L was the highest. Elevated nitrate levels typically point to eutrophication—the over-enrichment of the water by nutrients, often from agricultural runoff (fertilizers) or wastewater discharge. Excess nitrate can fuel the excessive growth of algae (algal blooms), which, upon decomposition, consume large amounts of DO, leading to the low DO levels observed midstream and downstream. Cajucom et al. (2024) assessed nitrate and phosphate contaminants in agricultural soils and groundwater to understand the impact of agrochemical use. Although the study's specific nitrate concentrations in irrigation water were within the DENR limit of 7 mg/L, the research emphasized the general risk of excessive fertilizer application contaminating groundwater and surface water. It explicitly state that agricultural runoff is a major source of pollutants like nitrates and phosphates, which increase the risk of eutrophication.</w:t>
      </w:r>
    </w:p>
    <w:p w14:paraId="30A82674" w14:textId="77777777" w:rsidR="008E0D63" w:rsidRPr="0086772E" w:rsidRDefault="0086772E" w:rsidP="008E0D63">
      <w:pPr>
        <w:pStyle w:val="Body"/>
        <w:rPr>
          <w:rFonts w:ascii="Arial" w:hAnsi="Arial" w:cs="Arial"/>
          <w:i/>
          <w:u w:val="single"/>
        </w:rPr>
      </w:pPr>
      <w:r w:rsidRPr="0086772E">
        <w:rPr>
          <w:rFonts w:ascii="Arial" w:hAnsi="Arial" w:cs="Arial"/>
          <w:i/>
          <w:u w:val="single"/>
        </w:rPr>
        <w:t>3.1.7 Cadmium</w:t>
      </w:r>
    </w:p>
    <w:p w14:paraId="3DD807E2" w14:textId="77777777" w:rsidR="008E0D63" w:rsidRPr="008E0D63" w:rsidRDefault="008E0D63" w:rsidP="008E0D63">
      <w:pPr>
        <w:pStyle w:val="Body"/>
        <w:rPr>
          <w:rFonts w:ascii="Arial" w:hAnsi="Arial" w:cs="Arial"/>
        </w:rPr>
      </w:pPr>
      <w:r w:rsidRPr="008E0D63">
        <w:rPr>
          <w:rFonts w:ascii="Arial" w:hAnsi="Arial" w:cs="Arial"/>
        </w:rPr>
        <w:t>The average cadmium concentration was 0.006 mg/L, exceeding the DENR limit of 0.005 mg/L. The midstream reading of 0.007 mg/L was the highest. Cadmium is a heavy metal pollutant that is highly toxic to both humans and aquatic life, even at low concentrations. The fact that the average value and the midstream value exceed the standard is a serious concern. This indicates a source of heavy metal contamination, possibly from agricultural discharge, battery waste, or other anthropogenic activities, particularly concentrated in the midstream area. Due to its toxicity, this result warrants immediate attention and remediation efforts.</w:t>
      </w:r>
    </w:p>
    <w:p w14:paraId="23B3377B" w14:textId="77777777" w:rsidR="008E0D63" w:rsidRPr="008E0D63" w:rsidRDefault="008E0D63" w:rsidP="008E0D63">
      <w:pPr>
        <w:pStyle w:val="Body"/>
        <w:rPr>
          <w:rFonts w:ascii="Arial" w:hAnsi="Arial" w:cs="Arial"/>
        </w:rPr>
      </w:pPr>
    </w:p>
    <w:p w14:paraId="2D641D03" w14:textId="77777777" w:rsidR="008E0D63" w:rsidRDefault="008E0D63" w:rsidP="008E0D63">
      <w:pPr>
        <w:pStyle w:val="Body"/>
        <w:spacing w:after="0"/>
        <w:rPr>
          <w:rFonts w:ascii="Arial" w:hAnsi="Arial" w:cs="Arial"/>
        </w:rPr>
      </w:pPr>
      <w:r w:rsidRPr="008E0D63">
        <w:rPr>
          <w:rFonts w:ascii="Arial" w:hAnsi="Arial" w:cs="Arial"/>
        </w:rPr>
        <w:t>Cadmium (Cd) contamination in water bodies is a serious threat to aquatic life and human health (</w:t>
      </w:r>
      <w:proofErr w:type="spellStart"/>
      <w:r w:rsidRPr="008E0D63">
        <w:rPr>
          <w:rFonts w:ascii="Arial" w:hAnsi="Arial" w:cs="Arial"/>
        </w:rPr>
        <w:t>Perelonia</w:t>
      </w:r>
      <w:proofErr w:type="spellEnd"/>
      <w:r w:rsidRPr="008E0D63">
        <w:rPr>
          <w:rFonts w:ascii="Arial" w:hAnsi="Arial" w:cs="Arial"/>
        </w:rPr>
        <w:t xml:space="preserve"> et al., 2017) found that elevated levels of heavy metals, including Cd, were concentrated near point sources in aquatic environments surrounding Manila Bay, strongly suggesting anthropogenic inputs such as industrial discharge and land-based human activities as the major source of this pollution. The findings emphasized that heavy metals, like Cd, are hazardous even at low concentrations, pose an immense threat due to their persistence and bioaccumulation in the aquatic food chain, and Cd accumulation specifically affects major human organs like the kidney, liver, and central nervous system upon consumption of contaminated organisms. In their assessment, </w:t>
      </w:r>
      <w:proofErr w:type="spellStart"/>
      <w:r w:rsidRPr="008E0D63">
        <w:rPr>
          <w:rFonts w:ascii="Arial" w:hAnsi="Arial" w:cs="Arial"/>
        </w:rPr>
        <w:t>Petalcorin</w:t>
      </w:r>
      <w:proofErr w:type="spellEnd"/>
      <w:r w:rsidRPr="008E0D63">
        <w:rPr>
          <w:rFonts w:ascii="Arial" w:hAnsi="Arial" w:cs="Arial"/>
        </w:rPr>
        <w:t xml:space="preserve"> et al. (2022) reported that the cadmium concentration in the Cagayan de Oro River averaged 0.048 mg/L and in the </w:t>
      </w:r>
      <w:proofErr w:type="spellStart"/>
      <w:r w:rsidRPr="008E0D63">
        <w:rPr>
          <w:rFonts w:ascii="Arial" w:hAnsi="Arial" w:cs="Arial"/>
        </w:rPr>
        <w:t>Iponan</w:t>
      </w:r>
      <w:proofErr w:type="spellEnd"/>
      <w:r w:rsidRPr="008E0D63">
        <w:rPr>
          <w:rFonts w:ascii="Arial" w:hAnsi="Arial" w:cs="Arial"/>
        </w:rPr>
        <w:t xml:space="preserve"> River averaged 0.033 mg/L, with the Cagayan de Oro value being notably above the DENR's maximum allowable limit of 0.005 mg/L for Class C waters .The study's risk characterization indicated an enormous risk to the river ecosystems due to cadmium, which is highly relevant to the observed high midstream reading, supporting the need for immediate attention to this non-degradable pollutant.</w:t>
      </w:r>
    </w:p>
    <w:p w14:paraId="74B9BFD2" w14:textId="77777777" w:rsidR="008E0D63" w:rsidRDefault="008E0D63" w:rsidP="00441B6F">
      <w:pPr>
        <w:pStyle w:val="Body"/>
        <w:spacing w:after="0"/>
        <w:rPr>
          <w:rFonts w:ascii="Arial" w:hAnsi="Arial" w:cs="Arial"/>
        </w:rPr>
      </w:pPr>
    </w:p>
    <w:p w14:paraId="1500E349" w14:textId="77777777" w:rsidR="006E3B29" w:rsidRDefault="006E3B29" w:rsidP="006E3B29">
      <w:pPr>
        <w:pStyle w:val="Body"/>
        <w:spacing w:after="0"/>
        <w:rPr>
          <w:rFonts w:ascii="Arial" w:hAnsi="Arial" w:cs="Arial"/>
          <w:b/>
          <w:sz w:val="22"/>
        </w:rPr>
      </w:pPr>
      <w:r w:rsidRPr="00C4704B">
        <w:rPr>
          <w:rFonts w:ascii="Arial" w:hAnsi="Arial" w:cs="Arial"/>
          <w:b/>
          <w:sz w:val="22"/>
        </w:rPr>
        <w:t>3.</w:t>
      </w:r>
      <w:r w:rsidR="004B577A">
        <w:rPr>
          <w:rFonts w:ascii="Arial" w:hAnsi="Arial" w:cs="Arial"/>
          <w:b/>
          <w:sz w:val="22"/>
        </w:rPr>
        <w:t>2</w:t>
      </w:r>
      <w:r w:rsidRPr="00C4704B">
        <w:rPr>
          <w:rFonts w:ascii="Arial" w:hAnsi="Arial" w:cs="Arial"/>
          <w:b/>
          <w:sz w:val="22"/>
        </w:rPr>
        <w:t xml:space="preserve"> </w:t>
      </w:r>
      <w:r w:rsidRPr="006E3B29">
        <w:rPr>
          <w:rFonts w:ascii="Arial" w:hAnsi="Arial" w:cs="Arial"/>
          <w:b/>
          <w:sz w:val="22"/>
        </w:rPr>
        <w:t>Descriptive analysis of Microbiological Quality of Laligan River</w:t>
      </w:r>
    </w:p>
    <w:p w14:paraId="5E1C3512" w14:textId="77777777" w:rsidR="006E3B29" w:rsidRPr="006E3B29" w:rsidRDefault="006E3B29" w:rsidP="006E3B29">
      <w:pPr>
        <w:pStyle w:val="Body"/>
        <w:spacing w:after="0"/>
        <w:rPr>
          <w:rFonts w:ascii="Arial" w:hAnsi="Arial" w:cs="Arial"/>
          <w:b/>
          <w:sz w:val="22"/>
        </w:rPr>
      </w:pPr>
    </w:p>
    <w:p w14:paraId="7B2CCD4D" w14:textId="77777777" w:rsidR="006E3B29" w:rsidRPr="006E3B29" w:rsidRDefault="006E3B29" w:rsidP="006E3B29">
      <w:pPr>
        <w:pStyle w:val="Body"/>
        <w:rPr>
          <w:rFonts w:ascii="Arial" w:hAnsi="Arial" w:cs="Arial"/>
        </w:rPr>
      </w:pPr>
      <w:r w:rsidRPr="006E3B29">
        <w:rPr>
          <w:rFonts w:ascii="Arial" w:hAnsi="Arial" w:cs="Arial"/>
        </w:rPr>
        <w:t>The microbiological quality of the Laligan River shown in Figure 2 demonstrates an evident deterioration in water health, particularly in the downstream segments, signaling substantial fecal contamination that renders the water body unsuitable for most beneficial uses as defined by Philippine water quality guidelines. The assessment of both Total Coliform (TC) and Fecal Coliform (FC) across the three sampling points: Upstream, Midstream, and Downstream, revealed a clear pollution gradient that significantly exceeds the Department of Environment and Natural Resources (DENR) standards.</w:t>
      </w:r>
    </w:p>
    <w:p w14:paraId="00CCF40B" w14:textId="77777777" w:rsidR="006E3B29" w:rsidRPr="006E3B29" w:rsidRDefault="006E3B29" w:rsidP="006E3B29">
      <w:pPr>
        <w:pStyle w:val="Body"/>
        <w:rPr>
          <w:rFonts w:ascii="Arial" w:hAnsi="Arial" w:cs="Arial"/>
        </w:rPr>
      </w:pPr>
      <w:r>
        <w:rPr>
          <w:rFonts w:ascii="Arial" w:hAnsi="Arial" w:cs="Arial"/>
          <w:noProof/>
        </w:rPr>
        <w:drawing>
          <wp:anchor distT="0" distB="0" distL="114300" distR="114300" simplePos="0" relativeHeight="251659264" behindDoc="0" locked="0" layoutInCell="1" allowOverlap="1" wp14:anchorId="5CCD7016" wp14:editId="5051DC33">
            <wp:simplePos x="0" y="0"/>
            <wp:positionH relativeFrom="column">
              <wp:posOffset>357382</wp:posOffset>
            </wp:positionH>
            <wp:positionV relativeFrom="paragraph">
              <wp:posOffset>32215</wp:posOffset>
            </wp:positionV>
            <wp:extent cx="4620895" cy="254254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0895" cy="2542540"/>
                    </a:xfrm>
                    <a:prstGeom prst="rect">
                      <a:avLst/>
                    </a:prstGeom>
                    <a:noFill/>
                  </pic:spPr>
                </pic:pic>
              </a:graphicData>
            </a:graphic>
            <wp14:sizeRelH relativeFrom="page">
              <wp14:pctWidth>0</wp14:pctWidth>
            </wp14:sizeRelH>
            <wp14:sizeRelV relativeFrom="page">
              <wp14:pctHeight>0</wp14:pctHeight>
            </wp14:sizeRelV>
          </wp:anchor>
        </w:drawing>
      </w:r>
    </w:p>
    <w:p w14:paraId="51BB0138" w14:textId="77777777" w:rsidR="006E3B29" w:rsidRPr="006E3B29" w:rsidRDefault="006E3B29" w:rsidP="006E3B29">
      <w:pPr>
        <w:pStyle w:val="Body"/>
        <w:rPr>
          <w:rFonts w:ascii="Arial" w:hAnsi="Arial" w:cs="Arial"/>
        </w:rPr>
      </w:pPr>
    </w:p>
    <w:p w14:paraId="0E2A962B" w14:textId="77777777" w:rsidR="006E3B29" w:rsidRPr="006E3B29" w:rsidRDefault="006E3B29" w:rsidP="006E3B29">
      <w:pPr>
        <w:pStyle w:val="Body"/>
        <w:rPr>
          <w:rFonts w:ascii="Arial" w:hAnsi="Arial" w:cs="Arial"/>
        </w:rPr>
      </w:pPr>
    </w:p>
    <w:p w14:paraId="12CF9FE1" w14:textId="77777777" w:rsidR="006E3B29" w:rsidRPr="006E3B29" w:rsidRDefault="006E3B29" w:rsidP="006E3B29">
      <w:pPr>
        <w:pStyle w:val="Body"/>
        <w:rPr>
          <w:rFonts w:ascii="Arial" w:hAnsi="Arial" w:cs="Arial"/>
        </w:rPr>
      </w:pPr>
    </w:p>
    <w:p w14:paraId="42352D51" w14:textId="77777777" w:rsidR="006E3B29" w:rsidRPr="006E3B29" w:rsidRDefault="006E3B29" w:rsidP="006E3B29">
      <w:pPr>
        <w:pStyle w:val="Body"/>
        <w:rPr>
          <w:rFonts w:ascii="Arial" w:hAnsi="Arial" w:cs="Arial"/>
        </w:rPr>
      </w:pPr>
    </w:p>
    <w:p w14:paraId="0D184735" w14:textId="77777777" w:rsidR="006E3B29" w:rsidRPr="006E3B29" w:rsidRDefault="006E3B29" w:rsidP="006E3B29">
      <w:pPr>
        <w:pStyle w:val="Body"/>
        <w:rPr>
          <w:rFonts w:ascii="Arial" w:hAnsi="Arial" w:cs="Arial"/>
        </w:rPr>
      </w:pPr>
    </w:p>
    <w:p w14:paraId="77707A5E" w14:textId="77777777" w:rsidR="006E3B29" w:rsidRPr="006E3B29" w:rsidRDefault="006E3B29" w:rsidP="006E3B29">
      <w:pPr>
        <w:pStyle w:val="Body"/>
        <w:rPr>
          <w:rFonts w:ascii="Arial" w:hAnsi="Arial" w:cs="Arial"/>
        </w:rPr>
      </w:pPr>
    </w:p>
    <w:p w14:paraId="3113583E" w14:textId="77777777" w:rsidR="006E3B29" w:rsidRPr="006E3B29" w:rsidRDefault="006E3B29" w:rsidP="006E3B29">
      <w:pPr>
        <w:pStyle w:val="Body"/>
        <w:rPr>
          <w:rFonts w:ascii="Arial" w:hAnsi="Arial" w:cs="Arial"/>
        </w:rPr>
      </w:pPr>
    </w:p>
    <w:p w14:paraId="4E2D122C" w14:textId="77777777" w:rsidR="006E3B29" w:rsidRPr="006E3B29" w:rsidRDefault="006E3B29" w:rsidP="006E3B29">
      <w:pPr>
        <w:pStyle w:val="Body"/>
        <w:rPr>
          <w:rFonts w:ascii="Arial" w:hAnsi="Arial" w:cs="Arial"/>
        </w:rPr>
      </w:pPr>
    </w:p>
    <w:p w14:paraId="321EFF0C" w14:textId="77777777" w:rsidR="006E3B29" w:rsidRPr="00BB169A" w:rsidRDefault="006E3B29" w:rsidP="00BB169A">
      <w:pPr>
        <w:pStyle w:val="Body"/>
        <w:jc w:val="center"/>
        <w:rPr>
          <w:rFonts w:ascii="Arial" w:hAnsi="Arial" w:cs="Arial"/>
          <w:i/>
        </w:rPr>
      </w:pPr>
      <w:r w:rsidRPr="006E3B29">
        <w:rPr>
          <w:rFonts w:ascii="Arial" w:hAnsi="Arial" w:cs="Arial"/>
          <w:b/>
          <w:i/>
        </w:rPr>
        <w:t>Figure 2:</w:t>
      </w:r>
      <w:r w:rsidRPr="006E3B29">
        <w:rPr>
          <w:rFonts w:ascii="Arial" w:hAnsi="Arial" w:cs="Arial"/>
          <w:i/>
        </w:rPr>
        <w:t xml:space="preserve"> Microbiological Parameters of Laligan River</w:t>
      </w:r>
      <w:r>
        <w:rPr>
          <w:rFonts w:ascii="Arial" w:hAnsi="Arial" w:cs="Arial"/>
          <w:i/>
        </w:rPr>
        <w:t>, Valencia City</w:t>
      </w:r>
    </w:p>
    <w:p w14:paraId="6A2B39C3" w14:textId="77777777" w:rsidR="006E3B29" w:rsidRPr="006E3B29" w:rsidRDefault="006E3B29" w:rsidP="006E3B29">
      <w:pPr>
        <w:pStyle w:val="Body"/>
        <w:rPr>
          <w:rFonts w:ascii="Arial" w:hAnsi="Arial" w:cs="Arial"/>
        </w:rPr>
      </w:pPr>
      <w:r w:rsidRPr="006E3B29">
        <w:rPr>
          <w:rFonts w:ascii="Arial" w:hAnsi="Arial" w:cs="Arial"/>
        </w:rPr>
        <w:t xml:space="preserve">The analysis of Total Coliforms indicated a concerning shift in microbial load along the river's course. While the Upstream section exhibited a concentration of 3,000 MPN/100 mL, which is compliant with the standard of 5,000 MPN/100 mL, the concentration abruptly escalated to 15,000 MPN/100 mL at the Midstream and Downstream stations. This threefold exceedance of the regulatory limit suggests a definitive introduction of a major pollution source between </w:t>
      </w:r>
      <w:r w:rsidRPr="006E3B29">
        <w:rPr>
          <w:rFonts w:ascii="Arial" w:hAnsi="Arial" w:cs="Arial"/>
        </w:rPr>
        <w:lastRenderedPageBreak/>
        <w:t>the headwaters and the river's central reach. Total coliforms, while not exclusively fecal in origin, act as a primary indicator of general water quality degradation, often pointing toward environmental runoff and pollution by organic materials (</w:t>
      </w:r>
      <w:proofErr w:type="spellStart"/>
      <w:r w:rsidRPr="006E3B29">
        <w:rPr>
          <w:rFonts w:ascii="Arial" w:hAnsi="Arial" w:cs="Arial"/>
        </w:rPr>
        <w:t>Dumago</w:t>
      </w:r>
      <w:proofErr w:type="spellEnd"/>
      <w:r w:rsidRPr="006E3B29">
        <w:rPr>
          <w:rFonts w:ascii="Arial" w:hAnsi="Arial" w:cs="Arial"/>
        </w:rPr>
        <w:t xml:space="preserve"> et al., 2018). The consistently high coliform counts in the middle and lower reaches, as observed in this study, mirror the findings of other local river assessments, which attribute similar pollution spikes to the integration of the waterway with intensified human settlements and agricultural acti</w:t>
      </w:r>
      <w:r w:rsidR="00BB169A">
        <w:rPr>
          <w:rFonts w:ascii="Arial" w:hAnsi="Arial" w:cs="Arial"/>
        </w:rPr>
        <w:t>vities (Zoleta &amp; Nawang, 2015).</w:t>
      </w:r>
    </w:p>
    <w:p w14:paraId="1753D5D8" w14:textId="77777777" w:rsidR="008E0D63" w:rsidRDefault="006E3B29" w:rsidP="006E3B29">
      <w:pPr>
        <w:pStyle w:val="Body"/>
        <w:spacing w:after="0"/>
        <w:rPr>
          <w:rFonts w:ascii="Arial" w:hAnsi="Arial" w:cs="Arial"/>
        </w:rPr>
      </w:pPr>
      <w:r w:rsidRPr="006E3B29">
        <w:rPr>
          <w:rFonts w:ascii="Arial" w:hAnsi="Arial" w:cs="Arial"/>
        </w:rPr>
        <w:t xml:space="preserve">The Fecal Coliforms (FC) results provide a more critical measure, acting as a direct proxy for the presence of warm-blooded animal and human excreta, and thus, pathogenic organisms. Even the Upstream section was found to be in non-compliance, registering 1,000 MPN/100 mL against a stringent limit of 400 MPN/100 </w:t>
      </w:r>
      <w:proofErr w:type="spellStart"/>
      <w:r w:rsidRPr="006E3B29">
        <w:rPr>
          <w:rFonts w:ascii="Arial" w:hAnsi="Arial" w:cs="Arial"/>
        </w:rPr>
        <w:t>mL.</w:t>
      </w:r>
      <w:proofErr w:type="spellEnd"/>
      <w:r w:rsidRPr="006E3B29">
        <w:rPr>
          <w:rFonts w:ascii="Arial" w:hAnsi="Arial" w:cs="Arial"/>
        </w:rPr>
        <w:t xml:space="preserve"> This initial contamination, exceeding the standard by 2.5 times, suggests a low level of persistent, likely diffuse, fecal pollution, perhaps from livestock or scattered upstream dwellings. However, the subsequent magnitude of pollution in the Midstream and Downstream sections, which both recorded an alarming 17,000 MPN/100 mL, is a grave public health and ecological concern. This concentration is over 42 times the permissible standard, indicating a massive, sustained influx of untreated or inadequately treated domestic sewage and/or animal waste into the river network. Pandan and Jonco (2022) discusses the water quality in a Marine Protected Area and a contributory river in the Philippines, specifically noting that fecal coliform counts exceeded DENR standards, indicating contamination from human and/or animal fecal matter.</w:t>
      </w:r>
    </w:p>
    <w:p w14:paraId="063F7772" w14:textId="77777777" w:rsidR="008E0D63" w:rsidRPr="00FB3A86" w:rsidRDefault="008E0D63" w:rsidP="00441B6F">
      <w:pPr>
        <w:pStyle w:val="Body"/>
        <w:spacing w:after="0"/>
        <w:rPr>
          <w:rFonts w:ascii="Arial" w:hAnsi="Arial" w:cs="Arial"/>
        </w:rPr>
      </w:pPr>
    </w:p>
    <w:p w14:paraId="4BD5F7D3"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6A914852" w14:textId="77777777" w:rsidR="00790ADA" w:rsidRPr="00FB3A86" w:rsidRDefault="00790ADA" w:rsidP="00441B6F">
      <w:pPr>
        <w:pStyle w:val="ConcHead"/>
        <w:spacing w:after="0"/>
        <w:jc w:val="both"/>
        <w:rPr>
          <w:rFonts w:ascii="Arial" w:hAnsi="Arial" w:cs="Arial"/>
        </w:rPr>
      </w:pPr>
    </w:p>
    <w:p w14:paraId="6290567E" w14:textId="77777777" w:rsidR="00692AE2" w:rsidRDefault="00BB169A" w:rsidP="004B577A">
      <w:pPr>
        <w:pStyle w:val="ReferHead"/>
        <w:jc w:val="both"/>
        <w:rPr>
          <w:rFonts w:ascii="Arial" w:hAnsi="Arial" w:cs="Arial"/>
          <w:b w:val="0"/>
          <w:caps w:val="0"/>
          <w:sz w:val="20"/>
        </w:rPr>
      </w:pPr>
      <w:r w:rsidRPr="00BB169A">
        <w:rPr>
          <w:rFonts w:ascii="Arial" w:hAnsi="Arial" w:cs="Arial"/>
          <w:b w:val="0"/>
          <w:caps w:val="0"/>
          <w:sz w:val="20"/>
        </w:rPr>
        <w:t>The physicochemical and microbiological assessment of the Laligan River confirms a notable deterioration in water quality from its headwaters to its downstream sections, primarily driven by anthropogenic pollution. While parameters like Total Dissolved Solids (188.41 mg/L), Turbidity (0.78 NTU), pH (7.76), and Total Alkalinity (98.11 mg/L) were generally within the acceptable Department of Environment and Natural Resources (DENR) Class C standards, three critical pollutants exceeded regulatory limits, signaling ecosystem stress and public health risk. The most concerning issues are the high concentrations of Cadmium (average of 0.006 mg/L, exceeding the 0.005 mg/L limit) and Nitrate (average of 8.81 mg/L, exceeding the 7 mg/L limit), particularly in the midstream area, pointing to localized heavy metal and nutrient contamination, likely from agricultural runoff or industrial/domestic discharge. This nutrient load is directly implicated in the critically low average Dissolved Oxygen (DO) concentration of 4.48 mg/L, which falls below the 5.0 mg/L mandatory minimum, indicating a significant organic pollution load and a state of environmental stress that threatens aquatic life in the river's lower reaches.</w:t>
      </w:r>
      <w:r w:rsidR="004B577A">
        <w:rPr>
          <w:rFonts w:ascii="Arial" w:hAnsi="Arial" w:cs="Arial"/>
          <w:b w:val="0"/>
          <w:caps w:val="0"/>
          <w:sz w:val="20"/>
        </w:rPr>
        <w:t xml:space="preserve"> </w:t>
      </w:r>
      <w:r w:rsidRPr="00BB169A">
        <w:rPr>
          <w:rFonts w:ascii="Arial" w:hAnsi="Arial" w:cs="Arial"/>
          <w:b w:val="0"/>
          <w:caps w:val="0"/>
          <w:sz w:val="20"/>
        </w:rPr>
        <w:t>Furthermore, the microbiological quality presents a severe public health hazard. Fecal Coliform counts were non-compliant even upstream (4,000 MPN/100 mL against a 400 MPN/100 mL limit) and reached an alarming 17,000 MPN/</w:t>
      </w:r>
      <w:r>
        <w:rPr>
          <w:rFonts w:ascii="Arial" w:hAnsi="Arial" w:cs="Arial"/>
          <w:b w:val="0"/>
          <w:caps w:val="0"/>
          <w:sz w:val="20"/>
        </w:rPr>
        <w:t xml:space="preserve">100 mL midstream and downstream </w:t>
      </w:r>
      <w:r w:rsidRPr="00BB169A">
        <w:rPr>
          <w:rFonts w:ascii="Arial" w:hAnsi="Arial" w:cs="Arial"/>
          <w:b w:val="0"/>
          <w:caps w:val="0"/>
          <w:sz w:val="20"/>
        </w:rPr>
        <w:t>over 42 times the permissible standard. This pervasive fecal contamination, evident in the clear pollution gradient, decisively classifies the Laligan River as unsuitable for beneficial uses as a Class C water body, underscoring the urgent necessity for rigorous watershed management, targeted pollution source identification, and the immediate implementation of robust wastewater treatment infrastructure to safeguard both ecological integrity and community health.</w:t>
      </w:r>
    </w:p>
    <w:p w14:paraId="5652FE68" w14:textId="77777777" w:rsidR="00692AE2" w:rsidRDefault="00692AE2" w:rsidP="00BB169A">
      <w:pPr>
        <w:pStyle w:val="ReferHead"/>
        <w:spacing w:after="0"/>
        <w:jc w:val="both"/>
        <w:rPr>
          <w:rFonts w:ascii="Arial" w:hAnsi="Arial" w:cs="Arial"/>
          <w:b w:val="0"/>
          <w:caps w:val="0"/>
          <w:sz w:val="20"/>
        </w:rPr>
      </w:pPr>
    </w:p>
    <w:p w14:paraId="48F6C56E" w14:textId="77777777" w:rsidR="0014441F" w:rsidRPr="00786D36" w:rsidRDefault="0014441F" w:rsidP="00BB169A">
      <w:pPr>
        <w:pStyle w:val="ReferHead"/>
        <w:spacing w:after="0"/>
        <w:jc w:val="both"/>
        <w:rPr>
          <w:rFonts w:ascii="Arial" w:hAnsi="Arial" w:cs="Arial"/>
          <w:bCs/>
        </w:rPr>
      </w:pPr>
      <w:r>
        <w:rPr>
          <w:rFonts w:ascii="Arial" w:hAnsi="Arial" w:cs="Arial"/>
          <w:bCs/>
        </w:rPr>
        <w:t>disclaimer (artificial intelligence)</w:t>
      </w:r>
    </w:p>
    <w:p w14:paraId="3E00EB25" w14:textId="77777777" w:rsidR="0014441F" w:rsidRDefault="0014441F" w:rsidP="00441B6F">
      <w:pPr>
        <w:pStyle w:val="ReferHead"/>
        <w:spacing w:after="0"/>
        <w:jc w:val="both"/>
        <w:rPr>
          <w:rFonts w:ascii="Arial" w:hAnsi="Arial" w:cs="Arial"/>
          <w:bCs/>
        </w:rPr>
      </w:pPr>
    </w:p>
    <w:p w14:paraId="4449D0A5" w14:textId="77777777" w:rsidR="0014441F" w:rsidRPr="0014441F" w:rsidRDefault="00980B0B" w:rsidP="00441B6F">
      <w:pPr>
        <w:pStyle w:val="ReferHead"/>
        <w:spacing w:after="0"/>
        <w:jc w:val="both"/>
        <w:rPr>
          <w:rFonts w:ascii="Arial" w:hAnsi="Arial" w:cs="Arial"/>
          <w:b w:val="0"/>
          <w:bCs/>
          <w:sz w:val="20"/>
        </w:rPr>
      </w:pPr>
      <w:r>
        <w:rPr>
          <w:rFonts w:ascii="Arial" w:hAnsi="Arial" w:cs="Arial"/>
          <w:b w:val="0"/>
          <w:bCs/>
          <w:caps w:val="0"/>
          <w:sz w:val="20"/>
        </w:rPr>
        <w:t>Authors  hereby  d</w:t>
      </w:r>
      <w:r w:rsidR="0014441F" w:rsidRPr="0014441F">
        <w:rPr>
          <w:rFonts w:ascii="Arial" w:hAnsi="Arial" w:cs="Arial"/>
          <w:b w:val="0"/>
          <w:bCs/>
          <w:caps w:val="0"/>
          <w:sz w:val="20"/>
        </w:rPr>
        <w:t xml:space="preserve">eclare </w:t>
      </w:r>
      <w:r>
        <w:rPr>
          <w:rFonts w:ascii="Arial" w:hAnsi="Arial" w:cs="Arial"/>
          <w:b w:val="0"/>
          <w:bCs/>
          <w:caps w:val="0"/>
          <w:sz w:val="20"/>
        </w:rPr>
        <w:t>that  no  g</w:t>
      </w:r>
      <w:r w:rsidR="0014441F">
        <w:rPr>
          <w:rFonts w:ascii="Arial" w:hAnsi="Arial" w:cs="Arial"/>
          <w:b w:val="0"/>
          <w:bCs/>
          <w:caps w:val="0"/>
          <w:sz w:val="20"/>
        </w:rPr>
        <w:t>enerative  AI</w:t>
      </w:r>
      <w:r>
        <w:rPr>
          <w:rFonts w:ascii="Arial" w:hAnsi="Arial" w:cs="Arial"/>
          <w:b w:val="0"/>
          <w:bCs/>
          <w:caps w:val="0"/>
          <w:sz w:val="20"/>
        </w:rPr>
        <w:t xml:space="preserve"> technologies  such  as  l</w:t>
      </w:r>
      <w:r w:rsidR="0014441F" w:rsidRPr="0014441F">
        <w:rPr>
          <w:rFonts w:ascii="Arial" w:hAnsi="Arial" w:cs="Arial"/>
          <w:b w:val="0"/>
          <w:bCs/>
          <w:caps w:val="0"/>
          <w:sz w:val="20"/>
        </w:rPr>
        <w:t xml:space="preserve">arge  </w:t>
      </w:r>
      <w:r>
        <w:rPr>
          <w:rFonts w:ascii="Arial" w:hAnsi="Arial" w:cs="Arial"/>
          <w:b w:val="0"/>
          <w:bCs/>
          <w:caps w:val="0"/>
          <w:sz w:val="20"/>
        </w:rPr>
        <w:t>language  m</w:t>
      </w:r>
      <w:r w:rsidR="0014441F" w:rsidRPr="0014441F">
        <w:rPr>
          <w:rFonts w:ascii="Arial" w:hAnsi="Arial" w:cs="Arial"/>
          <w:b w:val="0"/>
          <w:bCs/>
          <w:caps w:val="0"/>
          <w:sz w:val="20"/>
        </w:rPr>
        <w:t xml:space="preserve">odels (CHATGPT,   COPILOT,   </w:t>
      </w:r>
      <w:r w:rsidR="004B577A">
        <w:rPr>
          <w:rFonts w:ascii="Arial" w:hAnsi="Arial" w:cs="Arial"/>
          <w:b w:val="0"/>
          <w:bCs/>
          <w:caps w:val="0"/>
          <w:sz w:val="20"/>
        </w:rPr>
        <w:t>e</w:t>
      </w:r>
      <w:r>
        <w:rPr>
          <w:rFonts w:ascii="Arial" w:hAnsi="Arial" w:cs="Arial"/>
          <w:b w:val="0"/>
          <w:bCs/>
          <w:caps w:val="0"/>
          <w:sz w:val="20"/>
        </w:rPr>
        <w:t>tc</w:t>
      </w:r>
      <w:r w:rsidR="004B577A">
        <w:rPr>
          <w:rFonts w:ascii="Arial" w:hAnsi="Arial" w:cs="Arial"/>
          <w:b w:val="0"/>
          <w:bCs/>
          <w:caps w:val="0"/>
          <w:sz w:val="20"/>
        </w:rPr>
        <w:t>.</w:t>
      </w:r>
      <w:r>
        <w:rPr>
          <w:rFonts w:ascii="Arial" w:hAnsi="Arial" w:cs="Arial"/>
          <w:b w:val="0"/>
          <w:bCs/>
          <w:caps w:val="0"/>
          <w:sz w:val="20"/>
        </w:rPr>
        <w:t xml:space="preserve">)   </w:t>
      </w:r>
      <w:proofErr w:type="gramStart"/>
      <w:r>
        <w:rPr>
          <w:rFonts w:ascii="Arial" w:hAnsi="Arial" w:cs="Arial"/>
          <w:b w:val="0"/>
          <w:bCs/>
          <w:caps w:val="0"/>
          <w:sz w:val="20"/>
        </w:rPr>
        <w:t>and</w:t>
      </w:r>
      <w:proofErr w:type="gramEnd"/>
      <w:r>
        <w:rPr>
          <w:rFonts w:ascii="Arial" w:hAnsi="Arial" w:cs="Arial"/>
          <w:b w:val="0"/>
          <w:bCs/>
          <w:caps w:val="0"/>
          <w:sz w:val="20"/>
        </w:rPr>
        <w:t xml:space="preserve">   text-to-image generators  have  been  used  during  writing  or editing of this m</w:t>
      </w:r>
      <w:r w:rsidR="0014441F" w:rsidRPr="0014441F">
        <w:rPr>
          <w:rFonts w:ascii="Arial" w:hAnsi="Arial" w:cs="Arial"/>
          <w:b w:val="0"/>
          <w:bCs/>
          <w:caps w:val="0"/>
          <w:sz w:val="20"/>
        </w:rPr>
        <w:t>anuscript.</w:t>
      </w:r>
    </w:p>
    <w:p w14:paraId="5ED61A7D" w14:textId="77777777" w:rsidR="0014441F" w:rsidRDefault="0014441F" w:rsidP="00441B6F">
      <w:pPr>
        <w:pStyle w:val="ReferHead"/>
        <w:spacing w:after="0"/>
        <w:jc w:val="both"/>
        <w:rPr>
          <w:rFonts w:ascii="Arial" w:hAnsi="Arial" w:cs="Arial"/>
          <w:bCs/>
        </w:rPr>
      </w:pPr>
    </w:p>
    <w:p w14:paraId="56C3115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47E0277" w14:textId="77777777" w:rsidR="00860000" w:rsidRPr="00786D36" w:rsidRDefault="00860000" w:rsidP="00441B6F">
      <w:pPr>
        <w:pStyle w:val="ReferHead"/>
        <w:spacing w:after="0"/>
        <w:jc w:val="both"/>
        <w:rPr>
          <w:rFonts w:ascii="Arial" w:hAnsi="Arial" w:cs="Arial"/>
        </w:rPr>
      </w:pPr>
    </w:p>
    <w:p w14:paraId="4131555D" w14:textId="77777777" w:rsidR="00371FB6" w:rsidRDefault="006E0372" w:rsidP="00441B6F">
      <w:pPr>
        <w:pStyle w:val="ReferHead"/>
        <w:spacing w:after="0"/>
        <w:jc w:val="both"/>
        <w:rPr>
          <w:rFonts w:ascii="Arial" w:hAnsi="Arial" w:cs="Arial"/>
          <w:b w:val="0"/>
          <w:caps w:val="0"/>
          <w:sz w:val="20"/>
        </w:rPr>
      </w:pPr>
      <w:r w:rsidRPr="006E0372">
        <w:rPr>
          <w:rFonts w:ascii="Arial" w:hAnsi="Arial" w:cs="Arial"/>
          <w:b w:val="0"/>
          <w:caps w:val="0"/>
          <w:sz w:val="20"/>
        </w:rPr>
        <w:t>Authors  have  declared  that  they  have  no  known competing   financial   interests or non-financial interests or</w:t>
      </w:r>
      <w:r>
        <w:rPr>
          <w:rFonts w:ascii="Arial" w:hAnsi="Arial" w:cs="Arial"/>
          <w:b w:val="0"/>
          <w:caps w:val="0"/>
          <w:sz w:val="20"/>
        </w:rPr>
        <w:t xml:space="preserve"> </w:t>
      </w:r>
      <w:r w:rsidRPr="006E0372">
        <w:rPr>
          <w:rFonts w:ascii="Arial" w:hAnsi="Arial" w:cs="Arial"/>
          <w:b w:val="0"/>
          <w:caps w:val="0"/>
          <w:sz w:val="20"/>
        </w:rPr>
        <w:t>personal   relationships   that   could have  appeared  to  influence  the  work  reported  in this paper.</w:t>
      </w:r>
    </w:p>
    <w:p w14:paraId="1CA4AB3A" w14:textId="77777777" w:rsidR="006E0372" w:rsidRDefault="006E0372" w:rsidP="00441B6F">
      <w:pPr>
        <w:pStyle w:val="ReferHead"/>
        <w:spacing w:after="0"/>
        <w:jc w:val="both"/>
        <w:rPr>
          <w:rFonts w:ascii="Arial" w:hAnsi="Arial" w:cs="Arial"/>
          <w:b w:val="0"/>
          <w:caps w:val="0"/>
          <w:sz w:val="20"/>
        </w:rPr>
      </w:pPr>
    </w:p>
    <w:p w14:paraId="6FDA435A" w14:textId="77777777" w:rsidR="00D30E8B" w:rsidRDefault="00D30E8B" w:rsidP="00441B6F">
      <w:pPr>
        <w:pStyle w:val="ReferHead"/>
        <w:spacing w:after="0"/>
        <w:jc w:val="both"/>
        <w:rPr>
          <w:rFonts w:ascii="Arial" w:hAnsi="Arial" w:cs="Arial"/>
          <w:b w:val="0"/>
          <w:caps w:val="0"/>
          <w:sz w:val="20"/>
        </w:rPr>
      </w:pPr>
    </w:p>
    <w:p w14:paraId="1EF144EF" w14:textId="77777777" w:rsidR="00D30E8B" w:rsidRPr="00D30E8B" w:rsidRDefault="00D30E8B" w:rsidP="00D30E8B">
      <w:pPr>
        <w:pStyle w:val="ReferHead"/>
        <w:jc w:val="both"/>
        <w:rPr>
          <w:rFonts w:ascii="Arial" w:hAnsi="Arial" w:cs="Arial"/>
          <w:b w:val="0"/>
          <w:caps w:val="0"/>
          <w:sz w:val="20"/>
        </w:rPr>
      </w:pPr>
      <w:r w:rsidRPr="00D30E8B">
        <w:rPr>
          <w:rFonts w:ascii="Arial" w:hAnsi="Arial" w:cs="Arial"/>
          <w:b w:val="0"/>
          <w:caps w:val="0"/>
          <w:sz w:val="20"/>
        </w:rPr>
        <w:t>COMPETING INTERESTS DISCLAIMER:</w:t>
      </w:r>
    </w:p>
    <w:p w14:paraId="0826B687" w14:textId="28EE53BA" w:rsidR="00D30E8B" w:rsidRPr="00C56BFC" w:rsidRDefault="00D30E8B" w:rsidP="00D30E8B">
      <w:pPr>
        <w:pStyle w:val="ReferHead"/>
        <w:spacing w:after="0"/>
        <w:jc w:val="both"/>
        <w:rPr>
          <w:rFonts w:ascii="Arial" w:hAnsi="Arial" w:cs="Arial"/>
          <w:b w:val="0"/>
          <w:caps w:val="0"/>
          <w:sz w:val="20"/>
        </w:rPr>
      </w:pPr>
      <w:r w:rsidRPr="00D30E8B">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C739626" w14:textId="77777777" w:rsidR="00860000" w:rsidRDefault="00860000" w:rsidP="00441B6F">
      <w:pPr>
        <w:pStyle w:val="ReferHead"/>
        <w:spacing w:after="0"/>
        <w:jc w:val="both"/>
        <w:rPr>
          <w:rFonts w:ascii="Arial" w:hAnsi="Arial" w:cs="Arial"/>
        </w:rPr>
      </w:pPr>
    </w:p>
    <w:p w14:paraId="1953EC4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39C034F" w14:textId="77777777" w:rsidR="00790ADA" w:rsidRPr="00FB3A86" w:rsidRDefault="00790ADA" w:rsidP="00441B6F">
      <w:pPr>
        <w:pStyle w:val="ReferHead"/>
        <w:spacing w:after="0"/>
        <w:jc w:val="both"/>
        <w:rPr>
          <w:rFonts w:ascii="Arial" w:hAnsi="Arial" w:cs="Arial"/>
        </w:rPr>
      </w:pPr>
    </w:p>
    <w:p w14:paraId="5337CB49" w14:textId="77777777" w:rsidR="00692AE2" w:rsidRDefault="00692AE2" w:rsidP="007020E8">
      <w:pPr>
        <w:pStyle w:val="Body"/>
      </w:pPr>
      <w:r>
        <w:t xml:space="preserve">Alburo, R. P., Alburo, H. M., </w:t>
      </w:r>
      <w:proofErr w:type="spellStart"/>
      <w:r>
        <w:t>Pinote</w:t>
      </w:r>
      <w:proofErr w:type="spellEnd"/>
      <w:r>
        <w:t xml:space="preserve">, J. P., &amp; </w:t>
      </w:r>
      <w:proofErr w:type="spellStart"/>
      <w:r>
        <w:t>Cutillas</w:t>
      </w:r>
      <w:proofErr w:type="spellEnd"/>
      <w:r>
        <w:t xml:space="preserve">, A. L. (2015). Household Water and Waste Management of Communities near Spring Waters in Argao, Cebu Philippines. </w:t>
      </w:r>
      <w:r w:rsidRPr="00692AE2">
        <w:rPr>
          <w:i/>
        </w:rPr>
        <w:t>Tropical Technology Journal</w:t>
      </w:r>
      <w:r>
        <w:t xml:space="preserve">, 19(1), 13. </w:t>
      </w:r>
      <w:hyperlink r:id="rId18" w:history="1">
        <w:r w:rsidRPr="003E3087">
          <w:rPr>
            <w:rStyle w:val="Hyperlink"/>
          </w:rPr>
          <w:t>https://doi.org/10.7603/s40934-015-0013-1</w:t>
        </w:r>
      </w:hyperlink>
    </w:p>
    <w:p w14:paraId="1E7E8457" w14:textId="77777777" w:rsidR="00692AE2" w:rsidRDefault="00692AE2" w:rsidP="007020E8">
      <w:pPr>
        <w:pStyle w:val="Body"/>
      </w:pPr>
      <w:proofErr w:type="spellStart"/>
      <w:r>
        <w:lastRenderedPageBreak/>
        <w:t>Anud</w:t>
      </w:r>
      <w:proofErr w:type="spellEnd"/>
      <w:r>
        <w:t xml:space="preserve">, E. M., Bonilla, S. F. L., &amp; </w:t>
      </w:r>
      <w:proofErr w:type="spellStart"/>
      <w:r>
        <w:t>Corbita</w:t>
      </w:r>
      <w:proofErr w:type="spellEnd"/>
      <w:r>
        <w:t xml:space="preserve">, A. C. (2022). Water quality assessment of river with the aid of abiotic factors and bacterial analysis. </w:t>
      </w:r>
      <w:r w:rsidRPr="00692AE2">
        <w:rPr>
          <w:i/>
        </w:rPr>
        <w:t>International Journal of Applied Science and Research</w:t>
      </w:r>
      <w:r>
        <w:t xml:space="preserve">, 5(5), 43-48. : </w:t>
      </w:r>
      <w:hyperlink r:id="rId19" w:history="1">
        <w:r w:rsidRPr="003E3087">
          <w:rPr>
            <w:rStyle w:val="Hyperlink"/>
          </w:rPr>
          <w:t>https://doi.org/10.56293/IJASR.2022.5430</w:t>
        </w:r>
      </w:hyperlink>
    </w:p>
    <w:p w14:paraId="76A7C8C1" w14:textId="77777777" w:rsidR="00692AE2" w:rsidRDefault="00692AE2" w:rsidP="007020E8">
      <w:pPr>
        <w:pStyle w:val="Body"/>
      </w:pPr>
      <w:r>
        <w:t xml:space="preserve">Baldoza, B. J. S., Montojo, U. M., </w:t>
      </w:r>
      <w:proofErr w:type="spellStart"/>
      <w:r>
        <w:t>Perelonia</w:t>
      </w:r>
      <w:proofErr w:type="spellEnd"/>
      <w:r>
        <w:t xml:space="preserve">, K. B., Benitez, K. C. D., Cambia, F. D., &amp; Garcia, L. C. (2020). Status of water quality in fishponds surrounding Manila Bay. </w:t>
      </w:r>
      <w:r w:rsidRPr="00692AE2">
        <w:rPr>
          <w:i/>
        </w:rPr>
        <w:t>The Philippine Journal of Fisheries</w:t>
      </w:r>
      <w:r>
        <w:t xml:space="preserve">, 27(2), 111-118. </w:t>
      </w:r>
      <w:hyperlink r:id="rId20" w:history="1">
        <w:r w:rsidRPr="003E3087">
          <w:rPr>
            <w:rStyle w:val="Hyperlink"/>
          </w:rPr>
          <w:t>https://doi.org/10.31398/tpjf/27.2.2020A0006</w:t>
        </w:r>
      </w:hyperlink>
    </w:p>
    <w:p w14:paraId="1DCD9B70" w14:textId="77777777" w:rsidR="000E1ABD" w:rsidRDefault="00692AE2" w:rsidP="007020E8">
      <w:pPr>
        <w:pStyle w:val="Body"/>
      </w:pPr>
      <w:r>
        <w:t xml:space="preserve">Baltazar, G. J. D. (2020). </w:t>
      </w:r>
      <w:proofErr w:type="spellStart"/>
      <w:r>
        <w:t>Physico</w:t>
      </w:r>
      <w:proofErr w:type="spellEnd"/>
      <w:r>
        <w:t xml:space="preserve">-Chemical Properties of the Fish Pond Water in CMU, Bukidnon, Philippines. CMU Journal of Science, 23(2), 8-13. </w:t>
      </w:r>
      <w:hyperlink r:id="rId21" w:history="1">
        <w:r w:rsidR="000E1ABD" w:rsidRPr="003E3087">
          <w:rPr>
            <w:rStyle w:val="Hyperlink"/>
          </w:rPr>
          <w:t>https://doi.org/10.52751/mnaf2550</w:t>
        </w:r>
      </w:hyperlink>
    </w:p>
    <w:p w14:paraId="73D0CCF5" w14:textId="77777777" w:rsidR="00692AE2" w:rsidRDefault="00692AE2" w:rsidP="007020E8">
      <w:pPr>
        <w:pStyle w:val="Body"/>
      </w:pPr>
      <w:proofErr w:type="spellStart"/>
      <w:r>
        <w:t>Bete</w:t>
      </w:r>
      <w:proofErr w:type="spellEnd"/>
      <w:r>
        <w:t xml:space="preserve">, M. A., </w:t>
      </w:r>
      <w:proofErr w:type="spellStart"/>
      <w:r>
        <w:t>Masilang</w:t>
      </w:r>
      <w:proofErr w:type="spellEnd"/>
      <w:r>
        <w:t xml:space="preserve">, M. C. J. O., &amp; Salesa, V. D.  (2024). Water Quality Assessment in </w:t>
      </w:r>
      <w:proofErr w:type="spellStart"/>
      <w:r>
        <w:t>Tagoloan</w:t>
      </w:r>
      <w:proofErr w:type="spellEnd"/>
      <w:r>
        <w:t xml:space="preserve"> River, </w:t>
      </w:r>
      <w:proofErr w:type="spellStart"/>
      <w:r>
        <w:t>Sabangan</w:t>
      </w:r>
      <w:proofErr w:type="spellEnd"/>
      <w:r>
        <w:t>, Can-</w:t>
      </w:r>
      <w:proofErr w:type="spellStart"/>
      <w:r>
        <w:t>ayan</w:t>
      </w:r>
      <w:proofErr w:type="spellEnd"/>
      <w:r>
        <w:t xml:space="preserve">, Malaybalay City, Bukidnon. </w:t>
      </w:r>
      <w:r w:rsidRPr="000E1ABD">
        <w:rPr>
          <w:i/>
        </w:rPr>
        <w:t>International Journal of Science and Research</w:t>
      </w:r>
      <w:r>
        <w:t xml:space="preserve">, 13(7), 1085-1090. </w:t>
      </w:r>
      <w:hyperlink r:id="rId22" w:history="1">
        <w:r w:rsidR="000E1ABD" w:rsidRPr="003E3087">
          <w:rPr>
            <w:rStyle w:val="Hyperlink"/>
          </w:rPr>
          <w:t>https://dx.doi.org/10.21275/SR24718113931</w:t>
        </w:r>
      </w:hyperlink>
    </w:p>
    <w:p w14:paraId="2C53D8D4" w14:textId="77777777" w:rsidR="00692AE2" w:rsidRDefault="00692AE2" w:rsidP="007020E8">
      <w:pPr>
        <w:pStyle w:val="Body"/>
      </w:pPr>
      <w:proofErr w:type="spellStart"/>
      <w:r>
        <w:t>Bungabong</w:t>
      </w:r>
      <w:proofErr w:type="spellEnd"/>
      <w:r>
        <w:t xml:space="preserve">, R. W. M., Hadwen, W. L., &amp; Padilla, L. V. (2023). Critical evaluation of the hydrological, biological and sociological impacts of the implementation of flood control check dams in the Upper Marikina River Basin Protected Landscape, Philippines. </w:t>
      </w:r>
      <w:r w:rsidRPr="000E1ABD">
        <w:rPr>
          <w:i/>
        </w:rPr>
        <w:t>International Journal of River Basin Management</w:t>
      </w:r>
      <w:r>
        <w:t xml:space="preserve">, 21(3), 357-373. </w:t>
      </w:r>
      <w:hyperlink r:id="rId23" w:history="1">
        <w:r w:rsidR="000E1ABD" w:rsidRPr="003E3087">
          <w:rPr>
            <w:rStyle w:val="Hyperlink"/>
          </w:rPr>
          <w:t>https://doi.org/10.1080/15715124.2021.2000427</w:t>
        </w:r>
      </w:hyperlink>
    </w:p>
    <w:p w14:paraId="27B20061" w14:textId="77777777" w:rsidR="00692AE2" w:rsidRDefault="00692AE2" w:rsidP="007020E8">
      <w:pPr>
        <w:pStyle w:val="Body"/>
      </w:pPr>
      <w:r>
        <w:t xml:space="preserve">Cajucom, E. L., Antonio, G. V. A., Aban, L. C., &amp; Catacutan, M. (2024). Assessing Nitrate and Phosphate Contaminants in Agricultural Soils and Groundwater: Implications for MLGU Restoration and Eutrophication Management. </w:t>
      </w:r>
      <w:r w:rsidRPr="000E1ABD">
        <w:rPr>
          <w:i/>
        </w:rPr>
        <w:t>Mindanao Journal of Science and Technology</w:t>
      </w:r>
      <w:r>
        <w:t xml:space="preserve">, 22(S1). </w:t>
      </w:r>
      <w:hyperlink r:id="rId24" w:history="1">
        <w:r w:rsidR="000E1ABD" w:rsidRPr="003E3087">
          <w:rPr>
            <w:rStyle w:val="Hyperlink"/>
          </w:rPr>
          <w:t>https://doi.org/10.61310/mjst.v22iS1.2212</w:t>
        </w:r>
      </w:hyperlink>
    </w:p>
    <w:p w14:paraId="72C54807" w14:textId="77777777" w:rsidR="00692AE2" w:rsidRDefault="00692AE2" w:rsidP="007020E8">
      <w:pPr>
        <w:pStyle w:val="Body"/>
      </w:pPr>
      <w:r>
        <w:t>Department of Environment and Natural Resources (DENR). (2016). DENR Administrative Order No. 2016-08: Water Quality Guidelines and General Effluent Standards of 2016.</w:t>
      </w:r>
    </w:p>
    <w:p w14:paraId="156916A1" w14:textId="77777777" w:rsidR="00692AE2" w:rsidRDefault="00692AE2" w:rsidP="007020E8">
      <w:pPr>
        <w:pStyle w:val="Body"/>
      </w:pPr>
      <w:proofErr w:type="spellStart"/>
      <w:r>
        <w:t>Dumago</w:t>
      </w:r>
      <w:proofErr w:type="spellEnd"/>
      <w:r>
        <w:t xml:space="preserve">, S. W. L., Puno, G. R., &amp; </w:t>
      </w:r>
      <w:proofErr w:type="spellStart"/>
      <w:r>
        <w:t>Ingotan</w:t>
      </w:r>
      <w:proofErr w:type="spellEnd"/>
      <w:r>
        <w:t>, S. S. (2018). Water quality assessment in various land use and land cover of Muleta watershed Bukidnon, Philippines. J. Biol. Environ. Sci, 12(3), 201-209.</w:t>
      </w:r>
    </w:p>
    <w:p w14:paraId="7B95C91F" w14:textId="77777777" w:rsidR="00692AE2" w:rsidRDefault="00692AE2" w:rsidP="007020E8">
      <w:pPr>
        <w:pStyle w:val="Body"/>
      </w:pPr>
      <w:r>
        <w:t xml:space="preserve">Dyer, S. D., Peng, C., McAvoy, D. C., </w:t>
      </w:r>
      <w:proofErr w:type="spellStart"/>
      <w:r>
        <w:t>Fendinger</w:t>
      </w:r>
      <w:proofErr w:type="spellEnd"/>
      <w:r>
        <w:t xml:space="preserve">, N. J., </w:t>
      </w:r>
      <w:proofErr w:type="spellStart"/>
      <w:r>
        <w:t>Masscheleyn</w:t>
      </w:r>
      <w:proofErr w:type="spellEnd"/>
      <w:r>
        <w:t xml:space="preserve">, P., Castillo, L. V., &amp; Lim, J. M. U. (2003). The influence of untreated wastewater to aquatic communities in the </w:t>
      </w:r>
      <w:proofErr w:type="spellStart"/>
      <w:r>
        <w:t>Balatuin</w:t>
      </w:r>
      <w:proofErr w:type="spellEnd"/>
      <w:r>
        <w:t xml:space="preserve"> River, </w:t>
      </w:r>
      <w:r w:rsidRPr="00EC3FD2">
        <w:t>The Philippines</w:t>
      </w:r>
      <w:r w:rsidRPr="00EC3FD2">
        <w:rPr>
          <w:i/>
        </w:rPr>
        <w:t>. Chemosphere</w:t>
      </w:r>
      <w:r>
        <w:t xml:space="preserve">, 52(1), 43-53. </w:t>
      </w:r>
      <w:hyperlink r:id="rId25" w:history="1">
        <w:r w:rsidR="00EC3FD2" w:rsidRPr="003E3087">
          <w:rPr>
            <w:rStyle w:val="Hyperlink"/>
          </w:rPr>
          <w:t>https://doi.org/10.1016/S0045-6535(03)00269-8</w:t>
        </w:r>
      </w:hyperlink>
    </w:p>
    <w:p w14:paraId="3C5191AA" w14:textId="77777777" w:rsidR="00692AE2" w:rsidRDefault="00692AE2" w:rsidP="007020E8">
      <w:pPr>
        <w:pStyle w:val="Body"/>
      </w:pPr>
      <w:proofErr w:type="spellStart"/>
      <w:r>
        <w:t>Galarpe</w:t>
      </w:r>
      <w:proofErr w:type="spellEnd"/>
      <w:r>
        <w:t xml:space="preserve">, V. R. K. R., </w:t>
      </w:r>
      <w:proofErr w:type="spellStart"/>
      <w:r>
        <w:t>Heyasa</w:t>
      </w:r>
      <w:proofErr w:type="spellEnd"/>
      <w:r>
        <w:t xml:space="preserve">, K. J. L., &amp; </w:t>
      </w:r>
      <w:proofErr w:type="spellStart"/>
      <w:r>
        <w:t>Heyasa</w:t>
      </w:r>
      <w:proofErr w:type="spellEnd"/>
      <w:r>
        <w:t xml:space="preserve">, B. B. L. (2017). Water quality and risk assessment of tributary rivers in San Fernando, Bukidnon, Philippines. </w:t>
      </w:r>
      <w:r w:rsidRPr="00EC3FD2">
        <w:rPr>
          <w:i/>
        </w:rPr>
        <w:t>JBES</w:t>
      </w:r>
      <w:r>
        <w:t>, 1, 266-273.</w:t>
      </w:r>
    </w:p>
    <w:p w14:paraId="204DF3B6" w14:textId="77777777" w:rsidR="00692AE2" w:rsidRDefault="00692AE2" w:rsidP="007020E8">
      <w:pPr>
        <w:pStyle w:val="Body"/>
      </w:pPr>
      <w:r>
        <w:t xml:space="preserve">Ido, A. L. (2016). Evaluating the physicochemical and bacteriological characteristics of </w:t>
      </w:r>
      <w:proofErr w:type="spellStart"/>
      <w:r>
        <w:t>Aligodon</w:t>
      </w:r>
      <w:proofErr w:type="spellEnd"/>
      <w:r>
        <w:t xml:space="preserve"> River as source of potable water for new Claveria Water System. </w:t>
      </w:r>
      <w:r w:rsidRPr="00EC3FD2">
        <w:rPr>
          <w:i/>
        </w:rPr>
        <w:t>Int J Res Eng Technol</w:t>
      </w:r>
      <w:r>
        <w:t>, 5(5), 51-8.</w:t>
      </w:r>
    </w:p>
    <w:p w14:paraId="698B557F" w14:textId="77777777" w:rsidR="00692AE2" w:rsidRDefault="00692AE2" w:rsidP="007020E8">
      <w:pPr>
        <w:pStyle w:val="Body"/>
      </w:pPr>
      <w:r>
        <w:t xml:space="preserve">Liang, Y., Ding, F., Liu, L., Yin, F., Hao, M., Kang, T., ... &amp; Jiang, D. (2025). Monitoring water quality parameters in urban rivers using multi-source data and machine learning approach. </w:t>
      </w:r>
      <w:r w:rsidRPr="00EC3FD2">
        <w:rPr>
          <w:i/>
        </w:rPr>
        <w:t>Journal of Hydrology</w:t>
      </w:r>
      <w:r>
        <w:t>, 648, 132394.</w:t>
      </w:r>
      <w:r w:rsidR="00EC3FD2">
        <w:t xml:space="preserve"> </w:t>
      </w:r>
      <w:hyperlink r:id="rId26" w:history="1">
        <w:r w:rsidR="00EC3FD2" w:rsidRPr="003E3087">
          <w:rPr>
            <w:rStyle w:val="Hyperlink"/>
          </w:rPr>
          <w:t>https://doi.org/10.1016/j.jhydrol.2024.132394</w:t>
        </w:r>
      </w:hyperlink>
    </w:p>
    <w:p w14:paraId="215BD4D0" w14:textId="77777777" w:rsidR="00692AE2" w:rsidRDefault="00692AE2" w:rsidP="007020E8">
      <w:pPr>
        <w:pStyle w:val="Body"/>
      </w:pPr>
      <w:proofErr w:type="spellStart"/>
      <w:r>
        <w:t>Maglangit</w:t>
      </w:r>
      <w:proofErr w:type="spellEnd"/>
      <w:r>
        <w:t xml:space="preserve">, F. F., </w:t>
      </w:r>
      <w:proofErr w:type="spellStart"/>
      <w:r>
        <w:t>Galapate</w:t>
      </w:r>
      <w:proofErr w:type="spellEnd"/>
      <w:r>
        <w:t xml:space="preserve">, R. P., &amp; </w:t>
      </w:r>
      <w:proofErr w:type="spellStart"/>
      <w:r>
        <w:t>Bensig</w:t>
      </w:r>
      <w:proofErr w:type="spellEnd"/>
      <w:r>
        <w:t xml:space="preserve">, E. O. (2015). An assessment of the organic pollution level of </w:t>
      </w:r>
      <w:proofErr w:type="spellStart"/>
      <w:r>
        <w:t>Buhisan</w:t>
      </w:r>
      <w:proofErr w:type="spellEnd"/>
      <w:r>
        <w:t xml:space="preserve">, </w:t>
      </w:r>
      <w:proofErr w:type="spellStart"/>
      <w:r>
        <w:t>Bulacao</w:t>
      </w:r>
      <w:proofErr w:type="spellEnd"/>
      <w:r>
        <w:t xml:space="preserve"> and </w:t>
      </w:r>
      <w:proofErr w:type="spellStart"/>
      <w:r>
        <w:t>Lahug</w:t>
      </w:r>
      <w:proofErr w:type="spellEnd"/>
      <w:r>
        <w:t xml:space="preserve"> rivers, Cebu, Philippines. </w:t>
      </w:r>
      <w:r w:rsidRPr="00EC3FD2">
        <w:rPr>
          <w:i/>
        </w:rPr>
        <w:t>WALIA journal</w:t>
      </w:r>
      <w:r>
        <w:t>, 31(S3), 61-64.</w:t>
      </w:r>
    </w:p>
    <w:p w14:paraId="5AFFE3B6" w14:textId="77777777" w:rsidR="00692AE2" w:rsidRDefault="00692AE2" w:rsidP="007020E8">
      <w:pPr>
        <w:pStyle w:val="Body"/>
      </w:pPr>
      <w:proofErr w:type="spellStart"/>
      <w:r>
        <w:lastRenderedPageBreak/>
        <w:t>Magwilang</w:t>
      </w:r>
      <w:proofErr w:type="spellEnd"/>
      <w:r>
        <w:t xml:space="preserve">, E. B., Paredes, A. L. Y., Armas, F. C., </w:t>
      </w:r>
      <w:proofErr w:type="spellStart"/>
      <w:r>
        <w:t>Bugnay</w:t>
      </w:r>
      <w:proofErr w:type="spellEnd"/>
      <w:r>
        <w:t xml:space="preserve">, H. G. P., &amp; </w:t>
      </w:r>
      <w:proofErr w:type="spellStart"/>
      <w:r>
        <w:t>Dagupen</w:t>
      </w:r>
      <w:proofErr w:type="spellEnd"/>
      <w:r>
        <w:t xml:space="preserve">, R. D. (2023). </w:t>
      </w:r>
      <w:proofErr w:type="spellStart"/>
      <w:r>
        <w:t>Physico</w:t>
      </w:r>
      <w:proofErr w:type="spellEnd"/>
      <w:r>
        <w:t xml:space="preserve">-chemical and microbiological assessment of domestic water supply in Bontoc, Mountain Province, Philippines. </w:t>
      </w:r>
      <w:r w:rsidRPr="00EC3FD2">
        <w:rPr>
          <w:i/>
        </w:rPr>
        <w:t>H2Open Journal</w:t>
      </w:r>
      <w:r>
        <w:t>, 6(2), 242-255.</w:t>
      </w:r>
      <w:r w:rsidR="00EC3FD2" w:rsidRPr="00EC3FD2">
        <w:t xml:space="preserve"> </w:t>
      </w:r>
      <w:hyperlink r:id="rId27" w:history="1">
        <w:r w:rsidR="00EC3FD2" w:rsidRPr="003E3087">
          <w:rPr>
            <w:rStyle w:val="Hyperlink"/>
          </w:rPr>
          <w:t>https://doi.org/10.2166/h2oj.2023.019</w:t>
        </w:r>
      </w:hyperlink>
    </w:p>
    <w:p w14:paraId="25CFA725" w14:textId="77777777" w:rsidR="00692AE2" w:rsidRDefault="00692AE2" w:rsidP="007020E8">
      <w:pPr>
        <w:pStyle w:val="Body"/>
      </w:pPr>
      <w:r>
        <w:t xml:space="preserve">Mustapha, A., &amp; Aris, A. Z. (2012). Spatial aspects of surface water quality in the Jakara Basin, Nigeria using chemometric analysis. </w:t>
      </w:r>
      <w:r w:rsidRPr="00EC3FD2">
        <w:rPr>
          <w:i/>
        </w:rPr>
        <w:t>Journal of environmental science and health</w:t>
      </w:r>
      <w:r>
        <w:t>, Part A, 47(10), 1455-1465.</w:t>
      </w:r>
      <w:r w:rsidR="00EC3FD2" w:rsidRPr="00EC3FD2">
        <w:t xml:space="preserve"> </w:t>
      </w:r>
      <w:hyperlink r:id="rId28" w:history="1">
        <w:r w:rsidR="00EC3FD2" w:rsidRPr="003E3087">
          <w:rPr>
            <w:rStyle w:val="Hyperlink"/>
          </w:rPr>
          <w:t>https://doi.org/10.1080/10934529.2012.673305</w:t>
        </w:r>
      </w:hyperlink>
    </w:p>
    <w:p w14:paraId="2A4BEABE" w14:textId="77777777" w:rsidR="00692AE2" w:rsidRDefault="00692AE2" w:rsidP="007020E8">
      <w:pPr>
        <w:pStyle w:val="Body"/>
      </w:pPr>
      <w:r>
        <w:t>Nehme, N., Haydar, C. M., Al-</w:t>
      </w:r>
      <w:proofErr w:type="spellStart"/>
      <w:r>
        <w:t>Jarf</w:t>
      </w:r>
      <w:proofErr w:type="spellEnd"/>
      <w:r>
        <w:t xml:space="preserve">, Z., Abou Abbass, F., Moussa, N., Youness, G., &amp; </w:t>
      </w:r>
      <w:proofErr w:type="spellStart"/>
      <w:r>
        <w:t>Tarawneh</w:t>
      </w:r>
      <w:proofErr w:type="spellEnd"/>
      <w:r>
        <w:t xml:space="preserve">, K. (2021). Assessment of the physicochemical and microbiological water quality of Al-Zahrani River Basin, Lebanon. </w:t>
      </w:r>
      <w:r w:rsidRPr="00EC3FD2">
        <w:rPr>
          <w:i/>
        </w:rPr>
        <w:t>Jordan Journal of Earth and Environmental Sciences</w:t>
      </w:r>
      <w:r>
        <w:t>, 12(3), 206-213.</w:t>
      </w:r>
      <w:r w:rsidR="00EC3FD2">
        <w:t xml:space="preserve"> </w:t>
      </w:r>
      <w:hyperlink r:id="rId29" w:history="1">
        <w:r w:rsidR="00EC3FD2" w:rsidRPr="003E3087">
          <w:rPr>
            <w:rStyle w:val="Hyperlink"/>
          </w:rPr>
          <w:t>https://hal.science/hal-03295552v1</w:t>
        </w:r>
      </w:hyperlink>
    </w:p>
    <w:p w14:paraId="3D794C9F" w14:textId="77777777" w:rsidR="00692AE2" w:rsidRDefault="00692AE2" w:rsidP="007020E8">
      <w:pPr>
        <w:pStyle w:val="Body"/>
      </w:pPr>
      <w:r>
        <w:t xml:space="preserve">Pandan, F. T., &amp; Jonco, A. S. (2022). Water quality assessment for the management of Marine Protected Areas: The case of Bago City, Philippines. </w:t>
      </w:r>
      <w:r w:rsidRPr="00EC3FD2">
        <w:rPr>
          <w:i/>
        </w:rPr>
        <w:t>Manila Journal of Science</w:t>
      </w:r>
      <w:r>
        <w:t>, 14(2), 52–61.</w:t>
      </w:r>
    </w:p>
    <w:p w14:paraId="717D422E" w14:textId="77777777" w:rsidR="00692AE2" w:rsidRDefault="00692AE2" w:rsidP="007020E8">
      <w:pPr>
        <w:pStyle w:val="Body"/>
      </w:pPr>
      <w:proofErr w:type="spellStart"/>
      <w:proofErr w:type="gramStart"/>
      <w:r>
        <w:t>Perelonia</w:t>
      </w:r>
      <w:proofErr w:type="spellEnd"/>
      <w:r>
        <w:t xml:space="preserve">  K.B</w:t>
      </w:r>
      <w:proofErr w:type="gramEnd"/>
      <w:r>
        <w:t xml:space="preserve">.,  </w:t>
      </w:r>
      <w:proofErr w:type="spellStart"/>
      <w:r>
        <w:t>Abendanio</w:t>
      </w:r>
      <w:proofErr w:type="spellEnd"/>
      <w:r>
        <w:t xml:space="preserve">  C.,  Rana  J.P.,  Opinion  A.G., </w:t>
      </w:r>
      <w:proofErr w:type="spellStart"/>
      <w:r>
        <w:t>VillezaJ</w:t>
      </w:r>
      <w:proofErr w:type="spellEnd"/>
      <w:r>
        <w:t>.,    Cambia    F.D.    (2017).    Heavy    metal contamination in water and fishery resources in Manila Bay   aquaculture   farms.</w:t>
      </w:r>
      <w:r w:rsidR="004B577A">
        <w:t xml:space="preserve"> </w:t>
      </w:r>
      <w:r w:rsidRPr="004B577A">
        <w:rPr>
          <w:i/>
        </w:rPr>
        <w:t>The   Philippine   Journal   of Fisheries</w:t>
      </w:r>
      <w:r>
        <w:t>, 24(2): 74-97.</w:t>
      </w:r>
      <w:r w:rsidR="004B577A" w:rsidRPr="004B577A">
        <w:t xml:space="preserve"> </w:t>
      </w:r>
      <w:hyperlink r:id="rId30" w:history="1">
        <w:r w:rsidR="004B577A" w:rsidRPr="003E3087">
          <w:rPr>
            <w:rStyle w:val="Hyperlink"/>
          </w:rPr>
          <w:t>https://doi.org/10.31398/tpjf/24.2.2016A0014</w:t>
        </w:r>
      </w:hyperlink>
    </w:p>
    <w:p w14:paraId="6D60D76B" w14:textId="77777777" w:rsidR="00692AE2" w:rsidRDefault="00692AE2" w:rsidP="007020E8">
      <w:pPr>
        <w:pStyle w:val="Body"/>
      </w:pPr>
      <w:proofErr w:type="spellStart"/>
      <w:r>
        <w:t>Petalcorin</w:t>
      </w:r>
      <w:proofErr w:type="spellEnd"/>
      <w:r>
        <w:t xml:space="preserve">, A. A. C., &amp; Jumalon, B. M. (2013). Metals in the Sediments and Waters of Cagayan de Oro River: Baseline Data for Metal Determination. </w:t>
      </w:r>
      <w:proofErr w:type="spellStart"/>
      <w:r w:rsidRPr="004B577A">
        <w:rPr>
          <w:i/>
        </w:rPr>
        <w:t>Liceo</w:t>
      </w:r>
      <w:proofErr w:type="spellEnd"/>
      <w:r w:rsidRPr="004B577A">
        <w:rPr>
          <w:i/>
        </w:rPr>
        <w:t xml:space="preserve"> Journal of Higher Education Research</w:t>
      </w:r>
      <w:r>
        <w:t>, 9(1), 1-20.</w:t>
      </w:r>
    </w:p>
    <w:p w14:paraId="373515B0" w14:textId="77777777" w:rsidR="00692AE2" w:rsidRDefault="00692AE2" w:rsidP="007020E8">
      <w:pPr>
        <w:pStyle w:val="Body"/>
      </w:pPr>
      <w:r>
        <w:t xml:space="preserve">Redoble, M. L. M., Baclay, K. J. O., </w:t>
      </w:r>
      <w:proofErr w:type="spellStart"/>
      <w:r>
        <w:t>Rebucas</w:t>
      </w:r>
      <w:proofErr w:type="spellEnd"/>
      <w:r>
        <w:t>, Z. C. E., Rivera, A. K. M., Saldo, I. J. P., &amp; Calo, J. R. D. (2025). Assessing Environmental Health Through Physicochemical Analysis of the Sabangan River in Barangay Can-</w:t>
      </w:r>
      <w:proofErr w:type="spellStart"/>
      <w:r>
        <w:t>ayan</w:t>
      </w:r>
      <w:proofErr w:type="spellEnd"/>
      <w:r>
        <w:t xml:space="preserve">, </w:t>
      </w:r>
      <w:proofErr w:type="spellStart"/>
      <w:r>
        <w:t>Malaybalay</w:t>
      </w:r>
      <w:proofErr w:type="spellEnd"/>
      <w:r>
        <w:t xml:space="preserve"> City, </w:t>
      </w:r>
      <w:proofErr w:type="spellStart"/>
      <w:r>
        <w:t>Bukidnon</w:t>
      </w:r>
      <w:proofErr w:type="spellEnd"/>
      <w:r>
        <w:t xml:space="preserve">. </w:t>
      </w:r>
      <w:r w:rsidRPr="004B577A">
        <w:rPr>
          <w:i/>
        </w:rPr>
        <w:t>Physical Science International Journal</w:t>
      </w:r>
      <w:r>
        <w:t>, 29(3), 1-7.</w:t>
      </w:r>
      <w:r w:rsidR="004B577A" w:rsidRPr="004B577A">
        <w:t xml:space="preserve"> </w:t>
      </w:r>
      <w:hyperlink r:id="rId31" w:history="1">
        <w:r w:rsidR="004B577A" w:rsidRPr="003E3087">
          <w:rPr>
            <w:rStyle w:val="Hyperlink"/>
          </w:rPr>
          <w:t>https://doi.org/10.9734/psij/2025/v29i3878</w:t>
        </w:r>
      </w:hyperlink>
    </w:p>
    <w:p w14:paraId="0A8DD77C" w14:textId="77777777" w:rsidR="00692AE2" w:rsidRDefault="00692AE2" w:rsidP="007020E8">
      <w:pPr>
        <w:pStyle w:val="Body"/>
      </w:pPr>
      <w:proofErr w:type="spellStart"/>
      <w:r>
        <w:t>Sumalapao</w:t>
      </w:r>
      <w:proofErr w:type="spellEnd"/>
      <w:r>
        <w:t xml:space="preserve">, D. E. P., Cruz, L. L. A., Cua, S. K. N., </w:t>
      </w:r>
      <w:proofErr w:type="spellStart"/>
      <w:r>
        <w:t>Dauigoy</w:t>
      </w:r>
      <w:proofErr w:type="spellEnd"/>
      <w:r>
        <w:t xml:space="preserve">, H. V. G., &amp; De Leon, E. A. (2016). On the pH and Acid Neutralizing Capacity Profile of Manila Bay Coastal Water Samples in Manila, Philippines. </w:t>
      </w:r>
      <w:r w:rsidRPr="004B577A">
        <w:rPr>
          <w:i/>
        </w:rPr>
        <w:t>Manila Journal of Science</w:t>
      </w:r>
      <w:r>
        <w:t>, 9, 104-113.</w:t>
      </w:r>
    </w:p>
    <w:p w14:paraId="7E905BA7" w14:textId="77777777" w:rsidR="004B577A" w:rsidRDefault="00692AE2" w:rsidP="007020E8">
      <w:pPr>
        <w:pStyle w:val="Body"/>
      </w:pPr>
      <w:proofErr w:type="spellStart"/>
      <w:r>
        <w:t>Tibebe</w:t>
      </w:r>
      <w:proofErr w:type="spellEnd"/>
      <w:r>
        <w:t xml:space="preserve">, D., </w:t>
      </w:r>
      <w:proofErr w:type="spellStart"/>
      <w:r>
        <w:t>Zewge</w:t>
      </w:r>
      <w:proofErr w:type="spellEnd"/>
      <w:r>
        <w:t xml:space="preserve">, F., Lemma, B., &amp; Kassa, Y. (2022). Assessment of </w:t>
      </w:r>
      <w:proofErr w:type="spellStart"/>
      <w:r>
        <w:t>spatio</w:t>
      </w:r>
      <w:proofErr w:type="spellEnd"/>
      <w:r>
        <w:t xml:space="preserve">-temporal variations of selected water quality parameters of Lake </w:t>
      </w:r>
      <w:proofErr w:type="spellStart"/>
      <w:r>
        <w:t>Ziway</w:t>
      </w:r>
      <w:proofErr w:type="spellEnd"/>
      <w:r>
        <w:t xml:space="preserve">, Ethiopia using multivariate techniques. </w:t>
      </w:r>
      <w:r w:rsidRPr="004B577A">
        <w:rPr>
          <w:i/>
        </w:rPr>
        <w:t>BMC chemistry</w:t>
      </w:r>
      <w:r>
        <w:t>, 16(1), 11.</w:t>
      </w:r>
      <w:r w:rsidR="004B577A" w:rsidRPr="004B577A">
        <w:t xml:space="preserve"> </w:t>
      </w:r>
      <w:hyperlink r:id="rId32" w:history="1">
        <w:r w:rsidR="004B577A" w:rsidRPr="003E3087">
          <w:rPr>
            <w:rStyle w:val="Hyperlink"/>
          </w:rPr>
          <w:t>https://doi.org/10.1186/s13065-022-00806-0</w:t>
        </w:r>
      </w:hyperlink>
    </w:p>
    <w:p w14:paraId="03190AEF" w14:textId="77777777" w:rsidR="00441B6F" w:rsidRDefault="00692AE2" w:rsidP="007020E8">
      <w:pPr>
        <w:pStyle w:val="Body"/>
        <w:spacing w:after="0"/>
        <w:jc w:val="left"/>
      </w:pPr>
      <w:r>
        <w:t xml:space="preserve">Zoleta, J. M. R., &amp; Nawang, A. A. (2015). Assessment of Cagayan de Oro River: Basis for Intervention. </w:t>
      </w:r>
      <w:proofErr w:type="spellStart"/>
      <w:r w:rsidRPr="004B577A">
        <w:rPr>
          <w:i/>
        </w:rPr>
        <w:t>Liceo</w:t>
      </w:r>
      <w:proofErr w:type="spellEnd"/>
      <w:r w:rsidRPr="004B577A">
        <w:rPr>
          <w:i/>
        </w:rPr>
        <w:t xml:space="preserve"> Journal of Higher Education Research</w:t>
      </w:r>
      <w:r>
        <w:t>, 11(1), 303-319.</w:t>
      </w:r>
    </w:p>
    <w:p w14:paraId="72C530A3" w14:textId="77777777" w:rsidR="00692AE2" w:rsidRDefault="00692AE2" w:rsidP="007020E8">
      <w:pPr>
        <w:pStyle w:val="Body"/>
        <w:spacing w:after="0"/>
        <w:jc w:val="left"/>
        <w:rPr>
          <w:rFonts w:ascii="Arial" w:hAnsi="Arial" w:cs="Arial"/>
        </w:rPr>
      </w:pPr>
    </w:p>
    <w:p w14:paraId="11E7D7CE" w14:textId="77777777" w:rsidR="00B01FCD" w:rsidRPr="00FB3A86" w:rsidRDefault="00B01FCD" w:rsidP="007020E8">
      <w:pPr>
        <w:pStyle w:val="Reference"/>
        <w:numPr>
          <w:ilvl w:val="0"/>
          <w:numId w:val="0"/>
        </w:numPr>
        <w:spacing w:line="240" w:lineRule="auto"/>
        <w:rPr>
          <w:rFonts w:ascii="Arial" w:hAnsi="Arial" w:cs="Arial"/>
        </w:rPr>
      </w:pPr>
    </w:p>
    <w:p w14:paraId="064EA453" w14:textId="77777777" w:rsidR="00790ADA" w:rsidRPr="00FB3A86" w:rsidRDefault="00790ADA" w:rsidP="007020E8">
      <w:pPr>
        <w:pStyle w:val="Body"/>
        <w:spacing w:after="0"/>
        <w:rPr>
          <w:rFonts w:ascii="Arial" w:hAnsi="Arial" w:cs="Arial"/>
        </w:rPr>
      </w:pPr>
    </w:p>
    <w:p w14:paraId="1202B742" w14:textId="77777777" w:rsidR="004D4277" w:rsidRPr="00FB3A86" w:rsidRDefault="004D4277" w:rsidP="007020E8">
      <w:pPr>
        <w:pStyle w:val="Appendix"/>
        <w:spacing w:after="0"/>
        <w:jc w:val="both"/>
        <w:rPr>
          <w:rFonts w:ascii="Arial" w:hAnsi="Arial" w:cs="Arial"/>
          <w:b w:val="0"/>
        </w:rPr>
        <w:sectPr w:rsidR="004D4277" w:rsidRPr="00FB3A86" w:rsidSect="00D02890">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14:paraId="0D3D0DCF" w14:textId="77777777" w:rsidR="00B01FCD" w:rsidRPr="00FB3A86" w:rsidRDefault="00B01FCD" w:rsidP="007020E8">
      <w:pPr>
        <w:pStyle w:val="Appendix"/>
        <w:spacing w:after="0"/>
        <w:jc w:val="both"/>
        <w:rPr>
          <w:rFonts w:ascii="Arial" w:hAnsi="Arial" w:cs="Arial"/>
          <w:b w:val="0"/>
        </w:rPr>
      </w:pPr>
    </w:p>
    <w:sectPr w:rsidR="00B01FCD" w:rsidRPr="00FB3A86" w:rsidSect="00D0289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CER" w:date="2025-12-25T02:33:00Z" w:initials="A">
    <w:p w14:paraId="427CDABA" w14:textId="60313F7C" w:rsidR="00A9013C" w:rsidRDefault="00A9013C">
      <w:pPr>
        <w:pStyle w:val="CommentText"/>
      </w:pPr>
      <w:r>
        <w:rPr>
          <w:rStyle w:val="CommentReference"/>
        </w:rPr>
        <w:annotationRef/>
      </w:r>
      <w:r>
        <w:t>Provide the full meaning and place the abbreviation into a bracket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7CDA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9A47E" w14:textId="77777777" w:rsidR="00E12720" w:rsidRDefault="00E12720" w:rsidP="00C37E61">
      <w:r>
        <w:separator/>
      </w:r>
    </w:p>
  </w:endnote>
  <w:endnote w:type="continuationSeparator" w:id="0">
    <w:p w14:paraId="6FC60088" w14:textId="77777777" w:rsidR="00E12720" w:rsidRDefault="00E1272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Caslon Tex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BA753" w14:textId="77777777" w:rsidR="00F72279" w:rsidRDefault="00F72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04499" w14:textId="77777777" w:rsidR="00F72279" w:rsidRDefault="00F722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2E5F7" w14:textId="77777777" w:rsidR="009E048A" w:rsidRDefault="009E048A">
    <w:pPr>
      <w:pStyle w:val="Footer"/>
      <w:rPr>
        <w:rFonts w:ascii="Arial" w:hAnsi="Arial" w:cs="Arial"/>
        <w:sz w:val="16"/>
      </w:rPr>
    </w:pPr>
  </w:p>
  <w:p w14:paraId="72FD2A2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469931" w14:textId="77777777" w:rsidR="009E048A" w:rsidRDefault="009E048A">
    <w:pPr>
      <w:pStyle w:val="Footer"/>
      <w:rPr>
        <w:rFonts w:ascii="Arial" w:hAnsi="Arial" w:cs="Arial"/>
        <w:sz w:val="16"/>
      </w:rPr>
    </w:pPr>
  </w:p>
  <w:p w14:paraId="306FDF3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523A7"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30551" w14:textId="77777777" w:rsidR="00E12720" w:rsidRDefault="00E12720" w:rsidP="00C37E61">
      <w:r>
        <w:separator/>
      </w:r>
    </w:p>
  </w:footnote>
  <w:footnote w:type="continuationSeparator" w:id="0">
    <w:p w14:paraId="476695FE" w14:textId="77777777" w:rsidR="00E12720" w:rsidRDefault="00E12720"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84061" w14:textId="273940B1" w:rsidR="00F72279" w:rsidRDefault="00E12720">
    <w:pPr>
      <w:pStyle w:val="Header"/>
    </w:pPr>
    <w:r>
      <w:rPr>
        <w:noProof/>
      </w:rPr>
      <w:pict w14:anchorId="2B16D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8347C" w14:textId="3B0E797B" w:rsidR="00F72279" w:rsidRDefault="00E12720">
    <w:pPr>
      <w:pStyle w:val="Header"/>
    </w:pPr>
    <w:r>
      <w:rPr>
        <w:noProof/>
      </w:rPr>
      <w:pict w14:anchorId="3E897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47ED8" w14:textId="5223321F" w:rsidR="00296529" w:rsidRPr="00296529" w:rsidRDefault="00E12720" w:rsidP="00296529">
    <w:pPr>
      <w:ind w:left="2160"/>
      <w:jc w:val="center"/>
      <w:rPr>
        <w:rFonts w:ascii="Times New Roman" w:eastAsia="Calibri" w:hAnsi="Times New Roman"/>
        <w:i/>
        <w:sz w:val="18"/>
        <w:szCs w:val="22"/>
      </w:rPr>
    </w:pPr>
    <w:r>
      <w:rPr>
        <w:noProof/>
      </w:rPr>
      <w:pict w14:anchorId="247FB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130A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95D8A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A5098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6B8D3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150C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81506C"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A207B" w14:textId="6EA59929" w:rsidR="00F72279" w:rsidRDefault="00E12720">
    <w:pPr>
      <w:pStyle w:val="Header"/>
    </w:pPr>
    <w:r>
      <w:rPr>
        <w:noProof/>
      </w:rPr>
      <w:pict w14:anchorId="6DC30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21FBA" w14:textId="1F701C18" w:rsidR="00F72279" w:rsidRDefault="00E12720">
    <w:pPr>
      <w:pStyle w:val="Header"/>
    </w:pPr>
    <w:r>
      <w:rPr>
        <w:noProof/>
      </w:rPr>
      <w:pict w14:anchorId="498C1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3971C" w14:textId="3911C2BC" w:rsidR="00F72279" w:rsidRDefault="00E12720">
    <w:pPr>
      <w:pStyle w:val="Header"/>
    </w:pPr>
    <w:r>
      <w:rPr>
        <w:noProof/>
      </w:rPr>
      <w:pict w14:anchorId="4607E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FB62D3E"/>
    <w:multiLevelType w:val="hybridMultilevel"/>
    <w:tmpl w:val="9DBA6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464FE"/>
    <w:rsid w:val="00063E9E"/>
    <w:rsid w:val="000A47FA"/>
    <w:rsid w:val="000A65D3"/>
    <w:rsid w:val="000B1E33"/>
    <w:rsid w:val="000B3A5A"/>
    <w:rsid w:val="000C0903"/>
    <w:rsid w:val="000C6834"/>
    <w:rsid w:val="000D689F"/>
    <w:rsid w:val="000E1ABD"/>
    <w:rsid w:val="000E7B7B"/>
    <w:rsid w:val="000E7D62"/>
    <w:rsid w:val="000F4622"/>
    <w:rsid w:val="0010097D"/>
    <w:rsid w:val="00101BFF"/>
    <w:rsid w:val="00103357"/>
    <w:rsid w:val="00123C9F"/>
    <w:rsid w:val="00126190"/>
    <w:rsid w:val="00130F17"/>
    <w:rsid w:val="001320BF"/>
    <w:rsid w:val="00142587"/>
    <w:rsid w:val="0014441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10B4"/>
    <w:rsid w:val="002C2631"/>
    <w:rsid w:val="002C57D2"/>
    <w:rsid w:val="002E0D56"/>
    <w:rsid w:val="002E5452"/>
    <w:rsid w:val="00315186"/>
    <w:rsid w:val="0033343E"/>
    <w:rsid w:val="003512C2"/>
    <w:rsid w:val="00371FB6"/>
    <w:rsid w:val="003763C1"/>
    <w:rsid w:val="00376BBE"/>
    <w:rsid w:val="0039224F"/>
    <w:rsid w:val="003A43A4"/>
    <w:rsid w:val="003A7E18"/>
    <w:rsid w:val="003C0A0B"/>
    <w:rsid w:val="003C4C86"/>
    <w:rsid w:val="003C6258"/>
    <w:rsid w:val="003D4323"/>
    <w:rsid w:val="003D5775"/>
    <w:rsid w:val="003E2904"/>
    <w:rsid w:val="00401927"/>
    <w:rsid w:val="0041027F"/>
    <w:rsid w:val="00412475"/>
    <w:rsid w:val="00423789"/>
    <w:rsid w:val="00436559"/>
    <w:rsid w:val="00440F43"/>
    <w:rsid w:val="00441B6F"/>
    <w:rsid w:val="00442694"/>
    <w:rsid w:val="00446221"/>
    <w:rsid w:val="00447EEA"/>
    <w:rsid w:val="00450E62"/>
    <w:rsid w:val="004539DB"/>
    <w:rsid w:val="00457853"/>
    <w:rsid w:val="00471A80"/>
    <w:rsid w:val="004752E9"/>
    <w:rsid w:val="004B577A"/>
    <w:rsid w:val="004B70ED"/>
    <w:rsid w:val="004D305E"/>
    <w:rsid w:val="004D4277"/>
    <w:rsid w:val="004D63DB"/>
    <w:rsid w:val="004F3AB3"/>
    <w:rsid w:val="00502516"/>
    <w:rsid w:val="00505F06"/>
    <w:rsid w:val="00506828"/>
    <w:rsid w:val="0052209F"/>
    <w:rsid w:val="0053056E"/>
    <w:rsid w:val="00534326"/>
    <w:rsid w:val="00537D95"/>
    <w:rsid w:val="0054789C"/>
    <w:rsid w:val="00554FDA"/>
    <w:rsid w:val="00583062"/>
    <w:rsid w:val="00594EBA"/>
    <w:rsid w:val="005A206A"/>
    <w:rsid w:val="005A7343"/>
    <w:rsid w:val="005B0186"/>
    <w:rsid w:val="005C18A8"/>
    <w:rsid w:val="005C784C"/>
    <w:rsid w:val="005D17F6"/>
    <w:rsid w:val="005E4E6F"/>
    <w:rsid w:val="005E5539"/>
    <w:rsid w:val="00602BF5"/>
    <w:rsid w:val="006074E1"/>
    <w:rsid w:val="0060754C"/>
    <w:rsid w:val="00617FDD"/>
    <w:rsid w:val="00633614"/>
    <w:rsid w:val="00633F68"/>
    <w:rsid w:val="00636AA9"/>
    <w:rsid w:val="00636EB2"/>
    <w:rsid w:val="006375B8"/>
    <w:rsid w:val="0066510A"/>
    <w:rsid w:val="00673F9F"/>
    <w:rsid w:val="00686953"/>
    <w:rsid w:val="00687DEA"/>
    <w:rsid w:val="00687E67"/>
    <w:rsid w:val="00692AE2"/>
    <w:rsid w:val="006967F7"/>
    <w:rsid w:val="006A250C"/>
    <w:rsid w:val="006B21D3"/>
    <w:rsid w:val="006B57D0"/>
    <w:rsid w:val="006D30FF"/>
    <w:rsid w:val="006D6940"/>
    <w:rsid w:val="006E0372"/>
    <w:rsid w:val="006E3B29"/>
    <w:rsid w:val="006F11EC"/>
    <w:rsid w:val="0070082C"/>
    <w:rsid w:val="007020E8"/>
    <w:rsid w:val="0071561D"/>
    <w:rsid w:val="007361DE"/>
    <w:rsid w:val="007369E6"/>
    <w:rsid w:val="00746E59"/>
    <w:rsid w:val="00754C9A"/>
    <w:rsid w:val="0075599A"/>
    <w:rsid w:val="00761D52"/>
    <w:rsid w:val="007627E9"/>
    <w:rsid w:val="0077749E"/>
    <w:rsid w:val="00790ADA"/>
    <w:rsid w:val="007B2C5A"/>
    <w:rsid w:val="007B4025"/>
    <w:rsid w:val="007D2288"/>
    <w:rsid w:val="007E088F"/>
    <w:rsid w:val="007F7B32"/>
    <w:rsid w:val="00804BC2"/>
    <w:rsid w:val="0081431A"/>
    <w:rsid w:val="008305BB"/>
    <w:rsid w:val="0083216F"/>
    <w:rsid w:val="0083746D"/>
    <w:rsid w:val="00841FAB"/>
    <w:rsid w:val="00860000"/>
    <w:rsid w:val="00863BD3"/>
    <w:rsid w:val="008641ED"/>
    <w:rsid w:val="00866D66"/>
    <w:rsid w:val="008671C6"/>
    <w:rsid w:val="0086772E"/>
    <w:rsid w:val="00875803"/>
    <w:rsid w:val="008B459E"/>
    <w:rsid w:val="008B6F6D"/>
    <w:rsid w:val="008D2ED6"/>
    <w:rsid w:val="008E0D63"/>
    <w:rsid w:val="008E0F7B"/>
    <w:rsid w:val="008E13AE"/>
    <w:rsid w:val="008E1506"/>
    <w:rsid w:val="008E710C"/>
    <w:rsid w:val="008F69D6"/>
    <w:rsid w:val="00902823"/>
    <w:rsid w:val="00905391"/>
    <w:rsid w:val="00915CA6"/>
    <w:rsid w:val="00926B5F"/>
    <w:rsid w:val="00927834"/>
    <w:rsid w:val="009500A6"/>
    <w:rsid w:val="0095578F"/>
    <w:rsid w:val="00957C18"/>
    <w:rsid w:val="009659BA"/>
    <w:rsid w:val="00980B0B"/>
    <w:rsid w:val="00983040"/>
    <w:rsid w:val="00997B8D"/>
    <w:rsid w:val="009B3FB9"/>
    <w:rsid w:val="009C2465"/>
    <w:rsid w:val="009D35A0"/>
    <w:rsid w:val="009D7EB7"/>
    <w:rsid w:val="009E048A"/>
    <w:rsid w:val="009E08E9"/>
    <w:rsid w:val="009E3DB9"/>
    <w:rsid w:val="009E6E35"/>
    <w:rsid w:val="009F0EDA"/>
    <w:rsid w:val="009F73A3"/>
    <w:rsid w:val="00A03B96"/>
    <w:rsid w:val="00A05B19"/>
    <w:rsid w:val="00A1134E"/>
    <w:rsid w:val="00A178CB"/>
    <w:rsid w:val="00A24E7E"/>
    <w:rsid w:val="00A258C3"/>
    <w:rsid w:val="00A32484"/>
    <w:rsid w:val="00A330A1"/>
    <w:rsid w:val="00A347C0"/>
    <w:rsid w:val="00A51431"/>
    <w:rsid w:val="00A539AD"/>
    <w:rsid w:val="00A75A34"/>
    <w:rsid w:val="00A9013C"/>
    <w:rsid w:val="00A94063"/>
    <w:rsid w:val="00AA6219"/>
    <w:rsid w:val="00AA74E0"/>
    <w:rsid w:val="00AB37EC"/>
    <w:rsid w:val="00AB6D72"/>
    <w:rsid w:val="00AB703F"/>
    <w:rsid w:val="00AC6BB8"/>
    <w:rsid w:val="00AE008F"/>
    <w:rsid w:val="00B01FCD"/>
    <w:rsid w:val="00B1776C"/>
    <w:rsid w:val="00B52583"/>
    <w:rsid w:val="00B52896"/>
    <w:rsid w:val="00B95236"/>
    <w:rsid w:val="00B96BD9"/>
    <w:rsid w:val="00BA1B01"/>
    <w:rsid w:val="00BA2641"/>
    <w:rsid w:val="00BA4163"/>
    <w:rsid w:val="00BB169A"/>
    <w:rsid w:val="00BB37AA"/>
    <w:rsid w:val="00BC53A0"/>
    <w:rsid w:val="00BD796F"/>
    <w:rsid w:val="00BE62AD"/>
    <w:rsid w:val="00BF121F"/>
    <w:rsid w:val="00BF1F80"/>
    <w:rsid w:val="00C103AE"/>
    <w:rsid w:val="00C166EF"/>
    <w:rsid w:val="00C17EB0"/>
    <w:rsid w:val="00C26A26"/>
    <w:rsid w:val="00C27F5F"/>
    <w:rsid w:val="00C30A0F"/>
    <w:rsid w:val="00C37E61"/>
    <w:rsid w:val="00C4704B"/>
    <w:rsid w:val="00C56BFC"/>
    <w:rsid w:val="00C70F1B"/>
    <w:rsid w:val="00C71A47"/>
    <w:rsid w:val="00C7464C"/>
    <w:rsid w:val="00C85588"/>
    <w:rsid w:val="00C954E8"/>
    <w:rsid w:val="00C9614B"/>
    <w:rsid w:val="00CD6755"/>
    <w:rsid w:val="00CD6856"/>
    <w:rsid w:val="00CE0089"/>
    <w:rsid w:val="00CE793C"/>
    <w:rsid w:val="00CF193C"/>
    <w:rsid w:val="00D02890"/>
    <w:rsid w:val="00D173F1"/>
    <w:rsid w:val="00D30E8B"/>
    <w:rsid w:val="00D54673"/>
    <w:rsid w:val="00D630AB"/>
    <w:rsid w:val="00D74CB0"/>
    <w:rsid w:val="00D8295D"/>
    <w:rsid w:val="00D877E4"/>
    <w:rsid w:val="00D915AE"/>
    <w:rsid w:val="00DA47F7"/>
    <w:rsid w:val="00DC2A65"/>
    <w:rsid w:val="00DC36D8"/>
    <w:rsid w:val="00DE15F0"/>
    <w:rsid w:val="00DE5663"/>
    <w:rsid w:val="00DE78AA"/>
    <w:rsid w:val="00E053D0"/>
    <w:rsid w:val="00E12720"/>
    <w:rsid w:val="00E15994"/>
    <w:rsid w:val="00E16FFF"/>
    <w:rsid w:val="00E17450"/>
    <w:rsid w:val="00E24D39"/>
    <w:rsid w:val="00E3114E"/>
    <w:rsid w:val="00E31A70"/>
    <w:rsid w:val="00E35B02"/>
    <w:rsid w:val="00E3645E"/>
    <w:rsid w:val="00E56D23"/>
    <w:rsid w:val="00E66496"/>
    <w:rsid w:val="00E66B35"/>
    <w:rsid w:val="00E66E10"/>
    <w:rsid w:val="00E769F6"/>
    <w:rsid w:val="00E8052F"/>
    <w:rsid w:val="00E8407C"/>
    <w:rsid w:val="00E84F3C"/>
    <w:rsid w:val="00EA012C"/>
    <w:rsid w:val="00EB0BCE"/>
    <w:rsid w:val="00EC3FD2"/>
    <w:rsid w:val="00EC6A55"/>
    <w:rsid w:val="00ED0288"/>
    <w:rsid w:val="00ED54C2"/>
    <w:rsid w:val="00ED6A09"/>
    <w:rsid w:val="00EE52CB"/>
    <w:rsid w:val="00EF4306"/>
    <w:rsid w:val="00EF581D"/>
    <w:rsid w:val="00EF7FD8"/>
    <w:rsid w:val="00F06F59"/>
    <w:rsid w:val="00F13EB7"/>
    <w:rsid w:val="00F17988"/>
    <w:rsid w:val="00F469F0"/>
    <w:rsid w:val="00F53273"/>
    <w:rsid w:val="00F66220"/>
    <w:rsid w:val="00F72279"/>
    <w:rsid w:val="00F755E4"/>
    <w:rsid w:val="00F76BDD"/>
    <w:rsid w:val="00F77D02"/>
    <w:rsid w:val="00F9079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65323D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
    <w:name w:val="Unresolved Mention"/>
    <w:basedOn w:val="DefaultParagraphFont"/>
    <w:uiPriority w:val="99"/>
    <w:semiHidden/>
    <w:unhideWhenUsed/>
    <w:rsid w:val="0060754C"/>
    <w:rPr>
      <w:color w:val="605E5C"/>
      <w:shd w:val="clear" w:color="auto" w:fill="E1DFDD"/>
    </w:rPr>
  </w:style>
  <w:style w:type="paragraph" w:styleId="CommentSubject">
    <w:name w:val="annotation subject"/>
    <w:basedOn w:val="CommentText"/>
    <w:next w:val="CommentText"/>
    <w:link w:val="CommentSubjectChar"/>
    <w:semiHidden/>
    <w:unhideWhenUsed/>
    <w:rsid w:val="00A9013C"/>
    <w:rPr>
      <w:rFonts w:ascii="Helvetica" w:hAnsi="Helvetica"/>
      <w:b/>
      <w:bCs/>
      <w:lang w:val="en-US" w:eastAsia="en-US"/>
    </w:rPr>
  </w:style>
  <w:style w:type="character" w:customStyle="1" w:styleId="CommentSubjectChar">
    <w:name w:val="Comment Subject Char"/>
    <w:basedOn w:val="CommentTextChar"/>
    <w:link w:val="CommentSubject"/>
    <w:semiHidden/>
    <w:rsid w:val="00A9013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7603/s40934-015-0013-1" TargetMode="External"/><Relationship Id="rId26" Type="http://schemas.openxmlformats.org/officeDocument/2006/relationships/hyperlink" Target="https://doi.org/10.1016/j.jhydrol.2024.13239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52751/mnaf2550"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doi.org/10.1016/S0045-6535(03)00269-8" TargetMode="External"/><Relationship Id="rId33" Type="http://schemas.openxmlformats.org/officeDocument/2006/relationships/header" Target="header4.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oi.org/10.31398/tpjf/27.2.2020A0006" TargetMode="External"/><Relationship Id="rId29" Type="http://schemas.openxmlformats.org/officeDocument/2006/relationships/hyperlink" Target="https://hal.science/hal-03295552v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61310/mjst.v22iS1.2212" TargetMode="External"/><Relationship Id="rId32" Type="http://schemas.openxmlformats.org/officeDocument/2006/relationships/hyperlink" Target="https://doi.org/10.1186/s13065-022-00806-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080/15715124.2021.2000427" TargetMode="External"/><Relationship Id="rId28" Type="http://schemas.openxmlformats.org/officeDocument/2006/relationships/hyperlink" Target="https://doi.org/10.1080/10934529.2012.673305"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56293/IJASR.2022.5430" TargetMode="External"/><Relationship Id="rId31" Type="http://schemas.openxmlformats.org/officeDocument/2006/relationships/hyperlink" Target="https://doi.org/10.9734/psij/2025/v29i387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x.doi.org/10.21275/SR24718113931" TargetMode="External"/><Relationship Id="rId27" Type="http://schemas.openxmlformats.org/officeDocument/2006/relationships/hyperlink" Target="https://doi.org/10.2166/h2oj.2023.019" TargetMode="External"/><Relationship Id="rId30" Type="http://schemas.openxmlformats.org/officeDocument/2006/relationships/hyperlink" Target="https://doi.org/10.31398/tpjf/24.2.2016A0014" TargetMode="External"/><Relationship Id="rId35"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40E1D-D745-4806-A2AB-801091EE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11</Pages>
  <Words>4845</Words>
  <Characters>27619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32400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ACER</cp:lastModifiedBy>
  <cp:revision>3</cp:revision>
  <cp:lastPrinted>2025-12-24T07:43:00Z</cp:lastPrinted>
  <dcterms:created xsi:type="dcterms:W3CDTF">2025-12-25T10:32:00Z</dcterms:created>
  <dcterms:modified xsi:type="dcterms:W3CDTF">2025-12-25T10:36:00Z</dcterms:modified>
</cp:coreProperties>
</file>