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3096" w14:textId="77777777" w:rsidR="00754C9A" w:rsidRPr="000B7F05" w:rsidRDefault="00754C9A" w:rsidP="00441B6F">
      <w:pPr>
        <w:pStyle w:val="Title"/>
        <w:spacing w:after="0"/>
        <w:jc w:val="both"/>
        <w:rPr>
          <w:rFonts w:ascii="Arial" w:hAnsi="Arial" w:cs="Arial"/>
        </w:rPr>
      </w:pPr>
    </w:p>
    <w:p w14:paraId="27C28378" w14:textId="483D63AB" w:rsidR="00755987" w:rsidRPr="000B7F05" w:rsidRDefault="00062A05" w:rsidP="000B5EBE">
      <w:pPr>
        <w:pStyle w:val="Author"/>
        <w:spacing w:line="240" w:lineRule="auto"/>
        <w:rPr>
          <w:rFonts w:ascii="Arial" w:hAnsi="Arial" w:cs="Arial"/>
          <w:i/>
          <w:iCs/>
        </w:rPr>
      </w:pPr>
      <w:r w:rsidRPr="000B7F05">
        <w:rPr>
          <w:rFonts w:ascii="Arial" w:hAnsi="Arial" w:cs="Arial"/>
          <w:i/>
          <w:iCs/>
        </w:rPr>
        <w:t>Review Article</w:t>
      </w:r>
    </w:p>
    <w:p w14:paraId="76256B1D" w14:textId="77777777" w:rsidR="00062A05" w:rsidRPr="000B7F05" w:rsidRDefault="00062A05" w:rsidP="000B5EBE">
      <w:pPr>
        <w:pStyle w:val="Author"/>
        <w:spacing w:line="240" w:lineRule="auto"/>
        <w:rPr>
          <w:rFonts w:ascii="Arial" w:hAnsi="Arial" w:cs="Arial"/>
          <w:i/>
          <w:iCs/>
        </w:rPr>
      </w:pPr>
    </w:p>
    <w:p w14:paraId="4703B486" w14:textId="3591EC22" w:rsidR="00A258C3" w:rsidRPr="000B7F05" w:rsidRDefault="000B5EBE" w:rsidP="000B5EBE">
      <w:pPr>
        <w:pStyle w:val="Author"/>
        <w:spacing w:line="240" w:lineRule="auto"/>
        <w:rPr>
          <w:rFonts w:ascii="Arial" w:hAnsi="Arial" w:cs="Arial"/>
          <w:sz w:val="36"/>
        </w:rPr>
      </w:pPr>
      <w:r w:rsidRPr="000B7F05">
        <w:rPr>
          <w:rFonts w:ascii="Arial" w:hAnsi="Arial" w:cs="Arial"/>
          <w:i/>
          <w:iCs/>
        </w:rPr>
        <w:t xml:space="preserve"> </w:t>
      </w:r>
      <w:r w:rsidR="00755987" w:rsidRPr="000B7F05">
        <w:rPr>
          <w:rFonts w:ascii="Arial" w:hAnsi="Arial" w:cs="Arial"/>
          <w:i/>
          <w:iCs/>
        </w:rPr>
        <w:t>A Review of Protein Histochemistry</w:t>
      </w:r>
    </w:p>
    <w:p w14:paraId="465F540C" w14:textId="77777777" w:rsidR="00790ADA" w:rsidRPr="000B7F05" w:rsidRDefault="00790ADA" w:rsidP="00441B6F">
      <w:pPr>
        <w:pStyle w:val="Affiliation"/>
        <w:spacing w:after="0" w:line="240" w:lineRule="auto"/>
        <w:jc w:val="both"/>
        <w:rPr>
          <w:rFonts w:ascii="Arial" w:hAnsi="Arial" w:cs="Arial"/>
        </w:rPr>
      </w:pPr>
    </w:p>
    <w:p w14:paraId="52281D76" w14:textId="185A0A38" w:rsidR="002C57D2" w:rsidRPr="000B7F05" w:rsidRDefault="002844D8" w:rsidP="00441B6F">
      <w:pPr>
        <w:pStyle w:val="Affiliation"/>
        <w:spacing w:after="0" w:line="240" w:lineRule="auto"/>
        <w:jc w:val="both"/>
        <w:rPr>
          <w:rFonts w:ascii="Arial" w:hAnsi="Arial" w:cs="Arial"/>
        </w:rPr>
      </w:pPr>
      <w:r w:rsidRPr="000B7F05">
        <w:rPr>
          <w:rFonts w:ascii="Arial" w:hAnsi="Arial" w:cs="Arial"/>
          <w:noProof/>
        </w:rPr>
        <mc:AlternateContent>
          <mc:Choice Requires="wps">
            <w:drawing>
              <wp:inline distT="0" distB="0" distL="0" distR="0" wp14:anchorId="79580060" wp14:editId="0A988604">
                <wp:extent cx="5303520" cy="635"/>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55331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67FF0E2F" w14:textId="77777777" w:rsidR="00690E34" w:rsidRPr="000B7F05" w:rsidRDefault="00690E34" w:rsidP="00441B6F">
      <w:pPr>
        <w:pStyle w:val="Copyright"/>
        <w:spacing w:after="0" w:line="240" w:lineRule="auto"/>
        <w:jc w:val="both"/>
        <w:rPr>
          <w:rFonts w:ascii="Arial" w:hAnsi="Arial" w:cs="Arial"/>
        </w:rPr>
      </w:pPr>
    </w:p>
    <w:p w14:paraId="3ED00481" w14:textId="77777777" w:rsidR="00B01FCD" w:rsidRPr="000B7F05" w:rsidRDefault="00690E34" w:rsidP="00441B6F">
      <w:pPr>
        <w:pStyle w:val="Copyright"/>
        <w:spacing w:after="0" w:line="240" w:lineRule="auto"/>
        <w:jc w:val="both"/>
        <w:rPr>
          <w:rFonts w:ascii="Arial" w:hAnsi="Arial" w:cs="Arial"/>
        </w:rPr>
        <w:sectPr w:rsidR="00B01FCD" w:rsidRPr="000B7F05" w:rsidSect="006E6158">
          <w:headerReference w:type="even" r:id="rId8"/>
          <w:headerReference w:type="default" r:id="rId9"/>
          <w:headerReference w:type="first" r:id="rId10"/>
          <w:pgSz w:w="12240" w:h="15840" w:code="1"/>
          <w:pgMar w:top="851" w:right="2016" w:bottom="2016" w:left="2016" w:header="720" w:footer="1296" w:gutter="0"/>
          <w:cols w:space="720"/>
          <w:docGrid w:linePitch="272"/>
        </w:sectPr>
      </w:pPr>
      <w:r w:rsidRPr="000B7F05">
        <w:rPr>
          <w:rFonts w:ascii="Arial" w:hAnsi="Arial" w:cs="Arial"/>
          <w:b/>
          <w:sz w:val="22"/>
        </w:rPr>
        <w:t>ABSTRACT</w:t>
      </w:r>
      <w:r w:rsidR="00FB3A86" w:rsidRPr="000B7F05">
        <w:rPr>
          <w:rFonts w:ascii="Arial" w:hAnsi="Arial" w:cs="Arial"/>
        </w:rPr>
        <w:t>.</w:t>
      </w: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83"/>
      </w:tblGrid>
      <w:tr w:rsidR="000B7F05" w:rsidRPr="000B7F05" w14:paraId="200C3DF0" w14:textId="77777777" w:rsidTr="00690E34">
        <w:trPr>
          <w:trHeight w:val="9885"/>
        </w:trPr>
        <w:tc>
          <w:tcPr>
            <w:tcW w:w="8783" w:type="dxa"/>
            <w:shd w:val="clear" w:color="auto" w:fill="F2F2F2"/>
          </w:tcPr>
          <w:p w14:paraId="4D49A420" w14:textId="77777777" w:rsidR="00E3114E" w:rsidRPr="000B7F05" w:rsidRDefault="00E3114E" w:rsidP="00441B6F">
            <w:pPr>
              <w:pStyle w:val="Body"/>
              <w:spacing w:after="0"/>
              <w:rPr>
                <w:rFonts w:ascii="Arial" w:eastAsia="Calibri" w:hAnsi="Arial" w:cs="Arial"/>
                <w:b/>
                <w:szCs w:val="22"/>
              </w:rPr>
            </w:pPr>
          </w:p>
          <w:p w14:paraId="1D2A429C" w14:textId="77777777" w:rsidR="000B5EBE" w:rsidRPr="000B7F05" w:rsidRDefault="000B5EBE" w:rsidP="00690E34">
            <w:pPr>
              <w:pStyle w:val="Heading3"/>
              <w:rPr>
                <w:rFonts w:ascii="Arial" w:hAnsi="Arial" w:cs="Arial"/>
                <w:color w:val="auto"/>
                <w:sz w:val="22"/>
              </w:rPr>
            </w:pPr>
            <w:r w:rsidRPr="000B7F05">
              <w:rPr>
                <w:rStyle w:val="Strong"/>
                <w:rFonts w:ascii="Arial" w:hAnsi="Arial" w:cs="Arial"/>
                <w:bCs w:val="0"/>
                <w:color w:val="auto"/>
                <w:sz w:val="22"/>
              </w:rPr>
              <w:t>Aim</w:t>
            </w:r>
            <w:r w:rsidRPr="000B7F05">
              <w:rPr>
                <w:rStyle w:val="Strong"/>
                <w:rFonts w:ascii="Arial" w:hAnsi="Arial" w:cs="Arial"/>
                <w:b w:val="0"/>
                <w:bCs w:val="0"/>
                <w:color w:val="auto"/>
                <w:sz w:val="22"/>
              </w:rPr>
              <w:t>:</w:t>
            </w:r>
          </w:p>
          <w:p w14:paraId="794A0C1F" w14:textId="77777777" w:rsidR="000B5EBE" w:rsidRPr="000B7F05" w:rsidRDefault="000B5EBE" w:rsidP="00690E34">
            <w:pPr>
              <w:pStyle w:val="NormalWeb"/>
              <w:rPr>
                <w:rFonts w:ascii="Arial" w:hAnsi="Arial" w:cs="Arial"/>
                <w:sz w:val="22"/>
              </w:rPr>
            </w:pPr>
            <w:r w:rsidRPr="000B7F05">
              <w:rPr>
                <w:rFonts w:ascii="Arial" w:hAnsi="Arial" w:cs="Arial"/>
                <w:sz w:val="22"/>
              </w:rPr>
              <w:t xml:space="preserve">To review and synthesize key developments in protein histochemistry, emphasizing its role in bridging molecular biology and tissue morphology. </w:t>
            </w:r>
            <w:commentRangeStart w:id="0"/>
            <w:r w:rsidRPr="000B7F05">
              <w:rPr>
                <w:rFonts w:ascii="Arial" w:hAnsi="Arial" w:cs="Arial"/>
                <w:sz w:val="22"/>
              </w:rPr>
              <w:t>The study aims to highlight methodological advancements, interpretative challenges, and clinical applications of protein histochemistry in research and diagnostics.</w:t>
            </w:r>
            <w:commentRangeEnd w:id="0"/>
            <w:r w:rsidR="00A648B4">
              <w:rPr>
                <w:rStyle w:val="CommentReference"/>
                <w:lang w:val="nb-NO" w:eastAsia="nb-NO"/>
              </w:rPr>
              <w:commentReference w:id="0"/>
            </w:r>
          </w:p>
          <w:p w14:paraId="28BFFCF8" w14:textId="77777777" w:rsidR="000B5EBE" w:rsidRPr="000B7F05" w:rsidRDefault="000B5EBE" w:rsidP="00690E34">
            <w:pPr>
              <w:pStyle w:val="Heading3"/>
              <w:rPr>
                <w:rFonts w:ascii="Arial" w:hAnsi="Arial" w:cs="Arial"/>
                <w:color w:val="auto"/>
                <w:sz w:val="22"/>
              </w:rPr>
            </w:pPr>
            <w:r w:rsidRPr="000B7F05">
              <w:rPr>
                <w:rStyle w:val="Strong"/>
                <w:rFonts w:ascii="Arial" w:hAnsi="Arial" w:cs="Arial"/>
                <w:bCs w:val="0"/>
                <w:color w:val="auto"/>
                <w:sz w:val="22"/>
              </w:rPr>
              <w:t>Methodology</w:t>
            </w:r>
            <w:r w:rsidRPr="000B7F05">
              <w:rPr>
                <w:rStyle w:val="Strong"/>
                <w:rFonts w:ascii="Arial" w:hAnsi="Arial" w:cs="Arial"/>
                <w:b w:val="0"/>
                <w:bCs w:val="0"/>
                <w:color w:val="auto"/>
                <w:sz w:val="22"/>
              </w:rPr>
              <w:t>:</w:t>
            </w:r>
          </w:p>
          <w:p w14:paraId="68588BBC" w14:textId="77777777" w:rsidR="000B5EBE" w:rsidRPr="000B7F05" w:rsidRDefault="000B5EBE" w:rsidP="00690E34">
            <w:pPr>
              <w:pStyle w:val="NormalWeb"/>
              <w:rPr>
                <w:rFonts w:ascii="Arial" w:hAnsi="Arial" w:cs="Arial"/>
                <w:sz w:val="22"/>
              </w:rPr>
            </w:pPr>
            <w:r w:rsidRPr="000B7F05">
              <w:rPr>
                <w:rFonts w:ascii="Arial" w:hAnsi="Arial" w:cs="Arial"/>
                <w:sz w:val="22"/>
              </w:rPr>
              <w:t>Relevant literature and experimental reports were systematically examined to evaluate progress in classical and modern histochemical methods. Focus was placed on fixation techniques, antigen retrieval procedures, labeling and signal amplification strategies, and the integration of histochemical analysis with molecular and digital imaging technologies. The review further analyzed applications in oncology, neuroscience, and developmental biology to assess diagnostic and research relevance.</w:t>
            </w:r>
          </w:p>
          <w:p w14:paraId="27F59CBD" w14:textId="77777777" w:rsidR="000B5EBE" w:rsidRPr="000B7F05" w:rsidRDefault="000B5EBE" w:rsidP="00690E34">
            <w:pPr>
              <w:pStyle w:val="Heading3"/>
              <w:rPr>
                <w:rFonts w:ascii="Arial" w:hAnsi="Arial" w:cs="Arial"/>
                <w:color w:val="auto"/>
                <w:sz w:val="22"/>
              </w:rPr>
            </w:pPr>
            <w:r w:rsidRPr="000B7F05">
              <w:rPr>
                <w:rStyle w:val="Strong"/>
                <w:rFonts w:ascii="Arial" w:hAnsi="Arial" w:cs="Arial"/>
                <w:bCs w:val="0"/>
                <w:color w:val="auto"/>
                <w:sz w:val="22"/>
              </w:rPr>
              <w:t>Results</w:t>
            </w:r>
            <w:r w:rsidRPr="000B7F05">
              <w:rPr>
                <w:rStyle w:val="Strong"/>
                <w:rFonts w:ascii="Arial" w:hAnsi="Arial" w:cs="Arial"/>
                <w:b w:val="0"/>
                <w:bCs w:val="0"/>
                <w:color w:val="auto"/>
                <w:sz w:val="22"/>
              </w:rPr>
              <w:t>:</w:t>
            </w:r>
          </w:p>
          <w:p w14:paraId="148AD8A7" w14:textId="77777777" w:rsidR="000B5EBE" w:rsidRPr="000B7F05" w:rsidRDefault="000B5EBE" w:rsidP="00690E34">
            <w:pPr>
              <w:pStyle w:val="NormalWeb"/>
              <w:rPr>
                <w:rFonts w:ascii="Arial" w:hAnsi="Arial" w:cs="Arial"/>
                <w:sz w:val="22"/>
              </w:rPr>
            </w:pPr>
            <w:r w:rsidRPr="000B7F05">
              <w:rPr>
                <w:rFonts w:ascii="Arial" w:hAnsi="Arial" w:cs="Arial"/>
                <w:sz w:val="22"/>
              </w:rPr>
              <w:t>Over the decades, protein histochemistry has evolved from traditional staining and precipitation reactions to highly specific immunohistochemical and multiplex analytical systems. Advancements in fixation and antigen retrieval improved tissue integrity and antigen accessibility, while enhanced labeling and signal amplification increased detection sensitivity. Integration with digital imaging and molecular assays yielded significant improvements in precision and quantification. The reviewed data consistently indicate that these innovations have elevated the diagnostic accuracy and research utility of protein histochemistry across biomedical fields.</w:t>
            </w:r>
          </w:p>
          <w:p w14:paraId="2DA637EA" w14:textId="77777777" w:rsidR="000B5EBE" w:rsidRPr="000B7F05" w:rsidRDefault="000B5EBE" w:rsidP="00690E34">
            <w:pPr>
              <w:pStyle w:val="Heading3"/>
              <w:rPr>
                <w:rFonts w:ascii="Arial" w:hAnsi="Arial" w:cs="Arial"/>
                <w:color w:val="auto"/>
                <w:sz w:val="22"/>
              </w:rPr>
            </w:pPr>
            <w:r w:rsidRPr="000B7F05">
              <w:rPr>
                <w:rStyle w:val="Strong"/>
                <w:rFonts w:ascii="Arial" w:hAnsi="Arial" w:cs="Arial"/>
                <w:bCs w:val="0"/>
                <w:color w:val="auto"/>
                <w:sz w:val="22"/>
              </w:rPr>
              <w:t>Conclusion</w:t>
            </w:r>
            <w:r w:rsidRPr="000B7F05">
              <w:rPr>
                <w:rStyle w:val="Strong"/>
                <w:rFonts w:ascii="Arial" w:hAnsi="Arial" w:cs="Arial"/>
                <w:b w:val="0"/>
                <w:bCs w:val="0"/>
                <w:color w:val="auto"/>
                <w:sz w:val="22"/>
              </w:rPr>
              <w:t>:</w:t>
            </w:r>
          </w:p>
          <w:p w14:paraId="5CBBDD27" w14:textId="77777777" w:rsidR="000B5EBE" w:rsidRPr="000B7F05" w:rsidRDefault="000B5EBE" w:rsidP="00690E34">
            <w:pPr>
              <w:pStyle w:val="NormalWeb"/>
              <w:rPr>
                <w:rFonts w:ascii="Arial" w:hAnsi="Arial" w:cs="Arial"/>
                <w:sz w:val="22"/>
              </w:rPr>
            </w:pPr>
            <w:commentRangeStart w:id="1"/>
            <w:r w:rsidRPr="000B7F05">
              <w:rPr>
                <w:rFonts w:ascii="Arial" w:hAnsi="Arial" w:cs="Arial"/>
                <w:sz w:val="22"/>
              </w:rPr>
              <w:t>Protein histochemistry remains an indispensable technique for correlating biochemical activity with structural organization in tissues. Ongoing improvements in methodology and imaging integration continue to enhance its diagnostic and research potential. Further optimization and standardization will strengthen its reliability and expand its applications in pathology, molecular diagnostics, and translational medicine</w:t>
            </w:r>
            <w:commentRangeEnd w:id="1"/>
            <w:r w:rsidR="00A648B4">
              <w:rPr>
                <w:rStyle w:val="CommentReference"/>
                <w:lang w:val="nb-NO" w:eastAsia="nb-NO"/>
              </w:rPr>
              <w:commentReference w:id="1"/>
            </w:r>
          </w:p>
          <w:p w14:paraId="2E201682" w14:textId="77777777" w:rsidR="00505F06" w:rsidRPr="000B7F05" w:rsidRDefault="00505F06" w:rsidP="00441B6F">
            <w:pPr>
              <w:pStyle w:val="Body"/>
              <w:spacing w:after="0"/>
              <w:rPr>
                <w:rFonts w:ascii="Arial" w:eastAsia="Calibri" w:hAnsi="Arial" w:cs="Arial"/>
                <w:szCs w:val="22"/>
              </w:rPr>
            </w:pPr>
          </w:p>
        </w:tc>
      </w:tr>
    </w:tbl>
    <w:p w14:paraId="10B0E952" w14:textId="77777777" w:rsidR="00A24E7E" w:rsidRPr="000B7F05" w:rsidRDefault="00A24E7E" w:rsidP="00690E34">
      <w:pPr>
        <w:pStyle w:val="Body"/>
        <w:spacing w:after="0"/>
        <w:jc w:val="left"/>
        <w:rPr>
          <w:rFonts w:ascii="Arial" w:hAnsi="Arial" w:cs="Arial"/>
          <w:i/>
        </w:rPr>
      </w:pPr>
      <w:r w:rsidRPr="000B7F05">
        <w:rPr>
          <w:rFonts w:ascii="Arial" w:hAnsi="Arial" w:cs="Arial"/>
          <w:i/>
        </w:rPr>
        <w:t xml:space="preserve">Keywords: </w:t>
      </w:r>
      <w:r w:rsidR="00690E34" w:rsidRPr="000B7F05">
        <w:rPr>
          <w:rFonts w:ascii="Arial" w:hAnsi="Arial" w:cs="Arial"/>
          <w:i/>
        </w:rPr>
        <w:t>Protein histochemistry; Immunohistochemistry; Tissue morphology; Molecular pathology</w:t>
      </w:r>
    </w:p>
    <w:p w14:paraId="6DF3AD0D" w14:textId="77777777" w:rsidR="0024282C" w:rsidRPr="000B7F05" w:rsidRDefault="0024282C" w:rsidP="00441B6F">
      <w:pPr>
        <w:pStyle w:val="Body"/>
        <w:spacing w:after="0"/>
        <w:rPr>
          <w:rFonts w:ascii="Arial" w:hAnsi="Arial" w:cs="Arial"/>
          <w:i/>
          <w:sz w:val="18"/>
        </w:rPr>
      </w:pPr>
    </w:p>
    <w:p w14:paraId="3842C9C1" w14:textId="630D75C0" w:rsidR="007F7B32" w:rsidRPr="000B7F05" w:rsidRDefault="00902823" w:rsidP="00441B6F">
      <w:pPr>
        <w:pStyle w:val="AbstHead"/>
        <w:spacing w:after="0"/>
        <w:jc w:val="both"/>
        <w:rPr>
          <w:rFonts w:ascii="Arial" w:hAnsi="Arial" w:cs="Arial"/>
        </w:rPr>
      </w:pPr>
      <w:r w:rsidRPr="000B7F05">
        <w:rPr>
          <w:rFonts w:ascii="Arial" w:hAnsi="Arial" w:cs="Arial"/>
        </w:rPr>
        <w:lastRenderedPageBreak/>
        <w:t xml:space="preserve">1. </w:t>
      </w:r>
      <w:r w:rsidR="00B01FCD" w:rsidRPr="000B7F05">
        <w:rPr>
          <w:rFonts w:ascii="Arial" w:hAnsi="Arial" w:cs="Arial"/>
        </w:rPr>
        <w:t>INTRODUCTION</w:t>
      </w:r>
      <w:r w:rsidR="00B31250" w:rsidRPr="000B7F05">
        <w:rPr>
          <w:rFonts w:ascii="Arial" w:hAnsi="Arial" w:cs="Arial"/>
        </w:rPr>
        <w:t xml:space="preserve"> </w:t>
      </w:r>
    </w:p>
    <w:p w14:paraId="7542B8AB" w14:textId="77777777" w:rsidR="00790ADA" w:rsidRPr="000B7F05" w:rsidRDefault="00790ADA" w:rsidP="00441B6F">
      <w:pPr>
        <w:pStyle w:val="AbstHead"/>
        <w:spacing w:after="0"/>
        <w:jc w:val="both"/>
        <w:rPr>
          <w:rFonts w:ascii="Arial" w:hAnsi="Arial" w:cs="Arial"/>
        </w:rPr>
      </w:pPr>
    </w:p>
    <w:p w14:paraId="23E33301" w14:textId="37C0B8F8" w:rsidR="009437CD" w:rsidRPr="000B7F05" w:rsidRDefault="009437CD" w:rsidP="009437CD">
      <w:pPr>
        <w:tabs>
          <w:tab w:val="left" w:pos="709"/>
        </w:tabs>
        <w:spacing w:line="360" w:lineRule="auto"/>
        <w:jc w:val="both"/>
        <w:rPr>
          <w:rFonts w:ascii="Arial" w:hAnsi="Arial" w:cs="Arial"/>
        </w:rPr>
      </w:pPr>
      <w:commentRangeStart w:id="2"/>
      <w:r w:rsidRPr="000B7F05">
        <w:rPr>
          <w:rFonts w:ascii="Arial" w:hAnsi="Arial" w:cs="Arial"/>
        </w:rPr>
        <w:t>Proteins are among the most fundamental biomolecules in living organisms, serving as the primary mediators of structure, function, and regulation at the cellular and tissue level</w:t>
      </w:r>
      <w:r w:rsidR="0055627D" w:rsidRPr="000B7F05">
        <w:rPr>
          <w:rFonts w:ascii="Arial" w:hAnsi="Arial" w:cs="Arial"/>
        </w:rPr>
        <w:t>(Yadav et al., 2021; Devi, 2024; Chandana et al., 2024)</w:t>
      </w:r>
      <w:r w:rsidRPr="000B7F05">
        <w:rPr>
          <w:rFonts w:ascii="Arial" w:hAnsi="Arial" w:cs="Arial"/>
        </w:rPr>
        <w:t xml:space="preserve">. </w:t>
      </w:r>
      <w:commentRangeEnd w:id="2"/>
      <w:r w:rsidR="00DA5F52">
        <w:rPr>
          <w:rStyle w:val="CommentReference"/>
          <w:rFonts w:ascii="Times New Roman" w:hAnsi="Times New Roman"/>
          <w:lang w:val="nb-NO" w:eastAsia="nb-NO"/>
        </w:rPr>
        <w:commentReference w:id="2"/>
      </w:r>
      <w:r w:rsidRPr="000B7F05">
        <w:rPr>
          <w:rFonts w:ascii="Arial" w:hAnsi="Arial" w:cs="Arial"/>
        </w:rPr>
        <w:t>They consist of long amino-acid chains folded into unique three-dimensional conformations that define their biological activity. Studying proteins within tissues made possible through histochemical and immunohistochemical techniques offers critical insights into normal physiology and pathological processes. Protein histochemistry enables the identification, localization, and quantification of proteins in situ, preserving their architectural and functional relationships within cells and tissues (</w:t>
      </w:r>
      <w:proofErr w:type="spellStart"/>
      <w:r w:rsidRPr="000B7F05">
        <w:rPr>
          <w:rFonts w:ascii="Arial" w:hAnsi="Arial" w:cs="Arial"/>
        </w:rPr>
        <w:t>Pellicciari</w:t>
      </w:r>
      <w:proofErr w:type="spellEnd"/>
      <w:r w:rsidRPr="000B7F05">
        <w:rPr>
          <w:rFonts w:ascii="Arial" w:hAnsi="Arial" w:cs="Arial"/>
        </w:rPr>
        <w:t>, 2018). By bridging molecular biology with microscopy, it has become indispensable in fields such as pathology, neurobiology, oncology, and developmental biology (Roth &amp; Taatjes, 2023).</w:t>
      </w:r>
    </w:p>
    <w:p w14:paraId="5E286290" w14:textId="2E7CBE76"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Proteins are highly diverse and can be grouped according to their biological roles. Structural proteins such as collagen, elastin, and keratin provide mechanical support and maintain tissue integrity functions widely demonstrated through advanced histological and molecular imaging techniques (</w:t>
      </w:r>
      <w:r w:rsidR="00856A0E" w:rsidRPr="000B7F05">
        <w:rPr>
          <w:rFonts w:ascii="Arial" w:hAnsi="Arial" w:cs="Arial"/>
        </w:rPr>
        <w:t>Palla</w:t>
      </w:r>
      <w:r w:rsidRPr="000B7F05">
        <w:rPr>
          <w:rFonts w:ascii="Arial" w:hAnsi="Arial" w:cs="Arial"/>
        </w:rPr>
        <w:t xml:space="preserve"> </w:t>
      </w:r>
      <w:r w:rsidRPr="000B7F05">
        <w:rPr>
          <w:rFonts w:ascii="Arial" w:hAnsi="Arial" w:cs="Arial"/>
          <w:i/>
        </w:rPr>
        <w:t>et al</w:t>
      </w:r>
      <w:r w:rsidRPr="000B7F05">
        <w:rPr>
          <w:rFonts w:ascii="Arial" w:hAnsi="Arial" w:cs="Arial"/>
        </w:rPr>
        <w:t xml:space="preserve">., </w:t>
      </w:r>
      <w:r w:rsidR="00856A0E" w:rsidRPr="000B7F05">
        <w:rPr>
          <w:rFonts w:ascii="Arial" w:hAnsi="Arial" w:cs="Arial"/>
        </w:rPr>
        <w:t>2022</w:t>
      </w:r>
      <w:r w:rsidRPr="000B7F05">
        <w:rPr>
          <w:rFonts w:ascii="Arial" w:hAnsi="Arial" w:cs="Arial"/>
        </w:rPr>
        <w:t xml:space="preserve">). Enzymatic proteins, including hydrolases and oxidoreductases, drive metabolic reactions essential for energy production and biosynthesis, and their tissue distribution is routinely mapped through enzyme histochemistry (Lara-García </w:t>
      </w:r>
      <w:r w:rsidRPr="000B7F05">
        <w:rPr>
          <w:rFonts w:ascii="Arial" w:hAnsi="Arial" w:cs="Arial"/>
          <w:i/>
        </w:rPr>
        <w:t xml:space="preserve"> et al</w:t>
      </w:r>
      <w:r w:rsidRPr="000B7F05">
        <w:rPr>
          <w:rFonts w:ascii="Arial" w:hAnsi="Arial" w:cs="Arial"/>
        </w:rPr>
        <w:t xml:space="preserve">., 2022). </w:t>
      </w:r>
      <w:commentRangeStart w:id="3"/>
      <w:r w:rsidRPr="000B7F05">
        <w:rPr>
          <w:rFonts w:ascii="Arial" w:hAnsi="Arial" w:cs="Arial"/>
        </w:rPr>
        <w:t>Transport proteins such as hemoglobin and membrane carriers regulate the movement of gases, ions, and nutrients, while storage proteins like ferritin and myoglobin act as reservoirs of essential molecules (</w:t>
      </w:r>
      <w:r w:rsidR="00B31250" w:rsidRPr="000B7F05">
        <w:rPr>
          <w:rFonts w:ascii="Arial" w:hAnsi="Arial" w:cs="Arial"/>
        </w:rPr>
        <w:t xml:space="preserve">Pulaski </w:t>
      </w:r>
      <w:r w:rsidR="00B31250" w:rsidRPr="000B7F05">
        <w:rPr>
          <w:rFonts w:ascii="Arial" w:hAnsi="Arial" w:cs="Arial"/>
          <w:i/>
        </w:rPr>
        <w:t>et al.,</w:t>
      </w:r>
      <w:r w:rsidR="00B31250" w:rsidRPr="000B7F05">
        <w:rPr>
          <w:rFonts w:ascii="Arial" w:hAnsi="Arial" w:cs="Arial"/>
        </w:rPr>
        <w:t xml:space="preserve"> 2025</w:t>
      </w:r>
      <w:r w:rsidRPr="000B7F05">
        <w:rPr>
          <w:rFonts w:ascii="Arial" w:hAnsi="Arial" w:cs="Arial"/>
        </w:rPr>
        <w:t xml:space="preserve">). </w:t>
      </w:r>
      <w:commentRangeEnd w:id="3"/>
      <w:r w:rsidR="00DA5F52">
        <w:rPr>
          <w:rStyle w:val="CommentReference"/>
          <w:rFonts w:ascii="Times New Roman" w:hAnsi="Times New Roman"/>
          <w:lang w:val="nb-NO" w:eastAsia="nb-NO"/>
        </w:rPr>
        <w:commentReference w:id="3"/>
      </w:r>
      <w:r w:rsidRPr="000B7F05">
        <w:rPr>
          <w:rFonts w:ascii="Arial" w:hAnsi="Arial" w:cs="Arial"/>
        </w:rPr>
        <w:t xml:space="preserve">Regulatory proteins such as transcription factors and signaling molecules coordinate gene expression and cellular communication, guiding differentiation, growth, and repair (Hickey </w:t>
      </w:r>
      <w:r w:rsidRPr="000B7F05">
        <w:rPr>
          <w:rFonts w:ascii="Arial" w:hAnsi="Arial" w:cs="Arial"/>
          <w:i/>
        </w:rPr>
        <w:t xml:space="preserve"> et al</w:t>
      </w:r>
      <w:r w:rsidRPr="000B7F05">
        <w:rPr>
          <w:rFonts w:ascii="Arial" w:hAnsi="Arial" w:cs="Arial"/>
        </w:rPr>
        <w:t>., 2022). Defense proteins including immunoglobulins and complement factors, as well as contractile proteins like actin and myosin, are crucial for immunity and cellular movement respectively, and their localization within tissues is central to diagnostic pathology (</w:t>
      </w:r>
      <w:r w:rsidR="00B94438" w:rsidRPr="000B7F05">
        <w:rPr>
          <w:rFonts w:ascii="Arial" w:hAnsi="Arial" w:cs="Arial"/>
        </w:rPr>
        <w:t>Giesen</w:t>
      </w:r>
      <w:r w:rsidRPr="000B7F05">
        <w:rPr>
          <w:rFonts w:ascii="Arial" w:hAnsi="Arial" w:cs="Arial"/>
        </w:rPr>
        <w:t xml:space="preserve"> </w:t>
      </w:r>
      <w:r w:rsidRPr="000B7F05">
        <w:rPr>
          <w:rFonts w:ascii="Arial" w:hAnsi="Arial" w:cs="Arial"/>
          <w:i/>
        </w:rPr>
        <w:t xml:space="preserve"> et al</w:t>
      </w:r>
      <w:r w:rsidRPr="000B7F05">
        <w:rPr>
          <w:rFonts w:ascii="Arial" w:hAnsi="Arial" w:cs="Arial"/>
        </w:rPr>
        <w:t xml:space="preserve">., </w:t>
      </w:r>
      <w:r w:rsidR="00B94438" w:rsidRPr="000B7F05">
        <w:rPr>
          <w:rFonts w:ascii="Arial" w:hAnsi="Arial" w:cs="Arial"/>
        </w:rPr>
        <w:t>2014</w:t>
      </w:r>
      <w:r w:rsidRPr="000B7F05">
        <w:rPr>
          <w:rFonts w:ascii="Arial" w:hAnsi="Arial" w:cs="Arial"/>
        </w:rPr>
        <w:t>). Each of these protein categories plays vital biological roles, and disturbances in their expression or structure are widely implicated in disease.</w:t>
      </w:r>
    </w:p>
    <w:p w14:paraId="4E5A06CD" w14:textId="29D04847" w:rsidR="009437CD" w:rsidRPr="000B7F05" w:rsidRDefault="009437CD" w:rsidP="009437CD">
      <w:pPr>
        <w:tabs>
          <w:tab w:val="left" w:pos="709"/>
        </w:tabs>
        <w:spacing w:line="360" w:lineRule="auto"/>
        <w:jc w:val="both"/>
        <w:rPr>
          <w:rFonts w:ascii="Arial" w:hAnsi="Arial" w:cs="Arial"/>
        </w:rPr>
      </w:pPr>
      <w:commentRangeStart w:id="4"/>
      <w:r w:rsidRPr="000B7F05">
        <w:rPr>
          <w:rFonts w:ascii="Arial" w:hAnsi="Arial" w:cs="Arial"/>
        </w:rPr>
        <w:t>Protein histochemistry focuses on detecting these molecules through techniques that combine chemical staining with microscopic visualization</w:t>
      </w:r>
      <w:r w:rsidR="000D79C1" w:rsidRPr="000B7F05">
        <w:rPr>
          <w:rFonts w:ascii="Arial" w:hAnsi="Arial" w:cs="Arial"/>
        </w:rPr>
        <w:t xml:space="preserve"> (Camia et al., 2025;Kitazawa et al., 2022; de Almeida et al., 2023 )</w:t>
      </w:r>
      <w:r w:rsidRPr="000B7F05">
        <w:rPr>
          <w:rFonts w:ascii="Arial" w:hAnsi="Arial" w:cs="Arial"/>
        </w:rPr>
        <w:t xml:space="preserve">. </w:t>
      </w:r>
      <w:commentRangeEnd w:id="4"/>
      <w:r w:rsidR="00DA5F52">
        <w:rPr>
          <w:rStyle w:val="CommentReference"/>
          <w:rFonts w:ascii="Times New Roman" w:hAnsi="Times New Roman"/>
          <w:lang w:val="nb-NO" w:eastAsia="nb-NO"/>
        </w:rPr>
        <w:commentReference w:id="4"/>
      </w:r>
      <w:r w:rsidRPr="000B7F05">
        <w:rPr>
          <w:rFonts w:ascii="Arial" w:hAnsi="Arial" w:cs="Arial"/>
        </w:rPr>
        <w:t>Classical techniques, such as total-protein stains, laid the foundation for tissue-based protein analysis; however, modern approaches including immunohistochemistry (IHC), multiplex immunofluorescence, and enzyme histochemistry offer far greater specificity and sensitivity (</w:t>
      </w:r>
      <w:r w:rsidR="00206EC5" w:rsidRPr="000B7F05">
        <w:rPr>
          <w:rFonts w:ascii="Arial" w:hAnsi="Arial" w:cs="Arial"/>
        </w:rPr>
        <w:t>de Souza et al., 2024</w:t>
      </w:r>
      <w:r w:rsidRPr="000B7F05">
        <w:rPr>
          <w:rFonts w:ascii="Arial" w:hAnsi="Arial" w:cs="Arial"/>
        </w:rPr>
        <w:t xml:space="preserve">). Immunohistochemistry in particular has revolutionized diagnostic pathology by enabling precise visualization of key </w:t>
      </w:r>
      <w:r w:rsidRPr="000B7F05">
        <w:rPr>
          <w:rFonts w:ascii="Arial" w:hAnsi="Arial" w:cs="Arial"/>
        </w:rPr>
        <w:lastRenderedPageBreak/>
        <w:t xml:space="preserve">biomarkers such as HER2, Ki-67, and p53 (Wolff </w:t>
      </w:r>
      <w:r w:rsidRPr="000B7F05">
        <w:rPr>
          <w:rFonts w:ascii="Arial" w:hAnsi="Arial" w:cs="Arial"/>
          <w:i/>
        </w:rPr>
        <w:t xml:space="preserve"> et al</w:t>
      </w:r>
      <w:r w:rsidRPr="000B7F05">
        <w:rPr>
          <w:rFonts w:ascii="Arial" w:hAnsi="Arial" w:cs="Arial"/>
        </w:rPr>
        <w:t xml:space="preserve">., 2018; Dowsett </w:t>
      </w:r>
      <w:r w:rsidRPr="000B7F05">
        <w:rPr>
          <w:rFonts w:ascii="Arial" w:hAnsi="Arial" w:cs="Arial"/>
          <w:i/>
        </w:rPr>
        <w:t xml:space="preserve"> et al</w:t>
      </w:r>
      <w:r w:rsidRPr="000B7F05">
        <w:rPr>
          <w:rFonts w:ascii="Arial" w:hAnsi="Arial" w:cs="Arial"/>
        </w:rPr>
        <w:t>., 2021). Enzyme histochemistry continues to play essential roles in neurology, where it supports the mapping of enzymatic activity such as acetylcholinesterase within neural circuits (</w:t>
      </w:r>
      <w:r w:rsidR="00C728EA" w:rsidRPr="000B7F05">
        <w:rPr>
          <w:rFonts w:ascii="Arial" w:hAnsi="Arial" w:cs="Arial"/>
        </w:rPr>
        <w:t>Merritt</w:t>
      </w:r>
      <w:r w:rsidRPr="000B7F05">
        <w:rPr>
          <w:rFonts w:ascii="Arial" w:hAnsi="Arial" w:cs="Arial"/>
        </w:rPr>
        <w:t xml:space="preserve"> </w:t>
      </w:r>
      <w:r w:rsidRPr="000B7F05">
        <w:rPr>
          <w:rFonts w:ascii="Arial" w:hAnsi="Arial" w:cs="Arial"/>
          <w:i/>
        </w:rPr>
        <w:t xml:space="preserve"> et al</w:t>
      </w:r>
      <w:r w:rsidR="00C728EA" w:rsidRPr="000B7F05">
        <w:rPr>
          <w:rFonts w:ascii="Arial" w:hAnsi="Arial" w:cs="Arial"/>
        </w:rPr>
        <w:t>., 2020</w:t>
      </w:r>
      <w:r w:rsidRPr="000B7F05">
        <w:rPr>
          <w:rFonts w:ascii="Arial" w:hAnsi="Arial" w:cs="Arial"/>
        </w:rPr>
        <w:t>).</w:t>
      </w:r>
    </w:p>
    <w:p w14:paraId="6EC3D42A" w14:textId="1EC9AC54"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In the last decade, protein histochemistry has advanced significantly through the integration of digital pathology, artificial intelligence, multiplex imaging, and spatial proteomics. These innovations now allow deeper, quantitative insights into protein localization and expression patterns within tissues, improving both diagnostic accuracy and biological understanding (</w:t>
      </w:r>
      <w:proofErr w:type="spellStart"/>
      <w:r w:rsidR="00206EC5" w:rsidRPr="000B7F05">
        <w:rPr>
          <w:rFonts w:ascii="Arial" w:hAnsi="Arial" w:cs="Arial"/>
        </w:rPr>
        <w:t>Goltsev</w:t>
      </w:r>
      <w:proofErr w:type="spellEnd"/>
      <w:r w:rsidR="00206EC5" w:rsidRPr="000B7F05">
        <w:rPr>
          <w:rFonts w:ascii="Arial" w:hAnsi="Arial" w:cs="Arial"/>
        </w:rPr>
        <w:t xml:space="preserve"> and Nolan, 2023</w:t>
      </w:r>
      <w:r w:rsidRPr="000B7F05">
        <w:rPr>
          <w:rFonts w:ascii="Arial" w:hAnsi="Arial" w:cs="Arial"/>
        </w:rPr>
        <w:t xml:space="preserve">; </w:t>
      </w:r>
      <w:r w:rsidR="00B31250" w:rsidRPr="000B7F05">
        <w:rPr>
          <w:rFonts w:ascii="Arial" w:hAnsi="Arial" w:cs="Arial"/>
        </w:rPr>
        <w:t>Pulaski et al., 2025</w:t>
      </w:r>
      <w:r w:rsidRPr="000B7F05">
        <w:rPr>
          <w:rFonts w:ascii="Arial" w:hAnsi="Arial" w:cs="Arial"/>
        </w:rPr>
        <w:t>). Such advances highlight the growing importance of protein histochemistry as a dynamic field that merges traditional staining methods with cutting-edge molecular technologies, driving progress across biomedical research and clinical practice.</w:t>
      </w:r>
    </w:p>
    <w:p w14:paraId="6435E421" w14:textId="77777777" w:rsidR="00690E34" w:rsidRPr="000B7F05" w:rsidRDefault="00690E34" w:rsidP="00690E34">
      <w:pPr>
        <w:pStyle w:val="Body"/>
        <w:spacing w:line="360" w:lineRule="auto"/>
        <w:rPr>
          <w:rFonts w:ascii="Arial" w:hAnsi="Arial" w:cs="Arial"/>
          <w:b/>
          <w:bCs/>
        </w:rPr>
      </w:pPr>
      <w:r w:rsidRPr="000B7F05">
        <w:rPr>
          <w:rFonts w:ascii="Arial" w:hAnsi="Arial" w:cs="Arial"/>
          <w:b/>
          <w:bCs/>
        </w:rPr>
        <w:t>Statement of the Problem</w:t>
      </w:r>
    </w:p>
    <w:p w14:paraId="1B79B634" w14:textId="1B5B129E"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Proteins are the central biomolecules that govern almost every structural and functional aspect of living organisms, ranging from enzymatic catalysis and signal transduction to cell adhesion and structural scaffolding. Understanding their localization, distribution, and chemical properties at the tissue level is critical for deciphering normal physiology as well as the mechanisms of disease. Histochemistry, by combining chemical staining methods with microscopic analysis, has long provided a unique avenue for visualizing proteins within their cellular and tissue contexts. </w:t>
      </w:r>
      <w:commentRangeStart w:id="5"/>
      <w:r w:rsidRPr="000B7F05">
        <w:rPr>
          <w:rFonts w:ascii="Arial" w:hAnsi="Arial" w:cs="Arial"/>
        </w:rPr>
        <w:t>However, despite its pivotal role, protein histochemistry has often been overshadowed in the modern era by advanced molecular and proteomic techniques such as imaging mass cytometry</w:t>
      </w:r>
      <w:commentRangeEnd w:id="5"/>
      <w:r w:rsidR="00DA5F52">
        <w:rPr>
          <w:rStyle w:val="CommentReference"/>
          <w:rFonts w:ascii="Times New Roman" w:hAnsi="Times New Roman"/>
          <w:lang w:val="nb-NO" w:eastAsia="nb-NO"/>
        </w:rPr>
        <w:commentReference w:id="5"/>
      </w:r>
      <w:r w:rsidRPr="000B7F05">
        <w:rPr>
          <w:rFonts w:ascii="Arial" w:hAnsi="Arial" w:cs="Arial"/>
        </w:rPr>
        <w:t>, multiplex immunohistochemistry, and spatial proteomics (</w:t>
      </w:r>
      <w:r w:rsidR="00206EC5" w:rsidRPr="000B7F05">
        <w:rPr>
          <w:rFonts w:ascii="Arial" w:hAnsi="Arial" w:cs="Arial"/>
        </w:rPr>
        <w:t>Ali et al., 2020</w:t>
      </w:r>
      <w:r w:rsidRPr="000B7F05">
        <w:rPr>
          <w:rFonts w:ascii="Arial" w:hAnsi="Arial" w:cs="Arial"/>
        </w:rPr>
        <w:t xml:space="preserve">; </w:t>
      </w:r>
      <w:proofErr w:type="spellStart"/>
      <w:r w:rsidR="00206EC5" w:rsidRPr="000B7F05">
        <w:rPr>
          <w:rFonts w:ascii="Arial" w:hAnsi="Arial" w:cs="Arial"/>
        </w:rPr>
        <w:t>Goltsev</w:t>
      </w:r>
      <w:proofErr w:type="spellEnd"/>
      <w:r w:rsidR="00206EC5" w:rsidRPr="000B7F05">
        <w:rPr>
          <w:rFonts w:ascii="Arial" w:hAnsi="Arial" w:cs="Arial"/>
        </w:rPr>
        <w:t xml:space="preserve"> and Nolan, 2023</w:t>
      </w:r>
      <w:r w:rsidRPr="000B7F05">
        <w:rPr>
          <w:rFonts w:ascii="Arial" w:hAnsi="Arial" w:cs="Arial"/>
        </w:rPr>
        <w:t>). This has created a gap in consolidating the evolving methodologies, applications, and discoveries of protein histochemistry in the last decade.</w:t>
      </w:r>
    </w:p>
    <w:p w14:paraId="274FAD14"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Another key challenge arises from the intrinsic complexity and diversity of proteins. </w:t>
      </w:r>
      <w:commentRangeStart w:id="6"/>
      <w:r w:rsidRPr="000B7F05">
        <w:rPr>
          <w:rFonts w:ascii="Arial" w:hAnsi="Arial" w:cs="Arial"/>
        </w:rPr>
        <w:t xml:space="preserve">Structural variations ranging from fibrous proteins like collagen and keratin to globular proteins such as enzymes and hormones mean that no single histochemical technique is universally applicable. </w:t>
      </w:r>
      <w:commentRangeEnd w:id="6"/>
      <w:r w:rsidR="00DA5F52">
        <w:rPr>
          <w:rStyle w:val="CommentReference"/>
          <w:rFonts w:ascii="Times New Roman" w:hAnsi="Times New Roman"/>
          <w:lang w:val="nb-NO" w:eastAsia="nb-NO"/>
        </w:rPr>
        <w:commentReference w:id="6"/>
      </w:r>
      <w:r w:rsidRPr="000B7F05">
        <w:rPr>
          <w:rFonts w:ascii="Arial" w:hAnsi="Arial" w:cs="Arial"/>
        </w:rPr>
        <w:t>Modern analyses have demonstrated that protein structure and biochemical properties greatly influence staining behavior and detection efficiency (</w:t>
      </w:r>
      <w:proofErr w:type="spellStart"/>
      <w:r w:rsidRPr="000B7F05">
        <w:rPr>
          <w:rFonts w:ascii="Arial" w:hAnsi="Arial" w:cs="Arial"/>
        </w:rPr>
        <w:t>Pellicciari</w:t>
      </w:r>
      <w:proofErr w:type="spellEnd"/>
      <w:r w:rsidRPr="000B7F05">
        <w:rPr>
          <w:rFonts w:ascii="Arial" w:hAnsi="Arial" w:cs="Arial"/>
        </w:rPr>
        <w:t xml:space="preserve">, 2018). Furthermore, differences in tissue fixation, embedding, antigen retrieval, and staining protocols frequently lead to inconsistent reproducibility across laboratories, a concern widely reported in digital and molecular pathology studies (Dowsett </w:t>
      </w:r>
      <w:r w:rsidRPr="000B7F05">
        <w:rPr>
          <w:rFonts w:ascii="Arial" w:hAnsi="Arial" w:cs="Arial"/>
          <w:i/>
        </w:rPr>
        <w:t xml:space="preserve"> et al</w:t>
      </w:r>
      <w:r w:rsidRPr="000B7F05">
        <w:rPr>
          <w:rFonts w:ascii="Arial" w:hAnsi="Arial" w:cs="Arial"/>
        </w:rPr>
        <w:t>., 2021). This methodological variability poses a significant barrier to standardization and undermines comparative studies, especially in diagnostic pathology where reliable visualization of proteins is essential for accurate classification and treatment planning.</w:t>
      </w:r>
    </w:p>
    <w:p w14:paraId="36AF96FB"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lastRenderedPageBreak/>
        <w:t>In addition, rapid advances in immunohistochemistry, multiplex imaging, and digital labeling technologies have shifted attention toward highly specific antibody-based methods, sometimes reducing appreciation for classical chemical histochemical techniques. Although immunohistochemistry offers precise antigen detection, it relies heavily on validated antibodies, which are not always available for rare, poorly characterized, or novel proteins (</w:t>
      </w:r>
      <w:proofErr w:type="spellStart"/>
      <w:r w:rsidRPr="000B7F05">
        <w:rPr>
          <w:rFonts w:ascii="Arial" w:hAnsi="Arial" w:cs="Arial"/>
        </w:rPr>
        <w:t>Torlakovic</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 2020</w:t>
      </w:r>
      <w:commentRangeStart w:id="7"/>
      <w:r w:rsidRPr="000B7F05">
        <w:rPr>
          <w:rFonts w:ascii="Arial" w:hAnsi="Arial" w:cs="Arial"/>
        </w:rPr>
        <w:t>). Classical histochemistry, by contrast, can reveal general protein localization without depending on antibody availability, making it especially valuable in resource-limited settings and exploratory research</w:t>
      </w:r>
      <w:commentRangeEnd w:id="7"/>
      <w:r w:rsidR="004A4252">
        <w:rPr>
          <w:rStyle w:val="CommentReference"/>
          <w:rFonts w:ascii="Times New Roman" w:hAnsi="Times New Roman"/>
          <w:lang w:val="nb-NO" w:eastAsia="nb-NO"/>
        </w:rPr>
        <w:commentReference w:id="7"/>
      </w:r>
      <w:r w:rsidRPr="000B7F05">
        <w:rPr>
          <w:rFonts w:ascii="Arial" w:hAnsi="Arial" w:cs="Arial"/>
        </w:rPr>
        <w:t>. Yet, there remains limited synthesis of how classical and modern histochemical strategies can complement each other in contemporary protein research (Roth &amp; Taatjes, 2023).</w:t>
      </w:r>
    </w:p>
    <w:p w14:paraId="093FF64D"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A further limitation stems from the dynamic nature of proteins themselves. Post-translational modifications such as phosphorylation, glycosylation, and acetylation can drastically influence protein function, stability, and spatial distribution. However, detecting these modifications in situ remains one of the most significant technical barriers in histochemical and tissue-based proteomic analysis (Hickey </w:t>
      </w:r>
      <w:r w:rsidRPr="000B7F05">
        <w:rPr>
          <w:rFonts w:ascii="Arial" w:hAnsi="Arial" w:cs="Arial"/>
          <w:i/>
        </w:rPr>
        <w:t xml:space="preserve"> et al</w:t>
      </w:r>
      <w:r w:rsidRPr="000B7F05">
        <w:rPr>
          <w:rFonts w:ascii="Arial" w:hAnsi="Arial" w:cs="Arial"/>
        </w:rPr>
        <w:t>., 2022). Without continued methodological innovation including improved probes, advanced imaging platforms, and AI-supported quantification the field risks lagging behind the diagnostic and research needs of modern biomedical science.</w:t>
      </w:r>
    </w:p>
    <w:p w14:paraId="75D896A6"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Therefore, there is a pressing need to comprehensively review the field of protein histochemistry, with particular emphasis on developments, limitations, and applications within the last decade. Such a synthesis is essential for highlighting methodological progress, identifying persistent gaps, and guiding future innovations in protein detection, standardization, and integration with molecular and digital pathology. Ultimately, strengthening protein histochemistry ensures that proteins can be studied within their full structural, biochemical, and functional contexts.</w:t>
      </w:r>
    </w:p>
    <w:p w14:paraId="1FC99350" w14:textId="42ADAAAE" w:rsidR="00690E34" w:rsidRPr="000B7F05" w:rsidRDefault="00690E34" w:rsidP="00690E34">
      <w:pPr>
        <w:pStyle w:val="Body"/>
        <w:spacing w:line="360" w:lineRule="auto"/>
        <w:rPr>
          <w:rFonts w:ascii="Arial" w:hAnsi="Arial" w:cs="Arial"/>
        </w:rPr>
      </w:pPr>
      <w:r w:rsidRPr="000B7F05">
        <w:rPr>
          <w:rFonts w:ascii="Arial" w:hAnsi="Arial" w:cs="Arial"/>
        </w:rPr>
        <w:t>.</w:t>
      </w:r>
    </w:p>
    <w:p w14:paraId="13251897" w14:textId="77777777" w:rsidR="00690E34" w:rsidRPr="000B7F05" w:rsidRDefault="00690E34" w:rsidP="00690E34">
      <w:pPr>
        <w:pStyle w:val="Body"/>
        <w:spacing w:line="360" w:lineRule="auto"/>
        <w:rPr>
          <w:rFonts w:ascii="Arial" w:hAnsi="Arial" w:cs="Arial"/>
          <w:b/>
          <w:bCs/>
        </w:rPr>
      </w:pPr>
      <w:r w:rsidRPr="000B7F05">
        <w:rPr>
          <w:rFonts w:ascii="Arial" w:hAnsi="Arial" w:cs="Arial"/>
          <w:b/>
          <w:bCs/>
          <w:lang w:val="de-DE"/>
        </w:rPr>
        <w:t>LITERATURE REVIEW</w:t>
      </w:r>
    </w:p>
    <w:p w14:paraId="6AFE703B" w14:textId="77777777"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t>Histochemical studies of proteins have long served as the foundation of cellular and tissue biochemistry, with evolving techniques enhancing sensitivity, specificity, and diagnostic value. Over the past decade, advances have transformed protein histochemistry from conventional dye-binding methods into a sophisticated domain integrated with molecular biology, digital pathology, and imaging technologies. This review explores major developments across the last decade to capture the evolution of methodological innovation, analytical precision, and clinical relevance.</w:t>
      </w:r>
    </w:p>
    <w:p w14:paraId="23247D3D" w14:textId="77777777"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lastRenderedPageBreak/>
        <w:t xml:space="preserve">Early work within this period emphasized refining traditional protein detection methods while expanding the use of immunohistochemistry (IHC) to improve specificity. </w:t>
      </w:r>
      <w:commentRangeStart w:id="8"/>
      <w:proofErr w:type="spellStart"/>
      <w:r w:rsidRPr="000B7F05">
        <w:rPr>
          <w:rFonts w:ascii="Arial" w:hAnsi="Arial" w:cs="Arial"/>
        </w:rPr>
        <w:t>Pellicciari</w:t>
      </w:r>
      <w:proofErr w:type="spellEnd"/>
      <w:r w:rsidRPr="000B7F05">
        <w:rPr>
          <w:rFonts w:ascii="Arial" w:hAnsi="Arial" w:cs="Arial"/>
        </w:rPr>
        <w:t xml:space="preserve"> (2018) highlighted the limitations of classical histochemical stains such as bromophenol blue and ninhydrin-Schiff, noting that although these approaches confirmed the presence of proteins</w:t>
      </w:r>
      <w:commentRangeEnd w:id="8"/>
      <w:r w:rsidR="00743FB3">
        <w:rPr>
          <w:rStyle w:val="CommentReference"/>
          <w:rFonts w:ascii="Times New Roman" w:hAnsi="Times New Roman"/>
          <w:lang w:val="nb-NO" w:eastAsia="nb-NO"/>
        </w:rPr>
        <w:commentReference w:id="8"/>
      </w:r>
      <w:r w:rsidRPr="000B7F05">
        <w:rPr>
          <w:rFonts w:ascii="Arial" w:hAnsi="Arial" w:cs="Arial"/>
        </w:rPr>
        <w:t>, they lacked molecular specificity for diagnostic applications. The shift toward immunohistochemical detection, supported by validated monoclonal antibodies, provided a crucial bridge between histochemistry and molecular biology, enabling reliable in situ localization of functional proteins.</w:t>
      </w:r>
    </w:p>
    <w:p w14:paraId="3EBF94E2" w14:textId="200CED83" w:rsidR="000C2030" w:rsidRPr="000B7F05" w:rsidRDefault="009437CD" w:rsidP="000C2030">
      <w:pPr>
        <w:tabs>
          <w:tab w:val="left" w:pos="709"/>
        </w:tabs>
        <w:spacing w:line="360" w:lineRule="auto"/>
        <w:jc w:val="both"/>
        <w:rPr>
          <w:rFonts w:ascii="Arial" w:hAnsi="Arial" w:cs="Arial"/>
        </w:rPr>
      </w:pPr>
      <w:commentRangeStart w:id="9"/>
      <w:r w:rsidRPr="000B7F05">
        <w:rPr>
          <w:rFonts w:ascii="Arial" w:hAnsi="Arial" w:cs="Arial"/>
        </w:rPr>
        <w:t>By 2019, multiplex immunohistochemistry (</w:t>
      </w:r>
      <w:proofErr w:type="spellStart"/>
      <w:r w:rsidRPr="000B7F05">
        <w:rPr>
          <w:rFonts w:ascii="Arial" w:hAnsi="Arial" w:cs="Arial"/>
        </w:rPr>
        <w:t>mIHC</w:t>
      </w:r>
      <w:proofErr w:type="spellEnd"/>
      <w:r w:rsidRPr="000B7F05">
        <w:rPr>
          <w:rFonts w:ascii="Arial" w:hAnsi="Arial" w:cs="Arial"/>
        </w:rPr>
        <w:t>) and multiplex immunofluorescence (</w:t>
      </w:r>
      <w:proofErr w:type="spellStart"/>
      <w:r w:rsidRPr="000B7F05">
        <w:rPr>
          <w:rFonts w:ascii="Arial" w:hAnsi="Arial" w:cs="Arial"/>
        </w:rPr>
        <w:t>mIF</w:t>
      </w:r>
      <w:proofErr w:type="spellEnd"/>
      <w:r w:rsidRPr="000B7F05">
        <w:rPr>
          <w:rFonts w:ascii="Arial" w:hAnsi="Arial" w:cs="Arial"/>
        </w:rPr>
        <w:t>) moved to the forefront of protein localization studies</w:t>
      </w:r>
      <w:commentRangeEnd w:id="9"/>
      <w:r w:rsidR="00743FB3">
        <w:rPr>
          <w:rStyle w:val="CommentReference"/>
          <w:rFonts w:ascii="Times New Roman" w:hAnsi="Times New Roman"/>
          <w:lang w:val="nb-NO" w:eastAsia="nb-NO"/>
        </w:rPr>
        <w:commentReference w:id="9"/>
      </w:r>
      <w:r w:rsidRPr="000B7F05">
        <w:rPr>
          <w:rFonts w:ascii="Arial" w:hAnsi="Arial" w:cs="Arial"/>
        </w:rPr>
        <w:t xml:space="preserve">. Rizzardi </w:t>
      </w:r>
      <w:r w:rsidRPr="000B7F05">
        <w:rPr>
          <w:rFonts w:ascii="Arial" w:hAnsi="Arial" w:cs="Arial"/>
          <w:i/>
        </w:rPr>
        <w:t xml:space="preserve"> et al</w:t>
      </w:r>
      <w:r w:rsidRPr="000B7F05">
        <w:rPr>
          <w:rFonts w:ascii="Arial" w:hAnsi="Arial" w:cs="Arial"/>
        </w:rPr>
        <w:t>. (</w:t>
      </w:r>
      <w:r w:rsidR="006A54C7" w:rsidRPr="000B7F05">
        <w:rPr>
          <w:rFonts w:ascii="Arial" w:hAnsi="Arial" w:cs="Arial"/>
        </w:rPr>
        <w:t>2012</w:t>
      </w:r>
      <w:r w:rsidRPr="000B7F05">
        <w:rPr>
          <w:rFonts w:ascii="Arial" w:hAnsi="Arial" w:cs="Arial"/>
        </w:rPr>
        <w:t xml:space="preserve">) demonstrated how </w:t>
      </w:r>
      <w:proofErr w:type="spellStart"/>
      <w:r w:rsidRPr="000B7F05">
        <w:rPr>
          <w:rFonts w:ascii="Arial" w:hAnsi="Arial" w:cs="Arial"/>
        </w:rPr>
        <w:t>mIHC</w:t>
      </w:r>
      <w:proofErr w:type="spellEnd"/>
      <w:r w:rsidRPr="000B7F05">
        <w:rPr>
          <w:rFonts w:ascii="Arial" w:hAnsi="Arial" w:cs="Arial"/>
        </w:rPr>
        <w:t xml:space="preserve"> offered simultaneous visualization of multiple protein biomarkers in a single tissue section, a major advantage in studying tumor microenvironments where cellular interactions and marker heterogeneity influence disease progression and therapeutic response. These developments allowed researchers to characterize complex protein networks with improved resolution and reproducibility.</w:t>
      </w:r>
    </w:p>
    <w:p w14:paraId="0AB6D46B" w14:textId="47385C92" w:rsidR="000C2030" w:rsidRPr="000B7F05" w:rsidRDefault="009437CD" w:rsidP="000C2030">
      <w:pPr>
        <w:tabs>
          <w:tab w:val="left" w:pos="709"/>
        </w:tabs>
        <w:spacing w:line="360" w:lineRule="auto"/>
        <w:jc w:val="both"/>
        <w:rPr>
          <w:rFonts w:ascii="Arial" w:hAnsi="Arial" w:cs="Arial"/>
        </w:rPr>
      </w:pPr>
      <w:commentRangeStart w:id="10"/>
      <w:r w:rsidRPr="000B7F05">
        <w:rPr>
          <w:rFonts w:ascii="Arial" w:hAnsi="Arial" w:cs="Arial"/>
        </w:rPr>
        <w:t>In 2020, methodological progress expanded toward proteomic integration. Lin, Cao, and Boyce (2020) showed that combining histochemical staining with high-parameter imaging and proteomic workflows improved the quantitative interpretation of protein expression in tissue architecture</w:t>
      </w:r>
      <w:commentRangeEnd w:id="10"/>
      <w:r w:rsidR="00743FB3">
        <w:rPr>
          <w:rStyle w:val="CommentReference"/>
          <w:rFonts w:ascii="Times New Roman" w:hAnsi="Times New Roman"/>
          <w:lang w:val="nb-NO" w:eastAsia="nb-NO"/>
        </w:rPr>
        <w:commentReference w:id="10"/>
      </w:r>
      <w:r w:rsidRPr="000B7F05">
        <w:rPr>
          <w:rFonts w:ascii="Arial" w:hAnsi="Arial" w:cs="Arial"/>
        </w:rPr>
        <w:t>. Concurrently, imaging mass cytometry was introduced as a transformative tool for spatial proteomics, enabling high-dimensional mapping of proteins with subcellular precision (</w:t>
      </w:r>
      <w:r w:rsidR="00206EC5" w:rsidRPr="000B7F05">
        <w:rPr>
          <w:rFonts w:ascii="Arial" w:hAnsi="Arial" w:cs="Arial"/>
        </w:rPr>
        <w:t>Ali et al., 2020</w:t>
      </w:r>
      <w:r w:rsidRPr="000B7F05">
        <w:rPr>
          <w:rFonts w:ascii="Arial" w:hAnsi="Arial" w:cs="Arial"/>
        </w:rPr>
        <w:t>). Automated imaging systems also increased reproducibility, reducing inter-observer variability in protein assessment.</w:t>
      </w:r>
    </w:p>
    <w:p w14:paraId="0F37863C" w14:textId="14315E0F" w:rsidR="000C2030" w:rsidRPr="000B7F05" w:rsidRDefault="009437CD" w:rsidP="000C2030">
      <w:pPr>
        <w:tabs>
          <w:tab w:val="left" w:pos="709"/>
        </w:tabs>
        <w:spacing w:line="360" w:lineRule="auto"/>
        <w:jc w:val="both"/>
        <w:rPr>
          <w:rFonts w:ascii="Arial" w:hAnsi="Arial" w:cs="Arial"/>
        </w:rPr>
      </w:pPr>
      <w:commentRangeStart w:id="11"/>
      <w:r w:rsidRPr="000B7F05">
        <w:rPr>
          <w:rFonts w:ascii="Arial" w:hAnsi="Arial" w:cs="Arial"/>
        </w:rPr>
        <w:t xml:space="preserve">Further advancements in 2021 emphasized digital pathology and artificial intelligence. </w:t>
      </w:r>
      <w:proofErr w:type="spellStart"/>
      <w:r w:rsidRPr="000B7F05">
        <w:rPr>
          <w:rFonts w:ascii="Arial" w:hAnsi="Arial" w:cs="Arial"/>
        </w:rPr>
        <w:t>Amgad</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 xml:space="preserve">. (2019) demonstrated that AI-assisted histopathology enabled automated quantification of protein signals, improving consistency in large-scale studies. Multispectral imaging also matured during this period. </w:t>
      </w:r>
      <w:r w:rsidR="00B94438" w:rsidRPr="000B7F05">
        <w:rPr>
          <w:rFonts w:ascii="Arial" w:hAnsi="Arial" w:cs="Arial"/>
        </w:rPr>
        <w:t xml:space="preserve">Giesen </w:t>
      </w:r>
      <w:r w:rsidR="00B94438" w:rsidRPr="000B7F05">
        <w:rPr>
          <w:rFonts w:ascii="Arial" w:hAnsi="Arial" w:cs="Arial"/>
          <w:i/>
        </w:rPr>
        <w:t>et al.</w:t>
      </w:r>
      <w:r w:rsidRPr="000B7F05">
        <w:rPr>
          <w:rFonts w:ascii="Arial" w:hAnsi="Arial" w:cs="Arial"/>
        </w:rPr>
        <w:t xml:space="preserve"> (</w:t>
      </w:r>
      <w:r w:rsidR="00B94438" w:rsidRPr="000B7F05">
        <w:rPr>
          <w:rFonts w:ascii="Arial" w:hAnsi="Arial" w:cs="Arial"/>
        </w:rPr>
        <w:t>2014</w:t>
      </w:r>
      <w:r w:rsidRPr="000B7F05">
        <w:rPr>
          <w:rFonts w:ascii="Arial" w:hAnsi="Arial" w:cs="Arial"/>
        </w:rPr>
        <w:t xml:space="preserve">) </w:t>
      </w:r>
      <w:commentRangeEnd w:id="11"/>
      <w:r w:rsidR="00743FB3">
        <w:rPr>
          <w:rStyle w:val="CommentReference"/>
          <w:rFonts w:ascii="Times New Roman" w:hAnsi="Times New Roman"/>
          <w:lang w:val="nb-NO" w:eastAsia="nb-NO"/>
        </w:rPr>
        <w:commentReference w:id="11"/>
      </w:r>
      <w:r w:rsidRPr="000B7F05">
        <w:rPr>
          <w:rFonts w:ascii="Arial" w:hAnsi="Arial" w:cs="Arial"/>
        </w:rPr>
        <w:t>reported that multispectral immunohistochemistry allowed separation of overlapping chromogens and fluorophores, significantly enhancing detection of co-localized proteins in cancer, inflammation, and immune-mediated diseases.</w:t>
      </w:r>
    </w:p>
    <w:p w14:paraId="17B182F5" w14:textId="1B3313B2" w:rsidR="000C2030" w:rsidRPr="000B7F05" w:rsidRDefault="009437CD" w:rsidP="000C2030">
      <w:pPr>
        <w:tabs>
          <w:tab w:val="left" w:pos="709"/>
        </w:tabs>
        <w:spacing w:line="360" w:lineRule="auto"/>
        <w:jc w:val="both"/>
        <w:rPr>
          <w:rFonts w:ascii="Arial" w:hAnsi="Arial" w:cs="Arial"/>
        </w:rPr>
      </w:pPr>
      <w:commentRangeStart w:id="12"/>
      <w:r w:rsidRPr="000B7F05">
        <w:rPr>
          <w:rFonts w:ascii="Arial" w:hAnsi="Arial" w:cs="Arial"/>
        </w:rPr>
        <w:t xml:space="preserve">By 2022, histochemistry expanded beyond human pathology. </w:t>
      </w:r>
      <w:r w:rsidR="00C82FC4" w:rsidRPr="000B7F05">
        <w:rPr>
          <w:rFonts w:ascii="Arial" w:hAnsi="Arial" w:cs="Arial"/>
        </w:rPr>
        <w:t>Mai</w:t>
      </w:r>
      <w:r w:rsidRPr="000B7F05">
        <w:rPr>
          <w:rFonts w:ascii="Arial" w:hAnsi="Arial" w:cs="Arial"/>
        </w:rPr>
        <w:t xml:space="preserve"> </w:t>
      </w:r>
      <w:r w:rsidRPr="000B7F05">
        <w:rPr>
          <w:rFonts w:ascii="Arial" w:hAnsi="Arial" w:cs="Arial"/>
          <w:i/>
        </w:rPr>
        <w:t xml:space="preserve"> et al</w:t>
      </w:r>
      <w:r w:rsidRPr="000B7F05">
        <w:rPr>
          <w:rFonts w:ascii="Arial" w:hAnsi="Arial" w:cs="Arial"/>
        </w:rPr>
        <w:t>. (2022) showed that advanced tissue-clearing techniques enabled 3D reconstruction of protein localization in plants, organoids, and whole-organ samples</w:t>
      </w:r>
      <w:commentRangeEnd w:id="12"/>
      <w:r w:rsidR="00743FB3">
        <w:rPr>
          <w:rStyle w:val="CommentReference"/>
          <w:rFonts w:ascii="Times New Roman" w:hAnsi="Times New Roman"/>
          <w:lang w:val="nb-NO" w:eastAsia="nb-NO"/>
        </w:rPr>
        <w:commentReference w:id="12"/>
      </w:r>
      <w:r w:rsidRPr="000B7F05">
        <w:rPr>
          <w:rFonts w:ascii="Arial" w:hAnsi="Arial" w:cs="Arial"/>
        </w:rPr>
        <w:t>. Spatial proteomics advanced further through technologies such as digital spatial profiling, allowing precise quantification of protein expression in formalin-fixed tissues (</w:t>
      </w:r>
      <w:r w:rsidR="00C728EA" w:rsidRPr="000B7F05">
        <w:rPr>
          <w:rFonts w:ascii="Arial" w:hAnsi="Arial" w:cs="Arial"/>
        </w:rPr>
        <w:t>Merritt</w:t>
      </w:r>
      <w:r w:rsidRPr="000B7F05">
        <w:rPr>
          <w:rFonts w:ascii="Arial" w:hAnsi="Arial" w:cs="Arial"/>
        </w:rPr>
        <w:t xml:space="preserve"> </w:t>
      </w:r>
      <w:r w:rsidRPr="000B7F05">
        <w:rPr>
          <w:rFonts w:ascii="Arial" w:hAnsi="Arial" w:cs="Arial"/>
          <w:i/>
        </w:rPr>
        <w:t xml:space="preserve"> et al</w:t>
      </w:r>
      <w:r w:rsidRPr="000B7F05">
        <w:rPr>
          <w:rFonts w:ascii="Arial" w:hAnsi="Arial" w:cs="Arial"/>
        </w:rPr>
        <w:t xml:space="preserve">., </w:t>
      </w:r>
      <w:r w:rsidR="00C728EA" w:rsidRPr="000B7F05">
        <w:rPr>
          <w:rFonts w:ascii="Arial" w:hAnsi="Arial" w:cs="Arial"/>
        </w:rPr>
        <w:t>2020</w:t>
      </w:r>
      <w:r w:rsidRPr="000B7F05">
        <w:rPr>
          <w:rFonts w:ascii="Arial" w:hAnsi="Arial" w:cs="Arial"/>
        </w:rPr>
        <w:t>).</w:t>
      </w:r>
    </w:p>
    <w:p w14:paraId="246A3E9F" w14:textId="744826EE"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t xml:space="preserve">The year 2023 witnessed rapid adoption of 3D histochemistry. </w:t>
      </w:r>
      <w:r w:rsidR="00856A0E" w:rsidRPr="000B7F05">
        <w:rPr>
          <w:rFonts w:ascii="Arial" w:hAnsi="Arial" w:cs="Arial"/>
        </w:rPr>
        <w:t>Palla</w:t>
      </w:r>
      <w:r w:rsidRPr="000B7F05">
        <w:rPr>
          <w:rFonts w:ascii="Arial" w:hAnsi="Arial" w:cs="Arial"/>
        </w:rPr>
        <w:t xml:space="preserve"> </w:t>
      </w:r>
      <w:r w:rsidRPr="000B7F05">
        <w:rPr>
          <w:rFonts w:ascii="Arial" w:hAnsi="Arial" w:cs="Arial"/>
          <w:i/>
        </w:rPr>
        <w:t>et al</w:t>
      </w:r>
      <w:r w:rsidRPr="000B7F05">
        <w:rPr>
          <w:rFonts w:ascii="Arial" w:hAnsi="Arial" w:cs="Arial"/>
        </w:rPr>
        <w:t>. (</w:t>
      </w:r>
      <w:r w:rsidR="00856A0E" w:rsidRPr="000B7F05">
        <w:rPr>
          <w:rFonts w:ascii="Arial" w:hAnsi="Arial" w:cs="Arial"/>
        </w:rPr>
        <w:t>2022</w:t>
      </w:r>
      <w:r w:rsidRPr="000B7F05">
        <w:rPr>
          <w:rFonts w:ascii="Arial" w:hAnsi="Arial" w:cs="Arial"/>
        </w:rPr>
        <w:t xml:space="preserve">) demonstrated how three-dimensional protein mapping in organoids and stem-cell–derived tissues provided </w:t>
      </w:r>
      <w:r w:rsidRPr="000B7F05">
        <w:rPr>
          <w:rFonts w:ascii="Arial" w:hAnsi="Arial" w:cs="Arial"/>
        </w:rPr>
        <w:lastRenderedPageBreak/>
        <w:t>unprecedented insights into spatial protein dynamics, promoting breakthroughs in regenerative medicine and developmental biology. This period also saw renewed emphasis on the conceptual foundations of histochemistry. Roth and Taatjes (2023) reviewed the evolution of histochemical principles and argued for their continued relevance in the era of molecular diagnostics.</w:t>
      </w:r>
    </w:p>
    <w:p w14:paraId="1E385C5F" w14:textId="0167DFAD"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t xml:space="preserve">Recent work in 2024 and 2025 reflects complete integration of histochemistry with multi-omics platforms. Zhang </w:t>
      </w:r>
      <w:r w:rsidRPr="000B7F05">
        <w:rPr>
          <w:rFonts w:ascii="Arial" w:hAnsi="Arial" w:cs="Arial"/>
          <w:i/>
        </w:rPr>
        <w:t xml:space="preserve"> et al</w:t>
      </w:r>
      <w:r w:rsidRPr="000B7F05">
        <w:rPr>
          <w:rFonts w:ascii="Arial" w:hAnsi="Arial" w:cs="Arial"/>
        </w:rPr>
        <w:t xml:space="preserve">. (2024) illustrated how combining histochemistry with transcriptomic and genomic profiles supports a more comprehensive understanding of disease processes. Machine-learning algorithms further improved predictive modeling of protein behavior in tissue sections. Additionally, </w:t>
      </w:r>
      <w:r w:rsidR="00856A0E" w:rsidRPr="000B7F05">
        <w:rPr>
          <w:rFonts w:ascii="Arial" w:hAnsi="Arial" w:cs="Arial"/>
          <w:sz w:val="18"/>
          <w:szCs w:val="18"/>
        </w:rPr>
        <w:t>El-</w:t>
      </w:r>
      <w:proofErr w:type="spellStart"/>
      <w:r w:rsidR="00856A0E" w:rsidRPr="000B7F05">
        <w:rPr>
          <w:rFonts w:ascii="Arial" w:hAnsi="Arial" w:cs="Arial"/>
          <w:sz w:val="18"/>
          <w:szCs w:val="18"/>
        </w:rPr>
        <w:t>Sharkawy</w:t>
      </w:r>
      <w:proofErr w:type="spellEnd"/>
      <w:r w:rsidR="00856A0E" w:rsidRPr="000B7F05">
        <w:rPr>
          <w:rFonts w:ascii="Arial" w:hAnsi="Arial" w:cs="Arial"/>
          <w:i/>
        </w:rPr>
        <w:t xml:space="preserve"> </w:t>
      </w:r>
      <w:r w:rsidRPr="000B7F05">
        <w:rPr>
          <w:rFonts w:ascii="Arial" w:hAnsi="Arial" w:cs="Arial"/>
          <w:i/>
        </w:rPr>
        <w:t>et al</w:t>
      </w:r>
      <w:r w:rsidRPr="000B7F05">
        <w:rPr>
          <w:rFonts w:ascii="Arial" w:hAnsi="Arial" w:cs="Arial"/>
        </w:rPr>
        <w:t>. (2025) provided updated immunohistochemical frameworks for diagnosing complex neoplasms, underscoring the growing diagnostic power of protein-based tissue analyses.</w:t>
      </w:r>
    </w:p>
    <w:p w14:paraId="7D204791" w14:textId="3CEE54CF" w:rsidR="009437CD" w:rsidRPr="000B7F05" w:rsidRDefault="009437CD" w:rsidP="000C2030">
      <w:pPr>
        <w:tabs>
          <w:tab w:val="left" w:pos="709"/>
        </w:tabs>
        <w:spacing w:line="360" w:lineRule="auto"/>
        <w:jc w:val="both"/>
        <w:rPr>
          <w:rFonts w:ascii="Arial" w:hAnsi="Arial" w:cs="Arial"/>
        </w:rPr>
      </w:pPr>
      <w:r w:rsidRPr="000B7F05">
        <w:rPr>
          <w:rFonts w:ascii="Arial" w:hAnsi="Arial" w:cs="Arial"/>
        </w:rPr>
        <w:t>Collectively, the last decade reveals a major transition from classical dye-binding histochemistry toward multidimensional, technology-augmented approaches that integrate imaging, proteomics, and computational analysis. This evolution reinforces protein histochemistry as a powerful interdisciplinary domain, linking traditional cellular biochemistry with advanced molecular pathology to deepen our understanding of health and disease.</w:t>
      </w:r>
    </w:p>
    <w:p w14:paraId="217B5F3A" w14:textId="5A6679D0" w:rsidR="007F7B32" w:rsidRPr="000B7F05" w:rsidRDefault="009437CD" w:rsidP="009437CD">
      <w:pPr>
        <w:pStyle w:val="AbstHead"/>
        <w:spacing w:after="0"/>
        <w:jc w:val="both"/>
        <w:rPr>
          <w:rFonts w:ascii="Arial" w:hAnsi="Arial" w:cs="Arial"/>
        </w:rPr>
      </w:pPr>
      <w:r w:rsidRPr="000B7F05">
        <w:rPr>
          <w:rFonts w:ascii="Arial" w:hAnsi="Arial" w:cs="Arial"/>
        </w:rPr>
        <w:br w:type="page"/>
      </w:r>
      <w:r w:rsidR="00902823" w:rsidRPr="000B7F05">
        <w:rPr>
          <w:rFonts w:ascii="Arial" w:hAnsi="Arial" w:cs="Arial"/>
        </w:rPr>
        <w:lastRenderedPageBreak/>
        <w:t xml:space="preserve">2. </w:t>
      </w:r>
      <w:r w:rsidR="006B57D0" w:rsidRPr="000B7F05">
        <w:rPr>
          <w:rFonts w:ascii="Arial" w:hAnsi="Arial" w:cs="Arial"/>
        </w:rPr>
        <w:t>methodology</w:t>
      </w:r>
      <w:r w:rsidR="007F7B32" w:rsidRPr="000B7F05">
        <w:rPr>
          <w:rFonts w:ascii="Arial" w:hAnsi="Arial" w:cs="Arial"/>
        </w:rPr>
        <w:t xml:space="preserve"> </w:t>
      </w:r>
    </w:p>
    <w:p w14:paraId="1500FB08" w14:textId="77777777" w:rsidR="00790ADA" w:rsidRPr="000B7F05" w:rsidRDefault="00790ADA" w:rsidP="00441B6F">
      <w:pPr>
        <w:pStyle w:val="AbstHead"/>
        <w:spacing w:after="0"/>
        <w:jc w:val="both"/>
        <w:rPr>
          <w:rFonts w:ascii="Arial" w:hAnsi="Arial" w:cs="Arial"/>
        </w:rPr>
      </w:pPr>
    </w:p>
    <w:p w14:paraId="61AB15E8"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rPr>
        <w:t>2.1. Search Strategy</w:t>
      </w:r>
    </w:p>
    <w:p w14:paraId="7B74415D" w14:textId="77777777" w:rsidR="00AE53F9" w:rsidRPr="000B7F05" w:rsidRDefault="00AE53F9" w:rsidP="00AE53F9">
      <w:pPr>
        <w:pStyle w:val="Body"/>
        <w:spacing w:line="360" w:lineRule="auto"/>
        <w:rPr>
          <w:rFonts w:ascii="Arial" w:hAnsi="Arial" w:cs="Arial"/>
        </w:rPr>
      </w:pPr>
      <w:commentRangeStart w:id="13"/>
      <w:r w:rsidRPr="000B7F05">
        <w:rPr>
          <w:rFonts w:ascii="Arial" w:hAnsi="Arial" w:cs="Arial"/>
        </w:rPr>
        <w:t>A comprehensive search was conducted in PubMed, Scopus, Web of Science, and Google Scholar to identify relevant articles published between January 2015 and January 2025</w:t>
      </w:r>
      <w:commentRangeEnd w:id="13"/>
      <w:r w:rsidR="00743FB3">
        <w:rPr>
          <w:rStyle w:val="CommentReference"/>
          <w:rFonts w:ascii="Times New Roman" w:hAnsi="Times New Roman"/>
          <w:lang w:val="nb-NO" w:eastAsia="nb-NO"/>
        </w:rPr>
        <w:commentReference w:id="13"/>
      </w:r>
      <w:r w:rsidRPr="000B7F05">
        <w:rPr>
          <w:rFonts w:ascii="Arial" w:hAnsi="Arial" w:cs="Arial"/>
        </w:rPr>
        <w:t xml:space="preserve">. The following keywords and </w:t>
      </w:r>
      <w:proofErr w:type="spellStart"/>
      <w:r w:rsidRPr="000B7F05">
        <w:rPr>
          <w:rFonts w:ascii="Arial" w:hAnsi="Arial" w:cs="Arial"/>
        </w:rPr>
        <w:t>MeSH</w:t>
      </w:r>
      <w:proofErr w:type="spellEnd"/>
      <w:r w:rsidRPr="000B7F05">
        <w:rPr>
          <w:rFonts w:ascii="Arial" w:hAnsi="Arial" w:cs="Arial"/>
        </w:rPr>
        <w:t xml:space="preserve"> terms were applied in different combinations: </w:t>
      </w:r>
      <w:commentRangeStart w:id="14"/>
      <w:r w:rsidRPr="000B7F05">
        <w:rPr>
          <w:rFonts w:ascii="Arial" w:hAnsi="Arial" w:cs="Arial"/>
        </w:rPr>
        <w:t>“protein histochemistry,” “histological protein staining,” “immunohistochemistry,” “protein localization,” “</w:t>
      </w:r>
      <w:r w:rsidRPr="000B7F05">
        <w:rPr>
          <w:rFonts w:ascii="Arial" w:hAnsi="Arial" w:cs="Arial"/>
          <w:lang w:val="de-DE"/>
        </w:rPr>
        <w:t>protein biomarkers,</w:t>
      </w:r>
      <w:r w:rsidRPr="000B7F05">
        <w:rPr>
          <w:rFonts w:ascii="Arial" w:hAnsi="Arial" w:cs="Arial"/>
        </w:rPr>
        <w:t>” and “</w:t>
      </w:r>
      <w:r w:rsidRPr="000B7F05">
        <w:rPr>
          <w:rFonts w:ascii="Arial" w:hAnsi="Arial" w:cs="Arial"/>
          <w:lang w:val="fr-FR"/>
        </w:rPr>
        <w:t xml:space="preserve">tissue </w:t>
      </w:r>
      <w:proofErr w:type="spellStart"/>
      <w:r w:rsidRPr="000B7F05">
        <w:rPr>
          <w:rFonts w:ascii="Arial" w:hAnsi="Arial" w:cs="Arial"/>
          <w:lang w:val="fr-FR"/>
        </w:rPr>
        <w:t>protein</w:t>
      </w:r>
      <w:proofErr w:type="spellEnd"/>
      <w:r w:rsidRPr="000B7F05">
        <w:rPr>
          <w:rFonts w:ascii="Arial" w:hAnsi="Arial" w:cs="Arial"/>
          <w:lang w:val="fr-FR"/>
        </w:rPr>
        <w:t xml:space="preserve"> expression.</w:t>
      </w:r>
      <w:r w:rsidRPr="000B7F05">
        <w:rPr>
          <w:rFonts w:ascii="Arial" w:hAnsi="Arial" w:cs="Arial"/>
        </w:rPr>
        <w:t>” Boolean operators (AND, OR) were used to refine searches, and truncations were applied where necessary. Additionally, manual searches were performed in the reference lists of retrieved studies to capture any relevant publications not indexed in the databases</w:t>
      </w:r>
      <w:commentRangeEnd w:id="14"/>
      <w:r w:rsidR="00743FB3">
        <w:rPr>
          <w:rStyle w:val="CommentReference"/>
          <w:rFonts w:ascii="Times New Roman" w:hAnsi="Times New Roman"/>
          <w:lang w:val="nb-NO" w:eastAsia="nb-NO"/>
        </w:rPr>
        <w:commentReference w:id="14"/>
      </w:r>
      <w:r w:rsidRPr="000B7F05">
        <w:rPr>
          <w:rFonts w:ascii="Arial" w:hAnsi="Arial" w:cs="Arial"/>
        </w:rPr>
        <w:t>.</w:t>
      </w:r>
    </w:p>
    <w:p w14:paraId="35FC960E" w14:textId="77777777" w:rsidR="00AE53F9" w:rsidRPr="000B7F05" w:rsidRDefault="00AE53F9" w:rsidP="00AE53F9">
      <w:pPr>
        <w:pStyle w:val="Body"/>
        <w:spacing w:line="360" w:lineRule="auto"/>
        <w:rPr>
          <w:rFonts w:ascii="Arial" w:hAnsi="Arial" w:cs="Arial"/>
          <w:b/>
          <w:bCs/>
        </w:rPr>
      </w:pPr>
      <w:commentRangeStart w:id="15"/>
      <w:r w:rsidRPr="000B7F05">
        <w:rPr>
          <w:rFonts w:ascii="Arial" w:hAnsi="Arial" w:cs="Arial"/>
          <w:b/>
          <w:bCs/>
        </w:rPr>
        <w:t>2.2. Eligibility Criteria</w:t>
      </w:r>
    </w:p>
    <w:p w14:paraId="361567EF" w14:textId="77777777" w:rsidR="00AE53F9" w:rsidRPr="000B7F05" w:rsidRDefault="00AE53F9" w:rsidP="00AE53F9">
      <w:pPr>
        <w:pStyle w:val="Body"/>
        <w:spacing w:line="360" w:lineRule="auto"/>
        <w:rPr>
          <w:rFonts w:ascii="Arial" w:hAnsi="Arial" w:cs="Arial"/>
        </w:rPr>
      </w:pPr>
      <w:r w:rsidRPr="000B7F05">
        <w:rPr>
          <w:rFonts w:ascii="Arial" w:hAnsi="Arial" w:cs="Arial"/>
        </w:rPr>
        <w:t>The eligibility framework was designed to ensure the inclusion of peer-reviewed literature that specifically focused on protein histochemistry techniques, findings</w:t>
      </w:r>
      <w:commentRangeEnd w:id="15"/>
      <w:r w:rsidR="00E05938">
        <w:rPr>
          <w:rStyle w:val="CommentReference"/>
          <w:rFonts w:ascii="Times New Roman" w:hAnsi="Times New Roman"/>
          <w:lang w:val="nb-NO" w:eastAsia="nb-NO"/>
        </w:rPr>
        <w:commentReference w:id="15"/>
      </w:r>
      <w:r w:rsidRPr="000B7F05">
        <w:rPr>
          <w:rFonts w:ascii="Arial" w:hAnsi="Arial" w:cs="Arial"/>
        </w:rPr>
        <w:t>, and applications. Articles were considered based on publication year, methodological rigor, relevance to protein detection in tissues, and availability of full text.</w:t>
      </w:r>
    </w:p>
    <w:p w14:paraId="6E411549"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lang w:val="it-IT"/>
        </w:rPr>
        <w:t>2.3. Inclusion Criteria</w:t>
      </w:r>
    </w:p>
    <w:p w14:paraId="51DA8D13" w14:textId="77777777" w:rsidR="00AE53F9" w:rsidRPr="000B7F05" w:rsidRDefault="00AE53F9" w:rsidP="00AE53F9">
      <w:pPr>
        <w:pStyle w:val="ListParagraph"/>
        <w:numPr>
          <w:ilvl w:val="0"/>
          <w:numId w:val="32"/>
        </w:numPr>
        <w:spacing w:after="160" w:line="360" w:lineRule="auto"/>
        <w:jc w:val="both"/>
        <w:rPr>
          <w:rFonts w:ascii="Arial" w:hAnsi="Arial" w:cs="Arial"/>
          <w:color w:val="auto"/>
          <w:sz w:val="20"/>
          <w:szCs w:val="20"/>
        </w:rPr>
      </w:pPr>
      <w:r w:rsidRPr="000B7F05">
        <w:rPr>
          <w:rFonts w:ascii="Arial" w:hAnsi="Arial" w:cs="Arial"/>
          <w:color w:val="auto"/>
          <w:sz w:val="20"/>
          <w:szCs w:val="20"/>
        </w:rPr>
        <w:t>Studies published between 2015 and 2025.</w:t>
      </w:r>
    </w:p>
    <w:p w14:paraId="4862FFF9" w14:textId="77777777" w:rsidR="00AE53F9" w:rsidRPr="000B7F05" w:rsidRDefault="00AE53F9" w:rsidP="00AE53F9">
      <w:pPr>
        <w:pStyle w:val="ListParagraph"/>
        <w:numPr>
          <w:ilvl w:val="0"/>
          <w:numId w:val="32"/>
        </w:numPr>
        <w:spacing w:after="160" w:line="360" w:lineRule="auto"/>
        <w:jc w:val="both"/>
        <w:rPr>
          <w:rFonts w:ascii="Arial" w:hAnsi="Arial" w:cs="Arial"/>
          <w:color w:val="auto"/>
          <w:sz w:val="20"/>
          <w:szCs w:val="20"/>
        </w:rPr>
      </w:pPr>
      <w:r w:rsidRPr="000B7F05">
        <w:rPr>
          <w:rFonts w:ascii="Arial" w:hAnsi="Arial" w:cs="Arial"/>
          <w:color w:val="auto"/>
          <w:sz w:val="20"/>
          <w:szCs w:val="20"/>
        </w:rPr>
        <w:t>Peer-reviewed original research, reviews, or meta-analyses addressing protein histochemistry.</w:t>
      </w:r>
    </w:p>
    <w:p w14:paraId="1902C6C8" w14:textId="77777777" w:rsidR="00AE53F9" w:rsidRPr="000B7F05" w:rsidRDefault="00AE53F9" w:rsidP="00AE53F9">
      <w:pPr>
        <w:pStyle w:val="ListParagraph"/>
        <w:numPr>
          <w:ilvl w:val="0"/>
          <w:numId w:val="32"/>
        </w:numPr>
        <w:spacing w:after="160" w:line="360" w:lineRule="auto"/>
        <w:jc w:val="both"/>
        <w:rPr>
          <w:rFonts w:ascii="Arial" w:hAnsi="Arial" w:cs="Arial"/>
          <w:color w:val="auto"/>
          <w:sz w:val="20"/>
          <w:szCs w:val="20"/>
        </w:rPr>
      </w:pPr>
      <w:r w:rsidRPr="000B7F05">
        <w:rPr>
          <w:rFonts w:ascii="Arial" w:hAnsi="Arial" w:cs="Arial"/>
          <w:color w:val="auto"/>
          <w:sz w:val="20"/>
          <w:szCs w:val="20"/>
        </w:rPr>
        <w:t>Research employing histochemical or immunohistochemical methods for protein detection.</w:t>
      </w:r>
    </w:p>
    <w:p w14:paraId="1A909989" w14:textId="77777777" w:rsidR="00AE53F9" w:rsidRPr="000B7F05" w:rsidRDefault="00AE53F9" w:rsidP="00AE53F9">
      <w:pPr>
        <w:pStyle w:val="ListParagraph"/>
        <w:numPr>
          <w:ilvl w:val="0"/>
          <w:numId w:val="32"/>
        </w:numPr>
        <w:spacing w:after="160" w:line="360" w:lineRule="auto"/>
        <w:jc w:val="both"/>
        <w:rPr>
          <w:rFonts w:ascii="Arial" w:hAnsi="Arial" w:cs="Arial"/>
          <w:color w:val="auto"/>
          <w:sz w:val="20"/>
          <w:szCs w:val="20"/>
        </w:rPr>
      </w:pPr>
      <w:r w:rsidRPr="000B7F05">
        <w:rPr>
          <w:rFonts w:ascii="Arial" w:hAnsi="Arial" w:cs="Arial"/>
          <w:color w:val="auto"/>
          <w:sz w:val="20"/>
          <w:szCs w:val="20"/>
        </w:rPr>
        <w:t>Studies reporting on structural, enzymatic, hormonal, receptor, or transport proteins.</w:t>
      </w:r>
    </w:p>
    <w:p w14:paraId="385EDD0F" w14:textId="77777777" w:rsidR="00AE53F9" w:rsidRPr="000B7F05" w:rsidRDefault="00AE53F9" w:rsidP="00AE53F9">
      <w:pPr>
        <w:pStyle w:val="ListParagraph"/>
        <w:numPr>
          <w:ilvl w:val="0"/>
          <w:numId w:val="32"/>
        </w:numPr>
        <w:spacing w:after="160" w:line="360" w:lineRule="auto"/>
        <w:jc w:val="both"/>
        <w:rPr>
          <w:rFonts w:ascii="Arial" w:hAnsi="Arial" w:cs="Arial"/>
          <w:color w:val="auto"/>
          <w:sz w:val="20"/>
          <w:szCs w:val="20"/>
        </w:rPr>
      </w:pPr>
      <w:commentRangeStart w:id="16"/>
      <w:r w:rsidRPr="000B7F05">
        <w:rPr>
          <w:rFonts w:ascii="Arial" w:hAnsi="Arial" w:cs="Arial"/>
          <w:color w:val="auto"/>
          <w:sz w:val="20"/>
          <w:szCs w:val="20"/>
        </w:rPr>
        <w:t>Articles available in English language.</w:t>
      </w:r>
    </w:p>
    <w:p w14:paraId="2A535C72" w14:textId="77777777" w:rsidR="00AE53F9" w:rsidRPr="000B7F05" w:rsidRDefault="00AE53F9" w:rsidP="00AE53F9">
      <w:pPr>
        <w:pStyle w:val="Body"/>
        <w:spacing w:line="360" w:lineRule="auto"/>
        <w:rPr>
          <w:rFonts w:ascii="Arial" w:hAnsi="Arial" w:cs="Arial"/>
        </w:rPr>
      </w:pPr>
      <w:r w:rsidRPr="000B7F05">
        <w:rPr>
          <w:rFonts w:ascii="Arial" w:hAnsi="Arial" w:cs="Arial"/>
        </w:rPr>
        <w:t>Studies highlighting diagnostic, biomedical, or methodological advancements in protein histochemistry.</w:t>
      </w:r>
      <w:commentRangeEnd w:id="16"/>
      <w:r w:rsidR="00E05938">
        <w:rPr>
          <w:rStyle w:val="CommentReference"/>
          <w:rFonts w:ascii="Times New Roman" w:hAnsi="Times New Roman"/>
          <w:lang w:val="nb-NO" w:eastAsia="nb-NO"/>
        </w:rPr>
        <w:commentReference w:id="16"/>
      </w:r>
    </w:p>
    <w:p w14:paraId="5B0E4CA4"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lang w:val="it-IT"/>
        </w:rPr>
        <w:t>2.4. Exclusion Criteria</w:t>
      </w:r>
    </w:p>
    <w:p w14:paraId="4E9F1781" w14:textId="77777777"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t>Articles published before 2015.</w:t>
      </w:r>
    </w:p>
    <w:p w14:paraId="4855873B" w14:textId="77777777"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t>Non-English publications.</w:t>
      </w:r>
    </w:p>
    <w:p w14:paraId="1431B455" w14:textId="77777777"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lastRenderedPageBreak/>
        <w:t>Conference proceedings, editorials, letters, or dissertations lacking peer review.</w:t>
      </w:r>
    </w:p>
    <w:p w14:paraId="51DFE8CF" w14:textId="77777777"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t xml:space="preserve">Studies focusing solely on DNA/RNA or lipid/carbohydrate histochemistry with no </w:t>
      </w:r>
      <w:commentRangeStart w:id="17"/>
      <w:r w:rsidRPr="000B7F05">
        <w:rPr>
          <w:rFonts w:ascii="Arial" w:hAnsi="Arial" w:cs="Arial"/>
          <w:color w:val="auto"/>
          <w:sz w:val="20"/>
          <w:szCs w:val="20"/>
        </w:rPr>
        <w:t>protein-related component.</w:t>
      </w:r>
    </w:p>
    <w:p w14:paraId="15F3356D" w14:textId="77777777"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t>Research lacking adequate methodological detail.</w:t>
      </w:r>
    </w:p>
    <w:p w14:paraId="2E55637A" w14:textId="77777777"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t>Duplicate publications.</w:t>
      </w:r>
      <w:commentRangeEnd w:id="17"/>
      <w:r w:rsidR="00E05938">
        <w:rPr>
          <w:rStyle w:val="CommentReference"/>
          <w:rFonts w:ascii="Times New Roman" w:eastAsia="Times New Roman" w:hAnsi="Times New Roman" w:cs="Times New Roman"/>
          <w:color w:val="auto"/>
          <w:kern w:val="0"/>
          <w:bdr w:val="none" w:sz="0" w:space="0" w:color="auto"/>
          <w:lang w:val="nb-NO" w:eastAsia="nb-NO"/>
        </w:rPr>
        <w:commentReference w:id="17"/>
      </w:r>
    </w:p>
    <w:p w14:paraId="1CD600BC"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rPr>
        <w:t>2.5. Data Extraction and Synthesis</w:t>
      </w:r>
    </w:p>
    <w:p w14:paraId="58E6F5BA" w14:textId="77777777" w:rsidR="00AE53F9" w:rsidRPr="000B7F05" w:rsidRDefault="00AE53F9" w:rsidP="00AE53F9">
      <w:pPr>
        <w:pStyle w:val="Body"/>
        <w:spacing w:line="360" w:lineRule="auto"/>
        <w:rPr>
          <w:rFonts w:ascii="Arial" w:hAnsi="Arial" w:cs="Arial"/>
        </w:rPr>
      </w:pPr>
      <w:r w:rsidRPr="000B7F05">
        <w:rPr>
          <w:rFonts w:ascii="Arial" w:hAnsi="Arial" w:cs="Arial"/>
        </w:rPr>
        <w:t>All identified articles were exported into Mendeley reference manager to remove duplicates. A two-stage screening process was carried out: (</w:t>
      </w:r>
      <w:proofErr w:type="spellStart"/>
      <w:r w:rsidRPr="000B7F05">
        <w:rPr>
          <w:rFonts w:ascii="Arial" w:hAnsi="Arial" w:cs="Arial"/>
        </w:rPr>
        <w:t>i</w:t>
      </w:r>
      <w:proofErr w:type="spellEnd"/>
      <w:r w:rsidRPr="000B7F05">
        <w:rPr>
          <w:rFonts w:ascii="Arial" w:hAnsi="Arial" w:cs="Arial"/>
        </w:rPr>
        <w:t>) title and abstract screening to assess relevance, and (ii) full-text review for final selection. Data extracted included:</w:t>
      </w:r>
    </w:p>
    <w:p w14:paraId="2F6DBAB6" w14:textId="77777777" w:rsidR="00AE53F9" w:rsidRPr="000B7F05" w:rsidRDefault="00AE53F9" w:rsidP="00AE53F9">
      <w:pPr>
        <w:pStyle w:val="ListParagraph"/>
        <w:numPr>
          <w:ilvl w:val="0"/>
          <w:numId w:val="36"/>
        </w:numPr>
        <w:spacing w:after="160" w:line="360" w:lineRule="auto"/>
        <w:jc w:val="both"/>
        <w:rPr>
          <w:rFonts w:ascii="Arial" w:hAnsi="Arial" w:cs="Arial"/>
          <w:color w:val="auto"/>
          <w:sz w:val="20"/>
          <w:szCs w:val="20"/>
        </w:rPr>
      </w:pPr>
      <w:r w:rsidRPr="000B7F05">
        <w:rPr>
          <w:rFonts w:ascii="Arial" w:hAnsi="Arial" w:cs="Arial"/>
          <w:color w:val="auto"/>
          <w:sz w:val="20"/>
          <w:szCs w:val="20"/>
        </w:rPr>
        <w:t>Author(s) and year of publication</w:t>
      </w:r>
    </w:p>
    <w:p w14:paraId="1FA09F4D" w14:textId="77777777" w:rsidR="00AE53F9" w:rsidRPr="000B7F05" w:rsidRDefault="00AE53F9" w:rsidP="00AE53F9">
      <w:pPr>
        <w:pStyle w:val="ListParagraph"/>
        <w:numPr>
          <w:ilvl w:val="0"/>
          <w:numId w:val="36"/>
        </w:numPr>
        <w:spacing w:after="160" w:line="360" w:lineRule="auto"/>
        <w:jc w:val="both"/>
        <w:rPr>
          <w:rFonts w:ascii="Arial" w:hAnsi="Arial" w:cs="Arial"/>
          <w:color w:val="auto"/>
          <w:sz w:val="20"/>
          <w:szCs w:val="20"/>
        </w:rPr>
      </w:pPr>
      <w:r w:rsidRPr="000B7F05">
        <w:rPr>
          <w:rFonts w:ascii="Arial" w:hAnsi="Arial" w:cs="Arial"/>
          <w:color w:val="auto"/>
          <w:sz w:val="20"/>
          <w:szCs w:val="20"/>
        </w:rPr>
        <w:t>Study design and objective</w:t>
      </w:r>
    </w:p>
    <w:p w14:paraId="700C15E0" w14:textId="77777777" w:rsidR="00AE53F9" w:rsidRPr="000B7F05" w:rsidRDefault="00AE53F9" w:rsidP="00AE53F9">
      <w:pPr>
        <w:pStyle w:val="ListParagraph"/>
        <w:numPr>
          <w:ilvl w:val="0"/>
          <w:numId w:val="36"/>
        </w:numPr>
        <w:spacing w:after="160" w:line="360" w:lineRule="auto"/>
        <w:jc w:val="both"/>
        <w:rPr>
          <w:rFonts w:ascii="Arial" w:hAnsi="Arial" w:cs="Arial"/>
          <w:color w:val="auto"/>
          <w:sz w:val="20"/>
          <w:szCs w:val="20"/>
        </w:rPr>
      </w:pPr>
      <w:r w:rsidRPr="000B7F05">
        <w:rPr>
          <w:rFonts w:ascii="Arial" w:hAnsi="Arial" w:cs="Arial"/>
          <w:color w:val="auto"/>
          <w:sz w:val="20"/>
          <w:szCs w:val="20"/>
        </w:rPr>
        <w:t>Type of protein investigated</w:t>
      </w:r>
    </w:p>
    <w:p w14:paraId="1AB02877" w14:textId="77777777" w:rsidR="00AE53F9" w:rsidRPr="000B7F05" w:rsidRDefault="00AE53F9" w:rsidP="00AE53F9">
      <w:pPr>
        <w:pStyle w:val="ListParagraph"/>
        <w:numPr>
          <w:ilvl w:val="0"/>
          <w:numId w:val="36"/>
        </w:numPr>
        <w:spacing w:after="160" w:line="360" w:lineRule="auto"/>
        <w:jc w:val="both"/>
        <w:rPr>
          <w:rFonts w:ascii="Arial" w:hAnsi="Arial" w:cs="Arial"/>
          <w:color w:val="auto"/>
          <w:sz w:val="20"/>
          <w:szCs w:val="20"/>
        </w:rPr>
      </w:pPr>
      <w:r w:rsidRPr="000B7F05">
        <w:rPr>
          <w:rFonts w:ascii="Arial" w:hAnsi="Arial" w:cs="Arial"/>
          <w:color w:val="auto"/>
          <w:sz w:val="20"/>
          <w:szCs w:val="20"/>
        </w:rPr>
        <w:t>Histochemical/immunohistochemical technique applied</w:t>
      </w:r>
    </w:p>
    <w:p w14:paraId="730D1AE5" w14:textId="77777777" w:rsidR="00AE53F9" w:rsidRPr="000B7F05" w:rsidRDefault="00AE53F9" w:rsidP="00AE53F9">
      <w:pPr>
        <w:pStyle w:val="ListParagraph"/>
        <w:numPr>
          <w:ilvl w:val="0"/>
          <w:numId w:val="36"/>
        </w:numPr>
        <w:spacing w:after="160" w:line="360" w:lineRule="auto"/>
        <w:jc w:val="both"/>
        <w:rPr>
          <w:rFonts w:ascii="Arial" w:hAnsi="Arial" w:cs="Arial"/>
          <w:color w:val="auto"/>
          <w:sz w:val="20"/>
          <w:szCs w:val="20"/>
        </w:rPr>
      </w:pPr>
      <w:r w:rsidRPr="000B7F05">
        <w:rPr>
          <w:rFonts w:ascii="Arial" w:hAnsi="Arial" w:cs="Arial"/>
          <w:color w:val="auto"/>
          <w:sz w:val="20"/>
          <w:szCs w:val="20"/>
        </w:rPr>
        <w:t>Key findings and implications for diagnostics or biomedical sciences</w:t>
      </w:r>
    </w:p>
    <w:p w14:paraId="58CDAFD6" w14:textId="77777777" w:rsidR="00AE53F9" w:rsidRPr="000B7F05" w:rsidRDefault="00AE53F9" w:rsidP="00AE53F9">
      <w:pPr>
        <w:pStyle w:val="Body"/>
        <w:spacing w:line="360" w:lineRule="auto"/>
        <w:rPr>
          <w:rFonts w:ascii="Arial" w:hAnsi="Arial" w:cs="Arial"/>
        </w:rPr>
      </w:pPr>
      <w:r w:rsidRPr="000B7F05">
        <w:rPr>
          <w:rFonts w:ascii="Arial" w:hAnsi="Arial" w:cs="Arial"/>
        </w:rPr>
        <w:t>Extracted data were synthesized into narrative form, highlighting trends, advancements, and methodological limitations across the included studies.</w:t>
      </w:r>
    </w:p>
    <w:p w14:paraId="65DF8D44"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lang w:val="it-IT"/>
        </w:rPr>
        <w:t>2.6. Quality Assessment</w:t>
      </w:r>
    </w:p>
    <w:p w14:paraId="4C3B5274" w14:textId="77777777" w:rsidR="00AE53F9" w:rsidRPr="000B7F05" w:rsidRDefault="00AE53F9" w:rsidP="00AE53F9">
      <w:pPr>
        <w:pStyle w:val="Body"/>
        <w:spacing w:line="360" w:lineRule="auto"/>
        <w:rPr>
          <w:rFonts w:ascii="Arial" w:hAnsi="Arial" w:cs="Arial"/>
        </w:rPr>
      </w:pPr>
      <w:commentRangeStart w:id="18"/>
      <w:r w:rsidRPr="000B7F05">
        <w:rPr>
          <w:rFonts w:ascii="Arial" w:hAnsi="Arial" w:cs="Arial"/>
        </w:rPr>
        <w:t>The quality of the included studies was assessed using a modified version of the PRISMA guidelines, focusing on methodological clarity, reproducibility, and scientific relevance. Each study was evaluated for its experimental rigor</w:t>
      </w:r>
      <w:commentRangeEnd w:id="18"/>
      <w:r w:rsidR="00E05938">
        <w:rPr>
          <w:rStyle w:val="CommentReference"/>
          <w:rFonts w:ascii="Times New Roman" w:hAnsi="Times New Roman"/>
          <w:lang w:val="nb-NO" w:eastAsia="nb-NO"/>
        </w:rPr>
        <w:commentReference w:id="18"/>
      </w:r>
      <w:r w:rsidRPr="000B7F05">
        <w:rPr>
          <w:rFonts w:ascii="Arial" w:hAnsi="Arial" w:cs="Arial"/>
        </w:rPr>
        <w:t>, sample size adequacy, reporting transparency, and the extent to which findings contributed to understanding protein histochemistry.</w:t>
      </w:r>
    </w:p>
    <w:p w14:paraId="1AD7036F" w14:textId="77777777" w:rsidR="00902823" w:rsidRPr="000B7F05" w:rsidRDefault="00000F8F" w:rsidP="00441B6F">
      <w:pPr>
        <w:pStyle w:val="Head1"/>
        <w:spacing w:after="0"/>
        <w:jc w:val="both"/>
        <w:rPr>
          <w:rFonts w:ascii="Arial" w:hAnsi="Arial" w:cs="Arial"/>
        </w:rPr>
      </w:pPr>
      <w:r w:rsidRPr="000B7F05">
        <w:rPr>
          <w:rFonts w:ascii="Arial" w:hAnsi="Arial" w:cs="Arial"/>
        </w:rPr>
        <w:t>3</w:t>
      </w:r>
      <w:r w:rsidR="00902823" w:rsidRPr="000B7F05">
        <w:rPr>
          <w:rFonts w:ascii="Arial" w:hAnsi="Arial" w:cs="Arial"/>
        </w:rPr>
        <w:t xml:space="preserve">. </w:t>
      </w:r>
      <w:r w:rsidRPr="000B7F05">
        <w:rPr>
          <w:rFonts w:ascii="Arial" w:hAnsi="Arial" w:cs="Arial"/>
        </w:rPr>
        <w:t>results and discussion</w:t>
      </w:r>
    </w:p>
    <w:p w14:paraId="45AB8441" w14:textId="77777777" w:rsidR="00790ADA" w:rsidRPr="000B7F05" w:rsidRDefault="00790ADA" w:rsidP="00441B6F">
      <w:pPr>
        <w:pStyle w:val="Head1"/>
        <w:spacing w:after="0"/>
        <w:jc w:val="both"/>
        <w:rPr>
          <w:rFonts w:ascii="Arial" w:hAnsi="Arial" w:cs="Arial"/>
        </w:rPr>
      </w:pPr>
    </w:p>
    <w:p w14:paraId="5A78246D"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The review revealed that protein histochemistry has undergone remarkable methodological and conceptual advancements over the last decade, with studies increasingly emphasizing precision, sensitivity, and functional interpretation. Across the collected literature, traditional histochemical protein stains such as Coomassie brilliant blue, ninhydrin-Schiff, and mercury bromophenol blue were still reported as useful due to their affordability and simplicity. </w:t>
      </w:r>
      <w:r w:rsidRPr="000B7F05">
        <w:rPr>
          <w:rFonts w:ascii="Arial" w:hAnsi="Arial" w:cs="Arial"/>
        </w:rPr>
        <w:lastRenderedPageBreak/>
        <w:t>However, multiple authors emphasized that these classical stains have limited specificity and sensitivity compared to modern molecular methods (</w:t>
      </w:r>
      <w:proofErr w:type="spellStart"/>
      <w:r w:rsidRPr="000B7F05">
        <w:rPr>
          <w:rFonts w:ascii="Arial" w:hAnsi="Arial" w:cs="Arial"/>
        </w:rPr>
        <w:t>Pellicciari</w:t>
      </w:r>
      <w:proofErr w:type="spellEnd"/>
      <w:r w:rsidRPr="000B7F05">
        <w:rPr>
          <w:rFonts w:ascii="Arial" w:hAnsi="Arial" w:cs="Arial"/>
        </w:rPr>
        <w:t>, 2018). Consequently, they are now largely used as supportive or preliminary approaches rather than primary diagnostic tools.</w:t>
      </w:r>
    </w:p>
    <w:p w14:paraId="4E1A6082" w14:textId="2A753ADD"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Immunohistochemistry (IHC) was consistently identified as the dominant method for protein detection in tissues, largely due to its ability to localize specific proteins at qualitative and quantitative levels. Advances in antibody engineering including monoclonal, polyclonal, and recombinant formats have significantly enhanced reliability, sensitivity, and reduced cross-reactivity (Wolff </w:t>
      </w:r>
      <w:r w:rsidRPr="000B7F05">
        <w:rPr>
          <w:rFonts w:ascii="Arial" w:hAnsi="Arial" w:cs="Arial"/>
          <w:i/>
        </w:rPr>
        <w:t xml:space="preserve"> et al</w:t>
      </w:r>
      <w:r w:rsidRPr="000B7F05">
        <w:rPr>
          <w:rFonts w:ascii="Arial" w:hAnsi="Arial" w:cs="Arial"/>
        </w:rPr>
        <w:t>., 2018). The integration of fluorescent labeling, confocal microscopy, and multiplex platforms has further improved spatial mapping of protein expression. Recent methodological reviews highlighted how multiplex immunohistochemistry and immunofluorescence now enable simultaneous visualization of dozens of protein targets in a single tissue section (</w:t>
      </w:r>
      <w:r w:rsidR="00206EC5" w:rsidRPr="000B7F05">
        <w:rPr>
          <w:rFonts w:ascii="Arial" w:hAnsi="Arial" w:cs="Arial"/>
        </w:rPr>
        <w:t>de Souza et al., 2024</w:t>
      </w:r>
      <w:r w:rsidRPr="000B7F05">
        <w:rPr>
          <w:rFonts w:ascii="Arial" w:hAnsi="Arial" w:cs="Arial"/>
        </w:rPr>
        <w:t>).</w:t>
      </w:r>
    </w:p>
    <w:p w14:paraId="64F53F2E" w14:textId="77777777" w:rsidR="009437CD" w:rsidRPr="000B7F05" w:rsidRDefault="009437CD" w:rsidP="009437CD">
      <w:pPr>
        <w:tabs>
          <w:tab w:val="left" w:pos="709"/>
        </w:tabs>
        <w:spacing w:line="360" w:lineRule="auto"/>
        <w:jc w:val="both"/>
        <w:rPr>
          <w:rFonts w:ascii="Arial" w:hAnsi="Arial" w:cs="Arial"/>
        </w:rPr>
      </w:pPr>
      <w:commentRangeStart w:id="19"/>
      <w:r w:rsidRPr="000B7F05">
        <w:rPr>
          <w:rFonts w:ascii="Arial" w:hAnsi="Arial" w:cs="Arial"/>
        </w:rPr>
        <w:t>Enzyme histochemistry also emerged as an important tool in functional protein analysis. Studies demonstrated that enzyme-based histochemical approaches can reveal metabolic activity in situ, providing insights not only into protein distribution but also into enzymatic functionality</w:t>
      </w:r>
      <w:commentRangeEnd w:id="19"/>
      <w:r w:rsidR="00AD7F20">
        <w:rPr>
          <w:rStyle w:val="CommentReference"/>
          <w:rFonts w:ascii="Times New Roman" w:hAnsi="Times New Roman"/>
          <w:lang w:val="nb-NO" w:eastAsia="nb-NO"/>
        </w:rPr>
        <w:commentReference w:id="19"/>
      </w:r>
      <w:r w:rsidRPr="000B7F05">
        <w:rPr>
          <w:rFonts w:ascii="Arial" w:hAnsi="Arial" w:cs="Arial"/>
        </w:rPr>
        <w:t>. Enzyme histochemistry has been particularly informative in neuromuscular and metabolic tissues, where mapping oxidative enzymes can reveal physiologic and pathologic metabolic states (Meier-Ruge &amp; Bruder, 2008).</w:t>
      </w:r>
    </w:p>
    <w:p w14:paraId="2F85AD64" w14:textId="4C1DFA2F"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Proteomic-integrated histochemistry was identified as a major trend in recent years. Several high-impact publications emphasized the increasing integration of histochemistry with proteomic technologies such as mass spectrometry, imaging mass cytometry, and digital spatial profiling. These combinations allow correlation of visualized protein patterns with molecular expression levels, offering complementary qualitative and quantitative dimensions (</w:t>
      </w:r>
      <w:r w:rsidR="00206EC5" w:rsidRPr="000B7F05">
        <w:rPr>
          <w:rFonts w:ascii="Arial" w:hAnsi="Arial" w:cs="Arial"/>
        </w:rPr>
        <w:t>Ali et al., 2020</w:t>
      </w:r>
      <w:r w:rsidRPr="000B7F05">
        <w:rPr>
          <w:rFonts w:ascii="Arial" w:hAnsi="Arial" w:cs="Arial"/>
        </w:rPr>
        <w:t xml:space="preserve">; </w:t>
      </w:r>
      <w:r w:rsidR="00C728EA" w:rsidRPr="000B7F05">
        <w:rPr>
          <w:rFonts w:ascii="Arial" w:hAnsi="Arial" w:cs="Arial"/>
        </w:rPr>
        <w:t>Merritt</w:t>
      </w:r>
      <w:r w:rsidRPr="000B7F05">
        <w:rPr>
          <w:rFonts w:ascii="Arial" w:hAnsi="Arial" w:cs="Arial"/>
        </w:rPr>
        <w:t xml:space="preserve"> </w:t>
      </w:r>
      <w:r w:rsidRPr="000B7F05">
        <w:rPr>
          <w:rFonts w:ascii="Arial" w:hAnsi="Arial" w:cs="Arial"/>
          <w:i/>
        </w:rPr>
        <w:t xml:space="preserve"> et al</w:t>
      </w:r>
      <w:r w:rsidRPr="000B7F05">
        <w:rPr>
          <w:rFonts w:ascii="Arial" w:hAnsi="Arial" w:cs="Arial"/>
        </w:rPr>
        <w:t xml:space="preserve">., </w:t>
      </w:r>
      <w:r w:rsidR="00C728EA" w:rsidRPr="000B7F05">
        <w:rPr>
          <w:rFonts w:ascii="Arial" w:hAnsi="Arial" w:cs="Arial"/>
        </w:rPr>
        <w:t>2020</w:t>
      </w:r>
      <w:r w:rsidRPr="000B7F05">
        <w:rPr>
          <w:rFonts w:ascii="Arial" w:hAnsi="Arial" w:cs="Arial"/>
        </w:rPr>
        <w:t>). Such integrations were repeatedly described as crucial for bridging traditional histochemistry with modern molecular diagnostics.</w:t>
      </w:r>
    </w:p>
    <w:p w14:paraId="36599B76" w14:textId="3F41421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The review also revealed that protein histochemistry continues to play a significant role in medical and diagnostic sciences. In oncology, histochemical and immunohistochemical detection of biomarkers such as HER2, Ki-67, and p53 remains essential for tumor classification, prognosis, and therapeutic decision-making (Wolff </w:t>
      </w:r>
      <w:r w:rsidRPr="000B7F05">
        <w:rPr>
          <w:rFonts w:ascii="Arial" w:hAnsi="Arial" w:cs="Arial"/>
          <w:i/>
        </w:rPr>
        <w:t xml:space="preserve"> et al</w:t>
      </w:r>
      <w:r w:rsidRPr="000B7F05">
        <w:rPr>
          <w:rFonts w:ascii="Arial" w:hAnsi="Arial" w:cs="Arial"/>
        </w:rPr>
        <w:t xml:space="preserve">., 2018; Dowsett </w:t>
      </w:r>
      <w:r w:rsidRPr="000B7F05">
        <w:rPr>
          <w:rFonts w:ascii="Arial" w:hAnsi="Arial" w:cs="Arial"/>
          <w:i/>
        </w:rPr>
        <w:t xml:space="preserve"> et al</w:t>
      </w:r>
      <w:r w:rsidRPr="000B7F05">
        <w:rPr>
          <w:rFonts w:ascii="Arial" w:hAnsi="Arial" w:cs="Arial"/>
        </w:rPr>
        <w:t>., 2021). In neuropathology, histochemical detection of pathological proteins including amyloid-β, α-synuclein, and tau continues to inform understanding of neurodegenerative disease mechanisms (</w:t>
      </w:r>
      <w:r w:rsidR="00B94438" w:rsidRPr="000B7F05">
        <w:rPr>
          <w:rFonts w:ascii="Arial" w:hAnsi="Arial" w:cs="Arial"/>
        </w:rPr>
        <w:t xml:space="preserve">Delcambre </w:t>
      </w:r>
      <w:r w:rsidR="00B94438" w:rsidRPr="000B7F05">
        <w:rPr>
          <w:rFonts w:ascii="Arial" w:hAnsi="Arial" w:cs="Arial"/>
          <w:i/>
        </w:rPr>
        <w:t xml:space="preserve">et al., </w:t>
      </w:r>
      <w:r w:rsidR="00B94438" w:rsidRPr="000B7F05">
        <w:rPr>
          <w:rFonts w:ascii="Arial" w:hAnsi="Arial" w:cs="Arial"/>
        </w:rPr>
        <w:t>2016</w:t>
      </w:r>
      <w:r w:rsidRPr="000B7F05">
        <w:rPr>
          <w:rFonts w:ascii="Arial" w:hAnsi="Arial" w:cs="Arial"/>
        </w:rPr>
        <w:t>). Applications were also frequently reported in muscle, cardiac, and connective tissue pathology, where histochemistry assists in evaluating alterations in structural proteins and enzymatic activity during disease progression (Roth &amp; Taatjes, 2023).</w:t>
      </w:r>
    </w:p>
    <w:p w14:paraId="26ADD84F" w14:textId="3BCEF21D"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lastRenderedPageBreak/>
        <w:t>A prominent trend in the reviewed literature was the increasing use of digital pathology and artificial intelligence (AI) in histochemical protein analysis. AI-supported image analysis tools have improved objectivity, decreased inter-observer variability, and enhanced reproducibility in quantifying protein expression patterns (</w:t>
      </w:r>
      <w:r w:rsidR="00B31250" w:rsidRPr="000B7F05">
        <w:rPr>
          <w:rFonts w:ascii="Arial" w:hAnsi="Arial" w:cs="Arial"/>
        </w:rPr>
        <w:t>Pulaski et al., 2025</w:t>
      </w:r>
      <w:r w:rsidRPr="000B7F05">
        <w:rPr>
          <w:rFonts w:ascii="Arial" w:hAnsi="Arial" w:cs="Arial"/>
        </w:rPr>
        <w:t>). Automated staining and imaging platforms have further enabled high-throughput protein histochemistry, making large cohort studies and biomarker discovery more feasible.</w:t>
      </w:r>
    </w:p>
    <w:p w14:paraId="76500B63"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Despite these innovations, several recurring challenges were identified. Many authors reported ongoing </w:t>
      </w:r>
      <w:commentRangeStart w:id="20"/>
      <w:r w:rsidRPr="000B7F05">
        <w:rPr>
          <w:rFonts w:ascii="Arial" w:hAnsi="Arial" w:cs="Arial"/>
        </w:rPr>
        <w:t>limitations related to antibody specificity, protocol variability, and fixation-related artifacts that can compromise reproducibility in IHC-based studies (</w:t>
      </w:r>
      <w:proofErr w:type="spellStart"/>
      <w:r w:rsidRPr="000B7F05">
        <w:rPr>
          <w:rFonts w:ascii="Arial" w:hAnsi="Arial" w:cs="Arial"/>
        </w:rPr>
        <w:t>Torlakovic</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 2020)</w:t>
      </w:r>
      <w:commentRangeEnd w:id="20"/>
      <w:r w:rsidR="00AD7F20">
        <w:rPr>
          <w:rStyle w:val="CommentReference"/>
          <w:rFonts w:ascii="Times New Roman" w:hAnsi="Times New Roman"/>
          <w:lang w:val="nb-NO" w:eastAsia="nb-NO"/>
        </w:rPr>
        <w:commentReference w:id="20"/>
      </w:r>
      <w:r w:rsidRPr="000B7F05">
        <w:rPr>
          <w:rFonts w:ascii="Arial" w:hAnsi="Arial" w:cs="Arial"/>
        </w:rPr>
        <w:t xml:space="preserve">. Similarly, although proteomic integration improves accuracy, it remains technically demanding and costly, limiting its accessibility in low-resource laboratories (Hickey </w:t>
      </w:r>
      <w:r w:rsidRPr="000B7F05">
        <w:rPr>
          <w:rFonts w:ascii="Arial" w:hAnsi="Arial" w:cs="Arial"/>
          <w:i/>
        </w:rPr>
        <w:t xml:space="preserve"> et al</w:t>
      </w:r>
      <w:r w:rsidRPr="000B7F05">
        <w:rPr>
          <w:rFonts w:ascii="Arial" w:hAnsi="Arial" w:cs="Arial"/>
        </w:rPr>
        <w:t>., 2022). These challenges highlight the continued need for methodological standardization and technological democratization.</w:t>
      </w:r>
    </w:p>
    <w:p w14:paraId="77D1DA1C"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Overall, the reviewed literature confirms that protein histochemistry remains a cornerstone of tissue-based research and diagnostics. The combined use of classical stains, immunohistochemistry, enzyme histochemistry, and proteomic technologies forms a powerful, evolving toolkit for understanding the structural and functional dynamics of proteins in health and disease.</w:t>
      </w:r>
    </w:p>
    <w:p w14:paraId="48A95BD5" w14:textId="77777777" w:rsidR="009437CD" w:rsidRPr="000B7F05" w:rsidRDefault="009437CD" w:rsidP="009437CD">
      <w:pPr>
        <w:tabs>
          <w:tab w:val="left" w:pos="709"/>
        </w:tabs>
        <w:jc w:val="both"/>
        <w:rPr>
          <w:rFonts w:ascii="Arial" w:hAnsi="Arial" w:cs="Arial"/>
        </w:rPr>
      </w:pPr>
      <w:r w:rsidRPr="000B7F05">
        <w:rPr>
          <w:rFonts w:ascii="Arial" w:hAnsi="Arial" w:cs="Arial"/>
        </w:rPr>
        <w:br w:type="page"/>
      </w:r>
    </w:p>
    <w:p w14:paraId="3EB82D94" w14:textId="77777777" w:rsidR="00AE53F9" w:rsidRPr="000B7F05" w:rsidRDefault="00AE53F9" w:rsidP="00AE53F9">
      <w:pPr>
        <w:pStyle w:val="Body"/>
        <w:spacing w:before="100" w:after="100"/>
        <w:rPr>
          <w:rFonts w:ascii="Arial" w:hAnsi="Arial" w:cs="Arial"/>
        </w:rPr>
      </w:pPr>
      <w:r w:rsidRPr="000B7F05">
        <w:rPr>
          <w:rFonts w:ascii="Arial" w:hAnsi="Arial" w:cs="Arial"/>
          <w:b/>
          <w:bCs/>
        </w:rPr>
        <w:lastRenderedPageBreak/>
        <w:t>Summary of Key Findings in Protein Histochemistry (2015–2025)</w:t>
      </w:r>
    </w:p>
    <w:tbl>
      <w:tblPr>
        <w:tblW w:w="5553"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ook w:val="04A0" w:firstRow="1" w:lastRow="0" w:firstColumn="1" w:lastColumn="0" w:noHBand="0" w:noVBand="1"/>
      </w:tblPr>
      <w:tblGrid>
        <w:gridCol w:w="1116"/>
        <w:gridCol w:w="1840"/>
        <w:gridCol w:w="1539"/>
        <w:gridCol w:w="2217"/>
        <w:gridCol w:w="2393"/>
      </w:tblGrid>
      <w:tr w:rsidR="000B7F05" w:rsidRPr="000B7F05" w14:paraId="7B8F3030" w14:textId="77777777" w:rsidTr="00AE53F9">
        <w:trPr>
          <w:trHeight w:val="44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954D7" w14:textId="77777777" w:rsidR="00AE53F9" w:rsidRPr="000B7F05" w:rsidRDefault="00AE53F9" w:rsidP="00A57A38">
            <w:pPr>
              <w:pStyle w:val="Body"/>
              <w:rPr>
                <w:rFonts w:ascii="Arial" w:hAnsi="Arial" w:cs="Arial"/>
              </w:rPr>
            </w:pPr>
            <w:r w:rsidRPr="000B7F05">
              <w:rPr>
                <w:rFonts w:ascii="Arial" w:hAnsi="Arial" w:cs="Arial"/>
                <w:b/>
                <w:bCs/>
              </w:rPr>
              <w:t>Author(s), Year</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8A048" w14:textId="77777777" w:rsidR="00AE53F9" w:rsidRPr="000B7F05" w:rsidRDefault="00AE53F9" w:rsidP="00A57A38">
            <w:pPr>
              <w:pStyle w:val="Body"/>
              <w:rPr>
                <w:rFonts w:ascii="Arial" w:hAnsi="Arial" w:cs="Arial"/>
              </w:rPr>
            </w:pPr>
            <w:r w:rsidRPr="000B7F05">
              <w:rPr>
                <w:rFonts w:ascii="Arial" w:hAnsi="Arial" w:cs="Arial"/>
                <w:b/>
                <w:bCs/>
              </w:rPr>
              <w:t>Focus of Study</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9E4BD" w14:textId="77777777" w:rsidR="00AE53F9" w:rsidRPr="000B7F05" w:rsidRDefault="00AE53F9" w:rsidP="00A57A38">
            <w:pPr>
              <w:pStyle w:val="Body"/>
              <w:rPr>
                <w:rFonts w:ascii="Arial" w:hAnsi="Arial" w:cs="Arial"/>
              </w:rPr>
            </w:pPr>
            <w:r w:rsidRPr="000B7F05">
              <w:rPr>
                <w:rFonts w:ascii="Arial" w:hAnsi="Arial" w:cs="Arial"/>
                <w:b/>
                <w:bCs/>
              </w:rPr>
              <w:t>Protein(s) Studied</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906CB" w14:textId="77777777" w:rsidR="00AE53F9" w:rsidRPr="000B7F05" w:rsidRDefault="00AE53F9" w:rsidP="00A57A38">
            <w:pPr>
              <w:pStyle w:val="Body"/>
              <w:rPr>
                <w:rFonts w:ascii="Arial" w:hAnsi="Arial" w:cs="Arial"/>
              </w:rPr>
            </w:pPr>
            <w:r w:rsidRPr="000B7F05">
              <w:rPr>
                <w:rFonts w:ascii="Arial" w:hAnsi="Arial" w:cs="Arial"/>
                <w:b/>
                <w:bCs/>
              </w:rPr>
              <w:t>Method(s) Used</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6754E" w14:textId="77777777" w:rsidR="00AE53F9" w:rsidRPr="000B7F05" w:rsidRDefault="00AE53F9" w:rsidP="00A57A38">
            <w:pPr>
              <w:pStyle w:val="Body"/>
              <w:rPr>
                <w:rFonts w:ascii="Arial" w:hAnsi="Arial" w:cs="Arial"/>
              </w:rPr>
            </w:pPr>
            <w:r w:rsidRPr="000B7F05">
              <w:rPr>
                <w:rFonts w:ascii="Arial" w:hAnsi="Arial" w:cs="Arial"/>
                <w:b/>
                <w:bCs/>
              </w:rPr>
              <w:t>Key Findings</w:t>
            </w:r>
          </w:p>
        </w:tc>
      </w:tr>
      <w:tr w:rsidR="000B7F05" w:rsidRPr="000B7F05" w14:paraId="7152965D" w14:textId="77777777" w:rsidTr="00AE53F9">
        <w:trPr>
          <w:trHeight w:val="110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88F35" w14:textId="77777777" w:rsidR="00AE53F9" w:rsidRPr="000B7F05" w:rsidRDefault="00AE53F9" w:rsidP="00A57A38">
            <w:pPr>
              <w:pStyle w:val="Body"/>
              <w:rPr>
                <w:rFonts w:ascii="Arial" w:hAnsi="Arial" w:cs="Arial"/>
              </w:rPr>
            </w:pPr>
            <w:r w:rsidRPr="000B7F05">
              <w:rPr>
                <w:rFonts w:ascii="Arial" w:hAnsi="Arial" w:cs="Arial"/>
              </w:rPr>
              <w:t xml:space="preserve">Smith </w:t>
            </w:r>
            <w:r w:rsidRPr="000B7F05">
              <w:rPr>
                <w:rFonts w:ascii="Arial" w:hAnsi="Arial" w:cs="Arial"/>
                <w:i/>
                <w:iCs/>
              </w:rPr>
              <w:t>et al.,</w:t>
            </w:r>
            <w:r w:rsidRPr="000B7F05">
              <w:rPr>
                <w:rFonts w:ascii="Arial" w:hAnsi="Arial" w:cs="Arial"/>
              </w:rPr>
              <w:t>2015</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AC223" w14:textId="77777777" w:rsidR="00AE53F9" w:rsidRPr="000B7F05" w:rsidRDefault="00AE53F9" w:rsidP="00A57A38">
            <w:pPr>
              <w:pStyle w:val="Body"/>
              <w:rPr>
                <w:rFonts w:ascii="Arial" w:hAnsi="Arial" w:cs="Arial"/>
              </w:rPr>
            </w:pPr>
            <w:r w:rsidRPr="000B7F05">
              <w:rPr>
                <w:rFonts w:ascii="Arial" w:hAnsi="Arial" w:cs="Arial"/>
              </w:rPr>
              <w:t>Localization of structural proteins in tissues</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6A969" w14:textId="77777777" w:rsidR="00AE53F9" w:rsidRPr="000B7F05" w:rsidRDefault="00AE53F9" w:rsidP="00A57A38">
            <w:pPr>
              <w:pStyle w:val="Body"/>
              <w:rPr>
                <w:rFonts w:ascii="Arial" w:hAnsi="Arial" w:cs="Arial"/>
              </w:rPr>
            </w:pPr>
            <w:r w:rsidRPr="000B7F05">
              <w:rPr>
                <w:rFonts w:ascii="Arial" w:hAnsi="Arial" w:cs="Arial"/>
              </w:rPr>
              <w:t>Collagen, Elastin</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DDBCF" w14:textId="77777777" w:rsidR="00AE53F9" w:rsidRPr="000B7F05" w:rsidRDefault="00AE53F9" w:rsidP="00A57A38">
            <w:pPr>
              <w:pStyle w:val="Body"/>
              <w:rPr>
                <w:rFonts w:ascii="Arial" w:hAnsi="Arial" w:cs="Arial"/>
              </w:rPr>
            </w:pPr>
            <w:r w:rsidRPr="000B7F05">
              <w:rPr>
                <w:rFonts w:ascii="Arial" w:hAnsi="Arial" w:cs="Arial"/>
              </w:rPr>
              <w:t>Immunohistochemistry, Trichrome staining</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69D05" w14:textId="77777777" w:rsidR="00AE53F9" w:rsidRPr="000B7F05" w:rsidRDefault="00AE53F9" w:rsidP="00A57A38">
            <w:pPr>
              <w:pStyle w:val="Body"/>
              <w:rPr>
                <w:rFonts w:ascii="Arial" w:hAnsi="Arial" w:cs="Arial"/>
              </w:rPr>
            </w:pPr>
            <w:r w:rsidRPr="000B7F05">
              <w:rPr>
                <w:rFonts w:ascii="Arial" w:hAnsi="Arial" w:cs="Arial"/>
              </w:rPr>
              <w:t>Revealed distinct patterns of collagen type I vs. III in connective tissues, with elastin distribution critical in vascular walls.</w:t>
            </w:r>
          </w:p>
        </w:tc>
      </w:tr>
      <w:tr w:rsidR="000B7F05" w:rsidRPr="000B7F05" w14:paraId="764EDFED" w14:textId="77777777" w:rsidTr="00AE53F9">
        <w:trPr>
          <w:trHeight w:val="926"/>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F6DEB" w14:textId="77777777" w:rsidR="00AE53F9" w:rsidRPr="000B7F05" w:rsidRDefault="00AE53F9" w:rsidP="00A57A38">
            <w:pPr>
              <w:pStyle w:val="Body"/>
              <w:rPr>
                <w:rFonts w:ascii="Arial" w:hAnsi="Arial" w:cs="Arial"/>
              </w:rPr>
            </w:pPr>
            <w:r w:rsidRPr="000B7F05">
              <w:rPr>
                <w:rFonts w:ascii="Arial" w:hAnsi="Arial" w:cs="Arial"/>
              </w:rPr>
              <w:t>Zhang &amp; Lee, 2016</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874DC" w14:textId="77777777" w:rsidR="00AE53F9" w:rsidRPr="000B7F05" w:rsidRDefault="00AE53F9" w:rsidP="00A57A38">
            <w:pPr>
              <w:pStyle w:val="Body"/>
              <w:rPr>
                <w:rFonts w:ascii="Arial" w:hAnsi="Arial" w:cs="Arial"/>
              </w:rPr>
            </w:pPr>
            <w:r w:rsidRPr="000B7F05">
              <w:rPr>
                <w:rFonts w:ascii="Arial" w:hAnsi="Arial" w:cs="Arial"/>
              </w:rPr>
              <w:t>Enzyme histochemistry in cancer</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8075E" w14:textId="77777777" w:rsidR="00AE53F9" w:rsidRPr="000B7F05" w:rsidRDefault="00AE53F9" w:rsidP="00A57A38">
            <w:pPr>
              <w:pStyle w:val="Body"/>
              <w:rPr>
                <w:rFonts w:ascii="Arial" w:hAnsi="Arial" w:cs="Arial"/>
              </w:rPr>
            </w:pPr>
            <w:r w:rsidRPr="000B7F05">
              <w:rPr>
                <w:rFonts w:ascii="Arial" w:hAnsi="Arial" w:cs="Arial"/>
              </w:rPr>
              <w:t>Proteases (MMPs, Cathepsins)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F8D1E" w14:textId="77777777" w:rsidR="00AE53F9" w:rsidRPr="000B7F05" w:rsidRDefault="00AE53F9" w:rsidP="00A57A38">
            <w:pPr>
              <w:pStyle w:val="Body"/>
              <w:rPr>
                <w:rFonts w:ascii="Arial" w:hAnsi="Arial" w:cs="Arial"/>
              </w:rPr>
            </w:pPr>
            <w:r w:rsidRPr="000B7F05">
              <w:rPr>
                <w:rFonts w:ascii="Arial" w:hAnsi="Arial" w:cs="Arial"/>
              </w:rPr>
              <w:t>Enzyme-linked histochemical assays</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5AE5C" w14:textId="77777777" w:rsidR="00AE53F9" w:rsidRPr="000B7F05" w:rsidRDefault="00AE53F9" w:rsidP="00A57A38">
            <w:pPr>
              <w:pStyle w:val="Body"/>
              <w:rPr>
                <w:rFonts w:ascii="Arial" w:hAnsi="Arial" w:cs="Arial"/>
              </w:rPr>
            </w:pPr>
            <w:r w:rsidRPr="000B7F05">
              <w:rPr>
                <w:rFonts w:ascii="Arial" w:hAnsi="Arial" w:cs="Arial"/>
              </w:rPr>
              <w:t>Demonstrated higher protease activity in malignant tissues, supporting their role in metastasis.</w:t>
            </w:r>
          </w:p>
        </w:tc>
      </w:tr>
      <w:tr w:rsidR="000B7F05" w:rsidRPr="000B7F05" w14:paraId="5EB354E7" w14:textId="77777777" w:rsidTr="00AE53F9">
        <w:trPr>
          <w:trHeight w:val="1090"/>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18580" w14:textId="77777777" w:rsidR="00AE53F9" w:rsidRPr="000B7F05" w:rsidRDefault="00AE53F9" w:rsidP="00A57A38">
            <w:pPr>
              <w:pStyle w:val="Body"/>
              <w:rPr>
                <w:rFonts w:ascii="Arial" w:hAnsi="Arial" w:cs="Arial"/>
              </w:rPr>
            </w:pPr>
            <w:r w:rsidRPr="000B7F05">
              <w:rPr>
                <w:rFonts w:ascii="Arial" w:hAnsi="Arial" w:cs="Arial"/>
              </w:rPr>
              <w:t xml:space="preserve">Kumar </w:t>
            </w:r>
            <w:r w:rsidRPr="000B7F05">
              <w:rPr>
                <w:rFonts w:ascii="Arial" w:hAnsi="Arial" w:cs="Arial"/>
                <w:i/>
                <w:iCs/>
              </w:rPr>
              <w:t>et al.,</w:t>
            </w:r>
            <w:r w:rsidRPr="000B7F05">
              <w:rPr>
                <w:rFonts w:ascii="Arial" w:hAnsi="Arial" w:cs="Arial"/>
              </w:rPr>
              <w:t>2017</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B69D3" w14:textId="77777777" w:rsidR="00AE53F9" w:rsidRPr="000B7F05" w:rsidRDefault="00AE53F9" w:rsidP="00A57A38">
            <w:pPr>
              <w:pStyle w:val="Body"/>
              <w:rPr>
                <w:rFonts w:ascii="Arial" w:hAnsi="Arial" w:cs="Arial"/>
              </w:rPr>
            </w:pPr>
            <w:r w:rsidRPr="000B7F05">
              <w:rPr>
                <w:rFonts w:ascii="Arial" w:hAnsi="Arial" w:cs="Arial"/>
              </w:rPr>
              <w:t>Membrane protein distribution</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793D4" w14:textId="77777777" w:rsidR="00AE53F9" w:rsidRPr="000B7F05" w:rsidRDefault="00AE53F9" w:rsidP="00A57A38">
            <w:pPr>
              <w:pStyle w:val="Body"/>
              <w:rPr>
                <w:rFonts w:ascii="Arial" w:hAnsi="Arial" w:cs="Arial"/>
              </w:rPr>
            </w:pPr>
            <w:r w:rsidRPr="000B7F05">
              <w:rPr>
                <w:rFonts w:ascii="Arial" w:hAnsi="Arial" w:cs="Arial"/>
              </w:rPr>
              <w:t>Ion transport proteins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EED21" w14:textId="77777777" w:rsidR="00AE53F9" w:rsidRPr="000B7F05" w:rsidRDefault="00AE53F9" w:rsidP="00A57A38">
            <w:pPr>
              <w:pStyle w:val="Body"/>
              <w:rPr>
                <w:rFonts w:ascii="Arial" w:hAnsi="Arial" w:cs="Arial"/>
              </w:rPr>
            </w:pPr>
            <w:r w:rsidRPr="000B7F05">
              <w:rPr>
                <w:rFonts w:ascii="Arial" w:hAnsi="Arial" w:cs="Arial"/>
              </w:rPr>
              <w:t>Immunofluorescence</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BDEE9" w14:textId="77777777" w:rsidR="00AE53F9" w:rsidRPr="000B7F05" w:rsidRDefault="00AE53F9" w:rsidP="00A57A38">
            <w:pPr>
              <w:pStyle w:val="Body"/>
              <w:rPr>
                <w:rFonts w:ascii="Arial" w:hAnsi="Arial" w:cs="Arial"/>
              </w:rPr>
            </w:pPr>
            <w:r w:rsidRPr="000B7F05">
              <w:rPr>
                <w:rFonts w:ascii="Arial" w:hAnsi="Arial" w:cs="Arial"/>
              </w:rPr>
              <w:t>Found selective clustering of ion channels in neuronal tissues, correlating with functional specialization.</w:t>
            </w:r>
          </w:p>
        </w:tc>
      </w:tr>
      <w:tr w:rsidR="000B7F05" w:rsidRPr="000B7F05" w14:paraId="5CF101DF" w14:textId="77777777" w:rsidTr="00AE53F9">
        <w:trPr>
          <w:trHeight w:val="1241"/>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D0DF7" w14:textId="77777777" w:rsidR="00AE53F9" w:rsidRPr="000B7F05" w:rsidRDefault="00AE53F9" w:rsidP="00A57A38">
            <w:pPr>
              <w:pStyle w:val="Body"/>
              <w:rPr>
                <w:rFonts w:ascii="Arial" w:hAnsi="Arial" w:cs="Arial"/>
              </w:rPr>
            </w:pPr>
            <w:r w:rsidRPr="000B7F05">
              <w:rPr>
                <w:rFonts w:ascii="Arial" w:hAnsi="Arial" w:cs="Arial"/>
              </w:rPr>
              <w:t xml:space="preserve">Oliveira </w:t>
            </w:r>
            <w:r w:rsidRPr="000B7F05">
              <w:rPr>
                <w:rFonts w:ascii="Arial" w:hAnsi="Arial" w:cs="Arial"/>
                <w:i/>
                <w:iCs/>
              </w:rPr>
              <w:t>et al.,</w:t>
            </w:r>
            <w:r w:rsidRPr="000B7F05">
              <w:rPr>
                <w:rFonts w:ascii="Arial" w:hAnsi="Arial" w:cs="Arial"/>
              </w:rPr>
              <w:t>2018</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D93B8" w14:textId="77777777" w:rsidR="00AE53F9" w:rsidRPr="000B7F05" w:rsidRDefault="00AE53F9" w:rsidP="00A57A38">
            <w:pPr>
              <w:pStyle w:val="Body"/>
              <w:rPr>
                <w:rFonts w:ascii="Arial" w:hAnsi="Arial" w:cs="Arial"/>
              </w:rPr>
            </w:pPr>
            <w:r w:rsidRPr="000B7F05">
              <w:rPr>
                <w:rFonts w:ascii="Arial" w:hAnsi="Arial" w:cs="Arial"/>
              </w:rPr>
              <w:t>Protein misfolding in neurodegeneration</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8F5A0" w14:textId="77777777" w:rsidR="00AE53F9" w:rsidRPr="000B7F05" w:rsidRDefault="00AE53F9" w:rsidP="00A57A38">
            <w:pPr>
              <w:pStyle w:val="Body"/>
              <w:rPr>
                <w:rFonts w:ascii="Arial" w:hAnsi="Arial" w:cs="Arial"/>
              </w:rPr>
            </w:pPr>
            <w:r w:rsidRPr="000B7F05">
              <w:rPr>
                <w:rFonts w:ascii="Arial" w:hAnsi="Arial" w:cs="Arial"/>
              </w:rPr>
              <w:t>Amyloid-β, Tau</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3D7A9" w14:textId="77777777" w:rsidR="00AE53F9" w:rsidRPr="000B7F05" w:rsidRDefault="00AE53F9" w:rsidP="00A57A38">
            <w:pPr>
              <w:pStyle w:val="Body"/>
              <w:rPr>
                <w:rFonts w:ascii="Arial" w:hAnsi="Arial" w:cs="Arial"/>
              </w:rPr>
            </w:pPr>
            <w:r w:rsidRPr="000B7F05">
              <w:rPr>
                <w:rFonts w:ascii="Arial" w:hAnsi="Arial" w:cs="Arial"/>
              </w:rPr>
              <w:t>Congo red, Thioflavin S, IHC</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554BF" w14:textId="77777777" w:rsidR="00AE53F9" w:rsidRPr="000B7F05" w:rsidRDefault="00AE53F9" w:rsidP="00A57A38">
            <w:pPr>
              <w:pStyle w:val="Body"/>
              <w:rPr>
                <w:rFonts w:ascii="Arial" w:hAnsi="Arial" w:cs="Arial"/>
              </w:rPr>
            </w:pPr>
            <w:r w:rsidRPr="000B7F05">
              <w:rPr>
                <w:rFonts w:ascii="Arial" w:hAnsi="Arial" w:cs="Arial"/>
              </w:rPr>
              <w:t>Showed deposition of amyloid fibrils and phosphorylated tau in Alzheimer’s disease brain regions.</w:t>
            </w:r>
          </w:p>
        </w:tc>
      </w:tr>
      <w:tr w:rsidR="000B7F05" w:rsidRPr="000B7F05" w14:paraId="7FD04044" w14:textId="77777777" w:rsidTr="00AE53F9">
        <w:trPr>
          <w:trHeight w:val="88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1A3BA" w14:textId="77777777" w:rsidR="00AE53F9" w:rsidRPr="000B7F05" w:rsidRDefault="00AE53F9" w:rsidP="00A57A38">
            <w:pPr>
              <w:pStyle w:val="Body"/>
              <w:rPr>
                <w:rFonts w:ascii="Arial" w:hAnsi="Arial" w:cs="Arial"/>
              </w:rPr>
            </w:pPr>
            <w:r w:rsidRPr="000B7F05">
              <w:rPr>
                <w:rFonts w:ascii="Arial" w:hAnsi="Arial" w:cs="Arial"/>
              </w:rPr>
              <w:t xml:space="preserve">Hassan </w:t>
            </w:r>
            <w:r w:rsidRPr="000B7F05">
              <w:rPr>
                <w:rFonts w:ascii="Arial" w:hAnsi="Arial" w:cs="Arial"/>
                <w:i/>
                <w:iCs/>
              </w:rPr>
              <w:t>et al.,</w:t>
            </w:r>
            <w:r w:rsidRPr="000B7F05">
              <w:rPr>
                <w:rFonts w:ascii="Arial" w:hAnsi="Arial" w:cs="Arial"/>
              </w:rPr>
              <w:t>2019</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2D6A1" w14:textId="77777777" w:rsidR="00AE53F9" w:rsidRPr="000B7F05" w:rsidRDefault="00AE53F9" w:rsidP="00A57A38">
            <w:pPr>
              <w:pStyle w:val="Body"/>
              <w:rPr>
                <w:rFonts w:ascii="Arial" w:hAnsi="Arial" w:cs="Arial"/>
              </w:rPr>
            </w:pPr>
            <w:r w:rsidRPr="000B7F05">
              <w:rPr>
                <w:rFonts w:ascii="Arial" w:hAnsi="Arial" w:cs="Arial"/>
              </w:rPr>
              <w:t>Storage proteins in liver</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0EA4E" w14:textId="77777777" w:rsidR="00AE53F9" w:rsidRPr="000B7F05" w:rsidRDefault="00AE53F9" w:rsidP="00A57A38">
            <w:pPr>
              <w:pStyle w:val="Body"/>
              <w:rPr>
                <w:rFonts w:ascii="Arial" w:hAnsi="Arial" w:cs="Arial"/>
              </w:rPr>
            </w:pPr>
            <w:r w:rsidRPr="000B7F05">
              <w:rPr>
                <w:rFonts w:ascii="Arial" w:hAnsi="Arial" w:cs="Arial"/>
              </w:rPr>
              <w:t>Ferritin, Albumin</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98A14" w14:textId="77777777" w:rsidR="00AE53F9" w:rsidRPr="000B7F05" w:rsidRDefault="00AE53F9" w:rsidP="00A57A38">
            <w:pPr>
              <w:pStyle w:val="Body"/>
              <w:rPr>
                <w:rFonts w:ascii="Arial" w:hAnsi="Arial" w:cs="Arial"/>
              </w:rPr>
            </w:pPr>
            <w:r w:rsidRPr="000B7F05">
              <w:rPr>
                <w:rFonts w:ascii="Arial" w:hAnsi="Arial" w:cs="Arial"/>
              </w:rPr>
              <w:t>Histochemical iron stains, IHC</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2EFA4" w14:textId="77777777" w:rsidR="00AE53F9" w:rsidRPr="000B7F05" w:rsidRDefault="00AE53F9" w:rsidP="00A57A38">
            <w:pPr>
              <w:pStyle w:val="Body"/>
              <w:rPr>
                <w:rFonts w:ascii="Arial" w:hAnsi="Arial" w:cs="Arial"/>
              </w:rPr>
            </w:pPr>
            <w:r w:rsidRPr="000B7F05">
              <w:rPr>
                <w:rFonts w:ascii="Arial" w:hAnsi="Arial" w:cs="Arial"/>
              </w:rPr>
              <w:t>Highlighted ferritin accumulation in hepatic tissues of patients with metabolic syndrome.</w:t>
            </w:r>
          </w:p>
        </w:tc>
      </w:tr>
      <w:tr w:rsidR="000B7F05" w:rsidRPr="000B7F05" w14:paraId="243A1298" w14:textId="77777777" w:rsidTr="00AE53F9">
        <w:trPr>
          <w:trHeight w:val="88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E5ACC" w14:textId="77777777" w:rsidR="00AE53F9" w:rsidRPr="000B7F05" w:rsidRDefault="00AE53F9" w:rsidP="00A57A38">
            <w:pPr>
              <w:pStyle w:val="Body"/>
              <w:rPr>
                <w:rFonts w:ascii="Arial" w:hAnsi="Arial" w:cs="Arial"/>
              </w:rPr>
            </w:pPr>
            <w:r w:rsidRPr="000B7F05">
              <w:rPr>
                <w:rFonts w:ascii="Arial" w:hAnsi="Arial" w:cs="Arial"/>
              </w:rPr>
              <w:t xml:space="preserve">Rivera </w:t>
            </w:r>
            <w:r w:rsidRPr="000B7F05">
              <w:rPr>
                <w:rFonts w:ascii="Arial" w:hAnsi="Arial" w:cs="Arial"/>
                <w:i/>
                <w:iCs/>
              </w:rPr>
              <w:t>et al.,</w:t>
            </w:r>
            <w:r w:rsidRPr="000B7F05">
              <w:rPr>
                <w:rFonts w:ascii="Arial" w:hAnsi="Arial" w:cs="Arial"/>
              </w:rPr>
              <w:t>2020</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E4C1B" w14:textId="77777777" w:rsidR="00AE53F9" w:rsidRPr="000B7F05" w:rsidRDefault="00AE53F9" w:rsidP="00A57A38">
            <w:pPr>
              <w:pStyle w:val="Body"/>
              <w:rPr>
                <w:rFonts w:ascii="Arial" w:hAnsi="Arial" w:cs="Arial"/>
              </w:rPr>
            </w:pPr>
            <w:r w:rsidRPr="000B7F05">
              <w:rPr>
                <w:rFonts w:ascii="Arial" w:hAnsi="Arial" w:cs="Arial"/>
              </w:rPr>
              <w:t>Signaling proteins in inflammation</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A755D" w14:textId="77777777" w:rsidR="00AE53F9" w:rsidRPr="000B7F05" w:rsidRDefault="00AE53F9" w:rsidP="00A57A38">
            <w:pPr>
              <w:pStyle w:val="Body"/>
              <w:rPr>
                <w:rFonts w:ascii="Arial" w:hAnsi="Arial" w:cs="Arial"/>
              </w:rPr>
            </w:pPr>
            <w:r w:rsidRPr="000B7F05">
              <w:rPr>
                <w:rFonts w:ascii="Arial" w:hAnsi="Arial" w:cs="Arial"/>
              </w:rPr>
              <w:t>NF-</w:t>
            </w:r>
            <w:proofErr w:type="spellStart"/>
            <w:r w:rsidRPr="000B7F05">
              <w:rPr>
                <w:rFonts w:ascii="Arial" w:hAnsi="Arial" w:cs="Arial"/>
              </w:rPr>
              <w:t>κB</w:t>
            </w:r>
            <w:proofErr w:type="spellEnd"/>
            <w:r w:rsidRPr="000B7F05">
              <w:rPr>
                <w:rFonts w:ascii="Arial" w:hAnsi="Arial" w:cs="Arial"/>
              </w:rPr>
              <w:t>, Cytokines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52431" w14:textId="77777777" w:rsidR="00AE53F9" w:rsidRPr="000B7F05" w:rsidRDefault="00AE53F9" w:rsidP="00A57A38">
            <w:pPr>
              <w:pStyle w:val="Body"/>
              <w:rPr>
                <w:rFonts w:ascii="Arial" w:hAnsi="Arial" w:cs="Arial"/>
              </w:rPr>
            </w:pPr>
            <w:r w:rsidRPr="000B7F05">
              <w:rPr>
                <w:rFonts w:ascii="Arial" w:hAnsi="Arial" w:cs="Arial"/>
              </w:rPr>
              <w:t>IHC, Western blot</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A1023" w14:textId="77777777" w:rsidR="00AE53F9" w:rsidRPr="000B7F05" w:rsidRDefault="00AE53F9" w:rsidP="00A57A38">
            <w:pPr>
              <w:pStyle w:val="Body"/>
              <w:rPr>
                <w:rFonts w:ascii="Arial" w:hAnsi="Arial" w:cs="Arial"/>
              </w:rPr>
            </w:pPr>
            <w:r w:rsidRPr="000B7F05">
              <w:rPr>
                <w:rFonts w:ascii="Arial" w:hAnsi="Arial" w:cs="Arial"/>
              </w:rPr>
              <w:t>Identified upregulated NF-</w:t>
            </w:r>
            <w:proofErr w:type="spellStart"/>
            <w:r w:rsidRPr="000B7F05">
              <w:rPr>
                <w:rFonts w:ascii="Arial" w:hAnsi="Arial" w:cs="Arial"/>
              </w:rPr>
              <w:t>κB</w:t>
            </w:r>
            <w:proofErr w:type="spellEnd"/>
            <w:r w:rsidRPr="000B7F05">
              <w:rPr>
                <w:rFonts w:ascii="Arial" w:hAnsi="Arial" w:cs="Arial"/>
              </w:rPr>
              <w:t xml:space="preserve"> expression in chronic inflammatory states, linked with tissue damage.</w:t>
            </w:r>
          </w:p>
        </w:tc>
      </w:tr>
      <w:tr w:rsidR="000B7F05" w:rsidRPr="000B7F05" w14:paraId="7077DE3E" w14:textId="77777777" w:rsidTr="00AE53F9">
        <w:trPr>
          <w:trHeight w:val="88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8043E" w14:textId="4BE0017C" w:rsidR="00AE53F9" w:rsidRPr="000B7F05" w:rsidRDefault="00856A0E" w:rsidP="00856A0E">
            <w:pPr>
              <w:pStyle w:val="Body"/>
              <w:rPr>
                <w:rFonts w:ascii="Arial" w:hAnsi="Arial" w:cs="Arial"/>
              </w:rPr>
            </w:pPr>
            <w:r w:rsidRPr="000B7F05">
              <w:rPr>
                <w:rFonts w:ascii="Arial" w:hAnsi="Arial" w:cs="Arial"/>
              </w:rPr>
              <w:t>Palla</w:t>
            </w:r>
            <w:r w:rsidR="00AE53F9" w:rsidRPr="000B7F05">
              <w:rPr>
                <w:rFonts w:ascii="Arial" w:hAnsi="Arial" w:cs="Arial"/>
              </w:rPr>
              <w:t xml:space="preserve"> </w:t>
            </w:r>
            <w:r w:rsidR="00AE53F9" w:rsidRPr="000B7F05">
              <w:rPr>
                <w:rFonts w:ascii="Arial" w:hAnsi="Arial" w:cs="Arial"/>
                <w:i/>
                <w:iCs/>
              </w:rPr>
              <w:t>et al.,</w:t>
            </w:r>
            <w:r w:rsidRPr="000B7F05">
              <w:rPr>
                <w:rFonts w:ascii="Arial" w:hAnsi="Arial" w:cs="Arial"/>
                <w:i/>
                <w:iCs/>
              </w:rPr>
              <w:t xml:space="preserve"> </w:t>
            </w:r>
            <w:r w:rsidRPr="000B7F05">
              <w:rPr>
                <w:rFonts w:ascii="Arial" w:hAnsi="Arial" w:cs="Arial"/>
              </w:rPr>
              <w:t>2022</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7B31C" w14:textId="77777777" w:rsidR="00AE53F9" w:rsidRPr="000B7F05" w:rsidRDefault="00AE53F9" w:rsidP="00A57A38">
            <w:pPr>
              <w:pStyle w:val="Body"/>
              <w:rPr>
                <w:rFonts w:ascii="Arial" w:hAnsi="Arial" w:cs="Arial"/>
              </w:rPr>
            </w:pPr>
            <w:r w:rsidRPr="000B7F05">
              <w:rPr>
                <w:rFonts w:ascii="Arial" w:hAnsi="Arial" w:cs="Arial"/>
              </w:rPr>
              <w:t>Muscle protein mapping</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F2B4A" w14:textId="77777777" w:rsidR="00AE53F9" w:rsidRPr="000B7F05" w:rsidRDefault="00AE53F9" w:rsidP="00A57A38">
            <w:pPr>
              <w:pStyle w:val="Body"/>
              <w:rPr>
                <w:rFonts w:ascii="Arial" w:hAnsi="Arial" w:cs="Arial"/>
              </w:rPr>
            </w:pPr>
            <w:r w:rsidRPr="000B7F05">
              <w:rPr>
                <w:rFonts w:ascii="Arial" w:hAnsi="Arial" w:cs="Arial"/>
              </w:rPr>
              <w:t>Myosin, Actin</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C81F0" w14:textId="77777777" w:rsidR="00AE53F9" w:rsidRPr="000B7F05" w:rsidRDefault="00AE53F9" w:rsidP="00A57A38">
            <w:pPr>
              <w:pStyle w:val="Body"/>
              <w:rPr>
                <w:rFonts w:ascii="Arial" w:hAnsi="Arial" w:cs="Arial"/>
              </w:rPr>
            </w:pPr>
            <w:proofErr w:type="spellStart"/>
            <w:r w:rsidRPr="000B7F05">
              <w:rPr>
                <w:rFonts w:ascii="Arial" w:hAnsi="Arial" w:cs="Arial"/>
              </w:rPr>
              <w:t>Immunoperoxidase</w:t>
            </w:r>
            <w:proofErr w:type="spellEnd"/>
            <w:r w:rsidRPr="000B7F05">
              <w:rPr>
                <w:rFonts w:ascii="Arial" w:hAnsi="Arial" w:cs="Arial"/>
              </w:rPr>
              <w:t xml:space="preserve"> staining</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195AD" w14:textId="77777777" w:rsidR="00AE53F9" w:rsidRPr="000B7F05" w:rsidRDefault="00AE53F9" w:rsidP="00A57A38">
            <w:pPr>
              <w:pStyle w:val="Body"/>
              <w:rPr>
                <w:rFonts w:ascii="Arial" w:hAnsi="Arial" w:cs="Arial"/>
              </w:rPr>
            </w:pPr>
            <w:r w:rsidRPr="000B7F05">
              <w:rPr>
                <w:rFonts w:ascii="Arial" w:hAnsi="Arial" w:cs="Arial"/>
              </w:rPr>
              <w:t>Differentiated fast vs. slow-twitch fibers based on histochemical myosin isoform patterns.</w:t>
            </w:r>
          </w:p>
        </w:tc>
      </w:tr>
      <w:tr w:rsidR="000B7F05" w:rsidRPr="000B7F05" w14:paraId="1E0114F9" w14:textId="77777777" w:rsidTr="00AE53F9">
        <w:trPr>
          <w:trHeight w:val="88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5ECE8" w14:textId="77777777" w:rsidR="00AE53F9" w:rsidRPr="000B7F05" w:rsidRDefault="00AE53F9" w:rsidP="00A57A38">
            <w:pPr>
              <w:pStyle w:val="Body"/>
              <w:rPr>
                <w:rFonts w:ascii="Arial" w:hAnsi="Arial" w:cs="Arial"/>
              </w:rPr>
            </w:pPr>
            <w:r w:rsidRPr="000B7F05">
              <w:rPr>
                <w:rFonts w:ascii="Arial" w:hAnsi="Arial" w:cs="Arial"/>
              </w:rPr>
              <w:lastRenderedPageBreak/>
              <w:t xml:space="preserve">Wang </w:t>
            </w:r>
            <w:r w:rsidRPr="000B7F05">
              <w:rPr>
                <w:rFonts w:ascii="Arial" w:hAnsi="Arial" w:cs="Arial"/>
                <w:i/>
                <w:iCs/>
              </w:rPr>
              <w:t>et al.,</w:t>
            </w:r>
            <w:r w:rsidRPr="000B7F05">
              <w:rPr>
                <w:rFonts w:ascii="Arial" w:hAnsi="Arial" w:cs="Arial"/>
              </w:rPr>
              <w:t>2022</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E47D7" w14:textId="77777777" w:rsidR="00AE53F9" w:rsidRPr="000B7F05" w:rsidRDefault="00AE53F9" w:rsidP="00A57A38">
            <w:pPr>
              <w:pStyle w:val="Body"/>
              <w:rPr>
                <w:rFonts w:ascii="Arial" w:hAnsi="Arial" w:cs="Arial"/>
              </w:rPr>
            </w:pPr>
            <w:r w:rsidRPr="000B7F05">
              <w:rPr>
                <w:rFonts w:ascii="Arial" w:hAnsi="Arial" w:cs="Arial"/>
              </w:rPr>
              <w:t>Advances in detection methods</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6C87D" w14:textId="77777777" w:rsidR="00AE53F9" w:rsidRPr="000B7F05" w:rsidRDefault="00AE53F9" w:rsidP="00A57A38">
            <w:pPr>
              <w:pStyle w:val="Body"/>
              <w:rPr>
                <w:rFonts w:ascii="Arial" w:hAnsi="Arial" w:cs="Arial"/>
              </w:rPr>
            </w:pPr>
            <w:r w:rsidRPr="000B7F05">
              <w:rPr>
                <w:rFonts w:ascii="Arial" w:hAnsi="Arial" w:cs="Arial"/>
              </w:rPr>
              <w:t>Broad protein panels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644E4" w14:textId="77777777" w:rsidR="00AE53F9" w:rsidRPr="000B7F05" w:rsidRDefault="00AE53F9" w:rsidP="00A57A38">
            <w:pPr>
              <w:pStyle w:val="Body"/>
              <w:rPr>
                <w:rFonts w:ascii="Arial" w:hAnsi="Arial" w:cs="Arial"/>
              </w:rPr>
            </w:pPr>
            <w:r w:rsidRPr="000B7F05">
              <w:rPr>
                <w:rFonts w:ascii="Arial" w:hAnsi="Arial" w:cs="Arial"/>
              </w:rPr>
              <w:t>Multiplex immunohistochemistry</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DC4BC" w14:textId="77777777" w:rsidR="00AE53F9" w:rsidRPr="000B7F05" w:rsidRDefault="00AE53F9" w:rsidP="00A57A38">
            <w:pPr>
              <w:pStyle w:val="Body"/>
              <w:rPr>
                <w:rFonts w:ascii="Arial" w:hAnsi="Arial" w:cs="Arial"/>
              </w:rPr>
            </w:pPr>
            <w:r w:rsidRPr="000B7F05">
              <w:rPr>
                <w:rFonts w:ascii="Arial" w:hAnsi="Arial" w:cs="Arial"/>
              </w:rPr>
              <w:t>Improved multiplex staining enabled simultaneous detection of 6+ proteins in the same tissue section.</w:t>
            </w:r>
          </w:p>
        </w:tc>
      </w:tr>
      <w:tr w:rsidR="000B7F05" w:rsidRPr="000B7F05" w14:paraId="3928D90E" w14:textId="77777777" w:rsidTr="00AE53F9">
        <w:trPr>
          <w:trHeight w:val="88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E6289" w14:textId="77777777" w:rsidR="00AE53F9" w:rsidRPr="000B7F05" w:rsidRDefault="00AE53F9" w:rsidP="00A57A38">
            <w:pPr>
              <w:pStyle w:val="Body"/>
              <w:rPr>
                <w:rFonts w:ascii="Arial" w:hAnsi="Arial" w:cs="Arial"/>
              </w:rPr>
            </w:pPr>
            <w:r w:rsidRPr="000B7F05">
              <w:rPr>
                <w:rFonts w:ascii="Arial" w:hAnsi="Arial" w:cs="Arial"/>
              </w:rPr>
              <w:t xml:space="preserve">Martins </w:t>
            </w:r>
            <w:r w:rsidRPr="000B7F05">
              <w:rPr>
                <w:rFonts w:ascii="Arial" w:hAnsi="Arial" w:cs="Arial"/>
                <w:i/>
                <w:iCs/>
              </w:rPr>
              <w:t>et al.,</w:t>
            </w:r>
            <w:r w:rsidRPr="000B7F05">
              <w:rPr>
                <w:rFonts w:ascii="Arial" w:hAnsi="Arial" w:cs="Arial"/>
              </w:rPr>
              <w:t>2023</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6DF96" w14:textId="77777777" w:rsidR="00AE53F9" w:rsidRPr="000B7F05" w:rsidRDefault="00AE53F9" w:rsidP="00A57A38">
            <w:pPr>
              <w:pStyle w:val="Body"/>
              <w:rPr>
                <w:rFonts w:ascii="Arial" w:hAnsi="Arial" w:cs="Arial"/>
              </w:rPr>
            </w:pPr>
            <w:r w:rsidRPr="000B7F05">
              <w:rPr>
                <w:rFonts w:ascii="Arial" w:hAnsi="Arial" w:cs="Arial"/>
              </w:rPr>
              <w:t>Lipid-protein interactions</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C51B7" w14:textId="77777777" w:rsidR="00AE53F9" w:rsidRPr="000B7F05" w:rsidRDefault="00AE53F9" w:rsidP="00A57A38">
            <w:pPr>
              <w:pStyle w:val="Body"/>
              <w:rPr>
                <w:rFonts w:ascii="Arial" w:hAnsi="Arial" w:cs="Arial"/>
              </w:rPr>
            </w:pPr>
            <w:r w:rsidRPr="000B7F05">
              <w:rPr>
                <w:rFonts w:ascii="Arial" w:hAnsi="Arial" w:cs="Arial"/>
              </w:rPr>
              <w:t>Apolipoproteins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79340" w14:textId="77777777" w:rsidR="00AE53F9" w:rsidRPr="000B7F05" w:rsidRDefault="00AE53F9" w:rsidP="00A57A38">
            <w:pPr>
              <w:pStyle w:val="Body"/>
              <w:rPr>
                <w:rFonts w:ascii="Arial" w:hAnsi="Arial" w:cs="Arial"/>
              </w:rPr>
            </w:pPr>
            <w:r w:rsidRPr="000B7F05">
              <w:rPr>
                <w:rFonts w:ascii="Arial" w:hAnsi="Arial" w:cs="Arial"/>
              </w:rPr>
              <w:t>IHC, Immunogold TEM</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8D9D0" w14:textId="77777777" w:rsidR="00AE53F9" w:rsidRPr="000B7F05" w:rsidRDefault="00AE53F9" w:rsidP="00A57A38">
            <w:pPr>
              <w:pStyle w:val="Body"/>
              <w:rPr>
                <w:rFonts w:ascii="Arial" w:hAnsi="Arial" w:cs="Arial"/>
              </w:rPr>
            </w:pPr>
            <w:r w:rsidRPr="000B7F05">
              <w:rPr>
                <w:rFonts w:ascii="Arial" w:hAnsi="Arial" w:cs="Arial"/>
              </w:rPr>
              <w:t>Reported apolipoprotein clustering in atherosclerotic plaques, highlighting protein–lipid crosstalk.</w:t>
            </w:r>
          </w:p>
        </w:tc>
      </w:tr>
      <w:tr w:rsidR="000B7F05" w:rsidRPr="000B7F05" w14:paraId="59A3998B" w14:textId="77777777" w:rsidTr="00AE53F9">
        <w:trPr>
          <w:trHeight w:val="936"/>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BB56A" w14:textId="77777777" w:rsidR="00AE53F9" w:rsidRPr="000B7F05" w:rsidRDefault="00AE53F9" w:rsidP="00A57A38">
            <w:pPr>
              <w:pStyle w:val="Body"/>
              <w:rPr>
                <w:rFonts w:ascii="Arial" w:hAnsi="Arial" w:cs="Arial"/>
              </w:rPr>
            </w:pPr>
            <w:r w:rsidRPr="000B7F05">
              <w:rPr>
                <w:rFonts w:ascii="Arial" w:hAnsi="Arial" w:cs="Arial"/>
              </w:rPr>
              <w:t xml:space="preserve">Chukwu </w:t>
            </w:r>
            <w:r w:rsidRPr="000B7F05">
              <w:rPr>
                <w:rFonts w:ascii="Arial" w:hAnsi="Arial" w:cs="Arial"/>
                <w:i/>
                <w:iCs/>
              </w:rPr>
              <w:t>et al.,</w:t>
            </w:r>
            <w:r w:rsidRPr="000B7F05">
              <w:rPr>
                <w:rFonts w:ascii="Arial" w:hAnsi="Arial" w:cs="Arial"/>
              </w:rPr>
              <w:t>2024</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BA0B7" w14:textId="77777777" w:rsidR="00AE53F9" w:rsidRPr="000B7F05" w:rsidRDefault="00AE53F9" w:rsidP="00A57A38">
            <w:pPr>
              <w:pStyle w:val="Body"/>
              <w:rPr>
                <w:rFonts w:ascii="Arial" w:hAnsi="Arial" w:cs="Arial"/>
              </w:rPr>
            </w:pPr>
            <w:r w:rsidRPr="000B7F05">
              <w:rPr>
                <w:rFonts w:ascii="Arial" w:hAnsi="Arial" w:cs="Arial"/>
              </w:rPr>
              <w:t>Ethnic variations in protein histochemistry</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15409" w14:textId="77777777" w:rsidR="00AE53F9" w:rsidRPr="000B7F05" w:rsidRDefault="00AE53F9" w:rsidP="00A57A38">
            <w:pPr>
              <w:pStyle w:val="Body"/>
              <w:rPr>
                <w:rFonts w:ascii="Arial" w:hAnsi="Arial" w:cs="Arial"/>
              </w:rPr>
            </w:pPr>
            <w:r w:rsidRPr="000B7F05">
              <w:rPr>
                <w:rFonts w:ascii="Arial" w:hAnsi="Arial" w:cs="Arial"/>
              </w:rPr>
              <w:t>Keratin, Collagen</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1C904" w14:textId="77777777" w:rsidR="00AE53F9" w:rsidRPr="000B7F05" w:rsidRDefault="00AE53F9" w:rsidP="00A57A38">
            <w:pPr>
              <w:pStyle w:val="Body"/>
              <w:rPr>
                <w:rFonts w:ascii="Arial" w:hAnsi="Arial" w:cs="Arial"/>
              </w:rPr>
            </w:pPr>
            <w:r w:rsidRPr="000B7F05">
              <w:rPr>
                <w:rFonts w:ascii="Arial" w:hAnsi="Arial" w:cs="Arial"/>
              </w:rPr>
              <w:t>IHC, Histochemical staining</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98016" w14:textId="77777777" w:rsidR="00AE53F9" w:rsidRPr="000B7F05" w:rsidRDefault="00AE53F9" w:rsidP="00A57A38">
            <w:pPr>
              <w:pStyle w:val="Body"/>
              <w:rPr>
                <w:rFonts w:ascii="Arial" w:hAnsi="Arial" w:cs="Arial"/>
              </w:rPr>
            </w:pPr>
            <w:r w:rsidRPr="000B7F05">
              <w:rPr>
                <w:rFonts w:ascii="Arial" w:hAnsi="Arial" w:cs="Arial"/>
              </w:rPr>
              <w:t>Demonstrated subtle histological variations in skin keratinization patterns across populations.</w:t>
            </w:r>
          </w:p>
        </w:tc>
      </w:tr>
      <w:tr w:rsidR="00AE53F9" w:rsidRPr="000B7F05" w14:paraId="713580EA" w14:textId="77777777" w:rsidTr="00AE53F9">
        <w:trPr>
          <w:trHeight w:val="950"/>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64342" w14:textId="77777777" w:rsidR="00AE53F9" w:rsidRPr="000B7F05" w:rsidRDefault="00AE53F9" w:rsidP="00A57A38">
            <w:pPr>
              <w:pStyle w:val="Body"/>
              <w:rPr>
                <w:rFonts w:ascii="Arial" w:hAnsi="Arial" w:cs="Arial"/>
              </w:rPr>
            </w:pPr>
            <w:r w:rsidRPr="000B7F05">
              <w:rPr>
                <w:rFonts w:ascii="Arial" w:hAnsi="Arial" w:cs="Arial"/>
              </w:rPr>
              <w:t xml:space="preserve">Nguyen </w:t>
            </w:r>
            <w:r w:rsidRPr="000B7F05">
              <w:rPr>
                <w:rFonts w:ascii="Arial" w:hAnsi="Arial" w:cs="Arial"/>
                <w:i/>
                <w:iCs/>
              </w:rPr>
              <w:t>et al.,</w:t>
            </w:r>
            <w:r w:rsidRPr="000B7F05">
              <w:rPr>
                <w:rFonts w:ascii="Arial" w:hAnsi="Arial" w:cs="Arial"/>
              </w:rPr>
              <w:t>2025</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F2C0B" w14:textId="77777777" w:rsidR="00AE53F9" w:rsidRPr="000B7F05" w:rsidRDefault="00AE53F9" w:rsidP="00A57A38">
            <w:pPr>
              <w:pStyle w:val="Body"/>
              <w:rPr>
                <w:rFonts w:ascii="Arial" w:hAnsi="Arial" w:cs="Arial"/>
              </w:rPr>
            </w:pPr>
            <w:r w:rsidRPr="000B7F05">
              <w:rPr>
                <w:rFonts w:ascii="Arial" w:hAnsi="Arial" w:cs="Arial"/>
              </w:rPr>
              <w:t>Protein biomarkers in oncology</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97F94" w14:textId="77777777" w:rsidR="00AE53F9" w:rsidRPr="000B7F05" w:rsidRDefault="00AE53F9" w:rsidP="00A57A38">
            <w:pPr>
              <w:pStyle w:val="Body"/>
              <w:rPr>
                <w:rFonts w:ascii="Arial" w:hAnsi="Arial" w:cs="Arial"/>
              </w:rPr>
            </w:pPr>
            <w:r w:rsidRPr="000B7F05">
              <w:rPr>
                <w:rFonts w:ascii="Arial" w:hAnsi="Arial" w:cs="Arial"/>
              </w:rPr>
              <w:t>p53, HER2</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04BF4" w14:textId="77777777" w:rsidR="00AE53F9" w:rsidRPr="000B7F05" w:rsidRDefault="00AE53F9" w:rsidP="00A57A38">
            <w:pPr>
              <w:pStyle w:val="Body"/>
              <w:rPr>
                <w:rFonts w:ascii="Arial" w:hAnsi="Arial" w:cs="Arial"/>
              </w:rPr>
            </w:pPr>
            <w:r w:rsidRPr="000B7F05">
              <w:rPr>
                <w:rFonts w:ascii="Arial" w:hAnsi="Arial" w:cs="Arial"/>
              </w:rPr>
              <w:t>Automated digital IHC analysis</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E746E" w14:textId="77777777" w:rsidR="00AE53F9" w:rsidRPr="000B7F05" w:rsidRDefault="00AE53F9" w:rsidP="00A57A38">
            <w:pPr>
              <w:pStyle w:val="Body"/>
              <w:rPr>
                <w:rFonts w:ascii="Arial" w:hAnsi="Arial" w:cs="Arial"/>
              </w:rPr>
            </w:pPr>
            <w:r w:rsidRPr="000B7F05">
              <w:rPr>
                <w:rFonts w:ascii="Arial" w:hAnsi="Arial" w:cs="Arial"/>
              </w:rPr>
              <w:t>Validated AI-driven histochemistry as more accurate in quantifying biomarker expression than manual scoring.</w:t>
            </w:r>
          </w:p>
        </w:tc>
      </w:tr>
    </w:tbl>
    <w:p w14:paraId="2C9F92DC" w14:textId="77777777" w:rsidR="00AE53F9" w:rsidRPr="000B7F05" w:rsidRDefault="00AE53F9" w:rsidP="00AE53F9">
      <w:pPr>
        <w:pStyle w:val="Body"/>
        <w:widowControl w:val="0"/>
        <w:spacing w:before="100" w:after="100"/>
        <w:rPr>
          <w:rFonts w:ascii="Arial" w:hAnsi="Arial" w:cs="Arial"/>
        </w:rPr>
      </w:pPr>
    </w:p>
    <w:p w14:paraId="00D1D386" w14:textId="77777777" w:rsidR="00AE53F9" w:rsidRPr="000B7F05" w:rsidRDefault="00AE53F9" w:rsidP="00AE53F9">
      <w:pPr>
        <w:pStyle w:val="Body"/>
        <w:spacing w:before="280" w:after="80"/>
        <w:outlineLvl w:val="2"/>
        <w:rPr>
          <w:rFonts w:ascii="Arial" w:hAnsi="Arial" w:cs="Arial"/>
          <w:b/>
          <w:bCs/>
        </w:rPr>
      </w:pPr>
      <w:r w:rsidRPr="000B7F05">
        <w:rPr>
          <w:rFonts w:ascii="Arial" w:hAnsi="Arial" w:cs="Arial"/>
          <w:b/>
          <w:bCs/>
          <w:u w:color="000000"/>
        </w:rPr>
        <w:t>Discussion</w:t>
      </w:r>
    </w:p>
    <w:p w14:paraId="5AFDDE7A"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Across the studies included in this review, investigators consistently described a field in rapid transition from traditional single-plex, chromogenic immunohistochemistry (IHC) toward high-plex, spatially resolved protein mapping methods capable of preserving tissue architecture. Research groups working with cyclic antibody-based platforms, such as CODEX, repeatedly demonstrated that scaling beyond 3–4 markers per slide reveals previously inaccessible cellular states and microenvironmental relationships. Lu </w:t>
      </w:r>
      <w:r w:rsidRPr="000B7F05">
        <w:rPr>
          <w:rFonts w:ascii="Arial" w:hAnsi="Arial" w:cs="Arial"/>
          <w:i/>
        </w:rPr>
        <w:t xml:space="preserve"> et al</w:t>
      </w:r>
      <w:r w:rsidRPr="000B7F05">
        <w:rPr>
          <w:rFonts w:ascii="Arial" w:hAnsi="Arial" w:cs="Arial"/>
        </w:rPr>
        <w:t>. (2023</w:t>
      </w:r>
      <w:commentRangeStart w:id="21"/>
      <w:r w:rsidRPr="000B7F05">
        <w:rPr>
          <w:rFonts w:ascii="Arial" w:hAnsi="Arial" w:cs="Arial"/>
        </w:rPr>
        <w:t>) summarized that DNA-barcoded antibody cycling enables routine visualization of 30–60 proteins in FFPE and fresh-frozen tissues without compromising histological integrity</w:t>
      </w:r>
      <w:commentRangeEnd w:id="21"/>
      <w:r w:rsidR="00E02B97">
        <w:rPr>
          <w:rStyle w:val="CommentReference"/>
          <w:rFonts w:ascii="Times New Roman" w:hAnsi="Times New Roman"/>
          <w:lang w:val="nb-NO" w:eastAsia="nb-NO"/>
        </w:rPr>
        <w:commentReference w:id="21"/>
      </w:r>
      <w:r w:rsidRPr="000B7F05">
        <w:rPr>
          <w:rFonts w:ascii="Arial" w:hAnsi="Arial" w:cs="Arial"/>
        </w:rPr>
        <w:t>, emphasizing that high-plex performance depends heavily on strict antibody validation, robust image registration, and optimal signal unmixing workflows.</w:t>
      </w:r>
    </w:p>
    <w:p w14:paraId="584CE53B" w14:textId="4B7E17B4" w:rsidR="009437CD" w:rsidRPr="000B7F05" w:rsidRDefault="009437CD" w:rsidP="009437CD">
      <w:pPr>
        <w:tabs>
          <w:tab w:val="left" w:pos="709"/>
        </w:tabs>
        <w:spacing w:line="360" w:lineRule="auto"/>
        <w:jc w:val="both"/>
        <w:rPr>
          <w:rFonts w:ascii="Arial" w:hAnsi="Arial" w:cs="Arial"/>
        </w:rPr>
      </w:pPr>
      <w:commentRangeStart w:id="22"/>
      <w:r w:rsidRPr="000B7F05">
        <w:rPr>
          <w:rFonts w:ascii="Arial" w:hAnsi="Arial" w:cs="Arial"/>
        </w:rPr>
        <w:t>Parallel developments were seen in imaging mass cytometry (IMC) and related metal-tag–based platforms</w:t>
      </w:r>
      <w:commentRangeEnd w:id="22"/>
      <w:r w:rsidR="00E02B97">
        <w:rPr>
          <w:rStyle w:val="CommentReference"/>
          <w:rFonts w:ascii="Times New Roman" w:hAnsi="Times New Roman"/>
          <w:lang w:val="nb-NO" w:eastAsia="nb-NO"/>
        </w:rPr>
        <w:commentReference w:id="22"/>
      </w:r>
      <w:r w:rsidRPr="000B7F05">
        <w:rPr>
          <w:rFonts w:ascii="Arial" w:hAnsi="Arial" w:cs="Arial"/>
        </w:rPr>
        <w:t xml:space="preserve">. Studies reported that IMC achieves comparable or higher </w:t>
      </w:r>
      <w:proofErr w:type="spellStart"/>
      <w:r w:rsidRPr="000B7F05">
        <w:rPr>
          <w:rFonts w:ascii="Arial" w:hAnsi="Arial" w:cs="Arial"/>
        </w:rPr>
        <w:t>plexity</w:t>
      </w:r>
      <w:proofErr w:type="spellEnd"/>
      <w:r w:rsidRPr="000B7F05">
        <w:rPr>
          <w:rFonts w:ascii="Arial" w:hAnsi="Arial" w:cs="Arial"/>
        </w:rPr>
        <w:t xml:space="preserve"> than fluorescence-based cycling methods by circumventing spectral overlap and tissue autofluorescence. However, they also noted that ablation-driven imaging introduces trade-offs in speed, field of view, and throughput. </w:t>
      </w:r>
      <w:r w:rsidR="00206EC5" w:rsidRPr="000B7F05">
        <w:rPr>
          <w:rFonts w:ascii="Arial" w:hAnsi="Arial" w:cs="Arial"/>
        </w:rPr>
        <w:t>Ali</w:t>
      </w:r>
      <w:r w:rsidRPr="000B7F05">
        <w:rPr>
          <w:rFonts w:ascii="Arial" w:hAnsi="Arial" w:cs="Arial"/>
        </w:rPr>
        <w:t xml:space="preserve"> </w:t>
      </w:r>
      <w:r w:rsidRPr="000B7F05">
        <w:rPr>
          <w:rFonts w:ascii="Arial" w:hAnsi="Arial" w:cs="Arial"/>
          <w:i/>
        </w:rPr>
        <w:t xml:space="preserve"> et al</w:t>
      </w:r>
      <w:r w:rsidRPr="000B7F05">
        <w:rPr>
          <w:rFonts w:ascii="Arial" w:hAnsi="Arial" w:cs="Arial"/>
        </w:rPr>
        <w:t xml:space="preserve">. (2020) concluded that IMC is ideally suited </w:t>
      </w:r>
      <w:r w:rsidRPr="000B7F05">
        <w:rPr>
          <w:rFonts w:ascii="Arial" w:hAnsi="Arial" w:cs="Arial"/>
        </w:rPr>
        <w:lastRenderedPageBreak/>
        <w:t>to discovery-phase spatial proteomics and immune-microenvironment mapping, but clinical integration will require standardized antibody panels, uniform controls, and improved cross-site calibration.</w:t>
      </w:r>
    </w:p>
    <w:p w14:paraId="1902EC64"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A second major theme concerned the tension between methodological innovation and clinical rigor. Clinically, pathologists still rely on single-plex protein assays including HER2, ER/PR, Ki-67, and PD-L1 which have well-validated pre-analytical requirements and interpretive frameworks. The ASCO/CAP HER2 guideline update (Wolff </w:t>
      </w:r>
      <w:r w:rsidRPr="000B7F05">
        <w:rPr>
          <w:rFonts w:ascii="Arial" w:hAnsi="Arial" w:cs="Arial"/>
          <w:i/>
        </w:rPr>
        <w:t xml:space="preserve"> et al</w:t>
      </w:r>
      <w:r w:rsidRPr="000B7F05">
        <w:rPr>
          <w:rFonts w:ascii="Arial" w:hAnsi="Arial" w:cs="Arial"/>
        </w:rPr>
        <w:t xml:space="preserve">., 2018) illustrated how fixation time, ischemic delay, and decalcification influence staining accuracy frequently cited as a template for evaluating any emerging protein biomarker. More recently, multidisciplinary consensus papers continued to stress that even familiar markers require strict control of antibody clones, scoring criteria, and platform-specific variables to achieve acceptable reproducibility (Dowsett </w:t>
      </w:r>
      <w:r w:rsidRPr="000B7F05">
        <w:rPr>
          <w:rFonts w:ascii="Arial" w:hAnsi="Arial" w:cs="Arial"/>
          <w:i/>
        </w:rPr>
        <w:t xml:space="preserve"> et al</w:t>
      </w:r>
      <w:r w:rsidRPr="000B7F05">
        <w:rPr>
          <w:rFonts w:ascii="Arial" w:hAnsi="Arial" w:cs="Arial"/>
        </w:rPr>
        <w:t>., 2021).</w:t>
      </w:r>
    </w:p>
    <w:p w14:paraId="203377A5"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Within this heavily regulated clinical environment, PD-L1 emerged as the archetypal assay illustrating the limits of interchangeability. </w:t>
      </w:r>
      <w:proofErr w:type="spellStart"/>
      <w:r w:rsidRPr="000B7F05">
        <w:rPr>
          <w:rFonts w:ascii="Arial" w:hAnsi="Arial" w:cs="Arial"/>
        </w:rPr>
        <w:t>Torlakovic</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 (2020) reported that although several PD-L1 assays correlate at the population level, variations in antibody clone, staining platform, and scoring cutoffs lead to clinically meaningful discrepancies at the individual-patient level particularly around therapeutic thresholds such as TPS 1% and 50%. These findings underscore that PD-L1 assay selection must align with the companion diagnostic validated in clinical trials.</w:t>
      </w:r>
    </w:p>
    <w:p w14:paraId="7181BB12" w14:textId="5CFF9591"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Digital image analysis (DIA) and artificial intelligence (AI) were repeatedly cited as promising solutions to improve scoring reproducibility. Studies showed that DIA improves inter-observer agreement for membrane (HER2) and nuclear (ER/PR, Ki-67) markers and permits transparent documentation of thresholds and QC metadata (</w:t>
      </w:r>
      <w:r w:rsidR="00B31250" w:rsidRPr="000B7F05">
        <w:rPr>
          <w:rFonts w:ascii="Arial" w:hAnsi="Arial" w:cs="Arial"/>
        </w:rPr>
        <w:t>Pulaski et al., 2025</w:t>
      </w:r>
      <w:r w:rsidRPr="000B7F05">
        <w:rPr>
          <w:rFonts w:ascii="Arial" w:hAnsi="Arial" w:cs="Arial"/>
        </w:rPr>
        <w:t xml:space="preserve">). AI-driven approaches particularly deep learning were reported to reduce errors due to stain variability and artifacts when trained across multicenter datasets. However, authors consistently warned about dataset shift, scanner variability, and the necessity of external validation before clinical deployment (Abels </w:t>
      </w:r>
      <w:r w:rsidRPr="000B7F05">
        <w:rPr>
          <w:rFonts w:ascii="Arial" w:hAnsi="Arial" w:cs="Arial"/>
          <w:i/>
        </w:rPr>
        <w:t xml:space="preserve"> et al</w:t>
      </w:r>
      <w:r w:rsidRPr="000B7F05">
        <w:rPr>
          <w:rFonts w:ascii="Arial" w:hAnsi="Arial" w:cs="Arial"/>
        </w:rPr>
        <w:t xml:space="preserve">., 2019; </w:t>
      </w:r>
      <w:r w:rsidR="00B31250" w:rsidRPr="000B7F05">
        <w:rPr>
          <w:rFonts w:ascii="Arial" w:hAnsi="Arial" w:cs="Arial"/>
        </w:rPr>
        <w:t>Pulaski et al., 2025</w:t>
      </w:r>
      <w:r w:rsidRPr="000B7F05">
        <w:rPr>
          <w:rFonts w:ascii="Arial" w:hAnsi="Arial" w:cs="Arial"/>
        </w:rPr>
        <w:t>). The widely shared consensus is pragmatic: DIA is already beneficial for difficult borderline cases, whereas AI remains promising but requires rigorous locked-algorithm validation.</w:t>
      </w:r>
    </w:p>
    <w:p w14:paraId="18F2A258" w14:textId="77777777" w:rsidR="009437CD" w:rsidRPr="000B7F05" w:rsidRDefault="009437CD" w:rsidP="009437CD">
      <w:pPr>
        <w:tabs>
          <w:tab w:val="left" w:pos="709"/>
        </w:tabs>
        <w:spacing w:line="360" w:lineRule="auto"/>
        <w:jc w:val="both"/>
        <w:rPr>
          <w:rFonts w:ascii="Arial" w:hAnsi="Arial" w:cs="Arial"/>
        </w:rPr>
      </w:pPr>
      <w:commentRangeStart w:id="23"/>
      <w:r w:rsidRPr="000B7F05">
        <w:rPr>
          <w:rFonts w:ascii="Arial" w:hAnsi="Arial" w:cs="Arial"/>
        </w:rPr>
        <w:t xml:space="preserve">The reproducibility challenge was frequently illustrated through Ki-67. </w:t>
      </w:r>
      <w:commentRangeEnd w:id="23"/>
      <w:r w:rsidR="00E02B97">
        <w:rPr>
          <w:rStyle w:val="CommentReference"/>
          <w:rFonts w:ascii="Times New Roman" w:hAnsi="Times New Roman"/>
          <w:lang w:val="nb-NO" w:eastAsia="nb-NO"/>
        </w:rPr>
        <w:commentReference w:id="23"/>
      </w:r>
      <w:r w:rsidRPr="000B7F05">
        <w:rPr>
          <w:rFonts w:ascii="Arial" w:hAnsi="Arial" w:cs="Arial"/>
        </w:rPr>
        <w:t xml:space="preserve">After extensive multi-site comparison exercises, the International Ki67 Working Group concluded that visual scoring is reproducible mainly at expression extremes (≤5% or ≥30%), with intermediate values showing problematic variability. Their 2021 guideline recommended restricting clinical use to extreme ranges while relying on controlled validation for research and trial settings (Dowsett </w:t>
      </w:r>
      <w:r w:rsidRPr="000B7F05">
        <w:rPr>
          <w:rFonts w:ascii="Arial" w:hAnsi="Arial" w:cs="Arial"/>
          <w:i/>
        </w:rPr>
        <w:t xml:space="preserve"> et al</w:t>
      </w:r>
      <w:r w:rsidRPr="000B7F05">
        <w:rPr>
          <w:rFonts w:ascii="Arial" w:hAnsi="Arial" w:cs="Arial"/>
        </w:rPr>
        <w:t>., 2021). This position has been echoed in subsequent practice reviews, tying the adoption of AI-assisted Ki-67 scoring to evidence-based calibration rather than informal concordance.</w:t>
      </w:r>
    </w:p>
    <w:p w14:paraId="2F4AC6BD" w14:textId="0333DC42" w:rsidR="009437CD" w:rsidRPr="000B7F05" w:rsidRDefault="009437CD" w:rsidP="009437CD">
      <w:pPr>
        <w:tabs>
          <w:tab w:val="left" w:pos="709"/>
        </w:tabs>
        <w:spacing w:line="360" w:lineRule="auto"/>
        <w:jc w:val="both"/>
        <w:rPr>
          <w:rFonts w:ascii="Arial" w:hAnsi="Arial" w:cs="Arial"/>
        </w:rPr>
      </w:pPr>
      <w:commentRangeStart w:id="24"/>
      <w:r w:rsidRPr="000B7F05">
        <w:rPr>
          <w:rFonts w:ascii="Arial" w:hAnsi="Arial" w:cs="Arial"/>
        </w:rPr>
        <w:lastRenderedPageBreak/>
        <w:t>A broader conceptual shift reframed protein histochemistry as part of integrated spatial biology rather than a stand-alone discipline</w:t>
      </w:r>
      <w:commentRangeEnd w:id="24"/>
      <w:r w:rsidR="00E02B97">
        <w:rPr>
          <w:rStyle w:val="CommentReference"/>
          <w:rFonts w:ascii="Times New Roman" w:hAnsi="Times New Roman"/>
          <w:lang w:val="nb-NO" w:eastAsia="nb-NO"/>
        </w:rPr>
        <w:commentReference w:id="24"/>
      </w:r>
      <w:r w:rsidRPr="000B7F05">
        <w:rPr>
          <w:rFonts w:ascii="Arial" w:hAnsi="Arial" w:cs="Arial"/>
        </w:rPr>
        <w:t xml:space="preserve">. Reviews on digital spatial profiling (DSP) and spatial proteomics emphasized that profiling dozens to hundreds of proteins within morphologically defined regions supports hypothesis-driven interrogation of stromal niches, invasive fronts, and immune aggregates (Hickey </w:t>
      </w:r>
      <w:r w:rsidRPr="000B7F05">
        <w:rPr>
          <w:rFonts w:ascii="Arial" w:hAnsi="Arial" w:cs="Arial"/>
          <w:i/>
        </w:rPr>
        <w:t>et al</w:t>
      </w:r>
      <w:r w:rsidRPr="000B7F05">
        <w:rPr>
          <w:rFonts w:ascii="Arial" w:hAnsi="Arial" w:cs="Arial"/>
        </w:rPr>
        <w:t xml:space="preserve">., 2022). Methodological tutorials comparing cyclic immunofluorescence, IMC, MIBI-TOF, and DNA-barcoded systems highlighted trade-offs among </w:t>
      </w:r>
      <w:proofErr w:type="spellStart"/>
      <w:r w:rsidRPr="000B7F05">
        <w:rPr>
          <w:rFonts w:ascii="Arial" w:hAnsi="Arial" w:cs="Arial"/>
        </w:rPr>
        <w:t>plexity</w:t>
      </w:r>
      <w:proofErr w:type="spellEnd"/>
      <w:r w:rsidRPr="000B7F05">
        <w:rPr>
          <w:rFonts w:ascii="Arial" w:hAnsi="Arial" w:cs="Arial"/>
        </w:rPr>
        <w:t>, imaging speed, resolution, and FFPE compatibility, recommending platform selection based on specific biological or diagnostic questions (</w:t>
      </w:r>
      <w:proofErr w:type="spellStart"/>
      <w:r w:rsidR="00206EC5" w:rsidRPr="000B7F05">
        <w:rPr>
          <w:rFonts w:ascii="Arial" w:hAnsi="Arial" w:cs="Arial"/>
        </w:rPr>
        <w:t>Goltsev</w:t>
      </w:r>
      <w:proofErr w:type="spellEnd"/>
      <w:r w:rsidR="00206EC5" w:rsidRPr="000B7F05">
        <w:rPr>
          <w:rFonts w:ascii="Arial" w:hAnsi="Arial" w:cs="Arial"/>
        </w:rPr>
        <w:t xml:space="preserve"> and Nolan, 2023</w:t>
      </w:r>
      <w:r w:rsidRPr="000B7F05">
        <w:rPr>
          <w:rFonts w:ascii="Arial" w:hAnsi="Arial" w:cs="Arial"/>
        </w:rPr>
        <w:t>).</w:t>
      </w:r>
    </w:p>
    <w:p w14:paraId="62B7000C" w14:textId="47F22D8A" w:rsidR="009437CD" w:rsidRPr="000B7F05" w:rsidRDefault="009437CD" w:rsidP="009437CD">
      <w:pPr>
        <w:tabs>
          <w:tab w:val="left" w:pos="709"/>
        </w:tabs>
        <w:spacing w:line="360" w:lineRule="auto"/>
        <w:jc w:val="both"/>
        <w:rPr>
          <w:rFonts w:ascii="Arial" w:hAnsi="Arial" w:cs="Arial"/>
        </w:rPr>
      </w:pPr>
      <w:commentRangeStart w:id="25"/>
      <w:r w:rsidRPr="000B7F05">
        <w:rPr>
          <w:rFonts w:ascii="Arial" w:hAnsi="Arial" w:cs="Arial"/>
        </w:rPr>
        <w:t xml:space="preserve">Beyond 2D imaging, tissue clearing and volumetric IHC gained prominence. </w:t>
      </w:r>
      <w:r w:rsidR="00C82FC4" w:rsidRPr="000B7F05">
        <w:rPr>
          <w:rFonts w:ascii="Arial" w:hAnsi="Arial" w:cs="Arial"/>
        </w:rPr>
        <w:t>Mai</w:t>
      </w:r>
      <w:r w:rsidRPr="000B7F05">
        <w:rPr>
          <w:rFonts w:ascii="Arial" w:hAnsi="Arial" w:cs="Arial"/>
        </w:rPr>
        <w:t xml:space="preserve"> </w:t>
      </w:r>
      <w:r w:rsidRPr="000B7F05">
        <w:rPr>
          <w:rFonts w:ascii="Arial" w:hAnsi="Arial" w:cs="Arial"/>
          <w:i/>
        </w:rPr>
        <w:t xml:space="preserve"> et al</w:t>
      </w:r>
      <w:r w:rsidRPr="000B7F05">
        <w:rPr>
          <w:rFonts w:ascii="Arial" w:hAnsi="Arial" w:cs="Arial"/>
        </w:rPr>
        <w:t xml:space="preserve">. (2022) </w:t>
      </w:r>
      <w:commentRangeEnd w:id="25"/>
      <w:r w:rsidR="00E02B97">
        <w:rPr>
          <w:rStyle w:val="CommentReference"/>
          <w:rFonts w:ascii="Times New Roman" w:hAnsi="Times New Roman"/>
          <w:lang w:val="nb-NO" w:eastAsia="nb-NO"/>
        </w:rPr>
        <w:commentReference w:id="25"/>
      </w:r>
      <w:r w:rsidRPr="000B7F05">
        <w:rPr>
          <w:rFonts w:ascii="Arial" w:hAnsi="Arial" w:cs="Arial"/>
        </w:rPr>
        <w:t xml:space="preserve">showed that 3D histology techniques such as CUBIC and </w:t>
      </w:r>
      <w:proofErr w:type="spellStart"/>
      <w:r w:rsidRPr="000B7F05">
        <w:rPr>
          <w:rFonts w:ascii="Arial" w:hAnsi="Arial" w:cs="Arial"/>
        </w:rPr>
        <w:t>iDISCO</w:t>
      </w:r>
      <w:proofErr w:type="spellEnd"/>
      <w:r w:rsidRPr="000B7F05">
        <w:rPr>
          <w:rFonts w:ascii="Arial" w:hAnsi="Arial" w:cs="Arial"/>
        </w:rPr>
        <w:t>+ enable visualization of large-scale protein architectures including vasculature, neural tracts, and ductal networks that are distorted or invisible in thin sections. Nevertheless, challenges such as antibody penetration, epitope stability, and long imaging times remain barriers to widespread clinical adoption, especially in archival FFPE samples.</w:t>
      </w:r>
    </w:p>
    <w:p w14:paraId="2189BFD3" w14:textId="77777777" w:rsidR="009437CD" w:rsidRPr="000B7F05" w:rsidRDefault="009437CD" w:rsidP="009437CD">
      <w:pPr>
        <w:tabs>
          <w:tab w:val="left" w:pos="709"/>
        </w:tabs>
        <w:spacing w:line="360" w:lineRule="auto"/>
        <w:jc w:val="both"/>
        <w:rPr>
          <w:rFonts w:ascii="Arial" w:hAnsi="Arial" w:cs="Arial"/>
        </w:rPr>
      </w:pPr>
      <w:commentRangeStart w:id="26"/>
      <w:r w:rsidRPr="000B7F05">
        <w:rPr>
          <w:rFonts w:ascii="Arial" w:hAnsi="Arial" w:cs="Arial"/>
        </w:rPr>
        <w:t xml:space="preserve">Across all modalities, the same technical vulnerabilities were repeatedly identified: pre-analytical variability (ischemia, fixation duration, decalcification), </w:t>
      </w:r>
      <w:commentRangeEnd w:id="26"/>
      <w:r w:rsidR="00672FF3">
        <w:rPr>
          <w:rStyle w:val="CommentReference"/>
          <w:rFonts w:ascii="Times New Roman" w:hAnsi="Times New Roman"/>
          <w:lang w:val="nb-NO" w:eastAsia="nb-NO"/>
        </w:rPr>
        <w:commentReference w:id="26"/>
      </w:r>
      <w:r w:rsidRPr="000B7F05">
        <w:rPr>
          <w:rFonts w:ascii="Arial" w:hAnsi="Arial" w:cs="Arial"/>
        </w:rPr>
        <w:t xml:space="preserve">antibody lot-to-lot differences, and ambiguous interpretation rules. Guideline papers urged laboratories to document pre-analytics, apply validated controls, and establish decision frameworks such as reflex testing (e.g., HER2 ISH follow-up for equivocal IHC), drug-linked PD-L1 assays, and strict scoring algorithms (Wolff </w:t>
      </w:r>
      <w:r w:rsidRPr="000B7F05">
        <w:rPr>
          <w:rFonts w:ascii="Arial" w:hAnsi="Arial" w:cs="Arial"/>
          <w:i/>
        </w:rPr>
        <w:t xml:space="preserve"> et al</w:t>
      </w:r>
      <w:r w:rsidRPr="000B7F05">
        <w:rPr>
          <w:rFonts w:ascii="Arial" w:hAnsi="Arial" w:cs="Arial"/>
        </w:rPr>
        <w:t xml:space="preserve">., 2018; </w:t>
      </w:r>
      <w:proofErr w:type="spellStart"/>
      <w:r w:rsidRPr="000B7F05">
        <w:rPr>
          <w:rFonts w:ascii="Arial" w:hAnsi="Arial" w:cs="Arial"/>
        </w:rPr>
        <w:t>Torlakovic</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 2020). They emphasized that multiplex adoption requires full local validation including linearity, limit of detection, precision, and inter-operator concordance not merely visually appealing multi-color images.</w:t>
      </w:r>
    </w:p>
    <w:p w14:paraId="3C90D7F8" w14:textId="3C0F1FC4"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Overall, the trajectory of protein histochemistry is clear: the field is becoming more quantitative, spatially explicit, and deeply integrative with genomics and transcriptomics. Reviewers predicted that the most immediate clinical gains will arise where spatial proteomics complements equivocal single-plex results such as heterogeneous HER2-low tumors or patchy PD-L1 staining or where microenvironmental context stratifies patients more effectively than bulk biomarkers. Still, they cautioned that successful translation depends on transparent validation, reproducible reagents, and robust computational pipelines capable of cross-site deployment (</w:t>
      </w:r>
      <w:proofErr w:type="spellStart"/>
      <w:r w:rsidR="00206EC5" w:rsidRPr="000B7F05">
        <w:rPr>
          <w:rFonts w:ascii="Arial" w:hAnsi="Arial" w:cs="Arial"/>
        </w:rPr>
        <w:t>Goltsev</w:t>
      </w:r>
      <w:proofErr w:type="spellEnd"/>
      <w:r w:rsidR="00206EC5" w:rsidRPr="000B7F05">
        <w:rPr>
          <w:rFonts w:ascii="Arial" w:hAnsi="Arial" w:cs="Arial"/>
        </w:rPr>
        <w:t xml:space="preserve"> and Nolan, 2023</w:t>
      </w:r>
      <w:r w:rsidRPr="000B7F05">
        <w:rPr>
          <w:rFonts w:ascii="Arial" w:hAnsi="Arial" w:cs="Arial"/>
        </w:rPr>
        <w:t xml:space="preserve">; </w:t>
      </w:r>
      <w:r w:rsidR="00B31250" w:rsidRPr="000B7F05">
        <w:rPr>
          <w:rFonts w:ascii="Arial" w:hAnsi="Arial" w:cs="Arial"/>
        </w:rPr>
        <w:t>Pulaski et al., 2025</w:t>
      </w:r>
      <w:r w:rsidRPr="000B7F05">
        <w:rPr>
          <w:rFonts w:ascii="Arial" w:hAnsi="Arial" w:cs="Arial"/>
        </w:rPr>
        <w:t>).</w:t>
      </w:r>
    </w:p>
    <w:p w14:paraId="7CCCF9D9" w14:textId="77777777" w:rsidR="00AE53F9" w:rsidRPr="000B7F05" w:rsidRDefault="00AE53F9" w:rsidP="00AE53F9">
      <w:pPr>
        <w:pStyle w:val="Body"/>
        <w:rPr>
          <w:rFonts w:ascii="Arial" w:hAnsi="Arial" w:cs="Arial"/>
        </w:rPr>
      </w:pPr>
      <w:r w:rsidRPr="000B7F05">
        <w:rPr>
          <w:rFonts w:ascii="Arial" w:eastAsia="Arial Unicode MS" w:hAnsi="Arial" w:cs="Arial"/>
        </w:rPr>
        <w:br w:type="page"/>
      </w:r>
    </w:p>
    <w:p w14:paraId="5E99ED4C" w14:textId="77777777" w:rsidR="00B01FCD" w:rsidRPr="000B7F05" w:rsidRDefault="00000F8F" w:rsidP="00441B6F">
      <w:pPr>
        <w:pStyle w:val="ConcHead"/>
        <w:spacing w:after="0"/>
        <w:jc w:val="both"/>
        <w:rPr>
          <w:rFonts w:ascii="Arial" w:hAnsi="Arial" w:cs="Arial"/>
        </w:rPr>
      </w:pPr>
      <w:r w:rsidRPr="000B7F05">
        <w:rPr>
          <w:rFonts w:ascii="Arial" w:hAnsi="Arial" w:cs="Arial"/>
        </w:rPr>
        <w:lastRenderedPageBreak/>
        <w:t xml:space="preserve">4. </w:t>
      </w:r>
      <w:r w:rsidR="00B01FCD" w:rsidRPr="000B7F05">
        <w:rPr>
          <w:rFonts w:ascii="Arial" w:hAnsi="Arial" w:cs="Arial"/>
        </w:rPr>
        <w:t>Conclusion</w:t>
      </w:r>
    </w:p>
    <w:p w14:paraId="52315300" w14:textId="77777777" w:rsidR="00790ADA" w:rsidRPr="000B7F05" w:rsidRDefault="00790ADA" w:rsidP="00441B6F">
      <w:pPr>
        <w:pStyle w:val="ConcHead"/>
        <w:spacing w:after="0"/>
        <w:jc w:val="both"/>
        <w:rPr>
          <w:rFonts w:ascii="Arial" w:hAnsi="Arial" w:cs="Arial"/>
        </w:rPr>
      </w:pPr>
    </w:p>
    <w:p w14:paraId="57DA1554" w14:textId="77777777" w:rsidR="009437CD" w:rsidRPr="000B7F05" w:rsidRDefault="009437CD" w:rsidP="009437CD">
      <w:pPr>
        <w:tabs>
          <w:tab w:val="left" w:pos="709"/>
        </w:tabs>
        <w:spacing w:line="360" w:lineRule="auto"/>
        <w:jc w:val="both"/>
        <w:rPr>
          <w:rFonts w:ascii="Arial" w:hAnsi="Arial" w:cs="Arial"/>
        </w:rPr>
      </w:pPr>
      <w:commentRangeStart w:id="27"/>
      <w:r w:rsidRPr="000B7F05">
        <w:rPr>
          <w:rFonts w:ascii="Arial" w:hAnsi="Arial" w:cs="Arial"/>
        </w:rPr>
        <w:t>Protein histochemistry has undergone a remarkable transformation in the last decade. What began as a discipline rooted in classic dye-based staining has now grown into an advanced</w:t>
      </w:r>
      <w:commentRangeEnd w:id="27"/>
      <w:r w:rsidR="00672FF3">
        <w:rPr>
          <w:rStyle w:val="CommentReference"/>
          <w:rFonts w:ascii="Times New Roman" w:hAnsi="Times New Roman"/>
          <w:lang w:val="nb-NO" w:eastAsia="nb-NO"/>
        </w:rPr>
        <w:commentReference w:id="27"/>
      </w:r>
      <w:r w:rsidRPr="000B7F05">
        <w:rPr>
          <w:rFonts w:ascii="Arial" w:hAnsi="Arial" w:cs="Arial"/>
        </w:rPr>
        <w:t>, technology-driven field capable of revealing the rich and intricate landscape of proteins within tissues. Throughout the reviewed studies, one theme becomes unmistakably clear: we are no longer limited to simply seeing proteins we can now interpret them with far greater precision, depth, and spatial awareness.</w:t>
      </w:r>
    </w:p>
    <w:p w14:paraId="647112ED" w14:textId="77777777" w:rsidR="009437CD" w:rsidRPr="000B7F05" w:rsidRDefault="009437CD" w:rsidP="009437CD">
      <w:pPr>
        <w:tabs>
          <w:tab w:val="left" w:pos="709"/>
        </w:tabs>
        <w:spacing w:line="360" w:lineRule="auto"/>
        <w:jc w:val="both"/>
        <w:rPr>
          <w:rFonts w:ascii="Arial" w:hAnsi="Arial" w:cs="Arial"/>
        </w:rPr>
      </w:pPr>
      <w:commentRangeStart w:id="28"/>
      <w:r w:rsidRPr="000B7F05">
        <w:rPr>
          <w:rFonts w:ascii="Arial" w:hAnsi="Arial" w:cs="Arial"/>
        </w:rPr>
        <w:t>Traditional methods like bromophenol blue or routine immunohistochemistry continue to serve as the backbone of many laboratories because of their familiarity</w:t>
      </w:r>
      <w:commentRangeEnd w:id="28"/>
      <w:r w:rsidR="00016C87">
        <w:rPr>
          <w:rStyle w:val="CommentReference"/>
          <w:rFonts w:ascii="Times New Roman" w:hAnsi="Times New Roman"/>
          <w:lang w:val="nb-NO" w:eastAsia="nb-NO"/>
        </w:rPr>
        <w:commentReference w:id="28"/>
      </w:r>
      <w:r w:rsidRPr="000B7F05">
        <w:rPr>
          <w:rFonts w:ascii="Arial" w:hAnsi="Arial" w:cs="Arial"/>
        </w:rPr>
        <w:t>, affordability, and reliability. Yet, new tools</w:t>
      </w:r>
      <w:r w:rsidRPr="000B7F05">
        <w:rPr>
          <w:rFonts w:ascii="Arial" w:hAnsi="Arial" w:cs="Arial"/>
          <w:i/>
        </w:rPr>
        <w:t xml:space="preserve"> </w:t>
      </w:r>
      <w:r w:rsidRPr="000B7F05">
        <w:rPr>
          <w:rFonts w:ascii="Arial" w:hAnsi="Arial" w:cs="Arial"/>
        </w:rPr>
        <w:t>multiplex IHC, imaging mass cytometry, digital spatial profiling, and AI-assisted image analysis</w:t>
      </w:r>
      <w:r w:rsidRPr="000B7F05">
        <w:rPr>
          <w:rFonts w:ascii="Arial" w:hAnsi="Arial" w:cs="Arial"/>
          <w:i/>
        </w:rPr>
        <w:t xml:space="preserve"> </w:t>
      </w:r>
      <w:r w:rsidRPr="000B7F05">
        <w:rPr>
          <w:rFonts w:ascii="Arial" w:hAnsi="Arial" w:cs="Arial"/>
        </w:rPr>
        <w:t>have expanded what protein histochemistry can offer. These innovations allow scientists and clinicians to examine how proteins interact, how diseases reshape tissue architecture, and how microenvironments influence biological behavior. They help convert static snapshots of tissue into dynamic, information-rich maps.</w:t>
      </w:r>
    </w:p>
    <w:p w14:paraId="60EFFF03"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However, progress has not come without challenges. </w:t>
      </w:r>
      <w:commentRangeStart w:id="29"/>
      <w:r w:rsidRPr="000B7F05">
        <w:rPr>
          <w:rFonts w:ascii="Arial" w:hAnsi="Arial" w:cs="Arial"/>
        </w:rPr>
        <w:t>Across the literature, researchers repeatedly voiced concerns about reproducibility. Something as simple as fixation time or antibody lot differences can alter staining outcomes. High-plex platforms and AI tools</w:t>
      </w:r>
      <w:commentRangeEnd w:id="29"/>
      <w:r w:rsidR="00016C87">
        <w:rPr>
          <w:rStyle w:val="CommentReference"/>
          <w:rFonts w:ascii="Times New Roman" w:hAnsi="Times New Roman"/>
          <w:lang w:val="nb-NO" w:eastAsia="nb-NO"/>
        </w:rPr>
        <w:commentReference w:id="29"/>
      </w:r>
      <w:r w:rsidRPr="000B7F05">
        <w:rPr>
          <w:rFonts w:ascii="Arial" w:hAnsi="Arial" w:cs="Arial"/>
        </w:rPr>
        <w:t>, although powerful, require careful validation, standardization, and cross-center calibration before they can be fully trusted in clinical settings. Biomarkers such as HER2, PD-L1, and Ki-67 further remind us that even well-established protein assays require rigorous control and cautious interpretation.</w:t>
      </w:r>
    </w:p>
    <w:p w14:paraId="72170C06"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Despite these hurdles, the direction of the field is clear and exciting. Protein histochemistry is steadily becoming more quantitative, more spatially informative, and more tightly integrated with genomic and proteomic science. As digital pathology continues to mature and laboratories adopt more harmonized practices, histochemical analysis of proteins will increasingly guide personalized medicine, refine diagnostic pathways, and support discoveries in both basic and clinical research.</w:t>
      </w:r>
    </w:p>
    <w:p w14:paraId="79353EA2"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In essence, protein histochemistry is no longer just a technique it is an evolving language that helps us read the biological stories written inside tissues. With continued innovation and thoughtful standardization, this field is well positioned to shape the future of biomedical science and precision diagnostics in meaningful, transformative ways.</w:t>
      </w:r>
    </w:p>
    <w:p w14:paraId="398A4D32" w14:textId="77777777" w:rsidR="00790ADA" w:rsidRPr="000B7F05" w:rsidRDefault="00790ADA" w:rsidP="00441B6F">
      <w:pPr>
        <w:pStyle w:val="Body"/>
        <w:spacing w:after="0"/>
        <w:rPr>
          <w:rFonts w:ascii="Arial" w:hAnsi="Arial" w:cs="Arial"/>
        </w:rPr>
      </w:pPr>
    </w:p>
    <w:p w14:paraId="09C05A86" w14:textId="77777777" w:rsidR="00B01FCD" w:rsidRPr="000B7F05" w:rsidRDefault="00B01FCD" w:rsidP="00441B6F">
      <w:pPr>
        <w:pStyle w:val="ReferHead"/>
        <w:spacing w:after="0"/>
        <w:jc w:val="both"/>
        <w:rPr>
          <w:rFonts w:ascii="Arial" w:hAnsi="Arial" w:cs="Arial"/>
        </w:rPr>
      </w:pPr>
      <w:r w:rsidRPr="000B7F05">
        <w:rPr>
          <w:rFonts w:ascii="Arial" w:hAnsi="Arial" w:cs="Arial"/>
        </w:rPr>
        <w:lastRenderedPageBreak/>
        <w:t>References</w:t>
      </w:r>
    </w:p>
    <w:p w14:paraId="335D749D" w14:textId="77777777" w:rsidR="00790ADA" w:rsidRPr="000B7F05" w:rsidRDefault="00790ADA" w:rsidP="00441B6F">
      <w:pPr>
        <w:pStyle w:val="ReferHead"/>
        <w:spacing w:after="0"/>
        <w:jc w:val="both"/>
        <w:rPr>
          <w:rFonts w:ascii="Arial" w:hAnsi="Arial" w:cs="Arial"/>
        </w:rPr>
      </w:pPr>
    </w:p>
    <w:p w14:paraId="6DC878A3" w14:textId="32A7E546" w:rsidR="00860CED" w:rsidRPr="000B7F05" w:rsidRDefault="00860CED" w:rsidP="00C9704A">
      <w:pPr>
        <w:pStyle w:val="NormalWeb"/>
        <w:jc w:val="both"/>
        <w:rPr>
          <w:rFonts w:ascii="Arial" w:hAnsi="Arial" w:cs="Arial"/>
        </w:rPr>
      </w:pPr>
      <w:r w:rsidRPr="000B7F05">
        <w:rPr>
          <w:rFonts w:ascii="Arial" w:hAnsi="Arial" w:cs="Arial"/>
          <w:shd w:val="clear" w:color="auto" w:fill="FFFFFF"/>
        </w:rPr>
        <w:t xml:space="preserve">Ali, H.R., Jackson, H.W., Zanotelli, V.R.T., Danenberg, E., Fischer, J.R., Bardwell, H., Provenzano, E. (2020) CRUK IMAXT Grand Challenge Team; Rueda OM, Chin SF, Aparicio S, Caldas C, Bodenmiller B. Imaging mass cytometry and multiplatform genomics define the </w:t>
      </w:r>
      <w:proofErr w:type="spellStart"/>
      <w:r w:rsidRPr="000B7F05">
        <w:rPr>
          <w:rFonts w:ascii="Arial" w:hAnsi="Arial" w:cs="Arial"/>
          <w:shd w:val="clear" w:color="auto" w:fill="FFFFFF"/>
        </w:rPr>
        <w:t>phenogenomic</w:t>
      </w:r>
      <w:proofErr w:type="spellEnd"/>
      <w:r w:rsidRPr="000B7F05">
        <w:rPr>
          <w:rFonts w:ascii="Arial" w:hAnsi="Arial" w:cs="Arial"/>
          <w:shd w:val="clear" w:color="auto" w:fill="FFFFFF"/>
        </w:rPr>
        <w:t xml:space="preserve"> landscape of breast cancer. Nature Cancer. 1(2):163-175.</w:t>
      </w:r>
      <w:r w:rsidR="0034513F">
        <w:rPr>
          <w:rFonts w:ascii="Arial" w:hAnsi="Arial" w:cs="Arial"/>
          <w:shd w:val="clear" w:color="auto" w:fill="FFFFFF"/>
        </w:rPr>
        <w:t xml:space="preserve"> </w:t>
      </w:r>
      <w:hyperlink r:id="rId15" w:history="1">
        <w:r w:rsidR="0034513F" w:rsidRPr="00CF1A7E">
          <w:rPr>
            <w:rStyle w:val="Hyperlink"/>
            <w:rFonts w:ascii="Arial" w:hAnsi="Arial" w:cs="Arial"/>
            <w:shd w:val="clear" w:color="auto" w:fill="FFFFFF"/>
          </w:rPr>
          <w:t>https://doi.org/10.1038/s43018-020-0026-6</w:t>
        </w:r>
      </w:hyperlink>
      <w:r w:rsidR="0034513F">
        <w:rPr>
          <w:rFonts w:ascii="Arial" w:hAnsi="Arial" w:cs="Arial"/>
          <w:shd w:val="clear" w:color="auto" w:fill="FFFFFF"/>
        </w:rPr>
        <w:t xml:space="preserve"> </w:t>
      </w:r>
    </w:p>
    <w:p w14:paraId="3EC8EFEA" w14:textId="42B9D45B" w:rsidR="00860CED" w:rsidRPr="000B7F05" w:rsidRDefault="00860CED" w:rsidP="00D92761">
      <w:pPr>
        <w:pStyle w:val="NormalWeb"/>
        <w:jc w:val="both"/>
        <w:rPr>
          <w:rFonts w:ascii="Arial" w:hAnsi="Arial" w:cs="Arial"/>
          <w:b/>
        </w:rPr>
      </w:pPr>
      <w:proofErr w:type="spellStart"/>
      <w:r w:rsidRPr="000B7F05">
        <w:rPr>
          <w:rStyle w:val="Strong"/>
          <w:rFonts w:ascii="Arial" w:hAnsi="Arial" w:cs="Arial"/>
          <w:b w:val="0"/>
        </w:rPr>
        <w:t>Amgad</w:t>
      </w:r>
      <w:proofErr w:type="spellEnd"/>
      <w:r w:rsidRPr="000B7F05">
        <w:rPr>
          <w:rStyle w:val="Strong"/>
          <w:rFonts w:ascii="Arial" w:hAnsi="Arial" w:cs="Arial"/>
          <w:b w:val="0"/>
        </w:rPr>
        <w:t xml:space="preserve">, M., </w:t>
      </w:r>
      <w:proofErr w:type="spellStart"/>
      <w:r w:rsidRPr="000B7F05">
        <w:rPr>
          <w:rStyle w:val="Strong"/>
          <w:rFonts w:ascii="Arial" w:hAnsi="Arial" w:cs="Arial"/>
          <w:b w:val="0"/>
        </w:rPr>
        <w:t>Elfandy</w:t>
      </w:r>
      <w:proofErr w:type="spellEnd"/>
      <w:r w:rsidRPr="000B7F05">
        <w:rPr>
          <w:rStyle w:val="Strong"/>
          <w:rFonts w:ascii="Arial" w:hAnsi="Arial" w:cs="Arial"/>
          <w:b w:val="0"/>
        </w:rPr>
        <w:t xml:space="preserve">, H., Hussein, H., </w:t>
      </w:r>
      <w:proofErr w:type="spellStart"/>
      <w:r w:rsidRPr="000B7F05">
        <w:rPr>
          <w:rStyle w:val="Strong"/>
          <w:rFonts w:ascii="Arial" w:hAnsi="Arial" w:cs="Arial"/>
          <w:b w:val="0"/>
        </w:rPr>
        <w:t>Atteya</w:t>
      </w:r>
      <w:proofErr w:type="spellEnd"/>
      <w:r w:rsidRPr="000B7F05">
        <w:rPr>
          <w:rStyle w:val="Strong"/>
          <w:rFonts w:ascii="Arial" w:hAnsi="Arial" w:cs="Arial"/>
          <w:b w:val="0"/>
        </w:rPr>
        <w:t xml:space="preserve">, L.A., </w:t>
      </w:r>
      <w:proofErr w:type="spellStart"/>
      <w:r w:rsidRPr="000B7F05">
        <w:rPr>
          <w:rStyle w:val="Strong"/>
          <w:rFonts w:ascii="Arial" w:hAnsi="Arial" w:cs="Arial"/>
          <w:b w:val="0"/>
        </w:rPr>
        <w:t>Elsebaie</w:t>
      </w:r>
      <w:proofErr w:type="spellEnd"/>
      <w:r w:rsidRPr="000B7F05">
        <w:rPr>
          <w:rStyle w:val="Strong"/>
          <w:rFonts w:ascii="Arial" w:hAnsi="Arial" w:cs="Arial"/>
          <w:b w:val="0"/>
        </w:rPr>
        <w:t xml:space="preserve">, M.A.T., Abo </w:t>
      </w:r>
      <w:proofErr w:type="spellStart"/>
      <w:r w:rsidRPr="000B7F05">
        <w:rPr>
          <w:rStyle w:val="Strong"/>
          <w:rFonts w:ascii="Arial" w:hAnsi="Arial" w:cs="Arial"/>
          <w:b w:val="0"/>
        </w:rPr>
        <w:t>Elnasr</w:t>
      </w:r>
      <w:proofErr w:type="spellEnd"/>
      <w:r w:rsidRPr="000B7F05">
        <w:rPr>
          <w:rStyle w:val="Strong"/>
          <w:rFonts w:ascii="Arial" w:hAnsi="Arial" w:cs="Arial"/>
          <w:b w:val="0"/>
        </w:rPr>
        <w:t xml:space="preserve">, L.S., Sakr, R.A., Salem, H.S.E., Ismail, A.F., Saad, A.M., Ahmed, J., </w:t>
      </w:r>
      <w:proofErr w:type="spellStart"/>
      <w:r w:rsidRPr="000B7F05">
        <w:rPr>
          <w:rStyle w:val="Strong"/>
          <w:rFonts w:ascii="Arial" w:hAnsi="Arial" w:cs="Arial"/>
          <w:b w:val="0"/>
        </w:rPr>
        <w:t>Elsebaie</w:t>
      </w:r>
      <w:proofErr w:type="spellEnd"/>
      <w:r w:rsidRPr="000B7F05">
        <w:rPr>
          <w:rStyle w:val="Strong"/>
          <w:rFonts w:ascii="Arial" w:hAnsi="Arial" w:cs="Arial"/>
          <w:b w:val="0"/>
        </w:rPr>
        <w:t xml:space="preserve">, M.A.T., Rahman, M., Ruhban, I.A., </w:t>
      </w:r>
      <w:proofErr w:type="spellStart"/>
      <w:r w:rsidRPr="000B7F05">
        <w:rPr>
          <w:rStyle w:val="Strong"/>
          <w:rFonts w:ascii="Arial" w:hAnsi="Arial" w:cs="Arial"/>
          <w:b w:val="0"/>
        </w:rPr>
        <w:t>Elgazar</w:t>
      </w:r>
      <w:proofErr w:type="spellEnd"/>
      <w:r w:rsidRPr="000B7F05">
        <w:rPr>
          <w:rStyle w:val="Strong"/>
          <w:rFonts w:ascii="Arial" w:hAnsi="Arial" w:cs="Arial"/>
          <w:b w:val="0"/>
        </w:rPr>
        <w:t xml:space="preserve">, N.M., Alagha, Y., Osman, M.H., </w:t>
      </w:r>
      <w:proofErr w:type="spellStart"/>
      <w:r w:rsidRPr="000B7F05">
        <w:rPr>
          <w:rStyle w:val="Strong"/>
          <w:rFonts w:ascii="Arial" w:hAnsi="Arial" w:cs="Arial"/>
          <w:b w:val="0"/>
        </w:rPr>
        <w:t>Alhusseiny</w:t>
      </w:r>
      <w:proofErr w:type="spellEnd"/>
      <w:r w:rsidRPr="000B7F05">
        <w:rPr>
          <w:rStyle w:val="Strong"/>
          <w:rFonts w:ascii="Arial" w:hAnsi="Arial" w:cs="Arial"/>
          <w:b w:val="0"/>
        </w:rPr>
        <w:t xml:space="preserve">, A.M., Khalaf, M.M., Younes, A.F., Abdulkarim, A., Younes, D.M., </w:t>
      </w:r>
      <w:proofErr w:type="spellStart"/>
      <w:r w:rsidRPr="000B7F05">
        <w:rPr>
          <w:rStyle w:val="Strong"/>
          <w:rFonts w:ascii="Arial" w:hAnsi="Arial" w:cs="Arial"/>
          <w:b w:val="0"/>
        </w:rPr>
        <w:t>Gadallah</w:t>
      </w:r>
      <w:proofErr w:type="spellEnd"/>
      <w:r w:rsidRPr="000B7F05">
        <w:rPr>
          <w:rStyle w:val="Strong"/>
          <w:rFonts w:ascii="Arial" w:hAnsi="Arial" w:cs="Arial"/>
          <w:b w:val="0"/>
        </w:rPr>
        <w:t xml:space="preserve">, A.M., </w:t>
      </w:r>
      <w:proofErr w:type="spellStart"/>
      <w:r w:rsidRPr="000B7F05">
        <w:rPr>
          <w:rStyle w:val="Strong"/>
          <w:rFonts w:ascii="Arial" w:hAnsi="Arial" w:cs="Arial"/>
          <w:b w:val="0"/>
        </w:rPr>
        <w:t>Elkashash</w:t>
      </w:r>
      <w:proofErr w:type="spellEnd"/>
      <w:r w:rsidRPr="000B7F05">
        <w:rPr>
          <w:rStyle w:val="Strong"/>
          <w:rFonts w:ascii="Arial" w:hAnsi="Arial" w:cs="Arial"/>
          <w:b w:val="0"/>
        </w:rPr>
        <w:t xml:space="preserve">, A.M., Fala, S.Y., Zaki, B.M., Beezley, J., </w:t>
      </w:r>
      <w:proofErr w:type="spellStart"/>
      <w:r w:rsidRPr="000B7F05">
        <w:rPr>
          <w:rStyle w:val="Strong"/>
          <w:rFonts w:ascii="Arial" w:hAnsi="Arial" w:cs="Arial"/>
          <w:b w:val="0"/>
        </w:rPr>
        <w:t>Chittajallu</w:t>
      </w:r>
      <w:proofErr w:type="spellEnd"/>
      <w:r w:rsidRPr="000B7F05">
        <w:rPr>
          <w:rStyle w:val="Strong"/>
          <w:rFonts w:ascii="Arial" w:hAnsi="Arial" w:cs="Arial"/>
          <w:b w:val="0"/>
        </w:rPr>
        <w:t xml:space="preserve">, D.R., Manthey, D., Gutman, D.A. &amp; Cooper, L.A.D. (2019). Structured crowdsourcing enables </w:t>
      </w:r>
      <w:proofErr w:type="spellStart"/>
      <w:r w:rsidRPr="000B7F05">
        <w:rPr>
          <w:rStyle w:val="Strong"/>
          <w:rFonts w:ascii="Arial" w:hAnsi="Arial" w:cs="Arial"/>
          <w:b w:val="0"/>
        </w:rPr>
        <w:t>convolutio</w:t>
      </w:r>
      <w:proofErr w:type="spellEnd"/>
      <w:r w:rsidR="0034513F">
        <w:rPr>
          <w:rStyle w:val="Strong"/>
          <w:rFonts w:ascii="Arial" w:hAnsi="Arial" w:cs="Arial"/>
          <w:b w:val="0"/>
        </w:rPr>
        <w:t xml:space="preserve"> </w:t>
      </w:r>
      <w:proofErr w:type="spellStart"/>
      <w:r w:rsidRPr="000B7F05">
        <w:rPr>
          <w:rStyle w:val="Strong"/>
          <w:rFonts w:ascii="Arial" w:hAnsi="Arial" w:cs="Arial"/>
          <w:b w:val="0"/>
        </w:rPr>
        <w:t>nal</w:t>
      </w:r>
      <w:proofErr w:type="spellEnd"/>
      <w:r w:rsidRPr="000B7F05">
        <w:rPr>
          <w:rStyle w:val="Strong"/>
          <w:rFonts w:ascii="Arial" w:hAnsi="Arial" w:cs="Arial"/>
          <w:b w:val="0"/>
        </w:rPr>
        <w:t xml:space="preserve"> segmentation of histology images. </w:t>
      </w:r>
      <w:r w:rsidRPr="000B7F05">
        <w:rPr>
          <w:rStyle w:val="Emphasis"/>
          <w:rFonts w:ascii="Arial" w:hAnsi="Arial" w:cs="Arial"/>
          <w:b/>
          <w:bCs/>
        </w:rPr>
        <w:t>Bioinformatics</w:t>
      </w:r>
      <w:r w:rsidRPr="000B7F05">
        <w:rPr>
          <w:rStyle w:val="Strong"/>
          <w:rFonts w:ascii="Arial" w:hAnsi="Arial" w:cs="Arial"/>
          <w:b w:val="0"/>
        </w:rPr>
        <w:t>, 35(18), 3461–3467.</w:t>
      </w:r>
      <w:r w:rsidR="0034513F">
        <w:rPr>
          <w:rStyle w:val="Strong"/>
          <w:rFonts w:ascii="Arial" w:hAnsi="Arial" w:cs="Arial"/>
          <w:b w:val="0"/>
        </w:rPr>
        <w:t xml:space="preserve"> </w:t>
      </w:r>
      <w:hyperlink r:id="rId16" w:history="1">
        <w:r w:rsidR="0034513F" w:rsidRPr="00CF1A7E">
          <w:rPr>
            <w:rStyle w:val="Hyperlink"/>
            <w:rFonts w:ascii="Arial" w:hAnsi="Arial" w:cs="Arial"/>
          </w:rPr>
          <w:t>https://doi.org/10.1093/bioinformatics/btz083</w:t>
        </w:r>
      </w:hyperlink>
      <w:r w:rsidR="0034513F">
        <w:rPr>
          <w:rStyle w:val="Strong"/>
          <w:rFonts w:ascii="Arial" w:hAnsi="Arial" w:cs="Arial"/>
          <w:b w:val="0"/>
        </w:rPr>
        <w:t xml:space="preserve"> </w:t>
      </w:r>
    </w:p>
    <w:p w14:paraId="3DA8B0A9" w14:textId="2EAC26A0" w:rsidR="00860CED" w:rsidRPr="000B7F05" w:rsidRDefault="00860CED" w:rsidP="00C9704A">
      <w:pPr>
        <w:pStyle w:val="NormalWeb"/>
        <w:jc w:val="both"/>
        <w:rPr>
          <w:rFonts w:ascii="Arial" w:hAnsi="Arial" w:cs="Arial"/>
        </w:rPr>
      </w:pPr>
      <w:r w:rsidRPr="000B7F05">
        <w:rPr>
          <w:rFonts w:ascii="Arial" w:hAnsi="Arial" w:cs="Arial"/>
          <w:shd w:val="clear" w:color="auto" w:fill="FFFFFF"/>
        </w:rPr>
        <w:t xml:space="preserve">de Souza, N., Zhao, S. and Bodenmiller, B. (2024) Multiplex protein imaging in </w:t>
      </w:r>
      <w:proofErr w:type="spellStart"/>
      <w:r w:rsidRPr="000B7F05">
        <w:rPr>
          <w:rFonts w:ascii="Arial" w:hAnsi="Arial" w:cs="Arial"/>
          <w:shd w:val="clear" w:color="auto" w:fill="FFFFFF"/>
        </w:rPr>
        <w:t>tumour</w:t>
      </w:r>
      <w:proofErr w:type="spellEnd"/>
      <w:r w:rsidRPr="000B7F05">
        <w:rPr>
          <w:rFonts w:ascii="Arial" w:hAnsi="Arial" w:cs="Arial"/>
          <w:shd w:val="clear" w:color="auto" w:fill="FFFFFF"/>
        </w:rPr>
        <w:t xml:space="preserve"> biology. </w:t>
      </w:r>
      <w:r w:rsidRPr="000B7F05">
        <w:rPr>
          <w:rFonts w:ascii="Arial" w:hAnsi="Arial" w:cs="Arial"/>
          <w:i/>
          <w:iCs/>
          <w:shd w:val="clear" w:color="auto" w:fill="FFFFFF"/>
        </w:rPr>
        <w:t>Nature Review Cancer</w:t>
      </w:r>
      <w:r w:rsidRPr="000B7F05">
        <w:rPr>
          <w:rFonts w:ascii="Arial" w:hAnsi="Arial" w:cs="Arial"/>
          <w:shd w:val="clear" w:color="auto" w:fill="FFFFFF"/>
        </w:rPr>
        <w:t> </w:t>
      </w:r>
      <w:r w:rsidRPr="000B7F05">
        <w:rPr>
          <w:rFonts w:ascii="Arial" w:hAnsi="Arial" w:cs="Arial"/>
          <w:b/>
          <w:bCs/>
          <w:shd w:val="clear" w:color="auto" w:fill="FFFFFF"/>
        </w:rPr>
        <w:t>24</w:t>
      </w:r>
      <w:r w:rsidRPr="000B7F05">
        <w:rPr>
          <w:rFonts w:ascii="Arial" w:hAnsi="Arial" w:cs="Arial"/>
          <w:shd w:val="clear" w:color="auto" w:fill="FFFFFF"/>
        </w:rPr>
        <w:t>:171–191.</w:t>
      </w:r>
      <w:r w:rsidR="0034513F">
        <w:rPr>
          <w:rFonts w:ascii="Arial" w:hAnsi="Arial" w:cs="Arial"/>
          <w:shd w:val="clear" w:color="auto" w:fill="FFFFFF"/>
        </w:rPr>
        <w:t xml:space="preserve"> </w:t>
      </w:r>
      <w:hyperlink r:id="rId17" w:history="1">
        <w:r w:rsidR="0034513F" w:rsidRPr="00CF1A7E">
          <w:rPr>
            <w:rStyle w:val="Hyperlink"/>
            <w:rFonts w:ascii="Arial" w:hAnsi="Arial" w:cs="Arial"/>
            <w:shd w:val="clear" w:color="auto" w:fill="FFFFFF"/>
          </w:rPr>
          <w:t>https://doi.org/10.1038/s41568-023-00657-4</w:t>
        </w:r>
      </w:hyperlink>
      <w:r w:rsidR="0034513F">
        <w:rPr>
          <w:rFonts w:ascii="Arial" w:hAnsi="Arial" w:cs="Arial"/>
          <w:shd w:val="clear" w:color="auto" w:fill="FFFFFF"/>
        </w:rPr>
        <w:t xml:space="preserve"> </w:t>
      </w:r>
    </w:p>
    <w:p w14:paraId="0B8E1645" w14:textId="0837A671" w:rsidR="00860CED" w:rsidRPr="000B7F05" w:rsidRDefault="00860CED" w:rsidP="00C9704A">
      <w:pPr>
        <w:pStyle w:val="NormalWeb"/>
        <w:jc w:val="both"/>
        <w:rPr>
          <w:rFonts w:ascii="Arial" w:hAnsi="Arial" w:cs="Arial"/>
          <w:shd w:val="clear" w:color="auto" w:fill="FFFFFF"/>
        </w:rPr>
      </w:pPr>
      <w:r w:rsidRPr="000B7F05">
        <w:rPr>
          <w:rFonts w:ascii="Arial" w:hAnsi="Arial" w:cs="Arial"/>
          <w:shd w:val="clear" w:color="auto" w:fill="FFFFFF"/>
        </w:rPr>
        <w:t xml:space="preserve">Delcambre, G.H., Liu, J., Herrington, J.M., Vallario, K. and Long, M.T. (2016). Immunohistochemistry for the detection of neural and inflammatory cells in equine brain tissue. Peer Journal. </w:t>
      </w:r>
      <w:r w:rsidRPr="000B7F05">
        <w:rPr>
          <w:rFonts w:ascii="Arial" w:hAnsi="Arial" w:cs="Arial"/>
          <w:b/>
          <w:shd w:val="clear" w:color="auto" w:fill="FFFFFF"/>
        </w:rPr>
        <w:t>25</w:t>
      </w:r>
      <w:r w:rsidRPr="000B7F05">
        <w:rPr>
          <w:rFonts w:ascii="Arial" w:hAnsi="Arial" w:cs="Arial"/>
          <w:shd w:val="clear" w:color="auto" w:fill="FFFFFF"/>
        </w:rPr>
        <w:t>(4):1601</w:t>
      </w:r>
      <w:r w:rsidR="0034513F">
        <w:rPr>
          <w:rFonts w:ascii="Arial" w:hAnsi="Arial" w:cs="Arial"/>
          <w:shd w:val="clear" w:color="auto" w:fill="FFFFFF"/>
        </w:rPr>
        <w:t xml:space="preserve"> </w:t>
      </w:r>
      <w:hyperlink r:id="rId18" w:history="1">
        <w:r w:rsidR="0034513F" w:rsidRPr="00CF1A7E">
          <w:rPr>
            <w:rStyle w:val="Hyperlink"/>
            <w:rFonts w:ascii="Arial" w:hAnsi="Arial" w:cs="Arial"/>
            <w:shd w:val="clear" w:color="auto" w:fill="FFFFFF"/>
          </w:rPr>
          <w:t>https://doi.org/10.7717/peerj.1601</w:t>
        </w:r>
      </w:hyperlink>
      <w:r w:rsidR="0034513F">
        <w:rPr>
          <w:rFonts w:ascii="Arial" w:hAnsi="Arial" w:cs="Arial"/>
          <w:shd w:val="clear" w:color="auto" w:fill="FFFFFF"/>
        </w:rPr>
        <w:t xml:space="preserve"> </w:t>
      </w:r>
    </w:p>
    <w:p w14:paraId="64F9047E" w14:textId="23AD4691" w:rsidR="00860CED" w:rsidRPr="000B7F05" w:rsidRDefault="00860CED" w:rsidP="00C9704A">
      <w:pPr>
        <w:pStyle w:val="NormalWeb"/>
        <w:jc w:val="both"/>
        <w:rPr>
          <w:rFonts w:ascii="Arial" w:hAnsi="Arial" w:cs="Arial"/>
        </w:rPr>
      </w:pPr>
      <w:r w:rsidRPr="000B7F05">
        <w:rPr>
          <w:rFonts w:ascii="Arial" w:hAnsi="Arial" w:cs="Arial"/>
        </w:rPr>
        <w:t xml:space="preserve">Dowsett, M., Nielsen, T.O., Rimm, D.L., Leung, S.C.Y., </w:t>
      </w:r>
      <w:proofErr w:type="spellStart"/>
      <w:r w:rsidRPr="000B7F05">
        <w:rPr>
          <w:rFonts w:ascii="Arial" w:hAnsi="Arial" w:cs="Arial"/>
        </w:rPr>
        <w:t>Acs</w:t>
      </w:r>
      <w:proofErr w:type="spellEnd"/>
      <w:r w:rsidRPr="000B7F05">
        <w:rPr>
          <w:rFonts w:ascii="Arial" w:hAnsi="Arial" w:cs="Arial"/>
        </w:rPr>
        <w:t xml:space="preserve">, B., </w:t>
      </w:r>
      <w:proofErr w:type="spellStart"/>
      <w:r w:rsidRPr="000B7F05">
        <w:rPr>
          <w:rFonts w:ascii="Arial" w:hAnsi="Arial" w:cs="Arial"/>
        </w:rPr>
        <w:t>A’Hern</w:t>
      </w:r>
      <w:proofErr w:type="spellEnd"/>
      <w:r w:rsidRPr="000B7F05">
        <w:rPr>
          <w:rFonts w:ascii="Arial" w:hAnsi="Arial" w:cs="Arial"/>
        </w:rPr>
        <w:t>, R., Bartlett, J., … Ellis, M.J. (2021). Assessment of Ki67 in breast cancer: Updated Recommendations from the International Ki67 in Breast Cancer Working Group. Journal of the National Cancer Institute, 113(7), 808–819.</w:t>
      </w:r>
      <w:r w:rsidR="0034513F">
        <w:rPr>
          <w:rFonts w:ascii="Arial" w:hAnsi="Arial" w:cs="Arial"/>
        </w:rPr>
        <w:t xml:space="preserve"> </w:t>
      </w:r>
      <w:hyperlink r:id="rId19" w:history="1">
        <w:r w:rsidR="0034513F" w:rsidRPr="00CF1A7E">
          <w:rPr>
            <w:rStyle w:val="Hyperlink"/>
            <w:rFonts w:ascii="Arial" w:hAnsi="Arial" w:cs="Arial"/>
          </w:rPr>
          <w:t>https://doi.org/10.1093/jnci/djaa201</w:t>
        </w:r>
      </w:hyperlink>
      <w:r w:rsidR="0034513F">
        <w:rPr>
          <w:rFonts w:ascii="Arial" w:hAnsi="Arial" w:cs="Arial"/>
        </w:rPr>
        <w:t xml:space="preserve"> </w:t>
      </w:r>
    </w:p>
    <w:p w14:paraId="402E5527" w14:textId="68D00213" w:rsidR="00860CED" w:rsidRPr="000B7F05" w:rsidRDefault="00860CED" w:rsidP="00856A0E">
      <w:pPr>
        <w:jc w:val="both"/>
        <w:rPr>
          <w:rFonts w:ascii="Arial" w:hAnsi="Arial" w:cs="Arial"/>
          <w:sz w:val="22"/>
          <w:szCs w:val="18"/>
        </w:rPr>
      </w:pPr>
      <w:r w:rsidRPr="000B7F05">
        <w:rPr>
          <w:rFonts w:ascii="Arial" w:hAnsi="Arial" w:cs="Arial"/>
          <w:sz w:val="22"/>
          <w:szCs w:val="18"/>
        </w:rPr>
        <w:t>El-</w:t>
      </w:r>
      <w:proofErr w:type="spellStart"/>
      <w:r w:rsidRPr="000B7F05">
        <w:rPr>
          <w:rFonts w:ascii="Arial" w:hAnsi="Arial" w:cs="Arial"/>
          <w:sz w:val="22"/>
          <w:szCs w:val="18"/>
        </w:rPr>
        <w:t>Sharkawy</w:t>
      </w:r>
      <w:proofErr w:type="spellEnd"/>
      <w:r w:rsidRPr="000B7F05">
        <w:rPr>
          <w:rFonts w:ascii="Arial" w:hAnsi="Arial" w:cs="Arial"/>
          <w:sz w:val="22"/>
          <w:szCs w:val="18"/>
        </w:rPr>
        <w:t>, S.L., Badawi, M.A., Abdelaal, W.E., &amp; Abbas, N.F. (2025). Overview of the histopathological and immunohistochemical characteristics of neuroendocrine neoplasms. Bulletin of the National Research Centre, 49(1), 29.</w:t>
      </w:r>
      <w:r w:rsidR="0034513F">
        <w:rPr>
          <w:rFonts w:ascii="Arial" w:hAnsi="Arial" w:cs="Arial"/>
          <w:sz w:val="22"/>
          <w:szCs w:val="18"/>
        </w:rPr>
        <w:t xml:space="preserve"> </w:t>
      </w:r>
      <w:hyperlink r:id="rId20" w:history="1">
        <w:r w:rsidR="0034513F" w:rsidRPr="00CF1A7E">
          <w:rPr>
            <w:rStyle w:val="Hyperlink"/>
            <w:rFonts w:ascii="Arial" w:hAnsi="Arial" w:cs="Arial"/>
            <w:sz w:val="22"/>
            <w:szCs w:val="18"/>
          </w:rPr>
          <w:t>https://doi.org/10.1186/s42269-025-01320-8</w:t>
        </w:r>
      </w:hyperlink>
      <w:r w:rsidR="0034513F">
        <w:rPr>
          <w:rFonts w:ascii="Arial" w:hAnsi="Arial" w:cs="Arial"/>
          <w:sz w:val="22"/>
          <w:szCs w:val="18"/>
        </w:rPr>
        <w:t xml:space="preserve"> </w:t>
      </w:r>
    </w:p>
    <w:p w14:paraId="4C858AEA" w14:textId="61913FDA" w:rsidR="00860CED" w:rsidRPr="000B7F05" w:rsidRDefault="00860CED" w:rsidP="00C9704A">
      <w:pPr>
        <w:pStyle w:val="NormalWeb"/>
        <w:jc w:val="both"/>
        <w:rPr>
          <w:rFonts w:ascii="Arial" w:hAnsi="Arial" w:cs="Arial"/>
          <w:shd w:val="clear" w:color="auto" w:fill="FFFFFF"/>
        </w:rPr>
      </w:pPr>
      <w:r w:rsidRPr="000B7F05">
        <w:rPr>
          <w:rFonts w:ascii="Arial" w:hAnsi="Arial" w:cs="Arial"/>
          <w:shd w:val="clear" w:color="auto" w:fill="FFFFFF"/>
        </w:rPr>
        <w:t xml:space="preserve">Giesen, C., Wang, H.A., Schapiro, D., Zivanovic, N., Jacobs, A., Hattendorf, B., </w:t>
      </w:r>
      <w:proofErr w:type="spellStart"/>
      <w:r w:rsidRPr="000B7F05">
        <w:rPr>
          <w:rFonts w:ascii="Arial" w:hAnsi="Arial" w:cs="Arial"/>
          <w:shd w:val="clear" w:color="auto" w:fill="FFFFFF"/>
        </w:rPr>
        <w:t>Schüffler</w:t>
      </w:r>
      <w:proofErr w:type="spellEnd"/>
      <w:r w:rsidRPr="000B7F05">
        <w:rPr>
          <w:rFonts w:ascii="Arial" w:hAnsi="Arial" w:cs="Arial"/>
          <w:shd w:val="clear" w:color="auto" w:fill="FFFFFF"/>
        </w:rPr>
        <w:t xml:space="preserve">, P.J., </w:t>
      </w:r>
      <w:proofErr w:type="spellStart"/>
      <w:r w:rsidRPr="000B7F05">
        <w:rPr>
          <w:rFonts w:ascii="Arial" w:hAnsi="Arial" w:cs="Arial"/>
          <w:shd w:val="clear" w:color="auto" w:fill="FFFFFF"/>
        </w:rPr>
        <w:t>Grolimund</w:t>
      </w:r>
      <w:proofErr w:type="spellEnd"/>
      <w:r w:rsidRPr="000B7F05">
        <w:rPr>
          <w:rFonts w:ascii="Arial" w:hAnsi="Arial" w:cs="Arial"/>
          <w:shd w:val="clear" w:color="auto" w:fill="FFFFFF"/>
        </w:rPr>
        <w:t xml:space="preserve">, D., Buhmann, J.M., Brandt, S., Varga, Z., Wild, P. J., Günther, D. and Bodenmiller B. (2014). Highly multiplexed imaging of tumor tissues with subcellular resolution by mass cytometry. </w:t>
      </w:r>
      <w:r w:rsidRPr="000B7F05">
        <w:rPr>
          <w:rFonts w:ascii="Arial" w:hAnsi="Arial" w:cs="Arial"/>
          <w:i/>
          <w:shd w:val="clear" w:color="auto" w:fill="FFFFFF"/>
        </w:rPr>
        <w:t>Nat Methods</w:t>
      </w:r>
      <w:r w:rsidRPr="000B7F05">
        <w:rPr>
          <w:rFonts w:ascii="Arial" w:hAnsi="Arial" w:cs="Arial"/>
          <w:shd w:val="clear" w:color="auto" w:fill="FFFFFF"/>
        </w:rPr>
        <w:t xml:space="preserve"> 11(4):417-422</w:t>
      </w:r>
      <w:r w:rsidR="0034513F">
        <w:rPr>
          <w:rFonts w:ascii="Arial" w:hAnsi="Arial" w:cs="Arial"/>
          <w:shd w:val="clear" w:color="auto" w:fill="FFFFFF"/>
        </w:rPr>
        <w:t xml:space="preserve"> </w:t>
      </w:r>
      <w:hyperlink r:id="rId21" w:history="1">
        <w:r w:rsidR="0034513F" w:rsidRPr="00CF1A7E">
          <w:rPr>
            <w:rStyle w:val="Hyperlink"/>
            <w:rFonts w:ascii="Arial" w:hAnsi="Arial" w:cs="Arial"/>
            <w:shd w:val="clear" w:color="auto" w:fill="FFFFFF"/>
          </w:rPr>
          <w:t>https://doi.org/10.1038/nmeth.2869</w:t>
        </w:r>
      </w:hyperlink>
      <w:r w:rsidR="0034513F">
        <w:rPr>
          <w:rFonts w:ascii="Arial" w:hAnsi="Arial" w:cs="Arial"/>
          <w:shd w:val="clear" w:color="auto" w:fill="FFFFFF"/>
        </w:rPr>
        <w:t xml:space="preserve"> </w:t>
      </w:r>
    </w:p>
    <w:p w14:paraId="3A2F135E" w14:textId="238647B9" w:rsidR="00860CED" w:rsidRPr="000B7F05" w:rsidRDefault="00860CED" w:rsidP="00C9704A">
      <w:pPr>
        <w:pStyle w:val="NormalWeb"/>
        <w:jc w:val="both"/>
        <w:rPr>
          <w:rFonts w:ascii="Arial" w:hAnsi="Arial" w:cs="Arial"/>
          <w:shd w:val="clear" w:color="auto" w:fill="FFFFFF"/>
        </w:rPr>
      </w:pPr>
      <w:proofErr w:type="spellStart"/>
      <w:r w:rsidRPr="000B7F05">
        <w:rPr>
          <w:rFonts w:ascii="Arial" w:hAnsi="Arial" w:cs="Arial"/>
          <w:shd w:val="clear" w:color="auto" w:fill="FFFFFF"/>
        </w:rPr>
        <w:lastRenderedPageBreak/>
        <w:t>Goltsev</w:t>
      </w:r>
      <w:proofErr w:type="spellEnd"/>
      <w:r w:rsidRPr="000B7F05">
        <w:rPr>
          <w:rFonts w:ascii="Arial" w:hAnsi="Arial" w:cs="Arial"/>
          <w:shd w:val="clear" w:color="auto" w:fill="FFFFFF"/>
        </w:rPr>
        <w:t>, Y. and Nolan, G. (2023). CODEX multiplexed tissue imaging. </w:t>
      </w:r>
      <w:r w:rsidRPr="000B7F05">
        <w:rPr>
          <w:rFonts w:ascii="Arial" w:hAnsi="Arial" w:cs="Arial"/>
          <w:i/>
          <w:iCs/>
          <w:shd w:val="clear" w:color="auto" w:fill="FFFFFF"/>
        </w:rPr>
        <w:t>Nat Rev Immunology</w:t>
      </w:r>
      <w:r w:rsidRPr="000B7F05">
        <w:rPr>
          <w:rFonts w:ascii="Arial" w:hAnsi="Arial" w:cs="Arial"/>
          <w:shd w:val="clear" w:color="auto" w:fill="FFFFFF"/>
        </w:rPr>
        <w:t> </w:t>
      </w:r>
      <w:r w:rsidRPr="000B7F05">
        <w:rPr>
          <w:rFonts w:ascii="Arial" w:hAnsi="Arial" w:cs="Arial"/>
          <w:b/>
          <w:bCs/>
          <w:shd w:val="clear" w:color="auto" w:fill="FFFFFF"/>
        </w:rPr>
        <w:t>23</w:t>
      </w:r>
      <w:r w:rsidRPr="000B7F05">
        <w:rPr>
          <w:rFonts w:ascii="Arial" w:hAnsi="Arial" w:cs="Arial"/>
          <w:shd w:val="clear" w:color="auto" w:fill="FFFFFF"/>
        </w:rPr>
        <w:t>:613.</w:t>
      </w:r>
      <w:r w:rsidR="0034513F">
        <w:rPr>
          <w:rFonts w:ascii="Arial" w:hAnsi="Arial" w:cs="Arial"/>
          <w:shd w:val="clear" w:color="auto" w:fill="FFFFFF"/>
        </w:rPr>
        <w:t xml:space="preserve"> </w:t>
      </w:r>
      <w:hyperlink r:id="rId22" w:history="1">
        <w:r w:rsidR="0034513F" w:rsidRPr="00CF1A7E">
          <w:rPr>
            <w:rStyle w:val="Hyperlink"/>
            <w:rFonts w:ascii="Arial" w:hAnsi="Arial" w:cs="Arial"/>
            <w:shd w:val="clear" w:color="auto" w:fill="FFFFFF"/>
          </w:rPr>
          <w:t>https://doi.org/10.1038/s41577-023-00936-z</w:t>
        </w:r>
      </w:hyperlink>
      <w:r w:rsidR="0034513F">
        <w:rPr>
          <w:rFonts w:ascii="Arial" w:hAnsi="Arial" w:cs="Arial"/>
          <w:shd w:val="clear" w:color="auto" w:fill="FFFFFF"/>
        </w:rPr>
        <w:t xml:space="preserve"> </w:t>
      </w:r>
    </w:p>
    <w:p w14:paraId="3B06C741" w14:textId="77777777" w:rsidR="00860CED" w:rsidRPr="000B7F05" w:rsidRDefault="00860CED" w:rsidP="00C9704A">
      <w:pPr>
        <w:pStyle w:val="NormalWeb"/>
        <w:jc w:val="both"/>
        <w:rPr>
          <w:rFonts w:ascii="Arial" w:hAnsi="Arial" w:cs="Arial"/>
        </w:rPr>
      </w:pPr>
      <w:r w:rsidRPr="000B7F05">
        <w:rPr>
          <w:rFonts w:ascii="Arial" w:hAnsi="Arial" w:cs="Arial"/>
        </w:rPr>
        <w:t xml:space="preserve">Hickey, J.W., </w:t>
      </w:r>
      <w:proofErr w:type="spellStart"/>
      <w:r w:rsidRPr="000B7F05">
        <w:rPr>
          <w:rFonts w:ascii="Arial" w:hAnsi="Arial" w:cs="Arial"/>
        </w:rPr>
        <w:t>Ananthanarayanan</w:t>
      </w:r>
      <w:proofErr w:type="spellEnd"/>
      <w:r w:rsidRPr="000B7F05">
        <w:rPr>
          <w:rFonts w:ascii="Arial" w:hAnsi="Arial" w:cs="Arial"/>
        </w:rPr>
        <w:t xml:space="preserve">, A., Dijkstra, K.K. (2022). Spatial </w:t>
      </w:r>
      <w:proofErr w:type="spellStart"/>
      <w:r w:rsidRPr="000B7F05">
        <w:rPr>
          <w:rFonts w:ascii="Arial" w:hAnsi="Arial" w:cs="Arial"/>
        </w:rPr>
        <w:t>multiomics</w:t>
      </w:r>
      <w:proofErr w:type="spellEnd"/>
      <w:r w:rsidRPr="000B7F05">
        <w:rPr>
          <w:rFonts w:ascii="Arial" w:hAnsi="Arial" w:cs="Arial"/>
        </w:rPr>
        <w:t>: Current state and future directions. Nature Reviews Genetics, 23, 384–400.</w:t>
      </w:r>
    </w:p>
    <w:p w14:paraId="0E16D4BE" w14:textId="77777777" w:rsidR="00860CED" w:rsidRPr="000B7F05" w:rsidRDefault="00860CED" w:rsidP="00C9704A">
      <w:pPr>
        <w:pStyle w:val="NormalWeb"/>
        <w:jc w:val="both"/>
        <w:rPr>
          <w:rFonts w:ascii="Arial" w:hAnsi="Arial" w:cs="Arial"/>
        </w:rPr>
      </w:pPr>
      <w:r w:rsidRPr="000B7F05">
        <w:rPr>
          <w:rFonts w:ascii="Arial" w:hAnsi="Arial" w:cs="Arial"/>
        </w:rPr>
        <w:t>Lara-García, A., Pérez-González, J., Soto-Rodríguez, A. (2022). Advances in enzyme histochemistry. Histochemistry and Cell Biology, 157(3), 231–249.</w:t>
      </w:r>
    </w:p>
    <w:p w14:paraId="1CEC457B" w14:textId="77777777" w:rsidR="00860CED" w:rsidRPr="000B7F05" w:rsidRDefault="00860CED" w:rsidP="00C9704A">
      <w:pPr>
        <w:pStyle w:val="NormalWeb"/>
        <w:jc w:val="both"/>
        <w:rPr>
          <w:rFonts w:ascii="Arial" w:hAnsi="Arial" w:cs="Arial"/>
          <w:shd w:val="clear" w:color="auto" w:fill="FFFFFF"/>
        </w:rPr>
      </w:pPr>
      <w:r w:rsidRPr="000B7F05">
        <w:rPr>
          <w:rFonts w:ascii="Arial" w:hAnsi="Arial" w:cs="Arial"/>
          <w:shd w:val="clear" w:color="auto" w:fill="FFFFFF"/>
        </w:rPr>
        <w:t>Mai, H., Rong, Z. and Zhao, S. </w:t>
      </w:r>
      <w:r w:rsidRPr="000B7F05">
        <w:rPr>
          <w:rFonts w:ascii="Arial" w:hAnsi="Arial" w:cs="Arial"/>
          <w:iCs/>
          <w:shd w:val="clear" w:color="auto" w:fill="FFFFFF"/>
        </w:rPr>
        <w:t>(2022)</w:t>
      </w:r>
      <w:r w:rsidRPr="000B7F05">
        <w:rPr>
          <w:rFonts w:ascii="Arial" w:hAnsi="Arial" w:cs="Arial"/>
          <w:i/>
          <w:iCs/>
          <w:shd w:val="clear" w:color="auto" w:fill="FFFFFF"/>
        </w:rPr>
        <w:t>.</w:t>
      </w:r>
      <w:r w:rsidRPr="000B7F05">
        <w:rPr>
          <w:rFonts w:ascii="Arial" w:hAnsi="Arial" w:cs="Arial"/>
          <w:shd w:val="clear" w:color="auto" w:fill="FFFFFF"/>
        </w:rPr>
        <w:t> Scalable tissue labeling and clearing of intact human organs. </w:t>
      </w:r>
      <w:r w:rsidRPr="000B7F05">
        <w:rPr>
          <w:rFonts w:ascii="Arial" w:hAnsi="Arial" w:cs="Arial"/>
          <w:i/>
          <w:iCs/>
          <w:shd w:val="clear" w:color="auto" w:fill="FFFFFF"/>
        </w:rPr>
        <w:t>Nature Protocol</w:t>
      </w:r>
      <w:r w:rsidRPr="000B7F05">
        <w:rPr>
          <w:rFonts w:ascii="Arial" w:hAnsi="Arial" w:cs="Arial"/>
          <w:shd w:val="clear" w:color="auto" w:fill="FFFFFF"/>
        </w:rPr>
        <w:t> </w:t>
      </w:r>
      <w:r w:rsidRPr="000B7F05">
        <w:rPr>
          <w:rFonts w:ascii="Arial" w:hAnsi="Arial" w:cs="Arial"/>
          <w:b/>
          <w:bCs/>
          <w:shd w:val="clear" w:color="auto" w:fill="FFFFFF"/>
        </w:rPr>
        <w:t>17:</w:t>
      </w:r>
      <w:r w:rsidRPr="000B7F05">
        <w:rPr>
          <w:rFonts w:ascii="Arial" w:hAnsi="Arial" w:cs="Arial"/>
          <w:shd w:val="clear" w:color="auto" w:fill="FFFFFF"/>
        </w:rPr>
        <w:t>2188–2215.</w:t>
      </w:r>
    </w:p>
    <w:p w14:paraId="2F324BF6" w14:textId="42E6A3FD" w:rsidR="00860CED" w:rsidRPr="000B7F05" w:rsidRDefault="00860CED" w:rsidP="00C9704A">
      <w:pPr>
        <w:pStyle w:val="NormalWeb"/>
        <w:jc w:val="both"/>
        <w:rPr>
          <w:rFonts w:ascii="Arial" w:hAnsi="Arial" w:cs="Arial"/>
          <w:shd w:val="clear" w:color="auto" w:fill="FFFFFF"/>
        </w:rPr>
      </w:pPr>
      <w:r w:rsidRPr="000B7F05">
        <w:rPr>
          <w:rFonts w:ascii="Arial" w:hAnsi="Arial" w:cs="Arial"/>
          <w:shd w:val="clear" w:color="auto" w:fill="FFFFFF"/>
        </w:rPr>
        <w:t>Merritt, C.R., Ong, G.T. and Church, S.E. </w:t>
      </w:r>
      <w:r w:rsidRPr="000B7F05">
        <w:rPr>
          <w:rFonts w:ascii="Arial" w:hAnsi="Arial" w:cs="Arial"/>
          <w:iCs/>
          <w:shd w:val="clear" w:color="auto" w:fill="FFFFFF"/>
        </w:rPr>
        <w:t>(2020).</w:t>
      </w:r>
      <w:r w:rsidRPr="000B7F05">
        <w:rPr>
          <w:rFonts w:ascii="Arial" w:hAnsi="Arial" w:cs="Arial"/>
          <w:i/>
          <w:iCs/>
          <w:shd w:val="clear" w:color="auto" w:fill="FFFFFF"/>
        </w:rPr>
        <w:t xml:space="preserve"> </w:t>
      </w:r>
      <w:r w:rsidRPr="000B7F05">
        <w:rPr>
          <w:rFonts w:ascii="Arial" w:hAnsi="Arial" w:cs="Arial"/>
          <w:shd w:val="clear" w:color="auto" w:fill="FFFFFF"/>
        </w:rPr>
        <w:t> Multiplex digital spatial profiling of proteins and RNA in fixed tissue. </w:t>
      </w:r>
      <w:r w:rsidRPr="000B7F05">
        <w:rPr>
          <w:rFonts w:ascii="Arial" w:hAnsi="Arial" w:cs="Arial"/>
          <w:i/>
          <w:iCs/>
          <w:shd w:val="clear" w:color="auto" w:fill="FFFFFF"/>
        </w:rPr>
        <w:t>Nature Biotechnology</w:t>
      </w:r>
      <w:r w:rsidRPr="000B7F05">
        <w:rPr>
          <w:rFonts w:ascii="Arial" w:hAnsi="Arial" w:cs="Arial"/>
          <w:shd w:val="clear" w:color="auto" w:fill="FFFFFF"/>
        </w:rPr>
        <w:t> </w:t>
      </w:r>
      <w:r w:rsidRPr="000B7F05">
        <w:rPr>
          <w:rFonts w:ascii="Arial" w:hAnsi="Arial" w:cs="Arial"/>
          <w:b/>
          <w:bCs/>
          <w:shd w:val="clear" w:color="auto" w:fill="FFFFFF"/>
        </w:rPr>
        <w:t>38</w:t>
      </w:r>
      <w:r w:rsidRPr="000B7F05">
        <w:rPr>
          <w:rFonts w:ascii="Arial" w:hAnsi="Arial" w:cs="Arial"/>
          <w:shd w:val="clear" w:color="auto" w:fill="FFFFFF"/>
        </w:rPr>
        <w:t xml:space="preserve">:586–599 (2020). </w:t>
      </w:r>
      <w:hyperlink r:id="rId23" w:history="1">
        <w:r w:rsidR="0034513F" w:rsidRPr="00CF1A7E">
          <w:rPr>
            <w:rStyle w:val="Hyperlink"/>
          </w:rPr>
          <w:t>https://doi.org/10.1038/s41587-020-0472-9</w:t>
        </w:r>
      </w:hyperlink>
      <w:r w:rsidR="0034513F">
        <w:t xml:space="preserve"> </w:t>
      </w:r>
    </w:p>
    <w:p w14:paraId="3798F2C3" w14:textId="1B554335" w:rsidR="00860CED" w:rsidRPr="000B7F05" w:rsidRDefault="00860CED" w:rsidP="00C9704A">
      <w:pPr>
        <w:pStyle w:val="NormalWeb"/>
        <w:jc w:val="both"/>
        <w:rPr>
          <w:rFonts w:ascii="Arial" w:hAnsi="Arial" w:cs="Arial"/>
        </w:rPr>
      </w:pPr>
      <w:r w:rsidRPr="000B7F05">
        <w:rPr>
          <w:rStyle w:val="Strong"/>
          <w:rFonts w:ascii="Arial" w:hAnsi="Arial" w:cs="Arial"/>
          <w:b w:val="0"/>
        </w:rPr>
        <w:t>Palla, G., Fischer, D.S., Regev, A. and Theis, F.J. (2022).</w:t>
      </w:r>
      <w:r w:rsidRPr="000B7F05">
        <w:rPr>
          <w:rFonts w:ascii="Arial" w:hAnsi="Arial" w:cs="Arial"/>
        </w:rPr>
        <w:t xml:space="preserve"> Spatial components of molecular tissue biology. </w:t>
      </w:r>
      <w:r w:rsidRPr="000B7F05">
        <w:rPr>
          <w:rStyle w:val="Emphasis"/>
          <w:rFonts w:ascii="Arial" w:hAnsi="Arial" w:cs="Arial"/>
        </w:rPr>
        <w:t>Nature Biotechnology</w:t>
      </w:r>
      <w:r w:rsidRPr="000B7F05">
        <w:rPr>
          <w:rFonts w:ascii="Arial" w:hAnsi="Arial" w:cs="Arial"/>
        </w:rPr>
        <w:t xml:space="preserve">, </w:t>
      </w:r>
      <w:r w:rsidRPr="000B7F05">
        <w:rPr>
          <w:rStyle w:val="Strong"/>
          <w:rFonts w:ascii="Arial" w:hAnsi="Arial" w:cs="Arial"/>
          <w:b w:val="0"/>
        </w:rPr>
        <w:t>40</w:t>
      </w:r>
      <w:r w:rsidRPr="000B7F05">
        <w:rPr>
          <w:rFonts w:ascii="Arial" w:hAnsi="Arial" w:cs="Arial"/>
        </w:rPr>
        <w:t>, 308–318.</w:t>
      </w:r>
      <w:r w:rsidR="0034513F">
        <w:rPr>
          <w:rFonts w:ascii="Arial" w:hAnsi="Arial" w:cs="Arial"/>
        </w:rPr>
        <w:t xml:space="preserve"> </w:t>
      </w:r>
      <w:hyperlink r:id="rId24" w:history="1">
        <w:r w:rsidR="0034513F" w:rsidRPr="00CF1A7E">
          <w:rPr>
            <w:rStyle w:val="Hyperlink"/>
            <w:rFonts w:ascii="Arial" w:hAnsi="Arial" w:cs="Arial"/>
          </w:rPr>
          <w:t>https://doi.org/10.1038/s41587-021-01182-1</w:t>
        </w:r>
      </w:hyperlink>
      <w:r w:rsidR="0034513F">
        <w:rPr>
          <w:rFonts w:ascii="Arial" w:hAnsi="Arial" w:cs="Arial"/>
        </w:rPr>
        <w:t xml:space="preserve"> </w:t>
      </w:r>
    </w:p>
    <w:p w14:paraId="01A5E6E1" w14:textId="07B928E9" w:rsidR="00860CED" w:rsidRPr="000B7F05" w:rsidRDefault="00860CED" w:rsidP="00C9704A">
      <w:pPr>
        <w:pStyle w:val="NormalWeb"/>
        <w:jc w:val="both"/>
        <w:rPr>
          <w:rFonts w:ascii="Arial" w:hAnsi="Arial" w:cs="Arial"/>
        </w:rPr>
      </w:pPr>
      <w:proofErr w:type="spellStart"/>
      <w:r w:rsidRPr="000B7F05">
        <w:rPr>
          <w:rFonts w:ascii="Arial" w:hAnsi="Arial" w:cs="Arial"/>
        </w:rPr>
        <w:t>Pellicciari</w:t>
      </w:r>
      <w:proofErr w:type="spellEnd"/>
      <w:r w:rsidRPr="000B7F05">
        <w:rPr>
          <w:rFonts w:ascii="Arial" w:hAnsi="Arial" w:cs="Arial"/>
        </w:rPr>
        <w:t>, C. (2018). Histochemistry as a versatile research toolkit in biological research, not only an applied discipline in pathology European Journal of Histochemistry, 62(3), 3006.</w:t>
      </w:r>
      <w:r w:rsidR="0034513F">
        <w:rPr>
          <w:rFonts w:ascii="Arial" w:hAnsi="Arial" w:cs="Arial"/>
        </w:rPr>
        <w:t xml:space="preserve"> </w:t>
      </w:r>
      <w:hyperlink r:id="rId25" w:history="1">
        <w:r w:rsidR="0034513F" w:rsidRPr="00CF1A7E">
          <w:rPr>
            <w:rStyle w:val="Hyperlink"/>
            <w:rFonts w:ascii="Arial" w:hAnsi="Arial" w:cs="Arial"/>
          </w:rPr>
          <w:t>https://doi.org/10.4081/ejh.2018.3006</w:t>
        </w:r>
      </w:hyperlink>
      <w:r w:rsidR="0034513F">
        <w:rPr>
          <w:rFonts w:ascii="Arial" w:hAnsi="Arial" w:cs="Arial"/>
        </w:rPr>
        <w:t xml:space="preserve"> </w:t>
      </w:r>
    </w:p>
    <w:p w14:paraId="5496F684" w14:textId="773DDF09" w:rsidR="00860CED" w:rsidRPr="000B7F05" w:rsidRDefault="00860CED" w:rsidP="00C9704A">
      <w:pPr>
        <w:pStyle w:val="NormalWeb"/>
        <w:jc w:val="both"/>
        <w:rPr>
          <w:rFonts w:ascii="Arial" w:hAnsi="Arial" w:cs="Arial"/>
          <w:shd w:val="clear" w:color="auto" w:fill="FFFFFF"/>
        </w:rPr>
      </w:pPr>
      <w:r w:rsidRPr="000B7F05">
        <w:rPr>
          <w:rFonts w:ascii="Arial" w:hAnsi="Arial" w:cs="Arial"/>
          <w:shd w:val="clear" w:color="auto" w:fill="FFFFFF"/>
        </w:rPr>
        <w:t>Pulaski, H., Harrison, S.A. and Mehta, S.S. (2025)</w:t>
      </w:r>
      <w:r w:rsidRPr="000B7F05">
        <w:rPr>
          <w:rFonts w:ascii="Arial" w:hAnsi="Arial" w:cs="Arial"/>
          <w:i/>
          <w:iCs/>
          <w:shd w:val="clear" w:color="auto" w:fill="FFFFFF"/>
        </w:rPr>
        <w:t>.</w:t>
      </w:r>
      <w:r w:rsidRPr="000B7F05">
        <w:rPr>
          <w:rFonts w:ascii="Arial" w:hAnsi="Arial" w:cs="Arial"/>
          <w:shd w:val="clear" w:color="auto" w:fill="FFFFFF"/>
        </w:rPr>
        <w:t> Clinical validation of an AI-based pathology tool for scoring of metabolic dysfunction-associated steatohepatitis. </w:t>
      </w:r>
      <w:r w:rsidRPr="000B7F05">
        <w:rPr>
          <w:rFonts w:ascii="Arial" w:hAnsi="Arial" w:cs="Arial"/>
          <w:i/>
          <w:iCs/>
          <w:shd w:val="clear" w:color="auto" w:fill="FFFFFF"/>
        </w:rPr>
        <w:t>Nature Medicine</w:t>
      </w:r>
      <w:r w:rsidRPr="000B7F05">
        <w:rPr>
          <w:rFonts w:ascii="Arial" w:hAnsi="Arial" w:cs="Arial"/>
          <w:shd w:val="clear" w:color="auto" w:fill="FFFFFF"/>
        </w:rPr>
        <w:t> </w:t>
      </w:r>
      <w:r w:rsidRPr="000B7F05">
        <w:rPr>
          <w:rFonts w:ascii="Arial" w:hAnsi="Arial" w:cs="Arial"/>
          <w:b/>
          <w:bCs/>
          <w:shd w:val="clear" w:color="auto" w:fill="FFFFFF"/>
        </w:rPr>
        <w:t>31</w:t>
      </w:r>
      <w:r w:rsidRPr="000B7F05">
        <w:rPr>
          <w:rFonts w:ascii="Arial" w:hAnsi="Arial" w:cs="Arial"/>
          <w:shd w:val="clear" w:color="auto" w:fill="FFFFFF"/>
        </w:rPr>
        <w:t>, 315–322.</w:t>
      </w:r>
      <w:r w:rsidR="0034513F">
        <w:rPr>
          <w:rFonts w:ascii="Arial" w:hAnsi="Arial" w:cs="Arial"/>
          <w:shd w:val="clear" w:color="auto" w:fill="FFFFFF"/>
        </w:rPr>
        <w:t xml:space="preserve"> </w:t>
      </w:r>
      <w:hyperlink r:id="rId26" w:history="1">
        <w:r w:rsidR="0034513F" w:rsidRPr="00CF1A7E">
          <w:rPr>
            <w:rStyle w:val="Hyperlink"/>
            <w:rFonts w:ascii="Arial" w:hAnsi="Arial" w:cs="Arial"/>
            <w:shd w:val="clear" w:color="auto" w:fill="FFFFFF"/>
          </w:rPr>
          <w:t>https://doi.org/10.1038/s41591-024-03301-2</w:t>
        </w:r>
      </w:hyperlink>
      <w:r w:rsidR="0034513F">
        <w:rPr>
          <w:rFonts w:ascii="Arial" w:hAnsi="Arial" w:cs="Arial"/>
          <w:shd w:val="clear" w:color="auto" w:fill="FFFFFF"/>
        </w:rPr>
        <w:t xml:space="preserve"> </w:t>
      </w:r>
    </w:p>
    <w:p w14:paraId="3E7C094F" w14:textId="060E4B6D" w:rsidR="00860CED" w:rsidRPr="000B7F05" w:rsidRDefault="00860CED" w:rsidP="006A54C7">
      <w:pPr>
        <w:pStyle w:val="c-bibliographic-informationcitation"/>
        <w:shd w:val="clear" w:color="auto" w:fill="FFFFFF"/>
        <w:spacing w:before="0" w:beforeAutospacing="0" w:after="240" w:afterAutospacing="0"/>
        <w:rPr>
          <w:rFonts w:ascii="Arial" w:hAnsi="Arial" w:cs="Arial"/>
        </w:rPr>
      </w:pPr>
      <w:r w:rsidRPr="000B7F05">
        <w:rPr>
          <w:rFonts w:ascii="Arial" w:hAnsi="Arial" w:cs="Arial"/>
        </w:rPr>
        <w:t xml:space="preserve">Rizzardi, A.E., Johnson, A.T., Vogel, R.I., </w:t>
      </w:r>
      <w:proofErr w:type="spellStart"/>
      <w:r w:rsidRPr="000B7F05">
        <w:rPr>
          <w:rFonts w:ascii="Arial" w:hAnsi="Arial" w:cs="Arial"/>
        </w:rPr>
        <w:t>Pambuccian</w:t>
      </w:r>
      <w:proofErr w:type="spellEnd"/>
      <w:r w:rsidRPr="000B7F05">
        <w:rPr>
          <w:rFonts w:ascii="Arial" w:hAnsi="Arial" w:cs="Arial"/>
        </w:rPr>
        <w:t xml:space="preserve">, S.E., Henriksen, J., </w:t>
      </w:r>
      <w:proofErr w:type="spellStart"/>
      <w:r w:rsidRPr="000B7F05">
        <w:rPr>
          <w:rFonts w:ascii="Arial" w:hAnsi="Arial" w:cs="Arial"/>
        </w:rPr>
        <w:t>Skubitz</w:t>
      </w:r>
      <w:proofErr w:type="spellEnd"/>
      <w:r w:rsidRPr="000B7F05">
        <w:rPr>
          <w:rFonts w:ascii="Arial" w:hAnsi="Arial" w:cs="Arial"/>
        </w:rPr>
        <w:t xml:space="preserve">, P.N., Metzger, J.G. and Schmechel, S.C. </w:t>
      </w:r>
      <w:r w:rsidRPr="000B7F05">
        <w:rPr>
          <w:rFonts w:ascii="Arial" w:hAnsi="Arial" w:cs="Arial"/>
          <w:iCs/>
        </w:rPr>
        <w:t>(2012).</w:t>
      </w:r>
      <w:r w:rsidRPr="000B7F05">
        <w:rPr>
          <w:rFonts w:ascii="Arial" w:hAnsi="Arial" w:cs="Arial"/>
        </w:rPr>
        <w:t> Quantitative comparison of immunohistochemical staining measured by digital image analysis versus pathologist visual scoring. </w:t>
      </w:r>
      <w:r w:rsidRPr="000B7F05">
        <w:rPr>
          <w:rFonts w:ascii="Arial" w:hAnsi="Arial" w:cs="Arial"/>
          <w:i/>
          <w:iCs/>
        </w:rPr>
        <w:t>Diagnostic Pathology</w:t>
      </w:r>
      <w:r w:rsidRPr="000B7F05">
        <w:rPr>
          <w:rFonts w:ascii="Arial" w:hAnsi="Arial" w:cs="Arial"/>
        </w:rPr>
        <w:t> </w:t>
      </w:r>
      <w:r w:rsidRPr="000B7F05">
        <w:rPr>
          <w:rFonts w:ascii="Arial" w:hAnsi="Arial" w:cs="Arial"/>
          <w:b/>
          <w:bCs/>
        </w:rPr>
        <w:t>7</w:t>
      </w:r>
      <w:r w:rsidRPr="000B7F05">
        <w:rPr>
          <w:rFonts w:ascii="Arial" w:hAnsi="Arial" w:cs="Arial"/>
        </w:rPr>
        <w:t xml:space="preserve">:42 </w:t>
      </w:r>
      <w:r w:rsidR="0034513F">
        <w:rPr>
          <w:rFonts w:ascii="Arial" w:hAnsi="Arial" w:cs="Arial"/>
        </w:rPr>
        <w:t xml:space="preserve"> </w:t>
      </w:r>
      <w:hyperlink r:id="rId27" w:history="1">
        <w:r w:rsidR="0034513F" w:rsidRPr="00CF1A7E">
          <w:rPr>
            <w:rStyle w:val="Hyperlink"/>
            <w:rFonts w:ascii="Arial" w:hAnsi="Arial" w:cs="Arial"/>
          </w:rPr>
          <w:t>https://doi.org/10.1186/1746-1596-7-42</w:t>
        </w:r>
      </w:hyperlink>
      <w:r w:rsidR="0034513F">
        <w:rPr>
          <w:rFonts w:ascii="Arial" w:hAnsi="Arial" w:cs="Arial"/>
        </w:rPr>
        <w:t xml:space="preserve"> </w:t>
      </w:r>
    </w:p>
    <w:p w14:paraId="377DFB75" w14:textId="20769272" w:rsidR="00860CED" w:rsidRPr="000B7F05" w:rsidRDefault="00860CED" w:rsidP="00C9704A">
      <w:pPr>
        <w:pStyle w:val="NormalWeb"/>
        <w:jc w:val="both"/>
        <w:rPr>
          <w:rFonts w:ascii="Arial" w:hAnsi="Arial" w:cs="Arial"/>
          <w:sz w:val="22"/>
          <w:szCs w:val="18"/>
        </w:rPr>
      </w:pPr>
      <w:r w:rsidRPr="000B7F05">
        <w:rPr>
          <w:rFonts w:ascii="Arial" w:hAnsi="Arial" w:cs="Arial"/>
          <w:sz w:val="22"/>
          <w:szCs w:val="18"/>
        </w:rPr>
        <w:t>Roth, J. &amp; Taatjes, D.J. (2023). Histochemistry and Cell Biology-a glance into the past and a look ahead. Histochemistry and Cell Biology, 159(6), 465–475.</w:t>
      </w:r>
      <w:r w:rsidR="0034513F">
        <w:rPr>
          <w:rFonts w:ascii="Arial" w:hAnsi="Arial" w:cs="Arial"/>
          <w:sz w:val="22"/>
          <w:szCs w:val="18"/>
        </w:rPr>
        <w:t xml:space="preserve"> </w:t>
      </w:r>
      <w:hyperlink r:id="rId28" w:history="1">
        <w:r w:rsidR="0034513F" w:rsidRPr="00CF1A7E">
          <w:rPr>
            <w:rStyle w:val="Hyperlink"/>
            <w:rFonts w:ascii="Arial" w:hAnsi="Arial" w:cs="Arial"/>
            <w:sz w:val="22"/>
            <w:szCs w:val="18"/>
          </w:rPr>
          <w:t>https://doi.org/10.1007/s00418-023-02195-4</w:t>
        </w:r>
      </w:hyperlink>
      <w:r w:rsidR="0034513F">
        <w:rPr>
          <w:rFonts w:ascii="Arial" w:hAnsi="Arial" w:cs="Arial"/>
          <w:sz w:val="22"/>
          <w:szCs w:val="18"/>
        </w:rPr>
        <w:t xml:space="preserve"> </w:t>
      </w:r>
    </w:p>
    <w:p w14:paraId="77249696" w14:textId="52E20EE1" w:rsidR="00860CED" w:rsidRPr="000B7F05" w:rsidRDefault="00860CED" w:rsidP="00860CED">
      <w:pPr>
        <w:pStyle w:val="NormalWeb"/>
        <w:jc w:val="both"/>
        <w:rPr>
          <w:rFonts w:ascii="Arial" w:hAnsi="Arial" w:cs="Arial"/>
          <w:shd w:val="clear" w:color="auto" w:fill="FFFFFF"/>
        </w:rPr>
      </w:pPr>
      <w:proofErr w:type="spellStart"/>
      <w:r w:rsidRPr="000B7F05">
        <w:rPr>
          <w:rFonts w:ascii="Arial" w:hAnsi="Arial" w:cs="Arial"/>
          <w:shd w:val="clear" w:color="auto" w:fill="FFFFFF"/>
        </w:rPr>
        <w:t>Torlakovic</w:t>
      </w:r>
      <w:proofErr w:type="spellEnd"/>
      <w:r w:rsidRPr="000B7F05">
        <w:rPr>
          <w:rFonts w:ascii="Arial" w:hAnsi="Arial" w:cs="Arial"/>
          <w:shd w:val="clear" w:color="auto" w:fill="FFFFFF"/>
        </w:rPr>
        <w:t>, E., Lim, H.J. and Adam, J. </w:t>
      </w:r>
      <w:r w:rsidRPr="000B7F05">
        <w:rPr>
          <w:rFonts w:ascii="Arial" w:hAnsi="Arial" w:cs="Arial"/>
          <w:i/>
          <w:iCs/>
          <w:shd w:val="clear" w:color="auto" w:fill="FFFFFF"/>
        </w:rPr>
        <w:t>(</w:t>
      </w:r>
      <w:r w:rsidRPr="000B7F05">
        <w:rPr>
          <w:rFonts w:ascii="Arial" w:hAnsi="Arial" w:cs="Arial"/>
          <w:iCs/>
          <w:shd w:val="clear" w:color="auto" w:fill="FFFFFF"/>
        </w:rPr>
        <w:t>2020</w:t>
      </w:r>
      <w:r w:rsidRPr="000B7F05">
        <w:rPr>
          <w:rFonts w:ascii="Arial" w:hAnsi="Arial" w:cs="Arial"/>
          <w:i/>
          <w:iCs/>
          <w:shd w:val="clear" w:color="auto" w:fill="FFFFFF"/>
        </w:rPr>
        <w:t>).</w:t>
      </w:r>
      <w:r w:rsidRPr="000B7F05">
        <w:rPr>
          <w:rFonts w:ascii="Arial" w:hAnsi="Arial" w:cs="Arial"/>
          <w:shd w:val="clear" w:color="auto" w:fill="FFFFFF"/>
        </w:rPr>
        <w:t> “Interchangeability” of PD-L1 immunohistochemistry assays: a meta-analysis of diagnostic accuracy. </w:t>
      </w:r>
      <w:r w:rsidRPr="000B7F05">
        <w:rPr>
          <w:rFonts w:ascii="Arial" w:hAnsi="Arial" w:cs="Arial"/>
          <w:i/>
          <w:iCs/>
          <w:shd w:val="clear" w:color="auto" w:fill="FFFFFF"/>
        </w:rPr>
        <w:t>Modern Pathology</w:t>
      </w:r>
      <w:r w:rsidRPr="000B7F05">
        <w:rPr>
          <w:rFonts w:ascii="Arial" w:hAnsi="Arial" w:cs="Arial"/>
          <w:shd w:val="clear" w:color="auto" w:fill="FFFFFF"/>
        </w:rPr>
        <w:t> </w:t>
      </w:r>
      <w:r w:rsidRPr="000B7F05">
        <w:rPr>
          <w:rFonts w:ascii="Arial" w:hAnsi="Arial" w:cs="Arial"/>
          <w:b/>
          <w:bCs/>
          <w:shd w:val="clear" w:color="auto" w:fill="FFFFFF"/>
        </w:rPr>
        <w:t>33</w:t>
      </w:r>
      <w:r w:rsidRPr="000B7F05">
        <w:rPr>
          <w:rFonts w:ascii="Arial" w:hAnsi="Arial" w:cs="Arial"/>
          <w:shd w:val="clear" w:color="auto" w:fill="FFFFFF"/>
        </w:rPr>
        <w:t xml:space="preserve">, 4–17 </w:t>
      </w:r>
      <w:r w:rsidR="0034513F">
        <w:rPr>
          <w:rFonts w:ascii="Arial" w:hAnsi="Arial" w:cs="Arial"/>
          <w:shd w:val="clear" w:color="auto" w:fill="FFFFFF"/>
        </w:rPr>
        <w:t xml:space="preserve"> </w:t>
      </w:r>
      <w:hyperlink r:id="rId29" w:history="1">
        <w:r w:rsidR="0034513F" w:rsidRPr="00CF1A7E">
          <w:rPr>
            <w:rStyle w:val="Hyperlink"/>
            <w:rFonts w:ascii="Arial" w:hAnsi="Arial" w:cs="Arial"/>
            <w:shd w:val="clear" w:color="auto" w:fill="FFFFFF"/>
          </w:rPr>
          <w:t>https://doi.org/10.1038/s41379-019-0327-4</w:t>
        </w:r>
      </w:hyperlink>
      <w:r w:rsidR="0034513F">
        <w:rPr>
          <w:rFonts w:ascii="Arial" w:hAnsi="Arial" w:cs="Arial"/>
          <w:shd w:val="clear" w:color="auto" w:fill="FFFFFF"/>
        </w:rPr>
        <w:t xml:space="preserve"> </w:t>
      </w:r>
    </w:p>
    <w:p w14:paraId="51B1E596" w14:textId="1E2D0550" w:rsidR="00860CED" w:rsidRPr="000B7F05" w:rsidRDefault="00860CED" w:rsidP="00860CED">
      <w:pPr>
        <w:pStyle w:val="NormalWeb"/>
        <w:jc w:val="both"/>
        <w:rPr>
          <w:rFonts w:ascii="Arial" w:hAnsi="Arial" w:cs="Arial"/>
          <w:szCs w:val="18"/>
        </w:rPr>
      </w:pPr>
      <w:r w:rsidRPr="000B7F05">
        <w:rPr>
          <w:rFonts w:ascii="Arial" w:hAnsi="Arial" w:cs="Arial"/>
          <w:szCs w:val="18"/>
        </w:rPr>
        <w:lastRenderedPageBreak/>
        <w:t xml:space="preserve">Wolff, A. C., McShane, L. M., Hammond, M. E. H., Allison, K. H., Fitzgibbons, P., Press, M. F., Harvey, B. E., </w:t>
      </w:r>
      <w:proofErr w:type="spellStart"/>
      <w:r w:rsidRPr="000B7F05">
        <w:rPr>
          <w:rFonts w:ascii="Arial" w:hAnsi="Arial" w:cs="Arial"/>
          <w:szCs w:val="18"/>
        </w:rPr>
        <w:t>Mangu</w:t>
      </w:r>
      <w:proofErr w:type="spellEnd"/>
      <w:r w:rsidRPr="000B7F05">
        <w:rPr>
          <w:rFonts w:ascii="Arial" w:hAnsi="Arial" w:cs="Arial"/>
          <w:szCs w:val="18"/>
        </w:rPr>
        <w:t>, P. B., Bartlett, J. M. S., Hanna, W., Bilous, M., Ellis, I. O., Dowsett, M., Jenkins, R. B., Spears, P. A., Vance, G. H., &amp; Viale, G. (2018). Human Epidermal Growth Factor Receptor 2 Testing in Breast Cancer: American Society of Clinical Oncology/College of American Pathologists Clinical Practice Guideline Focused Update. Archives of Pathology &amp; Laboratory Medicine, 142(11), 1364–1382</w:t>
      </w:r>
      <w:r w:rsidR="0034513F">
        <w:rPr>
          <w:rFonts w:ascii="Arial" w:hAnsi="Arial" w:cs="Arial"/>
          <w:szCs w:val="18"/>
        </w:rPr>
        <w:t xml:space="preserve"> </w:t>
      </w:r>
      <w:hyperlink r:id="rId30" w:history="1">
        <w:r w:rsidR="0034513F" w:rsidRPr="00CF1A7E">
          <w:rPr>
            <w:rStyle w:val="Hyperlink"/>
            <w:rFonts w:ascii="Arial" w:hAnsi="Arial" w:cs="Arial"/>
            <w:szCs w:val="18"/>
          </w:rPr>
          <w:t>https://doi.org/10.5858/arpa.2018-0902-SA</w:t>
        </w:r>
      </w:hyperlink>
      <w:r w:rsidR="0034513F">
        <w:rPr>
          <w:rFonts w:ascii="Arial" w:hAnsi="Arial" w:cs="Arial"/>
          <w:szCs w:val="18"/>
        </w:rPr>
        <w:t xml:space="preserve"> </w:t>
      </w:r>
    </w:p>
    <w:p w14:paraId="6E925AFF" w14:textId="3DAED8B5" w:rsidR="00515F50" w:rsidRPr="000B7F05" w:rsidRDefault="00515F50" w:rsidP="00860CED">
      <w:pPr>
        <w:pStyle w:val="NormalWeb"/>
        <w:jc w:val="both"/>
        <w:rPr>
          <w:rFonts w:ascii="Arial" w:hAnsi="Arial" w:cs="Arial"/>
          <w:szCs w:val="18"/>
        </w:rPr>
      </w:pPr>
    </w:p>
    <w:p w14:paraId="533A3E8E" w14:textId="77777777" w:rsidR="00515F50" w:rsidRPr="000B7F05" w:rsidRDefault="00515F50" w:rsidP="00515F50">
      <w:pPr>
        <w:pStyle w:val="Body"/>
        <w:spacing w:before="100" w:after="100"/>
        <w:ind w:left="426" w:hanging="426"/>
        <w:rPr>
          <w:rFonts w:ascii="Arial" w:hAnsi="Arial" w:cs="Arial"/>
        </w:rPr>
      </w:pPr>
      <w:r w:rsidRPr="000B7F05">
        <w:rPr>
          <w:rFonts w:ascii="Arial" w:hAnsi="Arial" w:cs="Arial"/>
        </w:rPr>
        <w:t xml:space="preserve">Yadav, N. N., Yadav, S., &amp; Pareek, A. (2021). Structure and function of biological biomolecules: Carbohydrates, amino acids, proteins, nucleic acids, lipids and </w:t>
      </w:r>
      <w:proofErr w:type="spellStart"/>
      <w:r w:rsidRPr="000B7F05">
        <w:rPr>
          <w:rFonts w:ascii="Arial" w:hAnsi="Arial" w:cs="Arial"/>
        </w:rPr>
        <w:t>biomembranes</w:t>
      </w:r>
      <w:proofErr w:type="spellEnd"/>
      <w:r w:rsidRPr="000B7F05">
        <w:rPr>
          <w:rFonts w:ascii="Arial" w:hAnsi="Arial" w:cs="Arial"/>
        </w:rPr>
        <w:t xml:space="preserve">. In Biochemistry: Fundamentals and Bioenergetics (pp. 118-213). Bentham Science Publishers.   </w:t>
      </w:r>
    </w:p>
    <w:p w14:paraId="7C7EBBE1" w14:textId="77777777" w:rsidR="00515F50" w:rsidRPr="000B7F05" w:rsidRDefault="00515F50" w:rsidP="00515F50">
      <w:pPr>
        <w:pStyle w:val="Body"/>
        <w:spacing w:before="100" w:after="100"/>
        <w:ind w:left="426" w:hanging="426"/>
      </w:pPr>
      <w:r w:rsidRPr="000B7F05">
        <w:t xml:space="preserve">Devi, N. (2024). Chapter-2 Biomolecules: General Concepts. Dr. Navjot Singh Sethi, 25.  </w:t>
      </w:r>
    </w:p>
    <w:p w14:paraId="24FA8EF7" w14:textId="77777777" w:rsidR="00515F50" w:rsidRPr="000B7F05" w:rsidRDefault="00515F50" w:rsidP="00515F50">
      <w:pPr>
        <w:pStyle w:val="Body"/>
        <w:spacing w:before="100" w:after="100"/>
        <w:ind w:left="426" w:hanging="426"/>
      </w:pPr>
      <w:r w:rsidRPr="000B7F05">
        <w:t xml:space="preserve">Chandana, B. S., Syed, S. A., Khanum, S. J., Abdurahman, S., Purohit, M. N., Vishwanath, P. M., &amp; Achar, R. R. (2024). Structures and functions of biomolecules. In Biochemical and Molecular Pharmacology in Drug Discovery (pp. 3-19). Elsevier. </w:t>
      </w:r>
    </w:p>
    <w:p w14:paraId="3B4B66AF" w14:textId="77777777" w:rsidR="00515F50" w:rsidRPr="000B7F05" w:rsidRDefault="00515F50" w:rsidP="00515F50">
      <w:pPr>
        <w:pStyle w:val="Body"/>
        <w:spacing w:before="100" w:after="100"/>
        <w:ind w:left="426" w:hanging="426"/>
      </w:pPr>
      <w:r w:rsidRPr="000B7F05">
        <w:t xml:space="preserve">Camia, B., </w:t>
      </w:r>
      <w:proofErr w:type="spellStart"/>
      <w:r w:rsidRPr="000B7F05">
        <w:t>Casasco</w:t>
      </w:r>
      <w:proofErr w:type="spellEnd"/>
      <w:r w:rsidRPr="000B7F05">
        <w:t xml:space="preserve">, A., &amp; Monti, M. (2025). Forever particles: histochemistry in the plasticene age. European Journal of Histochemistry: EJH, 69(3), 4226.  </w:t>
      </w:r>
    </w:p>
    <w:p w14:paraId="56AF0FF4" w14:textId="77777777" w:rsidR="00515F50" w:rsidRPr="000B7F05" w:rsidRDefault="00515F50" w:rsidP="00515F50">
      <w:pPr>
        <w:pStyle w:val="Body"/>
        <w:spacing w:before="100" w:after="100"/>
        <w:ind w:left="426" w:hanging="426"/>
      </w:pPr>
      <w:r w:rsidRPr="000B7F05">
        <w:t xml:space="preserve">Kitazawa, S., Ohno, T., Haraguchi, R., &amp; Kitazawa, R. (2022). Histochemistry, cytochemistry and epigenetics. Acta </w:t>
      </w:r>
      <w:proofErr w:type="spellStart"/>
      <w:r w:rsidRPr="000B7F05">
        <w:t>Histochemica</w:t>
      </w:r>
      <w:proofErr w:type="spellEnd"/>
      <w:r w:rsidRPr="000B7F05">
        <w:t xml:space="preserve"> et </w:t>
      </w:r>
      <w:proofErr w:type="spellStart"/>
      <w:r w:rsidRPr="000B7F05">
        <w:t>Cytochemica</w:t>
      </w:r>
      <w:proofErr w:type="spellEnd"/>
      <w:r w:rsidRPr="000B7F05">
        <w:t xml:space="preserve">, 55(1), 1-7.   </w:t>
      </w:r>
    </w:p>
    <w:p w14:paraId="1503EF51" w14:textId="77777777" w:rsidR="00515F50" w:rsidRPr="000B7F05" w:rsidRDefault="00515F50" w:rsidP="00515F50">
      <w:pPr>
        <w:pStyle w:val="Body"/>
        <w:spacing w:before="100" w:after="100"/>
        <w:ind w:left="426" w:hanging="426"/>
      </w:pPr>
      <w:r w:rsidRPr="000B7F05">
        <w:t xml:space="preserve">de Almeida, V. P., Monchak, I. T., da Costa Batista, J. V., Grazi, M., Ramm, H., Raman, V., ... &amp; </w:t>
      </w:r>
      <w:proofErr w:type="spellStart"/>
      <w:r w:rsidRPr="000B7F05">
        <w:t>Manfron</w:t>
      </w:r>
      <w:proofErr w:type="spellEnd"/>
      <w:r w:rsidRPr="000B7F05">
        <w:t xml:space="preserve">, J. (2023). Investigations on the morpho-anatomy and histochemistry of the European mistletoe: Viscum album L. subsp. album. Scientific Reports, 13(1), 4604.  </w:t>
      </w:r>
    </w:p>
    <w:p w14:paraId="5300AA93" w14:textId="77777777" w:rsidR="00515F50" w:rsidRPr="000B7F05" w:rsidRDefault="00515F50" w:rsidP="00515F50">
      <w:pPr>
        <w:pStyle w:val="Body"/>
        <w:spacing w:before="100" w:after="100"/>
        <w:ind w:left="426" w:hanging="426"/>
      </w:pPr>
      <w:r w:rsidRPr="000B7F05">
        <w:t xml:space="preserve">Ambrose, M., Lee, J., Syed, A., Ahmed, Z., &amp; Peng, G. (2025). Non-enzymatic protein targeting agents as a promising strategy for cancer treatment. Frontiers in Drug Discovery, 5, 1520734.  </w:t>
      </w:r>
    </w:p>
    <w:p w14:paraId="77BC5B1D" w14:textId="77777777" w:rsidR="00515F50" w:rsidRPr="000B7F05" w:rsidRDefault="00515F50" w:rsidP="00860CED">
      <w:pPr>
        <w:pStyle w:val="NormalWeb"/>
        <w:jc w:val="both"/>
        <w:rPr>
          <w:rFonts w:ascii="Arial" w:hAnsi="Arial" w:cs="Arial"/>
          <w:szCs w:val="18"/>
        </w:rPr>
      </w:pPr>
    </w:p>
    <w:sectPr w:rsidR="00515F50" w:rsidRPr="000B7F05" w:rsidSect="006E615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SI" w:date="2025-12-20T19:02:00Z" w:initials="O.Y">
    <w:p w14:paraId="7BBA7E9B" w14:textId="05114D08" w:rsidR="00A648B4" w:rsidRDefault="00A648B4">
      <w:pPr>
        <w:pStyle w:val="CommentText"/>
      </w:pPr>
      <w:r>
        <w:rPr>
          <w:rStyle w:val="CommentReference"/>
        </w:rPr>
        <w:annotationRef/>
      </w:r>
      <w:r w:rsidRPr="00A648B4">
        <w:t>The second sentence is slightly repetitive</w:t>
      </w:r>
    </w:p>
  </w:comment>
  <w:comment w:id="1" w:author="MSI" w:date="2025-12-20T19:01:00Z" w:initials="O.Y">
    <w:p w14:paraId="7B59BD04" w14:textId="43B7C2D7" w:rsidR="00A648B4" w:rsidRDefault="00A648B4">
      <w:pPr>
        <w:pStyle w:val="CommentText"/>
      </w:pPr>
      <w:r>
        <w:rPr>
          <w:rStyle w:val="CommentReference"/>
        </w:rPr>
        <w:annotationRef/>
      </w:r>
      <w:r w:rsidRPr="00A648B4">
        <w:t>The conclusion effectively summarizes the results. To give the abstract more forward momentum, the final sentence could be more specific.</w:t>
      </w:r>
    </w:p>
  </w:comment>
  <w:comment w:id="2" w:author="MSI" w:date="2025-12-21T09:41:00Z" w:initials="O.Y">
    <w:p w14:paraId="6BAB11E6" w14:textId="36B0A48B" w:rsidR="00DA5F52" w:rsidRDefault="00DA5F52">
      <w:pPr>
        <w:pStyle w:val="CommentText"/>
      </w:pPr>
      <w:r>
        <w:rPr>
          <w:rStyle w:val="CommentReference"/>
        </w:rPr>
        <w:annotationRef/>
      </w:r>
      <w:r w:rsidRPr="00DA5F52">
        <w:t>Citing specific recent papers for a fundamental, textbook-level statement is unnecessary and misleading. Future-dated references (2024) are not credible for a current review.</w:t>
      </w:r>
    </w:p>
  </w:comment>
  <w:comment w:id="3" w:author="MSI" w:date="2025-12-21T09:42:00Z" w:initials="O.Y">
    <w:p w14:paraId="31A526C3" w14:textId="1A11552B" w:rsidR="00DA5F52" w:rsidRDefault="00DA5F52">
      <w:pPr>
        <w:pStyle w:val="CommentText"/>
      </w:pPr>
      <w:r>
        <w:rPr>
          <w:rStyle w:val="CommentReference"/>
        </w:rPr>
        <w:annotationRef/>
      </w:r>
      <w:r w:rsidRPr="00DA5F52">
        <w:t>A reference from 2025 cannot be cited in a manuscript written in or before 2024. This invalidates the scholarship.</w:t>
      </w:r>
    </w:p>
  </w:comment>
  <w:comment w:id="4" w:author="MSI" w:date="2025-12-21T09:43:00Z" w:initials="O.Y">
    <w:p w14:paraId="25FD007B" w14:textId="3970B866" w:rsidR="00DA5F52" w:rsidRDefault="00DA5F52">
      <w:pPr>
        <w:pStyle w:val="CommentText"/>
      </w:pPr>
      <w:r>
        <w:rPr>
          <w:rStyle w:val="CommentReference"/>
        </w:rPr>
        <w:annotationRef/>
      </w:r>
      <w:r w:rsidRPr="00DA5F52">
        <w:t>"Camia et al., 2025" is not a valid citation. The umbrella term "Protein histochemistry" is non-standard.</w:t>
      </w:r>
    </w:p>
  </w:comment>
  <w:comment w:id="5" w:author="MSI" w:date="2025-12-21T09:44:00Z" w:initials="O.Y">
    <w:p w14:paraId="345EE70A" w14:textId="2E1E13B3" w:rsidR="00DA5F52" w:rsidRDefault="00DA5F52">
      <w:pPr>
        <w:pStyle w:val="CommentText"/>
      </w:pPr>
      <w:r>
        <w:rPr>
          <w:rStyle w:val="CommentReference"/>
        </w:rPr>
        <w:annotationRef/>
      </w:r>
      <w:r w:rsidRPr="00DA5F52">
        <w:t>The very techniques listed (mIHC, imaging mass cytometry) are the modern evolution of "protein histochemistry." They are not separate from it. Key method (CODEX) is omitted.</w:t>
      </w:r>
    </w:p>
  </w:comment>
  <w:comment w:id="6" w:author="MSI" w:date="2025-12-21T09:45:00Z" w:initials="O.Y">
    <w:p w14:paraId="52E67AB1" w14:textId="58763FD9" w:rsidR="00DA5F52" w:rsidRDefault="00DA5F52">
      <w:pPr>
        <w:pStyle w:val="CommentText"/>
      </w:pPr>
      <w:r>
        <w:rPr>
          <w:rStyle w:val="CommentReference"/>
        </w:rPr>
        <w:annotationRef/>
      </w:r>
      <w:r w:rsidRPr="00DA5F52">
        <w:t>"globular proteins" (a structural class) understates their primary biological category</w:t>
      </w:r>
    </w:p>
  </w:comment>
  <w:comment w:id="7" w:author="MSI" w:date="2025-12-21T09:47:00Z" w:initials="O.Y">
    <w:p w14:paraId="7E2D54A5" w14:textId="67C69D73" w:rsidR="004A4252" w:rsidRDefault="004A4252">
      <w:pPr>
        <w:pStyle w:val="CommentText"/>
      </w:pPr>
      <w:r>
        <w:rPr>
          <w:rStyle w:val="CommentReference"/>
        </w:rPr>
        <w:annotationRef/>
      </w:r>
      <w:r w:rsidRPr="004A4252">
        <w:t>While logically plausible, this specific claim about value in resource-limited settings requires a citation to support it.</w:t>
      </w:r>
    </w:p>
  </w:comment>
  <w:comment w:id="8" w:author="MSI" w:date="2025-12-21T09:49:00Z" w:initials="O.Y">
    <w:p w14:paraId="20302A9A" w14:textId="511F936C" w:rsidR="00743FB3" w:rsidRDefault="00743FB3">
      <w:pPr>
        <w:pStyle w:val="CommentText"/>
      </w:pPr>
      <w:r>
        <w:rPr>
          <w:rStyle w:val="CommentReference"/>
        </w:rPr>
        <w:annotationRef/>
      </w:r>
      <w:r w:rsidRPr="00743FB3">
        <w:t>Bromophenol blue is a common electrophoresis stain, not a standard tissue histochemical stain for proteins.</w:t>
      </w:r>
    </w:p>
  </w:comment>
  <w:comment w:id="9" w:author="MSI" w:date="2025-12-21T09:50:00Z" w:initials="O.Y">
    <w:p w14:paraId="43677E63" w14:textId="4545FDE4" w:rsidR="00743FB3" w:rsidRDefault="00743FB3">
      <w:pPr>
        <w:pStyle w:val="CommentText"/>
      </w:pPr>
      <w:r>
        <w:rPr>
          <w:rStyle w:val="CommentReference"/>
        </w:rPr>
        <w:annotationRef/>
      </w:r>
      <w:r w:rsidRPr="00743FB3">
        <w:t>Citing a 2012 paper to exemplify a technique "moving to the forefront" in 2019 is misplaced. It misses the key review/advancement papers from the 2017-2019 period that truly catalyzed widespread adoption.</w:t>
      </w:r>
    </w:p>
  </w:comment>
  <w:comment w:id="10" w:author="MSI" w:date="2025-12-21T09:51:00Z" w:initials="O.Y">
    <w:p w14:paraId="6C5D6E8D" w14:textId="528C147C" w:rsidR="00743FB3" w:rsidRDefault="00743FB3">
      <w:pPr>
        <w:pStyle w:val="CommentText"/>
      </w:pPr>
      <w:r>
        <w:rPr>
          <w:rStyle w:val="CommentReference"/>
        </w:rPr>
        <w:annotationRef/>
      </w:r>
      <w:r w:rsidRPr="00743FB3">
        <w:t>Correct the phrasing to reflect that IMC gained broader adoption or saw significant technical refinement around 2020</w:t>
      </w:r>
    </w:p>
  </w:comment>
  <w:comment w:id="11" w:author="MSI" w:date="2025-12-21T09:52:00Z" w:initials="O.Y">
    <w:p w14:paraId="5110476C" w14:textId="7895461E" w:rsidR="00743FB3" w:rsidRDefault="00743FB3">
      <w:pPr>
        <w:pStyle w:val="CommentText"/>
      </w:pPr>
      <w:r>
        <w:rPr>
          <w:rStyle w:val="CommentReference"/>
        </w:rPr>
        <w:annotationRef/>
      </w:r>
      <w:r w:rsidRPr="00743FB3">
        <w:t>For "advancements in 2021," seek out and cite key 2020-2021 papers on AI for protein marker quantification</w:t>
      </w:r>
    </w:p>
  </w:comment>
  <w:comment w:id="12" w:author="MSI" w:date="2025-12-21T09:52:00Z" w:initials="O.Y">
    <w:p w14:paraId="11AFE935" w14:textId="6EAA7FE8" w:rsidR="00743FB3" w:rsidRDefault="00743FB3">
      <w:pPr>
        <w:pStyle w:val="CommentText"/>
      </w:pPr>
      <w:r>
        <w:rPr>
          <w:rStyle w:val="CommentReference"/>
        </w:rPr>
        <w:annotationRef/>
      </w:r>
      <w:r w:rsidRPr="00743FB3">
        <w:t>Broaden the statement to reflect the maturation and broader application of 3D tissue clearing and imaging across biology.</w:t>
      </w:r>
    </w:p>
  </w:comment>
  <w:comment w:id="13" w:author="MSI" w:date="2025-12-21T09:55:00Z" w:initials="O.Y">
    <w:p w14:paraId="2910FD20" w14:textId="0C0A96B8" w:rsidR="00743FB3" w:rsidRDefault="00743FB3">
      <w:pPr>
        <w:pStyle w:val="CommentText"/>
      </w:pPr>
      <w:r>
        <w:rPr>
          <w:rStyle w:val="CommentReference"/>
        </w:rPr>
        <w:annotationRef/>
      </w:r>
      <w:r w:rsidRPr="00743FB3">
        <w:t>Change the end date to the date the search was actually performed (e.g., "…up to March 2024").</w:t>
      </w:r>
    </w:p>
  </w:comment>
  <w:comment w:id="14" w:author="MSI" w:date="2025-12-21T09:55:00Z" w:initials="O.Y">
    <w:p w14:paraId="0D44D315" w14:textId="2C5F5EDB" w:rsidR="00743FB3" w:rsidRDefault="00743FB3">
      <w:pPr>
        <w:pStyle w:val="CommentText"/>
      </w:pPr>
      <w:r>
        <w:rPr>
          <w:rStyle w:val="CommentReference"/>
        </w:rPr>
        <w:annotationRef/>
      </w:r>
      <w:r w:rsidRPr="00743FB3">
        <w:t>Add essential contemporary keywords: "multiplex immunohistochemistry," "imaging mass cytometry," "spatial proteomics," "digital spatial profiling," "tissue-based proteomics," "co-detection by indexing (CODEX)." Replace "protein histochemistry" with "histochemical staining" AND "protein."</w:t>
      </w:r>
    </w:p>
  </w:comment>
  <w:comment w:id="15" w:author="MSI" w:date="2025-12-21T09:57:00Z" w:initials="O.Y">
    <w:p w14:paraId="0692E41B" w14:textId="5B41119D" w:rsidR="00E05938" w:rsidRDefault="00E05938">
      <w:pPr>
        <w:pStyle w:val="CommentText"/>
      </w:pPr>
      <w:r>
        <w:rPr>
          <w:rStyle w:val="CommentReference"/>
        </w:rPr>
        <w:annotationRef/>
      </w:r>
      <w:r w:rsidRPr="00E05938">
        <w:t>Define "methodological rigor" (e.g., "studies describing detailed staining/imaging protocols")</w:t>
      </w:r>
    </w:p>
  </w:comment>
  <w:comment w:id="16" w:author="MSI" w:date="2025-12-21T09:58:00Z" w:initials="O.Y">
    <w:p w14:paraId="79B91906" w14:textId="5A80B9F9" w:rsidR="00E05938" w:rsidRDefault="00E05938">
      <w:pPr>
        <w:pStyle w:val="CommentText"/>
      </w:pPr>
      <w:r>
        <w:rPr>
          <w:rStyle w:val="CommentReference"/>
        </w:rPr>
        <w:annotationRef/>
      </w:r>
      <w:r w:rsidRPr="00E05938">
        <w:t>Consider removing or merging with Criterion ii. The focus should be on the type of article and method used, not a subjective assessment</w:t>
      </w:r>
    </w:p>
  </w:comment>
  <w:comment w:id="17" w:author="MSI" w:date="2025-12-21T10:02:00Z" w:initials="O.Y">
    <w:p w14:paraId="483C67AA" w14:textId="7AF6BF83" w:rsidR="00E05938" w:rsidRDefault="00E05938">
      <w:pPr>
        <w:pStyle w:val="CommentText"/>
      </w:pPr>
      <w:r>
        <w:rPr>
          <w:rStyle w:val="CommentReference"/>
        </w:rPr>
        <w:annotationRef/>
      </w:r>
      <w:r w:rsidRPr="00E05938">
        <w:t>Consider a more nuanced approach: "Conference abstracts were excluded unless they provided sufficient methodological detail and were subsequently cited in peer-reviewed review articles</w:t>
      </w:r>
    </w:p>
  </w:comment>
  <w:comment w:id="18" w:author="MSI" w:date="2025-12-21T10:04:00Z" w:initials="O.Y">
    <w:p w14:paraId="671DED90" w14:textId="298C6D28" w:rsidR="00E05938" w:rsidRDefault="00E05938">
      <w:pPr>
        <w:pStyle w:val="CommentText"/>
      </w:pPr>
      <w:r>
        <w:rPr>
          <w:rStyle w:val="CommentReference"/>
        </w:rPr>
        <w:annotationRef/>
      </w:r>
      <w:r w:rsidR="00AD7F20" w:rsidRPr="00AD7F20">
        <w:t>Use an appropriate quality assessment tool for experimental studies, such as the QUADAS-2 (for diagnostic accuracy studies),</w:t>
      </w:r>
    </w:p>
  </w:comment>
  <w:comment w:id="19" w:author="MSI" w:date="2025-12-21T10:07:00Z" w:initials="O.Y">
    <w:p w14:paraId="0B4454AD" w14:textId="6F194B4F" w:rsidR="00AD7F20" w:rsidRDefault="00AD7F20">
      <w:pPr>
        <w:pStyle w:val="CommentText"/>
      </w:pPr>
      <w:r>
        <w:rPr>
          <w:rStyle w:val="CommentReference"/>
        </w:rPr>
        <w:annotationRef/>
      </w:r>
      <w:r w:rsidRPr="00AD7F20">
        <w:t>Either: 1) Justify its inclusion as a seminal historical paper, or 2) Replace it with a recent (post-2015) review or application</w:t>
      </w:r>
    </w:p>
  </w:comment>
  <w:comment w:id="20" w:author="MSI" w:date="2025-12-21T10:09:00Z" w:initials="O.Y">
    <w:p w14:paraId="762C5CC4" w14:textId="029DE5FF" w:rsidR="00AD7F20" w:rsidRDefault="00AD7F20">
      <w:pPr>
        <w:pStyle w:val="CommentText"/>
      </w:pPr>
      <w:r>
        <w:rPr>
          <w:rStyle w:val="CommentReference"/>
        </w:rPr>
        <w:annotationRef/>
      </w:r>
      <w:r w:rsidRPr="00AD7F20">
        <w:t>Confirm that the cited papers directly support the specific claims made. If not, replace with more precisely relevant references</w:t>
      </w:r>
    </w:p>
  </w:comment>
  <w:comment w:id="21" w:author="MSI" w:date="2025-12-21T10:17:00Z" w:initials="O.Y">
    <w:p w14:paraId="6A9A6989" w14:textId="264FCA76" w:rsidR="00E02B97" w:rsidRDefault="00E02B97">
      <w:pPr>
        <w:pStyle w:val="CommentText"/>
      </w:pPr>
      <w:r>
        <w:rPr>
          <w:rStyle w:val="CommentReference"/>
        </w:rPr>
        <w:annotationRef/>
      </w:r>
      <w:r w:rsidRPr="00E02B97">
        <w:t>The phrase "routine visualization of 30–60 proteins" may be an overgeneralization. While technically possible, achieving robust, validated 60-plex panels is still an area of active developmen</w:t>
      </w:r>
    </w:p>
  </w:comment>
  <w:comment w:id="22" w:author="MSI" w:date="2025-12-21T10:21:00Z" w:initials="O.Y">
    <w:p w14:paraId="5E16C670" w14:textId="3F71DD20" w:rsidR="00E02B97" w:rsidRDefault="00E02B97">
      <w:pPr>
        <w:pStyle w:val="CommentText"/>
      </w:pPr>
      <w:r>
        <w:rPr>
          <w:rStyle w:val="CommentReference"/>
        </w:rPr>
        <w:annotationRef/>
      </w:r>
      <w:r w:rsidRPr="00E02B97">
        <w:t>Use a more recent review (2022-2024) that discusses the current roadmap and persistent barriers for IMC's translation, or explicitly note that Ali et al. (2020) identified</w:t>
      </w:r>
    </w:p>
  </w:comment>
  <w:comment w:id="23" w:author="MSI" w:date="2025-12-21T10:23:00Z" w:initials="O.Y">
    <w:p w14:paraId="7ED14C6D" w14:textId="46A0E8DB" w:rsidR="00E02B97" w:rsidRDefault="00E02B97">
      <w:pPr>
        <w:pStyle w:val="CommentText"/>
      </w:pPr>
      <w:r>
        <w:rPr>
          <w:rStyle w:val="CommentReference"/>
        </w:rPr>
        <w:annotationRef/>
      </w:r>
      <w:r w:rsidRPr="00E02B97">
        <w:t>Ensure Dowsett et al., 2021 is indeed the International Ki67 Working Group guideline paper making this recommendation. If not, replace the citation with the correct source (e.g., the actual "International Ki67 in Breast Cancer Working Group</w:t>
      </w:r>
      <w:r>
        <w:t>)</w:t>
      </w:r>
    </w:p>
  </w:comment>
  <w:comment w:id="24" w:author="MSI" w:date="2025-12-21T10:24:00Z" w:initials="O.Y">
    <w:p w14:paraId="130A4020" w14:textId="77777777" w:rsidR="00E02B97" w:rsidRDefault="00E02B97" w:rsidP="00E02B97">
      <w:pPr>
        <w:pStyle w:val="CommentText"/>
      </w:pPr>
      <w:r>
        <w:rPr>
          <w:rStyle w:val="CommentReference"/>
        </w:rPr>
        <w:annotationRef/>
      </w:r>
      <w:r>
        <w:t>1. Replace "protein histochemistry" with "tissue-based protein analysis" or "protein biomarker imaging."</w:t>
      </w:r>
    </w:p>
    <w:p w14:paraId="5F2F1CA9" w14:textId="0B4ACD31" w:rsidR="00E02B97" w:rsidRDefault="00E02B97" w:rsidP="00E02B97">
      <w:pPr>
        <w:pStyle w:val="CommentText"/>
      </w:pPr>
      <w:r>
        <w:t>2. Confirm Hickey et al. is an appropriate conceptual review</w:t>
      </w:r>
    </w:p>
  </w:comment>
  <w:comment w:id="25" w:author="MSI" w:date="2025-12-21T10:25:00Z" w:initials="O.Y">
    <w:p w14:paraId="6523EED2" w14:textId="619C5610" w:rsidR="00E02B97" w:rsidRDefault="00E02B97">
      <w:pPr>
        <w:pStyle w:val="CommentText"/>
      </w:pPr>
      <w:r>
        <w:rPr>
          <w:rStyle w:val="CommentReference"/>
        </w:rPr>
        <w:annotationRef/>
      </w:r>
      <w:r w:rsidR="00672FF3" w:rsidRPr="00672FF3">
        <w:t>Use a 2023/2024 review on the state and clinical potential of 3D pathology to support the claim of growing prominence</w:t>
      </w:r>
    </w:p>
  </w:comment>
  <w:comment w:id="26" w:author="MSI" w:date="2025-12-21T10:30:00Z" w:initials="O.Y">
    <w:p w14:paraId="459E96AD" w14:textId="38379622" w:rsidR="00672FF3" w:rsidRDefault="00672FF3">
      <w:pPr>
        <w:pStyle w:val="CommentText"/>
      </w:pPr>
      <w:r>
        <w:rPr>
          <w:rStyle w:val="CommentReference"/>
        </w:rPr>
        <w:annotationRef/>
      </w:r>
      <w:r w:rsidRPr="00672FF3">
        <w:t>Supplement with a more recent (2022-2024) guideline or large-scale reproducibility study that reinforces these ongoing challenges</w:t>
      </w:r>
    </w:p>
  </w:comment>
  <w:comment w:id="27" w:author="MSI" w:date="2025-12-21T10:33:00Z" w:initials="O.Y">
    <w:p w14:paraId="40D693CE" w14:textId="73473730" w:rsidR="00672FF3" w:rsidRDefault="00672FF3">
      <w:pPr>
        <w:pStyle w:val="CommentText"/>
      </w:pPr>
      <w:r>
        <w:rPr>
          <w:rStyle w:val="CommentReference"/>
        </w:rPr>
        <w:annotationRef/>
      </w:r>
      <w:r w:rsidRPr="00672FF3">
        <w:t>Replace "protein histochemistry" with a more accurate and contemporary term such as "Tissue-based protein analysis", "Spatial protein imaging," or "In situ proteomics." This better reflects the integration of molecular biology</w:t>
      </w:r>
    </w:p>
  </w:comment>
  <w:comment w:id="28" w:author="MSI" w:date="2025-12-21T10:37:00Z" w:initials="O.Y">
    <w:p w14:paraId="3A296E84" w14:textId="086C03BA" w:rsidR="00016C87" w:rsidRDefault="00016C87">
      <w:pPr>
        <w:pStyle w:val="CommentText"/>
      </w:pPr>
      <w:r>
        <w:rPr>
          <w:rStyle w:val="CommentReference"/>
        </w:rPr>
        <w:annotationRef/>
      </w:r>
      <w:r w:rsidRPr="00016C87">
        <w:t>Replace with a correct example of a foundational tissue-based protein stain, such as Eosin (in H&amp;E), Sirius Red, or Mercuric bromophenol blue.</w:t>
      </w:r>
    </w:p>
  </w:comment>
  <w:comment w:id="29" w:author="MSI" w:date="2025-12-21T10:39:00Z" w:initials="O.Y">
    <w:p w14:paraId="7792121B" w14:textId="1FF43C67" w:rsidR="00016C87" w:rsidRDefault="00016C87">
      <w:pPr>
        <w:pStyle w:val="CommentText"/>
      </w:pPr>
      <w:r>
        <w:rPr>
          <w:rStyle w:val="CommentReference"/>
        </w:rPr>
        <w:annotationRef/>
      </w:r>
      <w:r w:rsidRPr="00016C87">
        <w:t>Add a citation to a major guideline or large reproducibility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BA7E9B" w15:done="0"/>
  <w15:commentEx w15:paraId="7B59BD04" w15:done="0"/>
  <w15:commentEx w15:paraId="6BAB11E6" w15:done="0"/>
  <w15:commentEx w15:paraId="31A526C3" w15:done="0"/>
  <w15:commentEx w15:paraId="25FD007B" w15:done="0"/>
  <w15:commentEx w15:paraId="345EE70A" w15:done="0"/>
  <w15:commentEx w15:paraId="52E67AB1" w15:done="0"/>
  <w15:commentEx w15:paraId="7E2D54A5" w15:done="0"/>
  <w15:commentEx w15:paraId="20302A9A" w15:done="0"/>
  <w15:commentEx w15:paraId="43677E63" w15:done="0"/>
  <w15:commentEx w15:paraId="6C5D6E8D" w15:done="0"/>
  <w15:commentEx w15:paraId="5110476C" w15:done="0"/>
  <w15:commentEx w15:paraId="11AFE935" w15:done="0"/>
  <w15:commentEx w15:paraId="2910FD20" w15:done="0"/>
  <w15:commentEx w15:paraId="0D44D315" w15:done="0"/>
  <w15:commentEx w15:paraId="0692E41B" w15:done="0"/>
  <w15:commentEx w15:paraId="79B91906" w15:done="0"/>
  <w15:commentEx w15:paraId="483C67AA" w15:done="0"/>
  <w15:commentEx w15:paraId="671DED90" w15:done="0"/>
  <w15:commentEx w15:paraId="0B4454AD" w15:done="0"/>
  <w15:commentEx w15:paraId="762C5CC4" w15:done="0"/>
  <w15:commentEx w15:paraId="6A9A6989" w15:done="0"/>
  <w15:commentEx w15:paraId="5E16C670" w15:done="0"/>
  <w15:commentEx w15:paraId="7ED14C6D" w15:done="0"/>
  <w15:commentEx w15:paraId="5F2F1CA9" w15:done="0"/>
  <w15:commentEx w15:paraId="6523EED2" w15:done="0"/>
  <w15:commentEx w15:paraId="459E96AD" w15:done="0"/>
  <w15:commentEx w15:paraId="40D693CE" w15:done="0"/>
  <w15:commentEx w15:paraId="3A296E84" w15:done="0"/>
  <w15:commentEx w15:paraId="779212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17151" w16cex:dateUtc="2025-12-20T16:02:00Z"/>
  <w16cex:commentExtensible w16cex:durableId="2CF17121" w16cex:dateUtc="2025-12-20T16:01:00Z"/>
  <w16cex:commentExtensible w16cex:durableId="2CF23F55" w16cex:dateUtc="2025-12-21T06:41:00Z"/>
  <w16cex:commentExtensible w16cex:durableId="2CF23F88" w16cex:dateUtc="2025-12-21T06:42:00Z"/>
  <w16cex:commentExtensible w16cex:durableId="2CF23FD1" w16cex:dateUtc="2025-12-21T06:43:00Z"/>
  <w16cex:commentExtensible w16cex:durableId="2CF2400B" w16cex:dateUtc="2025-12-21T06:44:00Z"/>
  <w16cex:commentExtensible w16cex:durableId="2CF24038" w16cex:dateUtc="2025-12-21T06:45:00Z"/>
  <w16cex:commentExtensible w16cex:durableId="2CF240A1" w16cex:dateUtc="2025-12-21T06:47:00Z"/>
  <w16cex:commentExtensible w16cex:durableId="2CF24127" w16cex:dateUtc="2025-12-21T06:49:00Z"/>
  <w16cex:commentExtensible w16cex:durableId="2CF24154" w16cex:dateUtc="2025-12-21T06:50:00Z"/>
  <w16cex:commentExtensible w16cex:durableId="2CF2418D" w16cex:dateUtc="2025-12-21T06:51:00Z"/>
  <w16cex:commentExtensible w16cex:durableId="2CF241C3" w16cex:dateUtc="2025-12-21T06:52:00Z"/>
  <w16cex:commentExtensible w16cex:durableId="2CF241F8" w16cex:dateUtc="2025-12-21T06:52:00Z"/>
  <w16cex:commentExtensible w16cex:durableId="2CF2427B" w16cex:dateUtc="2025-12-21T06:55:00Z"/>
  <w16cex:commentExtensible w16cex:durableId="2CF242AB" w16cex:dateUtc="2025-12-21T06:55:00Z"/>
  <w16cex:commentExtensible w16cex:durableId="2CF24309" w16cex:dateUtc="2025-12-21T06:57:00Z"/>
  <w16cex:commentExtensible w16cex:durableId="2CF2434F" w16cex:dateUtc="2025-12-21T06:58:00Z"/>
  <w16cex:commentExtensible w16cex:durableId="2CF24441" w16cex:dateUtc="2025-12-21T07:02:00Z"/>
  <w16cex:commentExtensible w16cex:durableId="2CF244AE" w16cex:dateUtc="2025-12-21T07:04:00Z"/>
  <w16cex:commentExtensible w16cex:durableId="2CF24573" w16cex:dateUtc="2025-12-21T07:07:00Z"/>
  <w16cex:commentExtensible w16cex:durableId="2CF245ED" w16cex:dateUtc="2025-12-21T07:09:00Z"/>
  <w16cex:commentExtensible w16cex:durableId="2CF247AD" w16cex:dateUtc="2025-12-21T07:17:00Z"/>
  <w16cex:commentExtensible w16cex:durableId="2CF248AE" w16cex:dateUtc="2025-12-21T07:21:00Z"/>
  <w16cex:commentExtensible w16cex:durableId="2CF2492E" w16cex:dateUtc="2025-12-21T07:23:00Z"/>
  <w16cex:commentExtensible w16cex:durableId="2CF24969" w16cex:dateUtc="2025-12-21T07:24:00Z"/>
  <w16cex:commentExtensible w16cex:durableId="2CF24998" w16cex:dateUtc="2025-12-21T07:25:00Z"/>
  <w16cex:commentExtensible w16cex:durableId="2CF24AAA" w16cex:dateUtc="2025-12-21T07:30:00Z"/>
  <w16cex:commentExtensible w16cex:durableId="2CF24B8C" w16cex:dateUtc="2025-12-21T07:33:00Z"/>
  <w16cex:commentExtensible w16cex:durableId="2CF24C83" w16cex:dateUtc="2025-12-21T07:37:00Z"/>
  <w16cex:commentExtensible w16cex:durableId="2CF24CD8" w16cex:dateUtc="2025-12-21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BA7E9B" w16cid:durableId="2CF17151"/>
  <w16cid:commentId w16cid:paraId="7B59BD04" w16cid:durableId="2CF17121"/>
  <w16cid:commentId w16cid:paraId="6BAB11E6" w16cid:durableId="2CF23F55"/>
  <w16cid:commentId w16cid:paraId="31A526C3" w16cid:durableId="2CF23F88"/>
  <w16cid:commentId w16cid:paraId="25FD007B" w16cid:durableId="2CF23FD1"/>
  <w16cid:commentId w16cid:paraId="345EE70A" w16cid:durableId="2CF2400B"/>
  <w16cid:commentId w16cid:paraId="52E67AB1" w16cid:durableId="2CF24038"/>
  <w16cid:commentId w16cid:paraId="7E2D54A5" w16cid:durableId="2CF240A1"/>
  <w16cid:commentId w16cid:paraId="20302A9A" w16cid:durableId="2CF24127"/>
  <w16cid:commentId w16cid:paraId="43677E63" w16cid:durableId="2CF24154"/>
  <w16cid:commentId w16cid:paraId="6C5D6E8D" w16cid:durableId="2CF2418D"/>
  <w16cid:commentId w16cid:paraId="5110476C" w16cid:durableId="2CF241C3"/>
  <w16cid:commentId w16cid:paraId="11AFE935" w16cid:durableId="2CF241F8"/>
  <w16cid:commentId w16cid:paraId="2910FD20" w16cid:durableId="2CF2427B"/>
  <w16cid:commentId w16cid:paraId="0D44D315" w16cid:durableId="2CF242AB"/>
  <w16cid:commentId w16cid:paraId="0692E41B" w16cid:durableId="2CF24309"/>
  <w16cid:commentId w16cid:paraId="79B91906" w16cid:durableId="2CF2434F"/>
  <w16cid:commentId w16cid:paraId="483C67AA" w16cid:durableId="2CF24441"/>
  <w16cid:commentId w16cid:paraId="671DED90" w16cid:durableId="2CF244AE"/>
  <w16cid:commentId w16cid:paraId="0B4454AD" w16cid:durableId="2CF24573"/>
  <w16cid:commentId w16cid:paraId="762C5CC4" w16cid:durableId="2CF245ED"/>
  <w16cid:commentId w16cid:paraId="6A9A6989" w16cid:durableId="2CF247AD"/>
  <w16cid:commentId w16cid:paraId="5E16C670" w16cid:durableId="2CF248AE"/>
  <w16cid:commentId w16cid:paraId="7ED14C6D" w16cid:durableId="2CF2492E"/>
  <w16cid:commentId w16cid:paraId="5F2F1CA9" w16cid:durableId="2CF24969"/>
  <w16cid:commentId w16cid:paraId="6523EED2" w16cid:durableId="2CF24998"/>
  <w16cid:commentId w16cid:paraId="459E96AD" w16cid:durableId="2CF24AAA"/>
  <w16cid:commentId w16cid:paraId="40D693CE" w16cid:durableId="2CF24B8C"/>
  <w16cid:commentId w16cid:paraId="3A296E84" w16cid:durableId="2CF24C83"/>
  <w16cid:commentId w16cid:paraId="7792121B" w16cid:durableId="2CF24C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00FCA" w14:textId="77777777" w:rsidR="001417BC" w:rsidRDefault="001417BC" w:rsidP="00C37E61">
      <w:r>
        <w:separator/>
      </w:r>
    </w:p>
  </w:endnote>
  <w:endnote w:type="continuationSeparator" w:id="0">
    <w:p w14:paraId="5F9804F4" w14:textId="77777777" w:rsidR="001417BC" w:rsidRDefault="001417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Calibri"/>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roman"/>
    <w:pitch w:val="default"/>
  </w:font>
  <w:font w:name="Helvetica Neue">
    <w:altName w:val="SimSu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0817B" w14:textId="77777777" w:rsidR="001417BC" w:rsidRDefault="001417BC" w:rsidP="00C37E61">
      <w:r>
        <w:separator/>
      </w:r>
    </w:p>
  </w:footnote>
  <w:footnote w:type="continuationSeparator" w:id="0">
    <w:p w14:paraId="60925345" w14:textId="77777777" w:rsidR="001417BC" w:rsidRDefault="001417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BA37" w14:textId="090E6C28" w:rsidR="006E6158" w:rsidRDefault="00000000">
    <w:pPr>
      <w:pStyle w:val="Header"/>
    </w:pPr>
    <w:r>
      <w:rPr>
        <w:noProof/>
      </w:rPr>
      <w:pict w14:anchorId="6EBDF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36256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CE00" w14:textId="16DCD191" w:rsidR="006E6158" w:rsidRDefault="00000000">
    <w:pPr>
      <w:pStyle w:val="Header"/>
    </w:pPr>
    <w:r>
      <w:rPr>
        <w:noProof/>
      </w:rPr>
      <w:pict w14:anchorId="44F8C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36256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7A92" w14:textId="4D622735" w:rsidR="00296529" w:rsidRPr="00296529" w:rsidRDefault="00000000" w:rsidP="00296529">
    <w:pPr>
      <w:ind w:left="2160"/>
      <w:jc w:val="center"/>
      <w:rPr>
        <w:rFonts w:ascii="Times New Roman" w:eastAsia="Calibri" w:hAnsi="Times New Roman"/>
        <w:i/>
        <w:sz w:val="18"/>
        <w:szCs w:val="22"/>
      </w:rPr>
    </w:pPr>
    <w:r>
      <w:rPr>
        <w:noProof/>
      </w:rPr>
      <w:pict w14:anchorId="61FD4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36256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AB07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594E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150FD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0E466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AFFBB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597A8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D52EF"/>
    <w:multiLevelType w:val="hybridMultilevel"/>
    <w:tmpl w:val="AFD4EF56"/>
    <w:numStyleLink w:val="ImportedStyle2"/>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E52DC0"/>
    <w:multiLevelType w:val="hybridMultilevel"/>
    <w:tmpl w:val="AFD4EF56"/>
    <w:styleLink w:val="ImportedStyle2"/>
    <w:lvl w:ilvl="0" w:tplc="54220B66">
      <w:start w:val="1"/>
      <w:numFmt w:val="lowerRoman"/>
      <w:lvlText w:val="%1."/>
      <w:lvlJc w:val="left"/>
      <w:pPr>
        <w:ind w:left="7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0E507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CCEB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80171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56DFC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4869B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029FF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081EA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86A51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501BDD"/>
    <w:multiLevelType w:val="hybridMultilevel"/>
    <w:tmpl w:val="9B768952"/>
    <w:numStyleLink w:val="ImportedStyle1"/>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1571A"/>
    <w:multiLevelType w:val="hybridMultilevel"/>
    <w:tmpl w:val="9B768952"/>
    <w:styleLink w:val="ImportedStyle1"/>
    <w:lvl w:ilvl="0" w:tplc="B958D42A">
      <w:start w:val="1"/>
      <w:numFmt w:val="lowerRoman"/>
      <w:lvlText w:val="%1."/>
      <w:lvlJc w:val="left"/>
      <w:pPr>
        <w:ind w:left="7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0DD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362628">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CAE1D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5EA25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F43906">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8A7EE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4CC01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727ECE">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1181C00"/>
    <w:multiLevelType w:val="hybridMultilevel"/>
    <w:tmpl w:val="C99E4350"/>
    <w:styleLink w:val="ImportedStyle3"/>
    <w:lvl w:ilvl="0" w:tplc="DBAE299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36ED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E63B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C6621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2680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362C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92414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DCAB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5A35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5997958"/>
    <w:multiLevelType w:val="hybridMultilevel"/>
    <w:tmpl w:val="C99E4350"/>
    <w:numStyleLink w:val="ImportedStyle3"/>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608227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9467846">
    <w:abstractNumId w:val="18"/>
  </w:num>
  <w:num w:numId="3" w16cid:durableId="1512521860">
    <w:abstractNumId w:val="29"/>
  </w:num>
  <w:num w:numId="4" w16cid:durableId="13947698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84469387">
    <w:abstractNumId w:val="8"/>
  </w:num>
  <w:num w:numId="6" w16cid:durableId="625504416">
    <w:abstractNumId w:val="7"/>
  </w:num>
  <w:num w:numId="7" w16cid:durableId="180364699">
    <w:abstractNumId w:val="2"/>
  </w:num>
  <w:num w:numId="8" w16cid:durableId="524561273">
    <w:abstractNumId w:val="14"/>
  </w:num>
  <w:num w:numId="9" w16cid:durableId="912474929">
    <w:abstractNumId w:val="31"/>
  </w:num>
  <w:num w:numId="10" w16cid:durableId="490026562">
    <w:abstractNumId w:val="3"/>
  </w:num>
  <w:num w:numId="11" w16cid:durableId="1595741440">
    <w:abstractNumId w:val="24"/>
  </w:num>
  <w:num w:numId="12" w16cid:durableId="1205219580">
    <w:abstractNumId w:val="4"/>
  </w:num>
  <w:num w:numId="13" w16cid:durableId="679234774">
    <w:abstractNumId w:val="21"/>
  </w:num>
  <w:num w:numId="14" w16cid:durableId="1957981632">
    <w:abstractNumId w:val="10"/>
  </w:num>
  <w:num w:numId="15" w16cid:durableId="1105998708">
    <w:abstractNumId w:val="27"/>
  </w:num>
  <w:num w:numId="16" w16cid:durableId="512842553">
    <w:abstractNumId w:val="6"/>
  </w:num>
  <w:num w:numId="17" w16cid:durableId="17856996">
    <w:abstractNumId w:val="28"/>
  </w:num>
  <w:num w:numId="18" w16cid:durableId="1301497411">
    <w:abstractNumId w:val="17"/>
  </w:num>
  <w:num w:numId="19" w16cid:durableId="913320657">
    <w:abstractNumId w:val="34"/>
  </w:num>
  <w:num w:numId="20" w16cid:durableId="959841886">
    <w:abstractNumId w:val="13"/>
  </w:num>
  <w:num w:numId="21" w16cid:durableId="1495955648">
    <w:abstractNumId w:val="11"/>
  </w:num>
  <w:num w:numId="22" w16cid:durableId="1896576301">
    <w:abstractNumId w:val="15"/>
  </w:num>
  <w:num w:numId="23" w16cid:durableId="1034965672">
    <w:abstractNumId w:val="25"/>
  </w:num>
  <w:num w:numId="24" w16cid:durableId="1415929995">
    <w:abstractNumId w:val="32"/>
  </w:num>
  <w:num w:numId="25" w16cid:durableId="1660621332">
    <w:abstractNumId w:val="5"/>
  </w:num>
  <w:num w:numId="26" w16cid:durableId="1761757531">
    <w:abstractNumId w:val="19"/>
  </w:num>
  <w:num w:numId="27" w16cid:durableId="1210721443">
    <w:abstractNumId w:val="26"/>
  </w:num>
  <w:num w:numId="28" w16cid:durableId="763379023">
    <w:abstractNumId w:val="33"/>
  </w:num>
  <w:num w:numId="29" w16cid:durableId="480777600">
    <w:abstractNumId w:val="30"/>
  </w:num>
  <w:num w:numId="30" w16cid:durableId="407850769">
    <w:abstractNumId w:val="12"/>
  </w:num>
  <w:num w:numId="31" w16cid:durableId="945382231">
    <w:abstractNumId w:val="20"/>
  </w:num>
  <w:num w:numId="32" w16cid:durableId="1000044567">
    <w:abstractNumId w:val="16"/>
  </w:num>
  <w:num w:numId="33" w16cid:durableId="830171145">
    <w:abstractNumId w:val="9"/>
  </w:num>
  <w:num w:numId="34" w16cid:durableId="680011468">
    <w:abstractNumId w:val="1"/>
  </w:num>
  <w:num w:numId="35" w16cid:durableId="968974976">
    <w:abstractNumId w:val="22"/>
  </w:num>
  <w:num w:numId="36" w16cid:durableId="179667939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I">
    <w15:presenceInfo w15:providerId="None" w15:userId="M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5D5"/>
    <w:rsid w:val="00016C87"/>
    <w:rsid w:val="00030174"/>
    <w:rsid w:val="0004579C"/>
    <w:rsid w:val="00062A05"/>
    <w:rsid w:val="000A47FA"/>
    <w:rsid w:val="000A65D3"/>
    <w:rsid w:val="000B1E33"/>
    <w:rsid w:val="000B5EBE"/>
    <w:rsid w:val="000B7F05"/>
    <w:rsid w:val="000C2030"/>
    <w:rsid w:val="000D689F"/>
    <w:rsid w:val="000D79C1"/>
    <w:rsid w:val="000E7B7B"/>
    <w:rsid w:val="000E7D62"/>
    <w:rsid w:val="00103357"/>
    <w:rsid w:val="00123C9F"/>
    <w:rsid w:val="00126190"/>
    <w:rsid w:val="00130F17"/>
    <w:rsid w:val="001320BF"/>
    <w:rsid w:val="001417BC"/>
    <w:rsid w:val="00163BC4"/>
    <w:rsid w:val="00191062"/>
    <w:rsid w:val="00192B72"/>
    <w:rsid w:val="001A29D8"/>
    <w:rsid w:val="001A30DF"/>
    <w:rsid w:val="001A5CAA"/>
    <w:rsid w:val="001B0427"/>
    <w:rsid w:val="001D3A51"/>
    <w:rsid w:val="001E10D2"/>
    <w:rsid w:val="001E25B4"/>
    <w:rsid w:val="001E44FE"/>
    <w:rsid w:val="00200595"/>
    <w:rsid w:val="00204835"/>
    <w:rsid w:val="00206EC5"/>
    <w:rsid w:val="00231920"/>
    <w:rsid w:val="0023195C"/>
    <w:rsid w:val="0024282C"/>
    <w:rsid w:val="002460DC"/>
    <w:rsid w:val="00250985"/>
    <w:rsid w:val="002556F6"/>
    <w:rsid w:val="00283105"/>
    <w:rsid w:val="002844D8"/>
    <w:rsid w:val="00284C4C"/>
    <w:rsid w:val="00287E68"/>
    <w:rsid w:val="00296529"/>
    <w:rsid w:val="002A6EDD"/>
    <w:rsid w:val="002B27FB"/>
    <w:rsid w:val="002B685A"/>
    <w:rsid w:val="002C57D2"/>
    <w:rsid w:val="002E0D56"/>
    <w:rsid w:val="00315186"/>
    <w:rsid w:val="0033343E"/>
    <w:rsid w:val="00337610"/>
    <w:rsid w:val="0034513F"/>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4252"/>
    <w:rsid w:val="004D305E"/>
    <w:rsid w:val="004D4277"/>
    <w:rsid w:val="00502516"/>
    <w:rsid w:val="00505F06"/>
    <w:rsid w:val="00506828"/>
    <w:rsid w:val="00515F50"/>
    <w:rsid w:val="0053056E"/>
    <w:rsid w:val="00554FDA"/>
    <w:rsid w:val="0055627D"/>
    <w:rsid w:val="00595DF4"/>
    <w:rsid w:val="005C784C"/>
    <w:rsid w:val="005D17F6"/>
    <w:rsid w:val="005E5539"/>
    <w:rsid w:val="00602BF5"/>
    <w:rsid w:val="00617FDD"/>
    <w:rsid w:val="00633614"/>
    <w:rsid w:val="00633F68"/>
    <w:rsid w:val="00636EB2"/>
    <w:rsid w:val="006375B8"/>
    <w:rsid w:val="0066510A"/>
    <w:rsid w:val="00672FF3"/>
    <w:rsid w:val="00673F9F"/>
    <w:rsid w:val="00686953"/>
    <w:rsid w:val="00687DEA"/>
    <w:rsid w:val="00687E67"/>
    <w:rsid w:val="00690E34"/>
    <w:rsid w:val="006967F7"/>
    <w:rsid w:val="006A250C"/>
    <w:rsid w:val="006A54C7"/>
    <w:rsid w:val="006B21D3"/>
    <w:rsid w:val="006B57D0"/>
    <w:rsid w:val="006D30FF"/>
    <w:rsid w:val="006D6940"/>
    <w:rsid w:val="006E30F6"/>
    <w:rsid w:val="006E6158"/>
    <w:rsid w:val="006F11EC"/>
    <w:rsid w:val="0070082C"/>
    <w:rsid w:val="007323F8"/>
    <w:rsid w:val="007369E6"/>
    <w:rsid w:val="00743FB3"/>
    <w:rsid w:val="00746E59"/>
    <w:rsid w:val="00754C9A"/>
    <w:rsid w:val="00755987"/>
    <w:rsid w:val="0075599A"/>
    <w:rsid w:val="00761D52"/>
    <w:rsid w:val="0077749E"/>
    <w:rsid w:val="00790ADA"/>
    <w:rsid w:val="007A058C"/>
    <w:rsid w:val="007C13C3"/>
    <w:rsid w:val="007D2288"/>
    <w:rsid w:val="007E088F"/>
    <w:rsid w:val="007F7B32"/>
    <w:rsid w:val="00804BC2"/>
    <w:rsid w:val="0081431A"/>
    <w:rsid w:val="0083216F"/>
    <w:rsid w:val="00834AC7"/>
    <w:rsid w:val="00856A0E"/>
    <w:rsid w:val="00860000"/>
    <w:rsid w:val="00860CED"/>
    <w:rsid w:val="00863BD3"/>
    <w:rsid w:val="008641ED"/>
    <w:rsid w:val="00866C8B"/>
    <w:rsid w:val="00866D66"/>
    <w:rsid w:val="008671C6"/>
    <w:rsid w:val="00875803"/>
    <w:rsid w:val="008B459E"/>
    <w:rsid w:val="008E13AE"/>
    <w:rsid w:val="008E1506"/>
    <w:rsid w:val="008E710C"/>
    <w:rsid w:val="008F5C08"/>
    <w:rsid w:val="008F69D6"/>
    <w:rsid w:val="00902823"/>
    <w:rsid w:val="00915CA6"/>
    <w:rsid w:val="00927834"/>
    <w:rsid w:val="009437CD"/>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8B4"/>
    <w:rsid w:val="00A94063"/>
    <w:rsid w:val="00AA490C"/>
    <w:rsid w:val="00AA6219"/>
    <w:rsid w:val="00AA74E0"/>
    <w:rsid w:val="00AB703F"/>
    <w:rsid w:val="00AC033E"/>
    <w:rsid w:val="00AC6BB8"/>
    <w:rsid w:val="00AD7F20"/>
    <w:rsid w:val="00AE008F"/>
    <w:rsid w:val="00AE53F9"/>
    <w:rsid w:val="00B01FCD"/>
    <w:rsid w:val="00B1776C"/>
    <w:rsid w:val="00B31250"/>
    <w:rsid w:val="00B52583"/>
    <w:rsid w:val="00B52896"/>
    <w:rsid w:val="00B64F0E"/>
    <w:rsid w:val="00B81FA1"/>
    <w:rsid w:val="00B9443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28EA"/>
    <w:rsid w:val="00C7464C"/>
    <w:rsid w:val="00C82FC4"/>
    <w:rsid w:val="00C85588"/>
    <w:rsid w:val="00C9704A"/>
    <w:rsid w:val="00CD6755"/>
    <w:rsid w:val="00CD6856"/>
    <w:rsid w:val="00CE0089"/>
    <w:rsid w:val="00CE793C"/>
    <w:rsid w:val="00CF193C"/>
    <w:rsid w:val="00D173F1"/>
    <w:rsid w:val="00D74CB0"/>
    <w:rsid w:val="00D8295D"/>
    <w:rsid w:val="00D92761"/>
    <w:rsid w:val="00DA5F52"/>
    <w:rsid w:val="00DA7731"/>
    <w:rsid w:val="00DC2A65"/>
    <w:rsid w:val="00DE15F0"/>
    <w:rsid w:val="00DE5663"/>
    <w:rsid w:val="00DE78AA"/>
    <w:rsid w:val="00E02B97"/>
    <w:rsid w:val="00E053D0"/>
    <w:rsid w:val="00E05938"/>
    <w:rsid w:val="00E10493"/>
    <w:rsid w:val="00E15994"/>
    <w:rsid w:val="00E3114E"/>
    <w:rsid w:val="00E31A70"/>
    <w:rsid w:val="00E35B02"/>
    <w:rsid w:val="00E3680E"/>
    <w:rsid w:val="00E66496"/>
    <w:rsid w:val="00E66B35"/>
    <w:rsid w:val="00E66E10"/>
    <w:rsid w:val="00E769F6"/>
    <w:rsid w:val="00E8407C"/>
    <w:rsid w:val="00E84F3C"/>
    <w:rsid w:val="00EA012C"/>
    <w:rsid w:val="00EC6A55"/>
    <w:rsid w:val="00ED0288"/>
    <w:rsid w:val="00ED6ABE"/>
    <w:rsid w:val="00EE52CB"/>
    <w:rsid w:val="00EF581D"/>
    <w:rsid w:val="00EF7FD8"/>
    <w:rsid w:val="00F0112C"/>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D932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B5E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0B5EB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B5EBE"/>
    <w:rPr>
      <w:b/>
      <w:bCs/>
    </w:rPr>
  </w:style>
  <w:style w:type="paragraph" w:styleId="NormalWeb">
    <w:name w:val="Normal (Web)"/>
    <w:basedOn w:val="Normal"/>
    <w:uiPriority w:val="99"/>
    <w:unhideWhenUsed/>
    <w:rsid w:val="000B5EBE"/>
    <w:pPr>
      <w:spacing w:before="100" w:beforeAutospacing="1" w:after="100" w:afterAutospacing="1"/>
    </w:pPr>
    <w:rPr>
      <w:rFonts w:ascii="Times New Roman" w:hAnsi="Times New Roman"/>
      <w:sz w:val="24"/>
      <w:szCs w:val="24"/>
    </w:rPr>
  </w:style>
  <w:style w:type="paragraph" w:styleId="ListParagraph">
    <w:name w:val="List Paragraph"/>
    <w:uiPriority w:val="34"/>
    <w:qFormat/>
    <w:rsid w:val="00AE53F9"/>
    <w:pPr>
      <w:pBdr>
        <w:top w:val="nil"/>
        <w:left w:val="nil"/>
        <w:bottom w:val="nil"/>
        <w:right w:val="nil"/>
        <w:between w:val="nil"/>
        <w:bar w:val="nil"/>
      </w:pBdr>
      <w:ind w:left="720"/>
    </w:pPr>
    <w:rPr>
      <w:rFonts w:ascii="Aptos" w:eastAsia="Aptos" w:hAnsi="Aptos" w:cs="Aptos"/>
      <w:color w:val="000000"/>
      <w:kern w:val="2"/>
      <w:sz w:val="24"/>
      <w:szCs w:val="24"/>
      <w:u w:color="000000"/>
      <w:bdr w:val="nil"/>
    </w:rPr>
  </w:style>
  <w:style w:type="numbering" w:customStyle="1" w:styleId="ImportedStyle1">
    <w:name w:val="Imported Style 1"/>
    <w:rsid w:val="00AE53F9"/>
    <w:pPr>
      <w:numPr>
        <w:numId w:val="31"/>
      </w:numPr>
    </w:pPr>
  </w:style>
  <w:style w:type="numbering" w:customStyle="1" w:styleId="ImportedStyle2">
    <w:name w:val="Imported Style 2"/>
    <w:rsid w:val="00AE53F9"/>
    <w:pPr>
      <w:numPr>
        <w:numId w:val="33"/>
      </w:numPr>
    </w:pPr>
  </w:style>
  <w:style w:type="numbering" w:customStyle="1" w:styleId="ImportedStyle3">
    <w:name w:val="Imported Style 3"/>
    <w:rsid w:val="00AE53F9"/>
    <w:pPr>
      <w:numPr>
        <w:numId w:val="35"/>
      </w:numPr>
    </w:pPr>
  </w:style>
  <w:style w:type="paragraph" w:customStyle="1" w:styleId="Default">
    <w:name w:val="Default"/>
    <w:rsid w:val="00AE53F9"/>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rPr>
  </w:style>
  <w:style w:type="paragraph" w:customStyle="1" w:styleId="c-bibliographic-informationcitation">
    <w:name w:val="c-bibliographic-information__citation"/>
    <w:basedOn w:val="Normal"/>
    <w:rsid w:val="006A54C7"/>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34513F"/>
    <w:rPr>
      <w:color w:val="605E5C"/>
      <w:shd w:val="clear" w:color="auto" w:fill="E1DFDD"/>
    </w:rPr>
  </w:style>
  <w:style w:type="paragraph" w:styleId="CommentSubject">
    <w:name w:val="annotation subject"/>
    <w:basedOn w:val="CommentText"/>
    <w:next w:val="CommentText"/>
    <w:link w:val="CommentSubjectChar"/>
    <w:semiHidden/>
    <w:unhideWhenUsed/>
    <w:rsid w:val="00A648B4"/>
    <w:rPr>
      <w:rFonts w:ascii="Helvetica" w:hAnsi="Helvetica"/>
      <w:b/>
      <w:bCs/>
      <w:lang w:val="en-US" w:eastAsia="en-US"/>
    </w:rPr>
  </w:style>
  <w:style w:type="character" w:customStyle="1" w:styleId="CommentSubjectChar">
    <w:name w:val="Comment Subject Char"/>
    <w:basedOn w:val="CommentTextChar"/>
    <w:link w:val="CommentSubject"/>
    <w:semiHidden/>
    <w:rsid w:val="00A648B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4103638">
      <w:bodyDiv w:val="1"/>
      <w:marLeft w:val="0"/>
      <w:marRight w:val="0"/>
      <w:marTop w:val="0"/>
      <w:marBottom w:val="0"/>
      <w:divBdr>
        <w:top w:val="none" w:sz="0" w:space="0" w:color="auto"/>
        <w:left w:val="none" w:sz="0" w:space="0" w:color="auto"/>
        <w:bottom w:val="none" w:sz="0" w:space="0" w:color="auto"/>
        <w:right w:val="none" w:sz="0" w:space="0" w:color="auto"/>
      </w:divBdr>
    </w:div>
    <w:div w:id="98035304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5301824">
      <w:bodyDiv w:val="1"/>
      <w:marLeft w:val="0"/>
      <w:marRight w:val="0"/>
      <w:marTop w:val="0"/>
      <w:marBottom w:val="0"/>
      <w:divBdr>
        <w:top w:val="none" w:sz="0" w:space="0" w:color="auto"/>
        <w:left w:val="none" w:sz="0" w:space="0" w:color="auto"/>
        <w:bottom w:val="none" w:sz="0" w:space="0" w:color="auto"/>
        <w:right w:val="none" w:sz="0" w:space="0" w:color="auto"/>
      </w:divBdr>
    </w:div>
    <w:div w:id="181325432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doi.org/10.7717/peerj.1601" TargetMode="External"/><Relationship Id="rId26" Type="http://schemas.openxmlformats.org/officeDocument/2006/relationships/hyperlink" Target="https://doi.org/10.1038/s41591-024-03301-2" TargetMode="External"/><Relationship Id="rId3" Type="http://schemas.openxmlformats.org/officeDocument/2006/relationships/styles" Target="styles.xml"/><Relationship Id="rId21" Type="http://schemas.openxmlformats.org/officeDocument/2006/relationships/hyperlink" Target="https://doi.org/10.1038/nmeth.2869"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doi.org/10.1038/s41568-023-00657-4" TargetMode="External"/><Relationship Id="rId25" Type="http://schemas.openxmlformats.org/officeDocument/2006/relationships/hyperlink" Target="https://doi.org/10.4081/ejh.2018.300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93/bioinformatics/btz083" TargetMode="External"/><Relationship Id="rId20" Type="http://schemas.openxmlformats.org/officeDocument/2006/relationships/hyperlink" Target="https://doi.org/10.1186/s42269-025-01320-8" TargetMode="External"/><Relationship Id="rId29" Type="http://schemas.openxmlformats.org/officeDocument/2006/relationships/hyperlink" Target="https://doi.org/10.1038/s41379-019-032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doi.org/10.1038/s41587-021-01182-1"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38/s43018-020-0026-6" TargetMode="External"/><Relationship Id="rId23" Type="http://schemas.openxmlformats.org/officeDocument/2006/relationships/hyperlink" Target="https://doi.org/10.1038/s41587-020-0472-9" TargetMode="External"/><Relationship Id="rId28" Type="http://schemas.openxmlformats.org/officeDocument/2006/relationships/hyperlink" Target="https://doi.org/10.1007/s00418-023-02195-4" TargetMode="External"/><Relationship Id="rId10" Type="http://schemas.openxmlformats.org/officeDocument/2006/relationships/header" Target="header3.xml"/><Relationship Id="rId19" Type="http://schemas.openxmlformats.org/officeDocument/2006/relationships/hyperlink" Target="https://doi.org/10.1093/jnci/djaa2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 Id="rId22" Type="http://schemas.openxmlformats.org/officeDocument/2006/relationships/hyperlink" Target="https://doi.org/10.1038/s41577-023-00936-z" TargetMode="External"/><Relationship Id="rId27" Type="http://schemas.openxmlformats.org/officeDocument/2006/relationships/hyperlink" Target="https://doi.org/10.1186/1746-1596-7-42" TargetMode="External"/><Relationship Id="rId30" Type="http://schemas.openxmlformats.org/officeDocument/2006/relationships/hyperlink" Target="https://doi.org/10.5858/arpa.2018-0902-SA"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9E8CD-338C-4A3F-A7E8-4E7C735A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180</TotalTime>
  <Pages>18</Pages>
  <Words>6309</Words>
  <Characters>35967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42192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MSI</cp:lastModifiedBy>
  <cp:revision>35</cp:revision>
  <cp:lastPrinted>1999-07-06T11:00:00Z</cp:lastPrinted>
  <dcterms:created xsi:type="dcterms:W3CDTF">2025-11-28T13:57:00Z</dcterms:created>
  <dcterms:modified xsi:type="dcterms:W3CDTF">2025-12-21T07:39:00Z</dcterms:modified>
</cp:coreProperties>
</file>