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57A" w:rsidRPr="00717849" w:rsidRDefault="00FC257A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"/>
        <w:gridCol w:w="5168"/>
        <w:gridCol w:w="83"/>
        <w:gridCol w:w="9356"/>
        <w:gridCol w:w="6331"/>
        <w:gridCol w:w="114"/>
      </w:tblGrid>
      <w:tr w:rsidR="00FC257A" w:rsidRPr="00717849" w:rsidTr="00717849">
        <w:trPr>
          <w:gridBefore w:val="1"/>
          <w:gridAfter w:val="1"/>
          <w:wBefore w:w="101" w:type="dxa"/>
          <w:wAfter w:w="114" w:type="dxa"/>
          <w:trHeight w:val="290"/>
        </w:trPr>
        <w:tc>
          <w:tcPr>
            <w:tcW w:w="5168" w:type="dxa"/>
          </w:tcPr>
          <w:p w:rsidR="00FC257A" w:rsidRPr="00717849" w:rsidRDefault="0035337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17849">
              <w:rPr>
                <w:rFonts w:ascii="Arial" w:hAnsi="Arial" w:cs="Arial"/>
                <w:sz w:val="20"/>
                <w:szCs w:val="20"/>
              </w:rPr>
              <w:t>Journal</w:t>
            </w:r>
            <w:r w:rsidRPr="0071784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  <w:gridSpan w:val="3"/>
          </w:tcPr>
          <w:p w:rsidR="00FC257A" w:rsidRPr="00717849" w:rsidRDefault="000313F8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35337B" w:rsidRPr="0071784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35337B" w:rsidRPr="00717849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35337B" w:rsidRPr="0071784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35337B" w:rsidRPr="00717849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35337B" w:rsidRPr="0071784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35337B" w:rsidRPr="00717849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35337B" w:rsidRPr="0071784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Education</w:t>
              </w:r>
              <w:r w:rsidR="0035337B" w:rsidRPr="0071784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35337B" w:rsidRPr="0071784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35337B" w:rsidRPr="0071784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35337B" w:rsidRPr="0071784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Social</w:t>
              </w:r>
              <w:r w:rsidR="0035337B" w:rsidRPr="00717849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35337B" w:rsidRPr="0071784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Studies</w:t>
              </w:r>
            </w:hyperlink>
          </w:p>
        </w:tc>
      </w:tr>
      <w:tr w:rsidR="00FC257A" w:rsidRPr="00717849" w:rsidTr="00717849">
        <w:trPr>
          <w:gridBefore w:val="1"/>
          <w:gridAfter w:val="1"/>
          <w:wBefore w:w="101" w:type="dxa"/>
          <w:wAfter w:w="114" w:type="dxa"/>
          <w:trHeight w:val="290"/>
        </w:trPr>
        <w:tc>
          <w:tcPr>
            <w:tcW w:w="5168" w:type="dxa"/>
          </w:tcPr>
          <w:p w:rsidR="00FC257A" w:rsidRPr="00717849" w:rsidRDefault="0035337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17849">
              <w:rPr>
                <w:rFonts w:ascii="Arial" w:hAnsi="Arial" w:cs="Arial"/>
                <w:sz w:val="20"/>
                <w:szCs w:val="20"/>
              </w:rPr>
              <w:t>Manuscript</w:t>
            </w:r>
            <w:r w:rsidRPr="0071784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  <w:gridSpan w:val="3"/>
          </w:tcPr>
          <w:p w:rsidR="00FC257A" w:rsidRPr="00717849" w:rsidRDefault="0035337B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17849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Ms_AJESS_152214</w:t>
            </w:r>
          </w:p>
        </w:tc>
      </w:tr>
      <w:tr w:rsidR="00FC257A" w:rsidRPr="00717849" w:rsidTr="00717849">
        <w:trPr>
          <w:gridBefore w:val="1"/>
          <w:gridAfter w:val="1"/>
          <w:wBefore w:w="101" w:type="dxa"/>
          <w:wAfter w:w="114" w:type="dxa"/>
          <w:trHeight w:val="650"/>
        </w:trPr>
        <w:tc>
          <w:tcPr>
            <w:tcW w:w="5168" w:type="dxa"/>
          </w:tcPr>
          <w:p w:rsidR="00FC257A" w:rsidRPr="00717849" w:rsidRDefault="0035337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17849">
              <w:rPr>
                <w:rFonts w:ascii="Arial" w:hAnsi="Arial" w:cs="Arial"/>
                <w:sz w:val="20"/>
                <w:szCs w:val="20"/>
              </w:rPr>
              <w:t>Title</w:t>
            </w:r>
            <w:r w:rsidRPr="007178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of</w:t>
            </w:r>
            <w:r w:rsidRPr="007178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the</w:t>
            </w:r>
            <w:r w:rsidRPr="007178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  <w:gridSpan w:val="3"/>
          </w:tcPr>
          <w:p w:rsidR="00FC257A" w:rsidRPr="00717849" w:rsidRDefault="0035337B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17849">
              <w:rPr>
                <w:rFonts w:ascii="Arial" w:hAnsi="Arial" w:cs="Arial"/>
                <w:b/>
                <w:sz w:val="20"/>
                <w:szCs w:val="20"/>
              </w:rPr>
              <w:t>LOCAL</w:t>
            </w:r>
            <w:r w:rsidRPr="0071784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HISTORICAL</w:t>
            </w:r>
            <w:r w:rsidRPr="0071784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RESOURCES:</w:t>
            </w:r>
            <w:r w:rsidRPr="0071784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LIVED</w:t>
            </w:r>
            <w:r w:rsidRPr="0071784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EXPERIENCES</w:t>
            </w:r>
            <w:r w:rsidRPr="0071784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1784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ARALING</w:t>
            </w:r>
            <w:r w:rsidRPr="007178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PANLIPUNAN</w:t>
            </w:r>
            <w:r w:rsidRPr="0071784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pacing w:val="-2"/>
                <w:sz w:val="20"/>
                <w:szCs w:val="20"/>
              </w:rPr>
              <w:t>TEACHERS</w:t>
            </w:r>
          </w:p>
        </w:tc>
      </w:tr>
      <w:tr w:rsidR="00FC257A" w:rsidRPr="00717849" w:rsidTr="00717849">
        <w:trPr>
          <w:gridBefore w:val="1"/>
          <w:gridAfter w:val="1"/>
          <w:wBefore w:w="101" w:type="dxa"/>
          <w:wAfter w:w="114" w:type="dxa"/>
          <w:trHeight w:val="333"/>
        </w:trPr>
        <w:tc>
          <w:tcPr>
            <w:tcW w:w="5168" w:type="dxa"/>
          </w:tcPr>
          <w:p w:rsidR="00FC257A" w:rsidRPr="00717849" w:rsidRDefault="0035337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17849">
              <w:rPr>
                <w:rFonts w:ascii="Arial" w:hAnsi="Arial" w:cs="Arial"/>
                <w:sz w:val="20"/>
                <w:szCs w:val="20"/>
              </w:rPr>
              <w:t>Type</w:t>
            </w:r>
            <w:r w:rsidRPr="007178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of</w:t>
            </w:r>
            <w:r w:rsidRPr="007178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the</w:t>
            </w:r>
            <w:r w:rsidRPr="007178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  <w:gridSpan w:val="3"/>
          </w:tcPr>
          <w:p w:rsidR="00FC257A" w:rsidRPr="00717849" w:rsidRDefault="00FC25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57A" w:rsidRPr="00717849" w:rsidTr="00717849">
        <w:trPr>
          <w:trHeight w:val="450"/>
        </w:trPr>
        <w:tc>
          <w:tcPr>
            <w:tcW w:w="21153" w:type="dxa"/>
            <w:gridSpan w:val="6"/>
            <w:tcBorders>
              <w:top w:val="nil"/>
              <w:left w:val="nil"/>
              <w:right w:val="nil"/>
            </w:tcBorders>
          </w:tcPr>
          <w:p w:rsidR="00717849" w:rsidRPr="00717849" w:rsidRDefault="00717849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  <w:p w:rsidR="00FC257A" w:rsidRPr="00717849" w:rsidRDefault="0035337B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71784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717849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71784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717849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FC257A" w:rsidRPr="00717849" w:rsidTr="00717849">
        <w:trPr>
          <w:trHeight w:val="964"/>
        </w:trPr>
        <w:tc>
          <w:tcPr>
            <w:tcW w:w="5352" w:type="dxa"/>
            <w:gridSpan w:val="3"/>
          </w:tcPr>
          <w:p w:rsidR="00FC257A" w:rsidRPr="00717849" w:rsidRDefault="00FC25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FC257A" w:rsidRPr="00717849" w:rsidRDefault="0035337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1784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1784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FC257A" w:rsidRPr="00717849" w:rsidRDefault="0035337B">
            <w:pPr>
              <w:pStyle w:val="TableParagraph"/>
              <w:ind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71784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71784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1784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71784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1784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71784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1784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71784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1784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71784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1784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71784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1784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71784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1784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71784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1784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71784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1784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71784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1784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71784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1784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71784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1784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71784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  <w:gridSpan w:val="2"/>
          </w:tcPr>
          <w:p w:rsidR="00FC257A" w:rsidRPr="00717849" w:rsidRDefault="0035337B">
            <w:pPr>
              <w:pStyle w:val="TableParagraph"/>
              <w:spacing w:line="254" w:lineRule="auto"/>
              <w:ind w:right="738"/>
              <w:rPr>
                <w:rFonts w:ascii="Arial" w:hAnsi="Arial" w:cs="Arial"/>
                <w:sz w:val="20"/>
                <w:szCs w:val="20"/>
              </w:rPr>
            </w:pPr>
            <w:r w:rsidRPr="0071784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178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1784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(It</w:t>
            </w:r>
            <w:r w:rsidRPr="007178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is</w:t>
            </w:r>
            <w:r w:rsidRPr="007178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mandatory</w:t>
            </w:r>
            <w:r w:rsidRPr="007178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that</w:t>
            </w:r>
            <w:r w:rsidRPr="0071784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authors</w:t>
            </w:r>
            <w:r w:rsidRPr="007178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should</w:t>
            </w:r>
            <w:r w:rsidRPr="007178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write</w:t>
            </w:r>
            <w:r w:rsidRPr="0071784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C257A" w:rsidRPr="00717849" w:rsidTr="00717849">
        <w:trPr>
          <w:trHeight w:val="3036"/>
        </w:trPr>
        <w:tc>
          <w:tcPr>
            <w:tcW w:w="5352" w:type="dxa"/>
            <w:gridSpan w:val="3"/>
          </w:tcPr>
          <w:p w:rsidR="00FC257A" w:rsidRPr="00717849" w:rsidRDefault="0035337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1784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178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71784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178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7178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178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7178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178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71784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FC257A" w:rsidRPr="00717849" w:rsidRDefault="0035337B">
            <w:pPr>
              <w:pStyle w:val="TableParagraph"/>
              <w:ind w:right="1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7849">
              <w:rPr>
                <w:rFonts w:ascii="Arial" w:hAnsi="Arial" w:cs="Arial"/>
                <w:sz w:val="20"/>
                <w:szCs w:val="20"/>
              </w:rPr>
              <w:t>This</w:t>
            </w:r>
            <w:r w:rsidRPr="007178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manuscript</w:t>
            </w:r>
            <w:r w:rsidRPr="007178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is</w:t>
            </w:r>
            <w:r w:rsidRPr="007178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important</w:t>
            </w:r>
            <w:r w:rsidRPr="007178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because</w:t>
            </w:r>
            <w:r w:rsidRPr="007178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it</w:t>
            </w:r>
            <w:r w:rsidRPr="007178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provides</w:t>
            </w:r>
            <w:r w:rsidRPr="007178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empirical</w:t>
            </w:r>
            <w:r w:rsidRPr="007178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insights</w:t>
            </w:r>
            <w:r w:rsidRPr="007178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into</w:t>
            </w:r>
            <w:r w:rsidRPr="007178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how</w:t>
            </w:r>
            <w:r w:rsidRPr="007178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Grade</w:t>
            </w:r>
            <w:r w:rsidRPr="007178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6</w:t>
            </w:r>
            <w:r w:rsidRPr="007178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17849">
              <w:rPr>
                <w:rFonts w:ascii="Arial" w:hAnsi="Arial" w:cs="Arial"/>
                <w:sz w:val="20"/>
                <w:szCs w:val="20"/>
              </w:rPr>
              <w:t>Araling</w:t>
            </w:r>
            <w:proofErr w:type="spellEnd"/>
            <w:r w:rsidRPr="007178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17849">
              <w:rPr>
                <w:rFonts w:ascii="Arial" w:hAnsi="Arial" w:cs="Arial"/>
                <w:sz w:val="20"/>
                <w:szCs w:val="20"/>
              </w:rPr>
              <w:t>Panlipunan</w:t>
            </w:r>
            <w:proofErr w:type="spellEnd"/>
            <w:r w:rsidRPr="007178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teachers in a heritage-rich Philippine locality (</w:t>
            </w:r>
            <w:proofErr w:type="spellStart"/>
            <w:r w:rsidRPr="00717849">
              <w:rPr>
                <w:rFonts w:ascii="Arial" w:hAnsi="Arial" w:cs="Arial"/>
                <w:sz w:val="20"/>
                <w:szCs w:val="20"/>
              </w:rPr>
              <w:t>Carcar</w:t>
            </w:r>
            <w:proofErr w:type="spellEnd"/>
            <w:r w:rsidRPr="00717849">
              <w:rPr>
                <w:rFonts w:ascii="Arial" w:hAnsi="Arial" w:cs="Arial"/>
                <w:sz w:val="20"/>
                <w:szCs w:val="20"/>
              </w:rPr>
              <w:t xml:space="preserve"> City) navigate the integration of local historical resources amid curriculum demands like the MATATAG K-10 rollout.</w:t>
            </w:r>
          </w:p>
          <w:p w:rsidR="00FC257A" w:rsidRPr="00717849" w:rsidRDefault="00FC257A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C257A" w:rsidRPr="00717849" w:rsidRDefault="0035337B">
            <w:pPr>
              <w:pStyle w:val="TableParagraph"/>
              <w:spacing w:before="1"/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7849">
              <w:rPr>
                <w:rFonts w:ascii="Arial" w:hAnsi="Arial" w:cs="Arial"/>
                <w:sz w:val="20"/>
                <w:szCs w:val="20"/>
              </w:rPr>
              <w:t>It</w:t>
            </w:r>
            <w:r w:rsidRPr="007178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highlights</w:t>
            </w:r>
            <w:r w:rsidRPr="007178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practical</w:t>
            </w:r>
            <w:r w:rsidRPr="007178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benefits</w:t>
            </w:r>
            <w:r w:rsidRPr="007178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(e.g.,</w:t>
            </w:r>
            <w:r w:rsidRPr="007178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enhanced</w:t>
            </w:r>
            <w:r w:rsidRPr="007178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engagement,</w:t>
            </w:r>
            <w:r w:rsidRPr="007178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cultural</w:t>
            </w:r>
            <w:r w:rsidRPr="007178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identity,</w:t>
            </w:r>
            <w:r w:rsidRPr="007178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21st-century</w:t>
            </w:r>
            <w:r w:rsidRPr="007178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skills)</w:t>
            </w:r>
            <w:r w:rsidRPr="007178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and</w:t>
            </w:r>
            <w:r w:rsidRPr="007178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barriers</w:t>
            </w:r>
            <w:r w:rsidRPr="007178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(e.g., resource</w:t>
            </w:r>
            <w:r w:rsidRPr="007178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scarcity,</w:t>
            </w:r>
            <w:r w:rsidRPr="007178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reliability</w:t>
            </w:r>
            <w:r w:rsidRPr="007178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issues) by</w:t>
            </w:r>
            <w:r w:rsidRPr="007178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capturing</w:t>
            </w:r>
            <w:r w:rsidRPr="007178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the</w:t>
            </w:r>
            <w:r w:rsidRPr="007178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teachers'</w:t>
            </w:r>
            <w:r w:rsidRPr="007178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lived</w:t>
            </w:r>
            <w:r w:rsidRPr="007178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experiences</w:t>
            </w:r>
            <w:r w:rsidRPr="007178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through</w:t>
            </w:r>
            <w:r w:rsidRPr="007178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phenomenology,</w:t>
            </w:r>
            <w:r w:rsidRPr="007178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offering actionable implications for DepEd's emphasis on contextualized/localized instruction.</w:t>
            </w:r>
          </w:p>
          <w:p w:rsidR="00FC257A" w:rsidRPr="00717849" w:rsidRDefault="0035337B">
            <w:pPr>
              <w:pStyle w:val="TableParagraph"/>
              <w:spacing w:before="229"/>
              <w:ind w:right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7849">
              <w:rPr>
                <w:rFonts w:ascii="Arial" w:hAnsi="Arial" w:cs="Arial"/>
                <w:sz w:val="20"/>
                <w:szCs w:val="20"/>
              </w:rPr>
              <w:t>It</w:t>
            </w:r>
            <w:r w:rsidRPr="007178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contributes</w:t>
            </w:r>
            <w:r w:rsidRPr="007178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to</w:t>
            </w:r>
            <w:r w:rsidRPr="007178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the</w:t>
            </w:r>
            <w:r w:rsidRPr="007178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growing</w:t>
            </w:r>
            <w:r w:rsidRPr="007178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body</w:t>
            </w:r>
            <w:r w:rsidRPr="007178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of</w:t>
            </w:r>
            <w:r w:rsidRPr="007178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Philippine</w:t>
            </w:r>
            <w:r w:rsidRPr="007178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education</w:t>
            </w:r>
            <w:r w:rsidRPr="007178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research</w:t>
            </w:r>
            <w:r w:rsidRPr="007178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on</w:t>
            </w:r>
            <w:r w:rsidRPr="007178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culturally</w:t>
            </w:r>
            <w:r w:rsidRPr="007178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responsive</w:t>
            </w:r>
            <w:r w:rsidRPr="007178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pedagogy,</w:t>
            </w:r>
            <w:r w:rsidRPr="007178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addressing a gap in elementary-level studies and supporting heritage preservation through education.</w:t>
            </w:r>
          </w:p>
          <w:p w:rsidR="00FC257A" w:rsidRPr="00717849" w:rsidRDefault="0035337B">
            <w:pPr>
              <w:pStyle w:val="TableParagraph"/>
              <w:spacing w:before="213" w:line="228" w:lineRule="exact"/>
              <w:ind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7849">
              <w:rPr>
                <w:rFonts w:ascii="Arial" w:hAnsi="Arial" w:cs="Arial"/>
                <w:sz w:val="20"/>
                <w:szCs w:val="20"/>
              </w:rPr>
              <w:t>Overall, the findings can inform teacher training, resource development, and community-school partnerships to make social studies more meaningful and relevant in diverse contexts.</w:t>
            </w:r>
          </w:p>
        </w:tc>
        <w:tc>
          <w:tcPr>
            <w:tcW w:w="6445" w:type="dxa"/>
            <w:gridSpan w:val="2"/>
          </w:tcPr>
          <w:p w:rsidR="00FC257A" w:rsidRPr="00717849" w:rsidRDefault="00FC25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57A" w:rsidRPr="00717849" w:rsidTr="00717849">
        <w:trPr>
          <w:trHeight w:val="1381"/>
        </w:trPr>
        <w:tc>
          <w:tcPr>
            <w:tcW w:w="5352" w:type="dxa"/>
            <w:gridSpan w:val="3"/>
          </w:tcPr>
          <w:p w:rsidR="00FC257A" w:rsidRPr="00717849" w:rsidRDefault="0035337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1784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1784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1784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1784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1784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1784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1784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FC257A" w:rsidRPr="00717849" w:rsidRDefault="0035337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1784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7178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178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178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7178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7178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7178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FC257A" w:rsidRPr="00717849" w:rsidRDefault="0035337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17849">
              <w:rPr>
                <w:rFonts w:ascii="Arial" w:hAnsi="Arial" w:cs="Arial"/>
                <w:sz w:val="20"/>
                <w:szCs w:val="20"/>
              </w:rPr>
              <w:t>Yes,</w:t>
            </w:r>
            <w:r w:rsidRPr="007178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the title is</w:t>
            </w:r>
            <w:r w:rsidRPr="007178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suitable</w:t>
            </w:r>
            <w:r w:rsidRPr="007178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and</w:t>
            </w:r>
            <w:r w:rsidRPr="007178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descriptive. It</w:t>
            </w:r>
            <w:r w:rsidRPr="007178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clearly captures</w:t>
            </w:r>
            <w:r w:rsidRPr="007178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the focus</w:t>
            </w:r>
            <w:r w:rsidRPr="007178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on</w:t>
            </w:r>
            <w:r w:rsidRPr="007178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local</w:t>
            </w:r>
            <w:r w:rsidRPr="007178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historical resources</w:t>
            </w:r>
            <w:r w:rsidRPr="007178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and the</w:t>
            </w:r>
            <w:r w:rsidRPr="007178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 xml:space="preserve">teachers' lived experiences in </w:t>
            </w:r>
            <w:proofErr w:type="spellStart"/>
            <w:r w:rsidRPr="00717849">
              <w:rPr>
                <w:rFonts w:ascii="Arial" w:hAnsi="Arial" w:cs="Arial"/>
                <w:sz w:val="20"/>
                <w:szCs w:val="20"/>
              </w:rPr>
              <w:t>Araling</w:t>
            </w:r>
            <w:proofErr w:type="spellEnd"/>
            <w:r w:rsidRPr="007178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7849">
              <w:rPr>
                <w:rFonts w:ascii="Arial" w:hAnsi="Arial" w:cs="Arial"/>
                <w:sz w:val="20"/>
                <w:szCs w:val="20"/>
              </w:rPr>
              <w:t>Panlipunan</w:t>
            </w:r>
            <w:proofErr w:type="spellEnd"/>
            <w:r w:rsidRPr="0071784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C257A" w:rsidRPr="00717849" w:rsidRDefault="00FC257A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C257A" w:rsidRPr="00717849" w:rsidRDefault="0035337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17849">
              <w:rPr>
                <w:rFonts w:ascii="Arial" w:hAnsi="Arial" w:cs="Arial"/>
                <w:sz w:val="20"/>
                <w:szCs w:val="20"/>
              </w:rPr>
              <w:t>(Alternative if</w:t>
            </w:r>
            <w:r w:rsidRPr="007178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you want</w:t>
            </w:r>
            <w:r w:rsidRPr="007178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to strengthen specificity:</w:t>
            </w:r>
            <w:r w:rsidRPr="007178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"</w:t>
            </w:r>
            <w:r w:rsidRPr="00717849">
              <w:rPr>
                <w:rFonts w:ascii="Arial" w:hAnsi="Arial" w:cs="Arial"/>
                <w:i/>
                <w:sz w:val="20"/>
                <w:szCs w:val="20"/>
              </w:rPr>
              <w:t>Lived</w:t>
            </w:r>
            <w:r w:rsidRPr="00717849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i/>
                <w:sz w:val="20"/>
                <w:szCs w:val="20"/>
              </w:rPr>
              <w:t>Experiences</w:t>
            </w:r>
            <w:r w:rsidRPr="00717849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i/>
                <w:sz w:val="20"/>
                <w:szCs w:val="20"/>
              </w:rPr>
              <w:t>of</w:t>
            </w:r>
            <w:r w:rsidRPr="00717849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i/>
                <w:sz w:val="20"/>
                <w:szCs w:val="20"/>
              </w:rPr>
              <w:t xml:space="preserve">Grade 6 </w:t>
            </w:r>
            <w:proofErr w:type="spellStart"/>
            <w:r w:rsidRPr="00717849">
              <w:rPr>
                <w:rFonts w:ascii="Arial" w:hAnsi="Arial" w:cs="Arial"/>
                <w:i/>
                <w:sz w:val="20"/>
                <w:szCs w:val="20"/>
              </w:rPr>
              <w:t>Araling</w:t>
            </w:r>
            <w:proofErr w:type="spellEnd"/>
            <w:r w:rsidRPr="00717849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17849">
              <w:rPr>
                <w:rFonts w:ascii="Arial" w:hAnsi="Arial" w:cs="Arial"/>
                <w:i/>
                <w:sz w:val="20"/>
                <w:szCs w:val="20"/>
              </w:rPr>
              <w:t>Panlipunan</w:t>
            </w:r>
            <w:proofErr w:type="spellEnd"/>
            <w:r w:rsidRPr="00717849">
              <w:rPr>
                <w:rFonts w:ascii="Arial" w:hAnsi="Arial" w:cs="Arial"/>
                <w:i/>
                <w:sz w:val="20"/>
                <w:szCs w:val="20"/>
              </w:rPr>
              <w:t xml:space="preserve"> Teachers</w:t>
            </w:r>
            <w:r w:rsidRPr="00717849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i/>
                <w:sz w:val="20"/>
                <w:szCs w:val="20"/>
              </w:rPr>
              <w:t xml:space="preserve">in Integrating Local Historical Resources: A Phenomenological Study in </w:t>
            </w:r>
            <w:proofErr w:type="spellStart"/>
            <w:r w:rsidRPr="00717849">
              <w:rPr>
                <w:rFonts w:ascii="Arial" w:hAnsi="Arial" w:cs="Arial"/>
                <w:i/>
                <w:sz w:val="20"/>
                <w:szCs w:val="20"/>
              </w:rPr>
              <w:t>Carcar</w:t>
            </w:r>
            <w:proofErr w:type="spellEnd"/>
            <w:r w:rsidRPr="00717849">
              <w:rPr>
                <w:rFonts w:ascii="Arial" w:hAnsi="Arial" w:cs="Arial"/>
                <w:i/>
                <w:sz w:val="20"/>
                <w:szCs w:val="20"/>
              </w:rPr>
              <w:t xml:space="preserve"> City Division</w:t>
            </w:r>
            <w:r w:rsidRPr="00717849">
              <w:rPr>
                <w:rFonts w:ascii="Arial" w:hAnsi="Arial" w:cs="Arial"/>
                <w:sz w:val="20"/>
                <w:szCs w:val="20"/>
              </w:rPr>
              <w:t>")</w:t>
            </w:r>
          </w:p>
        </w:tc>
        <w:tc>
          <w:tcPr>
            <w:tcW w:w="6445" w:type="dxa"/>
            <w:gridSpan w:val="2"/>
          </w:tcPr>
          <w:p w:rsidR="00FC257A" w:rsidRPr="00717849" w:rsidRDefault="00FC25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57A" w:rsidRPr="00717849" w:rsidTr="00717849">
        <w:trPr>
          <w:trHeight w:val="1838"/>
        </w:trPr>
        <w:tc>
          <w:tcPr>
            <w:tcW w:w="5352" w:type="dxa"/>
            <w:gridSpan w:val="3"/>
          </w:tcPr>
          <w:p w:rsidR="00FC257A" w:rsidRPr="00717849" w:rsidRDefault="0035337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1784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71784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178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7178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7178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7178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178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7178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7178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178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FC257A" w:rsidRPr="00717849" w:rsidRDefault="0035337B">
            <w:pPr>
              <w:pStyle w:val="TableParagraph"/>
              <w:ind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7849">
              <w:rPr>
                <w:rFonts w:ascii="Arial" w:hAnsi="Arial" w:cs="Arial"/>
                <w:sz w:val="20"/>
                <w:szCs w:val="20"/>
              </w:rPr>
              <w:t>The abstract is comprehensive, covering purpose, method (qualitative phenomenology, 15 purposive interviews), key findings (themes on benefits/challenges/aspirations), and recommendations. It effectively summarizes the study's essence.</w:t>
            </w:r>
          </w:p>
          <w:p w:rsidR="00FC257A" w:rsidRPr="00717849" w:rsidRDefault="0035337B">
            <w:pPr>
              <w:pStyle w:val="TableParagraph"/>
              <w:spacing w:before="230"/>
              <w:rPr>
                <w:rFonts w:ascii="Arial" w:hAnsi="Arial" w:cs="Arial"/>
                <w:sz w:val="20"/>
                <w:szCs w:val="20"/>
              </w:rPr>
            </w:pPr>
            <w:r w:rsidRPr="00717849">
              <w:rPr>
                <w:rFonts w:ascii="Arial" w:hAnsi="Arial" w:cs="Arial"/>
                <w:sz w:val="20"/>
                <w:szCs w:val="20"/>
              </w:rPr>
              <w:t>Suggestions:</w:t>
            </w:r>
            <w:r w:rsidRPr="00717849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Add</w:t>
            </w:r>
            <w:r w:rsidRPr="007178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717849">
              <w:rPr>
                <w:rFonts w:ascii="Arial" w:hAnsi="Arial" w:cs="Arial"/>
                <w:sz w:val="20"/>
                <w:szCs w:val="20"/>
              </w:rPr>
              <w:t>Carcar</w:t>
            </w:r>
            <w:proofErr w:type="spellEnd"/>
            <w:r w:rsidRPr="007178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City</w:t>
            </w:r>
            <w:r w:rsidRPr="007178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Division,</w:t>
            </w:r>
            <w:r w:rsidRPr="0071784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Cebu,</w:t>
            </w:r>
            <w:r w:rsidRPr="007178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Philippines"</w:t>
            </w:r>
            <w:r w:rsidRPr="0071784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for</w:t>
            </w:r>
            <w:r w:rsidRPr="0071784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geographic</w:t>
            </w:r>
            <w:r w:rsidRPr="007178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pacing w:val="-2"/>
                <w:sz w:val="20"/>
                <w:szCs w:val="20"/>
              </w:rPr>
              <w:t>specificity.</w:t>
            </w:r>
          </w:p>
          <w:p w:rsidR="00FC257A" w:rsidRPr="00717849" w:rsidRDefault="0035337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17849">
              <w:rPr>
                <w:rFonts w:ascii="Arial" w:hAnsi="Arial" w:cs="Arial"/>
                <w:sz w:val="20"/>
                <w:szCs w:val="20"/>
              </w:rPr>
              <w:t>Include</w:t>
            </w:r>
            <w:r w:rsidRPr="007178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717849">
              <w:rPr>
                <w:rFonts w:ascii="Arial" w:hAnsi="Arial" w:cs="Arial"/>
                <w:sz w:val="20"/>
                <w:szCs w:val="20"/>
              </w:rPr>
              <w:t>Colaizzi’s</w:t>
            </w:r>
            <w:proofErr w:type="spellEnd"/>
            <w:r w:rsidRPr="0071784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method"</w:t>
            </w:r>
            <w:r w:rsidRPr="007178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briefly</w:t>
            </w:r>
            <w:r w:rsidRPr="007178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to</w:t>
            </w:r>
            <w:r w:rsidRPr="007178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highlight</w:t>
            </w:r>
            <w:r w:rsidRPr="007178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analysis</w:t>
            </w:r>
            <w:r w:rsidRPr="007178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pacing w:val="-2"/>
                <w:sz w:val="20"/>
                <w:szCs w:val="20"/>
              </w:rPr>
              <w:t>rigor.</w:t>
            </w:r>
          </w:p>
          <w:p w:rsidR="00FC257A" w:rsidRPr="00717849" w:rsidRDefault="0035337B">
            <w:pPr>
              <w:pStyle w:val="TableParagraph"/>
              <w:spacing w:line="228" w:lineRule="exact"/>
              <w:ind w:right="131"/>
              <w:rPr>
                <w:rFonts w:ascii="Arial" w:hAnsi="Arial" w:cs="Arial"/>
                <w:sz w:val="20"/>
                <w:szCs w:val="20"/>
              </w:rPr>
            </w:pPr>
            <w:r w:rsidRPr="00717849">
              <w:rPr>
                <w:rFonts w:ascii="Arial" w:hAnsi="Arial" w:cs="Arial"/>
                <w:sz w:val="20"/>
                <w:szCs w:val="20"/>
              </w:rPr>
              <w:t>No major deletions needed, but ensure keywords include "contextualized instruction" or "localized curriculum" for better discoverability.</w:t>
            </w:r>
          </w:p>
        </w:tc>
        <w:tc>
          <w:tcPr>
            <w:tcW w:w="6445" w:type="dxa"/>
            <w:gridSpan w:val="2"/>
          </w:tcPr>
          <w:p w:rsidR="00FC257A" w:rsidRPr="00717849" w:rsidRDefault="00FC25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57A" w:rsidRPr="00717849" w:rsidTr="00717849">
        <w:trPr>
          <w:trHeight w:val="1379"/>
        </w:trPr>
        <w:tc>
          <w:tcPr>
            <w:tcW w:w="5352" w:type="dxa"/>
            <w:gridSpan w:val="3"/>
          </w:tcPr>
          <w:p w:rsidR="00FC257A" w:rsidRPr="00717849" w:rsidRDefault="0035337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1784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1784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178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178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7178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71784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178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71784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FC257A" w:rsidRPr="00717849" w:rsidRDefault="0035337B">
            <w:pPr>
              <w:pStyle w:val="TableParagraph"/>
              <w:ind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7849">
              <w:rPr>
                <w:rFonts w:ascii="Arial" w:hAnsi="Arial" w:cs="Arial"/>
                <w:sz w:val="20"/>
                <w:szCs w:val="20"/>
              </w:rPr>
              <w:t>Yes, the manuscript is scientifically correct and methodologically sound for qualitative phenomenological research. The design (</w:t>
            </w:r>
            <w:proofErr w:type="spellStart"/>
            <w:r w:rsidRPr="00717849">
              <w:rPr>
                <w:rFonts w:ascii="Arial" w:hAnsi="Arial" w:cs="Arial"/>
                <w:sz w:val="20"/>
                <w:szCs w:val="20"/>
              </w:rPr>
              <w:t>Husserlian</w:t>
            </w:r>
            <w:proofErr w:type="spellEnd"/>
            <w:r w:rsidRPr="00717849">
              <w:rPr>
                <w:rFonts w:ascii="Arial" w:hAnsi="Arial" w:cs="Arial"/>
                <w:sz w:val="20"/>
                <w:szCs w:val="20"/>
              </w:rPr>
              <w:t xml:space="preserve">/Heideggerian influences, </w:t>
            </w:r>
            <w:proofErr w:type="spellStart"/>
            <w:r w:rsidRPr="00717849">
              <w:rPr>
                <w:rFonts w:ascii="Arial" w:hAnsi="Arial" w:cs="Arial"/>
                <w:sz w:val="20"/>
                <w:szCs w:val="20"/>
              </w:rPr>
              <w:t>Colaizzi’s</w:t>
            </w:r>
            <w:proofErr w:type="spellEnd"/>
            <w:r w:rsidRPr="00717849">
              <w:rPr>
                <w:rFonts w:ascii="Arial" w:hAnsi="Arial" w:cs="Arial"/>
                <w:sz w:val="20"/>
                <w:szCs w:val="20"/>
              </w:rPr>
              <w:t xml:space="preserve"> steps), purposive sampling, trustworthiness strategies (member checking, bracketing, audit trail), and thematic analysis align with established standards (e.g., van </w:t>
            </w:r>
            <w:proofErr w:type="spellStart"/>
            <w:r w:rsidRPr="00717849">
              <w:rPr>
                <w:rFonts w:ascii="Arial" w:hAnsi="Arial" w:cs="Arial"/>
                <w:sz w:val="20"/>
                <w:szCs w:val="20"/>
              </w:rPr>
              <w:t>Manen</w:t>
            </w:r>
            <w:proofErr w:type="spellEnd"/>
            <w:r w:rsidRPr="00717849">
              <w:rPr>
                <w:rFonts w:ascii="Arial" w:hAnsi="Arial" w:cs="Arial"/>
                <w:sz w:val="20"/>
                <w:szCs w:val="20"/>
              </w:rPr>
              <w:t>, Moustakas). Findings are grounded in data-derived themes, linked to theory (Dewey, Vygotsky, Piaget), and balanced with limitations. No factual errors or methodological flaws noted.</w:t>
            </w:r>
          </w:p>
        </w:tc>
        <w:tc>
          <w:tcPr>
            <w:tcW w:w="6445" w:type="dxa"/>
            <w:gridSpan w:val="2"/>
          </w:tcPr>
          <w:p w:rsidR="00FC257A" w:rsidRPr="00717849" w:rsidRDefault="00FC25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57A" w:rsidRPr="00717849" w:rsidTr="00717849">
        <w:trPr>
          <w:trHeight w:val="3494"/>
        </w:trPr>
        <w:tc>
          <w:tcPr>
            <w:tcW w:w="5352" w:type="dxa"/>
            <w:gridSpan w:val="3"/>
          </w:tcPr>
          <w:p w:rsidR="00FC257A" w:rsidRPr="00717849" w:rsidRDefault="0035337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17849">
              <w:rPr>
                <w:rFonts w:ascii="Arial" w:hAnsi="Arial" w:cs="Arial"/>
                <w:b/>
                <w:sz w:val="20"/>
                <w:szCs w:val="20"/>
              </w:rPr>
              <w:lastRenderedPageBreak/>
              <w:t>Are</w:t>
            </w:r>
            <w:r w:rsidRPr="007178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178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178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1784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178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7178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7178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7178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FC257A" w:rsidRPr="00717849" w:rsidRDefault="0035337B">
            <w:pPr>
              <w:pStyle w:val="TableParagraph"/>
              <w:ind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7849">
              <w:rPr>
                <w:rFonts w:ascii="Arial" w:hAnsi="Arial" w:cs="Arial"/>
                <w:sz w:val="20"/>
                <w:szCs w:val="20"/>
              </w:rPr>
              <w:t>References are mostly sufficient (good mix of theoretical classics and recent Philippine studies, from 2023– 2025).</w:t>
            </w:r>
            <w:r w:rsidRPr="007178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However,</w:t>
            </w:r>
            <w:r w:rsidRPr="007178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some are mismatched/outdated</w:t>
            </w:r>
            <w:r w:rsidRPr="007178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(e.g.,</w:t>
            </w:r>
            <w:r w:rsidRPr="007178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Brennan 2005</w:t>
            </w:r>
            <w:r w:rsidRPr="007178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on</w:t>
            </w:r>
            <w:r w:rsidRPr="007178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rural</w:t>
            </w:r>
            <w:r w:rsidRPr="007178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development,</w:t>
            </w:r>
            <w:r w:rsidRPr="007178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not</w:t>
            </w:r>
            <w:r w:rsidRPr="0071784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history education; older Piaget entries), and a few international ones feel tangential. Recent Philippine/AP-focused works could strengthen the localization discussion.</w:t>
            </w:r>
          </w:p>
          <w:p w:rsidR="00FC257A" w:rsidRPr="00717849" w:rsidRDefault="00FC257A">
            <w:pPr>
              <w:pStyle w:val="TableParagraph"/>
              <w:spacing w:before="2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C257A" w:rsidRPr="00717849" w:rsidRDefault="0035337B">
            <w:pPr>
              <w:pStyle w:val="TableParagraph"/>
              <w:spacing w:before="1" w:line="229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7849">
              <w:rPr>
                <w:rFonts w:ascii="Arial" w:hAnsi="Arial" w:cs="Arial"/>
                <w:sz w:val="20"/>
                <w:szCs w:val="20"/>
              </w:rPr>
              <w:t>Suggested</w:t>
            </w:r>
            <w:r w:rsidRPr="0071784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additions</w:t>
            </w:r>
            <w:r w:rsidRPr="0071784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(2023–2025</w:t>
            </w:r>
            <w:r w:rsidRPr="007178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relevant</w:t>
            </w:r>
            <w:r w:rsidRPr="0071784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to</w:t>
            </w:r>
            <w:r w:rsidRPr="007178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contextualized/local</w:t>
            </w:r>
            <w:r w:rsidRPr="0071784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history</w:t>
            </w:r>
            <w:r w:rsidRPr="007178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in</w:t>
            </w:r>
            <w:r w:rsidRPr="0071784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pacing w:val="-4"/>
                <w:sz w:val="20"/>
                <w:szCs w:val="20"/>
              </w:rPr>
              <w:t>AP):</w:t>
            </w:r>
          </w:p>
          <w:p w:rsidR="00FC257A" w:rsidRPr="00717849" w:rsidRDefault="0035337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0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7849">
              <w:rPr>
                <w:rFonts w:ascii="Arial" w:hAnsi="Arial" w:cs="Arial"/>
                <w:sz w:val="20"/>
                <w:szCs w:val="20"/>
              </w:rPr>
              <w:t>Galamay</w:t>
            </w:r>
            <w:proofErr w:type="spellEnd"/>
            <w:r w:rsidRPr="00717849">
              <w:rPr>
                <w:rFonts w:ascii="Arial" w:hAnsi="Arial" w:cs="Arial"/>
                <w:sz w:val="20"/>
                <w:szCs w:val="20"/>
              </w:rPr>
              <w:t xml:space="preserve"> et al. (2025) on learner engagement in social studies (Asian Journal of Education and Social Studies or similar).</w:t>
            </w:r>
          </w:p>
          <w:p w:rsidR="00FC257A" w:rsidRPr="00717849" w:rsidRDefault="0035337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7849">
              <w:rPr>
                <w:rFonts w:ascii="Arial" w:hAnsi="Arial" w:cs="Arial"/>
                <w:sz w:val="20"/>
                <w:szCs w:val="20"/>
              </w:rPr>
              <w:t xml:space="preserve">Recent work on MATATAG challenges in AP (e.g., from your cited </w:t>
            </w:r>
            <w:proofErr w:type="spellStart"/>
            <w:r w:rsidRPr="00717849">
              <w:rPr>
                <w:rFonts w:ascii="Arial" w:hAnsi="Arial" w:cs="Arial"/>
                <w:sz w:val="20"/>
                <w:szCs w:val="20"/>
              </w:rPr>
              <w:t>Sumaylo</w:t>
            </w:r>
            <w:proofErr w:type="spellEnd"/>
            <w:r w:rsidRPr="00717849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717849">
              <w:rPr>
                <w:rFonts w:ascii="Arial" w:hAnsi="Arial" w:cs="Arial"/>
                <w:sz w:val="20"/>
                <w:szCs w:val="20"/>
              </w:rPr>
              <w:t>Espacio</w:t>
            </w:r>
            <w:proofErr w:type="spellEnd"/>
            <w:r w:rsidRPr="00717849">
              <w:rPr>
                <w:rFonts w:ascii="Arial" w:hAnsi="Arial" w:cs="Arial"/>
                <w:sz w:val="20"/>
                <w:szCs w:val="20"/>
              </w:rPr>
              <w:t xml:space="preserve"> 2025, but add</w:t>
            </w:r>
            <w:r w:rsidRPr="0071784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if available: studies on localized modules in AP, like those validating contextualized materials in divisions like Marinduque or Quezon).</w:t>
            </w:r>
          </w:p>
          <w:p w:rsidR="00FC257A" w:rsidRPr="00717849" w:rsidRDefault="0035337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0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7849">
              <w:rPr>
                <w:rFonts w:ascii="Arial" w:hAnsi="Arial" w:cs="Arial"/>
                <w:sz w:val="20"/>
                <w:szCs w:val="20"/>
              </w:rPr>
              <w:t xml:space="preserve">Teachers' use of local history projects for historical skills (e.g., 2025 TWIST Journal article on current </w:t>
            </w:r>
            <w:r w:rsidRPr="00717849">
              <w:rPr>
                <w:rFonts w:ascii="Arial" w:hAnsi="Arial" w:cs="Arial"/>
                <w:spacing w:val="-2"/>
                <w:sz w:val="20"/>
                <w:szCs w:val="20"/>
              </w:rPr>
              <w:t>practices).</w:t>
            </w:r>
          </w:p>
          <w:p w:rsidR="00FC257A" w:rsidRPr="00717849" w:rsidRDefault="0035337B">
            <w:pPr>
              <w:pStyle w:val="TableParagraph"/>
              <w:ind w:left="8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7849">
              <w:rPr>
                <w:rFonts w:ascii="Arial" w:hAnsi="Arial" w:cs="Arial"/>
                <w:sz w:val="20"/>
                <w:szCs w:val="20"/>
              </w:rPr>
              <w:t>Audit</w:t>
            </w:r>
            <w:r w:rsidRPr="0071784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for</w:t>
            </w:r>
            <w:r w:rsidRPr="007178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accuracy</w:t>
            </w:r>
            <w:r w:rsidRPr="0071784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(e.g.,</w:t>
            </w:r>
            <w:r w:rsidRPr="007178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consolidate</w:t>
            </w:r>
            <w:r w:rsidRPr="007178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Vygotsky/Piaget</w:t>
            </w:r>
            <w:r w:rsidRPr="007178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to</w:t>
            </w:r>
            <w:r w:rsidRPr="0071784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key</w:t>
            </w:r>
            <w:r w:rsidRPr="007178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editions;</w:t>
            </w:r>
            <w:r w:rsidRPr="0071784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verify</w:t>
            </w:r>
            <w:r w:rsidRPr="007178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DOIs</w:t>
            </w:r>
            <w:r w:rsidRPr="007178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for</w:t>
            </w:r>
            <w:r w:rsidRPr="007178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2025</w:t>
            </w:r>
            <w:r w:rsidRPr="007178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pacing w:val="-2"/>
                <w:sz w:val="20"/>
                <w:szCs w:val="20"/>
              </w:rPr>
              <w:t>entries).</w:t>
            </w:r>
          </w:p>
        </w:tc>
        <w:tc>
          <w:tcPr>
            <w:tcW w:w="6445" w:type="dxa"/>
            <w:gridSpan w:val="2"/>
          </w:tcPr>
          <w:p w:rsidR="00FC257A" w:rsidRPr="00717849" w:rsidRDefault="00FC25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257A" w:rsidRPr="00717849" w:rsidRDefault="00FC257A">
      <w:pPr>
        <w:pStyle w:val="TableParagraph"/>
        <w:rPr>
          <w:rFonts w:ascii="Arial" w:hAnsi="Arial" w:cs="Arial"/>
          <w:sz w:val="20"/>
          <w:szCs w:val="20"/>
        </w:rPr>
        <w:sectPr w:rsidR="00FC257A" w:rsidRPr="00717849">
          <w:headerReference w:type="default" r:id="rId8"/>
          <w:footerReference w:type="default" r:id="rId9"/>
          <w:pgSz w:w="23820" w:h="16840" w:orient="landscape"/>
          <w:pgMar w:top="1820" w:right="1275" w:bottom="1587" w:left="1275" w:header="1285" w:footer="694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FC257A" w:rsidRPr="00717849">
        <w:trPr>
          <w:trHeight w:val="1151"/>
        </w:trPr>
        <w:tc>
          <w:tcPr>
            <w:tcW w:w="5352" w:type="dxa"/>
          </w:tcPr>
          <w:p w:rsidR="00FC257A" w:rsidRPr="00717849" w:rsidRDefault="0035337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1784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178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178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71784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71784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1784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178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1784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FC257A" w:rsidRPr="00717849" w:rsidRDefault="0035337B">
            <w:pPr>
              <w:pStyle w:val="TableParagraph"/>
              <w:ind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7849">
              <w:rPr>
                <w:rFonts w:ascii="Arial" w:hAnsi="Arial" w:cs="Arial"/>
                <w:sz w:val="20"/>
                <w:szCs w:val="20"/>
              </w:rPr>
              <w:t>Yes, the English is generally suitable. The language is clear, uses academic tone, and has good structure. Minor issues: occasional awkward phrasing (e.g., "informants" better as "participants"; inconsistent capitalization of "lived experiences"), typos (e.g., "</w:t>
            </w:r>
            <w:proofErr w:type="spellStart"/>
            <w:r w:rsidRPr="00717849">
              <w:rPr>
                <w:rFonts w:ascii="Arial" w:hAnsi="Arial" w:cs="Arial"/>
                <w:sz w:val="20"/>
                <w:szCs w:val="20"/>
              </w:rPr>
              <w:t>Mecha-nisms</w:t>
            </w:r>
            <w:proofErr w:type="spellEnd"/>
            <w:r w:rsidRPr="00717849">
              <w:rPr>
                <w:rFonts w:ascii="Arial" w:hAnsi="Arial" w:cs="Arial"/>
                <w:sz w:val="20"/>
                <w:szCs w:val="20"/>
              </w:rPr>
              <w:t>" in David 2024), and repetitive phrases in RRL. Proofreading/polishing recommended for publication readiness.</w:t>
            </w:r>
          </w:p>
        </w:tc>
        <w:tc>
          <w:tcPr>
            <w:tcW w:w="6445" w:type="dxa"/>
          </w:tcPr>
          <w:p w:rsidR="00FC257A" w:rsidRPr="00717849" w:rsidRDefault="00FC25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57A" w:rsidRPr="00717849">
        <w:trPr>
          <w:trHeight w:val="1910"/>
        </w:trPr>
        <w:tc>
          <w:tcPr>
            <w:tcW w:w="5352" w:type="dxa"/>
          </w:tcPr>
          <w:p w:rsidR="00FC257A" w:rsidRPr="00717849" w:rsidRDefault="0035337B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17849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71784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FC257A" w:rsidRPr="00717849" w:rsidRDefault="0035337B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2" w:line="237" w:lineRule="auto"/>
              <w:ind w:right="738"/>
              <w:rPr>
                <w:rFonts w:ascii="Arial" w:hAnsi="Arial" w:cs="Arial"/>
                <w:sz w:val="20"/>
                <w:szCs w:val="20"/>
              </w:rPr>
            </w:pPr>
            <w:r w:rsidRPr="00717849">
              <w:rPr>
                <w:rFonts w:ascii="Arial" w:hAnsi="Arial" w:cs="Arial"/>
                <w:sz w:val="20"/>
                <w:szCs w:val="20"/>
              </w:rPr>
              <w:t>Add</w:t>
            </w:r>
            <w:r w:rsidRPr="007178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1–2</w:t>
            </w:r>
            <w:r w:rsidRPr="007178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direct</w:t>
            </w:r>
            <w:r w:rsidRPr="007178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participant</w:t>
            </w:r>
            <w:r w:rsidRPr="007178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quotes</w:t>
            </w:r>
            <w:r w:rsidRPr="007178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per</w:t>
            </w:r>
            <w:r w:rsidRPr="007178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major</w:t>
            </w:r>
            <w:r w:rsidRPr="007178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theme</w:t>
            </w:r>
            <w:r w:rsidRPr="0071784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in</w:t>
            </w:r>
            <w:r w:rsidRPr="007178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Results</w:t>
            </w:r>
            <w:r w:rsidRPr="007178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for</w:t>
            </w:r>
            <w:r w:rsidRPr="007178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richer</w:t>
            </w:r>
            <w:r w:rsidRPr="007178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phenomenological</w:t>
            </w:r>
            <w:r w:rsidRPr="0071784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description (strengthens authenticity).</w:t>
            </w:r>
          </w:p>
          <w:p w:rsidR="00FC257A" w:rsidRPr="00717849" w:rsidRDefault="0035337B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" w:line="245" w:lineRule="exact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717849">
              <w:rPr>
                <w:rFonts w:ascii="Arial" w:hAnsi="Arial" w:cs="Arial"/>
                <w:sz w:val="20"/>
                <w:szCs w:val="20"/>
              </w:rPr>
              <w:t>Expand</w:t>
            </w:r>
            <w:r w:rsidRPr="0071784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brief</w:t>
            </w:r>
            <w:r w:rsidRPr="007178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discussion</w:t>
            </w:r>
            <w:r w:rsidRPr="007178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of</w:t>
            </w:r>
            <w:r w:rsidRPr="007178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Theme</w:t>
            </w:r>
            <w:r w:rsidRPr="007178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8</w:t>
            </w:r>
            <w:r w:rsidRPr="007178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(aspirations)</w:t>
            </w:r>
            <w:r w:rsidRPr="007178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with</w:t>
            </w:r>
            <w:r w:rsidRPr="007178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more</w:t>
            </w:r>
            <w:r w:rsidRPr="0071784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linkage</w:t>
            </w:r>
            <w:r w:rsidRPr="007178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to</w:t>
            </w:r>
            <w:r w:rsidRPr="007178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MATATAG</w:t>
            </w:r>
            <w:r w:rsidRPr="007178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pacing w:val="-2"/>
                <w:sz w:val="20"/>
                <w:szCs w:val="20"/>
              </w:rPr>
              <w:t>implications.</w:t>
            </w:r>
          </w:p>
          <w:p w:rsidR="00FC257A" w:rsidRPr="00717849" w:rsidRDefault="0035337B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548"/>
              <w:rPr>
                <w:rFonts w:ascii="Arial" w:hAnsi="Arial" w:cs="Arial"/>
                <w:sz w:val="20"/>
                <w:szCs w:val="20"/>
              </w:rPr>
            </w:pPr>
            <w:r w:rsidRPr="00717849">
              <w:rPr>
                <w:rFonts w:ascii="Arial" w:hAnsi="Arial" w:cs="Arial"/>
                <w:sz w:val="20"/>
                <w:szCs w:val="20"/>
              </w:rPr>
              <w:t>Table</w:t>
            </w:r>
            <w:r w:rsidRPr="007178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2</w:t>
            </w:r>
            <w:r w:rsidRPr="007178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could</w:t>
            </w:r>
            <w:r w:rsidRPr="007178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be</w:t>
            </w:r>
            <w:r w:rsidRPr="0071784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numbered/formatted</w:t>
            </w:r>
            <w:r w:rsidRPr="0071784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consistently;</w:t>
            </w:r>
            <w:r w:rsidRPr="007178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consider</w:t>
            </w:r>
            <w:r w:rsidRPr="007178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a</w:t>
            </w:r>
            <w:r w:rsidRPr="007178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figure</w:t>
            </w:r>
            <w:r w:rsidRPr="0071784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for</w:t>
            </w:r>
            <w:r w:rsidRPr="007178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theme</w:t>
            </w:r>
            <w:r w:rsidRPr="007178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interconnections</w:t>
            </w:r>
            <w:r w:rsidRPr="0071784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if</w:t>
            </w:r>
            <w:r w:rsidRPr="0071784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 xml:space="preserve">space </w:t>
            </w:r>
            <w:r w:rsidRPr="00717849">
              <w:rPr>
                <w:rFonts w:ascii="Arial" w:hAnsi="Arial" w:cs="Arial"/>
                <w:spacing w:val="-2"/>
                <w:sz w:val="20"/>
                <w:szCs w:val="20"/>
              </w:rPr>
              <w:t>allows.</w:t>
            </w:r>
          </w:p>
          <w:p w:rsidR="00FC257A" w:rsidRPr="00717849" w:rsidRDefault="0035337B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44" w:lineRule="exact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717849">
              <w:rPr>
                <w:rFonts w:ascii="Arial" w:hAnsi="Arial" w:cs="Arial"/>
                <w:sz w:val="20"/>
                <w:szCs w:val="20"/>
              </w:rPr>
              <w:t>Strengths:</w:t>
            </w:r>
            <w:r w:rsidRPr="0071784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Practical,</w:t>
            </w:r>
            <w:r w:rsidRPr="0071784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policy-relevant;</w:t>
            </w:r>
            <w:r w:rsidRPr="0071784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addresses</w:t>
            </w:r>
            <w:r w:rsidRPr="0071784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DepEd</w:t>
            </w:r>
            <w:r w:rsidRPr="0071784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z w:val="20"/>
                <w:szCs w:val="20"/>
              </w:rPr>
              <w:t>localization</w:t>
            </w:r>
            <w:r w:rsidRPr="0071784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17849">
              <w:rPr>
                <w:rFonts w:ascii="Arial" w:hAnsi="Arial" w:cs="Arial"/>
                <w:spacing w:val="-2"/>
                <w:sz w:val="20"/>
                <w:szCs w:val="20"/>
              </w:rPr>
              <w:t>push.</w:t>
            </w:r>
          </w:p>
          <w:p w:rsidR="00FC257A" w:rsidRPr="00717849" w:rsidRDefault="0035337B" w:rsidP="00E44CC8">
            <w:pPr>
              <w:pStyle w:val="TableParagraph"/>
              <w:tabs>
                <w:tab w:val="left" w:pos="468"/>
              </w:tabs>
              <w:spacing w:line="244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717849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  <w:tc>
          <w:tcPr>
            <w:tcW w:w="6445" w:type="dxa"/>
          </w:tcPr>
          <w:p w:rsidR="00FC257A" w:rsidRPr="00717849" w:rsidRDefault="00FC25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257A" w:rsidRPr="00717849" w:rsidRDefault="00FC257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E96436" w:rsidRPr="00717849" w:rsidTr="00E9643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436" w:rsidRPr="00717849" w:rsidRDefault="00E96436" w:rsidP="00E9643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71784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1784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96436" w:rsidRPr="00717849" w:rsidRDefault="00E96436" w:rsidP="00E9643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96436" w:rsidRPr="00717849" w:rsidTr="00E96436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436" w:rsidRPr="00717849" w:rsidRDefault="00E96436" w:rsidP="00E9643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436" w:rsidRPr="00717849" w:rsidRDefault="00E96436" w:rsidP="00E96436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178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436" w:rsidRPr="00717849" w:rsidRDefault="00E96436" w:rsidP="00E96436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178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1784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96436" w:rsidRPr="00717849" w:rsidRDefault="00E96436" w:rsidP="00E96436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96436" w:rsidRPr="00717849" w:rsidTr="00E96436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436" w:rsidRPr="00717849" w:rsidRDefault="00E96436" w:rsidP="00E9643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1784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  <w:bookmarkStart w:id="2" w:name="_GoBack"/>
            <w:bookmarkEnd w:id="2"/>
          </w:p>
          <w:p w:rsidR="00E96436" w:rsidRPr="00717849" w:rsidRDefault="00E96436" w:rsidP="00E9643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436" w:rsidRPr="00717849" w:rsidRDefault="00E96436" w:rsidP="00E9643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1784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E96436" w:rsidRPr="00717849" w:rsidRDefault="00E96436" w:rsidP="00E9643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436" w:rsidRPr="00717849" w:rsidRDefault="00E96436" w:rsidP="00E9643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96436" w:rsidRPr="00717849" w:rsidRDefault="00E96436" w:rsidP="00E9643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96436" w:rsidRPr="00717849" w:rsidRDefault="00E96436" w:rsidP="00E9643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717849" w:rsidRPr="00717849" w:rsidRDefault="00717849" w:rsidP="0071784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717849" w:rsidRPr="00717849" w:rsidRDefault="00717849" w:rsidP="0071784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17849">
        <w:rPr>
          <w:rFonts w:ascii="Arial" w:hAnsi="Arial" w:cs="Arial"/>
          <w:b/>
          <w:u w:val="single"/>
        </w:rPr>
        <w:t>Reviewer details:</w:t>
      </w:r>
    </w:p>
    <w:p w:rsidR="00717849" w:rsidRPr="00717849" w:rsidRDefault="00717849" w:rsidP="00717849">
      <w:pPr>
        <w:rPr>
          <w:rFonts w:ascii="Arial" w:hAnsi="Arial" w:cs="Arial"/>
          <w:sz w:val="20"/>
          <w:szCs w:val="20"/>
        </w:rPr>
      </w:pPr>
      <w:r w:rsidRPr="00717849">
        <w:rPr>
          <w:rFonts w:ascii="Arial" w:hAnsi="Arial" w:cs="Arial"/>
          <w:color w:val="000000"/>
          <w:sz w:val="20"/>
          <w:szCs w:val="20"/>
        </w:rPr>
        <w:t xml:space="preserve">Ronald M. </w:t>
      </w:r>
      <w:proofErr w:type="spellStart"/>
      <w:r w:rsidRPr="00717849">
        <w:rPr>
          <w:rFonts w:ascii="Arial" w:hAnsi="Arial" w:cs="Arial"/>
          <w:color w:val="000000"/>
          <w:sz w:val="20"/>
          <w:szCs w:val="20"/>
        </w:rPr>
        <w:t>Quileste</w:t>
      </w:r>
      <w:proofErr w:type="spellEnd"/>
      <w:r w:rsidRPr="00717849">
        <w:rPr>
          <w:rFonts w:ascii="Arial" w:hAnsi="Arial" w:cs="Arial"/>
          <w:color w:val="000000"/>
          <w:sz w:val="20"/>
          <w:szCs w:val="20"/>
        </w:rPr>
        <w:t xml:space="preserve">, Xavier University </w:t>
      </w:r>
      <w:r w:rsidRPr="00717849">
        <w:rPr>
          <w:rFonts w:ascii="Arial" w:hAnsi="Arial" w:cs="Arial"/>
          <w:sz w:val="20"/>
          <w:szCs w:val="20"/>
        </w:rPr>
        <w:t xml:space="preserve">, </w:t>
      </w:r>
      <w:r w:rsidRPr="00717849">
        <w:rPr>
          <w:rFonts w:ascii="Arial" w:hAnsi="Arial" w:cs="Arial"/>
          <w:color w:val="000000"/>
          <w:sz w:val="20"/>
          <w:szCs w:val="20"/>
        </w:rPr>
        <w:t>Philippines</w:t>
      </w:r>
    </w:p>
    <w:p w:rsidR="00E96436" w:rsidRPr="00717849" w:rsidRDefault="00E96436" w:rsidP="00E96436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E96436" w:rsidRPr="00717849" w:rsidRDefault="00E96436" w:rsidP="00E96436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E96436" w:rsidRPr="00717849" w:rsidRDefault="00E96436" w:rsidP="00E96436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E96436" w:rsidRPr="00717849" w:rsidRDefault="00E96436" w:rsidP="00E96436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FC257A" w:rsidRPr="00717849" w:rsidRDefault="00FC257A">
      <w:pPr>
        <w:rPr>
          <w:rFonts w:ascii="Arial" w:hAnsi="Arial" w:cs="Arial"/>
          <w:sz w:val="20"/>
          <w:szCs w:val="20"/>
        </w:rPr>
      </w:pPr>
    </w:p>
    <w:sectPr w:rsidR="00FC257A" w:rsidRPr="00717849" w:rsidSect="00E96436">
      <w:type w:val="continuous"/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3F8" w:rsidRDefault="000313F8">
      <w:r>
        <w:separator/>
      </w:r>
    </w:p>
  </w:endnote>
  <w:endnote w:type="continuationSeparator" w:id="0">
    <w:p w:rsidR="000313F8" w:rsidRDefault="0003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57A" w:rsidRDefault="0035337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257A" w:rsidRDefault="0035337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FC257A" w:rsidRDefault="0035337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257A" w:rsidRDefault="0035337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FC257A" w:rsidRDefault="0035337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257A" w:rsidRDefault="0035337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FC257A" w:rsidRDefault="0035337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257A" w:rsidRDefault="0035337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FC257A" w:rsidRDefault="0035337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3F8" w:rsidRDefault="000313F8">
      <w:r>
        <w:separator/>
      </w:r>
    </w:p>
  </w:footnote>
  <w:footnote w:type="continuationSeparator" w:id="0">
    <w:p w:rsidR="000313F8" w:rsidRDefault="00031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57A" w:rsidRDefault="0035337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257A" w:rsidRDefault="0035337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FC257A" w:rsidRDefault="0035337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104B3"/>
    <w:multiLevelType w:val="hybridMultilevel"/>
    <w:tmpl w:val="13B0AA10"/>
    <w:lvl w:ilvl="0" w:tplc="94F8648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19A31C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F48F40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3660C7A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217CD51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9306DC0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8F2C986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A58A2C2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1938E5AA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1C8436D"/>
    <w:multiLevelType w:val="hybridMultilevel"/>
    <w:tmpl w:val="C5502DCC"/>
    <w:lvl w:ilvl="0" w:tplc="30F0ACB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1C6C78A">
      <w:numFmt w:val="bullet"/>
      <w:lvlText w:val="•"/>
      <w:lvlJc w:val="left"/>
      <w:pPr>
        <w:ind w:left="1348" w:hanging="361"/>
      </w:pPr>
      <w:rPr>
        <w:rFonts w:hint="default"/>
        <w:lang w:val="en-US" w:eastAsia="en-US" w:bidi="ar-SA"/>
      </w:rPr>
    </w:lvl>
    <w:lvl w:ilvl="2" w:tplc="8E5247DE">
      <w:numFmt w:val="bullet"/>
      <w:lvlText w:val="•"/>
      <w:lvlJc w:val="left"/>
      <w:pPr>
        <w:ind w:left="2237" w:hanging="361"/>
      </w:pPr>
      <w:rPr>
        <w:rFonts w:hint="default"/>
        <w:lang w:val="en-US" w:eastAsia="en-US" w:bidi="ar-SA"/>
      </w:rPr>
    </w:lvl>
    <w:lvl w:ilvl="3" w:tplc="9DF07494">
      <w:numFmt w:val="bullet"/>
      <w:lvlText w:val="•"/>
      <w:lvlJc w:val="left"/>
      <w:pPr>
        <w:ind w:left="3125" w:hanging="361"/>
      </w:pPr>
      <w:rPr>
        <w:rFonts w:hint="default"/>
        <w:lang w:val="en-US" w:eastAsia="en-US" w:bidi="ar-SA"/>
      </w:rPr>
    </w:lvl>
    <w:lvl w:ilvl="4" w:tplc="BBC29464">
      <w:numFmt w:val="bullet"/>
      <w:lvlText w:val="•"/>
      <w:lvlJc w:val="left"/>
      <w:pPr>
        <w:ind w:left="4014" w:hanging="361"/>
      </w:pPr>
      <w:rPr>
        <w:rFonts w:hint="default"/>
        <w:lang w:val="en-US" w:eastAsia="en-US" w:bidi="ar-SA"/>
      </w:rPr>
    </w:lvl>
    <w:lvl w:ilvl="5" w:tplc="2D36C7CA">
      <w:numFmt w:val="bullet"/>
      <w:lvlText w:val="•"/>
      <w:lvlJc w:val="left"/>
      <w:pPr>
        <w:ind w:left="4903" w:hanging="361"/>
      </w:pPr>
      <w:rPr>
        <w:rFonts w:hint="default"/>
        <w:lang w:val="en-US" w:eastAsia="en-US" w:bidi="ar-SA"/>
      </w:rPr>
    </w:lvl>
    <w:lvl w:ilvl="6" w:tplc="21C04924">
      <w:numFmt w:val="bullet"/>
      <w:lvlText w:val="•"/>
      <w:lvlJc w:val="left"/>
      <w:pPr>
        <w:ind w:left="5791" w:hanging="361"/>
      </w:pPr>
      <w:rPr>
        <w:rFonts w:hint="default"/>
        <w:lang w:val="en-US" w:eastAsia="en-US" w:bidi="ar-SA"/>
      </w:rPr>
    </w:lvl>
    <w:lvl w:ilvl="7" w:tplc="44F4CFA4">
      <w:numFmt w:val="bullet"/>
      <w:lvlText w:val="•"/>
      <w:lvlJc w:val="left"/>
      <w:pPr>
        <w:ind w:left="6680" w:hanging="361"/>
      </w:pPr>
      <w:rPr>
        <w:rFonts w:hint="default"/>
        <w:lang w:val="en-US" w:eastAsia="en-US" w:bidi="ar-SA"/>
      </w:rPr>
    </w:lvl>
    <w:lvl w:ilvl="8" w:tplc="45066476">
      <w:numFmt w:val="bullet"/>
      <w:lvlText w:val="•"/>
      <w:lvlJc w:val="left"/>
      <w:pPr>
        <w:ind w:left="7568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257A"/>
    <w:rsid w:val="000313F8"/>
    <w:rsid w:val="0035337B"/>
    <w:rsid w:val="006461A1"/>
    <w:rsid w:val="00717849"/>
    <w:rsid w:val="00E44CC8"/>
    <w:rsid w:val="00E96436"/>
    <w:rsid w:val="00FC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E1EA1"/>
  <w15:docId w15:val="{0F5603C5-CDDE-4D69-8531-B2E8CD1F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customStyle="1" w:styleId="Affiliation">
    <w:name w:val="Affiliation"/>
    <w:basedOn w:val="Normal"/>
    <w:rsid w:val="0071784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index.php/AJ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862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5</cp:revision>
  <dcterms:created xsi:type="dcterms:W3CDTF">2026-01-24T10:29:00Z</dcterms:created>
  <dcterms:modified xsi:type="dcterms:W3CDTF">2026-01-27T09:58:00Z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2026-01-24T00:00:00Z</vt:filetime>
  </property>
  <property fmtid="{D5CDD505-2E9C-101B-9397-08002B2CF9AE}" pid="5" name="Producer">
    <vt:lpwstr>Microsoft® Word for Microsoft 365</vt:lpwstr>
  </property>
</Properties>
</file>