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704B" w:rsidTr="002643B3">
        <w:trPr>
          <w:trHeight w:val="290"/>
        </w:trPr>
        <w:tc>
          <w:tcPr>
            <w:tcW w:w="5000" w:type="pct"/>
            <w:gridSpan w:val="2"/>
            <w:tcBorders>
              <w:top w:val="nil"/>
              <w:left w:val="nil"/>
              <w:right w:val="nil"/>
            </w:tcBorders>
          </w:tcPr>
          <w:p w:rsidR="00602F7D" w:rsidRPr="0028704B" w:rsidRDefault="00602F7D" w:rsidP="00F2643C">
            <w:pPr>
              <w:pStyle w:val="Heading2"/>
              <w:jc w:val="left"/>
              <w:rPr>
                <w:rFonts w:ascii="Arial" w:hAnsi="Arial" w:cs="Arial"/>
                <w:b w:val="0"/>
                <w:bCs w:val="0"/>
                <w:lang w:val="en-GB"/>
              </w:rPr>
            </w:pPr>
          </w:p>
        </w:tc>
      </w:tr>
      <w:tr w:rsidR="0000007A" w:rsidRPr="0028704B" w:rsidTr="002643B3">
        <w:trPr>
          <w:trHeight w:val="290"/>
        </w:trPr>
        <w:tc>
          <w:tcPr>
            <w:tcW w:w="1234" w:type="pct"/>
          </w:tcPr>
          <w:p w:rsidR="0000007A" w:rsidRPr="0028704B" w:rsidRDefault="0000007A" w:rsidP="00696CAD">
            <w:pPr>
              <w:pStyle w:val="BodyText"/>
              <w:ind w:left="90"/>
              <w:jc w:val="left"/>
              <w:rPr>
                <w:rFonts w:ascii="Arial" w:hAnsi="Arial" w:cs="Arial"/>
                <w:bCs/>
                <w:sz w:val="20"/>
                <w:szCs w:val="20"/>
                <w:lang w:val="en-GB"/>
              </w:rPr>
            </w:pPr>
            <w:r w:rsidRPr="0028704B">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28704B" w:rsidRDefault="00356ADD" w:rsidP="00E65EB7">
            <w:pPr>
              <w:rPr>
                <w:rFonts w:ascii="Arial" w:hAnsi="Arial" w:cs="Arial"/>
                <w:b/>
                <w:bCs/>
                <w:color w:val="0000FF"/>
                <w:sz w:val="20"/>
                <w:szCs w:val="20"/>
              </w:rPr>
            </w:pPr>
            <w:hyperlink r:id="rId8" w:history="1">
              <w:r w:rsidR="00174112" w:rsidRPr="0028704B">
                <w:rPr>
                  <w:rStyle w:val="Hyperlink"/>
                  <w:rFonts w:ascii="Arial" w:hAnsi="Arial" w:cs="Arial"/>
                  <w:b/>
                  <w:bCs/>
                  <w:sz w:val="20"/>
                  <w:szCs w:val="20"/>
                </w:rPr>
                <w:t>Asian Journal of Education and Social Studies</w:t>
              </w:r>
            </w:hyperlink>
            <w:r w:rsidR="00174112" w:rsidRPr="0028704B">
              <w:rPr>
                <w:rFonts w:ascii="Arial" w:hAnsi="Arial" w:cs="Arial"/>
                <w:b/>
                <w:bCs/>
                <w:color w:val="0000FF"/>
                <w:sz w:val="20"/>
                <w:szCs w:val="20"/>
              </w:rPr>
              <w:t xml:space="preserve"> </w:t>
            </w:r>
          </w:p>
        </w:tc>
      </w:tr>
      <w:tr w:rsidR="0000007A" w:rsidRPr="0028704B" w:rsidTr="002643B3">
        <w:trPr>
          <w:trHeight w:val="290"/>
        </w:trPr>
        <w:tc>
          <w:tcPr>
            <w:tcW w:w="1234" w:type="pct"/>
          </w:tcPr>
          <w:p w:rsidR="0000007A" w:rsidRPr="0028704B" w:rsidRDefault="0000007A" w:rsidP="00696CAD">
            <w:pPr>
              <w:pStyle w:val="BodyText"/>
              <w:ind w:left="90"/>
              <w:jc w:val="left"/>
              <w:rPr>
                <w:rFonts w:ascii="Arial" w:hAnsi="Arial" w:cs="Arial"/>
                <w:bCs/>
                <w:sz w:val="20"/>
                <w:szCs w:val="20"/>
                <w:lang w:val="en-GB"/>
              </w:rPr>
            </w:pPr>
            <w:r w:rsidRPr="0028704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28704B" w:rsidRDefault="00715925" w:rsidP="00F3669D">
            <w:pPr>
              <w:pStyle w:val="NormalWeb"/>
              <w:spacing w:before="0" w:beforeAutospacing="0" w:after="0" w:afterAutospacing="0"/>
              <w:rPr>
                <w:rFonts w:ascii="Arial" w:hAnsi="Arial" w:cs="Arial"/>
                <w:b/>
                <w:bCs/>
                <w:sz w:val="20"/>
                <w:szCs w:val="20"/>
                <w:lang w:val="en-GB"/>
              </w:rPr>
            </w:pPr>
            <w:r w:rsidRPr="0028704B">
              <w:rPr>
                <w:rFonts w:ascii="Arial" w:hAnsi="Arial" w:cs="Arial"/>
                <w:b/>
                <w:bCs/>
                <w:sz w:val="20"/>
                <w:szCs w:val="20"/>
                <w:lang w:val="en-GB"/>
              </w:rPr>
              <w:t>Ms_AJESS_150755</w:t>
            </w:r>
          </w:p>
        </w:tc>
      </w:tr>
      <w:tr w:rsidR="0000007A" w:rsidRPr="0028704B" w:rsidTr="002643B3">
        <w:trPr>
          <w:trHeight w:val="650"/>
        </w:trPr>
        <w:tc>
          <w:tcPr>
            <w:tcW w:w="1234" w:type="pct"/>
          </w:tcPr>
          <w:p w:rsidR="0000007A" w:rsidRPr="0028704B" w:rsidRDefault="0000007A" w:rsidP="00696CAD">
            <w:pPr>
              <w:pStyle w:val="BodyText"/>
              <w:ind w:left="90"/>
              <w:jc w:val="left"/>
              <w:rPr>
                <w:rFonts w:ascii="Arial" w:hAnsi="Arial" w:cs="Arial"/>
                <w:bCs/>
                <w:sz w:val="20"/>
                <w:szCs w:val="20"/>
                <w:lang w:val="en-GB"/>
              </w:rPr>
            </w:pPr>
            <w:r w:rsidRPr="0028704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28704B" w:rsidRDefault="00715925" w:rsidP="000450FC">
            <w:pPr>
              <w:pStyle w:val="NormalWeb"/>
              <w:spacing w:before="0" w:beforeAutospacing="0" w:after="0" w:afterAutospacing="0"/>
              <w:rPr>
                <w:rFonts w:ascii="Arial" w:hAnsi="Arial" w:cs="Arial"/>
                <w:b/>
                <w:sz w:val="20"/>
                <w:szCs w:val="20"/>
                <w:lang w:val="en-GB"/>
              </w:rPr>
            </w:pPr>
            <w:r w:rsidRPr="0028704B">
              <w:rPr>
                <w:rFonts w:ascii="Arial" w:hAnsi="Arial" w:cs="Arial"/>
                <w:b/>
                <w:sz w:val="20"/>
                <w:szCs w:val="20"/>
                <w:lang w:val="en-GB"/>
              </w:rPr>
              <w:t>Transitioning from INSET to CPD: A 70-Year Exploration of Teachers’ Professional Development in Education</w:t>
            </w:r>
          </w:p>
        </w:tc>
      </w:tr>
      <w:tr w:rsidR="00CF0BBB" w:rsidRPr="0028704B" w:rsidTr="002643B3">
        <w:trPr>
          <w:trHeight w:val="332"/>
        </w:trPr>
        <w:tc>
          <w:tcPr>
            <w:tcW w:w="1234" w:type="pct"/>
          </w:tcPr>
          <w:p w:rsidR="00CF0BBB" w:rsidRPr="0028704B" w:rsidRDefault="00CF0BBB" w:rsidP="00696CAD">
            <w:pPr>
              <w:pStyle w:val="BodyText"/>
              <w:ind w:left="90"/>
              <w:jc w:val="left"/>
              <w:rPr>
                <w:rFonts w:ascii="Arial" w:hAnsi="Arial" w:cs="Arial"/>
                <w:bCs/>
                <w:sz w:val="20"/>
                <w:szCs w:val="20"/>
                <w:lang w:val="en-GB"/>
              </w:rPr>
            </w:pPr>
            <w:r w:rsidRPr="0028704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28704B" w:rsidRDefault="00CF0BBB" w:rsidP="000450FC">
            <w:pPr>
              <w:pStyle w:val="NormalWeb"/>
              <w:spacing w:before="0" w:beforeAutospacing="0" w:after="0" w:afterAutospacing="0"/>
              <w:rPr>
                <w:rFonts w:ascii="Arial" w:hAnsi="Arial" w:cs="Arial"/>
                <w:b/>
                <w:sz w:val="20"/>
                <w:szCs w:val="20"/>
                <w:lang w:val="en-GB"/>
              </w:rPr>
            </w:pPr>
          </w:p>
        </w:tc>
      </w:tr>
    </w:tbl>
    <w:p w:rsidR="00C745F2" w:rsidRPr="0028704B"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28704B">
        <w:tc>
          <w:tcPr>
            <w:tcW w:w="5000" w:type="pct"/>
            <w:gridSpan w:val="3"/>
            <w:tcBorders>
              <w:top w:val="nil"/>
              <w:left w:val="nil"/>
              <w:right w:val="nil"/>
            </w:tcBorders>
            <w:noWrap/>
          </w:tcPr>
          <w:p w:rsidR="00C745F2" w:rsidRPr="0028704B" w:rsidRDefault="00C745F2">
            <w:pPr>
              <w:pStyle w:val="Heading2"/>
              <w:jc w:val="left"/>
              <w:rPr>
                <w:rFonts w:ascii="Arial" w:hAnsi="Arial" w:cs="Arial"/>
                <w:lang w:val="en-GB"/>
              </w:rPr>
            </w:pPr>
            <w:r w:rsidRPr="0028704B">
              <w:rPr>
                <w:rFonts w:ascii="Arial" w:hAnsi="Arial" w:cs="Arial"/>
                <w:highlight w:val="yellow"/>
                <w:lang w:val="en-GB"/>
              </w:rPr>
              <w:t>PART  1:</w:t>
            </w:r>
            <w:r w:rsidRPr="0028704B">
              <w:rPr>
                <w:rFonts w:ascii="Arial" w:hAnsi="Arial" w:cs="Arial"/>
                <w:lang w:val="en-GB"/>
              </w:rPr>
              <w:t xml:space="preserve"> Comments</w:t>
            </w:r>
          </w:p>
          <w:p w:rsidR="00C745F2" w:rsidRPr="0028704B" w:rsidRDefault="00C745F2">
            <w:pPr>
              <w:rPr>
                <w:rFonts w:ascii="Arial" w:hAnsi="Arial" w:cs="Arial"/>
                <w:sz w:val="20"/>
                <w:szCs w:val="20"/>
                <w:lang w:val="en-GB"/>
              </w:rPr>
            </w:pPr>
          </w:p>
        </w:tc>
      </w:tr>
      <w:tr w:rsidR="00C745F2" w:rsidRPr="0028704B">
        <w:tc>
          <w:tcPr>
            <w:tcW w:w="1265" w:type="pct"/>
            <w:noWrap/>
          </w:tcPr>
          <w:p w:rsidR="00C745F2" w:rsidRPr="0028704B" w:rsidRDefault="00C745F2">
            <w:pPr>
              <w:pStyle w:val="Heading2"/>
              <w:jc w:val="left"/>
              <w:rPr>
                <w:rFonts w:ascii="Arial" w:hAnsi="Arial" w:cs="Arial"/>
                <w:lang w:val="en-GB"/>
              </w:rPr>
            </w:pPr>
          </w:p>
        </w:tc>
        <w:tc>
          <w:tcPr>
            <w:tcW w:w="2212" w:type="pct"/>
          </w:tcPr>
          <w:p w:rsidR="00C745F2" w:rsidRPr="0028704B" w:rsidRDefault="00C745F2">
            <w:pPr>
              <w:pStyle w:val="Heading2"/>
              <w:jc w:val="left"/>
              <w:rPr>
                <w:rFonts w:ascii="Arial" w:hAnsi="Arial" w:cs="Arial"/>
                <w:lang w:val="en-GB"/>
              </w:rPr>
            </w:pPr>
            <w:r w:rsidRPr="0028704B">
              <w:rPr>
                <w:rFonts w:ascii="Arial" w:hAnsi="Arial" w:cs="Arial"/>
                <w:lang w:val="en-GB"/>
              </w:rPr>
              <w:t>Reviewer’s comment</w:t>
            </w:r>
          </w:p>
          <w:p w:rsidR="009E2DD4" w:rsidRPr="0028704B" w:rsidRDefault="009E2DD4" w:rsidP="009E2DD4">
            <w:pPr>
              <w:rPr>
                <w:rFonts w:ascii="Arial" w:hAnsi="Arial" w:cs="Arial"/>
                <w:b/>
                <w:bCs/>
                <w:sz w:val="20"/>
                <w:szCs w:val="20"/>
              </w:rPr>
            </w:pPr>
            <w:r w:rsidRPr="0028704B">
              <w:rPr>
                <w:rFonts w:ascii="Arial" w:hAnsi="Arial" w:cs="Arial"/>
                <w:b/>
                <w:bCs/>
                <w:sz w:val="20"/>
                <w:szCs w:val="20"/>
                <w:highlight w:val="yellow"/>
              </w:rPr>
              <w:t>Artificial Intelligence (AI) generated or assisted review comments are strictly prohibited during peer review.</w:t>
            </w:r>
          </w:p>
          <w:p w:rsidR="009E2DD4" w:rsidRPr="0028704B" w:rsidRDefault="009E2DD4" w:rsidP="009E2DD4">
            <w:pPr>
              <w:rPr>
                <w:rFonts w:ascii="Arial" w:hAnsi="Arial" w:cs="Arial"/>
                <w:sz w:val="20"/>
                <w:szCs w:val="20"/>
                <w:lang w:val="en-GB"/>
              </w:rPr>
            </w:pPr>
          </w:p>
        </w:tc>
        <w:tc>
          <w:tcPr>
            <w:tcW w:w="1523" w:type="pct"/>
          </w:tcPr>
          <w:p w:rsidR="00BE3E0F" w:rsidRPr="0028704B" w:rsidRDefault="00BE3E0F" w:rsidP="00BE3E0F">
            <w:pPr>
              <w:spacing w:after="160" w:line="256" w:lineRule="auto"/>
              <w:rPr>
                <w:rFonts w:ascii="Arial" w:eastAsia="Calibri" w:hAnsi="Arial" w:cs="Arial"/>
                <w:kern w:val="2"/>
                <w:sz w:val="20"/>
                <w:szCs w:val="20"/>
                <w:lang w:val="en-IN"/>
              </w:rPr>
            </w:pPr>
            <w:r w:rsidRPr="0028704B">
              <w:rPr>
                <w:rFonts w:ascii="Arial" w:eastAsia="Calibri" w:hAnsi="Arial" w:cs="Arial"/>
                <w:b/>
                <w:kern w:val="2"/>
                <w:sz w:val="20"/>
                <w:szCs w:val="20"/>
                <w:lang w:val="en-IN"/>
              </w:rPr>
              <w:t>Author’s Feedback</w:t>
            </w:r>
            <w:r w:rsidRPr="0028704B">
              <w:rPr>
                <w:rFonts w:ascii="Arial" w:eastAsia="Calibri" w:hAnsi="Arial" w:cs="Arial"/>
                <w:kern w:val="2"/>
                <w:sz w:val="20"/>
                <w:szCs w:val="20"/>
                <w:lang w:val="en-IN"/>
              </w:rPr>
              <w:t xml:space="preserve"> (It is mandatory that authors should write his/her feedback here)</w:t>
            </w:r>
          </w:p>
          <w:p w:rsidR="00C745F2" w:rsidRPr="0028704B" w:rsidRDefault="00C745F2">
            <w:pPr>
              <w:pStyle w:val="Heading2"/>
              <w:jc w:val="left"/>
              <w:rPr>
                <w:rFonts w:ascii="Arial" w:hAnsi="Arial" w:cs="Arial"/>
                <w:b w:val="0"/>
                <w:lang w:val="en-GB"/>
              </w:rPr>
            </w:pPr>
          </w:p>
        </w:tc>
      </w:tr>
      <w:tr w:rsidR="00C745F2" w:rsidRPr="0028704B">
        <w:trPr>
          <w:trHeight w:val="1264"/>
        </w:trPr>
        <w:tc>
          <w:tcPr>
            <w:tcW w:w="1265" w:type="pct"/>
            <w:noWrap/>
          </w:tcPr>
          <w:p w:rsidR="00C745F2" w:rsidRPr="0028704B" w:rsidRDefault="00C745F2">
            <w:pPr>
              <w:ind w:left="360"/>
              <w:rPr>
                <w:rFonts w:ascii="Arial" w:hAnsi="Arial" w:cs="Arial"/>
                <w:b/>
                <w:bCs/>
                <w:sz w:val="20"/>
                <w:szCs w:val="20"/>
                <w:lang w:val="en-GB"/>
              </w:rPr>
            </w:pPr>
            <w:r w:rsidRPr="0028704B">
              <w:rPr>
                <w:rFonts w:ascii="Arial" w:hAnsi="Arial" w:cs="Arial"/>
                <w:b/>
                <w:bCs/>
                <w:sz w:val="20"/>
                <w:szCs w:val="20"/>
                <w:lang w:val="en-GB"/>
              </w:rPr>
              <w:t>Please write a few sentences regarding the importance of this manuscript for the scientific community. A minimum of 3-4 sentences may be required for this part.</w:t>
            </w:r>
          </w:p>
          <w:p w:rsidR="00C745F2" w:rsidRPr="0028704B" w:rsidRDefault="00C745F2">
            <w:pPr>
              <w:ind w:left="360"/>
              <w:rPr>
                <w:rFonts w:ascii="Arial" w:eastAsia="MS Mincho" w:hAnsi="Arial" w:cs="Arial"/>
                <w:b/>
                <w:bCs/>
                <w:sz w:val="20"/>
                <w:szCs w:val="20"/>
                <w:lang w:val="en-GB"/>
              </w:rPr>
            </w:pPr>
          </w:p>
        </w:tc>
        <w:tc>
          <w:tcPr>
            <w:tcW w:w="2212" w:type="pct"/>
          </w:tcPr>
          <w:p w:rsidR="008649C3" w:rsidRPr="0028704B" w:rsidRDefault="008649C3" w:rsidP="000A2695">
            <w:pPr>
              <w:rPr>
                <w:rFonts w:ascii="Arial" w:hAnsi="Arial" w:cs="Arial"/>
                <w:sz w:val="20"/>
                <w:szCs w:val="20"/>
              </w:rPr>
            </w:pPr>
            <w:r w:rsidRPr="0028704B">
              <w:rPr>
                <w:rFonts w:ascii="Arial" w:hAnsi="Arial" w:cs="Arial"/>
                <w:sz w:val="20"/>
                <w:szCs w:val="20"/>
              </w:rPr>
              <w:t>This manuscript provides a comprehensive state-of-the-art review of the evolution from In-Service Training (INSET) to Continuous Professional Development (CPD) in India over seven decades, filling a significant gap in comparative literature on teacher professional development models. By critically analyzing policy documents and institutional strategies alongside international practices, it offers valuable insights into the challenges and opportunities within India’s CPD framework. The study's emphasis on contextualization, technology integration, and policy-practice gaps makes it a crucial resource for policymakers, educators, and researchers aiming to enhance teacher effectiveness and educational quality. Furthermore, its recommendations for region-specific, inclusive, and sustainable CPD systems aligned with NEP 2020 provide a strategic roadmap for advancing teacher professional learning in diverse educational settings.</w:t>
            </w:r>
          </w:p>
          <w:p w:rsidR="00C745F2" w:rsidRPr="0028704B" w:rsidRDefault="00C745F2">
            <w:pPr>
              <w:pStyle w:val="ListParagraph"/>
              <w:ind w:left="0"/>
              <w:rPr>
                <w:rFonts w:ascii="Arial" w:hAnsi="Arial" w:cs="Arial"/>
                <w:b/>
                <w:bCs/>
                <w:sz w:val="20"/>
                <w:szCs w:val="20"/>
                <w:lang w:val="en-GB"/>
              </w:rPr>
            </w:pPr>
          </w:p>
        </w:tc>
        <w:tc>
          <w:tcPr>
            <w:tcW w:w="1523" w:type="pct"/>
          </w:tcPr>
          <w:p w:rsidR="00C745F2" w:rsidRPr="0028704B" w:rsidRDefault="00C745F2">
            <w:pPr>
              <w:pStyle w:val="Heading2"/>
              <w:jc w:val="left"/>
              <w:rPr>
                <w:rFonts w:ascii="Arial" w:hAnsi="Arial" w:cs="Arial"/>
                <w:b w:val="0"/>
                <w:lang w:val="en-GB"/>
              </w:rPr>
            </w:pPr>
          </w:p>
        </w:tc>
      </w:tr>
      <w:tr w:rsidR="00C745F2" w:rsidRPr="0028704B">
        <w:trPr>
          <w:trHeight w:val="1262"/>
        </w:trPr>
        <w:tc>
          <w:tcPr>
            <w:tcW w:w="1265" w:type="pct"/>
            <w:noWrap/>
          </w:tcPr>
          <w:p w:rsidR="00C745F2" w:rsidRPr="0028704B" w:rsidRDefault="00C745F2">
            <w:pPr>
              <w:ind w:left="360"/>
              <w:rPr>
                <w:rFonts w:ascii="Arial" w:hAnsi="Arial" w:cs="Arial"/>
                <w:b/>
                <w:bCs/>
                <w:sz w:val="20"/>
                <w:szCs w:val="20"/>
                <w:lang w:val="en-GB"/>
              </w:rPr>
            </w:pPr>
            <w:r w:rsidRPr="0028704B">
              <w:rPr>
                <w:rFonts w:ascii="Arial" w:hAnsi="Arial" w:cs="Arial"/>
                <w:b/>
                <w:bCs/>
                <w:sz w:val="20"/>
                <w:szCs w:val="20"/>
                <w:lang w:val="en-GB"/>
              </w:rPr>
              <w:t>Is the title of the article suitable?</w:t>
            </w:r>
          </w:p>
          <w:p w:rsidR="00C745F2" w:rsidRPr="0028704B" w:rsidRDefault="00C745F2">
            <w:pPr>
              <w:ind w:left="360"/>
              <w:rPr>
                <w:rFonts w:ascii="Arial" w:hAnsi="Arial" w:cs="Arial"/>
                <w:b/>
                <w:bCs/>
                <w:sz w:val="20"/>
                <w:szCs w:val="20"/>
                <w:lang w:val="en-GB"/>
              </w:rPr>
            </w:pPr>
            <w:r w:rsidRPr="0028704B">
              <w:rPr>
                <w:rFonts w:ascii="Arial" w:hAnsi="Arial" w:cs="Arial"/>
                <w:b/>
                <w:bCs/>
                <w:sz w:val="20"/>
                <w:szCs w:val="20"/>
                <w:lang w:val="en-GB"/>
              </w:rPr>
              <w:t>(If not please suggest an alternative title)</w:t>
            </w:r>
          </w:p>
          <w:p w:rsidR="00C745F2" w:rsidRPr="0028704B" w:rsidRDefault="00C745F2">
            <w:pPr>
              <w:pStyle w:val="Heading2"/>
              <w:jc w:val="left"/>
              <w:rPr>
                <w:rFonts w:ascii="Arial" w:hAnsi="Arial" w:cs="Arial"/>
                <w:u w:val="single"/>
                <w:lang w:val="en-GB"/>
              </w:rPr>
            </w:pPr>
          </w:p>
        </w:tc>
        <w:tc>
          <w:tcPr>
            <w:tcW w:w="2212" w:type="pct"/>
          </w:tcPr>
          <w:p w:rsidR="008649C3" w:rsidRPr="0028704B" w:rsidRDefault="008649C3" w:rsidP="000A2695">
            <w:pPr>
              <w:rPr>
                <w:rFonts w:ascii="Arial" w:hAnsi="Arial" w:cs="Arial"/>
                <w:sz w:val="20"/>
                <w:szCs w:val="20"/>
                <w:lang w:val="en-GB"/>
              </w:rPr>
            </w:pPr>
            <w:r w:rsidRPr="0028704B">
              <w:rPr>
                <w:rFonts w:ascii="Arial" w:hAnsi="Arial" w:cs="Arial"/>
                <w:sz w:val="20"/>
                <w:szCs w:val="20"/>
                <w:lang w:val="en-GB"/>
              </w:rPr>
              <w:t>The title "Transitioning from INSET to CPD: A 70-Year Exploration of Teachers’ Professional Development in Education" is generally suitable as it clearly reflects the manuscript’s focus on the historical evolution from In-Service Training (INSET) to Continuous Professional Development (CPD) over seven decades in the context of teacher professional development. It highlights both the temporal scope and the thematic transition, aligning well with the content and objectives outlined in the manuscript.</w:t>
            </w:r>
          </w:p>
          <w:p w:rsidR="008649C3" w:rsidRPr="0028704B" w:rsidRDefault="008649C3" w:rsidP="000A2695">
            <w:pPr>
              <w:rPr>
                <w:rFonts w:ascii="Arial" w:hAnsi="Arial" w:cs="Arial"/>
                <w:sz w:val="20"/>
                <w:szCs w:val="20"/>
                <w:lang w:val="en-GB"/>
              </w:rPr>
            </w:pPr>
            <w:r w:rsidRPr="0028704B">
              <w:rPr>
                <w:rFonts w:ascii="Arial" w:hAnsi="Arial" w:cs="Arial"/>
                <w:sz w:val="20"/>
                <w:szCs w:val="20"/>
                <w:lang w:val="en-GB"/>
              </w:rPr>
              <w:t>However, to enhance clarity and emphasize the geographic focus and policy analysis aspect, an alternative title could be:</w:t>
            </w:r>
          </w:p>
          <w:p w:rsidR="008649C3" w:rsidRPr="0028704B" w:rsidRDefault="008649C3" w:rsidP="000A2695">
            <w:pPr>
              <w:rPr>
                <w:rFonts w:ascii="Arial" w:hAnsi="Arial" w:cs="Arial"/>
                <w:sz w:val="20"/>
                <w:szCs w:val="20"/>
                <w:lang w:val="en-GB"/>
              </w:rPr>
            </w:pPr>
            <w:r w:rsidRPr="0028704B">
              <w:rPr>
                <w:rFonts w:ascii="Arial" w:hAnsi="Arial" w:cs="Arial"/>
                <w:sz w:val="20"/>
                <w:szCs w:val="20"/>
                <w:lang w:val="en-GB"/>
              </w:rPr>
              <w:t>"From In-Service Training to Continuous Professional Development: A Seven-Decade Review of Teacher Professional Development Policies and Practices in India"</w:t>
            </w:r>
          </w:p>
          <w:p w:rsidR="00C745F2" w:rsidRPr="0028704B" w:rsidRDefault="008649C3" w:rsidP="000A2695">
            <w:pPr>
              <w:rPr>
                <w:rFonts w:ascii="Arial" w:hAnsi="Arial" w:cs="Arial"/>
                <w:b/>
                <w:bCs/>
                <w:sz w:val="20"/>
                <w:szCs w:val="20"/>
                <w:lang w:val="en-GB"/>
              </w:rPr>
            </w:pPr>
            <w:r w:rsidRPr="0028704B">
              <w:rPr>
                <w:rFonts w:ascii="Arial" w:hAnsi="Arial" w:cs="Arial"/>
                <w:sz w:val="20"/>
                <w:szCs w:val="20"/>
                <w:lang w:val="en-GB"/>
              </w:rPr>
              <w:t>This alternative explicitly mentions the country context and the policy/practice dimension, which are central to the manuscript’s contribution.</w:t>
            </w:r>
          </w:p>
        </w:tc>
        <w:tc>
          <w:tcPr>
            <w:tcW w:w="1523" w:type="pct"/>
          </w:tcPr>
          <w:p w:rsidR="00C745F2" w:rsidRPr="0028704B" w:rsidRDefault="00C745F2">
            <w:pPr>
              <w:pStyle w:val="Heading2"/>
              <w:jc w:val="left"/>
              <w:rPr>
                <w:rFonts w:ascii="Arial" w:hAnsi="Arial" w:cs="Arial"/>
                <w:b w:val="0"/>
                <w:lang w:val="en-GB"/>
              </w:rPr>
            </w:pPr>
          </w:p>
        </w:tc>
      </w:tr>
      <w:tr w:rsidR="00C745F2" w:rsidRPr="0028704B">
        <w:trPr>
          <w:trHeight w:val="1262"/>
        </w:trPr>
        <w:tc>
          <w:tcPr>
            <w:tcW w:w="1265" w:type="pct"/>
            <w:noWrap/>
          </w:tcPr>
          <w:p w:rsidR="00C745F2" w:rsidRPr="0028704B" w:rsidRDefault="00C745F2">
            <w:pPr>
              <w:pStyle w:val="Heading2"/>
              <w:ind w:left="360"/>
              <w:jc w:val="left"/>
              <w:rPr>
                <w:rFonts w:ascii="Arial" w:hAnsi="Arial" w:cs="Arial"/>
                <w:lang w:val="en-GB"/>
              </w:rPr>
            </w:pPr>
            <w:r w:rsidRPr="0028704B">
              <w:rPr>
                <w:rFonts w:ascii="Arial" w:hAnsi="Arial" w:cs="Arial"/>
                <w:lang w:val="en-GB"/>
              </w:rPr>
              <w:lastRenderedPageBreak/>
              <w:t>Is the abstract of the article comprehensive? Do you suggest the addition (or deletion) of some points in this section? Please write your suggestions here.</w:t>
            </w:r>
          </w:p>
          <w:p w:rsidR="00C745F2" w:rsidRPr="0028704B" w:rsidRDefault="00C745F2">
            <w:pPr>
              <w:pStyle w:val="Heading2"/>
              <w:jc w:val="left"/>
              <w:rPr>
                <w:rFonts w:ascii="Arial" w:hAnsi="Arial" w:cs="Arial"/>
                <w:u w:val="single"/>
                <w:lang w:val="en-GB"/>
              </w:rPr>
            </w:pPr>
          </w:p>
        </w:tc>
        <w:tc>
          <w:tcPr>
            <w:tcW w:w="2212" w:type="pct"/>
          </w:tcPr>
          <w:p w:rsidR="00783481" w:rsidRPr="0028704B" w:rsidRDefault="00783481" w:rsidP="000A2695">
            <w:pPr>
              <w:rPr>
                <w:rFonts w:ascii="Arial" w:hAnsi="Arial" w:cs="Arial"/>
                <w:sz w:val="20"/>
                <w:szCs w:val="20"/>
              </w:rPr>
            </w:pPr>
            <w:r w:rsidRPr="0028704B">
              <w:rPr>
                <w:rFonts w:ascii="Arial" w:hAnsi="Arial" w:cs="Arial"/>
                <w:sz w:val="20"/>
                <w:szCs w:val="20"/>
              </w:rPr>
              <w:t>The abstract is generally comprehensive and effectively summarizes the study’s focus on the transition from In-Service Training (INSET) to Continuous Professional Development (CPD) within India’s educational landscape. It clearly states the scope (1950 to 2024), methodology (state-of-the-art literature review), key findings (shift from uniform INSET to flexible, context-sensitive CPD), and highlights national initiatives (NISHTHA, SCERTs, DIETs) alongside comparative international insights (Japan, Finland, UK). It also mentions persistent challenges such as lack of coordination, limited customization, and weak accountability, concluding with recommendations aligned with NEP 2020.</w:t>
            </w:r>
          </w:p>
          <w:p w:rsidR="00783481" w:rsidRPr="0028704B" w:rsidRDefault="00783481" w:rsidP="000A2695">
            <w:pPr>
              <w:rPr>
                <w:rFonts w:ascii="Arial" w:hAnsi="Arial" w:cs="Arial"/>
                <w:sz w:val="20"/>
                <w:szCs w:val="20"/>
              </w:rPr>
            </w:pPr>
            <w:r w:rsidRPr="0028704B">
              <w:rPr>
                <w:rFonts w:ascii="Arial" w:hAnsi="Arial" w:cs="Arial"/>
                <w:sz w:val="20"/>
                <w:szCs w:val="20"/>
              </w:rPr>
              <w:t>Suggestions for improvement:</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Add explicit mention of the timeframe (1950 to 2024) earlier in the abstract for immediate context.</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Correct minor spacing or formatting issues for better readability (e.g., ensure spaces after commas and between phrases).</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Clarify the phrase “using school and technology to improve training” to “leveraging school-based approaches and technology integration” for precision.</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Briefly indicate how comparative international insights informed the study to emphasize the cross-national perspective.</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Include a concise statement on the significance or potential impact of findings for policymakers, educators, and researchers to strengthen the rationale.</w:t>
            </w:r>
          </w:p>
          <w:p w:rsidR="00783481" w:rsidRPr="0028704B" w:rsidRDefault="00783481" w:rsidP="000A2695">
            <w:pPr>
              <w:pStyle w:val="ListParagraph"/>
              <w:numPr>
                <w:ilvl w:val="0"/>
                <w:numId w:val="15"/>
              </w:numPr>
              <w:rPr>
                <w:rFonts w:ascii="Arial" w:hAnsi="Arial" w:cs="Arial"/>
                <w:sz w:val="20"/>
                <w:szCs w:val="20"/>
              </w:rPr>
            </w:pPr>
            <w:r w:rsidRPr="0028704B">
              <w:rPr>
                <w:rFonts w:ascii="Arial" w:hAnsi="Arial" w:cs="Arial"/>
                <w:sz w:val="20"/>
                <w:szCs w:val="20"/>
              </w:rPr>
              <w:t>Rephrase the concluding sentence for smoother flow and clarity, e.g., “This study recommends creating region-specific frameworks, enhancing digital integration, promoting inclusive participation, mentoring, and utilizing systems such as e-portfolios and UDISE+ to track progress aligned with NEP 2020’s vision of professional autonomy, quality, and equity.”</w:t>
            </w:r>
          </w:p>
          <w:p w:rsidR="00C745F2" w:rsidRPr="0028704B" w:rsidRDefault="00783481" w:rsidP="000A2695">
            <w:pPr>
              <w:rPr>
                <w:rFonts w:ascii="Arial" w:hAnsi="Arial" w:cs="Arial"/>
                <w:color w:val="000000"/>
                <w:sz w:val="20"/>
                <w:szCs w:val="20"/>
              </w:rPr>
            </w:pPr>
            <w:r w:rsidRPr="0028704B">
              <w:rPr>
                <w:rFonts w:ascii="Arial" w:hAnsi="Arial" w:cs="Arial"/>
                <w:sz w:val="20"/>
                <w:szCs w:val="20"/>
              </w:rPr>
              <w:t>No deletions are necessary; focus on polishing language, fixing minor errors, and emphasizing the study’s relevance and methodological rigor.</w:t>
            </w:r>
          </w:p>
        </w:tc>
        <w:tc>
          <w:tcPr>
            <w:tcW w:w="1523" w:type="pct"/>
          </w:tcPr>
          <w:p w:rsidR="00C745F2" w:rsidRPr="0028704B" w:rsidRDefault="00C745F2">
            <w:pPr>
              <w:pStyle w:val="Heading2"/>
              <w:jc w:val="left"/>
              <w:rPr>
                <w:rFonts w:ascii="Arial" w:hAnsi="Arial" w:cs="Arial"/>
                <w:b w:val="0"/>
                <w:lang w:val="en-GB"/>
              </w:rPr>
            </w:pPr>
          </w:p>
        </w:tc>
      </w:tr>
      <w:tr w:rsidR="00C745F2" w:rsidRPr="0028704B">
        <w:trPr>
          <w:trHeight w:val="704"/>
        </w:trPr>
        <w:tc>
          <w:tcPr>
            <w:tcW w:w="1265" w:type="pct"/>
            <w:noWrap/>
          </w:tcPr>
          <w:p w:rsidR="00C745F2" w:rsidRPr="0028704B" w:rsidRDefault="00C745F2">
            <w:pPr>
              <w:pStyle w:val="Heading2"/>
              <w:ind w:left="360"/>
              <w:jc w:val="left"/>
              <w:rPr>
                <w:rFonts w:ascii="Arial" w:hAnsi="Arial" w:cs="Arial"/>
                <w:b w:val="0"/>
                <w:bCs w:val="0"/>
                <w:u w:val="single"/>
                <w:lang w:val="en-GB"/>
              </w:rPr>
            </w:pPr>
            <w:r w:rsidRPr="0028704B">
              <w:rPr>
                <w:rFonts w:ascii="Arial" w:hAnsi="Arial" w:cs="Arial"/>
                <w:lang w:val="en-GB"/>
              </w:rPr>
              <w:t>Is the manuscript scientifically, correct? Please write here.</w:t>
            </w:r>
          </w:p>
        </w:tc>
        <w:tc>
          <w:tcPr>
            <w:tcW w:w="2212" w:type="pct"/>
          </w:tcPr>
          <w:p w:rsidR="000A2695" w:rsidRPr="0028704B" w:rsidRDefault="00783481" w:rsidP="000A2695">
            <w:pPr>
              <w:rPr>
                <w:rFonts w:ascii="Arial" w:hAnsi="Arial" w:cs="Arial"/>
                <w:sz w:val="20"/>
                <w:szCs w:val="20"/>
                <w:lang w:val="en-GB"/>
              </w:rPr>
            </w:pPr>
            <w:r w:rsidRPr="0028704B">
              <w:rPr>
                <w:rFonts w:ascii="Arial" w:hAnsi="Arial" w:cs="Arial"/>
                <w:sz w:val="20"/>
                <w:szCs w:val="20"/>
                <w:lang w:val="en-GB"/>
              </w:rPr>
              <w:t xml:space="preserve">The selected text is scientifically correct within the context of the manuscript. It accurately reflects the evolving complexity of teaching and the increasing need for continuous professional development (CPD) for educators. </w:t>
            </w:r>
          </w:p>
          <w:p w:rsidR="000A2695" w:rsidRPr="0028704B" w:rsidRDefault="00783481" w:rsidP="000A2695">
            <w:pPr>
              <w:pStyle w:val="ListParagraph"/>
              <w:numPr>
                <w:ilvl w:val="0"/>
                <w:numId w:val="16"/>
              </w:numPr>
              <w:rPr>
                <w:rFonts w:ascii="Arial" w:hAnsi="Arial" w:cs="Arial"/>
                <w:sz w:val="20"/>
                <w:szCs w:val="20"/>
                <w:lang w:val="en-GB"/>
              </w:rPr>
            </w:pPr>
            <w:r w:rsidRPr="0028704B">
              <w:rPr>
                <w:rFonts w:ascii="Arial" w:hAnsi="Arial" w:cs="Arial"/>
                <w:sz w:val="20"/>
                <w:szCs w:val="20"/>
                <w:lang w:val="en-GB"/>
              </w:rPr>
              <w:t xml:space="preserve">The reference to Wright et al. (202) describing a feasibility trial of a job-embedded professional development (JEPD) program aligns with current educational research emphasizing embedded, practical CPD approaches. </w:t>
            </w:r>
          </w:p>
          <w:p w:rsidR="000A2695" w:rsidRPr="0028704B" w:rsidRDefault="00783481" w:rsidP="000A2695">
            <w:pPr>
              <w:pStyle w:val="ListParagraph"/>
              <w:numPr>
                <w:ilvl w:val="0"/>
                <w:numId w:val="16"/>
              </w:numPr>
              <w:rPr>
                <w:rFonts w:ascii="Arial" w:hAnsi="Arial" w:cs="Arial"/>
                <w:sz w:val="20"/>
                <w:szCs w:val="20"/>
                <w:lang w:val="en-GB"/>
              </w:rPr>
            </w:pPr>
            <w:r w:rsidRPr="0028704B">
              <w:rPr>
                <w:rFonts w:ascii="Arial" w:hAnsi="Arial" w:cs="Arial"/>
                <w:sz w:val="20"/>
                <w:szCs w:val="20"/>
                <w:lang w:val="en-GB"/>
              </w:rPr>
              <w:t xml:space="preserve">The mention of the CPD Coordinators Toolkit (Sage Academic Books, 2019) as a resource for staff development coordinators further supports the shift from traditional, episodic in-service training (INSET) to ongoing, sustained professional development strategies. </w:t>
            </w:r>
          </w:p>
          <w:p w:rsidR="00783481" w:rsidRPr="0028704B" w:rsidRDefault="00783481" w:rsidP="000A2695">
            <w:pPr>
              <w:pStyle w:val="ListParagraph"/>
              <w:numPr>
                <w:ilvl w:val="0"/>
                <w:numId w:val="16"/>
              </w:numPr>
              <w:rPr>
                <w:rFonts w:ascii="Arial" w:hAnsi="Arial" w:cs="Arial"/>
                <w:sz w:val="20"/>
                <w:szCs w:val="20"/>
                <w:lang w:val="en-GB"/>
              </w:rPr>
            </w:pPr>
            <w:r w:rsidRPr="0028704B">
              <w:rPr>
                <w:rFonts w:ascii="Arial" w:hAnsi="Arial" w:cs="Arial"/>
                <w:sz w:val="20"/>
                <w:szCs w:val="20"/>
                <w:lang w:val="en-GB"/>
              </w:rPr>
              <w:t>The citation of NCERT’s Guidelines50HoursCpd (2022) reinforces the policy context for this transition in India.</w:t>
            </w:r>
          </w:p>
          <w:p w:rsidR="00C745F2" w:rsidRPr="0028704B" w:rsidRDefault="00783481" w:rsidP="000A2695">
            <w:pPr>
              <w:rPr>
                <w:rFonts w:ascii="Arial" w:hAnsi="Arial" w:cs="Arial"/>
                <w:bCs/>
                <w:sz w:val="20"/>
                <w:szCs w:val="20"/>
                <w:lang w:val="en-GB"/>
              </w:rPr>
            </w:pPr>
            <w:r w:rsidRPr="0028704B">
              <w:rPr>
                <w:rFonts w:ascii="Arial" w:hAnsi="Arial" w:cs="Arial"/>
                <w:sz w:val="20"/>
                <w:szCs w:val="20"/>
                <w:lang w:val="en-GB"/>
              </w:rPr>
              <w:t>Overall, the passage is coherent, contextually aligned with the manuscript’s focus on CPD evolution, and supported by relevant references.</w:t>
            </w:r>
          </w:p>
        </w:tc>
        <w:tc>
          <w:tcPr>
            <w:tcW w:w="1523" w:type="pct"/>
          </w:tcPr>
          <w:p w:rsidR="00C745F2" w:rsidRPr="0028704B" w:rsidRDefault="00C745F2">
            <w:pPr>
              <w:pStyle w:val="Heading2"/>
              <w:jc w:val="left"/>
              <w:rPr>
                <w:rFonts w:ascii="Arial" w:hAnsi="Arial" w:cs="Arial"/>
                <w:b w:val="0"/>
                <w:lang w:val="en-GB"/>
              </w:rPr>
            </w:pPr>
          </w:p>
        </w:tc>
      </w:tr>
      <w:tr w:rsidR="00C745F2" w:rsidRPr="0028704B">
        <w:trPr>
          <w:trHeight w:val="703"/>
        </w:trPr>
        <w:tc>
          <w:tcPr>
            <w:tcW w:w="1265" w:type="pct"/>
            <w:noWrap/>
          </w:tcPr>
          <w:p w:rsidR="00C745F2" w:rsidRPr="0028704B" w:rsidRDefault="00C745F2">
            <w:pPr>
              <w:ind w:left="360"/>
              <w:rPr>
                <w:rFonts w:ascii="Arial" w:hAnsi="Arial" w:cs="Arial"/>
                <w:b/>
                <w:bCs/>
                <w:sz w:val="20"/>
                <w:szCs w:val="20"/>
                <w:lang w:val="en-GB"/>
              </w:rPr>
            </w:pPr>
            <w:r w:rsidRPr="0028704B">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C745F2" w:rsidRPr="0028704B" w:rsidRDefault="00783481" w:rsidP="000A2695">
            <w:pPr>
              <w:rPr>
                <w:rFonts w:ascii="Arial" w:hAnsi="Arial" w:cs="Arial"/>
                <w:sz w:val="20"/>
                <w:szCs w:val="20"/>
              </w:rPr>
            </w:pPr>
            <w:r w:rsidRPr="0028704B">
              <w:rPr>
                <w:rFonts w:ascii="Arial" w:hAnsi="Arial" w:cs="Arial"/>
                <w:sz w:val="20"/>
                <w:szCs w:val="20"/>
                <w:lang w:val="en-GB"/>
              </w:rPr>
              <w:t>The references in the selected text are generally sufficient and cover a broad temporal range, including foundational policy documents, key commissions, and contemporary studies relevant to the transition from INSET to CPD in India.</w:t>
            </w:r>
          </w:p>
          <w:p w:rsidR="000A2695" w:rsidRPr="0028704B" w:rsidRDefault="00783481" w:rsidP="000A2695">
            <w:pPr>
              <w:rPr>
                <w:rFonts w:ascii="Arial" w:hAnsi="Arial" w:cs="Arial"/>
                <w:sz w:val="20"/>
                <w:szCs w:val="20"/>
                <w:lang w:val="en-GB"/>
              </w:rPr>
            </w:pPr>
            <w:r w:rsidRPr="0028704B">
              <w:rPr>
                <w:rFonts w:ascii="Arial" w:hAnsi="Arial" w:cs="Arial"/>
                <w:sz w:val="20"/>
                <w:szCs w:val="20"/>
                <w:lang w:val="en-GB"/>
              </w:rPr>
              <w:t>Suggestions for additional references to strengthen the manuscript could include:</w:t>
            </w:r>
          </w:p>
          <w:p w:rsidR="00783481" w:rsidRPr="0028704B" w:rsidRDefault="00783481" w:rsidP="000A2695">
            <w:pPr>
              <w:pStyle w:val="ListParagraph"/>
              <w:numPr>
                <w:ilvl w:val="0"/>
                <w:numId w:val="17"/>
              </w:numPr>
              <w:rPr>
                <w:rFonts w:ascii="Arial" w:hAnsi="Arial" w:cs="Arial"/>
                <w:sz w:val="20"/>
                <w:szCs w:val="20"/>
                <w:lang w:val="en-GB"/>
              </w:rPr>
            </w:pPr>
            <w:r w:rsidRPr="0028704B">
              <w:rPr>
                <w:rFonts w:ascii="Arial" w:hAnsi="Arial" w:cs="Arial"/>
                <w:sz w:val="20"/>
                <w:szCs w:val="20"/>
                <w:lang w:val="en-GB"/>
              </w:rPr>
              <w:t>Recent large-scale empirical studies or meta-analyses on CPD effectiveness in India or similar educational contexts to provide stronger evidence of impact.</w:t>
            </w:r>
          </w:p>
          <w:p w:rsidR="00783481" w:rsidRPr="0028704B" w:rsidRDefault="00783481" w:rsidP="000A2695">
            <w:pPr>
              <w:pStyle w:val="ListParagraph"/>
              <w:numPr>
                <w:ilvl w:val="0"/>
                <w:numId w:val="17"/>
              </w:numPr>
              <w:rPr>
                <w:rFonts w:ascii="Arial" w:hAnsi="Arial" w:cs="Arial"/>
                <w:sz w:val="20"/>
                <w:szCs w:val="20"/>
                <w:lang w:val="en-GB"/>
              </w:rPr>
            </w:pPr>
            <w:r w:rsidRPr="0028704B">
              <w:rPr>
                <w:rFonts w:ascii="Arial" w:hAnsi="Arial" w:cs="Arial"/>
                <w:sz w:val="20"/>
                <w:szCs w:val="20"/>
                <w:lang w:val="en-GB"/>
              </w:rPr>
              <w:t>Updated policy analyses or evaluations post-NEP 2020 implementation to reflect the latest developments and challenges.</w:t>
            </w:r>
          </w:p>
          <w:p w:rsidR="00783481" w:rsidRPr="0028704B" w:rsidRDefault="00783481" w:rsidP="000A2695">
            <w:pPr>
              <w:pStyle w:val="ListParagraph"/>
              <w:numPr>
                <w:ilvl w:val="0"/>
                <w:numId w:val="17"/>
              </w:numPr>
              <w:rPr>
                <w:rFonts w:ascii="Arial" w:hAnsi="Arial" w:cs="Arial"/>
                <w:sz w:val="20"/>
                <w:szCs w:val="20"/>
                <w:lang w:val="en-GB"/>
              </w:rPr>
            </w:pPr>
            <w:r w:rsidRPr="0028704B">
              <w:rPr>
                <w:rFonts w:ascii="Arial" w:hAnsi="Arial" w:cs="Arial"/>
                <w:sz w:val="20"/>
                <w:szCs w:val="20"/>
                <w:lang w:val="en-GB"/>
              </w:rPr>
              <w:t>More recent international comparative literature focusing on CPD innovations in low- and middle-income countries, especially in digital and hybrid models accelerated by the COVID-19 pandemic.</w:t>
            </w:r>
          </w:p>
          <w:p w:rsidR="00783481" w:rsidRPr="0028704B" w:rsidRDefault="00783481" w:rsidP="000A2695">
            <w:pPr>
              <w:pStyle w:val="ListParagraph"/>
              <w:numPr>
                <w:ilvl w:val="0"/>
                <w:numId w:val="17"/>
              </w:numPr>
              <w:rPr>
                <w:rFonts w:ascii="Arial" w:hAnsi="Arial" w:cs="Arial"/>
                <w:sz w:val="20"/>
                <w:szCs w:val="20"/>
                <w:lang w:val="en-GB"/>
              </w:rPr>
            </w:pPr>
            <w:r w:rsidRPr="0028704B">
              <w:rPr>
                <w:rFonts w:ascii="Arial" w:hAnsi="Arial" w:cs="Arial"/>
                <w:sz w:val="20"/>
                <w:szCs w:val="20"/>
                <w:lang w:val="en-GB"/>
              </w:rPr>
              <w:t>Studies addressing equity and inclusion in CPD participation, particularly concerning private and remote school teachers, to deepen the discussion on persistent gaps.</w:t>
            </w:r>
          </w:p>
          <w:p w:rsidR="00783481" w:rsidRPr="0028704B" w:rsidRDefault="00783481" w:rsidP="000A2695">
            <w:pPr>
              <w:pStyle w:val="ListParagraph"/>
              <w:numPr>
                <w:ilvl w:val="0"/>
                <w:numId w:val="17"/>
              </w:numPr>
              <w:rPr>
                <w:rFonts w:ascii="Arial" w:hAnsi="Arial" w:cs="Arial"/>
                <w:sz w:val="20"/>
                <w:szCs w:val="20"/>
                <w:lang w:val="en-GB"/>
              </w:rPr>
            </w:pPr>
            <w:r w:rsidRPr="0028704B">
              <w:rPr>
                <w:rFonts w:ascii="Arial" w:hAnsi="Arial" w:cs="Arial"/>
                <w:sz w:val="20"/>
                <w:szCs w:val="20"/>
                <w:lang w:val="en-GB"/>
              </w:rPr>
              <w:t>Research on teacher agency and professional autonomy in CPD, linking theory with practice in the Indian context.</w:t>
            </w:r>
          </w:p>
          <w:p w:rsidR="00783481" w:rsidRPr="0028704B" w:rsidRDefault="00783481" w:rsidP="000A2695">
            <w:pPr>
              <w:rPr>
                <w:rFonts w:ascii="Arial" w:hAnsi="Arial" w:cs="Arial"/>
                <w:bCs/>
                <w:sz w:val="20"/>
                <w:szCs w:val="20"/>
                <w:lang w:val="en-GB"/>
              </w:rPr>
            </w:pPr>
            <w:r w:rsidRPr="0028704B">
              <w:rPr>
                <w:rFonts w:ascii="Arial" w:hAnsi="Arial" w:cs="Arial"/>
                <w:sz w:val="20"/>
                <w:szCs w:val="20"/>
                <w:lang w:val="en-GB"/>
              </w:rPr>
              <w:t xml:space="preserve">For precise citations and integration of these suggestions, using </w:t>
            </w:r>
            <w:proofErr w:type="spellStart"/>
            <w:r w:rsidRPr="0028704B">
              <w:rPr>
                <w:rFonts w:ascii="Arial" w:hAnsi="Arial" w:cs="Arial"/>
                <w:sz w:val="20"/>
                <w:szCs w:val="20"/>
                <w:lang w:val="en-GB"/>
              </w:rPr>
              <w:t>Paperpal’s</w:t>
            </w:r>
            <w:proofErr w:type="spellEnd"/>
            <w:r w:rsidRPr="0028704B">
              <w:rPr>
                <w:rFonts w:ascii="Arial" w:hAnsi="Arial" w:cs="Arial"/>
                <w:sz w:val="20"/>
                <w:szCs w:val="20"/>
                <w:lang w:val="en-GB"/>
              </w:rPr>
              <w:t xml:space="preserve"> Cite Text feature under Research and Cite → Cite Text would facilitate matching the manuscript content with the most relevant and up-to-date sources.</w:t>
            </w:r>
          </w:p>
        </w:tc>
        <w:tc>
          <w:tcPr>
            <w:tcW w:w="1523" w:type="pct"/>
          </w:tcPr>
          <w:p w:rsidR="00C745F2" w:rsidRPr="0028704B" w:rsidRDefault="00C745F2">
            <w:pPr>
              <w:pStyle w:val="Heading2"/>
              <w:jc w:val="left"/>
              <w:rPr>
                <w:rFonts w:ascii="Arial" w:hAnsi="Arial" w:cs="Arial"/>
                <w:b w:val="0"/>
                <w:lang w:val="en-GB"/>
              </w:rPr>
            </w:pPr>
          </w:p>
        </w:tc>
      </w:tr>
      <w:tr w:rsidR="00C745F2" w:rsidRPr="0028704B">
        <w:trPr>
          <w:trHeight w:val="386"/>
        </w:trPr>
        <w:tc>
          <w:tcPr>
            <w:tcW w:w="1265" w:type="pct"/>
            <w:noWrap/>
          </w:tcPr>
          <w:p w:rsidR="00C745F2" w:rsidRPr="0028704B" w:rsidRDefault="00C745F2">
            <w:pPr>
              <w:pStyle w:val="Heading2"/>
              <w:ind w:left="360"/>
              <w:jc w:val="left"/>
              <w:rPr>
                <w:rFonts w:ascii="Arial" w:hAnsi="Arial" w:cs="Arial"/>
                <w:bCs w:val="0"/>
                <w:lang w:val="en-GB"/>
              </w:rPr>
            </w:pPr>
            <w:r w:rsidRPr="0028704B">
              <w:rPr>
                <w:rFonts w:ascii="Arial" w:hAnsi="Arial" w:cs="Arial"/>
                <w:bCs w:val="0"/>
                <w:lang w:val="en-GB"/>
              </w:rPr>
              <w:lastRenderedPageBreak/>
              <w:t>Is the language/English quality of the article suitable for scholarly communications?</w:t>
            </w:r>
          </w:p>
          <w:p w:rsidR="00C745F2" w:rsidRPr="0028704B" w:rsidRDefault="00C745F2">
            <w:pPr>
              <w:rPr>
                <w:rFonts w:ascii="Arial" w:hAnsi="Arial" w:cs="Arial"/>
                <w:sz w:val="20"/>
                <w:szCs w:val="20"/>
                <w:lang w:val="en-GB"/>
              </w:rPr>
            </w:pPr>
          </w:p>
        </w:tc>
        <w:tc>
          <w:tcPr>
            <w:tcW w:w="2212" w:type="pct"/>
          </w:tcPr>
          <w:p w:rsidR="00F858A9" w:rsidRPr="0028704B" w:rsidRDefault="00F858A9" w:rsidP="000A2695">
            <w:pPr>
              <w:rPr>
                <w:rFonts w:ascii="Arial" w:hAnsi="Arial" w:cs="Arial"/>
                <w:sz w:val="20"/>
                <w:szCs w:val="20"/>
              </w:rPr>
            </w:pPr>
            <w:r w:rsidRPr="0028704B">
              <w:rPr>
                <w:rFonts w:ascii="Arial" w:hAnsi="Arial" w:cs="Arial"/>
                <w:sz w:val="20"/>
                <w:szCs w:val="20"/>
              </w:rPr>
              <w:t>The language and English quality of the article are generally suitable for scholarly communication but require targeted refinement to meet higher academic standards. The manuscript effectively conveys complex ideas and presents a comprehensive review; however, it exhibits several issues that can affect clarity, coherence, and professionalism:</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Typographical and Formatting Errors: inconsistent spacing around punctuation, and typographical errors in years (e.g., "NEP 220" instead of "NEP 2020") reduce readability and should be corrected.</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Sentence Structure and Grammar: Some sentences are lengthy or awkwardly constructed, which can obscure meaning. For example, phrases like “using school and technology to improve training” would benefit from clearer wording such as “leveraging school-based approaches and technology integration.” Attention to subject-verb agreement, verb tense consistency, and article usage would improve fluency.</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Repetition and Redundancy: Certain ideas and phrases are repeated unnecessarily (e.g., multiple versions of the abstract with minor variations). Streamlining content to avoid redundancy will enhance focus and impact.</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Consistency in Terminology and Style: Terms such as INSET and CPD are well-defined but occasionally explained in a way that could be more concise and formal. Consistent use of acronyms and full forms on first mention, and adherence to academic style conventions, will strengthen the manuscript’s professionalism.</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Flow and Coherence: Transitions between sections and ideas can be improved to ensure logical progression and easier comprehension. Paragraphs sometimes mix multiple points that could be better organized.</w:t>
            </w:r>
          </w:p>
          <w:p w:rsidR="00F858A9" w:rsidRPr="0028704B" w:rsidRDefault="00F858A9" w:rsidP="000A2695">
            <w:pPr>
              <w:pStyle w:val="ListParagraph"/>
              <w:numPr>
                <w:ilvl w:val="0"/>
                <w:numId w:val="18"/>
              </w:numPr>
              <w:rPr>
                <w:rFonts w:ascii="Arial" w:hAnsi="Arial" w:cs="Arial"/>
                <w:sz w:val="20"/>
                <w:szCs w:val="20"/>
              </w:rPr>
            </w:pPr>
            <w:r w:rsidRPr="0028704B">
              <w:rPr>
                <w:rFonts w:ascii="Arial" w:hAnsi="Arial" w:cs="Arial"/>
                <w:sz w:val="20"/>
                <w:szCs w:val="20"/>
              </w:rPr>
              <w:t>Citation Formatting: Some references show inconsistent formatting and incomplete years (e.g., “Wright et al. (202)”). Standardizing citation style according to the target journal’s guidelines is necessary.</w:t>
            </w:r>
          </w:p>
          <w:p w:rsidR="00857E26" w:rsidRPr="0028704B" w:rsidRDefault="00857E26" w:rsidP="000A2695">
            <w:pPr>
              <w:pStyle w:val="ListParagraph"/>
              <w:numPr>
                <w:ilvl w:val="0"/>
                <w:numId w:val="18"/>
              </w:numPr>
              <w:rPr>
                <w:rFonts w:ascii="Arial" w:hAnsi="Arial" w:cs="Arial"/>
                <w:sz w:val="20"/>
                <w:szCs w:val="20"/>
              </w:rPr>
            </w:pPr>
            <w:r w:rsidRPr="0028704B">
              <w:rPr>
                <w:rFonts w:ascii="Arial" w:hAnsi="Arial" w:cs="Arial"/>
                <w:sz w:val="20"/>
                <w:szCs w:val="20"/>
              </w:rPr>
              <w:t>maintaining consistent citation writing patterns, examples of different citation patterns: NCFTE (2009) examines the structure and impact...;  CPD significantly contributes in the growth and development of teachers, additionally the overall improvement of education systems (Xaso et al., 2017).</w:t>
            </w:r>
          </w:p>
          <w:p w:rsidR="00C745F2" w:rsidRPr="0028704B" w:rsidRDefault="00F858A9" w:rsidP="000A2695">
            <w:pPr>
              <w:rPr>
                <w:rFonts w:ascii="Arial" w:hAnsi="Arial" w:cs="Arial"/>
                <w:color w:val="000000"/>
                <w:sz w:val="20"/>
                <w:szCs w:val="20"/>
              </w:rPr>
            </w:pPr>
            <w:r w:rsidRPr="0028704B">
              <w:rPr>
                <w:rFonts w:ascii="Arial" w:hAnsi="Arial" w:cs="Arial"/>
                <w:sz w:val="20"/>
                <w:szCs w:val="20"/>
              </w:rPr>
              <w:t>Overall, the manuscript’s content is solid and well-researched, but polishing the language through careful editing</w:t>
            </w:r>
            <w:r w:rsidR="000A2695" w:rsidRPr="0028704B">
              <w:rPr>
                <w:rFonts w:ascii="Arial" w:hAnsi="Arial" w:cs="Arial"/>
                <w:sz w:val="20"/>
                <w:szCs w:val="20"/>
                <w:lang w:val="en-US"/>
              </w:rPr>
              <w:t xml:space="preserve"> </w:t>
            </w:r>
            <w:r w:rsidRPr="0028704B">
              <w:rPr>
                <w:rFonts w:ascii="Arial" w:hAnsi="Arial" w:cs="Arial"/>
                <w:sz w:val="20"/>
                <w:szCs w:val="20"/>
              </w:rPr>
              <w:t>focusing on grammar, syntax, clarity, and consistency</w:t>
            </w:r>
            <w:r w:rsidR="000A2695" w:rsidRPr="0028704B">
              <w:rPr>
                <w:rFonts w:ascii="Arial" w:hAnsi="Arial" w:cs="Arial"/>
                <w:sz w:val="20"/>
                <w:szCs w:val="20"/>
                <w:lang w:val="en-US"/>
              </w:rPr>
              <w:t xml:space="preserve"> </w:t>
            </w:r>
            <w:r w:rsidRPr="0028704B">
              <w:rPr>
                <w:rFonts w:ascii="Arial" w:hAnsi="Arial" w:cs="Arial"/>
                <w:sz w:val="20"/>
                <w:szCs w:val="20"/>
              </w:rPr>
              <w:t>will significantly enhance its suitability for scholarly publication.</w:t>
            </w:r>
          </w:p>
        </w:tc>
        <w:tc>
          <w:tcPr>
            <w:tcW w:w="1523" w:type="pct"/>
          </w:tcPr>
          <w:p w:rsidR="00C745F2" w:rsidRPr="0028704B" w:rsidRDefault="00C745F2">
            <w:pPr>
              <w:rPr>
                <w:rFonts w:ascii="Arial" w:hAnsi="Arial" w:cs="Arial"/>
                <w:sz w:val="20"/>
                <w:szCs w:val="20"/>
                <w:lang w:val="en-GB"/>
              </w:rPr>
            </w:pPr>
          </w:p>
        </w:tc>
      </w:tr>
      <w:tr w:rsidR="00C745F2" w:rsidRPr="0028704B">
        <w:trPr>
          <w:trHeight w:val="1178"/>
        </w:trPr>
        <w:tc>
          <w:tcPr>
            <w:tcW w:w="1265" w:type="pct"/>
            <w:noWrap/>
          </w:tcPr>
          <w:p w:rsidR="00C745F2" w:rsidRPr="0028704B" w:rsidRDefault="00C745F2">
            <w:pPr>
              <w:pStyle w:val="Heading2"/>
              <w:jc w:val="left"/>
              <w:rPr>
                <w:rFonts w:ascii="Arial" w:hAnsi="Arial" w:cs="Arial"/>
                <w:b w:val="0"/>
                <w:bCs w:val="0"/>
                <w:lang w:val="en-GB"/>
              </w:rPr>
            </w:pPr>
            <w:r w:rsidRPr="0028704B">
              <w:rPr>
                <w:rFonts w:ascii="Arial" w:hAnsi="Arial" w:cs="Arial"/>
                <w:bCs w:val="0"/>
                <w:u w:val="single"/>
                <w:lang w:val="en-GB"/>
              </w:rPr>
              <w:t>Optional/General</w:t>
            </w:r>
            <w:r w:rsidRPr="0028704B">
              <w:rPr>
                <w:rFonts w:ascii="Arial" w:hAnsi="Arial" w:cs="Arial"/>
                <w:bCs w:val="0"/>
                <w:lang w:val="en-GB"/>
              </w:rPr>
              <w:t xml:space="preserve"> </w:t>
            </w:r>
            <w:r w:rsidRPr="0028704B">
              <w:rPr>
                <w:rFonts w:ascii="Arial" w:hAnsi="Arial" w:cs="Arial"/>
                <w:b w:val="0"/>
                <w:bCs w:val="0"/>
                <w:lang w:val="en-GB"/>
              </w:rPr>
              <w:t>comments</w:t>
            </w:r>
          </w:p>
          <w:p w:rsidR="00C745F2" w:rsidRPr="0028704B" w:rsidRDefault="00C745F2">
            <w:pPr>
              <w:pStyle w:val="Heading2"/>
              <w:jc w:val="left"/>
              <w:rPr>
                <w:rFonts w:ascii="Arial" w:hAnsi="Arial" w:cs="Arial"/>
                <w:b w:val="0"/>
                <w:lang w:val="en-GB"/>
              </w:rPr>
            </w:pPr>
          </w:p>
        </w:tc>
        <w:tc>
          <w:tcPr>
            <w:tcW w:w="2212" w:type="pct"/>
          </w:tcPr>
          <w:p w:rsidR="00C745F2" w:rsidRPr="0028704B" w:rsidRDefault="00F858A9" w:rsidP="00857E26">
            <w:pPr>
              <w:rPr>
                <w:rFonts w:ascii="Arial" w:hAnsi="Arial" w:cs="Arial"/>
                <w:sz w:val="20"/>
                <w:szCs w:val="20"/>
              </w:rPr>
            </w:pPr>
            <w:r w:rsidRPr="0028704B">
              <w:rPr>
                <w:rFonts w:ascii="Arial" w:hAnsi="Arial" w:cs="Arial"/>
                <w:sz w:val="20"/>
                <w:szCs w:val="20"/>
                <w:lang w:val="en-GB"/>
              </w:rPr>
              <w:t>Overall, the manuscript is scientifically sound, relevant, and timely, with a strong potential to contribute meaningfully to the discourse on teacher professional development in India and beyond.</w:t>
            </w:r>
          </w:p>
        </w:tc>
        <w:tc>
          <w:tcPr>
            <w:tcW w:w="1523" w:type="pct"/>
          </w:tcPr>
          <w:p w:rsidR="00C745F2" w:rsidRPr="0028704B" w:rsidRDefault="00C745F2">
            <w:pPr>
              <w:rPr>
                <w:rFonts w:ascii="Arial" w:hAnsi="Arial" w:cs="Arial"/>
                <w:sz w:val="20"/>
                <w:szCs w:val="20"/>
                <w:lang w:val="en-GB"/>
              </w:rPr>
            </w:pPr>
          </w:p>
        </w:tc>
      </w:tr>
    </w:tbl>
    <w:p w:rsidR="00C745F2" w:rsidRPr="0028704B"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5A366E" w:rsidRPr="0028704B" w:rsidTr="005A366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A366E" w:rsidRPr="0028704B" w:rsidRDefault="005A366E">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28704B">
              <w:rPr>
                <w:rFonts w:ascii="Arial" w:eastAsia="Arial Unicode MS" w:hAnsi="Arial" w:cs="Arial"/>
                <w:b/>
                <w:sz w:val="20"/>
                <w:szCs w:val="20"/>
                <w:highlight w:val="yellow"/>
                <w:u w:val="single"/>
                <w:lang w:val="en-GB"/>
              </w:rPr>
              <w:t>PART  2:</w:t>
            </w:r>
            <w:r w:rsidRPr="0028704B">
              <w:rPr>
                <w:rFonts w:ascii="Arial" w:eastAsia="Arial Unicode MS" w:hAnsi="Arial" w:cs="Arial"/>
                <w:b/>
                <w:sz w:val="20"/>
                <w:szCs w:val="20"/>
                <w:u w:val="single"/>
                <w:lang w:val="en-GB"/>
              </w:rPr>
              <w:t xml:space="preserve"> </w:t>
            </w:r>
          </w:p>
          <w:p w:rsidR="005A366E" w:rsidRPr="0028704B" w:rsidRDefault="005A366E">
            <w:pPr>
              <w:spacing w:line="276" w:lineRule="auto"/>
              <w:rPr>
                <w:rFonts w:ascii="Arial" w:eastAsia="Arial Unicode MS" w:hAnsi="Arial" w:cs="Arial"/>
                <w:b/>
                <w:sz w:val="20"/>
                <w:szCs w:val="20"/>
                <w:u w:val="single"/>
                <w:lang w:val="en-GB"/>
              </w:rPr>
            </w:pPr>
          </w:p>
        </w:tc>
      </w:tr>
      <w:tr w:rsidR="005A366E" w:rsidRPr="0028704B" w:rsidTr="005A366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A366E" w:rsidRPr="0028704B" w:rsidRDefault="005A366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A366E" w:rsidRPr="0028704B" w:rsidRDefault="005A366E">
            <w:pPr>
              <w:keepNext/>
              <w:spacing w:line="276" w:lineRule="auto"/>
              <w:outlineLvl w:val="1"/>
              <w:rPr>
                <w:rFonts w:ascii="Arial" w:eastAsia="MS Mincho" w:hAnsi="Arial" w:cs="Arial"/>
                <w:b/>
                <w:bCs/>
                <w:sz w:val="20"/>
                <w:szCs w:val="20"/>
                <w:lang w:val="en-GB"/>
              </w:rPr>
            </w:pPr>
            <w:r w:rsidRPr="0028704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A366E" w:rsidRPr="0028704B" w:rsidRDefault="005A366E">
            <w:pPr>
              <w:spacing w:after="160" w:line="252" w:lineRule="auto"/>
              <w:rPr>
                <w:rFonts w:ascii="Arial" w:eastAsia="Calibri" w:hAnsi="Arial" w:cs="Arial"/>
                <w:kern w:val="2"/>
                <w:sz w:val="20"/>
                <w:szCs w:val="20"/>
                <w:lang w:val="en-IN"/>
              </w:rPr>
            </w:pPr>
            <w:r w:rsidRPr="0028704B">
              <w:rPr>
                <w:rFonts w:ascii="Arial" w:eastAsia="Calibri" w:hAnsi="Arial" w:cs="Arial"/>
                <w:b/>
                <w:kern w:val="2"/>
                <w:sz w:val="20"/>
                <w:szCs w:val="20"/>
                <w:lang w:val="en-IN"/>
              </w:rPr>
              <w:t>Author’s Feedback</w:t>
            </w:r>
            <w:r w:rsidRPr="0028704B">
              <w:rPr>
                <w:rFonts w:ascii="Arial" w:eastAsia="Calibri" w:hAnsi="Arial" w:cs="Arial"/>
                <w:kern w:val="2"/>
                <w:sz w:val="20"/>
                <w:szCs w:val="20"/>
                <w:lang w:val="en-IN"/>
              </w:rPr>
              <w:t xml:space="preserve"> (It is mandatory that authors should write his/her feedback here)</w:t>
            </w:r>
          </w:p>
          <w:p w:rsidR="005A366E" w:rsidRPr="0028704B" w:rsidRDefault="005A366E">
            <w:pPr>
              <w:keepNext/>
              <w:spacing w:line="276" w:lineRule="auto"/>
              <w:outlineLvl w:val="1"/>
              <w:rPr>
                <w:rFonts w:ascii="Arial" w:eastAsia="MS Mincho" w:hAnsi="Arial" w:cs="Arial"/>
                <w:bCs/>
                <w:sz w:val="20"/>
                <w:szCs w:val="20"/>
                <w:lang w:val="en-GB"/>
              </w:rPr>
            </w:pPr>
          </w:p>
        </w:tc>
      </w:tr>
      <w:tr w:rsidR="005A366E" w:rsidRPr="0028704B" w:rsidTr="005A366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A366E" w:rsidRPr="0028704B" w:rsidRDefault="005A366E">
            <w:pPr>
              <w:spacing w:line="276" w:lineRule="auto"/>
              <w:rPr>
                <w:rFonts w:ascii="Arial" w:eastAsia="Arial Unicode MS" w:hAnsi="Arial" w:cs="Arial"/>
                <w:b/>
                <w:sz w:val="20"/>
                <w:szCs w:val="20"/>
                <w:lang w:val="en-GB"/>
              </w:rPr>
            </w:pPr>
            <w:r w:rsidRPr="0028704B">
              <w:rPr>
                <w:rFonts w:ascii="Arial" w:eastAsia="Arial Unicode MS" w:hAnsi="Arial" w:cs="Arial"/>
                <w:b/>
                <w:sz w:val="20"/>
                <w:szCs w:val="20"/>
                <w:lang w:val="en-GB"/>
              </w:rPr>
              <w:t xml:space="preserve">Are there ethical issues in this manuscript? </w:t>
            </w:r>
          </w:p>
          <w:p w:rsidR="005A366E" w:rsidRPr="0028704B" w:rsidRDefault="005A366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A366E" w:rsidRPr="0028704B" w:rsidRDefault="005A366E">
            <w:pPr>
              <w:spacing w:line="276" w:lineRule="auto"/>
              <w:rPr>
                <w:rFonts w:ascii="Arial" w:eastAsia="Arial Unicode MS" w:hAnsi="Arial" w:cs="Arial"/>
                <w:i/>
                <w:iCs/>
                <w:sz w:val="20"/>
                <w:szCs w:val="20"/>
                <w:u w:val="single"/>
                <w:lang w:val="en-GB"/>
              </w:rPr>
            </w:pPr>
            <w:r w:rsidRPr="0028704B">
              <w:rPr>
                <w:rFonts w:ascii="Arial" w:eastAsia="Arial Unicode MS" w:hAnsi="Arial" w:cs="Arial"/>
                <w:i/>
                <w:iCs/>
                <w:sz w:val="20"/>
                <w:szCs w:val="20"/>
                <w:u w:val="single"/>
                <w:lang w:val="en-GB"/>
              </w:rPr>
              <w:t xml:space="preserve">(If yes, </w:t>
            </w:r>
            <w:proofErr w:type="gramStart"/>
            <w:r w:rsidRPr="0028704B">
              <w:rPr>
                <w:rFonts w:ascii="Arial" w:eastAsia="Arial Unicode MS" w:hAnsi="Arial" w:cs="Arial"/>
                <w:i/>
                <w:iCs/>
                <w:sz w:val="20"/>
                <w:szCs w:val="20"/>
                <w:u w:val="single"/>
                <w:lang w:val="en-GB"/>
              </w:rPr>
              <w:t>Kindly</w:t>
            </w:r>
            <w:proofErr w:type="gramEnd"/>
            <w:r w:rsidRPr="0028704B">
              <w:rPr>
                <w:rFonts w:ascii="Arial" w:eastAsia="Arial Unicode MS" w:hAnsi="Arial" w:cs="Arial"/>
                <w:i/>
                <w:iCs/>
                <w:sz w:val="20"/>
                <w:szCs w:val="20"/>
                <w:u w:val="single"/>
                <w:lang w:val="en-GB"/>
              </w:rPr>
              <w:t xml:space="preserve"> please write down the ethical issues here in details)</w:t>
            </w:r>
          </w:p>
          <w:p w:rsidR="005A366E" w:rsidRPr="0028704B" w:rsidRDefault="005A366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A366E" w:rsidRPr="0028704B" w:rsidRDefault="005A366E">
            <w:pPr>
              <w:spacing w:line="276" w:lineRule="auto"/>
              <w:rPr>
                <w:rFonts w:ascii="Arial" w:eastAsia="Arial Unicode MS" w:hAnsi="Arial" w:cs="Arial"/>
                <w:sz w:val="20"/>
                <w:szCs w:val="20"/>
                <w:lang w:val="en-GB"/>
              </w:rPr>
            </w:pPr>
          </w:p>
          <w:p w:rsidR="005A366E" w:rsidRPr="0028704B" w:rsidRDefault="005A366E">
            <w:pPr>
              <w:spacing w:line="276" w:lineRule="auto"/>
              <w:rPr>
                <w:rFonts w:ascii="Arial" w:eastAsia="Arial Unicode MS" w:hAnsi="Arial" w:cs="Arial"/>
                <w:sz w:val="20"/>
                <w:szCs w:val="20"/>
                <w:lang w:val="en-GB"/>
              </w:rPr>
            </w:pPr>
          </w:p>
          <w:p w:rsidR="005A366E" w:rsidRPr="0028704B" w:rsidRDefault="005A366E">
            <w:pPr>
              <w:spacing w:line="276" w:lineRule="auto"/>
              <w:rPr>
                <w:rFonts w:ascii="Arial" w:eastAsia="Arial Unicode MS" w:hAnsi="Arial" w:cs="Arial"/>
                <w:sz w:val="20"/>
                <w:szCs w:val="20"/>
                <w:lang w:val="en-GB"/>
              </w:rPr>
            </w:pPr>
          </w:p>
        </w:tc>
      </w:tr>
      <w:bookmarkEnd w:id="2"/>
    </w:tbl>
    <w:p w:rsidR="005A366E" w:rsidRPr="0028704B" w:rsidRDefault="005A366E" w:rsidP="005A366E">
      <w:pPr>
        <w:rPr>
          <w:rFonts w:ascii="Arial" w:hAnsi="Arial" w:cs="Arial"/>
          <w:sz w:val="20"/>
          <w:szCs w:val="20"/>
          <w:lang w:val="en-US"/>
        </w:rPr>
      </w:pPr>
    </w:p>
    <w:p w:rsidR="005A366E" w:rsidRPr="0028704B" w:rsidRDefault="005A366E" w:rsidP="005A366E">
      <w:pPr>
        <w:rPr>
          <w:rFonts w:ascii="Arial" w:hAnsi="Arial" w:cs="Arial"/>
          <w:sz w:val="20"/>
          <w:szCs w:val="20"/>
        </w:rPr>
      </w:pPr>
    </w:p>
    <w:p w:rsidR="005A366E" w:rsidRPr="0028704B" w:rsidRDefault="005A366E" w:rsidP="005A366E">
      <w:pPr>
        <w:rPr>
          <w:rFonts w:ascii="Arial" w:hAnsi="Arial" w:cs="Arial"/>
          <w:bCs/>
          <w:sz w:val="20"/>
          <w:szCs w:val="20"/>
          <w:u w:val="single"/>
          <w:lang w:val="en-GB"/>
        </w:rPr>
      </w:pPr>
    </w:p>
    <w:bookmarkEnd w:id="3"/>
    <w:p w:rsidR="00D96FD0" w:rsidRDefault="00D96FD0" w:rsidP="00D96FD0">
      <w:pPr>
        <w:pStyle w:val="Affiliation"/>
        <w:spacing w:after="0" w:line="240" w:lineRule="auto"/>
        <w:jc w:val="left"/>
        <w:rPr>
          <w:rFonts w:ascii="Arial" w:hAnsi="Arial" w:cs="Arial"/>
          <w:b/>
          <w:u w:val="single"/>
        </w:rPr>
      </w:pPr>
    </w:p>
    <w:p w:rsidR="00D96FD0" w:rsidRDefault="00D96FD0" w:rsidP="00D96FD0">
      <w:pPr>
        <w:pStyle w:val="Affiliation"/>
        <w:spacing w:after="0" w:line="240" w:lineRule="auto"/>
        <w:jc w:val="left"/>
        <w:rPr>
          <w:rFonts w:ascii="Arial" w:hAnsi="Arial" w:cs="Arial"/>
          <w:b/>
          <w:u w:val="single"/>
        </w:rPr>
      </w:pPr>
      <w:r>
        <w:rPr>
          <w:rFonts w:ascii="Arial" w:hAnsi="Arial" w:cs="Arial"/>
          <w:b/>
          <w:u w:val="single"/>
        </w:rPr>
        <w:t>Reviewer details:</w:t>
      </w:r>
    </w:p>
    <w:p w:rsidR="00D96FD0" w:rsidRDefault="00D96FD0" w:rsidP="00D96FD0">
      <w:pPr>
        <w:pStyle w:val="Affiliation"/>
        <w:spacing w:after="0" w:line="240" w:lineRule="auto"/>
        <w:jc w:val="left"/>
        <w:rPr>
          <w:rFonts w:ascii="Arial" w:hAnsi="Arial" w:cs="Arial"/>
        </w:rPr>
      </w:pPr>
    </w:p>
    <w:p w:rsidR="00D96FD0" w:rsidRDefault="00D96FD0" w:rsidP="00D96FD0">
      <w:pPr>
        <w:rPr>
          <w:rFonts w:ascii="Arial" w:hAnsi="Arial" w:cs="Arial"/>
        </w:rPr>
      </w:pPr>
      <w:r>
        <w:rPr>
          <w:rFonts w:ascii="Arial" w:hAnsi="Arial" w:cs="Arial"/>
          <w:color w:val="000000"/>
        </w:rPr>
        <w:t>Hijrawatil Aswat</w:t>
      </w:r>
      <w:r>
        <w:rPr>
          <w:rFonts w:ascii="Arial" w:hAnsi="Arial" w:cs="Arial"/>
        </w:rPr>
        <w:t xml:space="preserve">, </w:t>
      </w:r>
      <w:r>
        <w:rPr>
          <w:rFonts w:ascii="Arial" w:hAnsi="Arial" w:cs="Arial"/>
          <w:color w:val="000000"/>
        </w:rPr>
        <w:t>Universitas Muhammadiyah Buton</w:t>
      </w:r>
      <w:r>
        <w:rPr>
          <w:rFonts w:ascii="Arial" w:hAnsi="Arial" w:cs="Arial"/>
        </w:rPr>
        <w:t xml:space="preserve">, </w:t>
      </w:r>
      <w:r>
        <w:rPr>
          <w:rFonts w:ascii="Arial" w:hAnsi="Arial" w:cs="Arial"/>
          <w:color w:val="000000"/>
        </w:rPr>
        <w:t>Indonesia</w:t>
      </w:r>
    </w:p>
    <w:p w:rsidR="005A366E" w:rsidRPr="0028704B" w:rsidRDefault="005A366E" w:rsidP="005A366E">
      <w:pPr>
        <w:rPr>
          <w:rFonts w:ascii="Arial" w:hAnsi="Arial" w:cs="Arial"/>
          <w:sz w:val="20"/>
          <w:szCs w:val="20"/>
          <w:lang w:val="en-US"/>
        </w:rPr>
      </w:pPr>
      <w:bookmarkStart w:id="4" w:name="_GoBack"/>
      <w:bookmarkEnd w:id="4"/>
    </w:p>
    <w:p w:rsidR="008913D5" w:rsidRPr="0028704B" w:rsidRDefault="008913D5" w:rsidP="005A366E">
      <w:pPr>
        <w:pStyle w:val="BodyText"/>
        <w:rPr>
          <w:rFonts w:ascii="Arial" w:hAnsi="Arial" w:cs="Arial"/>
          <w:sz w:val="20"/>
          <w:szCs w:val="20"/>
          <w:lang w:val="en-GB"/>
        </w:rPr>
      </w:pPr>
    </w:p>
    <w:sectPr w:rsidR="008913D5" w:rsidRPr="0028704B"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DD" w:rsidRPr="0000007A" w:rsidRDefault="00356ADD" w:rsidP="0099583E">
      <w:r>
        <w:separator/>
      </w:r>
    </w:p>
  </w:endnote>
  <w:endnote w:type="continuationSeparator" w:id="0">
    <w:p w:rsidR="00356ADD" w:rsidRPr="0000007A" w:rsidRDefault="00356A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DD" w:rsidRPr="0000007A" w:rsidRDefault="00356ADD" w:rsidP="0099583E">
      <w:r>
        <w:separator/>
      </w:r>
    </w:p>
  </w:footnote>
  <w:footnote w:type="continuationSeparator" w:id="0">
    <w:p w:rsidR="00356ADD" w:rsidRPr="0000007A" w:rsidRDefault="00356A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54AFA"/>
    <w:multiLevelType w:val="hybridMultilevel"/>
    <w:tmpl w:val="187C8F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96733"/>
    <w:multiLevelType w:val="hybridMultilevel"/>
    <w:tmpl w:val="931067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72B7C"/>
    <w:multiLevelType w:val="hybridMultilevel"/>
    <w:tmpl w:val="D47E5E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797B90"/>
    <w:multiLevelType w:val="hybridMultilevel"/>
    <w:tmpl w:val="92A662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F03882"/>
    <w:multiLevelType w:val="multilevel"/>
    <w:tmpl w:val="03AC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8C4615"/>
    <w:multiLevelType w:val="multilevel"/>
    <w:tmpl w:val="947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5F26C3"/>
    <w:multiLevelType w:val="hybridMultilevel"/>
    <w:tmpl w:val="2F8099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1"/>
  </w:num>
  <w:num w:numId="3">
    <w:abstractNumId w:val="10"/>
  </w:num>
  <w:num w:numId="4">
    <w:abstractNumId w:val="13"/>
  </w:num>
  <w:num w:numId="5">
    <w:abstractNumId w:val="9"/>
  </w:num>
  <w:num w:numId="6">
    <w:abstractNumId w:val="0"/>
  </w:num>
  <w:num w:numId="7">
    <w:abstractNumId w:val="5"/>
  </w:num>
  <w:num w:numId="8">
    <w:abstractNumId w:val="17"/>
  </w:num>
  <w:num w:numId="9">
    <w:abstractNumId w:val="16"/>
  </w:num>
  <w:num w:numId="10">
    <w:abstractNumId w:val="3"/>
  </w:num>
  <w:num w:numId="11">
    <w:abstractNumId w:val="2"/>
  </w:num>
  <w:num w:numId="12">
    <w:abstractNumId w:val="8"/>
  </w:num>
  <w:num w:numId="13">
    <w:abstractNumId w:val="15"/>
  </w:num>
  <w:num w:numId="14">
    <w:abstractNumId w:val="14"/>
  </w:num>
  <w:num w:numId="15">
    <w:abstractNumId w:val="7"/>
  </w:num>
  <w:num w:numId="16">
    <w:abstractNumId w:val="4"/>
  </w:num>
  <w:num w:numId="17">
    <w:abstractNumId w:val="18"/>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56CB0"/>
    <w:rsid w:val="000577C2"/>
    <w:rsid w:val="0006257C"/>
    <w:rsid w:val="000806F4"/>
    <w:rsid w:val="00084D7C"/>
    <w:rsid w:val="00091112"/>
    <w:rsid w:val="000936AC"/>
    <w:rsid w:val="00095A59"/>
    <w:rsid w:val="000A2134"/>
    <w:rsid w:val="000A2695"/>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5611"/>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5366D"/>
    <w:rsid w:val="00254F80"/>
    <w:rsid w:val="00262634"/>
    <w:rsid w:val="002643B3"/>
    <w:rsid w:val="00275984"/>
    <w:rsid w:val="00280EC9"/>
    <w:rsid w:val="0028704B"/>
    <w:rsid w:val="00291D08"/>
    <w:rsid w:val="00293482"/>
    <w:rsid w:val="002D7EA9"/>
    <w:rsid w:val="002E1211"/>
    <w:rsid w:val="002E2339"/>
    <w:rsid w:val="002E6D86"/>
    <w:rsid w:val="002F6935"/>
    <w:rsid w:val="00312559"/>
    <w:rsid w:val="003204B8"/>
    <w:rsid w:val="0033692F"/>
    <w:rsid w:val="00346223"/>
    <w:rsid w:val="00356ADD"/>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59B8"/>
    <w:rsid w:val="005A366E"/>
    <w:rsid w:val="005A5BE0"/>
    <w:rsid w:val="005B12E0"/>
    <w:rsid w:val="005C25A0"/>
    <w:rsid w:val="005D230D"/>
    <w:rsid w:val="005E43BD"/>
    <w:rsid w:val="005E5198"/>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15925"/>
    <w:rsid w:val="007238EB"/>
    <w:rsid w:val="0072789A"/>
    <w:rsid w:val="007317C3"/>
    <w:rsid w:val="00734756"/>
    <w:rsid w:val="0073538B"/>
    <w:rsid w:val="00741BD0"/>
    <w:rsid w:val="007426E6"/>
    <w:rsid w:val="00746370"/>
    <w:rsid w:val="007501C5"/>
    <w:rsid w:val="00766889"/>
    <w:rsid w:val="00766A0D"/>
    <w:rsid w:val="00767F8C"/>
    <w:rsid w:val="00780B67"/>
    <w:rsid w:val="00783481"/>
    <w:rsid w:val="007B1099"/>
    <w:rsid w:val="007B6E18"/>
    <w:rsid w:val="007D0246"/>
    <w:rsid w:val="007F5873"/>
    <w:rsid w:val="00806382"/>
    <w:rsid w:val="0080728F"/>
    <w:rsid w:val="00812391"/>
    <w:rsid w:val="00815F94"/>
    <w:rsid w:val="0082130C"/>
    <w:rsid w:val="008224E2"/>
    <w:rsid w:val="00822BE1"/>
    <w:rsid w:val="00825DC9"/>
    <w:rsid w:val="0082676D"/>
    <w:rsid w:val="00831055"/>
    <w:rsid w:val="008337DB"/>
    <w:rsid w:val="008423BB"/>
    <w:rsid w:val="00846F1F"/>
    <w:rsid w:val="00857E26"/>
    <w:rsid w:val="008649C3"/>
    <w:rsid w:val="0087201B"/>
    <w:rsid w:val="00877F10"/>
    <w:rsid w:val="00882091"/>
    <w:rsid w:val="008913D5"/>
    <w:rsid w:val="00893E75"/>
    <w:rsid w:val="008C2778"/>
    <w:rsid w:val="008C2F62"/>
    <w:rsid w:val="008D020E"/>
    <w:rsid w:val="008D1117"/>
    <w:rsid w:val="008D15A4"/>
    <w:rsid w:val="008E18C6"/>
    <w:rsid w:val="008F36E4"/>
    <w:rsid w:val="0092723C"/>
    <w:rsid w:val="00930E54"/>
    <w:rsid w:val="00933C8B"/>
    <w:rsid w:val="009553EC"/>
    <w:rsid w:val="0097330E"/>
    <w:rsid w:val="00974330"/>
    <w:rsid w:val="0097498C"/>
    <w:rsid w:val="00981C56"/>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31AAC"/>
    <w:rsid w:val="00A32905"/>
    <w:rsid w:val="00A36C95"/>
    <w:rsid w:val="00A37DE3"/>
    <w:rsid w:val="00A506F3"/>
    <w:rsid w:val="00A519D1"/>
    <w:rsid w:val="00A6343B"/>
    <w:rsid w:val="00A65B9E"/>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460BD"/>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3B3C"/>
    <w:rsid w:val="00D84FDB"/>
    <w:rsid w:val="00D8579C"/>
    <w:rsid w:val="00D90124"/>
    <w:rsid w:val="00D9392F"/>
    <w:rsid w:val="00D96FD0"/>
    <w:rsid w:val="00DA41F5"/>
    <w:rsid w:val="00DB5B54"/>
    <w:rsid w:val="00DB7E1B"/>
    <w:rsid w:val="00DC1D81"/>
    <w:rsid w:val="00E451EA"/>
    <w:rsid w:val="00E53E52"/>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858A9"/>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9A8BAD-300C-2341-B6FB-7E421901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348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character" w:styleId="Strong">
    <w:name w:val="Strong"/>
    <w:basedOn w:val="DefaultParagraphFont"/>
    <w:uiPriority w:val="22"/>
    <w:qFormat/>
    <w:rsid w:val="00F858A9"/>
    <w:rPr>
      <w:b/>
      <w:bCs/>
    </w:rPr>
  </w:style>
  <w:style w:type="paragraph" w:customStyle="1" w:styleId="Affiliation">
    <w:name w:val="Affiliation"/>
    <w:basedOn w:val="Normal"/>
    <w:rsid w:val="00D96FD0"/>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525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617444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6923111">
      <w:bodyDiv w:val="1"/>
      <w:marLeft w:val="0"/>
      <w:marRight w:val="0"/>
      <w:marTop w:val="0"/>
      <w:marBottom w:val="0"/>
      <w:divBdr>
        <w:top w:val="none" w:sz="0" w:space="0" w:color="auto"/>
        <w:left w:val="none" w:sz="0" w:space="0" w:color="auto"/>
        <w:bottom w:val="none" w:sz="0" w:space="0" w:color="auto"/>
        <w:right w:val="none" w:sz="0" w:space="0" w:color="auto"/>
      </w:divBdr>
      <w:divsChild>
        <w:div w:id="892540777">
          <w:marLeft w:val="0"/>
          <w:marRight w:val="0"/>
          <w:marTop w:val="0"/>
          <w:marBottom w:val="0"/>
          <w:divBdr>
            <w:top w:val="none" w:sz="0" w:space="0" w:color="auto"/>
            <w:left w:val="none" w:sz="0" w:space="0" w:color="auto"/>
            <w:bottom w:val="none" w:sz="0" w:space="0" w:color="auto"/>
            <w:right w:val="none" w:sz="0" w:space="0" w:color="auto"/>
          </w:divBdr>
        </w:div>
      </w:divsChild>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9801905">
      <w:bodyDiv w:val="1"/>
      <w:marLeft w:val="0"/>
      <w:marRight w:val="0"/>
      <w:marTop w:val="0"/>
      <w:marBottom w:val="0"/>
      <w:divBdr>
        <w:top w:val="none" w:sz="0" w:space="0" w:color="auto"/>
        <w:left w:val="none" w:sz="0" w:space="0" w:color="auto"/>
        <w:bottom w:val="none" w:sz="0" w:space="0" w:color="auto"/>
        <w:right w:val="none" w:sz="0" w:space="0" w:color="auto"/>
      </w:divBdr>
      <w:divsChild>
        <w:div w:id="470711939">
          <w:marLeft w:val="0"/>
          <w:marRight w:val="0"/>
          <w:marTop w:val="0"/>
          <w:marBottom w:val="0"/>
          <w:divBdr>
            <w:top w:val="none" w:sz="0" w:space="0" w:color="auto"/>
            <w:left w:val="none" w:sz="0" w:space="0" w:color="auto"/>
            <w:bottom w:val="none" w:sz="0" w:space="0" w:color="auto"/>
            <w:right w:val="none" w:sz="0" w:space="0" w:color="auto"/>
          </w:divBdr>
        </w:div>
      </w:divsChild>
    </w:div>
    <w:div w:id="6490209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89918437">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989551299">
      <w:bodyDiv w:val="1"/>
      <w:marLeft w:val="0"/>
      <w:marRight w:val="0"/>
      <w:marTop w:val="0"/>
      <w:marBottom w:val="0"/>
      <w:divBdr>
        <w:top w:val="none" w:sz="0" w:space="0" w:color="auto"/>
        <w:left w:val="none" w:sz="0" w:space="0" w:color="auto"/>
        <w:bottom w:val="none" w:sz="0" w:space="0" w:color="auto"/>
        <w:right w:val="none" w:sz="0" w:space="0" w:color="auto"/>
      </w:divBdr>
      <w:divsChild>
        <w:div w:id="59960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53EB-CD26-48A5-9027-FE5DF30F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1022</cp:lastModifiedBy>
  <cp:revision>9</cp:revision>
  <dcterms:created xsi:type="dcterms:W3CDTF">2025-12-26T20:03:00Z</dcterms:created>
  <dcterms:modified xsi:type="dcterms:W3CDTF">2026-01-01T05:51:00Z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ies>
</file>