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DD7BA" w14:textId="0DACCE94" w:rsidR="00FA3728" w:rsidRDefault="00FA3728" w:rsidP="00FA3728">
      <w:pPr>
        <w:spacing w:after="0" w:line="240" w:lineRule="auto"/>
        <w:rPr>
          <w:rFonts w:ascii="Arial" w:eastAsia="Times New Roman" w:hAnsi="Arial" w:cs="Arial"/>
          <w:b/>
          <w:sz w:val="36"/>
          <w:szCs w:val="36"/>
          <w:u w:val="single"/>
          <w:lang w:val="en"/>
        </w:rPr>
      </w:pPr>
      <w:r w:rsidRPr="00FA3728">
        <w:rPr>
          <w:rFonts w:ascii="Arial" w:eastAsia="Times New Roman" w:hAnsi="Arial" w:cs="Arial"/>
          <w:b/>
          <w:sz w:val="36"/>
          <w:szCs w:val="36"/>
          <w:u w:val="single"/>
          <w:lang w:val="en"/>
        </w:rPr>
        <w:t>Systematic Review Article</w:t>
      </w:r>
    </w:p>
    <w:p w14:paraId="32BE3C59" w14:textId="77777777" w:rsidR="00FA3728" w:rsidRPr="00FA3728" w:rsidRDefault="00FA3728" w:rsidP="00FA3728">
      <w:pPr>
        <w:spacing w:after="0" w:line="240" w:lineRule="auto"/>
        <w:rPr>
          <w:rFonts w:ascii="Arial" w:eastAsia="Times New Roman" w:hAnsi="Arial" w:cs="Arial"/>
          <w:b/>
          <w:sz w:val="36"/>
          <w:szCs w:val="36"/>
          <w:u w:val="single"/>
          <w:lang w:val="en"/>
        </w:rPr>
      </w:pPr>
    </w:p>
    <w:p w14:paraId="7CB3A598" w14:textId="385AF460" w:rsidR="004233A0" w:rsidRPr="00843D4F" w:rsidRDefault="004233A0" w:rsidP="00843D4F">
      <w:pPr>
        <w:spacing w:after="0" w:line="240" w:lineRule="auto"/>
        <w:jc w:val="right"/>
        <w:rPr>
          <w:rFonts w:ascii="Arial" w:eastAsia="Times New Roman" w:hAnsi="Arial" w:cs="Arial"/>
          <w:sz w:val="36"/>
          <w:szCs w:val="36"/>
        </w:rPr>
      </w:pPr>
      <w:r w:rsidRPr="00843D4F">
        <w:rPr>
          <w:rFonts w:ascii="Arial" w:eastAsia="Times New Roman" w:hAnsi="Arial" w:cs="Arial"/>
          <w:b/>
          <w:sz w:val="36"/>
          <w:szCs w:val="36"/>
          <w:lang w:val="en"/>
        </w:rPr>
        <w:t>Inclusive Education in Practice: A Qualitative Synthesis of Implementation and Teacher Preparation in India</w:t>
      </w:r>
    </w:p>
    <w:p w14:paraId="661C6D8D" w14:textId="12E4BFD8" w:rsidR="004233A0" w:rsidRPr="00843D4F" w:rsidRDefault="004233A0" w:rsidP="00843D4F">
      <w:pPr>
        <w:tabs>
          <w:tab w:val="left" w:pos="3170"/>
        </w:tabs>
        <w:spacing w:line="240" w:lineRule="auto"/>
        <w:jc w:val="right"/>
        <w:rPr>
          <w:rFonts w:ascii="Arial" w:eastAsia="Times New Roman" w:hAnsi="Arial" w:cs="Arial"/>
          <w:b/>
          <w:lang w:val="en"/>
        </w:rPr>
      </w:pPr>
    </w:p>
    <w:p w14:paraId="419D5735" w14:textId="77777777" w:rsidR="004233A0" w:rsidRPr="00843D4F" w:rsidRDefault="004233A0" w:rsidP="00843D4F">
      <w:pPr>
        <w:tabs>
          <w:tab w:val="left" w:pos="3170"/>
        </w:tabs>
        <w:spacing w:line="240" w:lineRule="auto"/>
        <w:jc w:val="right"/>
        <w:rPr>
          <w:rFonts w:ascii="Arial" w:eastAsia="Times New Roman" w:hAnsi="Arial" w:cs="Arial"/>
          <w:bCs/>
          <w:sz w:val="16"/>
          <w:szCs w:val="16"/>
          <w:lang w:val="en"/>
        </w:rPr>
      </w:pPr>
    </w:p>
    <w:p w14:paraId="1F1FB169" w14:textId="77777777" w:rsidR="004233A0" w:rsidRPr="00843D4F" w:rsidRDefault="004233A0" w:rsidP="00843D4F">
      <w:pPr>
        <w:tabs>
          <w:tab w:val="left" w:pos="3170"/>
        </w:tabs>
        <w:spacing w:line="240" w:lineRule="auto"/>
        <w:rPr>
          <w:rFonts w:ascii="Arial" w:eastAsia="Times New Roman" w:hAnsi="Arial" w:cs="Arial"/>
          <w:bCs/>
          <w:sz w:val="16"/>
          <w:szCs w:val="16"/>
          <w:lang w:val="en"/>
        </w:rPr>
      </w:pPr>
    </w:p>
    <w:p w14:paraId="799C8D94" w14:textId="77777777" w:rsidR="004233A0" w:rsidRPr="00A428CE" w:rsidRDefault="004233A0" w:rsidP="00843D4F">
      <w:pPr>
        <w:tabs>
          <w:tab w:val="left" w:pos="3170"/>
        </w:tabs>
        <w:spacing w:line="240" w:lineRule="auto"/>
        <w:rPr>
          <w:rFonts w:ascii="Arial" w:eastAsia="Times New Roman" w:hAnsi="Arial" w:cs="Arial"/>
          <w:b/>
          <w:sz w:val="22"/>
          <w:szCs w:val="22"/>
          <w:lang w:val="en"/>
        </w:rPr>
      </w:pPr>
      <w:r w:rsidRPr="00A428CE">
        <w:rPr>
          <w:rFonts w:ascii="Arial" w:eastAsia="Times New Roman" w:hAnsi="Arial" w:cs="Arial"/>
          <w:b/>
          <w:sz w:val="22"/>
          <w:szCs w:val="22"/>
          <w:lang w:val="en"/>
        </w:rPr>
        <w:t>ABSTRACT</w:t>
      </w:r>
    </w:p>
    <w:p w14:paraId="73F87AD6" w14:textId="2306EBF0" w:rsidR="004233A0" w:rsidRPr="00A428CE" w:rsidRDefault="00A428CE" w:rsidP="00C74022">
      <w:pPr>
        <w:tabs>
          <w:tab w:val="left" w:pos="3170"/>
        </w:tabs>
        <w:spacing w:line="240" w:lineRule="auto"/>
        <w:jc w:val="both"/>
        <w:rPr>
          <w:rFonts w:ascii="Arial" w:eastAsia="Times New Roman" w:hAnsi="Arial" w:cs="Arial"/>
          <w:bCs/>
          <w:sz w:val="20"/>
          <w:szCs w:val="20"/>
          <w:lang w:val="en"/>
        </w:rPr>
      </w:pPr>
      <w:r w:rsidRPr="00A428CE">
        <w:rPr>
          <w:rFonts w:ascii="Arial" w:eastAsia="Times New Roman" w:hAnsi="Arial" w:cs="Arial"/>
          <w:sz w:val="20"/>
          <w:szCs w:val="20"/>
        </w:rPr>
        <w:t xml:space="preserve">This qualitative meta-synthesis was undertaken to synthesize the available literature on the implementation of inclusive education and teacher preparation for inclusive education in India. An electronic search of six databases—Education Source, APA </w:t>
      </w:r>
      <w:proofErr w:type="spellStart"/>
      <w:r w:rsidRPr="00A428CE">
        <w:rPr>
          <w:rFonts w:ascii="Arial" w:eastAsia="Times New Roman" w:hAnsi="Arial" w:cs="Arial"/>
          <w:sz w:val="20"/>
          <w:szCs w:val="20"/>
        </w:rPr>
        <w:t>PsycArticles</w:t>
      </w:r>
      <w:proofErr w:type="spellEnd"/>
      <w:r w:rsidRPr="00A428CE">
        <w:rPr>
          <w:rFonts w:ascii="Arial" w:eastAsia="Times New Roman" w:hAnsi="Arial" w:cs="Arial"/>
          <w:sz w:val="20"/>
          <w:szCs w:val="20"/>
        </w:rPr>
        <w:t>, APA PsycINFO, ERIC, Education Database, and Web of Science</w:t>
      </w:r>
      <w:r>
        <w:rPr>
          <w:rFonts w:ascii="Arial" w:eastAsia="Times New Roman" w:hAnsi="Arial" w:cs="Arial"/>
          <w:sz w:val="20"/>
          <w:szCs w:val="20"/>
        </w:rPr>
        <w:t xml:space="preserve">, </w:t>
      </w:r>
      <w:r w:rsidRPr="00A428CE">
        <w:rPr>
          <w:rFonts w:ascii="Arial" w:eastAsia="Times New Roman" w:hAnsi="Arial" w:cs="Arial"/>
          <w:sz w:val="20"/>
          <w:szCs w:val="20"/>
        </w:rPr>
        <w:t xml:space="preserve">was conducted. Twenty peer-reviewed articles were included in the final review. </w:t>
      </w:r>
      <w:r>
        <w:rPr>
          <w:rFonts w:ascii="Arial" w:eastAsia="Times New Roman" w:hAnsi="Arial" w:cs="Arial"/>
          <w:sz w:val="20"/>
          <w:szCs w:val="20"/>
          <w:lang w:val="en"/>
        </w:rPr>
        <w:t>The s</w:t>
      </w:r>
      <w:r w:rsidRPr="00843D4F">
        <w:rPr>
          <w:rFonts w:ascii="Arial" w:eastAsia="Times New Roman" w:hAnsi="Arial" w:cs="Arial"/>
          <w:sz w:val="20"/>
          <w:szCs w:val="20"/>
          <w:lang w:val="en"/>
        </w:rPr>
        <w:t>elected studies were appraised for quality using the Critical Appraisal Skills Program (CASP)</w:t>
      </w:r>
      <w:r>
        <w:rPr>
          <w:rFonts w:ascii="Arial" w:eastAsia="Times New Roman" w:hAnsi="Arial" w:cs="Arial"/>
          <w:sz w:val="20"/>
          <w:szCs w:val="20"/>
          <w:lang w:val="en"/>
        </w:rPr>
        <w:t xml:space="preserve">. </w:t>
      </w:r>
      <w:r w:rsidRPr="00A428CE">
        <w:rPr>
          <w:rFonts w:ascii="Arial" w:eastAsia="Times New Roman" w:hAnsi="Arial" w:cs="Arial"/>
          <w:sz w:val="20"/>
          <w:szCs w:val="20"/>
        </w:rPr>
        <w:t xml:space="preserve">Inductive coding revealed that most of the evidence related to the practice of inclusive education focused on barriers, followed by classroom culture and action. The limited available evidence on teacher training for inclusive education indicates that teachers perceived such training as ineffective and insufficient when it was present. Implications for policy, practice, and future research are </w:t>
      </w:r>
      <w:commentRangeStart w:id="0"/>
      <w:r w:rsidRPr="00A428CE">
        <w:rPr>
          <w:rFonts w:ascii="Arial" w:eastAsia="Times New Roman" w:hAnsi="Arial" w:cs="Arial"/>
          <w:sz w:val="20"/>
          <w:szCs w:val="20"/>
        </w:rPr>
        <w:t>discussed</w:t>
      </w:r>
      <w:commentRangeEnd w:id="0"/>
      <w:r w:rsidR="00C74022">
        <w:rPr>
          <w:rStyle w:val="CommentReference"/>
          <w:rFonts w:asciiTheme="minorHAnsi" w:eastAsiaTheme="minorEastAsia" w:hAnsiTheme="minorHAnsi" w:cstheme="minorBidi"/>
          <w:lang w:val="en-AU" w:eastAsia="zh-CN"/>
        </w:rPr>
        <w:commentReference w:id="0"/>
      </w:r>
      <w:r w:rsidRPr="00A428CE">
        <w:rPr>
          <w:rFonts w:ascii="Arial" w:eastAsia="Times New Roman" w:hAnsi="Arial" w:cs="Arial"/>
          <w:sz w:val="20"/>
          <w:szCs w:val="20"/>
        </w:rPr>
        <w:t>.</w:t>
      </w:r>
    </w:p>
    <w:p w14:paraId="2F93C002" w14:textId="77777777" w:rsidR="004233A0" w:rsidRPr="00843D4F" w:rsidRDefault="004233A0" w:rsidP="00843D4F">
      <w:pPr>
        <w:tabs>
          <w:tab w:val="left" w:pos="3170"/>
        </w:tabs>
        <w:spacing w:line="240" w:lineRule="auto"/>
        <w:rPr>
          <w:rFonts w:ascii="Arial" w:eastAsia="Times New Roman" w:hAnsi="Arial" w:cs="Arial"/>
          <w:bCs/>
          <w:sz w:val="16"/>
          <w:szCs w:val="16"/>
          <w:lang w:val="en"/>
        </w:rPr>
      </w:pPr>
    </w:p>
    <w:p w14:paraId="2F4019D9" w14:textId="133174D0" w:rsidR="004233A0" w:rsidRPr="00843D4F" w:rsidRDefault="004233A0" w:rsidP="00843D4F">
      <w:pPr>
        <w:tabs>
          <w:tab w:val="left" w:pos="3170"/>
        </w:tabs>
        <w:spacing w:line="240" w:lineRule="auto"/>
        <w:rPr>
          <w:rFonts w:ascii="Arial" w:eastAsia="Times New Roman" w:hAnsi="Arial" w:cs="Arial"/>
          <w:bCs/>
          <w:sz w:val="16"/>
          <w:szCs w:val="16"/>
          <w:lang w:val="en"/>
        </w:rPr>
        <w:sectPr w:rsidR="004233A0" w:rsidRPr="00843D4F">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sectPr>
      </w:pPr>
    </w:p>
    <w:p w14:paraId="0B95C217" w14:textId="0E3F940F" w:rsidR="004D4C86" w:rsidRDefault="004233A0" w:rsidP="00843D4F">
      <w:pPr>
        <w:spacing w:after="0" w:line="240" w:lineRule="auto"/>
        <w:rPr>
          <w:rFonts w:ascii="Arial" w:eastAsia="Times New Roman" w:hAnsi="Arial" w:cs="Arial"/>
          <w:b/>
          <w:sz w:val="20"/>
          <w:szCs w:val="20"/>
          <w:lang w:val="en"/>
        </w:rPr>
      </w:pPr>
      <w:r w:rsidRPr="00843D4F">
        <w:rPr>
          <w:rFonts w:ascii="Arial" w:eastAsia="Times New Roman" w:hAnsi="Arial" w:cs="Arial"/>
          <w:b/>
          <w:sz w:val="20"/>
          <w:szCs w:val="20"/>
          <w:lang w:val="en"/>
        </w:rPr>
        <w:lastRenderedPageBreak/>
        <w:t xml:space="preserve">1. </w:t>
      </w:r>
      <w:r w:rsidR="004D4C86" w:rsidRPr="00843D4F">
        <w:rPr>
          <w:rFonts w:ascii="Arial" w:eastAsia="Times New Roman" w:hAnsi="Arial" w:cs="Arial"/>
          <w:b/>
          <w:sz w:val="20"/>
          <w:szCs w:val="20"/>
          <w:lang w:val="en"/>
        </w:rPr>
        <w:t>I</w:t>
      </w:r>
      <w:r w:rsidR="00843D4F" w:rsidRPr="00843D4F">
        <w:rPr>
          <w:rFonts w:ascii="Arial" w:eastAsia="Times New Roman" w:hAnsi="Arial" w:cs="Arial"/>
          <w:b/>
          <w:sz w:val="20"/>
          <w:szCs w:val="20"/>
          <w:lang w:val="en"/>
        </w:rPr>
        <w:t>NTRODUCTION</w:t>
      </w:r>
    </w:p>
    <w:p w14:paraId="4CB3792D" w14:textId="77777777" w:rsidR="00920D27" w:rsidRPr="00843D4F" w:rsidRDefault="00920D27" w:rsidP="00843D4F">
      <w:pPr>
        <w:spacing w:after="0" w:line="240" w:lineRule="auto"/>
        <w:rPr>
          <w:rFonts w:ascii="Arial" w:eastAsia="Times New Roman" w:hAnsi="Arial" w:cs="Arial"/>
          <w:sz w:val="20"/>
          <w:szCs w:val="20"/>
        </w:rPr>
      </w:pPr>
    </w:p>
    <w:p w14:paraId="0B43A860" w14:textId="77777777" w:rsidR="004D4C86"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In countries across the Global South, inclusive education is shaped by postcolonial histories and ideas of development that have been imported from Western nations (Armstrong et al., 2011; Grech, 2016). The advancement of the practice of inclusive education in these contexts is possible only with policies and practices that are locally informed and grounded, supported by sustainable teacher training, and informed by context-specific strategies and research (</w:t>
      </w:r>
      <w:proofErr w:type="spellStart"/>
      <w:r w:rsidRPr="00843D4F">
        <w:rPr>
          <w:rFonts w:ascii="Arial" w:eastAsia="Times New Roman" w:hAnsi="Arial" w:cs="Arial"/>
          <w:sz w:val="20"/>
          <w:szCs w:val="20"/>
          <w:lang w:val="en"/>
        </w:rPr>
        <w:t>Forlin</w:t>
      </w:r>
      <w:proofErr w:type="spellEnd"/>
      <w:r w:rsidRPr="00843D4F">
        <w:rPr>
          <w:rFonts w:ascii="Arial" w:eastAsia="Times New Roman" w:hAnsi="Arial" w:cs="Arial"/>
          <w:sz w:val="20"/>
          <w:szCs w:val="20"/>
          <w:lang w:val="en"/>
        </w:rPr>
        <w:t>, 2013). Article 24 of the United Nations Convention on the Rights of Persons with Disabilities (UNCRPD, 2006) defines inclusive education as a system in which all learners, including those with disabilities, are educated together in mainstream settings with appropriate support. Importantly, inclusive education differs from integration, which involves placing students with disabilities in mainstream classrooms without adequate adaptation, thus expecting them to conform to existing norms (UNICEF, 2017). The rationale for inclusive education includes not only its potential to improve academic outcomes for all students but also its cost-effectiveness and its contribution to building a more inclusive society (UNICEF, 2017).</w:t>
      </w:r>
    </w:p>
    <w:p w14:paraId="6A77E6BC" w14:textId="77777777" w:rsidR="00920D27" w:rsidRPr="00843D4F" w:rsidRDefault="00920D27" w:rsidP="00843D4F">
      <w:pPr>
        <w:spacing w:after="0" w:line="240" w:lineRule="auto"/>
        <w:rPr>
          <w:rFonts w:ascii="Arial" w:eastAsia="Times New Roman" w:hAnsi="Arial" w:cs="Arial"/>
          <w:sz w:val="20"/>
          <w:szCs w:val="20"/>
          <w:lang w:val="en"/>
        </w:rPr>
      </w:pPr>
    </w:p>
    <w:p w14:paraId="4719FE44" w14:textId="77777777" w:rsidR="00B61F76" w:rsidRPr="00843D4F" w:rsidRDefault="004D4C86" w:rsidP="00843D4F">
      <w:pPr>
        <w:spacing w:after="0" w:line="240" w:lineRule="auto"/>
        <w:rPr>
          <w:rFonts w:ascii="Arial" w:eastAsia="Times New Roman" w:hAnsi="Arial" w:cs="Arial"/>
          <w:sz w:val="20"/>
          <w:szCs w:val="20"/>
          <w:lang w:val="en"/>
        </w:rPr>
      </w:pPr>
      <w:r w:rsidRPr="00C74022">
        <w:rPr>
          <w:rFonts w:ascii="Arial" w:eastAsia="Times New Roman" w:hAnsi="Arial" w:cs="Arial"/>
          <w:color w:val="EE0000"/>
          <w:sz w:val="20"/>
          <w:szCs w:val="20"/>
          <w:lang w:val="en"/>
        </w:rPr>
        <w:t xml:space="preserve">Mirroring global definitions, in the Index for Inclusive Schools, India’s National Council of Educational Research and Training’s </w:t>
      </w:r>
      <w:commentRangeStart w:id="1"/>
      <w:r w:rsidRPr="00C74022">
        <w:rPr>
          <w:rFonts w:ascii="Arial" w:eastAsia="Times New Roman" w:hAnsi="Arial" w:cs="Arial"/>
          <w:color w:val="EE0000"/>
          <w:sz w:val="20"/>
          <w:szCs w:val="20"/>
          <w:lang w:val="en"/>
        </w:rPr>
        <w:t>(NCERT, 2019</w:t>
      </w:r>
      <w:commentRangeEnd w:id="1"/>
      <w:r w:rsidR="00C74022">
        <w:rPr>
          <w:rStyle w:val="CommentReference"/>
          <w:rFonts w:asciiTheme="minorHAnsi" w:eastAsiaTheme="minorEastAsia" w:hAnsiTheme="minorHAnsi" w:cstheme="minorBidi"/>
          <w:lang w:val="en-AU" w:eastAsia="zh-CN"/>
        </w:rPr>
        <w:commentReference w:id="1"/>
      </w:r>
      <w:r w:rsidRPr="00C74022">
        <w:rPr>
          <w:rFonts w:ascii="Arial" w:eastAsia="Times New Roman" w:hAnsi="Arial" w:cs="Arial"/>
          <w:color w:val="EE0000"/>
          <w:sz w:val="20"/>
          <w:szCs w:val="20"/>
          <w:lang w:val="en"/>
        </w:rPr>
        <w:t>) illustrated that the growth of the inclusive education movement in India could be viewed as evolving in stages from segregation, integration, and inclusion</w:t>
      </w:r>
      <w:r w:rsidRPr="00843D4F">
        <w:rPr>
          <w:rFonts w:ascii="Arial" w:eastAsia="Times New Roman" w:hAnsi="Arial" w:cs="Arial"/>
          <w:sz w:val="20"/>
          <w:szCs w:val="20"/>
          <w:lang w:val="en"/>
        </w:rPr>
        <w:t xml:space="preserve">. In the segregation stage, educational provisions for children with disabilities are rooted in a medical model that emphasizes diagnosis, categorization, and special treatment. This phase prioritized services over rights, advocating for separate educational settings and differentiated curricula perceived as more appropriate for children with disabilities. The emphasis remained on inputs, such as special schools and individualized support, with professional involvement centered on the assumption that learners with disabilities needed to be managed in isolated environments. This approach operates under the notion that disability is a deficit and is within the individual. The integration stage, although still grounded in the medical model, marked a shift toward adaptations made for the individual. Children with disabilities were placed in regular schools, provided they could adapt to prevailing structures and norms. The focus during this phase shifted to curriculum delivery, educational process, and system efficiency, often managed by professionals who specialized in inclusion. The document describes that the focus of integration activities is for </w:t>
      </w:r>
      <w:commentRangeStart w:id="2"/>
      <w:r w:rsidRPr="002C34B9">
        <w:rPr>
          <w:rFonts w:ascii="Arial" w:eastAsia="Times New Roman" w:hAnsi="Arial" w:cs="Arial"/>
          <w:color w:val="EE0000"/>
          <w:sz w:val="20"/>
          <w:szCs w:val="20"/>
          <w:lang w:val="en"/>
        </w:rPr>
        <w:t>SWD</w:t>
      </w:r>
      <w:commentRangeEnd w:id="2"/>
      <w:r w:rsidR="002C34B9">
        <w:rPr>
          <w:rStyle w:val="CommentReference"/>
          <w:rFonts w:asciiTheme="minorHAnsi" w:eastAsiaTheme="minorEastAsia" w:hAnsiTheme="minorHAnsi" w:cstheme="minorBidi"/>
          <w:lang w:val="en-AU" w:eastAsia="zh-CN"/>
        </w:rPr>
        <w:commentReference w:id="2"/>
      </w:r>
      <w:r w:rsidRPr="00843D4F">
        <w:rPr>
          <w:rFonts w:ascii="Arial" w:eastAsia="Times New Roman" w:hAnsi="Arial" w:cs="Arial"/>
          <w:sz w:val="20"/>
          <w:szCs w:val="20"/>
          <w:lang w:val="en"/>
        </w:rPr>
        <w:t xml:space="preserve"> (NCERT, 2019). The final stage described in the document was inclusion, which drew on the social model of disability and emphasized institutional adaptation. This stage focuses on rights, systemic reform, and the restructuring of educational environments to support all learners, not only those with disabilities.</w:t>
      </w:r>
    </w:p>
    <w:p w14:paraId="18468721" w14:textId="77777777" w:rsidR="00920D27" w:rsidRDefault="00920D27" w:rsidP="00843D4F">
      <w:pPr>
        <w:spacing w:after="0" w:line="240" w:lineRule="auto"/>
        <w:rPr>
          <w:rFonts w:ascii="Arial" w:eastAsia="Times New Roman" w:hAnsi="Arial" w:cs="Arial"/>
          <w:sz w:val="20"/>
          <w:szCs w:val="20"/>
          <w:lang w:val="en"/>
        </w:rPr>
      </w:pPr>
    </w:p>
    <w:p w14:paraId="3D9F314F" w14:textId="3F4A164E" w:rsidR="004D4C86" w:rsidRPr="00843D4F" w:rsidRDefault="004D4C86" w:rsidP="00843D4F">
      <w:pPr>
        <w:spacing w:after="0" w:line="240" w:lineRule="auto"/>
        <w:rPr>
          <w:rFonts w:ascii="Arial" w:eastAsia="Times New Roman" w:hAnsi="Arial" w:cs="Arial"/>
          <w:sz w:val="20"/>
          <w:szCs w:val="20"/>
          <w:lang w:val="en"/>
        </w:rPr>
      </w:pPr>
      <w:commentRangeStart w:id="3"/>
      <w:commentRangeStart w:id="4"/>
      <w:r w:rsidRPr="002C34B9">
        <w:rPr>
          <w:rFonts w:ascii="Arial" w:eastAsia="Times New Roman" w:hAnsi="Arial" w:cs="Arial"/>
          <w:color w:val="EE0000"/>
          <w:sz w:val="20"/>
          <w:szCs w:val="20"/>
          <w:lang w:val="en"/>
        </w:rPr>
        <w:t>Inclusion celebrated diversity, aimed to unify the system, and emphasized learning outcomes</w:t>
      </w:r>
      <w:commentRangeEnd w:id="3"/>
      <w:r w:rsidR="002C34B9">
        <w:rPr>
          <w:rStyle w:val="CommentReference"/>
          <w:rFonts w:asciiTheme="minorHAnsi" w:eastAsiaTheme="minorEastAsia" w:hAnsiTheme="minorHAnsi" w:cstheme="minorBidi"/>
          <w:lang w:val="en-AU" w:eastAsia="zh-CN"/>
        </w:rPr>
        <w:commentReference w:id="3"/>
      </w:r>
      <w:commentRangeEnd w:id="4"/>
      <w:r w:rsidR="002C34B9">
        <w:rPr>
          <w:rStyle w:val="CommentReference"/>
          <w:rFonts w:asciiTheme="minorHAnsi" w:eastAsiaTheme="minorEastAsia" w:hAnsiTheme="minorHAnsi" w:cstheme="minorBidi"/>
          <w:lang w:val="en-AU" w:eastAsia="zh-CN"/>
        </w:rPr>
        <w:commentReference w:id="4"/>
      </w:r>
      <w:r w:rsidRPr="00843D4F">
        <w:rPr>
          <w:rFonts w:ascii="Arial" w:eastAsia="Times New Roman" w:hAnsi="Arial" w:cs="Arial"/>
          <w:sz w:val="20"/>
          <w:szCs w:val="20"/>
          <w:lang w:val="en"/>
        </w:rPr>
        <w:t>. It encouraged collaborative partnerships between professionals and parents and advocated for curriculum content that was flexible and responsive to learner variability. Schools are expected to accommodate differences and actively foster belonging and participation for all students. According to NCERT (2019), this approach aimed to position inclusion as a comprehensive framework for school improvement and effectiveness, rather than a marginal concern.</w:t>
      </w:r>
    </w:p>
    <w:p w14:paraId="1F3373A6" w14:textId="5FCC553C" w:rsidR="004D4C86" w:rsidRPr="00843D4F" w:rsidRDefault="004D4C86" w:rsidP="00843D4F">
      <w:pPr>
        <w:spacing w:after="0" w:line="240" w:lineRule="auto"/>
        <w:rPr>
          <w:rFonts w:ascii="Arial" w:eastAsia="Times New Roman" w:hAnsi="Arial" w:cs="Arial"/>
          <w:sz w:val="20"/>
          <w:szCs w:val="20"/>
          <w:lang w:val="en"/>
        </w:rPr>
      </w:pPr>
      <w:r w:rsidRPr="002C34B9">
        <w:rPr>
          <w:rFonts w:ascii="Arial" w:eastAsia="Times New Roman" w:hAnsi="Arial" w:cs="Arial"/>
          <w:color w:val="EE0000"/>
          <w:sz w:val="20"/>
          <w:szCs w:val="20"/>
          <w:lang w:val="en"/>
        </w:rPr>
        <w:t xml:space="preserve">While national frameworks affirm the inclusive vision articulated in the Rights of Persons with Disabilities Act (RPWD Act, 2016) which defines inclusive education as a system where students with and without disabilities learn together through adapted pedagogies they are also influenced by broader initiatives such as </w:t>
      </w:r>
      <w:proofErr w:type="spellStart"/>
      <w:r w:rsidRPr="002C34B9">
        <w:rPr>
          <w:rFonts w:ascii="Arial" w:eastAsia="Times New Roman" w:hAnsi="Arial" w:cs="Arial"/>
          <w:i/>
          <w:color w:val="EE0000"/>
          <w:sz w:val="20"/>
          <w:szCs w:val="20"/>
          <w:lang w:val="en"/>
        </w:rPr>
        <w:t>Samagra</w:t>
      </w:r>
      <w:proofErr w:type="spellEnd"/>
      <w:r w:rsidRPr="002C34B9">
        <w:rPr>
          <w:rFonts w:ascii="Arial" w:eastAsia="Times New Roman" w:hAnsi="Arial" w:cs="Arial"/>
          <w:i/>
          <w:color w:val="EE0000"/>
          <w:sz w:val="20"/>
          <w:szCs w:val="20"/>
          <w:lang w:val="en"/>
        </w:rPr>
        <w:t xml:space="preserve"> Shiksha</w:t>
      </w:r>
      <w:r w:rsidRPr="002C34B9">
        <w:rPr>
          <w:rFonts w:ascii="Arial" w:eastAsia="Times New Roman" w:hAnsi="Arial" w:cs="Arial"/>
          <w:color w:val="EE0000"/>
          <w:sz w:val="20"/>
          <w:szCs w:val="20"/>
          <w:lang w:val="en"/>
        </w:rPr>
        <w:t xml:space="preserve"> (2018), India’s flagship "education for all" program</w:t>
      </w:r>
      <w:r w:rsidRPr="00843D4F">
        <w:rPr>
          <w:rFonts w:ascii="Arial" w:eastAsia="Times New Roman" w:hAnsi="Arial" w:cs="Arial"/>
          <w:sz w:val="20"/>
          <w:szCs w:val="20"/>
          <w:lang w:val="en"/>
        </w:rPr>
        <w:t>. A recent meta-synthesis on perceptions of inclusive education found that educators often conceptualized inclusion not solely in relation to students with disabilities (SWD), but as a broader equity-oriented framework targeting all learners (</w:t>
      </w:r>
      <w:r w:rsidR="00925345" w:rsidRPr="00843D4F">
        <w:rPr>
          <w:rFonts w:ascii="Arial" w:eastAsia="Times New Roman" w:hAnsi="Arial" w:cs="Arial"/>
          <w:sz w:val="20"/>
          <w:szCs w:val="20"/>
          <w:lang w:val="en"/>
        </w:rPr>
        <w:t>Author</w:t>
      </w:r>
      <w:r w:rsidRPr="00843D4F">
        <w:rPr>
          <w:rFonts w:ascii="Arial" w:eastAsia="Times New Roman" w:hAnsi="Arial" w:cs="Arial"/>
          <w:sz w:val="20"/>
          <w:szCs w:val="20"/>
          <w:lang w:val="en"/>
        </w:rPr>
        <w:t>, 2025).</w:t>
      </w:r>
    </w:p>
    <w:p w14:paraId="51F50192" w14:textId="77777777" w:rsidR="00920D27" w:rsidRDefault="00920D27" w:rsidP="00843D4F">
      <w:pPr>
        <w:spacing w:after="0" w:line="240" w:lineRule="auto"/>
        <w:rPr>
          <w:rFonts w:ascii="Arial" w:eastAsia="Times New Roman" w:hAnsi="Arial" w:cs="Arial"/>
          <w:sz w:val="20"/>
          <w:szCs w:val="20"/>
          <w:lang w:val="en"/>
        </w:rPr>
      </w:pPr>
    </w:p>
    <w:p w14:paraId="13E879E1" w14:textId="1940471E"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Despite the availability of indicators for inclusive schools, there is a lack of comprehensive studies that synthesize evidence on the actual implementation of inclusive education within the Indian context. Some reviews have examined implementation across the Global South more broadly. For instance, Mendoza and Heymann (2024) conducted a systematic review of 31 studies from 19 low- and middle-income countries. Their review included both qualitative and quantitative studies and considered perspectives from multiple stakeholders, such as educators, parents, students, community members, and non-governmental organizations (NGOs). It sought to identify interventions supporting inclusive education in resource-constrained environments. Findings underscored the importance of teacher training, </w:t>
      </w:r>
      <w:r w:rsidRPr="00843D4F">
        <w:rPr>
          <w:rFonts w:ascii="Arial" w:eastAsia="Times New Roman" w:hAnsi="Arial" w:cs="Arial"/>
          <w:sz w:val="20"/>
          <w:szCs w:val="20"/>
          <w:lang w:val="en"/>
        </w:rPr>
        <w:lastRenderedPageBreak/>
        <w:t>instructional differentiation, and community engagement as essential for successful implementation. Although promising strategies such as Cluster-Based Instruction and school–community partnerships were noted, the authors highlighted a lack of consistent, high-quality evidence across studies. Moreover, educators’ voices, despite being critical to the success of inclusive initiatives, were often underrepresented.</w:t>
      </w:r>
    </w:p>
    <w:p w14:paraId="6FF15B16" w14:textId="77777777" w:rsidR="00920D27" w:rsidRDefault="00920D27" w:rsidP="00843D4F">
      <w:pPr>
        <w:spacing w:after="0" w:line="240" w:lineRule="auto"/>
        <w:rPr>
          <w:rFonts w:ascii="Arial" w:eastAsia="Times New Roman" w:hAnsi="Arial" w:cs="Arial"/>
          <w:sz w:val="20"/>
          <w:szCs w:val="20"/>
          <w:lang w:val="en"/>
        </w:rPr>
      </w:pPr>
    </w:p>
    <w:p w14:paraId="589866A8" w14:textId="04774DD3"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Similarly, Hollings (2021) conducted a review of 18 studies, the majority of which were situated in low- and middle-income countries across the Middle East, Oceania, East Asia, Eurasia/Central Asia, Southeast Asia, and Africa. Although the review explicitly excluded studies from North America and Europe to focus on inclusive practices beyond Western contexts, it included studies from countries such as New Zealand, South Korea, and Japan, which are not typically categorized as part of the Global South (Kenny, 2025). Like Mendoza and Heymann’s review, Hollings included both quantitative and qualitative studies and considered a wide range of stakeholders beyond educators. The primary aim of the review was to map barriers to the implementation of inclusive education. The findings revealed persistent challenges, including cultural stigma, inadequate infrastructure, and poorly contextualized policy frameworks, many of which were adapted from Western models and found to be misaligned with local realities. Although teachers were acknowledged as key actors in implementing inclusive education, their perspectives were frequently overshadowed by administrative or systemic concerns. The review further emphasized the need for meaningful collaboration among stakeholders to cultivate genuinely inclusive educational communities.</w:t>
      </w:r>
    </w:p>
    <w:p w14:paraId="545CBACE" w14:textId="77777777" w:rsidR="00920D27" w:rsidRDefault="00920D27" w:rsidP="00843D4F">
      <w:pPr>
        <w:spacing w:after="0" w:line="240" w:lineRule="auto"/>
        <w:rPr>
          <w:rFonts w:ascii="Arial" w:eastAsia="Times New Roman" w:hAnsi="Arial" w:cs="Arial"/>
          <w:sz w:val="20"/>
          <w:szCs w:val="20"/>
          <w:lang w:val="en"/>
        </w:rPr>
      </w:pPr>
    </w:p>
    <w:p w14:paraId="2F28FA61" w14:textId="5A7BA458" w:rsidR="00920D27"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Teachers are widely recognized as powerful implementers of inclusive education, positioned at the frontlines of addressing the growing diversity of learners in today’s classrooms. Their central role in shaping school culture and enacting inclusive practices also positions them as leaders in driving sustainable, context-sensitive inclusion (Rose, 2010; Sarkar &amp; Forber-Pratt, 2021). Given the critical importance of teacher voices and the notable gaps in literature specifically focused on their experiences in India, this meta-synthesis was undertaken to center educators’ perspectives on how inclusive education is interpreted and enacted in Indian schools.</w:t>
      </w:r>
    </w:p>
    <w:p w14:paraId="4F231817" w14:textId="77777777" w:rsidR="00920D27" w:rsidRDefault="004D4C86" w:rsidP="00843D4F">
      <w:pPr>
        <w:spacing w:after="0" w:line="240" w:lineRule="auto"/>
        <w:rPr>
          <w:rFonts w:ascii="Arial" w:eastAsia="Times New Roman" w:hAnsi="Arial" w:cs="Arial"/>
          <w:b/>
          <w:sz w:val="22"/>
          <w:szCs w:val="22"/>
          <w:lang w:val="en"/>
        </w:rPr>
      </w:pPr>
      <w:r w:rsidRPr="00843D4F">
        <w:rPr>
          <w:rFonts w:ascii="Arial" w:eastAsia="Times New Roman" w:hAnsi="Arial" w:cs="Arial"/>
          <w:sz w:val="20"/>
          <w:szCs w:val="20"/>
          <w:lang w:val="en"/>
        </w:rPr>
        <w:br/>
      </w:r>
      <w:r w:rsidR="004233A0" w:rsidRPr="00843D4F">
        <w:rPr>
          <w:rFonts w:ascii="Arial" w:eastAsia="Times New Roman" w:hAnsi="Arial" w:cs="Arial"/>
          <w:b/>
          <w:sz w:val="22"/>
          <w:szCs w:val="22"/>
          <w:lang w:val="en"/>
        </w:rPr>
        <w:t xml:space="preserve">1.1 </w:t>
      </w:r>
      <w:r w:rsidRPr="00843D4F">
        <w:rPr>
          <w:rFonts w:ascii="Arial" w:eastAsia="Times New Roman" w:hAnsi="Arial" w:cs="Arial"/>
          <w:b/>
          <w:sz w:val="22"/>
          <w:szCs w:val="22"/>
          <w:lang w:val="en"/>
        </w:rPr>
        <w:t>Rationale for the Study</w:t>
      </w:r>
    </w:p>
    <w:p w14:paraId="69A72487" w14:textId="521A1EF9" w:rsidR="004D4C86"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b/>
          <w:sz w:val="20"/>
          <w:szCs w:val="20"/>
          <w:lang w:val="en"/>
        </w:rPr>
        <w:br/>
      </w:r>
      <w:r w:rsidRPr="00843D4F">
        <w:rPr>
          <w:rFonts w:ascii="Arial" w:eastAsia="Times New Roman" w:hAnsi="Arial" w:cs="Arial"/>
          <w:sz w:val="20"/>
          <w:szCs w:val="20"/>
          <w:lang w:val="en"/>
        </w:rPr>
        <w:t>This paper is part of a systematic meta-synthesis that consists of two studies and three research questions. The first study (</w:t>
      </w:r>
      <w:r w:rsidR="00925345" w:rsidRPr="00843D4F">
        <w:rPr>
          <w:rFonts w:ascii="Arial" w:eastAsia="Times New Roman" w:hAnsi="Arial" w:cs="Arial"/>
          <w:sz w:val="20"/>
          <w:szCs w:val="20"/>
          <w:lang w:val="en"/>
        </w:rPr>
        <w:t>Author</w:t>
      </w:r>
      <w:r w:rsidRPr="00843D4F">
        <w:rPr>
          <w:rFonts w:ascii="Arial" w:eastAsia="Times New Roman" w:hAnsi="Arial" w:cs="Arial"/>
          <w:sz w:val="20"/>
          <w:szCs w:val="20"/>
          <w:lang w:val="en"/>
        </w:rPr>
        <w:t xml:space="preserve">, 2025) examined educators’ perceptions of inclusive education and disability, addressing the following research questions: (a) perception of educators about inclusive education; (b) perception of educators about disability. Findings revealed that while educators often conceptualize inclusive education as a school culture that they are responsible for building, they also tend to hold deficit-oriented views of disability. The current study builds on those insights by exploring how educators implement inclusive education in practice. Whether their perceptions are reflected in their actions. Additionally, this review investigates the nature of training educators receive for inclusive education and how they perceive its effectiveness in preparing them for inclusive practice. Therefore, this phase of the meta-synthesis addresses the research question: </w:t>
      </w:r>
      <w:bookmarkStart w:id="5" w:name="_Hlk200444047"/>
      <w:r w:rsidRPr="00843D4F">
        <w:rPr>
          <w:rFonts w:ascii="Arial" w:eastAsia="Times New Roman" w:hAnsi="Arial" w:cs="Arial"/>
          <w:sz w:val="20"/>
          <w:szCs w:val="20"/>
          <w:lang w:val="en"/>
        </w:rPr>
        <w:t>How is inclusive education taught and practiced in India?</w:t>
      </w:r>
    </w:p>
    <w:p w14:paraId="3F1B06B3" w14:textId="77777777" w:rsidR="005D7D7A" w:rsidRPr="00843D4F" w:rsidRDefault="005D7D7A" w:rsidP="00843D4F">
      <w:pPr>
        <w:spacing w:after="0" w:line="240" w:lineRule="auto"/>
        <w:rPr>
          <w:rFonts w:ascii="Arial" w:eastAsia="Times New Roman" w:hAnsi="Arial" w:cs="Arial"/>
          <w:sz w:val="20"/>
          <w:szCs w:val="20"/>
          <w:lang w:val="en"/>
        </w:rPr>
      </w:pPr>
    </w:p>
    <w:bookmarkEnd w:id="5"/>
    <w:p w14:paraId="4C3145A7" w14:textId="772C364D" w:rsidR="004D4C86" w:rsidRDefault="004233A0" w:rsidP="00843D4F">
      <w:pPr>
        <w:spacing w:after="0" w:line="240" w:lineRule="auto"/>
        <w:rPr>
          <w:rFonts w:ascii="Arial" w:eastAsia="Times New Roman" w:hAnsi="Arial" w:cs="Arial"/>
          <w:b/>
          <w:sz w:val="22"/>
          <w:szCs w:val="22"/>
          <w:lang w:val="en"/>
        </w:rPr>
      </w:pPr>
      <w:r w:rsidRPr="00843D4F">
        <w:rPr>
          <w:rFonts w:ascii="Arial" w:eastAsia="Times New Roman" w:hAnsi="Arial" w:cs="Arial"/>
          <w:b/>
          <w:sz w:val="22"/>
          <w:szCs w:val="22"/>
          <w:lang w:val="en"/>
        </w:rPr>
        <w:t>2.</w:t>
      </w:r>
      <w:r w:rsidR="004D4C86" w:rsidRPr="00843D4F">
        <w:rPr>
          <w:rFonts w:ascii="Arial" w:eastAsia="Times New Roman" w:hAnsi="Arial" w:cs="Arial"/>
          <w:b/>
          <w:sz w:val="22"/>
          <w:szCs w:val="22"/>
          <w:lang w:val="en"/>
        </w:rPr>
        <w:t>M</w:t>
      </w:r>
      <w:r w:rsidR="00843D4F" w:rsidRPr="00843D4F">
        <w:rPr>
          <w:rFonts w:ascii="Arial" w:eastAsia="Times New Roman" w:hAnsi="Arial" w:cs="Arial"/>
          <w:b/>
          <w:sz w:val="22"/>
          <w:szCs w:val="22"/>
          <w:lang w:val="en"/>
        </w:rPr>
        <w:t>ETHODS</w:t>
      </w:r>
    </w:p>
    <w:p w14:paraId="32D933DD" w14:textId="77777777" w:rsidR="00920D27" w:rsidRPr="00843D4F" w:rsidRDefault="00920D27" w:rsidP="00843D4F">
      <w:pPr>
        <w:spacing w:after="0" w:line="240" w:lineRule="auto"/>
        <w:rPr>
          <w:rFonts w:ascii="Arial" w:eastAsia="Times New Roman" w:hAnsi="Arial" w:cs="Arial"/>
          <w:b/>
          <w:sz w:val="22"/>
          <w:szCs w:val="22"/>
          <w:lang w:val="en"/>
        </w:rPr>
      </w:pPr>
    </w:p>
    <w:p w14:paraId="194A061D" w14:textId="32C51EC3" w:rsidR="004D4C86" w:rsidRDefault="004233A0" w:rsidP="00843D4F">
      <w:pPr>
        <w:spacing w:after="0" w:line="240" w:lineRule="auto"/>
        <w:rPr>
          <w:rFonts w:ascii="Arial" w:eastAsia="Times New Roman" w:hAnsi="Arial" w:cs="Arial"/>
          <w:b/>
          <w:sz w:val="22"/>
          <w:szCs w:val="22"/>
          <w:lang w:val="en"/>
        </w:rPr>
      </w:pPr>
      <w:bookmarkStart w:id="6" w:name="_heading=h.oeuqt28yoru6"/>
      <w:bookmarkEnd w:id="6"/>
      <w:r w:rsidRPr="00843D4F">
        <w:rPr>
          <w:rFonts w:ascii="Arial" w:eastAsia="Times New Roman" w:hAnsi="Arial" w:cs="Arial"/>
          <w:b/>
          <w:sz w:val="22"/>
          <w:szCs w:val="22"/>
          <w:lang w:val="en"/>
        </w:rPr>
        <w:t>2.</w:t>
      </w:r>
      <w:r w:rsidR="00843D4F" w:rsidRPr="00843D4F">
        <w:rPr>
          <w:rFonts w:ascii="Arial" w:eastAsia="Times New Roman" w:hAnsi="Arial" w:cs="Arial"/>
          <w:b/>
          <w:sz w:val="22"/>
          <w:szCs w:val="22"/>
          <w:lang w:val="en"/>
        </w:rPr>
        <w:t>1</w:t>
      </w:r>
      <w:r w:rsidRPr="00843D4F">
        <w:rPr>
          <w:rFonts w:ascii="Arial" w:eastAsia="Times New Roman" w:hAnsi="Arial" w:cs="Arial"/>
          <w:b/>
          <w:sz w:val="22"/>
          <w:szCs w:val="22"/>
          <w:lang w:val="en"/>
        </w:rPr>
        <w:t xml:space="preserve">. </w:t>
      </w:r>
      <w:r w:rsidR="004D4C86" w:rsidRPr="00843D4F">
        <w:rPr>
          <w:rFonts w:ascii="Arial" w:eastAsia="Times New Roman" w:hAnsi="Arial" w:cs="Arial"/>
          <w:b/>
          <w:sz w:val="22"/>
          <w:szCs w:val="22"/>
          <w:lang w:val="en"/>
        </w:rPr>
        <w:t>Study Design</w:t>
      </w:r>
    </w:p>
    <w:p w14:paraId="1D835150" w14:textId="77777777" w:rsidR="00920D27" w:rsidRPr="00843D4F" w:rsidRDefault="00920D27" w:rsidP="00843D4F">
      <w:pPr>
        <w:spacing w:after="0" w:line="240" w:lineRule="auto"/>
        <w:rPr>
          <w:rFonts w:ascii="Arial" w:eastAsia="Times New Roman" w:hAnsi="Arial" w:cs="Arial"/>
          <w:b/>
          <w:sz w:val="22"/>
          <w:szCs w:val="22"/>
          <w:lang w:val="en"/>
        </w:rPr>
      </w:pPr>
    </w:p>
    <w:p w14:paraId="47D95655"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This study employed a qualitative meta-synthesis to investigate how inclusive education is implemented in Indian classrooms and how teacher preparation programs facilitate inclusive teaching practices. Meta-synthesis is particularly well-suited for analyzing individual experiences and interpretations of a phenomenon within specific sociocultural contexts (</w:t>
      </w:r>
      <w:proofErr w:type="spellStart"/>
      <w:r w:rsidRPr="00843D4F">
        <w:rPr>
          <w:rFonts w:ascii="Arial" w:eastAsia="Times New Roman" w:hAnsi="Arial" w:cs="Arial"/>
          <w:sz w:val="20"/>
          <w:szCs w:val="20"/>
          <w:lang w:val="en"/>
        </w:rPr>
        <w:t>Chrastina</w:t>
      </w:r>
      <w:proofErr w:type="spellEnd"/>
      <w:r w:rsidRPr="00843D4F">
        <w:rPr>
          <w:rFonts w:ascii="Arial" w:eastAsia="Times New Roman" w:hAnsi="Arial" w:cs="Arial"/>
          <w:sz w:val="20"/>
          <w:szCs w:val="20"/>
          <w:lang w:val="en"/>
        </w:rPr>
        <w:t xml:space="preserve">, 2018). While some reviews have examined the implementation of inclusive education more broadly in middle to low-income countries, there are none that focus specifically on India </w:t>
      </w:r>
      <w:proofErr w:type="gramStart"/>
      <w:r w:rsidRPr="00843D4F">
        <w:rPr>
          <w:rFonts w:ascii="Arial" w:eastAsia="Times New Roman" w:hAnsi="Arial" w:cs="Arial"/>
          <w:sz w:val="20"/>
          <w:szCs w:val="20"/>
          <w:lang w:val="en"/>
        </w:rPr>
        <w:t>( Hollings</w:t>
      </w:r>
      <w:proofErr w:type="gramEnd"/>
      <w:r w:rsidRPr="00843D4F">
        <w:rPr>
          <w:rFonts w:ascii="Arial" w:eastAsia="Times New Roman" w:hAnsi="Arial" w:cs="Arial"/>
          <w:sz w:val="20"/>
          <w:szCs w:val="20"/>
          <w:lang w:val="en"/>
        </w:rPr>
        <w:t xml:space="preserve">, 2021; Mendoza &amp; Heymann, 2024). The decision to use a meta-synthesis stems from its capacity to go beyond simple aggregation of results. It allows for a critical and interpretive integration of findings, offering new conceptual insights into how inclusive education is taught </w:t>
      </w:r>
      <w:r w:rsidRPr="00843D4F">
        <w:rPr>
          <w:rFonts w:ascii="Arial" w:eastAsia="Times New Roman" w:hAnsi="Arial" w:cs="Arial"/>
          <w:sz w:val="20"/>
          <w:szCs w:val="20"/>
          <w:lang w:val="en"/>
        </w:rPr>
        <w:lastRenderedPageBreak/>
        <w:t>and enacted across diverse educational contexts (Noblit &amp; Hare, 1988). This method is especially valuable in contexts like India, where regional, cultural, and institutional variation shapes educational practice in complex ways. By comparing and contextualizing findings across studies, meta-synthesis helps generate more transferable and nuanced understandings, even when working with data that are inherently context-bound (</w:t>
      </w:r>
      <w:proofErr w:type="spellStart"/>
      <w:r w:rsidRPr="00843D4F">
        <w:rPr>
          <w:rFonts w:ascii="Arial" w:eastAsia="Times New Roman" w:hAnsi="Arial" w:cs="Arial"/>
          <w:sz w:val="20"/>
          <w:szCs w:val="20"/>
          <w:lang w:val="en"/>
        </w:rPr>
        <w:t>Finfgeld</w:t>
      </w:r>
      <w:proofErr w:type="spellEnd"/>
      <w:r w:rsidRPr="00843D4F">
        <w:rPr>
          <w:rFonts w:ascii="Arial" w:eastAsia="Times New Roman" w:hAnsi="Arial" w:cs="Arial"/>
          <w:sz w:val="20"/>
          <w:szCs w:val="20"/>
          <w:lang w:val="en"/>
        </w:rPr>
        <w:t>-Connett, 2018).</w:t>
      </w:r>
    </w:p>
    <w:p w14:paraId="497CF97A" w14:textId="77777777" w:rsidR="00920D27" w:rsidRDefault="00920D27" w:rsidP="00843D4F">
      <w:pPr>
        <w:spacing w:after="0" w:line="240" w:lineRule="auto"/>
        <w:rPr>
          <w:rFonts w:ascii="Arial" w:eastAsia="Times New Roman" w:hAnsi="Arial" w:cs="Arial"/>
          <w:sz w:val="20"/>
          <w:szCs w:val="20"/>
          <w:lang w:val="en"/>
        </w:rPr>
      </w:pPr>
    </w:p>
    <w:p w14:paraId="77D1E5E0" w14:textId="0992380D" w:rsidR="004D4C86"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This paper builds upon a previous meta-synthesis that examined how educators perceive disability and inclusion. In contrast, the present study shifts focus to the operationalization of inclusion, how inclusive practices are carried out in classrooms, and the ways in which teacher education supports or hinders these practices.</w:t>
      </w:r>
    </w:p>
    <w:p w14:paraId="0ABA6221" w14:textId="77777777" w:rsidR="00920D27" w:rsidRPr="00843D4F" w:rsidRDefault="00920D27" w:rsidP="00843D4F">
      <w:pPr>
        <w:spacing w:after="0" w:line="240" w:lineRule="auto"/>
        <w:rPr>
          <w:rFonts w:ascii="Arial" w:eastAsia="Times New Roman" w:hAnsi="Arial" w:cs="Arial"/>
          <w:sz w:val="20"/>
          <w:szCs w:val="20"/>
          <w:lang w:val="en"/>
        </w:rPr>
      </w:pPr>
    </w:p>
    <w:p w14:paraId="380DE546" w14:textId="77777777" w:rsidR="00920D27" w:rsidRDefault="00843D4F" w:rsidP="00843D4F">
      <w:pPr>
        <w:spacing w:after="0" w:line="240" w:lineRule="auto"/>
        <w:rPr>
          <w:rFonts w:ascii="Arial" w:eastAsia="Times New Roman" w:hAnsi="Arial" w:cs="Arial"/>
          <w:b/>
          <w:sz w:val="22"/>
          <w:szCs w:val="22"/>
          <w:lang w:val="en"/>
        </w:rPr>
      </w:pPr>
      <w:r w:rsidRPr="00843D4F">
        <w:rPr>
          <w:rFonts w:ascii="Arial" w:eastAsia="Times New Roman" w:hAnsi="Arial" w:cs="Arial"/>
          <w:b/>
          <w:sz w:val="22"/>
          <w:szCs w:val="22"/>
          <w:lang w:val="en"/>
        </w:rPr>
        <w:t>2.</w:t>
      </w:r>
      <w:proofErr w:type="gramStart"/>
      <w:r w:rsidRPr="00843D4F">
        <w:rPr>
          <w:rFonts w:ascii="Arial" w:eastAsia="Times New Roman" w:hAnsi="Arial" w:cs="Arial"/>
          <w:b/>
          <w:sz w:val="22"/>
          <w:szCs w:val="22"/>
          <w:lang w:val="en"/>
        </w:rPr>
        <w:t>2.</w:t>
      </w:r>
      <w:r w:rsidR="004D4C86" w:rsidRPr="00843D4F">
        <w:rPr>
          <w:rFonts w:ascii="Arial" w:eastAsia="Times New Roman" w:hAnsi="Arial" w:cs="Arial"/>
          <w:b/>
          <w:sz w:val="22"/>
          <w:szCs w:val="22"/>
          <w:lang w:val="en"/>
        </w:rPr>
        <w:t>Search</w:t>
      </w:r>
      <w:proofErr w:type="gramEnd"/>
      <w:r w:rsidR="004D4C86" w:rsidRPr="00843D4F">
        <w:rPr>
          <w:rFonts w:ascii="Arial" w:eastAsia="Times New Roman" w:hAnsi="Arial" w:cs="Arial"/>
          <w:b/>
          <w:sz w:val="22"/>
          <w:szCs w:val="22"/>
          <w:lang w:val="en"/>
        </w:rPr>
        <w:t xml:space="preserve"> and Screening Strategy</w:t>
      </w:r>
    </w:p>
    <w:p w14:paraId="4A6CAAE6" w14:textId="30CCB379"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br/>
        <w:t xml:space="preserve">An electronic search was conducted using five databases: Education Source, APA </w:t>
      </w:r>
      <w:proofErr w:type="spellStart"/>
      <w:r w:rsidRPr="00843D4F">
        <w:rPr>
          <w:rFonts w:ascii="Arial" w:eastAsia="Times New Roman" w:hAnsi="Arial" w:cs="Arial"/>
          <w:sz w:val="20"/>
          <w:szCs w:val="20"/>
          <w:lang w:val="en"/>
        </w:rPr>
        <w:t>PsycArticles</w:t>
      </w:r>
      <w:proofErr w:type="spellEnd"/>
      <w:r w:rsidRPr="00843D4F">
        <w:rPr>
          <w:rFonts w:ascii="Arial" w:eastAsia="Times New Roman" w:hAnsi="Arial" w:cs="Arial"/>
          <w:sz w:val="20"/>
          <w:szCs w:val="20"/>
          <w:lang w:val="en"/>
        </w:rPr>
        <w:t xml:space="preserve">, APA PsycINFO, ERIC, Education Database, and Web of Science. Because I was interested in three research questions, I identified studies that addressed one or more of those questions. Due to the vast amount of data pulled from the studies, the first two original research questions are as follows: (a) How do researchers define inclusion? and (b) How do teachers perceive disability and </w:t>
      </w:r>
      <w:proofErr w:type="gramStart"/>
      <w:r w:rsidRPr="00843D4F">
        <w:rPr>
          <w:rFonts w:ascii="Arial" w:eastAsia="Times New Roman" w:hAnsi="Arial" w:cs="Arial"/>
          <w:sz w:val="20"/>
          <w:szCs w:val="20"/>
          <w:lang w:val="en"/>
        </w:rPr>
        <w:t>inclusion?—</w:t>
      </w:r>
      <w:proofErr w:type="gramEnd"/>
      <w:r w:rsidRPr="00843D4F">
        <w:rPr>
          <w:rFonts w:ascii="Arial" w:eastAsia="Times New Roman" w:hAnsi="Arial" w:cs="Arial"/>
          <w:sz w:val="20"/>
          <w:szCs w:val="20"/>
          <w:lang w:val="en"/>
        </w:rPr>
        <w:t>were addressed in a separate paper (</w:t>
      </w:r>
      <w:r w:rsidR="00925345" w:rsidRPr="00843D4F">
        <w:rPr>
          <w:rFonts w:ascii="Arial" w:eastAsia="Times New Roman" w:hAnsi="Arial" w:cs="Arial"/>
          <w:sz w:val="20"/>
          <w:szCs w:val="20"/>
          <w:lang w:val="en"/>
        </w:rPr>
        <w:t>Author</w:t>
      </w:r>
      <w:r w:rsidRPr="00843D4F">
        <w:rPr>
          <w:rFonts w:ascii="Arial" w:eastAsia="Times New Roman" w:hAnsi="Arial" w:cs="Arial"/>
          <w:sz w:val="20"/>
          <w:szCs w:val="20"/>
          <w:lang w:val="en"/>
        </w:rPr>
        <w:t>, 2025). The current paper focuses exclusively on the third research question: How is inclusive education taught and practiced in India? Notably, the inclusion criteria and search procedures were consistent across all three questions.</w:t>
      </w:r>
    </w:p>
    <w:p w14:paraId="45E52261"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The search strategy involved combinations of the following terms: (inclusion OR </w:t>
      </w:r>
      <w:proofErr w:type="spellStart"/>
      <w:r w:rsidRPr="00843D4F">
        <w:rPr>
          <w:rFonts w:ascii="Arial" w:eastAsia="Times New Roman" w:hAnsi="Arial" w:cs="Arial"/>
          <w:sz w:val="20"/>
          <w:szCs w:val="20"/>
          <w:lang w:val="en"/>
        </w:rPr>
        <w:t>inclu</w:t>
      </w:r>
      <w:proofErr w:type="spellEnd"/>
      <w:r w:rsidRPr="00843D4F">
        <w:rPr>
          <w:rFonts w:ascii="Arial" w:eastAsia="Times New Roman" w:hAnsi="Arial" w:cs="Arial"/>
          <w:sz w:val="20"/>
          <w:szCs w:val="20"/>
          <w:lang w:val="en"/>
        </w:rPr>
        <w:t xml:space="preserve">* OR inclusive practices OR inclusive strategies); (disability education OR </w:t>
      </w:r>
      <w:proofErr w:type="spellStart"/>
      <w:r w:rsidRPr="00843D4F">
        <w:rPr>
          <w:rFonts w:ascii="Arial" w:eastAsia="Times New Roman" w:hAnsi="Arial" w:cs="Arial"/>
          <w:sz w:val="20"/>
          <w:szCs w:val="20"/>
          <w:lang w:val="en"/>
        </w:rPr>
        <w:t>disabilit</w:t>
      </w:r>
      <w:proofErr w:type="spellEnd"/>
      <w:r w:rsidRPr="00843D4F">
        <w:rPr>
          <w:rFonts w:ascii="Arial" w:eastAsia="Times New Roman" w:hAnsi="Arial" w:cs="Arial"/>
          <w:sz w:val="20"/>
          <w:szCs w:val="20"/>
          <w:lang w:val="en"/>
        </w:rPr>
        <w:t>*); (teacher OR educator); (India). Studies were included in the review based on the following criteria:</w:t>
      </w:r>
    </w:p>
    <w:p w14:paraId="0264C181" w14:textId="77777777" w:rsidR="004D4C86" w:rsidRPr="00843D4F" w:rsidRDefault="004D4C86" w:rsidP="00843D4F">
      <w:pPr>
        <w:numPr>
          <w:ilvl w:val="0"/>
          <w:numId w:val="3"/>
        </w:num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Participants of the study consisted of teachers in inclusive settings, pre-service teachers, special educators, school administrators, and subject teachers.</w:t>
      </w:r>
    </w:p>
    <w:p w14:paraId="6E60124E" w14:textId="77777777" w:rsidR="004D4C86" w:rsidRPr="00843D4F" w:rsidRDefault="004D4C86" w:rsidP="00843D4F">
      <w:pPr>
        <w:numPr>
          <w:ilvl w:val="0"/>
          <w:numId w:val="3"/>
        </w:num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The study focuses on inclusive practice. Different models of inclusion, such as mainstreaming and integration, were included. This approach was chosen to encompass the diverse educational settings that serve SWD that are used in the Indian context (Farrell, 2016).</w:t>
      </w:r>
    </w:p>
    <w:p w14:paraId="76AB2D20" w14:textId="77777777" w:rsidR="004D4C86" w:rsidRPr="00843D4F" w:rsidRDefault="004D4C86" w:rsidP="00843D4F">
      <w:pPr>
        <w:numPr>
          <w:ilvl w:val="0"/>
          <w:numId w:val="3"/>
        </w:num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Studies were published between 2012 to 2023 to capture the most recent literature.</w:t>
      </w:r>
    </w:p>
    <w:p w14:paraId="1FEF2009" w14:textId="77777777" w:rsidR="004D4C86" w:rsidRPr="00843D4F" w:rsidRDefault="004D4C86" w:rsidP="00843D4F">
      <w:pPr>
        <w:numPr>
          <w:ilvl w:val="0"/>
          <w:numId w:val="3"/>
        </w:num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Studies used a qualitative research design or mixed methods design that included qualitative descriptive data.</w:t>
      </w:r>
    </w:p>
    <w:p w14:paraId="33ACB30A" w14:textId="77777777" w:rsidR="004D4C86" w:rsidRPr="00843D4F" w:rsidRDefault="004D4C86" w:rsidP="00843D4F">
      <w:pPr>
        <w:numPr>
          <w:ilvl w:val="0"/>
          <w:numId w:val="3"/>
        </w:num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Studies were published in peer-reviewed journals.</w:t>
      </w:r>
    </w:p>
    <w:p w14:paraId="035D6233" w14:textId="77777777" w:rsidR="004D4C86" w:rsidRPr="00843D4F" w:rsidRDefault="004D4C86" w:rsidP="00843D4F">
      <w:pPr>
        <w:numPr>
          <w:ilvl w:val="0"/>
          <w:numId w:val="3"/>
        </w:num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Studies addressed implementation of inclusive education and teacher preparation for inclusion. </w:t>
      </w:r>
    </w:p>
    <w:p w14:paraId="308CF0A8" w14:textId="77777777" w:rsidR="004D4C86" w:rsidRPr="00843D4F" w:rsidRDefault="004D4C86" w:rsidP="00843D4F">
      <w:pPr>
        <w:numPr>
          <w:ilvl w:val="0"/>
          <w:numId w:val="3"/>
        </w:num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Study was conducted in India. </w:t>
      </w:r>
    </w:p>
    <w:p w14:paraId="351534AA" w14:textId="77777777" w:rsidR="00920D27" w:rsidRDefault="00920D27" w:rsidP="00920D27">
      <w:pPr>
        <w:spacing w:after="0" w:line="240" w:lineRule="auto"/>
        <w:rPr>
          <w:rFonts w:ascii="Arial" w:eastAsia="Times New Roman" w:hAnsi="Arial" w:cs="Arial"/>
          <w:sz w:val="20"/>
          <w:szCs w:val="20"/>
          <w:lang w:val="en"/>
        </w:rPr>
      </w:pPr>
    </w:p>
    <w:p w14:paraId="29F9245D" w14:textId="28B14E4A" w:rsidR="004D4C86" w:rsidRDefault="004D4C86" w:rsidP="00920D27">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The initial search yielded 769 articles. After title and abstract screening, 389 articles were retained for full-text review, with 311 excluded. A total of 78 studies underwent full-text screening using the inclusion criteria. Of these, 56 were excluded, and 21 were included. One additional article was identified through an ancestral search, resulting in a final sample of 20 studies for synthesis. Figure 1 presents the PRISMA flow diagram (Page et al., 2021), which outlines the study selection process and details the reasons for exclusion at each stage.</w:t>
      </w:r>
    </w:p>
    <w:p w14:paraId="698C2281" w14:textId="77777777" w:rsidR="00920D27" w:rsidRPr="00843D4F" w:rsidRDefault="00920D27" w:rsidP="00843D4F">
      <w:pPr>
        <w:spacing w:after="0" w:line="240" w:lineRule="auto"/>
        <w:ind w:firstLine="360"/>
        <w:rPr>
          <w:rFonts w:ascii="Arial" w:eastAsia="Times New Roman" w:hAnsi="Arial" w:cs="Arial"/>
          <w:sz w:val="20"/>
          <w:szCs w:val="20"/>
          <w:lang w:val="en"/>
        </w:rPr>
      </w:pPr>
    </w:p>
    <w:p w14:paraId="7402F70D" w14:textId="77777777" w:rsidR="00920D27" w:rsidRDefault="00843D4F" w:rsidP="00843D4F">
      <w:pPr>
        <w:spacing w:after="0" w:line="240" w:lineRule="auto"/>
        <w:rPr>
          <w:rFonts w:ascii="Arial" w:eastAsia="Times New Roman" w:hAnsi="Arial" w:cs="Arial"/>
          <w:b/>
          <w:sz w:val="22"/>
          <w:szCs w:val="22"/>
          <w:lang w:val="en"/>
        </w:rPr>
      </w:pPr>
      <w:r w:rsidRPr="00843D4F">
        <w:rPr>
          <w:rFonts w:ascii="Arial" w:eastAsia="Times New Roman" w:hAnsi="Arial" w:cs="Arial"/>
          <w:b/>
          <w:sz w:val="22"/>
          <w:szCs w:val="22"/>
          <w:lang w:val="en"/>
        </w:rPr>
        <w:t xml:space="preserve">2.3. </w:t>
      </w:r>
      <w:r w:rsidR="004D4C86" w:rsidRPr="00843D4F">
        <w:rPr>
          <w:rFonts w:ascii="Arial" w:eastAsia="Times New Roman" w:hAnsi="Arial" w:cs="Arial"/>
          <w:b/>
          <w:sz w:val="22"/>
          <w:szCs w:val="22"/>
          <w:lang w:val="en"/>
        </w:rPr>
        <w:t>Data Analysis</w:t>
      </w:r>
    </w:p>
    <w:p w14:paraId="1E74E811" w14:textId="77777777" w:rsidR="00920D27"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b/>
          <w:i/>
          <w:sz w:val="20"/>
          <w:szCs w:val="20"/>
          <w:lang w:val="en"/>
        </w:rPr>
        <w:br/>
      </w:r>
      <w:r w:rsidRPr="00843D4F">
        <w:rPr>
          <w:rFonts w:ascii="Arial" w:eastAsia="Times New Roman" w:hAnsi="Arial" w:cs="Arial"/>
          <w:sz w:val="20"/>
          <w:szCs w:val="20"/>
          <w:lang w:val="en"/>
        </w:rPr>
        <w:tab/>
      </w:r>
    </w:p>
    <w:p w14:paraId="55F4DAA0" w14:textId="60545605" w:rsidR="004D4C86"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Data extraction and analysis followed a systematic multi-step approach. A protocol was used to extract key study information, including author(s), year, study purpose, participants, methodology, data collection and analysis methods, and major findings (Peters et al., 2015). The selected studies were appraised for quality using the Critical Appraisal Skills Program (CASP), which offers strong descriptive validity for qualitative evidence (Hannes et al., 2010).</w:t>
      </w:r>
    </w:p>
    <w:p w14:paraId="1FC84038" w14:textId="77777777" w:rsidR="00920D27" w:rsidRPr="00843D4F" w:rsidRDefault="00920D27" w:rsidP="00843D4F">
      <w:pPr>
        <w:spacing w:after="0" w:line="240" w:lineRule="auto"/>
        <w:rPr>
          <w:rFonts w:ascii="Arial" w:eastAsia="Times New Roman" w:hAnsi="Arial" w:cs="Arial"/>
          <w:sz w:val="20"/>
          <w:szCs w:val="20"/>
          <w:lang w:val="en"/>
        </w:rPr>
      </w:pPr>
    </w:p>
    <w:p w14:paraId="2D7419F9"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Each study was reviewed and coded using separate tabs in a Google Sheet, one sheet focused on descriptions of inclusive education practices or implementation, and the other on teacher preparation. Relevant excerpts from the results sections, including both direct participant quotes and author inferences, were inductively coded. The first stage of analysis involved data segmentation, which entailed </w:t>
      </w:r>
      <w:r w:rsidRPr="00843D4F">
        <w:rPr>
          <w:rFonts w:ascii="Arial" w:eastAsia="Times New Roman" w:hAnsi="Arial" w:cs="Arial"/>
          <w:sz w:val="20"/>
          <w:szCs w:val="20"/>
          <w:lang w:val="en"/>
        </w:rPr>
        <w:lastRenderedPageBreak/>
        <w:t>breaking down the findings into discrete parts, each of which was categorized as a meaning unit. These meaning units were then condensed and labeled with descriptive codes. Following the guidance of O'Connor and Joffe (2020), 25% of the data units were randomly selected for review by a second rater, an associate professor in special education who specializes in school inclusion and exclusion of SWD. The second rater reviewed the data at each step of the coding process. Disagreements were discussed and I reviewed and made adjustments to improve the accuracy of the coding process.</w:t>
      </w:r>
    </w:p>
    <w:p w14:paraId="57E7CE29" w14:textId="77777777" w:rsidR="00920D27" w:rsidRDefault="00920D27" w:rsidP="00920D27">
      <w:pPr>
        <w:spacing w:after="0" w:line="240" w:lineRule="auto"/>
        <w:rPr>
          <w:rFonts w:ascii="Arial" w:eastAsia="Times New Roman" w:hAnsi="Arial" w:cs="Arial"/>
          <w:sz w:val="20"/>
          <w:szCs w:val="20"/>
          <w:lang w:val="en"/>
        </w:rPr>
      </w:pPr>
    </w:p>
    <w:p w14:paraId="5A1523DF" w14:textId="6726D5E0" w:rsidR="004D4C86" w:rsidRPr="00843D4F" w:rsidRDefault="004D4C86" w:rsidP="00920D27">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The average agreement rate of meaning units was 86%, 97.5% for condensed meaning units, 97.5% for codes, and 96.45% for categories. At the category level, codes were reviewed against the condensed meaning units to resolve disagreements. See Table 1 for an example of the coding process. </w:t>
      </w:r>
    </w:p>
    <w:p w14:paraId="780E079D" w14:textId="13445D74" w:rsidR="004D4C86" w:rsidRPr="005D7D7A" w:rsidRDefault="009E2C2B" w:rsidP="00843D4F">
      <w:pPr>
        <w:spacing w:after="0" w:line="240" w:lineRule="auto"/>
        <w:rPr>
          <w:rFonts w:ascii="Arial" w:eastAsia="Times New Roman" w:hAnsi="Arial" w:cs="Arial"/>
          <w:b/>
          <w:sz w:val="20"/>
          <w:szCs w:val="20"/>
          <w:lang w:val="en"/>
        </w:rPr>
      </w:pPr>
      <w:r w:rsidRPr="00843D4F">
        <w:rPr>
          <w:rFonts w:ascii="Arial" w:eastAsia="Times New Roman" w:hAnsi="Arial" w:cs="Arial"/>
          <w:b/>
          <w:sz w:val="20"/>
          <w:szCs w:val="20"/>
          <w:lang w:val="en"/>
        </w:rPr>
        <w:br w:type="page"/>
      </w:r>
      <w:r w:rsidR="004D4C86" w:rsidRPr="00843D4F">
        <w:rPr>
          <w:rFonts w:ascii="Arial" w:eastAsia="Times New Roman" w:hAnsi="Arial" w:cs="Arial"/>
          <w:b/>
          <w:sz w:val="20"/>
          <w:szCs w:val="20"/>
          <w:lang w:val="en"/>
        </w:rPr>
        <w:lastRenderedPageBreak/>
        <w:t>Table 1</w:t>
      </w:r>
      <w:r w:rsidR="004D4C86" w:rsidRPr="00843D4F">
        <w:rPr>
          <w:rFonts w:ascii="Arial" w:eastAsia="Times New Roman" w:hAnsi="Arial" w:cs="Arial"/>
          <w:sz w:val="20"/>
          <w:szCs w:val="20"/>
          <w:lang w:val="en"/>
        </w:rPr>
        <w:br/>
      </w:r>
      <w:r w:rsidR="004D4C86" w:rsidRPr="00843D4F">
        <w:rPr>
          <w:rFonts w:ascii="Arial" w:eastAsia="Times New Roman" w:hAnsi="Arial" w:cs="Arial"/>
          <w:i/>
          <w:sz w:val="20"/>
          <w:szCs w:val="20"/>
          <w:lang w:val="en"/>
        </w:rPr>
        <w:t>Demonstration of the coding process</w:t>
      </w:r>
    </w:p>
    <w:tbl>
      <w:tblPr>
        <w:tblW w:w="9360" w:type="dxa"/>
        <w:tblBorders>
          <w:insideH w:val="nil"/>
          <w:insideV w:val="nil"/>
        </w:tblBorders>
        <w:tblLayout w:type="fixed"/>
        <w:tblLook w:val="0600" w:firstRow="0" w:lastRow="0" w:firstColumn="0" w:lastColumn="0" w:noHBand="1" w:noVBand="1"/>
      </w:tblPr>
      <w:tblGrid>
        <w:gridCol w:w="3444"/>
        <w:gridCol w:w="1806"/>
        <w:gridCol w:w="1309"/>
        <w:gridCol w:w="1492"/>
        <w:gridCol w:w="1309"/>
      </w:tblGrid>
      <w:tr w:rsidR="004D4C86" w:rsidRPr="00843D4F" w14:paraId="54715006" w14:textId="77777777" w:rsidTr="004D4C86">
        <w:trPr>
          <w:trHeight w:val="1155"/>
        </w:trPr>
        <w:tc>
          <w:tcPr>
            <w:tcW w:w="3442"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hideMark/>
          </w:tcPr>
          <w:p w14:paraId="4D46F790"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b/>
                <w:sz w:val="20"/>
                <w:szCs w:val="20"/>
                <w:lang w:val="en"/>
              </w:rPr>
              <w:t>Meaning Units</w:t>
            </w:r>
          </w:p>
        </w:tc>
        <w:tc>
          <w:tcPr>
            <w:tcW w:w="1806"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hideMark/>
          </w:tcPr>
          <w:p w14:paraId="36942DF3"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b/>
                <w:sz w:val="20"/>
                <w:szCs w:val="20"/>
                <w:lang w:val="en"/>
              </w:rPr>
              <w:t>Condensed meaning units</w:t>
            </w:r>
          </w:p>
        </w:tc>
        <w:tc>
          <w:tcPr>
            <w:tcW w:w="1309" w:type="dxa"/>
            <w:tcBorders>
              <w:top w:val="single" w:sz="8" w:space="0" w:color="000000"/>
              <w:left w:val="nil"/>
              <w:bottom w:val="single" w:sz="8" w:space="0" w:color="000000"/>
              <w:right w:val="nil"/>
            </w:tcBorders>
            <w:tcMar>
              <w:top w:w="40" w:type="dxa"/>
              <w:left w:w="40" w:type="dxa"/>
              <w:bottom w:w="40" w:type="dxa"/>
              <w:right w:w="40" w:type="dxa"/>
            </w:tcMar>
            <w:hideMark/>
          </w:tcPr>
          <w:p w14:paraId="6DB3868F"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b/>
                <w:sz w:val="20"/>
                <w:szCs w:val="20"/>
                <w:lang w:val="en"/>
              </w:rPr>
              <w:t>Codes</w:t>
            </w:r>
          </w:p>
        </w:tc>
        <w:tc>
          <w:tcPr>
            <w:tcW w:w="1492" w:type="dxa"/>
            <w:tcBorders>
              <w:top w:val="single" w:sz="8" w:space="0" w:color="000000"/>
              <w:left w:val="nil"/>
              <w:bottom w:val="single" w:sz="8" w:space="0" w:color="000000"/>
              <w:right w:val="nil"/>
            </w:tcBorders>
            <w:tcMar>
              <w:top w:w="40" w:type="dxa"/>
              <w:left w:w="40" w:type="dxa"/>
              <w:bottom w:w="40" w:type="dxa"/>
              <w:right w:w="40" w:type="dxa"/>
            </w:tcMar>
            <w:hideMark/>
          </w:tcPr>
          <w:p w14:paraId="1B3E2080"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b/>
                <w:sz w:val="20"/>
                <w:szCs w:val="20"/>
                <w:lang w:val="en"/>
              </w:rPr>
              <w:t>Categories-who, what, when or where?</w:t>
            </w:r>
          </w:p>
        </w:tc>
        <w:tc>
          <w:tcPr>
            <w:tcW w:w="1309" w:type="dxa"/>
            <w:tcBorders>
              <w:top w:val="single" w:sz="8" w:space="0" w:color="000000"/>
              <w:left w:val="nil"/>
              <w:bottom w:val="single" w:sz="8" w:space="0" w:color="000000"/>
              <w:right w:val="nil"/>
            </w:tcBorders>
            <w:tcMar>
              <w:top w:w="40" w:type="dxa"/>
              <w:left w:w="40" w:type="dxa"/>
              <w:bottom w:w="40" w:type="dxa"/>
              <w:right w:w="40" w:type="dxa"/>
            </w:tcMar>
            <w:hideMark/>
          </w:tcPr>
          <w:p w14:paraId="39718E6A"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b/>
                <w:sz w:val="20"/>
                <w:szCs w:val="20"/>
                <w:lang w:val="en"/>
              </w:rPr>
              <w:t>Finalized Categories</w:t>
            </w:r>
          </w:p>
        </w:tc>
      </w:tr>
      <w:tr w:rsidR="004D4C86" w:rsidRPr="00843D4F" w14:paraId="163F7518" w14:textId="77777777" w:rsidTr="004D4C86">
        <w:trPr>
          <w:trHeight w:val="1425"/>
        </w:trPr>
        <w:tc>
          <w:tcPr>
            <w:tcW w:w="3442" w:type="dxa"/>
            <w:tcBorders>
              <w:top w:val="single" w:sz="8" w:space="0" w:color="000000"/>
              <w:left w:val="nil"/>
              <w:bottom w:val="nil"/>
              <w:right w:val="nil"/>
            </w:tcBorders>
            <w:shd w:val="clear" w:color="auto" w:fill="FFFFFF"/>
            <w:tcMar>
              <w:top w:w="40" w:type="dxa"/>
              <w:left w:w="40" w:type="dxa"/>
              <w:bottom w:w="40" w:type="dxa"/>
              <w:right w:w="40" w:type="dxa"/>
            </w:tcMar>
            <w:hideMark/>
          </w:tcPr>
          <w:p w14:paraId="1A17D604"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They described how disabled children attending mainstream schools are neglected in classrooms and are rarely provided opportunities to interact with their classmates</w:t>
            </w:r>
          </w:p>
        </w:tc>
        <w:tc>
          <w:tcPr>
            <w:tcW w:w="1806" w:type="dxa"/>
            <w:tcBorders>
              <w:top w:val="single" w:sz="8" w:space="0" w:color="000000"/>
              <w:left w:val="nil"/>
              <w:bottom w:val="nil"/>
              <w:right w:val="nil"/>
            </w:tcBorders>
            <w:shd w:val="clear" w:color="auto" w:fill="FFFFFF"/>
            <w:tcMar>
              <w:top w:w="40" w:type="dxa"/>
              <w:left w:w="40" w:type="dxa"/>
              <w:bottom w:w="40" w:type="dxa"/>
              <w:right w:w="40" w:type="dxa"/>
            </w:tcMar>
            <w:hideMark/>
          </w:tcPr>
          <w:p w14:paraId="1F7A1725"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Disabled children in mainstream schools are neglected and isolated from peers</w:t>
            </w:r>
          </w:p>
        </w:tc>
        <w:tc>
          <w:tcPr>
            <w:tcW w:w="1309" w:type="dxa"/>
            <w:tcBorders>
              <w:top w:val="single" w:sz="8" w:space="0" w:color="000000"/>
              <w:left w:val="nil"/>
              <w:bottom w:val="nil"/>
              <w:right w:val="nil"/>
            </w:tcBorders>
            <w:tcMar>
              <w:top w:w="40" w:type="dxa"/>
              <w:left w:w="40" w:type="dxa"/>
              <w:bottom w:w="40" w:type="dxa"/>
              <w:right w:w="40" w:type="dxa"/>
            </w:tcMar>
          </w:tcPr>
          <w:p w14:paraId="29D6A90E" w14:textId="77777777" w:rsidR="004D4C86" w:rsidRPr="00843D4F" w:rsidRDefault="004D4C86" w:rsidP="00843D4F">
            <w:pPr>
              <w:spacing w:after="0" w:line="240" w:lineRule="auto"/>
              <w:rPr>
                <w:rFonts w:ascii="Arial" w:eastAsia="Times New Roman" w:hAnsi="Arial" w:cs="Arial"/>
                <w:sz w:val="20"/>
                <w:szCs w:val="20"/>
                <w:lang w:val="en"/>
              </w:rPr>
            </w:pPr>
          </w:p>
          <w:p w14:paraId="2B2043EC"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SWD isolated from peers</w:t>
            </w:r>
          </w:p>
        </w:tc>
        <w:tc>
          <w:tcPr>
            <w:tcW w:w="1492" w:type="dxa"/>
            <w:tcBorders>
              <w:top w:val="single" w:sz="8" w:space="0" w:color="000000"/>
              <w:left w:val="nil"/>
              <w:bottom w:val="nil"/>
              <w:right w:val="nil"/>
            </w:tcBorders>
            <w:tcMar>
              <w:top w:w="40" w:type="dxa"/>
              <w:left w:w="40" w:type="dxa"/>
              <w:bottom w:w="40" w:type="dxa"/>
              <w:right w:w="40" w:type="dxa"/>
            </w:tcMar>
            <w:hideMark/>
          </w:tcPr>
          <w:p w14:paraId="0FDA734E"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What: peer access</w:t>
            </w:r>
          </w:p>
        </w:tc>
        <w:tc>
          <w:tcPr>
            <w:tcW w:w="1309" w:type="dxa"/>
            <w:tcBorders>
              <w:top w:val="single" w:sz="8" w:space="0" w:color="000000"/>
              <w:left w:val="nil"/>
              <w:bottom w:val="nil"/>
              <w:right w:val="nil"/>
            </w:tcBorders>
            <w:tcMar>
              <w:top w:w="40" w:type="dxa"/>
              <w:left w:w="40" w:type="dxa"/>
              <w:bottom w:w="40" w:type="dxa"/>
              <w:right w:w="40" w:type="dxa"/>
            </w:tcMar>
            <w:hideMark/>
          </w:tcPr>
          <w:p w14:paraId="4A861E26"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Access</w:t>
            </w:r>
          </w:p>
        </w:tc>
      </w:tr>
      <w:tr w:rsidR="004D4C86" w:rsidRPr="00843D4F" w14:paraId="655B8C3F" w14:textId="77777777" w:rsidTr="004D4C86">
        <w:trPr>
          <w:trHeight w:val="1155"/>
        </w:trPr>
        <w:tc>
          <w:tcPr>
            <w:tcW w:w="3442" w:type="dxa"/>
            <w:tcBorders>
              <w:top w:val="nil"/>
              <w:left w:val="nil"/>
              <w:bottom w:val="nil"/>
              <w:right w:val="nil"/>
            </w:tcBorders>
            <w:shd w:val="clear" w:color="auto" w:fill="FFFFFF"/>
            <w:tcMar>
              <w:top w:w="40" w:type="dxa"/>
              <w:left w:w="40" w:type="dxa"/>
              <w:bottom w:w="40" w:type="dxa"/>
              <w:right w:w="40" w:type="dxa"/>
            </w:tcMar>
            <w:hideMark/>
          </w:tcPr>
          <w:p w14:paraId="1B7BD2AB"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Teachers in the rural school had limited access to support, with a lack of specialist teachers for planning and delivering the curriculum.</w:t>
            </w:r>
          </w:p>
        </w:tc>
        <w:tc>
          <w:tcPr>
            <w:tcW w:w="1806" w:type="dxa"/>
            <w:tcBorders>
              <w:top w:val="nil"/>
              <w:left w:val="nil"/>
              <w:bottom w:val="nil"/>
              <w:right w:val="nil"/>
            </w:tcBorders>
            <w:tcMar>
              <w:top w:w="40" w:type="dxa"/>
              <w:left w:w="40" w:type="dxa"/>
              <w:bottom w:w="40" w:type="dxa"/>
              <w:right w:w="40" w:type="dxa"/>
            </w:tcMar>
            <w:hideMark/>
          </w:tcPr>
          <w:p w14:paraId="784D9F64"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Rural school had limited resources especially a specialist teacher</w:t>
            </w:r>
          </w:p>
        </w:tc>
        <w:tc>
          <w:tcPr>
            <w:tcW w:w="1309" w:type="dxa"/>
            <w:tcBorders>
              <w:top w:val="nil"/>
              <w:left w:val="nil"/>
              <w:bottom w:val="nil"/>
              <w:right w:val="nil"/>
            </w:tcBorders>
            <w:tcMar>
              <w:top w:w="40" w:type="dxa"/>
              <w:left w:w="40" w:type="dxa"/>
              <w:bottom w:w="40" w:type="dxa"/>
              <w:right w:w="40" w:type="dxa"/>
            </w:tcMar>
            <w:hideMark/>
          </w:tcPr>
          <w:p w14:paraId="54E8C526"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Resources</w:t>
            </w:r>
          </w:p>
        </w:tc>
        <w:tc>
          <w:tcPr>
            <w:tcW w:w="1492" w:type="dxa"/>
            <w:tcBorders>
              <w:top w:val="nil"/>
              <w:left w:val="nil"/>
              <w:bottom w:val="nil"/>
              <w:right w:val="nil"/>
            </w:tcBorders>
            <w:tcMar>
              <w:top w:w="40" w:type="dxa"/>
              <w:left w:w="40" w:type="dxa"/>
              <w:bottom w:w="40" w:type="dxa"/>
              <w:right w:w="40" w:type="dxa"/>
            </w:tcMar>
            <w:hideMark/>
          </w:tcPr>
          <w:p w14:paraId="00E02C88"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What: resources/ support</w:t>
            </w:r>
          </w:p>
        </w:tc>
        <w:tc>
          <w:tcPr>
            <w:tcW w:w="1309" w:type="dxa"/>
            <w:tcBorders>
              <w:top w:val="nil"/>
              <w:left w:val="nil"/>
              <w:bottom w:val="nil"/>
              <w:right w:val="nil"/>
            </w:tcBorders>
            <w:tcMar>
              <w:top w:w="40" w:type="dxa"/>
              <w:left w:w="40" w:type="dxa"/>
              <w:bottom w:w="40" w:type="dxa"/>
              <w:right w:w="40" w:type="dxa"/>
            </w:tcMar>
            <w:hideMark/>
          </w:tcPr>
          <w:p w14:paraId="33191C33"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Access</w:t>
            </w:r>
          </w:p>
        </w:tc>
      </w:tr>
      <w:tr w:rsidR="004D4C86" w:rsidRPr="00843D4F" w14:paraId="1673FFCA" w14:textId="77777777" w:rsidTr="004D4C86">
        <w:trPr>
          <w:trHeight w:val="1695"/>
        </w:trPr>
        <w:tc>
          <w:tcPr>
            <w:tcW w:w="3442" w:type="dxa"/>
            <w:tcBorders>
              <w:top w:val="nil"/>
              <w:left w:val="nil"/>
              <w:bottom w:val="nil"/>
              <w:right w:val="nil"/>
            </w:tcBorders>
            <w:shd w:val="clear" w:color="auto" w:fill="FFFFFF"/>
            <w:tcMar>
              <w:top w:w="40" w:type="dxa"/>
              <w:left w:w="40" w:type="dxa"/>
              <w:bottom w:w="40" w:type="dxa"/>
              <w:right w:w="40" w:type="dxa"/>
            </w:tcMar>
            <w:hideMark/>
          </w:tcPr>
          <w:p w14:paraId="04202951"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In extreme cases of </w:t>
            </w:r>
            <w:proofErr w:type="spellStart"/>
            <w:r w:rsidRPr="00843D4F">
              <w:rPr>
                <w:rFonts w:ascii="Arial" w:eastAsia="Times New Roman" w:hAnsi="Arial" w:cs="Arial"/>
                <w:sz w:val="20"/>
                <w:szCs w:val="20"/>
                <w:lang w:val="en"/>
              </w:rPr>
              <w:t>behavioural</w:t>
            </w:r>
            <w:proofErr w:type="spellEnd"/>
            <w:r w:rsidRPr="00843D4F">
              <w:rPr>
                <w:rFonts w:ascii="Arial" w:eastAsia="Times New Roman" w:hAnsi="Arial" w:cs="Arial"/>
                <w:sz w:val="20"/>
                <w:szCs w:val="20"/>
                <w:lang w:val="en"/>
              </w:rPr>
              <w:t xml:space="preserve"> issues that lead to regular disruption of the class or harm to other students, parents were advised to consult counsellors outside the school.</w:t>
            </w:r>
          </w:p>
        </w:tc>
        <w:tc>
          <w:tcPr>
            <w:tcW w:w="1806" w:type="dxa"/>
            <w:tcBorders>
              <w:top w:val="nil"/>
              <w:left w:val="nil"/>
              <w:bottom w:val="nil"/>
              <w:right w:val="nil"/>
            </w:tcBorders>
            <w:tcMar>
              <w:top w:w="40" w:type="dxa"/>
              <w:left w:w="40" w:type="dxa"/>
              <w:bottom w:w="40" w:type="dxa"/>
              <w:right w:w="40" w:type="dxa"/>
            </w:tcMar>
            <w:hideMark/>
          </w:tcPr>
          <w:p w14:paraId="60DDAABE"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Parents were advised to consult counsellors outside school for disruptive </w:t>
            </w:r>
            <w:proofErr w:type="spellStart"/>
            <w:r w:rsidRPr="00843D4F">
              <w:rPr>
                <w:rFonts w:ascii="Arial" w:eastAsia="Times New Roman" w:hAnsi="Arial" w:cs="Arial"/>
                <w:sz w:val="20"/>
                <w:szCs w:val="20"/>
                <w:lang w:val="en"/>
              </w:rPr>
              <w:t>behaviours</w:t>
            </w:r>
            <w:proofErr w:type="spellEnd"/>
          </w:p>
        </w:tc>
        <w:tc>
          <w:tcPr>
            <w:tcW w:w="1309" w:type="dxa"/>
            <w:tcBorders>
              <w:top w:val="nil"/>
              <w:left w:val="nil"/>
              <w:bottom w:val="nil"/>
              <w:right w:val="nil"/>
            </w:tcBorders>
            <w:tcMar>
              <w:top w:w="40" w:type="dxa"/>
              <w:left w:w="40" w:type="dxa"/>
              <w:bottom w:w="40" w:type="dxa"/>
              <w:right w:w="40" w:type="dxa"/>
            </w:tcMar>
            <w:hideMark/>
          </w:tcPr>
          <w:p w14:paraId="32EC1C35"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services outside school</w:t>
            </w:r>
          </w:p>
        </w:tc>
        <w:tc>
          <w:tcPr>
            <w:tcW w:w="1492" w:type="dxa"/>
            <w:tcBorders>
              <w:top w:val="nil"/>
              <w:left w:val="nil"/>
              <w:bottom w:val="nil"/>
              <w:right w:val="nil"/>
            </w:tcBorders>
            <w:tcMar>
              <w:top w:w="40" w:type="dxa"/>
              <w:left w:w="40" w:type="dxa"/>
              <w:bottom w:w="40" w:type="dxa"/>
              <w:right w:w="40" w:type="dxa"/>
            </w:tcMar>
            <w:hideMark/>
          </w:tcPr>
          <w:p w14:paraId="2702E749"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What: services</w:t>
            </w:r>
          </w:p>
        </w:tc>
        <w:tc>
          <w:tcPr>
            <w:tcW w:w="1309" w:type="dxa"/>
            <w:tcBorders>
              <w:top w:val="nil"/>
              <w:left w:val="nil"/>
              <w:bottom w:val="nil"/>
              <w:right w:val="nil"/>
            </w:tcBorders>
            <w:tcMar>
              <w:top w:w="40" w:type="dxa"/>
              <w:left w:w="40" w:type="dxa"/>
              <w:bottom w:w="40" w:type="dxa"/>
              <w:right w:w="40" w:type="dxa"/>
            </w:tcMar>
            <w:hideMark/>
          </w:tcPr>
          <w:p w14:paraId="356FA0AE"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Access</w:t>
            </w:r>
          </w:p>
        </w:tc>
      </w:tr>
      <w:tr w:rsidR="004D4C86" w:rsidRPr="00843D4F" w14:paraId="322B0341" w14:textId="77777777" w:rsidTr="004D4C86">
        <w:trPr>
          <w:trHeight w:val="2235"/>
        </w:trPr>
        <w:tc>
          <w:tcPr>
            <w:tcW w:w="3442" w:type="dxa"/>
            <w:tcBorders>
              <w:top w:val="nil"/>
              <w:left w:val="nil"/>
              <w:bottom w:val="nil"/>
              <w:right w:val="nil"/>
            </w:tcBorders>
            <w:shd w:val="clear" w:color="auto" w:fill="FFFFFF"/>
            <w:tcMar>
              <w:top w:w="40" w:type="dxa"/>
              <w:left w:w="40" w:type="dxa"/>
              <w:bottom w:w="40" w:type="dxa"/>
              <w:right w:w="40" w:type="dxa"/>
            </w:tcMar>
            <w:hideMark/>
          </w:tcPr>
          <w:p w14:paraId="7B28B448" w14:textId="63C2FA60"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w:t>
            </w:r>
            <w:proofErr w:type="gramStart"/>
            <w:r w:rsidRPr="00843D4F">
              <w:rPr>
                <w:rFonts w:ascii="Arial" w:eastAsia="Times New Roman" w:hAnsi="Arial" w:cs="Arial"/>
                <w:sz w:val="20"/>
                <w:szCs w:val="20"/>
                <w:lang w:val="en"/>
              </w:rPr>
              <w:t>So</w:t>
            </w:r>
            <w:proofErr w:type="gramEnd"/>
            <w:r w:rsidRPr="00843D4F">
              <w:rPr>
                <w:rFonts w:ascii="Arial" w:eastAsia="Times New Roman" w:hAnsi="Arial" w:cs="Arial"/>
                <w:sz w:val="20"/>
                <w:szCs w:val="20"/>
                <w:lang w:val="en"/>
              </w:rPr>
              <w:t xml:space="preserve"> my daughter she </w:t>
            </w:r>
            <w:commentRangeStart w:id="7"/>
            <w:r w:rsidRPr="00795F32">
              <w:rPr>
                <w:rFonts w:ascii="Arial" w:eastAsia="Times New Roman" w:hAnsi="Arial" w:cs="Arial"/>
                <w:color w:val="EE0000"/>
                <w:sz w:val="20"/>
                <w:szCs w:val="20"/>
                <w:lang w:val="en"/>
              </w:rPr>
              <w:t>wouldn't</w:t>
            </w:r>
            <w:commentRangeEnd w:id="7"/>
            <w:r w:rsidR="00795F32">
              <w:rPr>
                <w:rStyle w:val="CommentReference"/>
                <w:rFonts w:asciiTheme="minorHAnsi" w:eastAsiaTheme="minorEastAsia" w:hAnsiTheme="minorHAnsi" w:cstheme="minorBidi"/>
                <w:lang w:val="en-AU" w:eastAsia="zh-CN"/>
              </w:rPr>
              <w:commentReference w:id="7"/>
            </w:r>
            <w:r w:rsidRPr="00843D4F">
              <w:rPr>
                <w:rFonts w:ascii="Arial" w:eastAsia="Times New Roman" w:hAnsi="Arial" w:cs="Arial"/>
                <w:sz w:val="20"/>
                <w:szCs w:val="20"/>
                <w:lang w:val="en"/>
              </w:rPr>
              <w:t xml:space="preserve"> get admission into the special school because they felt she </w:t>
            </w:r>
            <w:commentRangeStart w:id="8"/>
            <w:r w:rsidRPr="00795F32">
              <w:rPr>
                <w:rFonts w:ascii="Arial" w:eastAsia="Times New Roman" w:hAnsi="Arial" w:cs="Arial"/>
                <w:color w:val="EE0000"/>
                <w:sz w:val="20"/>
                <w:szCs w:val="20"/>
                <w:lang w:val="en"/>
              </w:rPr>
              <w:t>didn't</w:t>
            </w:r>
            <w:commentRangeEnd w:id="8"/>
            <w:r w:rsidR="00795F32">
              <w:rPr>
                <w:rStyle w:val="CommentReference"/>
                <w:rFonts w:asciiTheme="minorHAnsi" w:eastAsiaTheme="minorEastAsia" w:hAnsiTheme="minorHAnsi" w:cstheme="minorBidi"/>
                <w:lang w:val="en-AU" w:eastAsia="zh-CN"/>
              </w:rPr>
              <w:commentReference w:id="8"/>
            </w:r>
            <w:r w:rsidRPr="00843D4F">
              <w:rPr>
                <w:rFonts w:ascii="Arial" w:eastAsia="Times New Roman" w:hAnsi="Arial" w:cs="Arial"/>
                <w:sz w:val="20"/>
                <w:szCs w:val="20"/>
                <w:lang w:val="en"/>
              </w:rPr>
              <w:t xml:space="preserve"> need a special school because she comes somewhere in-between. So</w:t>
            </w:r>
            <w:commentRangeStart w:id="9"/>
            <w:r w:rsidR="00795F32" w:rsidRPr="00795F32">
              <w:rPr>
                <w:rFonts w:ascii="Arial" w:eastAsia="Times New Roman" w:hAnsi="Arial" w:cs="Arial"/>
                <w:color w:val="EE0000"/>
                <w:sz w:val="20"/>
                <w:szCs w:val="20"/>
                <w:lang w:val="en"/>
              </w:rPr>
              <w:t>,</w:t>
            </w:r>
            <w:commentRangeEnd w:id="9"/>
            <w:r w:rsidR="00795F32">
              <w:rPr>
                <w:rStyle w:val="CommentReference"/>
                <w:rFonts w:asciiTheme="minorHAnsi" w:eastAsiaTheme="minorEastAsia" w:hAnsiTheme="minorHAnsi" w:cstheme="minorBidi"/>
                <w:lang w:val="en-AU" w:eastAsia="zh-CN"/>
              </w:rPr>
              <w:commentReference w:id="9"/>
            </w:r>
            <w:r w:rsidRPr="00843D4F">
              <w:rPr>
                <w:rFonts w:ascii="Arial" w:eastAsia="Times New Roman" w:hAnsi="Arial" w:cs="Arial"/>
                <w:sz w:val="20"/>
                <w:szCs w:val="20"/>
                <w:lang w:val="en"/>
              </w:rPr>
              <w:t xml:space="preserve"> she is a slow learner, having a specific learning disability so she wouldn't come into, they felt, the school."</w:t>
            </w:r>
          </w:p>
        </w:tc>
        <w:tc>
          <w:tcPr>
            <w:tcW w:w="1806" w:type="dxa"/>
            <w:tcBorders>
              <w:top w:val="nil"/>
              <w:left w:val="nil"/>
              <w:bottom w:val="nil"/>
              <w:right w:val="nil"/>
            </w:tcBorders>
            <w:shd w:val="clear" w:color="auto" w:fill="FFFFFF"/>
            <w:tcMar>
              <w:top w:w="40" w:type="dxa"/>
              <w:left w:w="40" w:type="dxa"/>
              <w:bottom w:w="40" w:type="dxa"/>
              <w:right w:w="40" w:type="dxa"/>
            </w:tcMar>
            <w:hideMark/>
          </w:tcPr>
          <w:p w14:paraId="63992E6E"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Child not admitted to the special school because she had moderate disability, being a slow learner with a specific learning disability.</w:t>
            </w:r>
          </w:p>
        </w:tc>
        <w:tc>
          <w:tcPr>
            <w:tcW w:w="1309" w:type="dxa"/>
            <w:tcBorders>
              <w:top w:val="nil"/>
              <w:left w:val="nil"/>
              <w:bottom w:val="nil"/>
              <w:right w:val="nil"/>
            </w:tcBorders>
            <w:tcMar>
              <w:top w:w="40" w:type="dxa"/>
              <w:left w:w="40" w:type="dxa"/>
              <w:bottom w:w="40" w:type="dxa"/>
              <w:right w:w="40" w:type="dxa"/>
            </w:tcMar>
            <w:hideMark/>
          </w:tcPr>
          <w:p w14:paraId="069730F8"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admission</w:t>
            </w:r>
          </w:p>
        </w:tc>
        <w:tc>
          <w:tcPr>
            <w:tcW w:w="1492" w:type="dxa"/>
            <w:tcBorders>
              <w:top w:val="nil"/>
              <w:left w:val="nil"/>
              <w:bottom w:val="nil"/>
              <w:right w:val="nil"/>
            </w:tcBorders>
            <w:tcMar>
              <w:top w:w="40" w:type="dxa"/>
              <w:left w:w="40" w:type="dxa"/>
              <w:bottom w:w="40" w:type="dxa"/>
              <w:right w:w="40" w:type="dxa"/>
            </w:tcMar>
            <w:hideMark/>
          </w:tcPr>
          <w:p w14:paraId="713E48FF"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Who: in-between case</w:t>
            </w:r>
          </w:p>
        </w:tc>
        <w:tc>
          <w:tcPr>
            <w:tcW w:w="1309" w:type="dxa"/>
            <w:tcBorders>
              <w:top w:val="nil"/>
              <w:left w:val="nil"/>
              <w:bottom w:val="nil"/>
              <w:right w:val="nil"/>
            </w:tcBorders>
            <w:tcMar>
              <w:top w:w="40" w:type="dxa"/>
              <w:left w:w="40" w:type="dxa"/>
              <w:bottom w:w="40" w:type="dxa"/>
              <w:right w:w="40" w:type="dxa"/>
            </w:tcMar>
            <w:hideMark/>
          </w:tcPr>
          <w:p w14:paraId="7D835399"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access</w:t>
            </w:r>
          </w:p>
        </w:tc>
      </w:tr>
      <w:tr w:rsidR="004D4C86" w:rsidRPr="00843D4F" w14:paraId="52CCBE61" w14:textId="77777777" w:rsidTr="004D4C86">
        <w:trPr>
          <w:trHeight w:val="615"/>
        </w:trPr>
        <w:tc>
          <w:tcPr>
            <w:tcW w:w="3442" w:type="dxa"/>
            <w:tcBorders>
              <w:top w:val="nil"/>
              <w:left w:val="nil"/>
              <w:bottom w:val="nil"/>
              <w:right w:val="nil"/>
            </w:tcBorders>
            <w:shd w:val="clear" w:color="auto" w:fill="FFFFFF"/>
            <w:tcMar>
              <w:top w:w="40" w:type="dxa"/>
              <w:left w:w="40" w:type="dxa"/>
              <w:bottom w:w="40" w:type="dxa"/>
              <w:right w:w="40" w:type="dxa"/>
            </w:tcMar>
            <w:hideMark/>
          </w:tcPr>
          <w:p w14:paraId="37289308"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Their schools were having all facilities for SC, ST, OBC category of children</w:t>
            </w:r>
          </w:p>
        </w:tc>
        <w:tc>
          <w:tcPr>
            <w:tcW w:w="1806" w:type="dxa"/>
            <w:tcBorders>
              <w:top w:val="nil"/>
              <w:left w:val="nil"/>
              <w:bottom w:val="nil"/>
              <w:right w:val="nil"/>
            </w:tcBorders>
            <w:tcMar>
              <w:top w:w="40" w:type="dxa"/>
              <w:left w:w="40" w:type="dxa"/>
              <w:bottom w:w="40" w:type="dxa"/>
              <w:right w:w="40" w:type="dxa"/>
            </w:tcMar>
            <w:hideMark/>
          </w:tcPr>
          <w:p w14:paraId="2A9D5926"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Facilities for SC, ST, OBC category</w:t>
            </w:r>
          </w:p>
        </w:tc>
        <w:tc>
          <w:tcPr>
            <w:tcW w:w="1309" w:type="dxa"/>
            <w:tcBorders>
              <w:top w:val="nil"/>
              <w:left w:val="nil"/>
              <w:bottom w:val="nil"/>
              <w:right w:val="nil"/>
            </w:tcBorders>
            <w:tcMar>
              <w:top w:w="40" w:type="dxa"/>
              <w:left w:w="40" w:type="dxa"/>
              <w:bottom w:w="40" w:type="dxa"/>
              <w:right w:w="40" w:type="dxa"/>
            </w:tcMar>
            <w:hideMark/>
          </w:tcPr>
          <w:p w14:paraId="7171C5F7"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SC, ST, OBC</w:t>
            </w:r>
          </w:p>
        </w:tc>
        <w:tc>
          <w:tcPr>
            <w:tcW w:w="1492" w:type="dxa"/>
            <w:tcBorders>
              <w:top w:val="nil"/>
              <w:left w:val="nil"/>
              <w:bottom w:val="nil"/>
              <w:right w:val="nil"/>
            </w:tcBorders>
            <w:tcMar>
              <w:top w:w="40" w:type="dxa"/>
              <w:left w:w="40" w:type="dxa"/>
              <w:bottom w:w="40" w:type="dxa"/>
              <w:right w:w="40" w:type="dxa"/>
            </w:tcMar>
            <w:hideMark/>
          </w:tcPr>
          <w:p w14:paraId="34C499A7"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Who: SC, ST, OBC</w:t>
            </w:r>
          </w:p>
        </w:tc>
        <w:tc>
          <w:tcPr>
            <w:tcW w:w="1309" w:type="dxa"/>
            <w:tcBorders>
              <w:top w:val="nil"/>
              <w:left w:val="nil"/>
              <w:bottom w:val="nil"/>
              <w:right w:val="nil"/>
            </w:tcBorders>
            <w:tcMar>
              <w:top w:w="40" w:type="dxa"/>
              <w:left w:w="40" w:type="dxa"/>
              <w:bottom w:w="40" w:type="dxa"/>
              <w:right w:w="40" w:type="dxa"/>
            </w:tcMar>
            <w:hideMark/>
          </w:tcPr>
          <w:p w14:paraId="75477E7F"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access</w:t>
            </w:r>
          </w:p>
        </w:tc>
      </w:tr>
      <w:tr w:rsidR="004D4C86" w:rsidRPr="00843D4F" w14:paraId="477BED8C" w14:textId="77777777" w:rsidTr="004D4C86">
        <w:trPr>
          <w:trHeight w:val="1155"/>
        </w:trPr>
        <w:tc>
          <w:tcPr>
            <w:tcW w:w="3442" w:type="dxa"/>
            <w:tcBorders>
              <w:top w:val="nil"/>
              <w:left w:val="nil"/>
              <w:bottom w:val="nil"/>
              <w:right w:val="nil"/>
            </w:tcBorders>
            <w:shd w:val="clear" w:color="auto" w:fill="FFFFFF"/>
            <w:tcMar>
              <w:top w:w="40" w:type="dxa"/>
              <w:left w:w="40" w:type="dxa"/>
              <w:bottom w:w="40" w:type="dxa"/>
              <w:right w:w="40" w:type="dxa"/>
            </w:tcMar>
            <w:hideMark/>
          </w:tcPr>
          <w:p w14:paraId="13B06CFA"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38.8% indicated that their schools follow universal access and retention for elementary education.</w:t>
            </w:r>
          </w:p>
        </w:tc>
        <w:tc>
          <w:tcPr>
            <w:tcW w:w="1806" w:type="dxa"/>
            <w:tcBorders>
              <w:top w:val="nil"/>
              <w:left w:val="nil"/>
              <w:bottom w:val="nil"/>
              <w:right w:val="nil"/>
            </w:tcBorders>
            <w:shd w:val="clear" w:color="auto" w:fill="FFFFFF"/>
            <w:tcMar>
              <w:top w:w="40" w:type="dxa"/>
              <w:left w:w="40" w:type="dxa"/>
              <w:bottom w:w="40" w:type="dxa"/>
              <w:right w:w="40" w:type="dxa"/>
            </w:tcMar>
            <w:hideMark/>
          </w:tcPr>
          <w:p w14:paraId="72516F36"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38.8% of schools follow universal access and retention.</w:t>
            </w:r>
          </w:p>
        </w:tc>
        <w:tc>
          <w:tcPr>
            <w:tcW w:w="1309" w:type="dxa"/>
            <w:tcBorders>
              <w:top w:val="nil"/>
              <w:left w:val="nil"/>
              <w:bottom w:val="nil"/>
              <w:right w:val="nil"/>
            </w:tcBorders>
            <w:shd w:val="clear" w:color="auto" w:fill="FFFFFF"/>
            <w:tcMar>
              <w:top w:w="40" w:type="dxa"/>
              <w:left w:w="40" w:type="dxa"/>
              <w:bottom w:w="40" w:type="dxa"/>
              <w:right w:w="40" w:type="dxa"/>
            </w:tcMar>
            <w:hideMark/>
          </w:tcPr>
          <w:p w14:paraId="392453E4"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access and retention</w:t>
            </w:r>
          </w:p>
        </w:tc>
        <w:tc>
          <w:tcPr>
            <w:tcW w:w="1492" w:type="dxa"/>
            <w:tcBorders>
              <w:top w:val="nil"/>
              <w:left w:val="nil"/>
              <w:bottom w:val="nil"/>
              <w:right w:val="nil"/>
            </w:tcBorders>
            <w:shd w:val="clear" w:color="auto" w:fill="FFFFFF"/>
            <w:tcMar>
              <w:top w:w="40" w:type="dxa"/>
              <w:left w:w="40" w:type="dxa"/>
              <w:bottom w:w="40" w:type="dxa"/>
              <w:right w:w="40" w:type="dxa"/>
            </w:tcMar>
            <w:hideMark/>
          </w:tcPr>
          <w:p w14:paraId="41B3339C"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What: access and retention</w:t>
            </w:r>
          </w:p>
        </w:tc>
        <w:tc>
          <w:tcPr>
            <w:tcW w:w="1309" w:type="dxa"/>
            <w:tcBorders>
              <w:top w:val="nil"/>
              <w:left w:val="nil"/>
              <w:bottom w:val="nil"/>
              <w:right w:val="nil"/>
            </w:tcBorders>
            <w:tcMar>
              <w:top w:w="40" w:type="dxa"/>
              <w:left w:w="40" w:type="dxa"/>
              <w:bottom w:w="40" w:type="dxa"/>
              <w:right w:w="40" w:type="dxa"/>
            </w:tcMar>
            <w:hideMark/>
          </w:tcPr>
          <w:p w14:paraId="12CFC316"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access</w:t>
            </w:r>
          </w:p>
        </w:tc>
      </w:tr>
      <w:tr w:rsidR="004D4C86" w:rsidRPr="00843D4F" w14:paraId="580E63A1" w14:textId="77777777" w:rsidTr="004D4C86">
        <w:trPr>
          <w:trHeight w:val="2040"/>
        </w:trPr>
        <w:tc>
          <w:tcPr>
            <w:tcW w:w="3442" w:type="dxa"/>
            <w:tcBorders>
              <w:top w:val="nil"/>
              <w:left w:val="nil"/>
              <w:bottom w:val="single" w:sz="8" w:space="0" w:color="000000"/>
              <w:right w:val="nil"/>
            </w:tcBorders>
            <w:shd w:val="clear" w:color="auto" w:fill="FFFFFF"/>
            <w:tcMar>
              <w:top w:w="40" w:type="dxa"/>
              <w:left w:w="40" w:type="dxa"/>
              <w:bottom w:w="40" w:type="dxa"/>
              <w:right w:w="40" w:type="dxa"/>
            </w:tcMar>
            <w:hideMark/>
          </w:tcPr>
          <w:p w14:paraId="7854E36E"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Some of the schools in this study after having 'accidentally' admitted children with disabilities claimed that it was their conscious decision to take in children with special needs if approached by parents.</w:t>
            </w:r>
          </w:p>
        </w:tc>
        <w:tc>
          <w:tcPr>
            <w:tcW w:w="1806" w:type="dxa"/>
            <w:tcBorders>
              <w:top w:val="nil"/>
              <w:left w:val="nil"/>
              <w:bottom w:val="single" w:sz="8" w:space="0" w:color="000000"/>
              <w:right w:val="nil"/>
            </w:tcBorders>
            <w:shd w:val="clear" w:color="auto" w:fill="FFFFFF"/>
            <w:tcMar>
              <w:top w:w="40" w:type="dxa"/>
              <w:left w:w="40" w:type="dxa"/>
              <w:bottom w:w="40" w:type="dxa"/>
              <w:right w:w="40" w:type="dxa"/>
            </w:tcMar>
            <w:hideMark/>
          </w:tcPr>
          <w:p w14:paraId="6BA5EF6A"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Accidental admissions framed as conscious decisions.</w:t>
            </w:r>
          </w:p>
        </w:tc>
        <w:tc>
          <w:tcPr>
            <w:tcW w:w="1309" w:type="dxa"/>
            <w:tcBorders>
              <w:top w:val="nil"/>
              <w:left w:val="nil"/>
              <w:bottom w:val="single" w:sz="8" w:space="0" w:color="000000"/>
              <w:right w:val="nil"/>
            </w:tcBorders>
            <w:shd w:val="clear" w:color="auto" w:fill="FFFFFF"/>
            <w:tcMar>
              <w:top w:w="40" w:type="dxa"/>
              <w:left w:w="40" w:type="dxa"/>
              <w:bottom w:w="40" w:type="dxa"/>
              <w:right w:w="40" w:type="dxa"/>
            </w:tcMar>
            <w:hideMark/>
          </w:tcPr>
          <w:p w14:paraId="57DEAA78"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accidental admission</w:t>
            </w:r>
          </w:p>
        </w:tc>
        <w:tc>
          <w:tcPr>
            <w:tcW w:w="1492" w:type="dxa"/>
            <w:tcBorders>
              <w:top w:val="nil"/>
              <w:left w:val="nil"/>
              <w:bottom w:val="single" w:sz="8" w:space="0" w:color="000000"/>
              <w:right w:val="nil"/>
            </w:tcBorders>
            <w:shd w:val="clear" w:color="auto" w:fill="FFFFFF"/>
            <w:tcMar>
              <w:top w:w="40" w:type="dxa"/>
              <w:left w:w="40" w:type="dxa"/>
              <w:bottom w:w="40" w:type="dxa"/>
              <w:right w:w="40" w:type="dxa"/>
            </w:tcMar>
            <w:hideMark/>
          </w:tcPr>
          <w:p w14:paraId="143EAC44"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What: admissions</w:t>
            </w:r>
          </w:p>
        </w:tc>
        <w:tc>
          <w:tcPr>
            <w:tcW w:w="1309" w:type="dxa"/>
            <w:tcBorders>
              <w:top w:val="nil"/>
              <w:left w:val="nil"/>
              <w:bottom w:val="single" w:sz="8" w:space="0" w:color="000000"/>
              <w:right w:val="nil"/>
            </w:tcBorders>
            <w:tcMar>
              <w:top w:w="40" w:type="dxa"/>
              <w:left w:w="40" w:type="dxa"/>
              <w:bottom w:w="40" w:type="dxa"/>
              <w:right w:w="40" w:type="dxa"/>
            </w:tcMar>
            <w:hideMark/>
          </w:tcPr>
          <w:p w14:paraId="43636B0B"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access</w:t>
            </w:r>
          </w:p>
        </w:tc>
      </w:tr>
    </w:tbl>
    <w:p w14:paraId="4018057E" w14:textId="013BEAFD" w:rsidR="00843D4F" w:rsidRPr="005D7D7A" w:rsidRDefault="004D4C86" w:rsidP="005D7D7A">
      <w:pPr>
        <w:spacing w:after="0" w:line="240" w:lineRule="auto"/>
        <w:rPr>
          <w:rFonts w:ascii="Arial" w:eastAsia="Times New Roman" w:hAnsi="Arial" w:cs="Arial"/>
          <w:sz w:val="18"/>
          <w:szCs w:val="18"/>
          <w:lang w:val="en"/>
        </w:rPr>
      </w:pPr>
      <w:r w:rsidRPr="00843D4F">
        <w:rPr>
          <w:rFonts w:ascii="Arial" w:eastAsia="Times New Roman" w:hAnsi="Arial" w:cs="Arial"/>
          <w:i/>
          <w:sz w:val="18"/>
          <w:szCs w:val="18"/>
          <w:lang w:val="en"/>
        </w:rPr>
        <w:t>Note.</w:t>
      </w:r>
      <w:r w:rsidRPr="00843D4F">
        <w:rPr>
          <w:rFonts w:ascii="Arial" w:eastAsia="Times New Roman" w:hAnsi="Arial" w:cs="Arial"/>
          <w:sz w:val="18"/>
          <w:szCs w:val="18"/>
          <w:lang w:val="en"/>
        </w:rPr>
        <w:t xml:space="preserve"> SWD = students with disabilities, SC = scheduled castes, ST= Schedules tribes, OBC = other backward castes</w:t>
      </w:r>
    </w:p>
    <w:p w14:paraId="166579E7" w14:textId="4FDBC4AC" w:rsidR="004D4C86" w:rsidRDefault="00843D4F" w:rsidP="00843D4F">
      <w:pPr>
        <w:spacing w:after="0" w:line="240" w:lineRule="auto"/>
        <w:rPr>
          <w:rFonts w:ascii="Arial" w:eastAsia="Times New Roman" w:hAnsi="Arial" w:cs="Arial"/>
          <w:b/>
          <w:lang w:val="en"/>
        </w:rPr>
      </w:pPr>
      <w:r w:rsidRPr="00843D4F">
        <w:rPr>
          <w:rFonts w:ascii="Arial" w:eastAsia="Times New Roman" w:hAnsi="Arial" w:cs="Arial"/>
          <w:b/>
          <w:lang w:val="en"/>
        </w:rPr>
        <w:lastRenderedPageBreak/>
        <w:t xml:space="preserve">3. </w:t>
      </w:r>
      <w:r w:rsidR="004D4C86" w:rsidRPr="00843D4F">
        <w:rPr>
          <w:rFonts w:ascii="Arial" w:eastAsia="Times New Roman" w:hAnsi="Arial" w:cs="Arial"/>
          <w:b/>
          <w:lang w:val="en"/>
        </w:rPr>
        <w:t>F</w:t>
      </w:r>
      <w:r w:rsidRPr="00843D4F">
        <w:rPr>
          <w:rFonts w:ascii="Arial" w:eastAsia="Times New Roman" w:hAnsi="Arial" w:cs="Arial"/>
          <w:b/>
          <w:lang w:val="en"/>
        </w:rPr>
        <w:t>INDINGS</w:t>
      </w:r>
    </w:p>
    <w:p w14:paraId="2FE56988" w14:textId="77777777" w:rsidR="00920D27" w:rsidRPr="00843D4F" w:rsidRDefault="00920D27" w:rsidP="00843D4F">
      <w:pPr>
        <w:spacing w:after="0" w:line="240" w:lineRule="auto"/>
        <w:rPr>
          <w:rFonts w:ascii="Arial" w:eastAsia="Times New Roman" w:hAnsi="Arial" w:cs="Arial"/>
          <w:b/>
          <w:lang w:val="en"/>
        </w:rPr>
      </w:pPr>
    </w:p>
    <w:p w14:paraId="4E0252C2" w14:textId="02F74C47" w:rsidR="004D4C86" w:rsidRDefault="00843D4F" w:rsidP="00843D4F">
      <w:pPr>
        <w:spacing w:after="0" w:line="240" w:lineRule="auto"/>
        <w:rPr>
          <w:rFonts w:ascii="Arial" w:eastAsia="Times New Roman" w:hAnsi="Arial" w:cs="Arial"/>
          <w:b/>
          <w:sz w:val="22"/>
          <w:szCs w:val="22"/>
          <w:lang w:val="en"/>
        </w:rPr>
      </w:pPr>
      <w:r w:rsidRPr="00843D4F">
        <w:rPr>
          <w:rFonts w:ascii="Arial" w:eastAsia="Times New Roman" w:hAnsi="Arial" w:cs="Arial"/>
          <w:b/>
          <w:sz w:val="22"/>
          <w:szCs w:val="22"/>
          <w:lang w:val="en"/>
        </w:rPr>
        <w:t xml:space="preserve">3.1. </w:t>
      </w:r>
      <w:r w:rsidR="004D4C86" w:rsidRPr="00843D4F">
        <w:rPr>
          <w:rFonts w:ascii="Arial" w:eastAsia="Times New Roman" w:hAnsi="Arial" w:cs="Arial"/>
          <w:b/>
          <w:sz w:val="22"/>
          <w:szCs w:val="22"/>
          <w:lang w:val="en"/>
        </w:rPr>
        <w:t xml:space="preserve"> Implementation of Inclusive Education </w:t>
      </w:r>
    </w:p>
    <w:p w14:paraId="31001711" w14:textId="77777777" w:rsidR="00920D27" w:rsidRPr="00843D4F" w:rsidRDefault="00920D27" w:rsidP="00843D4F">
      <w:pPr>
        <w:spacing w:after="0" w:line="240" w:lineRule="auto"/>
        <w:rPr>
          <w:rFonts w:ascii="Arial" w:eastAsia="Times New Roman" w:hAnsi="Arial" w:cs="Arial"/>
          <w:b/>
          <w:sz w:val="22"/>
          <w:szCs w:val="22"/>
          <w:lang w:val="en"/>
        </w:rPr>
      </w:pPr>
    </w:p>
    <w:p w14:paraId="4A2DAD06" w14:textId="77777777" w:rsidR="004D4C86"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This section presents the results of open coding applied to data on instances of implementation of inclusive education. </w:t>
      </w:r>
      <w:bookmarkStart w:id="10" w:name="_Hlk200448439"/>
      <w:r w:rsidRPr="00843D4F">
        <w:rPr>
          <w:rFonts w:ascii="Arial" w:eastAsia="Times New Roman" w:hAnsi="Arial" w:cs="Arial"/>
          <w:sz w:val="20"/>
          <w:szCs w:val="20"/>
          <w:lang w:val="en"/>
        </w:rPr>
        <w:t>The key categories that emerged include barriers, classroom culture, placement of students, and adaptations</w:t>
      </w:r>
      <w:bookmarkEnd w:id="10"/>
      <w:r w:rsidRPr="00843D4F">
        <w:rPr>
          <w:rFonts w:ascii="Arial" w:eastAsia="Times New Roman" w:hAnsi="Arial" w:cs="Arial"/>
          <w:sz w:val="20"/>
          <w:szCs w:val="20"/>
          <w:lang w:val="en"/>
        </w:rPr>
        <w:t xml:space="preserve">.  Table 2 illustrates the proportion of these categories as identified through the coding process. Out of the 20 studies included in the review, 17 studies addressed the implementation of inclusive education (Ahmed &amp; Ali, 2021; Charles &amp; </w:t>
      </w:r>
      <w:proofErr w:type="spellStart"/>
      <w:r w:rsidRPr="00843D4F">
        <w:rPr>
          <w:rFonts w:ascii="Arial" w:eastAsia="Times New Roman" w:hAnsi="Arial" w:cs="Arial"/>
          <w:sz w:val="20"/>
          <w:szCs w:val="20"/>
          <w:lang w:val="en"/>
        </w:rPr>
        <w:t>Padhy</w:t>
      </w:r>
      <w:proofErr w:type="spellEnd"/>
      <w:r w:rsidRPr="00843D4F">
        <w:rPr>
          <w:rFonts w:ascii="Arial" w:eastAsia="Times New Roman" w:hAnsi="Arial" w:cs="Arial"/>
          <w:sz w:val="20"/>
          <w:szCs w:val="20"/>
          <w:lang w:val="en"/>
        </w:rPr>
        <w:t xml:space="preserve">, 2019; D'Souza &amp; Johnson, 2015; Devi Reddy, 2016; Elton-Chalcraft et al., 2016; Forber-Pratt &amp; Sarkar, 2021; Kundu &amp; Rice, 2019; Mohanty &amp; Nanda, 2017; </w:t>
      </w:r>
      <w:proofErr w:type="spellStart"/>
      <w:r w:rsidRPr="00843D4F">
        <w:rPr>
          <w:rFonts w:ascii="Arial" w:eastAsia="Times New Roman" w:hAnsi="Arial" w:cs="Arial"/>
          <w:sz w:val="20"/>
          <w:szCs w:val="20"/>
          <w:lang w:val="en"/>
        </w:rPr>
        <w:t>Naraian</w:t>
      </w:r>
      <w:proofErr w:type="spellEnd"/>
      <w:r w:rsidRPr="00843D4F">
        <w:rPr>
          <w:rFonts w:ascii="Arial" w:eastAsia="Times New Roman" w:hAnsi="Arial" w:cs="Arial"/>
          <w:sz w:val="20"/>
          <w:szCs w:val="20"/>
          <w:lang w:val="en"/>
        </w:rPr>
        <w:t xml:space="preserve">, 2013; Ramchand, 2021; Rangarajan et al., 2023; Rose et al., 2021; Sawhney, 2015; Taneja-Johansson, 2014; Taneja-Johansson et al., 2023; Tiwari, 2023; Tiwari et al., 2015). </w:t>
      </w:r>
    </w:p>
    <w:p w14:paraId="54C4FB63" w14:textId="77777777" w:rsidR="00843D4F" w:rsidRDefault="00843D4F" w:rsidP="00843D4F">
      <w:pPr>
        <w:spacing w:after="0" w:line="240" w:lineRule="auto"/>
        <w:rPr>
          <w:rFonts w:ascii="Arial" w:eastAsia="Times New Roman" w:hAnsi="Arial" w:cs="Arial"/>
          <w:sz w:val="20"/>
          <w:szCs w:val="20"/>
          <w:lang w:val="en"/>
        </w:rPr>
      </w:pPr>
    </w:p>
    <w:p w14:paraId="69A8C817" w14:textId="77777777" w:rsidR="00843D4F" w:rsidRPr="00843D4F" w:rsidRDefault="00843D4F" w:rsidP="00843D4F">
      <w:pPr>
        <w:spacing w:after="0" w:line="240" w:lineRule="auto"/>
        <w:rPr>
          <w:rFonts w:ascii="Arial" w:eastAsia="Times New Roman" w:hAnsi="Arial" w:cs="Arial"/>
          <w:b/>
          <w:sz w:val="20"/>
          <w:szCs w:val="20"/>
          <w:lang w:val="en"/>
        </w:rPr>
      </w:pPr>
      <w:r w:rsidRPr="00843D4F">
        <w:rPr>
          <w:rFonts w:ascii="Arial" w:eastAsia="Times New Roman" w:hAnsi="Arial" w:cs="Arial"/>
          <w:b/>
          <w:sz w:val="20"/>
          <w:szCs w:val="20"/>
          <w:lang w:val="en"/>
        </w:rPr>
        <w:t>Table 2</w:t>
      </w:r>
    </w:p>
    <w:p w14:paraId="0B110F66" w14:textId="77777777" w:rsidR="00843D4F" w:rsidRPr="00843D4F" w:rsidRDefault="00843D4F" w:rsidP="00843D4F">
      <w:pPr>
        <w:spacing w:after="0" w:line="240" w:lineRule="auto"/>
        <w:rPr>
          <w:rFonts w:ascii="Arial" w:eastAsia="Times New Roman" w:hAnsi="Arial" w:cs="Arial"/>
          <w:i/>
          <w:sz w:val="20"/>
          <w:szCs w:val="20"/>
          <w:lang w:val="en"/>
        </w:rPr>
      </w:pPr>
      <w:r w:rsidRPr="00843D4F">
        <w:rPr>
          <w:rFonts w:ascii="Arial" w:eastAsia="Times New Roman" w:hAnsi="Arial" w:cs="Arial"/>
          <w:i/>
          <w:sz w:val="20"/>
          <w:szCs w:val="20"/>
          <w:lang w:val="en"/>
        </w:rPr>
        <w:t>Frequency Distribution of Categories in the Implementation/Practice of Inclusion</w:t>
      </w:r>
    </w:p>
    <w:tbl>
      <w:tblPr>
        <w:tblW w:w="8925" w:type="dxa"/>
        <w:tblBorders>
          <w:insideH w:val="nil"/>
          <w:insideV w:val="nil"/>
        </w:tblBorders>
        <w:tblLayout w:type="fixed"/>
        <w:tblLook w:val="0600" w:firstRow="0" w:lastRow="0" w:firstColumn="0" w:lastColumn="0" w:noHBand="1" w:noVBand="1"/>
      </w:tblPr>
      <w:tblGrid>
        <w:gridCol w:w="2340"/>
        <w:gridCol w:w="1575"/>
        <w:gridCol w:w="5010"/>
      </w:tblGrid>
      <w:tr w:rsidR="00843D4F" w:rsidRPr="00843D4F" w14:paraId="30BD2C77" w14:textId="77777777" w:rsidTr="00373AC9">
        <w:trPr>
          <w:trHeight w:val="345"/>
        </w:trPr>
        <w:tc>
          <w:tcPr>
            <w:tcW w:w="2340" w:type="dxa"/>
            <w:tcBorders>
              <w:top w:val="single" w:sz="4" w:space="0" w:color="000000"/>
              <w:left w:val="single" w:sz="4" w:space="0" w:color="FFFFFF"/>
              <w:bottom w:val="single" w:sz="4" w:space="0" w:color="000000"/>
              <w:right w:val="single" w:sz="4" w:space="0" w:color="FFFFFF"/>
            </w:tcBorders>
            <w:tcMar>
              <w:top w:w="40" w:type="dxa"/>
              <w:left w:w="40" w:type="dxa"/>
              <w:bottom w:w="40" w:type="dxa"/>
              <w:right w:w="40" w:type="dxa"/>
            </w:tcMar>
            <w:hideMark/>
          </w:tcPr>
          <w:p w14:paraId="288864E4"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b/>
                <w:sz w:val="20"/>
                <w:szCs w:val="20"/>
                <w:lang w:val="en"/>
              </w:rPr>
              <w:t>Categories</w:t>
            </w:r>
          </w:p>
        </w:tc>
        <w:tc>
          <w:tcPr>
            <w:tcW w:w="1575" w:type="dxa"/>
            <w:tcBorders>
              <w:top w:val="single" w:sz="4" w:space="0" w:color="000000"/>
              <w:left w:val="single" w:sz="4" w:space="0" w:color="FFFFFF"/>
              <w:bottom w:val="single" w:sz="4" w:space="0" w:color="000000"/>
              <w:right w:val="single" w:sz="4" w:space="0" w:color="FFFFFF"/>
            </w:tcBorders>
            <w:tcMar>
              <w:top w:w="40" w:type="dxa"/>
              <w:left w:w="40" w:type="dxa"/>
              <w:bottom w:w="40" w:type="dxa"/>
              <w:right w:w="40" w:type="dxa"/>
            </w:tcMar>
            <w:hideMark/>
          </w:tcPr>
          <w:p w14:paraId="13935872"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b/>
                <w:sz w:val="20"/>
                <w:szCs w:val="20"/>
                <w:lang w:val="en"/>
              </w:rPr>
              <w:t>Frequency</w:t>
            </w:r>
          </w:p>
        </w:tc>
        <w:tc>
          <w:tcPr>
            <w:tcW w:w="5010" w:type="dxa"/>
            <w:tcBorders>
              <w:top w:val="single" w:sz="4" w:space="0" w:color="000000"/>
              <w:left w:val="single" w:sz="4" w:space="0" w:color="FFFFFF"/>
              <w:bottom w:val="single" w:sz="4" w:space="0" w:color="000000"/>
              <w:right w:val="single" w:sz="4" w:space="0" w:color="FFFFFF"/>
            </w:tcBorders>
            <w:tcMar>
              <w:top w:w="40" w:type="dxa"/>
              <w:left w:w="40" w:type="dxa"/>
              <w:bottom w:w="40" w:type="dxa"/>
              <w:right w:w="40" w:type="dxa"/>
            </w:tcMar>
            <w:hideMark/>
          </w:tcPr>
          <w:p w14:paraId="16B4CA2F"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b/>
                <w:sz w:val="20"/>
                <w:szCs w:val="20"/>
                <w:lang w:val="en"/>
              </w:rPr>
              <w:t>Examples of codes</w:t>
            </w:r>
          </w:p>
        </w:tc>
      </w:tr>
      <w:tr w:rsidR="00843D4F" w:rsidRPr="00843D4F" w14:paraId="30DA607C" w14:textId="77777777" w:rsidTr="00373AC9">
        <w:trPr>
          <w:trHeight w:val="615"/>
        </w:trPr>
        <w:tc>
          <w:tcPr>
            <w:tcW w:w="2340" w:type="dxa"/>
            <w:tcBorders>
              <w:top w:val="single" w:sz="4" w:space="0" w:color="000000"/>
              <w:left w:val="single" w:sz="4" w:space="0" w:color="FFFFFF"/>
              <w:bottom w:val="single" w:sz="4" w:space="0" w:color="FFFFFF"/>
              <w:right w:val="single" w:sz="4" w:space="0" w:color="FFFFFF"/>
            </w:tcBorders>
            <w:tcMar>
              <w:top w:w="40" w:type="dxa"/>
              <w:left w:w="40" w:type="dxa"/>
              <w:bottom w:w="40" w:type="dxa"/>
              <w:right w:w="40" w:type="dxa"/>
            </w:tcMar>
            <w:hideMark/>
          </w:tcPr>
          <w:p w14:paraId="645F9E54"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Barrier</w:t>
            </w:r>
          </w:p>
        </w:tc>
        <w:tc>
          <w:tcPr>
            <w:tcW w:w="1575" w:type="dxa"/>
            <w:tcBorders>
              <w:top w:val="single" w:sz="4" w:space="0" w:color="000000"/>
              <w:left w:val="single" w:sz="4" w:space="0" w:color="FFFFFF"/>
              <w:bottom w:val="single" w:sz="4" w:space="0" w:color="FFFFFF"/>
              <w:right w:val="single" w:sz="4" w:space="0" w:color="FFFFFF"/>
            </w:tcBorders>
            <w:tcMar>
              <w:top w:w="40" w:type="dxa"/>
              <w:left w:w="40" w:type="dxa"/>
              <w:bottom w:w="40" w:type="dxa"/>
              <w:right w:w="40" w:type="dxa"/>
            </w:tcMar>
            <w:hideMark/>
          </w:tcPr>
          <w:p w14:paraId="4349F932"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93</w:t>
            </w:r>
          </w:p>
        </w:tc>
        <w:tc>
          <w:tcPr>
            <w:tcW w:w="5010" w:type="dxa"/>
            <w:tcBorders>
              <w:top w:val="single" w:sz="4" w:space="0" w:color="000000"/>
              <w:left w:val="single" w:sz="4" w:space="0" w:color="FFFFFF"/>
              <w:bottom w:val="single" w:sz="4" w:space="0" w:color="FFFFFF"/>
              <w:right w:val="single" w:sz="4" w:space="0" w:color="FFFFFF"/>
            </w:tcBorders>
            <w:tcMar>
              <w:top w:w="40" w:type="dxa"/>
              <w:left w:w="40" w:type="dxa"/>
              <w:bottom w:w="40" w:type="dxa"/>
              <w:right w:w="40" w:type="dxa"/>
            </w:tcMar>
            <w:hideMark/>
          </w:tcPr>
          <w:p w14:paraId="07E9D699"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Attitudinal barriers, classroom sizes, textbook supply delays</w:t>
            </w:r>
          </w:p>
        </w:tc>
      </w:tr>
      <w:tr w:rsidR="00843D4F" w:rsidRPr="00843D4F" w14:paraId="2E2AEEF5" w14:textId="77777777" w:rsidTr="00373AC9">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44B431AA"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Classroom Culture</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4FE21E93"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76</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30BBC2BF"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teaching to test, protection from bullying, relegation of SWD</w:t>
            </w:r>
          </w:p>
        </w:tc>
      </w:tr>
      <w:tr w:rsidR="00843D4F" w:rsidRPr="00843D4F" w14:paraId="13B14305" w14:textId="77777777" w:rsidTr="00373AC9">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401DF11D"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Placement</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57B7C3A5"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32</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3FD9702D"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models of inclusion, resource unit, school with specialist, de facto special school</w:t>
            </w:r>
          </w:p>
        </w:tc>
      </w:tr>
      <w:tr w:rsidR="00843D4F" w:rsidRPr="00843D4F" w14:paraId="5CC1816C" w14:textId="77777777" w:rsidTr="00373AC9">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1264D409"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Adaptation</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4127201B"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34</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1507868D"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curriculum, learner-specific instruction, IEP: only basic information</w:t>
            </w:r>
          </w:p>
        </w:tc>
      </w:tr>
      <w:tr w:rsidR="00843D4F" w:rsidRPr="00843D4F" w14:paraId="3D17BA90" w14:textId="77777777" w:rsidTr="00373AC9">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068F00E7"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Adult Roles</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37224A47"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17</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39884DA6"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paraprofessionals juggle roles, community mobilized finances, volunteers sought for support</w:t>
            </w:r>
          </w:p>
        </w:tc>
      </w:tr>
      <w:tr w:rsidR="00843D4F" w:rsidRPr="00843D4F" w14:paraId="0914BC70" w14:textId="77777777" w:rsidTr="00373AC9">
        <w:trPr>
          <w:trHeight w:val="34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525CF74F"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Classroom Strategies</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53887919"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16</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359AA766"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building involvement, low expectations from SWD,</w:t>
            </w:r>
          </w:p>
        </w:tc>
      </w:tr>
      <w:tr w:rsidR="00843D4F" w:rsidRPr="00843D4F" w14:paraId="07E384AF" w14:textId="77777777" w:rsidTr="00373AC9">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7B8DD9FE"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External Roles</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0BF0E627"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15</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33BA29D4"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budgeting/funds, awareness sessions, teacher played negotiation roles</w:t>
            </w:r>
          </w:p>
        </w:tc>
      </w:tr>
      <w:tr w:rsidR="00843D4F" w:rsidRPr="00843D4F" w14:paraId="54E9528C" w14:textId="77777777" w:rsidTr="00373AC9">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3E65D8CF"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Access</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643B4F9E"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14</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526A591B"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Resources; SC, ST, OBC; SWD: unintentional admission</w:t>
            </w:r>
          </w:p>
        </w:tc>
      </w:tr>
      <w:tr w:rsidR="00843D4F" w:rsidRPr="00843D4F" w14:paraId="438258EE" w14:textId="77777777" w:rsidTr="00373AC9">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1610BAB9"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Collaboration</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1AD81A55"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13</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6F770186"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no culture of collaboration, planning with specialist</w:t>
            </w:r>
          </w:p>
        </w:tc>
      </w:tr>
      <w:tr w:rsidR="00843D4F" w:rsidRPr="00843D4F" w14:paraId="7E4B7079" w14:textId="77777777" w:rsidTr="00373AC9">
        <w:trPr>
          <w:trHeight w:val="34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7A9A87FC"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Assessment</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155FD379"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9</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1840856D"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Same marking scale, board exams</w:t>
            </w:r>
          </w:p>
        </w:tc>
      </w:tr>
      <w:tr w:rsidR="00843D4F" w:rsidRPr="00843D4F" w14:paraId="4D18726E" w14:textId="77777777" w:rsidTr="00373AC9">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2F26D5E8"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School Makeup</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7FE8FA2C"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11</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27D26279"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Government schools serve marginalized schools, SWD concentrated areas</w:t>
            </w:r>
          </w:p>
        </w:tc>
      </w:tr>
      <w:tr w:rsidR="00843D4F" w:rsidRPr="00843D4F" w14:paraId="7C9E9813" w14:textId="77777777" w:rsidTr="00373AC9">
        <w:trPr>
          <w:trHeight w:val="345"/>
        </w:trPr>
        <w:tc>
          <w:tcPr>
            <w:tcW w:w="2340" w:type="dxa"/>
            <w:tcBorders>
              <w:top w:val="single" w:sz="4" w:space="0" w:color="FFFFFF"/>
              <w:left w:val="single" w:sz="4" w:space="0" w:color="FFFFFF"/>
              <w:bottom w:val="single" w:sz="4" w:space="0" w:color="000000"/>
              <w:right w:val="single" w:sz="4" w:space="0" w:color="FFFFFF"/>
            </w:tcBorders>
            <w:tcMar>
              <w:top w:w="40" w:type="dxa"/>
              <w:left w:w="40" w:type="dxa"/>
              <w:bottom w:w="40" w:type="dxa"/>
              <w:right w:w="40" w:type="dxa"/>
            </w:tcMar>
            <w:hideMark/>
          </w:tcPr>
          <w:p w14:paraId="3DEAC1D3"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Certification</w:t>
            </w:r>
          </w:p>
        </w:tc>
        <w:tc>
          <w:tcPr>
            <w:tcW w:w="1575" w:type="dxa"/>
            <w:tcBorders>
              <w:top w:val="single" w:sz="4" w:space="0" w:color="FFFFFF"/>
              <w:left w:val="single" w:sz="4" w:space="0" w:color="FFFFFF"/>
              <w:bottom w:val="single" w:sz="4" w:space="0" w:color="000000"/>
              <w:right w:val="single" w:sz="4" w:space="0" w:color="FFFFFF"/>
            </w:tcBorders>
            <w:tcMar>
              <w:top w:w="40" w:type="dxa"/>
              <w:left w:w="40" w:type="dxa"/>
              <w:bottom w:w="40" w:type="dxa"/>
              <w:right w:w="40" w:type="dxa"/>
            </w:tcMar>
            <w:hideMark/>
          </w:tcPr>
          <w:p w14:paraId="721A89A6"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10</w:t>
            </w:r>
          </w:p>
        </w:tc>
        <w:tc>
          <w:tcPr>
            <w:tcW w:w="5010" w:type="dxa"/>
            <w:tcBorders>
              <w:top w:val="single" w:sz="4" w:space="0" w:color="FFFFFF"/>
              <w:left w:val="single" w:sz="4" w:space="0" w:color="FFFFFF"/>
              <w:bottom w:val="single" w:sz="4" w:space="0" w:color="000000"/>
              <w:right w:val="single" w:sz="4" w:space="0" w:color="FFFFFF"/>
            </w:tcBorders>
            <w:tcMar>
              <w:top w:w="40" w:type="dxa"/>
              <w:left w:w="40" w:type="dxa"/>
              <w:bottom w:w="40" w:type="dxa"/>
              <w:right w:w="40" w:type="dxa"/>
            </w:tcMar>
            <w:hideMark/>
          </w:tcPr>
          <w:p w14:paraId="7F1FA8E0"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disability certification important; not informative</w:t>
            </w:r>
          </w:p>
        </w:tc>
      </w:tr>
    </w:tbl>
    <w:p w14:paraId="537C7BDE" w14:textId="6B3D1719" w:rsidR="00843D4F" w:rsidRPr="00843D4F" w:rsidRDefault="00843D4F" w:rsidP="00843D4F">
      <w:pPr>
        <w:spacing w:after="0" w:line="240" w:lineRule="auto"/>
        <w:rPr>
          <w:rFonts w:ascii="Arial" w:eastAsia="Times New Roman" w:hAnsi="Arial" w:cs="Arial"/>
          <w:sz w:val="20"/>
          <w:szCs w:val="20"/>
          <w:lang w:val="en"/>
        </w:rPr>
      </w:pPr>
      <w:r w:rsidRPr="00843D4F">
        <w:rPr>
          <w:rFonts w:ascii="Arial" w:eastAsia="Times New Roman" w:hAnsi="Arial" w:cs="Arial"/>
          <w:i/>
          <w:sz w:val="18"/>
          <w:szCs w:val="18"/>
          <w:lang w:val="en"/>
        </w:rPr>
        <w:t>Note.</w:t>
      </w:r>
      <w:r w:rsidRPr="00843D4F">
        <w:rPr>
          <w:rFonts w:ascii="Arial" w:eastAsia="Times New Roman" w:hAnsi="Arial" w:cs="Arial"/>
          <w:sz w:val="18"/>
          <w:szCs w:val="18"/>
          <w:lang w:val="en"/>
        </w:rPr>
        <w:t xml:space="preserve"> SC = scheduled castes, ST= Schedules tribes, OBC = other backward castes</w:t>
      </w:r>
    </w:p>
    <w:p w14:paraId="61824838" w14:textId="75AB21DA" w:rsidR="00843D4F" w:rsidRPr="005D7D7A" w:rsidRDefault="009E2C2B" w:rsidP="00843D4F">
      <w:pPr>
        <w:spacing w:after="0" w:line="240" w:lineRule="auto"/>
        <w:rPr>
          <w:rFonts w:ascii="Arial" w:eastAsia="Times New Roman" w:hAnsi="Arial" w:cs="Arial"/>
          <w:sz w:val="18"/>
          <w:szCs w:val="18"/>
          <w:lang w:val="en"/>
        </w:rPr>
      </w:pPr>
      <w:r w:rsidRPr="00843D4F">
        <w:rPr>
          <w:rFonts w:ascii="Arial" w:eastAsia="Times New Roman" w:hAnsi="Arial" w:cs="Arial"/>
          <w:b/>
          <w:lang w:val="en"/>
        </w:rPr>
        <w:br w:type="page"/>
      </w:r>
    </w:p>
    <w:p w14:paraId="2E84E5B6" w14:textId="59886B1E" w:rsidR="004D4C86" w:rsidRDefault="00843D4F" w:rsidP="00843D4F">
      <w:pPr>
        <w:spacing w:after="0" w:line="240" w:lineRule="auto"/>
        <w:rPr>
          <w:rFonts w:ascii="Arial" w:eastAsia="Times New Roman" w:hAnsi="Arial" w:cs="Arial"/>
          <w:b/>
          <w:iCs/>
          <w:sz w:val="22"/>
          <w:szCs w:val="22"/>
          <w:u w:val="single"/>
          <w:lang w:val="en"/>
        </w:rPr>
      </w:pPr>
      <w:r w:rsidRPr="00843D4F">
        <w:rPr>
          <w:rFonts w:ascii="Arial" w:eastAsia="Times New Roman" w:hAnsi="Arial" w:cs="Arial"/>
          <w:b/>
          <w:iCs/>
          <w:sz w:val="22"/>
          <w:szCs w:val="22"/>
          <w:u w:val="single"/>
          <w:lang w:val="en"/>
        </w:rPr>
        <w:lastRenderedPageBreak/>
        <w:t xml:space="preserve">3.1.1. </w:t>
      </w:r>
      <w:r w:rsidR="004D4C86" w:rsidRPr="00843D4F">
        <w:rPr>
          <w:rFonts w:ascii="Arial" w:eastAsia="Times New Roman" w:hAnsi="Arial" w:cs="Arial"/>
          <w:b/>
          <w:iCs/>
          <w:sz w:val="22"/>
          <w:szCs w:val="22"/>
          <w:u w:val="single"/>
          <w:lang w:val="en"/>
        </w:rPr>
        <w:t>Barriers</w:t>
      </w:r>
    </w:p>
    <w:p w14:paraId="34D7787B" w14:textId="77777777" w:rsidR="00920D27" w:rsidRPr="00843D4F" w:rsidRDefault="00920D27" w:rsidP="00843D4F">
      <w:pPr>
        <w:spacing w:after="0" w:line="240" w:lineRule="auto"/>
        <w:rPr>
          <w:rFonts w:ascii="Arial" w:eastAsia="Times New Roman" w:hAnsi="Arial" w:cs="Arial"/>
          <w:b/>
          <w:iCs/>
          <w:sz w:val="22"/>
          <w:szCs w:val="22"/>
          <w:u w:val="single"/>
          <w:lang w:val="en"/>
        </w:rPr>
      </w:pPr>
    </w:p>
    <w:p w14:paraId="5305C032" w14:textId="77777777" w:rsidR="00B61F7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The largest category to emerge pertained to barriers to inclusion that researchers presented with 93 codes in 15 studies (Ahmed &amp; Ali, 2021; Charles &amp; </w:t>
      </w:r>
      <w:proofErr w:type="spellStart"/>
      <w:r w:rsidRPr="00843D4F">
        <w:rPr>
          <w:rFonts w:ascii="Arial" w:eastAsia="Times New Roman" w:hAnsi="Arial" w:cs="Arial"/>
          <w:sz w:val="20"/>
          <w:szCs w:val="20"/>
          <w:lang w:val="en"/>
        </w:rPr>
        <w:t>Padhy</w:t>
      </w:r>
      <w:proofErr w:type="spellEnd"/>
      <w:r w:rsidRPr="00843D4F">
        <w:rPr>
          <w:rFonts w:ascii="Arial" w:eastAsia="Times New Roman" w:hAnsi="Arial" w:cs="Arial"/>
          <w:sz w:val="20"/>
          <w:szCs w:val="20"/>
          <w:lang w:val="en"/>
        </w:rPr>
        <w:t xml:space="preserve">, 2019; Elton-Chalcraft et al., 2016; Forber-Pratt &amp; Sarkar, 2021; Kundu &amp; Rice, 2019; Mohanty &amp; Nanda, 2017; </w:t>
      </w:r>
      <w:proofErr w:type="spellStart"/>
      <w:r w:rsidRPr="00843D4F">
        <w:rPr>
          <w:rFonts w:ascii="Arial" w:eastAsia="Times New Roman" w:hAnsi="Arial" w:cs="Arial"/>
          <w:sz w:val="20"/>
          <w:szCs w:val="20"/>
          <w:lang w:val="en"/>
        </w:rPr>
        <w:t>Naraian</w:t>
      </w:r>
      <w:proofErr w:type="spellEnd"/>
      <w:r w:rsidRPr="00843D4F">
        <w:rPr>
          <w:rFonts w:ascii="Arial" w:eastAsia="Times New Roman" w:hAnsi="Arial" w:cs="Arial"/>
          <w:sz w:val="20"/>
          <w:szCs w:val="20"/>
          <w:lang w:val="en"/>
        </w:rPr>
        <w:t xml:space="preserve">, 2013; Ramchand, 2021; Rangarajan et al., 2023; Rose et al., 2021; Sawhney, 2015; Taneja-Johansson, 2014; Taneja-Johansson et al., 2023; Tiwari, 2023; Tiwari et al., 2015). Educators described barriers to inclusive education as a result of structural, attitudinal, and resource-related challenges. A recurring issue was the inadequate availability of resources, with three studies highlighting the absence of instructional materials, special infrastructure, and adaptive equipment for SWD (Kundu &amp; Rice, 2019; Mohanty &amp; Nanda, 2017; Ramchand, 2021). Classroom sizes were overwhelmingly large, often exceeding 45 students, leading to the neglect of SWD (Sawhney, 2015; Taneja-Johansson et al., 2023). Furthermore, there was a notable shortage of specialized teachers and a lack of adequate training for general educators to support inclusive practices, particularly in rural areas (Rose et al., 2021; Taneja-Johansson et al., 2023). Attitudinal barriers also </w:t>
      </w:r>
      <w:proofErr w:type="spellStart"/>
      <w:r w:rsidRPr="00843D4F">
        <w:rPr>
          <w:rFonts w:ascii="Arial" w:eastAsia="Times New Roman" w:hAnsi="Arial" w:cs="Arial"/>
          <w:sz w:val="20"/>
          <w:szCs w:val="20"/>
          <w:lang w:val="en"/>
        </w:rPr>
        <w:t>posed</w:t>
      </w:r>
      <w:proofErr w:type="spellEnd"/>
      <w:r w:rsidRPr="00843D4F">
        <w:rPr>
          <w:rFonts w:ascii="Arial" w:eastAsia="Times New Roman" w:hAnsi="Arial" w:cs="Arial"/>
          <w:sz w:val="20"/>
          <w:szCs w:val="20"/>
          <w:lang w:val="en"/>
        </w:rPr>
        <w:t xml:space="preserve"> significant obstacles, as negative perceptions and stigma among staff, parents, and administrators undermined inclusive efforts (Charles &amp; </w:t>
      </w:r>
      <w:proofErr w:type="spellStart"/>
      <w:r w:rsidRPr="00843D4F">
        <w:rPr>
          <w:rFonts w:ascii="Arial" w:eastAsia="Times New Roman" w:hAnsi="Arial" w:cs="Arial"/>
          <w:sz w:val="20"/>
          <w:szCs w:val="20"/>
          <w:lang w:val="en"/>
        </w:rPr>
        <w:t>Padhy</w:t>
      </w:r>
      <w:proofErr w:type="spellEnd"/>
      <w:r w:rsidRPr="00843D4F">
        <w:rPr>
          <w:rFonts w:ascii="Arial" w:eastAsia="Times New Roman" w:hAnsi="Arial" w:cs="Arial"/>
          <w:sz w:val="20"/>
          <w:szCs w:val="20"/>
          <w:lang w:val="en"/>
        </w:rPr>
        <w:t>, 2019).</w:t>
      </w:r>
    </w:p>
    <w:p w14:paraId="3B6D4B0A" w14:textId="40E602C9" w:rsidR="004D4C86"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Teachers reported hesitation in engaging with inclusive practices and were often constrained by rigid administrative structures that emphasized traditional hierarchies and profit motives (Tiwari, 2023; </w:t>
      </w:r>
      <w:proofErr w:type="spellStart"/>
      <w:r w:rsidRPr="00843D4F">
        <w:rPr>
          <w:rFonts w:ascii="Arial" w:eastAsia="Times New Roman" w:hAnsi="Arial" w:cs="Arial"/>
          <w:sz w:val="20"/>
          <w:szCs w:val="20"/>
          <w:lang w:val="en"/>
        </w:rPr>
        <w:t>Naraian</w:t>
      </w:r>
      <w:proofErr w:type="spellEnd"/>
      <w:r w:rsidRPr="00843D4F">
        <w:rPr>
          <w:rFonts w:ascii="Arial" w:eastAsia="Times New Roman" w:hAnsi="Arial" w:cs="Arial"/>
          <w:sz w:val="20"/>
          <w:szCs w:val="20"/>
          <w:lang w:val="en"/>
        </w:rPr>
        <w:t xml:space="preserve">, 2013). Additionally, institutional delays in providing facilities such as ramps and resource rooms further exacerbated accessibility issues (Mohanty &amp; Nanda, 2017; Charles &amp; </w:t>
      </w:r>
      <w:proofErr w:type="spellStart"/>
      <w:r w:rsidRPr="00843D4F">
        <w:rPr>
          <w:rFonts w:ascii="Arial" w:eastAsia="Times New Roman" w:hAnsi="Arial" w:cs="Arial"/>
          <w:sz w:val="20"/>
          <w:szCs w:val="20"/>
          <w:lang w:val="en"/>
        </w:rPr>
        <w:t>Padhy</w:t>
      </w:r>
      <w:proofErr w:type="spellEnd"/>
      <w:r w:rsidRPr="00843D4F">
        <w:rPr>
          <w:rFonts w:ascii="Arial" w:eastAsia="Times New Roman" w:hAnsi="Arial" w:cs="Arial"/>
          <w:sz w:val="20"/>
          <w:szCs w:val="20"/>
          <w:lang w:val="en"/>
        </w:rPr>
        <w:t xml:space="preserve">, 2019). Despite some educators recognizing the potential of SWD, the lack of systemic support, collaboration time, and consistent policy implementation limited the practical realization of inclusive education (Tiwari, 2023; Ahmed &amp; Ali, 2021). </w:t>
      </w:r>
    </w:p>
    <w:p w14:paraId="5ED29939" w14:textId="77777777" w:rsidR="00920D27" w:rsidRPr="00843D4F" w:rsidRDefault="00920D27" w:rsidP="00843D4F">
      <w:pPr>
        <w:spacing w:after="0" w:line="240" w:lineRule="auto"/>
        <w:rPr>
          <w:rFonts w:ascii="Arial" w:eastAsia="Times New Roman" w:hAnsi="Arial" w:cs="Arial"/>
          <w:sz w:val="20"/>
          <w:szCs w:val="20"/>
          <w:lang w:val="en"/>
        </w:rPr>
      </w:pPr>
    </w:p>
    <w:p w14:paraId="6AE482E4" w14:textId="2B8BF301" w:rsidR="004D4C86" w:rsidRDefault="00843D4F" w:rsidP="00843D4F">
      <w:pPr>
        <w:spacing w:after="0" w:line="240" w:lineRule="auto"/>
        <w:rPr>
          <w:rFonts w:ascii="Arial" w:eastAsia="Times New Roman" w:hAnsi="Arial" w:cs="Arial"/>
          <w:b/>
          <w:iCs/>
          <w:sz w:val="22"/>
          <w:szCs w:val="22"/>
          <w:u w:val="single"/>
          <w:lang w:val="en"/>
        </w:rPr>
      </w:pPr>
      <w:r w:rsidRPr="00843D4F">
        <w:rPr>
          <w:rFonts w:ascii="Arial" w:eastAsia="Times New Roman" w:hAnsi="Arial" w:cs="Arial"/>
          <w:b/>
          <w:iCs/>
          <w:sz w:val="22"/>
          <w:szCs w:val="22"/>
          <w:u w:val="single"/>
          <w:lang w:val="en"/>
        </w:rPr>
        <w:t>3.1.2.</w:t>
      </w:r>
      <w:r w:rsidR="00FA3728">
        <w:rPr>
          <w:rFonts w:ascii="Arial" w:eastAsia="Times New Roman" w:hAnsi="Arial" w:cs="Arial"/>
          <w:b/>
          <w:iCs/>
          <w:sz w:val="22"/>
          <w:szCs w:val="22"/>
          <w:u w:val="single"/>
          <w:lang w:val="en"/>
        </w:rPr>
        <w:t xml:space="preserve"> </w:t>
      </w:r>
      <w:r w:rsidR="004D4C86" w:rsidRPr="00843D4F">
        <w:rPr>
          <w:rFonts w:ascii="Arial" w:eastAsia="Times New Roman" w:hAnsi="Arial" w:cs="Arial"/>
          <w:b/>
          <w:iCs/>
          <w:sz w:val="22"/>
          <w:szCs w:val="22"/>
          <w:u w:val="single"/>
          <w:lang w:val="en"/>
        </w:rPr>
        <w:t>Classroom Culture and Action</w:t>
      </w:r>
    </w:p>
    <w:p w14:paraId="52FF36FC" w14:textId="77777777" w:rsidR="00920D27" w:rsidRPr="00843D4F" w:rsidRDefault="00920D27" w:rsidP="00843D4F">
      <w:pPr>
        <w:spacing w:after="0" w:line="240" w:lineRule="auto"/>
        <w:rPr>
          <w:rFonts w:ascii="Arial" w:eastAsia="Times New Roman" w:hAnsi="Arial" w:cs="Arial"/>
          <w:b/>
          <w:iCs/>
          <w:sz w:val="22"/>
          <w:szCs w:val="22"/>
          <w:u w:val="single"/>
          <w:lang w:val="en"/>
        </w:rPr>
      </w:pPr>
    </w:p>
    <w:p w14:paraId="34C663A8" w14:textId="77777777" w:rsidR="00B61F76"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The second largest category to emerge was classroom culture and action which referred to the values, norms, and practices within a classroom with 76 codes in 17 studies (Ahmed &amp; Ali, 2021; Charles &amp; </w:t>
      </w:r>
      <w:proofErr w:type="spellStart"/>
      <w:r w:rsidRPr="00843D4F">
        <w:rPr>
          <w:rFonts w:ascii="Arial" w:eastAsia="Times New Roman" w:hAnsi="Arial" w:cs="Arial"/>
          <w:sz w:val="20"/>
          <w:szCs w:val="20"/>
          <w:lang w:val="en"/>
        </w:rPr>
        <w:t>Padhy</w:t>
      </w:r>
      <w:proofErr w:type="spellEnd"/>
      <w:r w:rsidRPr="00843D4F">
        <w:rPr>
          <w:rFonts w:ascii="Arial" w:eastAsia="Times New Roman" w:hAnsi="Arial" w:cs="Arial"/>
          <w:sz w:val="20"/>
          <w:szCs w:val="20"/>
          <w:lang w:val="en"/>
        </w:rPr>
        <w:t xml:space="preserve">, 2019; D'Souza &amp; Johnson, 2015; Devi &amp; Reddy, 2016; Elton-Chalcraft et al., 2016; Forber-Pratt &amp; Sarkar, 2021; Kundu &amp; Rice, 2019; Mohanty &amp; Nanda, 2017; </w:t>
      </w:r>
      <w:proofErr w:type="spellStart"/>
      <w:r w:rsidRPr="00843D4F">
        <w:rPr>
          <w:rFonts w:ascii="Arial" w:eastAsia="Times New Roman" w:hAnsi="Arial" w:cs="Arial"/>
          <w:sz w:val="20"/>
          <w:szCs w:val="20"/>
          <w:lang w:val="en"/>
        </w:rPr>
        <w:t>Naraian</w:t>
      </w:r>
      <w:proofErr w:type="spellEnd"/>
      <w:r w:rsidRPr="00843D4F">
        <w:rPr>
          <w:rFonts w:ascii="Arial" w:eastAsia="Times New Roman" w:hAnsi="Arial" w:cs="Arial"/>
          <w:sz w:val="20"/>
          <w:szCs w:val="20"/>
          <w:lang w:val="en"/>
        </w:rPr>
        <w:t>, 2013; Ramchand, 2021; Rangarajan et al., 2023; Rose et al., 2021; Sawhney, 2015; Taneja-Johansson, 2014; Taneja-Johansson et al., 2023; Tiwari, 2023; Tiwari et al., 2015).</w:t>
      </w:r>
    </w:p>
    <w:p w14:paraId="4AD39F4F" w14:textId="77777777" w:rsidR="00920D27" w:rsidRPr="00843D4F" w:rsidRDefault="00920D27" w:rsidP="00843D4F">
      <w:pPr>
        <w:spacing w:after="0" w:line="240" w:lineRule="auto"/>
        <w:rPr>
          <w:rFonts w:ascii="Arial" w:eastAsia="Times New Roman" w:hAnsi="Arial" w:cs="Arial"/>
          <w:sz w:val="20"/>
          <w:szCs w:val="20"/>
          <w:lang w:val="en"/>
        </w:rPr>
      </w:pPr>
    </w:p>
    <w:p w14:paraId="5B7E50E0" w14:textId="3970BB18"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Classroom culture and actions for inclusive education showed a mix of supportive and exclusionary practices. Teachers made accommodations for sensory needs, such as special seating or headphones, and used proactive behavior management strategies, like teaching self-regulation skills and providing time-out corners for inattentive students (Tiwari, 2023; D’Souza &amp; Johnson, 2015). Efforts to create a positive environment included emotional support, moral encouragement, and modeling of appropriate behaviors to boost student confidence (D’Souza &amp; Johnson, 2015). Some teachers went beyond standard practices by using creative resources or engaging with parents and special educators to better understand disabilities like autism (Rangarajan et al., 2023; Taneja-Johansson, 2014). However, significant challenges persisted, including unidirectional instruction and a heavy focus on teaching to the test, which limited the scope for interactive and student-centered learning (Tiwari, 2023; </w:t>
      </w:r>
      <w:proofErr w:type="spellStart"/>
      <w:r w:rsidRPr="00843D4F">
        <w:rPr>
          <w:rFonts w:ascii="Arial" w:eastAsia="Times New Roman" w:hAnsi="Arial" w:cs="Arial"/>
          <w:sz w:val="20"/>
          <w:szCs w:val="20"/>
          <w:lang w:val="en"/>
        </w:rPr>
        <w:t>Naraian</w:t>
      </w:r>
      <w:proofErr w:type="spellEnd"/>
      <w:r w:rsidRPr="00843D4F">
        <w:rPr>
          <w:rFonts w:ascii="Arial" w:eastAsia="Times New Roman" w:hAnsi="Arial" w:cs="Arial"/>
          <w:sz w:val="20"/>
          <w:szCs w:val="20"/>
          <w:lang w:val="en"/>
        </w:rPr>
        <w:t>, 2013).</w:t>
      </w:r>
    </w:p>
    <w:p w14:paraId="17F17885" w14:textId="77777777" w:rsidR="004D4C86"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Instances of exclusion were also prevalent, as SWD were often ignored, seated away from peers, or not provided tailored learning goals, especially for students with intellectual disabilities (Taneja-Johansson et al., 2023). Teachers tended to prioritize high-performing students, leaving struggling learners and SWD marginalized (Kundu &amp; Rice, 2019; Taneja-Johansson et al., 2023). Structural limitations, such as a lack of special facilities and an emphasis on performance culture in mainstream schools, further relegated SWD (Charles &amp; </w:t>
      </w:r>
      <w:proofErr w:type="spellStart"/>
      <w:r w:rsidRPr="00843D4F">
        <w:rPr>
          <w:rFonts w:ascii="Arial" w:eastAsia="Times New Roman" w:hAnsi="Arial" w:cs="Arial"/>
          <w:sz w:val="20"/>
          <w:szCs w:val="20"/>
          <w:lang w:val="en"/>
        </w:rPr>
        <w:t>Padhy</w:t>
      </w:r>
      <w:proofErr w:type="spellEnd"/>
      <w:r w:rsidRPr="00843D4F">
        <w:rPr>
          <w:rFonts w:ascii="Arial" w:eastAsia="Times New Roman" w:hAnsi="Arial" w:cs="Arial"/>
          <w:sz w:val="20"/>
          <w:szCs w:val="20"/>
          <w:lang w:val="en"/>
        </w:rPr>
        <w:t>, 2019; Mohanty &amp; Nanda, 2017). Despite these barriers, iterative efforts by some teachers, including constant self-improvement and mutual respect, indicated potential for gradual change (Forber-Pratt &amp; Sarkar, 2021; Rangarajan et al., 2023). Overall, we see a mix of promise and barriers in the practice of inclusive education.</w:t>
      </w:r>
    </w:p>
    <w:p w14:paraId="36E420A3" w14:textId="77777777" w:rsidR="00920D27" w:rsidRDefault="00920D27" w:rsidP="00843D4F">
      <w:pPr>
        <w:spacing w:after="0" w:line="240" w:lineRule="auto"/>
        <w:rPr>
          <w:rFonts w:ascii="Arial" w:eastAsia="Times New Roman" w:hAnsi="Arial" w:cs="Arial"/>
          <w:sz w:val="20"/>
          <w:szCs w:val="20"/>
          <w:lang w:val="en"/>
        </w:rPr>
      </w:pPr>
    </w:p>
    <w:p w14:paraId="1BFD20BC" w14:textId="77777777" w:rsidR="005D7D7A" w:rsidRDefault="005D7D7A" w:rsidP="00843D4F">
      <w:pPr>
        <w:spacing w:after="0" w:line="240" w:lineRule="auto"/>
        <w:rPr>
          <w:rFonts w:ascii="Arial" w:eastAsia="Times New Roman" w:hAnsi="Arial" w:cs="Arial"/>
          <w:sz w:val="20"/>
          <w:szCs w:val="20"/>
          <w:lang w:val="en"/>
        </w:rPr>
      </w:pPr>
    </w:p>
    <w:p w14:paraId="4713A2BA" w14:textId="77777777" w:rsidR="005D7D7A" w:rsidRPr="00843D4F" w:rsidRDefault="005D7D7A" w:rsidP="00843D4F">
      <w:pPr>
        <w:spacing w:after="0" w:line="240" w:lineRule="auto"/>
        <w:rPr>
          <w:rFonts w:ascii="Arial" w:eastAsia="Times New Roman" w:hAnsi="Arial" w:cs="Arial"/>
          <w:sz w:val="20"/>
          <w:szCs w:val="20"/>
          <w:lang w:val="en"/>
        </w:rPr>
      </w:pPr>
    </w:p>
    <w:p w14:paraId="25A9434F" w14:textId="2DCAADFE" w:rsidR="004D4C86" w:rsidRPr="00843D4F" w:rsidRDefault="00843D4F" w:rsidP="00843D4F">
      <w:pPr>
        <w:spacing w:after="0" w:line="240" w:lineRule="auto"/>
        <w:rPr>
          <w:rFonts w:ascii="Arial" w:eastAsia="Times New Roman" w:hAnsi="Arial" w:cs="Arial"/>
          <w:b/>
          <w:iCs/>
          <w:sz w:val="22"/>
          <w:szCs w:val="22"/>
          <w:u w:val="single"/>
          <w:lang w:val="en"/>
        </w:rPr>
      </w:pPr>
      <w:r w:rsidRPr="00843D4F">
        <w:rPr>
          <w:rFonts w:ascii="Arial" w:eastAsia="Times New Roman" w:hAnsi="Arial" w:cs="Arial"/>
          <w:b/>
          <w:iCs/>
          <w:sz w:val="22"/>
          <w:szCs w:val="22"/>
          <w:u w:val="single"/>
          <w:lang w:val="en"/>
        </w:rPr>
        <w:lastRenderedPageBreak/>
        <w:t xml:space="preserve">3.1.3. </w:t>
      </w:r>
      <w:r w:rsidR="004D4C86" w:rsidRPr="00843D4F">
        <w:rPr>
          <w:rFonts w:ascii="Arial" w:eastAsia="Times New Roman" w:hAnsi="Arial" w:cs="Arial"/>
          <w:b/>
          <w:iCs/>
          <w:sz w:val="22"/>
          <w:szCs w:val="22"/>
          <w:u w:val="single"/>
          <w:lang w:val="en"/>
        </w:rPr>
        <w:t>Placement</w:t>
      </w:r>
    </w:p>
    <w:p w14:paraId="67375C3A" w14:textId="77777777" w:rsidR="00920D27" w:rsidRDefault="00920D27" w:rsidP="00920D27">
      <w:pPr>
        <w:spacing w:after="0" w:line="240" w:lineRule="auto"/>
        <w:rPr>
          <w:rFonts w:ascii="Arial" w:eastAsia="Times New Roman" w:hAnsi="Arial" w:cs="Arial"/>
          <w:sz w:val="20"/>
          <w:szCs w:val="20"/>
          <w:lang w:val="en"/>
        </w:rPr>
      </w:pPr>
    </w:p>
    <w:p w14:paraId="698801FE" w14:textId="052E95D9" w:rsidR="004D4C86" w:rsidRDefault="004D4C86" w:rsidP="00920D27">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The third largest category to emerge was location of placement of SWD, with 32 codes in nine studies (Ahmed &amp; Ali, 2021; Charles &amp; </w:t>
      </w:r>
      <w:proofErr w:type="spellStart"/>
      <w:r w:rsidRPr="00843D4F">
        <w:rPr>
          <w:rFonts w:ascii="Arial" w:eastAsia="Times New Roman" w:hAnsi="Arial" w:cs="Arial"/>
          <w:sz w:val="20"/>
          <w:szCs w:val="20"/>
          <w:lang w:val="en"/>
        </w:rPr>
        <w:t>Padhy</w:t>
      </w:r>
      <w:proofErr w:type="spellEnd"/>
      <w:r w:rsidRPr="00843D4F">
        <w:rPr>
          <w:rFonts w:ascii="Arial" w:eastAsia="Times New Roman" w:hAnsi="Arial" w:cs="Arial"/>
          <w:sz w:val="20"/>
          <w:szCs w:val="20"/>
          <w:lang w:val="en"/>
        </w:rPr>
        <w:t xml:space="preserve">, 2019; Elton-Chalcraft et al., 2016; </w:t>
      </w:r>
      <w:proofErr w:type="spellStart"/>
      <w:r w:rsidRPr="00843D4F">
        <w:rPr>
          <w:rFonts w:ascii="Arial" w:eastAsia="Times New Roman" w:hAnsi="Arial" w:cs="Arial"/>
          <w:sz w:val="20"/>
          <w:szCs w:val="20"/>
          <w:lang w:val="en"/>
        </w:rPr>
        <w:t>Naraian</w:t>
      </w:r>
      <w:proofErr w:type="spellEnd"/>
      <w:r w:rsidRPr="00843D4F">
        <w:rPr>
          <w:rFonts w:ascii="Arial" w:eastAsia="Times New Roman" w:hAnsi="Arial" w:cs="Arial"/>
          <w:sz w:val="20"/>
          <w:szCs w:val="20"/>
          <w:lang w:val="en"/>
        </w:rPr>
        <w:t xml:space="preserve">, 2013; Ramchand, 2021; Sawhney, 2015; Taneja-Johansson et al., 2023; Tiwari, 2023; Tiwari et al., 2015). Teachers described placing SWD in front rows or with siblings to facilitate note-taking; there were also instances where seating arrangements were based on ability or gender (Ramchand, 2021; Taneja-Johansson et al., 2023). Resource units and pull-out sessions were used to provide targeted academic support for struggling students, both in private and government schools (Elton-Chalcraft et al., 2016; Tiwari et al., 2015). However, space constraints often limited effective inclusion, with teachers unable to maneuver or integrate assistive technologies within overcrowded classrooms (Tiwari, 2023). Additionally, some schools served as de facto centers for SWD due to the presence of trained staff, while others transferred students deemed "uneducable" to special schools (Ramchand, 2021; Elton-Chalcraft et al., 2016). </w:t>
      </w:r>
    </w:p>
    <w:p w14:paraId="6553D095" w14:textId="77777777" w:rsidR="00920D27" w:rsidRPr="00843D4F" w:rsidRDefault="00920D27" w:rsidP="00920D27">
      <w:pPr>
        <w:spacing w:after="0" w:line="240" w:lineRule="auto"/>
        <w:rPr>
          <w:rFonts w:ascii="Arial" w:eastAsia="Times New Roman" w:hAnsi="Arial" w:cs="Arial"/>
          <w:sz w:val="20"/>
          <w:szCs w:val="20"/>
          <w:lang w:val="en"/>
        </w:rPr>
      </w:pPr>
    </w:p>
    <w:p w14:paraId="21C15460" w14:textId="75EECC43" w:rsidR="004D4C86" w:rsidRDefault="00843D4F" w:rsidP="00843D4F">
      <w:pPr>
        <w:spacing w:after="0" w:line="240" w:lineRule="auto"/>
        <w:rPr>
          <w:rFonts w:ascii="Arial" w:eastAsia="Times New Roman" w:hAnsi="Arial" w:cs="Arial"/>
          <w:b/>
          <w:iCs/>
          <w:sz w:val="22"/>
          <w:szCs w:val="22"/>
          <w:u w:val="single"/>
          <w:lang w:val="en"/>
        </w:rPr>
      </w:pPr>
      <w:r w:rsidRPr="00843D4F">
        <w:rPr>
          <w:rFonts w:ascii="Arial" w:eastAsia="Times New Roman" w:hAnsi="Arial" w:cs="Arial"/>
          <w:b/>
          <w:iCs/>
          <w:sz w:val="22"/>
          <w:szCs w:val="22"/>
          <w:u w:val="single"/>
          <w:lang w:val="en"/>
        </w:rPr>
        <w:t xml:space="preserve">3.1.4. </w:t>
      </w:r>
      <w:r w:rsidR="004D4C86" w:rsidRPr="00843D4F">
        <w:rPr>
          <w:rFonts w:ascii="Arial" w:eastAsia="Times New Roman" w:hAnsi="Arial" w:cs="Arial"/>
          <w:b/>
          <w:iCs/>
          <w:sz w:val="22"/>
          <w:szCs w:val="22"/>
          <w:u w:val="single"/>
          <w:lang w:val="en"/>
        </w:rPr>
        <w:t>Adaptations</w:t>
      </w:r>
    </w:p>
    <w:p w14:paraId="15B6141F" w14:textId="77777777" w:rsidR="00920D27" w:rsidRDefault="00920D27" w:rsidP="00843D4F">
      <w:pPr>
        <w:spacing w:after="0" w:line="240" w:lineRule="auto"/>
        <w:rPr>
          <w:rFonts w:ascii="Arial" w:eastAsia="Times New Roman" w:hAnsi="Arial" w:cs="Arial"/>
          <w:b/>
          <w:iCs/>
          <w:sz w:val="22"/>
          <w:szCs w:val="22"/>
          <w:u w:val="single"/>
          <w:lang w:val="en"/>
        </w:rPr>
      </w:pPr>
    </w:p>
    <w:p w14:paraId="10CEBE52" w14:textId="77777777" w:rsidR="004D4C86" w:rsidRDefault="004D4C86" w:rsidP="00920D27">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The fourth largest category to emerge was classroom culture and action, which referred to modifications in the classroom, curriculum, or teaching strategies, including one-on-one support and IEPs, to support SWD and other marginalized learners with 34 codes in eight studies (Elton-Chalcraft et al., 2016; Forber-Pratt &amp; Sarkar, 2021; Kundu &amp; Rice, 2019; Mohanty &amp; Nanda, 2017; </w:t>
      </w:r>
      <w:proofErr w:type="spellStart"/>
      <w:r w:rsidRPr="00843D4F">
        <w:rPr>
          <w:rFonts w:ascii="Arial" w:eastAsia="Times New Roman" w:hAnsi="Arial" w:cs="Arial"/>
          <w:sz w:val="20"/>
          <w:szCs w:val="20"/>
          <w:lang w:val="en"/>
        </w:rPr>
        <w:t>Naraian</w:t>
      </w:r>
      <w:proofErr w:type="spellEnd"/>
      <w:r w:rsidRPr="00843D4F">
        <w:rPr>
          <w:rFonts w:ascii="Arial" w:eastAsia="Times New Roman" w:hAnsi="Arial" w:cs="Arial"/>
          <w:sz w:val="20"/>
          <w:szCs w:val="20"/>
          <w:lang w:val="en"/>
        </w:rPr>
        <w:t xml:space="preserve">, 2013; Rose et al., 2021; Taneja-Johansson et al., 2023; Tiwari, 2023). Teachers implemented various adaptations to create inclusive classrooms, tailoring their approaches to meet the diverse needs of students. Curricular modifications were a key focus, with some schools adopting alternative curricula or flexible options like the National Institute of Open Schooling (NIOS) to accommodate students who struggled with mainstream academic pathways (Elton-Chalcraft et al., 2016; </w:t>
      </w:r>
      <w:proofErr w:type="spellStart"/>
      <w:r w:rsidRPr="00843D4F">
        <w:rPr>
          <w:rFonts w:ascii="Arial" w:eastAsia="Times New Roman" w:hAnsi="Arial" w:cs="Arial"/>
          <w:sz w:val="20"/>
          <w:szCs w:val="20"/>
          <w:lang w:val="en"/>
        </w:rPr>
        <w:t>Naraian</w:t>
      </w:r>
      <w:proofErr w:type="spellEnd"/>
      <w:r w:rsidRPr="00843D4F">
        <w:rPr>
          <w:rFonts w:ascii="Arial" w:eastAsia="Times New Roman" w:hAnsi="Arial" w:cs="Arial"/>
          <w:sz w:val="20"/>
          <w:szCs w:val="20"/>
          <w:lang w:val="en"/>
        </w:rPr>
        <w:t xml:space="preserve">, 2013). Strategies such as differentiated instruction, multisensory teaching, and personalized lesson plans were used to support learner-specific needs (Kundu &amp; Rice, 2019; Elton-Chalcraft et al., 2016). Individualized Education Plans (IEPs) were used, but challenges such as limited teacher knowledge and inadequate implementation hindered their effectiveness (Tiwari, 2023). Additional adaptations included one-on-one time with students, leveraging peer support systems, and utilizing proactive behavior management techniques for engagement (Taneja-Johansson et al., 2023; Rose et al., 2021; D'Souza &amp; Johnson, 2015). </w:t>
      </w:r>
    </w:p>
    <w:p w14:paraId="585AAF1E" w14:textId="77777777" w:rsidR="00920D27" w:rsidRPr="00843D4F" w:rsidRDefault="00920D27" w:rsidP="00920D27">
      <w:pPr>
        <w:spacing w:after="0" w:line="240" w:lineRule="auto"/>
        <w:rPr>
          <w:rFonts w:ascii="Arial" w:eastAsia="Times New Roman" w:hAnsi="Arial" w:cs="Arial"/>
          <w:sz w:val="20"/>
          <w:szCs w:val="20"/>
          <w:lang w:val="en"/>
        </w:rPr>
      </w:pPr>
    </w:p>
    <w:p w14:paraId="0D1DBEBB" w14:textId="77777777" w:rsidR="00920D27" w:rsidRDefault="00843D4F" w:rsidP="00843D4F">
      <w:pPr>
        <w:spacing w:after="0" w:line="240" w:lineRule="auto"/>
        <w:rPr>
          <w:rFonts w:ascii="Arial" w:eastAsia="Times New Roman" w:hAnsi="Arial" w:cs="Arial"/>
          <w:b/>
          <w:lang w:val="en"/>
        </w:rPr>
      </w:pPr>
      <w:r w:rsidRPr="00843D4F">
        <w:rPr>
          <w:rFonts w:ascii="Arial" w:eastAsia="Times New Roman" w:hAnsi="Arial" w:cs="Arial"/>
          <w:b/>
          <w:sz w:val="22"/>
          <w:szCs w:val="22"/>
          <w:lang w:val="en"/>
        </w:rPr>
        <w:t xml:space="preserve">3.2. </w:t>
      </w:r>
      <w:r w:rsidR="004D4C86" w:rsidRPr="00843D4F">
        <w:rPr>
          <w:rFonts w:ascii="Arial" w:eastAsia="Times New Roman" w:hAnsi="Arial" w:cs="Arial"/>
          <w:b/>
          <w:sz w:val="22"/>
          <w:szCs w:val="22"/>
          <w:lang w:val="en"/>
        </w:rPr>
        <w:t>Professional Development for Inclusive Education in India</w:t>
      </w:r>
      <w:r w:rsidR="004D4C86" w:rsidRPr="00843D4F">
        <w:rPr>
          <w:rFonts w:ascii="Arial" w:eastAsia="Times New Roman" w:hAnsi="Arial" w:cs="Arial"/>
          <w:b/>
          <w:lang w:val="en"/>
        </w:rPr>
        <w:t xml:space="preserve"> </w:t>
      </w:r>
    </w:p>
    <w:p w14:paraId="6668024A" w14:textId="2CDBF39E" w:rsidR="004D4C86"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b/>
          <w:lang w:val="en"/>
        </w:rPr>
        <w:br/>
      </w:r>
      <w:r w:rsidRPr="00843D4F">
        <w:rPr>
          <w:rFonts w:ascii="Arial" w:eastAsia="Times New Roman" w:hAnsi="Arial" w:cs="Arial"/>
          <w:sz w:val="20"/>
          <w:szCs w:val="20"/>
          <w:lang w:val="en"/>
        </w:rPr>
        <w:t xml:space="preserve">This section presents the results of open coding applied to data on educators' perceptions of the training they received for inclusive education. Out of the studies included in the review,, only 12 studies referred to teacher preparation (Bhatnagar &amp; Das, 2014; Charles &amp; </w:t>
      </w:r>
      <w:proofErr w:type="spellStart"/>
      <w:r w:rsidRPr="00843D4F">
        <w:rPr>
          <w:rFonts w:ascii="Arial" w:eastAsia="Times New Roman" w:hAnsi="Arial" w:cs="Arial"/>
          <w:sz w:val="20"/>
          <w:szCs w:val="20"/>
          <w:lang w:val="en"/>
        </w:rPr>
        <w:t>Padhy</w:t>
      </w:r>
      <w:proofErr w:type="spellEnd"/>
      <w:r w:rsidRPr="00843D4F">
        <w:rPr>
          <w:rFonts w:ascii="Arial" w:eastAsia="Times New Roman" w:hAnsi="Arial" w:cs="Arial"/>
          <w:sz w:val="20"/>
          <w:szCs w:val="20"/>
          <w:lang w:val="en"/>
        </w:rPr>
        <w:t xml:space="preserve">, 2019; Devi &amp; Reddy, 2016; D'Souza &amp; Johnson, 2015; Elton-Chalcraft et al., 2016; Kundu &amp; Rice, 2019; </w:t>
      </w:r>
      <w:proofErr w:type="spellStart"/>
      <w:r w:rsidRPr="00843D4F">
        <w:rPr>
          <w:rFonts w:ascii="Arial" w:eastAsia="Times New Roman" w:hAnsi="Arial" w:cs="Arial"/>
          <w:sz w:val="20"/>
          <w:szCs w:val="20"/>
          <w:lang w:val="en"/>
        </w:rPr>
        <w:t>Misquitta</w:t>
      </w:r>
      <w:proofErr w:type="spellEnd"/>
      <w:r w:rsidRPr="00843D4F">
        <w:rPr>
          <w:rFonts w:ascii="Arial" w:eastAsia="Times New Roman" w:hAnsi="Arial" w:cs="Arial"/>
          <w:sz w:val="20"/>
          <w:szCs w:val="20"/>
          <w:lang w:val="en"/>
        </w:rPr>
        <w:t xml:space="preserve"> &amp; Joshi, 2022; Mohanty &amp; Nanda, 2017; Ramchand, 2022; Sawhney, 2015; Taneja-Johansson, 2014; Taneja-Johansson et al., 2023). One study described the details of an in-service professional development program. The remaining 11 studies were educators recounting the professional development they had received. The key categories that emerged include teachers describing training to be insufficient or ineffective, followed by enablers, training gaps, and training they desired. Table 3 illustrates the proportion of these categories as identified through the coding process.</w:t>
      </w:r>
      <w:r w:rsidRPr="00843D4F">
        <w:rPr>
          <w:rFonts w:ascii="Arial" w:eastAsia="Times New Roman" w:hAnsi="Arial" w:cs="Arial"/>
          <w:sz w:val="20"/>
          <w:szCs w:val="20"/>
          <w:lang w:val="en"/>
        </w:rPr>
        <w:tab/>
      </w:r>
    </w:p>
    <w:p w14:paraId="18FC24EB" w14:textId="77777777" w:rsidR="00920D27" w:rsidRDefault="00920D27" w:rsidP="00843D4F">
      <w:pPr>
        <w:spacing w:after="0" w:line="240" w:lineRule="auto"/>
        <w:rPr>
          <w:rFonts w:ascii="Arial" w:eastAsia="Times New Roman" w:hAnsi="Arial" w:cs="Arial"/>
          <w:sz w:val="20"/>
          <w:szCs w:val="20"/>
          <w:lang w:val="en"/>
        </w:rPr>
      </w:pPr>
    </w:p>
    <w:p w14:paraId="3BF6F8CF" w14:textId="77777777" w:rsidR="00920D27" w:rsidRPr="00843D4F" w:rsidRDefault="00920D27" w:rsidP="00843D4F">
      <w:pPr>
        <w:spacing w:after="0" w:line="240" w:lineRule="auto"/>
        <w:rPr>
          <w:rFonts w:ascii="Arial" w:eastAsia="Times New Roman" w:hAnsi="Arial" w:cs="Arial"/>
          <w:sz w:val="20"/>
          <w:szCs w:val="20"/>
          <w:lang w:val="en"/>
        </w:rPr>
      </w:pPr>
    </w:p>
    <w:p w14:paraId="56A268D2" w14:textId="77777777" w:rsidR="009E2C2B" w:rsidRPr="00843D4F" w:rsidRDefault="009E2C2B" w:rsidP="00843D4F">
      <w:pPr>
        <w:spacing w:after="0" w:line="240" w:lineRule="auto"/>
        <w:rPr>
          <w:rFonts w:ascii="Arial" w:eastAsia="Times New Roman" w:hAnsi="Arial" w:cs="Arial"/>
          <w:b/>
          <w:sz w:val="20"/>
          <w:szCs w:val="20"/>
          <w:lang w:val="en"/>
        </w:rPr>
      </w:pPr>
      <w:r w:rsidRPr="00843D4F">
        <w:rPr>
          <w:rFonts w:ascii="Arial" w:eastAsia="Times New Roman" w:hAnsi="Arial" w:cs="Arial"/>
          <w:b/>
          <w:sz w:val="20"/>
          <w:szCs w:val="20"/>
          <w:lang w:val="en"/>
        </w:rPr>
        <w:br w:type="page"/>
      </w:r>
    </w:p>
    <w:p w14:paraId="3F2CBB0E" w14:textId="747F6714"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b/>
          <w:sz w:val="20"/>
          <w:szCs w:val="20"/>
          <w:lang w:val="en"/>
        </w:rPr>
        <w:lastRenderedPageBreak/>
        <w:t>Table 3</w:t>
      </w:r>
    </w:p>
    <w:p w14:paraId="3210F0B0"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i/>
          <w:sz w:val="20"/>
          <w:szCs w:val="20"/>
          <w:lang w:val="en"/>
        </w:rPr>
        <w:t>Frequency Distribution of Categories in Professional Development for Inclusive Education</w:t>
      </w:r>
    </w:p>
    <w:tbl>
      <w:tblPr>
        <w:tblW w:w="8550" w:type="dxa"/>
        <w:tblBorders>
          <w:insideH w:val="nil"/>
          <w:insideV w:val="nil"/>
        </w:tblBorders>
        <w:tblLayout w:type="fixed"/>
        <w:tblLook w:val="0600" w:firstRow="0" w:lastRow="0" w:firstColumn="0" w:lastColumn="0" w:noHBand="1" w:noVBand="1"/>
      </w:tblPr>
      <w:tblGrid>
        <w:gridCol w:w="2520"/>
        <w:gridCol w:w="1500"/>
        <w:gridCol w:w="4530"/>
      </w:tblGrid>
      <w:tr w:rsidR="004D4C86" w:rsidRPr="00843D4F" w14:paraId="50E8D7E1" w14:textId="77777777" w:rsidTr="004D4C86">
        <w:trPr>
          <w:trHeight w:val="422"/>
        </w:trPr>
        <w:tc>
          <w:tcPr>
            <w:tcW w:w="2520" w:type="dxa"/>
            <w:tcBorders>
              <w:top w:val="single" w:sz="4" w:space="0" w:color="000000"/>
              <w:left w:val="single" w:sz="4" w:space="0" w:color="FFFFFF"/>
              <w:bottom w:val="single" w:sz="4" w:space="0" w:color="000000"/>
              <w:right w:val="single" w:sz="4" w:space="0" w:color="FFFFFF"/>
            </w:tcBorders>
            <w:tcMar>
              <w:top w:w="40" w:type="dxa"/>
              <w:left w:w="40" w:type="dxa"/>
              <w:bottom w:w="40" w:type="dxa"/>
              <w:right w:w="40" w:type="dxa"/>
            </w:tcMar>
            <w:hideMark/>
          </w:tcPr>
          <w:p w14:paraId="4EEE594B"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b/>
                <w:sz w:val="20"/>
                <w:szCs w:val="20"/>
                <w:lang w:val="en"/>
              </w:rPr>
              <w:t>Categories</w:t>
            </w:r>
          </w:p>
        </w:tc>
        <w:tc>
          <w:tcPr>
            <w:tcW w:w="1500" w:type="dxa"/>
            <w:tcBorders>
              <w:top w:val="single" w:sz="4" w:space="0" w:color="000000"/>
              <w:left w:val="single" w:sz="4" w:space="0" w:color="FFFFFF"/>
              <w:bottom w:val="single" w:sz="4" w:space="0" w:color="000000"/>
              <w:right w:val="single" w:sz="4" w:space="0" w:color="FFFFFF"/>
            </w:tcBorders>
            <w:tcMar>
              <w:top w:w="40" w:type="dxa"/>
              <w:left w:w="40" w:type="dxa"/>
              <w:bottom w:w="40" w:type="dxa"/>
              <w:right w:w="40" w:type="dxa"/>
            </w:tcMar>
            <w:hideMark/>
          </w:tcPr>
          <w:p w14:paraId="28E4656B"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b/>
                <w:sz w:val="20"/>
                <w:szCs w:val="20"/>
                <w:lang w:val="en"/>
              </w:rPr>
              <w:t>Frequency</w:t>
            </w:r>
          </w:p>
        </w:tc>
        <w:tc>
          <w:tcPr>
            <w:tcW w:w="4530" w:type="dxa"/>
            <w:tcBorders>
              <w:top w:val="single" w:sz="4" w:space="0" w:color="000000"/>
              <w:left w:val="single" w:sz="4" w:space="0" w:color="FFFFFF"/>
              <w:bottom w:val="single" w:sz="4" w:space="0" w:color="000000"/>
              <w:right w:val="single" w:sz="4" w:space="0" w:color="FFFFFF"/>
            </w:tcBorders>
            <w:tcMar>
              <w:top w:w="40" w:type="dxa"/>
              <w:left w:w="40" w:type="dxa"/>
              <w:bottom w:w="40" w:type="dxa"/>
              <w:right w:w="40" w:type="dxa"/>
            </w:tcMar>
            <w:hideMark/>
          </w:tcPr>
          <w:p w14:paraId="5D13852C"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b/>
                <w:sz w:val="20"/>
                <w:szCs w:val="20"/>
                <w:lang w:val="en"/>
              </w:rPr>
              <w:t>Examples of codes</w:t>
            </w:r>
          </w:p>
        </w:tc>
      </w:tr>
      <w:tr w:rsidR="004D4C86" w:rsidRPr="00843D4F" w14:paraId="272AA8A6" w14:textId="77777777" w:rsidTr="004D4C86">
        <w:trPr>
          <w:trHeight w:val="615"/>
        </w:trPr>
        <w:tc>
          <w:tcPr>
            <w:tcW w:w="2520" w:type="dxa"/>
            <w:tcBorders>
              <w:top w:val="single" w:sz="4" w:space="0" w:color="000000"/>
              <w:left w:val="single" w:sz="4" w:space="0" w:color="FFFFFF"/>
              <w:bottom w:val="single" w:sz="4" w:space="0" w:color="FFFFFF"/>
              <w:right w:val="single" w:sz="4" w:space="0" w:color="FFFFFF"/>
            </w:tcBorders>
            <w:tcMar>
              <w:top w:w="40" w:type="dxa"/>
              <w:left w:w="40" w:type="dxa"/>
              <w:bottom w:w="40" w:type="dxa"/>
              <w:right w:w="40" w:type="dxa"/>
            </w:tcMar>
            <w:hideMark/>
          </w:tcPr>
          <w:p w14:paraId="0FAEA5FD"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Insufficient</w:t>
            </w:r>
          </w:p>
        </w:tc>
        <w:tc>
          <w:tcPr>
            <w:tcW w:w="1500" w:type="dxa"/>
            <w:tcBorders>
              <w:top w:val="single" w:sz="4" w:space="0" w:color="000000"/>
              <w:left w:val="single" w:sz="4" w:space="0" w:color="FFFFFF"/>
              <w:bottom w:val="single" w:sz="4" w:space="0" w:color="FFFFFF"/>
              <w:right w:val="single" w:sz="4" w:space="0" w:color="FFFFFF"/>
            </w:tcBorders>
            <w:tcMar>
              <w:top w:w="40" w:type="dxa"/>
              <w:left w:w="40" w:type="dxa"/>
              <w:bottom w:w="40" w:type="dxa"/>
              <w:right w:w="40" w:type="dxa"/>
            </w:tcMar>
            <w:hideMark/>
          </w:tcPr>
          <w:p w14:paraId="3A2286D2"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29</w:t>
            </w:r>
          </w:p>
        </w:tc>
        <w:tc>
          <w:tcPr>
            <w:tcW w:w="4530" w:type="dxa"/>
            <w:tcBorders>
              <w:top w:val="single" w:sz="4" w:space="0" w:color="000000"/>
              <w:left w:val="single" w:sz="4" w:space="0" w:color="FFFFFF"/>
              <w:bottom w:val="single" w:sz="4" w:space="0" w:color="FFFFFF"/>
              <w:right w:val="single" w:sz="4" w:space="0" w:color="FFFFFF"/>
            </w:tcBorders>
            <w:tcMar>
              <w:top w:w="40" w:type="dxa"/>
              <w:left w:w="40" w:type="dxa"/>
              <w:bottom w:w="40" w:type="dxa"/>
              <w:right w:w="40" w:type="dxa"/>
            </w:tcMar>
            <w:hideMark/>
          </w:tcPr>
          <w:p w14:paraId="599AEAB3"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limited component on inclusion; no practical exposure</w:t>
            </w:r>
          </w:p>
        </w:tc>
      </w:tr>
      <w:tr w:rsidR="004D4C86" w:rsidRPr="00843D4F" w14:paraId="3B229050" w14:textId="77777777" w:rsidTr="004D4C86">
        <w:trPr>
          <w:trHeight w:val="61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2A94B70E"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Enablers</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263F6A41"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10</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69DC151B"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adaptation for low-resource environment; Interaction with other professionals</w:t>
            </w:r>
          </w:p>
        </w:tc>
      </w:tr>
      <w:tr w:rsidR="004D4C86" w:rsidRPr="00843D4F" w14:paraId="5A7D8CD2" w14:textId="77777777" w:rsidTr="004D4C86">
        <w:trPr>
          <w:trHeight w:val="61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38072F4B"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Training Gap</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06AE2F1C"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10</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6351F6FF"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insufficient special education training; no training: differentiated instruction</w:t>
            </w:r>
          </w:p>
        </w:tc>
      </w:tr>
      <w:tr w:rsidR="004D4C86" w:rsidRPr="00843D4F" w14:paraId="70E34EBD" w14:textId="77777777" w:rsidTr="004D4C86">
        <w:trPr>
          <w:trHeight w:val="61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1D903B9E"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Desired Training</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414BE262"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10</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1738961B"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incentivization of inclusion training; Master trainers for IE</w:t>
            </w:r>
          </w:p>
        </w:tc>
      </w:tr>
      <w:tr w:rsidR="004D4C86" w:rsidRPr="00843D4F" w14:paraId="53CC2529" w14:textId="77777777" w:rsidTr="004D4C86">
        <w:trPr>
          <w:trHeight w:val="34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5B50AD0F"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Skills Needed</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410BF0CA"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9</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02215525"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skills/ competence/ability</w:t>
            </w:r>
          </w:p>
        </w:tc>
      </w:tr>
      <w:tr w:rsidR="004D4C86" w:rsidRPr="00843D4F" w14:paraId="341DCAD1" w14:textId="77777777" w:rsidTr="004D4C86">
        <w:trPr>
          <w:trHeight w:val="34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59BA82FE"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ID-Focused Training</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634026BC"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4</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2F1AD9AF"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focus on identification</w:t>
            </w:r>
          </w:p>
        </w:tc>
      </w:tr>
      <w:tr w:rsidR="004D4C86" w:rsidRPr="00843D4F" w14:paraId="2D5B243A" w14:textId="77777777" w:rsidTr="004D4C86">
        <w:trPr>
          <w:trHeight w:val="34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75FA8F43"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Inclusion Skills Lacking</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2856E74A"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2</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28F3D5BB"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Not trained for IE</w:t>
            </w:r>
          </w:p>
        </w:tc>
      </w:tr>
      <w:tr w:rsidR="004D4C86" w:rsidRPr="00843D4F" w14:paraId="0D4352C3" w14:textId="77777777" w:rsidTr="004D4C86">
        <w:trPr>
          <w:trHeight w:val="34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1C898EE1"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Single-Disability Focus</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643AFDFD"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2</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462ED237"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focus on specific disabilities</w:t>
            </w:r>
          </w:p>
        </w:tc>
      </w:tr>
      <w:tr w:rsidR="004D4C86" w:rsidRPr="00843D4F" w14:paraId="2FA9900D" w14:textId="77777777" w:rsidTr="004D4C86">
        <w:trPr>
          <w:trHeight w:val="34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6ACAC0F4"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Support</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7F5940BB"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2</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1E153BF3"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insufficient support</w:t>
            </w:r>
          </w:p>
        </w:tc>
      </w:tr>
      <w:tr w:rsidR="004D4C86" w:rsidRPr="00843D4F" w14:paraId="75A6E37F" w14:textId="77777777" w:rsidTr="00920D27">
        <w:trPr>
          <w:trHeight w:val="463"/>
        </w:trPr>
        <w:tc>
          <w:tcPr>
            <w:tcW w:w="2520" w:type="dxa"/>
            <w:tcBorders>
              <w:top w:val="single" w:sz="4" w:space="0" w:color="FFFFFF"/>
              <w:left w:val="single" w:sz="4" w:space="0" w:color="FFFFFF"/>
              <w:bottom w:val="single" w:sz="4" w:space="0" w:color="000000"/>
              <w:right w:val="single" w:sz="4" w:space="0" w:color="FFFFFF"/>
            </w:tcBorders>
            <w:tcMar>
              <w:top w:w="40" w:type="dxa"/>
              <w:left w:w="40" w:type="dxa"/>
              <w:bottom w:w="40" w:type="dxa"/>
              <w:right w:w="40" w:type="dxa"/>
            </w:tcMar>
            <w:hideMark/>
          </w:tcPr>
          <w:p w14:paraId="17081419"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Teacher Shortage</w:t>
            </w:r>
          </w:p>
        </w:tc>
        <w:tc>
          <w:tcPr>
            <w:tcW w:w="1500" w:type="dxa"/>
            <w:tcBorders>
              <w:top w:val="single" w:sz="4" w:space="0" w:color="FFFFFF"/>
              <w:left w:val="single" w:sz="4" w:space="0" w:color="FFFFFF"/>
              <w:bottom w:val="single" w:sz="4" w:space="0" w:color="000000"/>
              <w:right w:val="single" w:sz="4" w:space="0" w:color="FFFFFF"/>
            </w:tcBorders>
            <w:tcMar>
              <w:top w:w="40" w:type="dxa"/>
              <w:left w:w="40" w:type="dxa"/>
              <w:bottom w:w="40" w:type="dxa"/>
              <w:right w:w="40" w:type="dxa"/>
            </w:tcMar>
            <w:hideMark/>
          </w:tcPr>
          <w:p w14:paraId="2BF7C09A"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2</w:t>
            </w:r>
          </w:p>
        </w:tc>
        <w:tc>
          <w:tcPr>
            <w:tcW w:w="4530" w:type="dxa"/>
            <w:tcBorders>
              <w:top w:val="single" w:sz="4" w:space="0" w:color="FFFFFF"/>
              <w:left w:val="single" w:sz="4" w:space="0" w:color="FFFFFF"/>
              <w:bottom w:val="single" w:sz="4" w:space="0" w:color="000000"/>
              <w:right w:val="single" w:sz="4" w:space="0" w:color="FFFFFF"/>
            </w:tcBorders>
            <w:tcMar>
              <w:top w:w="40" w:type="dxa"/>
              <w:left w:w="40" w:type="dxa"/>
              <w:bottom w:w="40" w:type="dxa"/>
              <w:right w:w="40" w:type="dxa"/>
            </w:tcMar>
            <w:hideMark/>
          </w:tcPr>
          <w:p w14:paraId="5AA48C4A"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teacher Shortage, transfer of trained teachers</w:t>
            </w:r>
          </w:p>
        </w:tc>
      </w:tr>
    </w:tbl>
    <w:p w14:paraId="1E727F91" w14:textId="77777777" w:rsidR="004D4C86" w:rsidRPr="00920D27" w:rsidRDefault="004D4C86" w:rsidP="00843D4F">
      <w:pPr>
        <w:spacing w:after="0" w:line="240" w:lineRule="auto"/>
        <w:rPr>
          <w:rFonts w:ascii="Arial" w:eastAsia="Times New Roman" w:hAnsi="Arial" w:cs="Arial"/>
          <w:b/>
          <w:i/>
          <w:sz w:val="18"/>
          <w:szCs w:val="18"/>
          <w:lang w:val="en"/>
        </w:rPr>
      </w:pPr>
      <w:r w:rsidRPr="00920D27">
        <w:rPr>
          <w:rFonts w:ascii="Arial" w:eastAsia="Times New Roman" w:hAnsi="Arial" w:cs="Arial"/>
          <w:i/>
          <w:sz w:val="18"/>
          <w:szCs w:val="18"/>
          <w:lang w:val="en"/>
        </w:rPr>
        <w:t>Note.</w:t>
      </w:r>
      <w:r w:rsidRPr="00920D27">
        <w:rPr>
          <w:rFonts w:ascii="Arial" w:eastAsia="Times New Roman" w:hAnsi="Arial" w:cs="Arial"/>
          <w:sz w:val="18"/>
          <w:szCs w:val="18"/>
          <w:lang w:val="en"/>
        </w:rPr>
        <w:t xml:space="preserve"> IE = inclusive education.</w:t>
      </w:r>
    </w:p>
    <w:p w14:paraId="396FEF86" w14:textId="77777777" w:rsidR="00920D27" w:rsidRDefault="00920D27" w:rsidP="00843D4F">
      <w:pPr>
        <w:spacing w:after="0" w:line="240" w:lineRule="auto"/>
        <w:rPr>
          <w:rFonts w:ascii="Arial" w:eastAsia="Times New Roman" w:hAnsi="Arial" w:cs="Arial"/>
          <w:b/>
          <w:i/>
          <w:lang w:val="en"/>
        </w:rPr>
      </w:pPr>
    </w:p>
    <w:p w14:paraId="29949E0A" w14:textId="29A2DF12" w:rsidR="004D4C86" w:rsidRDefault="00920D27" w:rsidP="00843D4F">
      <w:pPr>
        <w:spacing w:after="0" w:line="240" w:lineRule="auto"/>
        <w:rPr>
          <w:rFonts w:ascii="Arial" w:eastAsia="Times New Roman" w:hAnsi="Arial" w:cs="Arial"/>
          <w:b/>
          <w:iCs/>
          <w:sz w:val="22"/>
          <w:szCs w:val="22"/>
          <w:u w:val="single"/>
          <w:lang w:val="en"/>
        </w:rPr>
      </w:pPr>
      <w:r w:rsidRPr="00920D27">
        <w:rPr>
          <w:rFonts w:ascii="Arial" w:eastAsia="Times New Roman" w:hAnsi="Arial" w:cs="Arial"/>
          <w:b/>
          <w:iCs/>
          <w:sz w:val="22"/>
          <w:szCs w:val="22"/>
          <w:u w:val="single"/>
          <w:lang w:val="en"/>
        </w:rPr>
        <w:t>3.2.</w:t>
      </w:r>
      <w:proofErr w:type="gramStart"/>
      <w:r w:rsidRPr="00920D27">
        <w:rPr>
          <w:rFonts w:ascii="Arial" w:eastAsia="Times New Roman" w:hAnsi="Arial" w:cs="Arial"/>
          <w:b/>
          <w:iCs/>
          <w:sz w:val="22"/>
          <w:szCs w:val="22"/>
          <w:u w:val="single"/>
          <w:lang w:val="en"/>
        </w:rPr>
        <w:t>1.</w:t>
      </w:r>
      <w:r w:rsidR="004D4C86" w:rsidRPr="00920D27">
        <w:rPr>
          <w:rFonts w:ascii="Arial" w:eastAsia="Times New Roman" w:hAnsi="Arial" w:cs="Arial"/>
          <w:b/>
          <w:iCs/>
          <w:sz w:val="22"/>
          <w:szCs w:val="22"/>
          <w:u w:val="single"/>
          <w:lang w:val="en"/>
        </w:rPr>
        <w:t>Ineffective</w:t>
      </w:r>
      <w:proofErr w:type="gramEnd"/>
      <w:r w:rsidR="004D4C86" w:rsidRPr="00920D27">
        <w:rPr>
          <w:rFonts w:ascii="Arial" w:eastAsia="Times New Roman" w:hAnsi="Arial" w:cs="Arial"/>
          <w:b/>
          <w:iCs/>
          <w:sz w:val="22"/>
          <w:szCs w:val="22"/>
          <w:u w:val="single"/>
          <w:lang w:val="en"/>
        </w:rPr>
        <w:t xml:space="preserve">, Insufficient, or Absent </w:t>
      </w:r>
    </w:p>
    <w:p w14:paraId="0B4D3AF8" w14:textId="77777777" w:rsidR="00920D27" w:rsidRPr="00920D27" w:rsidRDefault="00920D27" w:rsidP="00843D4F">
      <w:pPr>
        <w:spacing w:after="0" w:line="240" w:lineRule="auto"/>
        <w:rPr>
          <w:rFonts w:ascii="Arial" w:eastAsia="Times New Roman" w:hAnsi="Arial" w:cs="Arial"/>
          <w:iCs/>
          <w:sz w:val="22"/>
          <w:szCs w:val="22"/>
          <w:u w:val="single"/>
          <w:lang w:val="en"/>
        </w:rPr>
      </w:pPr>
    </w:p>
    <w:p w14:paraId="457FC099" w14:textId="59ECA69B" w:rsidR="004D4C86" w:rsidRDefault="004D4C86" w:rsidP="00920D27">
      <w:pPr>
        <w:spacing w:after="0" w:line="240" w:lineRule="auto"/>
        <w:rPr>
          <w:rFonts w:ascii="Arial" w:eastAsia="Times New Roman" w:hAnsi="Arial" w:cs="Arial"/>
          <w:sz w:val="20"/>
          <w:szCs w:val="20"/>
          <w:lang w:val="en"/>
        </w:rPr>
      </w:pPr>
      <w:r w:rsidRPr="00920D27">
        <w:rPr>
          <w:rFonts w:ascii="Arial" w:eastAsia="Times New Roman" w:hAnsi="Arial" w:cs="Arial"/>
          <w:sz w:val="20"/>
          <w:szCs w:val="20"/>
          <w:lang w:val="en"/>
        </w:rPr>
        <w:t xml:space="preserve">The largest category to emerge under training for inclusive education was teachers describing training as ineffective or insufficient with 27 codes in eight studies (Charles &amp; </w:t>
      </w:r>
      <w:proofErr w:type="spellStart"/>
      <w:r w:rsidRPr="00920D27">
        <w:rPr>
          <w:rFonts w:ascii="Arial" w:eastAsia="Times New Roman" w:hAnsi="Arial" w:cs="Arial"/>
          <w:sz w:val="20"/>
          <w:szCs w:val="20"/>
          <w:lang w:val="en"/>
        </w:rPr>
        <w:t>Padhy</w:t>
      </w:r>
      <w:proofErr w:type="spellEnd"/>
      <w:r w:rsidRPr="00920D27">
        <w:rPr>
          <w:rFonts w:ascii="Arial" w:eastAsia="Times New Roman" w:hAnsi="Arial" w:cs="Arial"/>
          <w:sz w:val="20"/>
          <w:szCs w:val="20"/>
          <w:lang w:val="en"/>
        </w:rPr>
        <w:t xml:space="preserve">, 2019; Devi &amp; Reddy, 2016; Kundu &amp; Rice, 2019; Mohanty &amp; Nanda, 2017; Ramchand, 2022; Sawhney, 2015; Taneja-Johansson, 2014; Taneja-Johansson et al., 2023). One of the second largest categories was teachers describing the lack of training for inclusion with 10 codes in seven studies (Bhatnagar &amp; Das, 2014; Charles &amp; </w:t>
      </w:r>
      <w:proofErr w:type="spellStart"/>
      <w:r w:rsidRPr="00920D27">
        <w:rPr>
          <w:rFonts w:ascii="Arial" w:eastAsia="Times New Roman" w:hAnsi="Arial" w:cs="Arial"/>
          <w:sz w:val="20"/>
          <w:szCs w:val="20"/>
          <w:lang w:val="en"/>
        </w:rPr>
        <w:t>Padhy</w:t>
      </w:r>
      <w:proofErr w:type="spellEnd"/>
      <w:r w:rsidRPr="00920D27">
        <w:rPr>
          <w:rFonts w:ascii="Arial" w:eastAsia="Times New Roman" w:hAnsi="Arial" w:cs="Arial"/>
          <w:sz w:val="20"/>
          <w:szCs w:val="20"/>
          <w:lang w:val="en"/>
        </w:rPr>
        <w:t xml:space="preserve">, 2019; D'Souza &amp; Johnson, 2015; Mohanty &amp; Nanda, 2017; Ramchand, 2022; Sawhney, 2015; Taneja-Johansson et al., 2023).  Since both these categories are very closely related, they are being reported together. Teachers reported pervasive gaps in the training and professional development of educators for inclusive education, leaving them unprepared to support SWD. Teachers reported that pre-service programs often excluded inclusive education content, while in-service training consisted of brief, superficial workshops that failed to equip them with practical skills (Taneja-Johansson et al., 2023; Kundu &amp; Rice, 2019). This inadequacy, compounded by the focus on theoretical concepts over practical application, left educators struggling to address diverse classroom needs (Kundu &amp; Rice, 2019; Taneja-Johansson, 2014). Differentiated instruction was also underemphasized in curricula, and general education tracks were preferred due to better job prospects, contributing to a shortage of specialized teachers (Charles &amp; </w:t>
      </w:r>
      <w:proofErr w:type="spellStart"/>
      <w:r w:rsidRPr="00920D27">
        <w:rPr>
          <w:rFonts w:ascii="Arial" w:eastAsia="Times New Roman" w:hAnsi="Arial" w:cs="Arial"/>
          <w:sz w:val="20"/>
          <w:szCs w:val="20"/>
          <w:lang w:val="en"/>
        </w:rPr>
        <w:t>Padhy</w:t>
      </w:r>
      <w:proofErr w:type="spellEnd"/>
      <w:r w:rsidRPr="00920D27">
        <w:rPr>
          <w:rFonts w:ascii="Arial" w:eastAsia="Times New Roman" w:hAnsi="Arial" w:cs="Arial"/>
          <w:sz w:val="20"/>
          <w:szCs w:val="20"/>
          <w:lang w:val="en"/>
        </w:rPr>
        <w:t>, 2019). Additionally, expressed feelings of helplessness, citing insufficient expertise and ineffective training leading to a lack of preparedness to address students with specific disabilities such as Autism, or social, emotional, and behavioral disorders (SEBD) (D'Souza &amp; Johnson, 2015; Mohanty &amp; Nanda, 2017; Taneja-Johansson et al., 2023)</w:t>
      </w:r>
    </w:p>
    <w:p w14:paraId="6B676FBB" w14:textId="77777777" w:rsidR="00920D27" w:rsidRDefault="00920D27" w:rsidP="00920D27">
      <w:pPr>
        <w:spacing w:after="0" w:line="240" w:lineRule="auto"/>
        <w:rPr>
          <w:rFonts w:ascii="Arial" w:eastAsia="Times New Roman" w:hAnsi="Arial" w:cs="Arial"/>
          <w:b/>
          <w:i/>
          <w:sz w:val="20"/>
          <w:szCs w:val="20"/>
          <w:lang w:val="en"/>
        </w:rPr>
      </w:pPr>
    </w:p>
    <w:p w14:paraId="4806FCBE" w14:textId="77777777" w:rsidR="005D7D7A" w:rsidRDefault="005D7D7A" w:rsidP="00920D27">
      <w:pPr>
        <w:spacing w:after="0" w:line="240" w:lineRule="auto"/>
        <w:rPr>
          <w:rFonts w:ascii="Arial" w:eastAsia="Times New Roman" w:hAnsi="Arial" w:cs="Arial"/>
          <w:b/>
          <w:i/>
          <w:sz w:val="20"/>
          <w:szCs w:val="20"/>
          <w:lang w:val="en"/>
        </w:rPr>
      </w:pPr>
    </w:p>
    <w:p w14:paraId="56C7803B" w14:textId="77777777" w:rsidR="005D7D7A" w:rsidRDefault="005D7D7A" w:rsidP="00920D27">
      <w:pPr>
        <w:spacing w:after="0" w:line="240" w:lineRule="auto"/>
        <w:rPr>
          <w:rFonts w:ascii="Arial" w:eastAsia="Times New Roman" w:hAnsi="Arial" w:cs="Arial"/>
          <w:b/>
          <w:i/>
          <w:sz w:val="20"/>
          <w:szCs w:val="20"/>
          <w:lang w:val="en"/>
        </w:rPr>
      </w:pPr>
    </w:p>
    <w:p w14:paraId="160BDFFC" w14:textId="77777777" w:rsidR="005D7D7A" w:rsidRPr="00920D27" w:rsidRDefault="005D7D7A" w:rsidP="00920D27">
      <w:pPr>
        <w:spacing w:after="0" w:line="240" w:lineRule="auto"/>
        <w:rPr>
          <w:rFonts w:ascii="Arial" w:eastAsia="Times New Roman" w:hAnsi="Arial" w:cs="Arial"/>
          <w:b/>
          <w:i/>
          <w:sz w:val="20"/>
          <w:szCs w:val="20"/>
          <w:lang w:val="en"/>
        </w:rPr>
      </w:pPr>
    </w:p>
    <w:p w14:paraId="0D017F33" w14:textId="507BBBD5" w:rsidR="00920D27" w:rsidRPr="00920D27" w:rsidRDefault="00920D27" w:rsidP="00843D4F">
      <w:pPr>
        <w:spacing w:after="0" w:line="240" w:lineRule="auto"/>
        <w:rPr>
          <w:rFonts w:ascii="Arial" w:eastAsia="Times New Roman" w:hAnsi="Arial" w:cs="Arial"/>
          <w:b/>
          <w:iCs/>
          <w:sz w:val="22"/>
          <w:szCs w:val="22"/>
          <w:u w:val="single"/>
          <w:lang w:val="en"/>
        </w:rPr>
      </w:pPr>
      <w:r w:rsidRPr="00920D27">
        <w:rPr>
          <w:rFonts w:ascii="Arial" w:eastAsia="Times New Roman" w:hAnsi="Arial" w:cs="Arial"/>
          <w:b/>
          <w:iCs/>
          <w:sz w:val="22"/>
          <w:szCs w:val="22"/>
          <w:u w:val="single"/>
          <w:lang w:val="en"/>
        </w:rPr>
        <w:lastRenderedPageBreak/>
        <w:t xml:space="preserve">3.2.2. </w:t>
      </w:r>
      <w:r w:rsidR="004D4C86" w:rsidRPr="00920D27">
        <w:rPr>
          <w:rFonts w:ascii="Arial" w:eastAsia="Times New Roman" w:hAnsi="Arial" w:cs="Arial"/>
          <w:b/>
          <w:iCs/>
          <w:sz w:val="22"/>
          <w:szCs w:val="22"/>
          <w:u w:val="single"/>
          <w:lang w:val="en"/>
        </w:rPr>
        <w:t xml:space="preserve">Enablers </w:t>
      </w:r>
    </w:p>
    <w:p w14:paraId="510C74B0" w14:textId="181636F9" w:rsidR="004D4C86" w:rsidRDefault="004D4C86" w:rsidP="00843D4F">
      <w:pPr>
        <w:spacing w:after="0" w:line="240" w:lineRule="auto"/>
        <w:rPr>
          <w:rFonts w:ascii="Arial" w:eastAsia="Times New Roman" w:hAnsi="Arial" w:cs="Arial"/>
          <w:sz w:val="20"/>
          <w:szCs w:val="20"/>
          <w:lang w:val="en"/>
        </w:rPr>
      </w:pPr>
      <w:r w:rsidRPr="00920D27">
        <w:rPr>
          <w:rFonts w:ascii="Arial" w:eastAsia="Times New Roman" w:hAnsi="Arial" w:cs="Arial"/>
          <w:sz w:val="20"/>
          <w:szCs w:val="20"/>
          <w:lang w:val="en"/>
        </w:rPr>
        <w:br/>
        <w:t xml:space="preserve">There was only one study that reported an in-service training program that was reported to be helpful to participants. All 10 codes from this category are from </w:t>
      </w:r>
      <w:proofErr w:type="spellStart"/>
      <w:r w:rsidRPr="00920D27">
        <w:rPr>
          <w:rFonts w:ascii="Arial" w:eastAsia="Times New Roman" w:hAnsi="Arial" w:cs="Arial"/>
          <w:sz w:val="20"/>
          <w:szCs w:val="20"/>
          <w:lang w:val="en"/>
        </w:rPr>
        <w:t>Misquitta</w:t>
      </w:r>
      <w:proofErr w:type="spellEnd"/>
      <w:r w:rsidRPr="00920D27">
        <w:rPr>
          <w:rFonts w:ascii="Arial" w:eastAsia="Times New Roman" w:hAnsi="Arial" w:cs="Arial"/>
          <w:sz w:val="20"/>
          <w:szCs w:val="20"/>
          <w:lang w:val="en"/>
        </w:rPr>
        <w:t xml:space="preserve"> and Joshi’s (2022) study that highlighted effective training strategies that empowered educators to teach in inclusive classrooms, even in low-resource settings. Teachers utilized innovative techniques, such as energizers and attention grabbers, to enhance student engagement during lessons. They also demonstrated resourcefulness by adapting tools like a Math app for individualized instruction and remediation in pull-out sessions, enabling focused learning for some students while others continued traditional tasks. Online resources were another key strategy, used to involve parents in their children’s learning process and content.</w:t>
      </w:r>
    </w:p>
    <w:p w14:paraId="068B8C6B" w14:textId="77777777" w:rsidR="00920D27" w:rsidRPr="00920D27" w:rsidRDefault="00920D27" w:rsidP="00843D4F">
      <w:pPr>
        <w:spacing w:after="0" w:line="240" w:lineRule="auto"/>
        <w:rPr>
          <w:rFonts w:ascii="Arial" w:eastAsia="Times New Roman" w:hAnsi="Arial" w:cs="Arial"/>
          <w:sz w:val="20"/>
          <w:szCs w:val="20"/>
          <w:lang w:val="en"/>
        </w:rPr>
      </w:pPr>
    </w:p>
    <w:p w14:paraId="2D763402" w14:textId="720A9BC5" w:rsidR="004D4C86" w:rsidRDefault="004D4C86" w:rsidP="00920D27">
      <w:pPr>
        <w:spacing w:after="0" w:line="240" w:lineRule="auto"/>
        <w:rPr>
          <w:rFonts w:ascii="Arial" w:eastAsia="Times New Roman" w:hAnsi="Arial" w:cs="Arial"/>
          <w:sz w:val="20"/>
          <w:szCs w:val="20"/>
          <w:lang w:val="en"/>
        </w:rPr>
      </w:pPr>
      <w:r w:rsidRPr="00920D27">
        <w:rPr>
          <w:rFonts w:ascii="Arial" w:eastAsia="Times New Roman" w:hAnsi="Arial" w:cs="Arial"/>
          <w:sz w:val="20"/>
          <w:szCs w:val="20"/>
          <w:lang w:val="en"/>
        </w:rPr>
        <w:t>Participants appreciated the collaborative nature of training, particularly the coaching support that offered guidance and helped resolve their queries. Hands-on workshops and opportunities to share experiences further fostered a professional community where educators addressed common challenges and exchanged practical solutions.</w:t>
      </w:r>
      <w:r w:rsidR="00B61F76" w:rsidRPr="00920D27">
        <w:rPr>
          <w:rFonts w:ascii="Arial" w:eastAsia="Times New Roman" w:hAnsi="Arial" w:cs="Arial"/>
          <w:sz w:val="20"/>
          <w:szCs w:val="20"/>
          <w:lang w:val="en"/>
        </w:rPr>
        <w:t xml:space="preserve"> </w:t>
      </w:r>
      <w:r w:rsidRPr="00920D27">
        <w:rPr>
          <w:rFonts w:ascii="Arial" w:eastAsia="Times New Roman" w:hAnsi="Arial" w:cs="Arial"/>
          <w:sz w:val="20"/>
          <w:szCs w:val="20"/>
          <w:lang w:val="en"/>
        </w:rPr>
        <w:t>Instances of what teachers find valuable in training closely reflect the inadequacies they previously reported (see previous paragraph), such as unidirectional instruction and the failure to address practical classroom challenges.</w:t>
      </w:r>
    </w:p>
    <w:p w14:paraId="53D2DD5C" w14:textId="77777777" w:rsidR="00920D27" w:rsidRPr="00920D27" w:rsidRDefault="00920D27" w:rsidP="00920D27">
      <w:pPr>
        <w:spacing w:after="0" w:line="240" w:lineRule="auto"/>
        <w:rPr>
          <w:rFonts w:ascii="Arial" w:eastAsia="Times New Roman" w:hAnsi="Arial" w:cs="Arial"/>
          <w:sz w:val="20"/>
          <w:szCs w:val="20"/>
          <w:lang w:val="en"/>
        </w:rPr>
      </w:pPr>
    </w:p>
    <w:p w14:paraId="2AB5EE05" w14:textId="74135BFD" w:rsidR="004D4C86" w:rsidRDefault="00920D27" w:rsidP="00843D4F">
      <w:pPr>
        <w:spacing w:after="0" w:line="240" w:lineRule="auto"/>
        <w:rPr>
          <w:rFonts w:ascii="Arial" w:eastAsia="Times New Roman" w:hAnsi="Arial" w:cs="Arial"/>
          <w:b/>
          <w:iCs/>
          <w:sz w:val="22"/>
          <w:szCs w:val="22"/>
          <w:u w:val="single"/>
          <w:lang w:val="en"/>
        </w:rPr>
      </w:pPr>
      <w:r w:rsidRPr="00920D27">
        <w:rPr>
          <w:rFonts w:ascii="Arial" w:eastAsia="Times New Roman" w:hAnsi="Arial" w:cs="Arial"/>
          <w:b/>
          <w:iCs/>
          <w:sz w:val="22"/>
          <w:szCs w:val="22"/>
          <w:u w:val="single"/>
          <w:lang w:val="en"/>
        </w:rPr>
        <w:t xml:space="preserve">3.2.3. </w:t>
      </w:r>
      <w:r w:rsidR="004D4C86" w:rsidRPr="00920D27">
        <w:rPr>
          <w:rFonts w:ascii="Arial" w:eastAsia="Times New Roman" w:hAnsi="Arial" w:cs="Arial"/>
          <w:b/>
          <w:iCs/>
          <w:sz w:val="22"/>
          <w:szCs w:val="22"/>
          <w:u w:val="single"/>
          <w:lang w:val="en"/>
        </w:rPr>
        <w:t xml:space="preserve">Desired Training </w:t>
      </w:r>
    </w:p>
    <w:p w14:paraId="7D97A92A" w14:textId="77777777" w:rsidR="00920D27" w:rsidRDefault="00920D27" w:rsidP="00920D27">
      <w:pPr>
        <w:spacing w:after="0" w:line="240" w:lineRule="auto"/>
        <w:rPr>
          <w:rFonts w:ascii="Arial" w:eastAsia="Times New Roman" w:hAnsi="Arial" w:cs="Arial"/>
          <w:iCs/>
          <w:sz w:val="22"/>
          <w:szCs w:val="22"/>
          <w:u w:val="single"/>
          <w:lang w:val="en"/>
        </w:rPr>
      </w:pPr>
    </w:p>
    <w:p w14:paraId="2078FF9F" w14:textId="1439845D" w:rsidR="004D4C86" w:rsidRPr="00920D27" w:rsidRDefault="004D4C86" w:rsidP="00920D27">
      <w:pPr>
        <w:spacing w:after="0" w:line="240" w:lineRule="auto"/>
        <w:rPr>
          <w:rFonts w:ascii="Arial" w:eastAsia="Times New Roman" w:hAnsi="Arial" w:cs="Arial"/>
          <w:sz w:val="20"/>
          <w:szCs w:val="20"/>
          <w:lang w:val="en"/>
        </w:rPr>
      </w:pPr>
      <w:r w:rsidRPr="00920D27">
        <w:rPr>
          <w:rFonts w:ascii="Arial" w:eastAsia="Times New Roman" w:hAnsi="Arial" w:cs="Arial"/>
          <w:sz w:val="20"/>
          <w:szCs w:val="20"/>
          <w:lang w:val="en"/>
        </w:rPr>
        <w:t xml:space="preserve">The third largest category was descriptions of training that teachers expressed they preferred, with 10 codes in five studies (Bhatnagar &amp; Das, 2014; Charles &amp; </w:t>
      </w:r>
      <w:proofErr w:type="spellStart"/>
      <w:r w:rsidRPr="00920D27">
        <w:rPr>
          <w:rFonts w:ascii="Arial" w:eastAsia="Times New Roman" w:hAnsi="Arial" w:cs="Arial"/>
          <w:sz w:val="20"/>
          <w:szCs w:val="20"/>
          <w:lang w:val="en"/>
        </w:rPr>
        <w:t>Padhy</w:t>
      </w:r>
      <w:proofErr w:type="spellEnd"/>
      <w:r w:rsidRPr="00920D27">
        <w:rPr>
          <w:rFonts w:ascii="Arial" w:eastAsia="Times New Roman" w:hAnsi="Arial" w:cs="Arial"/>
          <w:sz w:val="20"/>
          <w:szCs w:val="20"/>
          <w:lang w:val="en"/>
        </w:rPr>
        <w:t xml:space="preserve">, 2019; Elton-Chalcraft et al., 2016; Mohanty &amp; Nanda, 2017; Ramchand, 2022). Teachers expressed a strong need for structured and specialized training to support inclusive education. Teachers suggested the importance of integrating special education modules into teacher preparation programs, suggesting that such courses would benefit all educators (Charles &amp; </w:t>
      </w:r>
      <w:proofErr w:type="spellStart"/>
      <w:r w:rsidRPr="00920D27">
        <w:rPr>
          <w:rFonts w:ascii="Arial" w:eastAsia="Times New Roman" w:hAnsi="Arial" w:cs="Arial"/>
          <w:sz w:val="20"/>
          <w:szCs w:val="20"/>
          <w:lang w:val="en"/>
        </w:rPr>
        <w:t>Padhy</w:t>
      </w:r>
      <w:proofErr w:type="spellEnd"/>
      <w:r w:rsidRPr="00920D27">
        <w:rPr>
          <w:rFonts w:ascii="Arial" w:eastAsia="Times New Roman" w:hAnsi="Arial" w:cs="Arial"/>
          <w:sz w:val="20"/>
          <w:szCs w:val="20"/>
          <w:lang w:val="en"/>
        </w:rPr>
        <w:t>, 2019). Similarly, teachers in Bhatnagar and Das’s (2014) study recommended that the NCERT develop master trainers to equip educators with the skills needed to effectively teach students with special needs. Respondents in studies by Mohanty and Nanda (2017) and Elton-Chalcraft et al. (2016) emphasized the need for specialized training, particularly for those teaching deaf students and working in resource units. Additionally, teachers in Bhatnagar and Das’s (2014) research stressed the importance of regular in-service training, along with incentives, to ensure the successful implementation of inclusive practices. These responses collectively underscore the necessity for a comprehensive and sustained professional development framework to advance inclusive education.</w:t>
      </w:r>
    </w:p>
    <w:p w14:paraId="7A40A36B" w14:textId="77777777" w:rsidR="00920D27" w:rsidRDefault="00920D27" w:rsidP="00920D27">
      <w:pPr>
        <w:spacing w:after="0" w:line="240" w:lineRule="auto"/>
        <w:rPr>
          <w:rFonts w:ascii="Arial" w:eastAsia="Times New Roman" w:hAnsi="Arial" w:cs="Arial"/>
          <w:sz w:val="20"/>
          <w:szCs w:val="20"/>
          <w:lang w:val="en"/>
        </w:rPr>
      </w:pPr>
    </w:p>
    <w:p w14:paraId="5CF34D61" w14:textId="3E41B81A" w:rsidR="004D4C86" w:rsidRDefault="004D4C86" w:rsidP="00920D27">
      <w:pPr>
        <w:spacing w:after="0" w:line="240" w:lineRule="auto"/>
        <w:rPr>
          <w:rFonts w:ascii="Arial" w:eastAsia="Times New Roman" w:hAnsi="Arial" w:cs="Arial"/>
          <w:sz w:val="20"/>
          <w:szCs w:val="20"/>
          <w:lang w:val="en"/>
        </w:rPr>
      </w:pPr>
      <w:r w:rsidRPr="00920D27">
        <w:rPr>
          <w:rFonts w:ascii="Arial" w:eastAsia="Times New Roman" w:hAnsi="Arial" w:cs="Arial"/>
          <w:sz w:val="20"/>
          <w:szCs w:val="20"/>
          <w:lang w:val="en"/>
        </w:rPr>
        <w:t xml:space="preserve">Other codes that emerged in this section included training focused on identification only (Bhatnagar &amp; Das 2014; Taneja-Johansson et al., 2023), teacher shortage and transfers (Charles &amp; </w:t>
      </w:r>
      <w:proofErr w:type="spellStart"/>
      <w:r w:rsidRPr="00920D27">
        <w:rPr>
          <w:rFonts w:ascii="Arial" w:eastAsia="Times New Roman" w:hAnsi="Arial" w:cs="Arial"/>
          <w:sz w:val="20"/>
          <w:szCs w:val="20"/>
          <w:lang w:val="en"/>
        </w:rPr>
        <w:t>Padhy</w:t>
      </w:r>
      <w:proofErr w:type="spellEnd"/>
      <w:r w:rsidRPr="00920D27">
        <w:rPr>
          <w:rFonts w:ascii="Arial" w:eastAsia="Times New Roman" w:hAnsi="Arial" w:cs="Arial"/>
          <w:sz w:val="20"/>
          <w:szCs w:val="20"/>
          <w:lang w:val="en"/>
        </w:rPr>
        <w:t xml:space="preserve">, 2019; Sawhney, 2015), insufficient structural support from training institutes and in the classroom (Kundu &amp; Rice, 2016; Ramchand, 2022).  </w:t>
      </w:r>
    </w:p>
    <w:p w14:paraId="17423C7B" w14:textId="77777777" w:rsidR="00920D27" w:rsidRPr="00920D27" w:rsidRDefault="00920D27" w:rsidP="00920D27">
      <w:pPr>
        <w:spacing w:after="0" w:line="240" w:lineRule="auto"/>
        <w:rPr>
          <w:rFonts w:ascii="Arial" w:eastAsia="Times New Roman" w:hAnsi="Arial" w:cs="Arial"/>
          <w:sz w:val="20"/>
          <w:szCs w:val="20"/>
          <w:lang w:val="en"/>
        </w:rPr>
      </w:pPr>
    </w:p>
    <w:p w14:paraId="7CEC5B2D" w14:textId="3C96632E" w:rsidR="004D4C86" w:rsidRDefault="00920D27" w:rsidP="00843D4F">
      <w:pPr>
        <w:spacing w:after="0" w:line="240" w:lineRule="auto"/>
        <w:rPr>
          <w:rFonts w:ascii="Arial" w:eastAsia="Times New Roman" w:hAnsi="Arial" w:cs="Arial"/>
          <w:sz w:val="20"/>
          <w:szCs w:val="20"/>
          <w:lang w:val="en"/>
        </w:rPr>
      </w:pPr>
      <w:r>
        <w:rPr>
          <w:rFonts w:ascii="Arial" w:eastAsia="Times New Roman" w:hAnsi="Arial" w:cs="Arial"/>
          <w:b/>
          <w:sz w:val="20"/>
          <w:szCs w:val="20"/>
          <w:lang w:val="en"/>
        </w:rPr>
        <w:t>4. DISCUSSION</w:t>
      </w:r>
      <w:r w:rsidR="004D4C86" w:rsidRPr="00920D27">
        <w:rPr>
          <w:rFonts w:ascii="Arial" w:eastAsia="Times New Roman" w:hAnsi="Arial" w:cs="Arial"/>
          <w:sz w:val="20"/>
          <w:szCs w:val="20"/>
          <w:lang w:val="en"/>
        </w:rPr>
        <w:t xml:space="preserve"> </w:t>
      </w:r>
    </w:p>
    <w:p w14:paraId="2A79EC96" w14:textId="77777777" w:rsidR="00920D27" w:rsidRDefault="00920D27" w:rsidP="00920D27">
      <w:pPr>
        <w:spacing w:after="0" w:line="240" w:lineRule="auto"/>
        <w:rPr>
          <w:rFonts w:ascii="Arial" w:eastAsia="Times New Roman" w:hAnsi="Arial" w:cs="Arial"/>
          <w:sz w:val="20"/>
          <w:szCs w:val="20"/>
          <w:lang w:val="en"/>
        </w:rPr>
      </w:pPr>
    </w:p>
    <w:p w14:paraId="1272BE7E" w14:textId="25578AF0" w:rsidR="004D4C86" w:rsidRPr="00920D27" w:rsidRDefault="004D4C86" w:rsidP="00920D27">
      <w:pPr>
        <w:spacing w:after="0" w:line="240" w:lineRule="auto"/>
        <w:rPr>
          <w:rFonts w:ascii="Arial" w:eastAsia="Times New Roman" w:hAnsi="Arial" w:cs="Arial"/>
          <w:sz w:val="20"/>
          <w:szCs w:val="20"/>
          <w:lang w:val="en"/>
        </w:rPr>
      </w:pPr>
      <w:r w:rsidRPr="00920D27">
        <w:rPr>
          <w:rFonts w:ascii="Arial" w:eastAsia="Times New Roman" w:hAnsi="Arial" w:cs="Arial"/>
          <w:sz w:val="20"/>
          <w:szCs w:val="20"/>
          <w:lang w:val="en"/>
        </w:rPr>
        <w:t>While educators predominantly express favorable perceptions toward inclusive education (</w:t>
      </w:r>
      <w:r w:rsidR="00925345" w:rsidRPr="00920D27">
        <w:rPr>
          <w:rFonts w:ascii="Arial" w:eastAsia="Times New Roman" w:hAnsi="Arial" w:cs="Arial"/>
          <w:sz w:val="20"/>
          <w:szCs w:val="20"/>
          <w:lang w:val="en"/>
        </w:rPr>
        <w:t>Author</w:t>
      </w:r>
      <w:r w:rsidRPr="00920D27">
        <w:rPr>
          <w:rFonts w:ascii="Arial" w:eastAsia="Times New Roman" w:hAnsi="Arial" w:cs="Arial"/>
          <w:sz w:val="20"/>
          <w:szCs w:val="20"/>
          <w:lang w:val="en"/>
        </w:rPr>
        <w:t>, 2025), the findings of this meta-synthesis reveal a stark discrepancy between their ideological commitment and actual implementation in schools. The most prominent category across the studies was barriers to inclusion, encompassing systemic, attitudinal, and resource-related challenges. These include a consistent shortage of specialist educators, inadequate training for general education teachers, large class sizes, lack of instructional materials, and limited adaptive infrastructure. Attitudinal barriers were not confined to teachers but extended to parents and administrators, highlighting a broader cultural resistance to inclusion (</w:t>
      </w:r>
      <w:proofErr w:type="spellStart"/>
      <w:r w:rsidRPr="00920D27">
        <w:rPr>
          <w:rFonts w:ascii="Arial" w:eastAsia="Times New Roman" w:hAnsi="Arial" w:cs="Arial"/>
          <w:sz w:val="20"/>
          <w:szCs w:val="20"/>
          <w:lang w:val="en"/>
        </w:rPr>
        <w:t>Naraian</w:t>
      </w:r>
      <w:proofErr w:type="spellEnd"/>
      <w:r w:rsidRPr="00920D27">
        <w:rPr>
          <w:rFonts w:ascii="Arial" w:eastAsia="Times New Roman" w:hAnsi="Arial" w:cs="Arial"/>
          <w:sz w:val="20"/>
          <w:szCs w:val="20"/>
          <w:lang w:val="en"/>
        </w:rPr>
        <w:t xml:space="preserve">, 2021; Singal, 2019). It is also important to note that there were very few codes in the included studies pertaining to teacher preparation for inclusive education. </w:t>
      </w:r>
    </w:p>
    <w:p w14:paraId="543144F7" w14:textId="77777777" w:rsidR="00920D27" w:rsidRDefault="00920D27" w:rsidP="00920D27">
      <w:pPr>
        <w:spacing w:after="0" w:line="240" w:lineRule="auto"/>
        <w:rPr>
          <w:rFonts w:ascii="Arial" w:eastAsia="Times New Roman" w:hAnsi="Arial" w:cs="Arial"/>
          <w:sz w:val="20"/>
          <w:szCs w:val="20"/>
          <w:lang w:val="en"/>
        </w:rPr>
      </w:pPr>
    </w:p>
    <w:p w14:paraId="5702A60A" w14:textId="7067ABA8" w:rsidR="004D4C86" w:rsidRPr="00920D27" w:rsidRDefault="004D4C86" w:rsidP="00920D27">
      <w:pPr>
        <w:spacing w:after="0" w:line="240" w:lineRule="auto"/>
        <w:rPr>
          <w:rFonts w:ascii="Arial" w:eastAsia="Times New Roman" w:hAnsi="Arial" w:cs="Arial"/>
          <w:sz w:val="20"/>
          <w:szCs w:val="20"/>
          <w:lang w:val="en"/>
        </w:rPr>
      </w:pPr>
      <w:r w:rsidRPr="00920D27">
        <w:rPr>
          <w:rFonts w:ascii="Arial" w:eastAsia="Times New Roman" w:hAnsi="Arial" w:cs="Arial"/>
          <w:sz w:val="20"/>
          <w:szCs w:val="20"/>
          <w:lang w:val="en"/>
        </w:rPr>
        <w:t>Educators also reported a lack of systemic support, insufficient policy coherence, and limited collaboration time. Rigid administrative frameworks, profit-driven motives in private schools, and an emphasis on standardized testing further constrained the meaningful implementation of inclusive practices. These findings align with existing critiques of the narrow, exam-centric focus of mainstream Indian education, which often sidelines inclusive pedagogies (</w:t>
      </w:r>
      <w:proofErr w:type="spellStart"/>
      <w:r w:rsidRPr="00920D27">
        <w:rPr>
          <w:rFonts w:ascii="Arial" w:eastAsia="Times New Roman" w:hAnsi="Arial" w:cs="Arial"/>
          <w:sz w:val="20"/>
          <w:szCs w:val="20"/>
          <w:lang w:val="en"/>
        </w:rPr>
        <w:t>Naraian</w:t>
      </w:r>
      <w:proofErr w:type="spellEnd"/>
      <w:r w:rsidRPr="00920D27">
        <w:rPr>
          <w:rFonts w:ascii="Arial" w:eastAsia="Times New Roman" w:hAnsi="Arial" w:cs="Arial"/>
          <w:sz w:val="20"/>
          <w:szCs w:val="20"/>
          <w:lang w:val="en"/>
        </w:rPr>
        <w:t>, 2021; Singal, 2019).</w:t>
      </w:r>
    </w:p>
    <w:p w14:paraId="19ED5455" w14:textId="77777777" w:rsidR="00920D27" w:rsidRDefault="00920D27" w:rsidP="00920D27">
      <w:pPr>
        <w:spacing w:after="0" w:line="240" w:lineRule="auto"/>
        <w:rPr>
          <w:rFonts w:ascii="Arial" w:eastAsia="Times New Roman" w:hAnsi="Arial" w:cs="Arial"/>
          <w:sz w:val="20"/>
          <w:szCs w:val="20"/>
          <w:lang w:val="en"/>
        </w:rPr>
      </w:pPr>
    </w:p>
    <w:p w14:paraId="1BA8A54D" w14:textId="012F982B" w:rsidR="004D4C86" w:rsidRPr="00920D27" w:rsidRDefault="004D4C86" w:rsidP="00920D27">
      <w:pPr>
        <w:spacing w:after="0" w:line="240" w:lineRule="auto"/>
        <w:rPr>
          <w:rFonts w:ascii="Arial" w:eastAsia="Times New Roman" w:hAnsi="Arial" w:cs="Arial"/>
          <w:sz w:val="20"/>
          <w:szCs w:val="20"/>
          <w:lang w:val="en"/>
        </w:rPr>
      </w:pPr>
      <w:r w:rsidRPr="00920D27">
        <w:rPr>
          <w:rFonts w:ascii="Arial" w:eastAsia="Times New Roman" w:hAnsi="Arial" w:cs="Arial"/>
          <w:sz w:val="20"/>
          <w:szCs w:val="20"/>
          <w:lang w:val="en"/>
        </w:rPr>
        <w:t xml:space="preserve">In terms of classroom practice, accommodations were sporadic and typically limited to emotional support or behavioral modeling. Examples included special seating arrangements or the use of headphones for sensory regulation. Occasionally, alternative academic pathways, such as the NIOS, were offered to students who could not cope with conventional academic expectations. However, it is important to examine whether these decisions were truly made in response to student needs or whether they reflected the limitations of an educational system unable to provide adequate support. In other words, there is a need for closer examination of who is making these academic decisions for students and the factors influencing them. Drawing from </w:t>
      </w:r>
      <w:proofErr w:type="spellStart"/>
      <w:r w:rsidRPr="00920D27">
        <w:rPr>
          <w:rFonts w:ascii="Arial" w:eastAsia="Times New Roman" w:hAnsi="Arial" w:cs="Arial"/>
          <w:sz w:val="20"/>
          <w:szCs w:val="20"/>
          <w:lang w:val="en"/>
        </w:rPr>
        <w:t>Waitoller</w:t>
      </w:r>
      <w:proofErr w:type="spellEnd"/>
      <w:r w:rsidRPr="00920D27">
        <w:rPr>
          <w:rFonts w:ascii="Arial" w:eastAsia="Times New Roman" w:hAnsi="Arial" w:cs="Arial"/>
          <w:sz w:val="20"/>
          <w:szCs w:val="20"/>
          <w:lang w:val="en"/>
        </w:rPr>
        <w:t xml:space="preserve"> and Artiles’ (2013) framework of redistribution, recognition, and representation, this reflects a concern regarding the representation of SWD in educational decision-making. Ideally, SWD should be sufficiently empowered to participate in decisions that directly affect their educational experiences, including placement. Similarly, findings of this study indicate that placement of SWD is often shaped by logistical convenience or resource availability. This reflects yet another instance in which decisions are made on behalf of students—decisions that may not align with what students would choose for themselves if they were given the opportunity to advocate for their own interests. While acknowledging that inclusive education cannot be reduced to the mere placement of SWD in general education classrooms especially in the Indian context, this may look like trying to include SWD to </w:t>
      </w:r>
      <w:r w:rsidRPr="00920D27">
        <w:rPr>
          <w:rFonts w:ascii="Arial" w:eastAsia="Times New Roman" w:hAnsi="Arial" w:cs="Arial"/>
          <w:i/>
          <w:sz w:val="20"/>
          <w:szCs w:val="20"/>
          <w:lang w:val="en"/>
        </w:rPr>
        <w:t xml:space="preserve">flawed and barren center </w:t>
      </w:r>
      <w:r w:rsidRPr="00920D27">
        <w:rPr>
          <w:rFonts w:ascii="Arial" w:eastAsia="Times New Roman" w:hAnsi="Arial" w:cs="Arial"/>
          <w:sz w:val="20"/>
          <w:szCs w:val="20"/>
          <w:lang w:val="en"/>
        </w:rPr>
        <w:t>(Singal, 2019) there remains a pressing need for deliberate and systematic efforts to critically examine the rationale behind such placement decisions. Without thoughtful consideration and sustained action toward building a system that is genuinely inclusive of SWD, there is a significant risk of reinforcing segregationist practices.</w:t>
      </w:r>
    </w:p>
    <w:p w14:paraId="7B66C0CB" w14:textId="77777777" w:rsidR="00920D27" w:rsidRDefault="00920D27" w:rsidP="00920D27">
      <w:pPr>
        <w:spacing w:after="0" w:line="240" w:lineRule="auto"/>
        <w:rPr>
          <w:rFonts w:ascii="Arial" w:eastAsia="Times New Roman" w:hAnsi="Arial" w:cs="Arial"/>
          <w:sz w:val="20"/>
          <w:szCs w:val="20"/>
          <w:lang w:val="en"/>
        </w:rPr>
      </w:pPr>
    </w:p>
    <w:p w14:paraId="2FDA4261" w14:textId="40C908E3" w:rsidR="004D4C86" w:rsidRDefault="004D4C86" w:rsidP="00920D27">
      <w:pPr>
        <w:spacing w:after="0" w:line="240" w:lineRule="auto"/>
        <w:rPr>
          <w:rFonts w:ascii="Arial" w:eastAsia="Times New Roman" w:hAnsi="Arial" w:cs="Arial"/>
          <w:sz w:val="20"/>
          <w:szCs w:val="20"/>
          <w:lang w:val="en"/>
        </w:rPr>
      </w:pPr>
      <w:r w:rsidRPr="00920D27">
        <w:rPr>
          <w:rFonts w:ascii="Arial" w:eastAsia="Times New Roman" w:hAnsi="Arial" w:cs="Arial"/>
          <w:sz w:val="20"/>
          <w:szCs w:val="20"/>
          <w:lang w:val="en"/>
        </w:rPr>
        <w:t>Data from this meta-synthesis indicated a significant gap in teacher preparation for inclusive education. Educators consistently reported that existing training programs were inadequate, heavily theoretical, and lacked practical components essential for effective classroom implementation. In particular, teachers highlighted the absence of training in areas such as the development of individualized education plans (IEPs) and the application of hands-on instructional strategies. As a result, many educators described a disconnect between their conceptual understanding of inclusion and the practical skills needed to support SWD in everyday classroom contexts.</w:t>
      </w:r>
    </w:p>
    <w:p w14:paraId="6AE6FF5D" w14:textId="77777777" w:rsidR="00920D27" w:rsidRPr="00920D27" w:rsidRDefault="00920D27" w:rsidP="00920D27">
      <w:pPr>
        <w:spacing w:after="0" w:line="240" w:lineRule="auto"/>
        <w:rPr>
          <w:rFonts w:ascii="Arial" w:eastAsia="Times New Roman" w:hAnsi="Arial" w:cs="Arial"/>
          <w:sz w:val="20"/>
          <w:szCs w:val="20"/>
          <w:lang w:val="en"/>
        </w:rPr>
      </w:pPr>
    </w:p>
    <w:p w14:paraId="6331610C" w14:textId="626B2418" w:rsidR="004D4C86" w:rsidRPr="00920D27" w:rsidRDefault="00920D27" w:rsidP="00843D4F">
      <w:pPr>
        <w:spacing w:after="0" w:line="240" w:lineRule="auto"/>
        <w:rPr>
          <w:rFonts w:ascii="Arial" w:eastAsia="Times New Roman" w:hAnsi="Arial" w:cs="Arial"/>
          <w:b/>
          <w:sz w:val="22"/>
          <w:szCs w:val="22"/>
          <w:lang w:val="en"/>
        </w:rPr>
      </w:pPr>
      <w:r w:rsidRPr="00920D27">
        <w:rPr>
          <w:rFonts w:ascii="Arial" w:eastAsia="Times New Roman" w:hAnsi="Arial" w:cs="Arial"/>
          <w:b/>
          <w:sz w:val="22"/>
          <w:szCs w:val="22"/>
          <w:lang w:val="en"/>
        </w:rPr>
        <w:t xml:space="preserve">4.1. </w:t>
      </w:r>
      <w:r w:rsidR="004D4C86" w:rsidRPr="00920D27">
        <w:rPr>
          <w:rFonts w:ascii="Arial" w:eastAsia="Times New Roman" w:hAnsi="Arial" w:cs="Arial"/>
          <w:b/>
          <w:sz w:val="22"/>
          <w:szCs w:val="22"/>
          <w:lang w:val="en"/>
        </w:rPr>
        <w:t>Implications for Policy and Practice</w:t>
      </w:r>
    </w:p>
    <w:p w14:paraId="44166325" w14:textId="77777777" w:rsidR="00920D27" w:rsidRDefault="00920D27" w:rsidP="00920D27">
      <w:pPr>
        <w:spacing w:after="0" w:line="240" w:lineRule="auto"/>
        <w:rPr>
          <w:rFonts w:ascii="Arial" w:eastAsia="Times New Roman" w:hAnsi="Arial" w:cs="Arial"/>
          <w:sz w:val="20"/>
          <w:szCs w:val="20"/>
          <w:lang w:val="en"/>
        </w:rPr>
      </w:pPr>
    </w:p>
    <w:p w14:paraId="7864F314" w14:textId="10CDD94F" w:rsidR="004D4C86" w:rsidRPr="00920D27" w:rsidRDefault="004D4C86" w:rsidP="00920D27">
      <w:pPr>
        <w:spacing w:after="0" w:line="240" w:lineRule="auto"/>
        <w:rPr>
          <w:rFonts w:ascii="Arial" w:eastAsia="Times New Roman" w:hAnsi="Arial" w:cs="Arial"/>
          <w:b/>
          <w:sz w:val="20"/>
          <w:szCs w:val="20"/>
          <w:lang w:val="en"/>
        </w:rPr>
      </w:pPr>
      <w:r w:rsidRPr="00920D27">
        <w:rPr>
          <w:rFonts w:ascii="Arial" w:eastAsia="Times New Roman" w:hAnsi="Arial" w:cs="Arial"/>
          <w:sz w:val="20"/>
          <w:szCs w:val="20"/>
          <w:lang w:val="en"/>
        </w:rPr>
        <w:t xml:space="preserve">To address the persistent shortage of trained special educators, policies must aim to make specialist teacher training both accessible and professionally rewarding. Recruitment strategies should be accompanied by systemic reforms that incentivize pursuing specialist training. Furthermore, there should be efforts to make systemic changes that will support teachers in the practice of inclusion. For example, policy that promotes sustained investment in advancing the use of technology for inclusive classrooms and investment in appropriately training educators to use the technology effectively would be an important foundational step. </w:t>
      </w:r>
    </w:p>
    <w:p w14:paraId="07D06C6A" w14:textId="77777777" w:rsidR="00920D27" w:rsidRDefault="00920D27" w:rsidP="00920D27">
      <w:pPr>
        <w:spacing w:after="0" w:line="240" w:lineRule="auto"/>
        <w:rPr>
          <w:rFonts w:ascii="Arial" w:eastAsia="Times New Roman" w:hAnsi="Arial" w:cs="Arial"/>
          <w:sz w:val="20"/>
          <w:szCs w:val="20"/>
          <w:lang w:val="en"/>
        </w:rPr>
      </w:pPr>
    </w:p>
    <w:p w14:paraId="53CE51C8" w14:textId="29E66C2B" w:rsidR="004D4C86" w:rsidRDefault="004D4C86" w:rsidP="00920D27">
      <w:pPr>
        <w:spacing w:after="0" w:line="240" w:lineRule="auto"/>
        <w:rPr>
          <w:rFonts w:ascii="Arial" w:eastAsia="Times New Roman" w:hAnsi="Arial" w:cs="Arial"/>
          <w:sz w:val="20"/>
          <w:szCs w:val="20"/>
          <w:lang w:val="en"/>
        </w:rPr>
      </w:pPr>
      <w:r w:rsidRPr="00920D27">
        <w:rPr>
          <w:rFonts w:ascii="Arial" w:eastAsia="Times New Roman" w:hAnsi="Arial" w:cs="Arial"/>
          <w:sz w:val="20"/>
          <w:szCs w:val="20"/>
          <w:lang w:val="en"/>
        </w:rPr>
        <w:t>Effective inclusion requires sustained investment in teacher development. In-service training programs must prioritize experiential learning, offering opportunities for teachers to co-develop and implement IEPs and practice differentiated instruction. Collaborative structures such as peer coaching, co-teaching, professional learning communities, and creative use of tech solutions have shown promise (</w:t>
      </w:r>
      <w:proofErr w:type="spellStart"/>
      <w:r w:rsidRPr="00920D27">
        <w:rPr>
          <w:rFonts w:ascii="Arial" w:eastAsia="Times New Roman" w:hAnsi="Arial" w:cs="Arial"/>
          <w:sz w:val="20"/>
          <w:szCs w:val="20"/>
          <w:lang w:val="en"/>
        </w:rPr>
        <w:t>Misquitta</w:t>
      </w:r>
      <w:proofErr w:type="spellEnd"/>
      <w:r w:rsidRPr="00920D27">
        <w:rPr>
          <w:rFonts w:ascii="Arial" w:eastAsia="Times New Roman" w:hAnsi="Arial" w:cs="Arial"/>
          <w:sz w:val="20"/>
          <w:szCs w:val="20"/>
          <w:lang w:val="en"/>
        </w:rPr>
        <w:t xml:space="preserve"> &amp; Joshi, 2022) and can serve a model for pre-service and in-service training efforts.  </w:t>
      </w:r>
    </w:p>
    <w:p w14:paraId="4A4FB3FE" w14:textId="77777777" w:rsidR="00920D27" w:rsidRPr="00920D27" w:rsidRDefault="00920D27" w:rsidP="00920D27">
      <w:pPr>
        <w:spacing w:after="0" w:line="240" w:lineRule="auto"/>
        <w:rPr>
          <w:rFonts w:ascii="Arial" w:eastAsia="Times New Roman" w:hAnsi="Arial" w:cs="Arial"/>
          <w:sz w:val="20"/>
          <w:szCs w:val="20"/>
          <w:lang w:val="en"/>
        </w:rPr>
      </w:pPr>
    </w:p>
    <w:p w14:paraId="2D2447E4" w14:textId="63480B1A" w:rsidR="004D4C86" w:rsidRDefault="00920D27" w:rsidP="00843D4F">
      <w:pPr>
        <w:spacing w:after="0" w:line="240" w:lineRule="auto"/>
        <w:rPr>
          <w:rFonts w:ascii="Arial" w:eastAsia="Times New Roman" w:hAnsi="Arial" w:cs="Arial"/>
          <w:b/>
          <w:sz w:val="22"/>
          <w:szCs w:val="22"/>
          <w:lang w:val="en"/>
        </w:rPr>
      </w:pPr>
      <w:r w:rsidRPr="00920D27">
        <w:rPr>
          <w:rFonts w:ascii="Arial" w:eastAsia="Times New Roman" w:hAnsi="Arial" w:cs="Arial"/>
          <w:b/>
          <w:sz w:val="22"/>
          <w:szCs w:val="22"/>
          <w:lang w:val="en"/>
        </w:rPr>
        <w:t xml:space="preserve">4.2. </w:t>
      </w:r>
      <w:r w:rsidR="004D4C86" w:rsidRPr="00920D27">
        <w:rPr>
          <w:rFonts w:ascii="Arial" w:eastAsia="Times New Roman" w:hAnsi="Arial" w:cs="Arial"/>
          <w:b/>
          <w:sz w:val="22"/>
          <w:szCs w:val="22"/>
          <w:lang w:val="en"/>
        </w:rPr>
        <w:t>Implications for Research</w:t>
      </w:r>
    </w:p>
    <w:p w14:paraId="47F85E55" w14:textId="77777777" w:rsidR="00920D27" w:rsidRDefault="00920D27" w:rsidP="00920D27">
      <w:pPr>
        <w:spacing w:after="0" w:line="240" w:lineRule="auto"/>
        <w:rPr>
          <w:rFonts w:ascii="Arial" w:eastAsia="Times New Roman" w:hAnsi="Arial" w:cs="Arial"/>
          <w:b/>
          <w:sz w:val="22"/>
          <w:szCs w:val="22"/>
          <w:lang w:val="en"/>
        </w:rPr>
      </w:pPr>
    </w:p>
    <w:p w14:paraId="63E6AE52" w14:textId="1333DED5" w:rsidR="004D4C86" w:rsidRPr="00920D27" w:rsidRDefault="004D4C86" w:rsidP="00920D27">
      <w:pPr>
        <w:spacing w:after="0" w:line="240" w:lineRule="auto"/>
        <w:rPr>
          <w:rFonts w:ascii="Arial" w:eastAsia="Times New Roman" w:hAnsi="Arial" w:cs="Arial"/>
          <w:sz w:val="20"/>
          <w:szCs w:val="20"/>
          <w:lang w:val="en"/>
        </w:rPr>
      </w:pPr>
      <w:r w:rsidRPr="00920D27">
        <w:rPr>
          <w:rFonts w:ascii="Arial" w:eastAsia="Times New Roman" w:hAnsi="Arial" w:cs="Arial"/>
          <w:sz w:val="20"/>
          <w:szCs w:val="20"/>
          <w:lang w:val="en"/>
        </w:rPr>
        <w:t xml:space="preserve">Future research should critically examine whether alternatives like NIOS are truly responsive to student needs or merely symptomatic of systemic incapacity to support diverse learners. Additionally, studies should explore the efficacy of classroom-level strategies, such as one-on-one instruction, peer-assisted learning, and proactive behavior management, and interrogate the goals that guide their implementation. Research must also investigate how inclusive practices are negotiated within the cultural and structural constraints of schools to better inform context-sensitive interventions. Additionally, there should be an effort to understand the perspective of SWD, their experience in the school system, their aspirations for </w:t>
      </w:r>
      <w:r w:rsidRPr="00920D27">
        <w:rPr>
          <w:rFonts w:ascii="Arial" w:eastAsia="Times New Roman" w:hAnsi="Arial" w:cs="Arial"/>
          <w:sz w:val="20"/>
          <w:szCs w:val="20"/>
          <w:lang w:val="en"/>
        </w:rPr>
        <w:lastRenderedPageBreak/>
        <w:t>the future, and their school journey. Finally, policy analyses of schools and systems across India would provide a foundational understanding of the capacity of educators to provide inclusive education.</w:t>
      </w:r>
    </w:p>
    <w:p w14:paraId="3E81EEA6" w14:textId="77777777" w:rsidR="00920D27" w:rsidRDefault="00920D27" w:rsidP="00843D4F">
      <w:pPr>
        <w:spacing w:after="0" w:line="240" w:lineRule="auto"/>
        <w:jc w:val="center"/>
        <w:rPr>
          <w:rFonts w:ascii="Arial" w:eastAsia="Times New Roman" w:hAnsi="Arial" w:cs="Arial"/>
          <w:b/>
          <w:sz w:val="20"/>
          <w:szCs w:val="20"/>
          <w:lang w:val="en"/>
        </w:rPr>
      </w:pPr>
    </w:p>
    <w:p w14:paraId="23BA7E58" w14:textId="606F63F0" w:rsidR="004D4C86" w:rsidRPr="00920D27" w:rsidRDefault="00920D27" w:rsidP="00920D27">
      <w:pPr>
        <w:spacing w:after="0" w:line="240" w:lineRule="auto"/>
        <w:rPr>
          <w:rFonts w:ascii="Arial" w:eastAsia="Times New Roman" w:hAnsi="Arial" w:cs="Arial"/>
          <w:b/>
          <w:sz w:val="22"/>
          <w:szCs w:val="22"/>
          <w:lang w:val="en"/>
        </w:rPr>
      </w:pPr>
      <w:r w:rsidRPr="00920D27">
        <w:rPr>
          <w:rFonts w:ascii="Arial" w:eastAsia="Times New Roman" w:hAnsi="Arial" w:cs="Arial"/>
          <w:b/>
          <w:sz w:val="22"/>
          <w:szCs w:val="22"/>
          <w:lang w:val="en"/>
        </w:rPr>
        <w:t xml:space="preserve">5. </w:t>
      </w:r>
      <w:r w:rsidR="004D4C86" w:rsidRPr="00920D27">
        <w:rPr>
          <w:rFonts w:ascii="Arial" w:eastAsia="Times New Roman" w:hAnsi="Arial" w:cs="Arial"/>
          <w:b/>
          <w:sz w:val="22"/>
          <w:szCs w:val="22"/>
          <w:lang w:val="en"/>
        </w:rPr>
        <w:t>Limitations</w:t>
      </w:r>
    </w:p>
    <w:p w14:paraId="0FDF123B" w14:textId="77777777" w:rsidR="00920D27" w:rsidRDefault="00920D27" w:rsidP="00920D27">
      <w:pPr>
        <w:spacing w:after="0" w:line="240" w:lineRule="auto"/>
        <w:rPr>
          <w:rFonts w:ascii="Arial" w:eastAsia="Times New Roman" w:hAnsi="Arial" w:cs="Arial"/>
          <w:sz w:val="20"/>
          <w:szCs w:val="20"/>
          <w:lang w:val="en"/>
        </w:rPr>
      </w:pPr>
    </w:p>
    <w:p w14:paraId="448DC7CA" w14:textId="2C59E626" w:rsidR="004D4C86" w:rsidRDefault="004D4C86" w:rsidP="00920D27">
      <w:pPr>
        <w:spacing w:after="0" w:line="240" w:lineRule="auto"/>
        <w:rPr>
          <w:rFonts w:ascii="Arial" w:eastAsia="Times New Roman" w:hAnsi="Arial" w:cs="Arial"/>
          <w:sz w:val="20"/>
          <w:szCs w:val="20"/>
          <w:lang w:val="en"/>
        </w:rPr>
      </w:pPr>
      <w:r w:rsidRPr="00920D27">
        <w:rPr>
          <w:rFonts w:ascii="Arial" w:eastAsia="Times New Roman" w:hAnsi="Arial" w:cs="Arial"/>
          <w:sz w:val="20"/>
          <w:szCs w:val="20"/>
          <w:lang w:val="en"/>
        </w:rPr>
        <w:t>This systematic meta-synthesis was limited to specific databases and included only peer-reviewed articles, which may have constrained the overall representation of inclusive education practices in India. Additionally, restricting the review to English-language publications may have further narrowed the scope, potentially omitting relevant research published in regional languages. The choice of search terms may also have influenced the range of studies identified. Despite these limitations, the findings synthesized in this review offer a valuable contribution to the field of inclusive education and can serve as a foundation for future research, inform practice and policy, and stimulate deeper dialogue among stakeholders.</w:t>
      </w:r>
    </w:p>
    <w:p w14:paraId="5358997B" w14:textId="77777777" w:rsidR="00920D27" w:rsidRPr="00920D27" w:rsidRDefault="00920D27" w:rsidP="00920D27">
      <w:pPr>
        <w:spacing w:after="0" w:line="240" w:lineRule="auto"/>
        <w:rPr>
          <w:rFonts w:ascii="Arial" w:eastAsia="Times New Roman" w:hAnsi="Arial" w:cs="Arial"/>
          <w:sz w:val="20"/>
          <w:szCs w:val="20"/>
          <w:lang w:val="en"/>
        </w:rPr>
      </w:pPr>
    </w:p>
    <w:p w14:paraId="0E3677B6" w14:textId="00DEE6C6" w:rsidR="004D4C86" w:rsidRPr="00920D27" w:rsidRDefault="00920D27" w:rsidP="00920D27">
      <w:pPr>
        <w:spacing w:after="0" w:line="240" w:lineRule="auto"/>
        <w:rPr>
          <w:rFonts w:ascii="Arial" w:eastAsia="Times New Roman" w:hAnsi="Arial" w:cs="Arial"/>
          <w:b/>
          <w:sz w:val="22"/>
          <w:szCs w:val="22"/>
          <w:lang w:val="en"/>
        </w:rPr>
      </w:pPr>
      <w:r w:rsidRPr="00920D27">
        <w:rPr>
          <w:rFonts w:ascii="Arial" w:eastAsia="Times New Roman" w:hAnsi="Arial" w:cs="Arial"/>
          <w:b/>
          <w:sz w:val="22"/>
          <w:szCs w:val="22"/>
          <w:lang w:val="en"/>
        </w:rPr>
        <w:t xml:space="preserve">6. </w:t>
      </w:r>
      <w:r w:rsidR="004D4C86" w:rsidRPr="00920D27">
        <w:rPr>
          <w:rFonts w:ascii="Arial" w:eastAsia="Times New Roman" w:hAnsi="Arial" w:cs="Arial"/>
          <w:b/>
          <w:sz w:val="22"/>
          <w:szCs w:val="22"/>
          <w:lang w:val="en"/>
        </w:rPr>
        <w:t>Conclusion</w:t>
      </w:r>
    </w:p>
    <w:p w14:paraId="3806DFC8" w14:textId="77777777" w:rsidR="00920D27" w:rsidRDefault="00920D27" w:rsidP="00920D27">
      <w:pPr>
        <w:spacing w:after="0" w:line="240" w:lineRule="auto"/>
        <w:rPr>
          <w:rFonts w:ascii="Arial" w:eastAsia="Times New Roman" w:hAnsi="Arial" w:cs="Arial"/>
          <w:sz w:val="20"/>
          <w:szCs w:val="20"/>
          <w:lang w:val="en"/>
        </w:rPr>
      </w:pPr>
    </w:p>
    <w:p w14:paraId="5A9B4719" w14:textId="4135623F" w:rsidR="004D4C86" w:rsidRDefault="004D4C86" w:rsidP="00920D27">
      <w:pPr>
        <w:spacing w:after="0" w:line="240" w:lineRule="auto"/>
        <w:rPr>
          <w:rFonts w:ascii="Arial" w:eastAsia="Times New Roman" w:hAnsi="Arial" w:cs="Arial"/>
          <w:sz w:val="20"/>
          <w:szCs w:val="20"/>
          <w:lang w:val="en"/>
        </w:rPr>
      </w:pPr>
      <w:r w:rsidRPr="00920D27">
        <w:rPr>
          <w:rFonts w:ascii="Arial" w:eastAsia="Times New Roman" w:hAnsi="Arial" w:cs="Arial"/>
          <w:sz w:val="20"/>
          <w:szCs w:val="20"/>
          <w:lang w:val="en"/>
        </w:rPr>
        <w:t>This meta-synthesis indicates that while educators generally support the principles of inclusion, their efforts are constrained by systemic barriers, inadequate preparation, attitudinal resistance, and rigid institutional cultures. The findings highlight that inclusion remains more aspirational than operational, often reduced to minimal accommodations and trivialized solutions like seating arrangements in the front or with siblings. Addressing this gap requires a holistic response that includes meaningful changes in teacher education, school policy, and broader structural reforms. As long as deficit-based understandings of disability and normative expectations persist, inclusive education risks becoming a tokenistic idea rather than a lived reality for SWD in India.</w:t>
      </w:r>
    </w:p>
    <w:p w14:paraId="7507FD2A" w14:textId="77777777" w:rsidR="00714229" w:rsidRDefault="00714229" w:rsidP="00920D27">
      <w:pPr>
        <w:spacing w:after="0" w:line="240" w:lineRule="auto"/>
        <w:rPr>
          <w:rFonts w:ascii="Arial" w:eastAsia="Times New Roman" w:hAnsi="Arial" w:cs="Arial"/>
          <w:sz w:val="20"/>
          <w:szCs w:val="20"/>
          <w:lang w:val="en"/>
        </w:rPr>
      </w:pPr>
    </w:p>
    <w:p w14:paraId="599F2CA2" w14:textId="77777777" w:rsidR="00714229" w:rsidRDefault="00714229" w:rsidP="00920D27">
      <w:pPr>
        <w:spacing w:after="0" w:line="240" w:lineRule="auto"/>
        <w:rPr>
          <w:rFonts w:ascii="Arial" w:eastAsia="Times New Roman" w:hAnsi="Arial" w:cs="Arial"/>
          <w:sz w:val="20"/>
          <w:szCs w:val="20"/>
          <w:lang w:val="en"/>
        </w:rPr>
      </w:pPr>
    </w:p>
    <w:p w14:paraId="1512C6E6" w14:textId="77777777" w:rsidR="00714229" w:rsidRPr="00714229" w:rsidRDefault="00714229" w:rsidP="00714229">
      <w:pPr>
        <w:spacing w:after="200" w:line="276" w:lineRule="auto"/>
        <w:jc w:val="both"/>
        <w:outlineLvl w:val="0"/>
        <w:rPr>
          <w:rFonts w:ascii="Arial" w:eastAsia="Times New Roman" w:hAnsi="Arial" w:cs="Arial"/>
          <w:sz w:val="22"/>
          <w:szCs w:val="22"/>
          <w:lang w:val="en-GB" w:eastAsia="en-GB"/>
        </w:rPr>
      </w:pPr>
      <w:r w:rsidRPr="00714229">
        <w:rPr>
          <w:rFonts w:ascii="Arial" w:eastAsia="Times New Roman" w:hAnsi="Arial" w:cs="Arial"/>
          <w:b/>
          <w:bCs/>
          <w:sz w:val="22"/>
          <w:szCs w:val="22"/>
          <w:lang w:val="en-GB" w:eastAsia="en-GB"/>
        </w:rPr>
        <w:t>COMPETING INTERESTS DISCLAIMER:</w:t>
      </w:r>
    </w:p>
    <w:p w14:paraId="0C65320F" w14:textId="77777777" w:rsidR="00714229" w:rsidRPr="00714229" w:rsidRDefault="00714229" w:rsidP="00714229">
      <w:pPr>
        <w:spacing w:after="200" w:line="276" w:lineRule="auto"/>
        <w:rPr>
          <w:rFonts w:ascii="Calibri" w:eastAsia="Times New Roman" w:hAnsi="Calibri" w:cs="Times New Roman"/>
          <w:sz w:val="22"/>
          <w:szCs w:val="22"/>
          <w:lang w:val="en-GB" w:eastAsia="en-GB"/>
        </w:rPr>
      </w:pPr>
      <w:r w:rsidRPr="00714229">
        <w:rPr>
          <w:rFonts w:ascii="Calibri" w:eastAsia="Times New Roman" w:hAnsi="Calibri" w:cs="Times New Roman"/>
          <w:sz w:val="22"/>
          <w:szCs w:val="22"/>
          <w:lang w:val="en-GB" w:eastAsia="en-GB"/>
        </w:rPr>
        <w:t>Authors have declared that they have no known competing financial interests OR non-financial interests OR personal relationships that could have appeared to influence the work reported in this paper.</w:t>
      </w:r>
    </w:p>
    <w:p w14:paraId="2EDF6F3A" w14:textId="77777777" w:rsidR="00714229" w:rsidRPr="00920D27" w:rsidRDefault="00714229" w:rsidP="00920D27">
      <w:pPr>
        <w:spacing w:after="0" w:line="240" w:lineRule="auto"/>
        <w:rPr>
          <w:rFonts w:ascii="Arial" w:eastAsia="Times New Roman" w:hAnsi="Arial" w:cs="Arial"/>
          <w:sz w:val="20"/>
          <w:szCs w:val="20"/>
          <w:lang w:val="en"/>
        </w:rPr>
      </w:pPr>
    </w:p>
    <w:p w14:paraId="6E874D37" w14:textId="3061C94F" w:rsidR="004D4C86" w:rsidRPr="00843D4F" w:rsidRDefault="00B61F76" w:rsidP="005D7D7A">
      <w:pPr>
        <w:spacing w:line="240" w:lineRule="auto"/>
        <w:rPr>
          <w:rFonts w:ascii="Arial" w:eastAsia="Times New Roman" w:hAnsi="Arial" w:cs="Arial"/>
          <w:lang w:val="en"/>
        </w:rPr>
      </w:pPr>
      <w:r w:rsidRPr="00920D27">
        <w:rPr>
          <w:rFonts w:ascii="Arial" w:eastAsia="Times New Roman" w:hAnsi="Arial" w:cs="Arial"/>
          <w:sz w:val="20"/>
          <w:szCs w:val="20"/>
          <w:lang w:val="en"/>
        </w:rPr>
        <w:br w:type="page"/>
      </w:r>
      <w:r w:rsidR="004D4C86" w:rsidRPr="00843D4F">
        <w:rPr>
          <w:rFonts w:ascii="Arial" w:eastAsia="Times New Roman" w:hAnsi="Arial" w:cs="Arial"/>
          <w:b/>
          <w:lang w:val="en"/>
        </w:rPr>
        <w:lastRenderedPageBreak/>
        <w:t>References</w:t>
      </w:r>
    </w:p>
    <w:p w14:paraId="57AA1B4F" w14:textId="550701D9"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Ahmed, S., &amp; Ali, M. A. (2021). A study on special educators’ professional autonomy in Delhi government schools. </w:t>
      </w:r>
      <w:r w:rsidRPr="00920D27">
        <w:rPr>
          <w:rFonts w:ascii="Arial" w:eastAsia="Times New Roman" w:hAnsi="Arial" w:cs="Arial"/>
          <w:i/>
          <w:sz w:val="20"/>
          <w:szCs w:val="20"/>
          <w:lang w:val="en"/>
        </w:rPr>
        <w:t>Journal on Educational Psychology</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15</w:t>
      </w:r>
      <w:r w:rsidRPr="00920D27">
        <w:rPr>
          <w:rFonts w:ascii="Arial" w:eastAsia="Times New Roman" w:hAnsi="Arial" w:cs="Arial"/>
          <w:sz w:val="20"/>
          <w:szCs w:val="20"/>
          <w:lang w:val="en"/>
        </w:rPr>
        <w:t>(2), 64–70.</w:t>
      </w:r>
      <w:r w:rsidR="00CC7D76" w:rsidRPr="00CC7D76">
        <w:rPr>
          <w:rFonts w:ascii="Arial" w:eastAsia="Times New Roman" w:hAnsi="Arial" w:cs="Arial"/>
          <w:sz w:val="18"/>
          <w:szCs w:val="18"/>
        </w:rPr>
        <w:t xml:space="preserve"> </w:t>
      </w:r>
      <w:hyperlink r:id="rId19" w:history="1">
        <w:r w:rsidR="00CC7D76" w:rsidRPr="00616F5B">
          <w:rPr>
            <w:rStyle w:val="Hyperlink"/>
            <w:rFonts w:ascii="Arial" w:eastAsia="Times New Roman" w:hAnsi="Arial" w:cs="Arial"/>
            <w:sz w:val="18"/>
            <w:szCs w:val="18"/>
          </w:rPr>
          <w:t>https://doi.org/10.26634/jpsy.15.2.18397</w:t>
        </w:r>
      </w:hyperlink>
      <w:r w:rsidR="00CC7D76">
        <w:rPr>
          <w:rFonts w:ascii="Arial" w:eastAsia="Times New Roman" w:hAnsi="Arial" w:cs="Arial"/>
          <w:sz w:val="18"/>
          <w:szCs w:val="18"/>
        </w:rPr>
        <w:t xml:space="preserve"> </w:t>
      </w:r>
    </w:p>
    <w:p w14:paraId="33E687EE" w14:textId="56F41090"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Armstrong, D., Armstrong, A. C., &amp; </w:t>
      </w:r>
      <w:proofErr w:type="spellStart"/>
      <w:r w:rsidRPr="00920D27">
        <w:rPr>
          <w:rFonts w:ascii="Arial" w:eastAsia="Times New Roman" w:hAnsi="Arial" w:cs="Arial"/>
          <w:sz w:val="20"/>
          <w:szCs w:val="20"/>
          <w:lang w:val="en"/>
        </w:rPr>
        <w:t>Spandagou</w:t>
      </w:r>
      <w:proofErr w:type="spellEnd"/>
      <w:r w:rsidRPr="00920D27">
        <w:rPr>
          <w:rFonts w:ascii="Arial" w:eastAsia="Times New Roman" w:hAnsi="Arial" w:cs="Arial"/>
          <w:sz w:val="20"/>
          <w:szCs w:val="20"/>
          <w:lang w:val="en"/>
        </w:rPr>
        <w:t xml:space="preserve">, I. (2011). Inclusion: By choice or by chance? </w:t>
      </w:r>
      <w:r w:rsidRPr="00920D27">
        <w:rPr>
          <w:rFonts w:ascii="Arial" w:eastAsia="Times New Roman" w:hAnsi="Arial" w:cs="Arial"/>
          <w:i/>
          <w:sz w:val="20"/>
          <w:szCs w:val="20"/>
          <w:lang w:val="en"/>
        </w:rPr>
        <w:t>International Journal of Inclusive Education, 15</w:t>
      </w:r>
      <w:r w:rsidRPr="00920D27">
        <w:rPr>
          <w:rFonts w:ascii="Arial" w:eastAsia="Times New Roman" w:hAnsi="Arial" w:cs="Arial"/>
          <w:sz w:val="20"/>
          <w:szCs w:val="20"/>
          <w:lang w:val="en"/>
        </w:rPr>
        <w:t xml:space="preserve">(1), 29–39. </w:t>
      </w:r>
      <w:hyperlink r:id="rId20" w:history="1">
        <w:r w:rsidR="00431BD9" w:rsidRPr="00616F5B">
          <w:rPr>
            <w:rStyle w:val="Hyperlink"/>
            <w:rFonts w:ascii="Arial" w:eastAsia="Times New Roman" w:hAnsi="Arial" w:cs="Arial"/>
            <w:sz w:val="18"/>
            <w:szCs w:val="18"/>
          </w:rPr>
          <w:t>https://doi.org/10.1080/13603116.2010.496192</w:t>
        </w:r>
      </w:hyperlink>
      <w:r w:rsidR="00431BD9">
        <w:rPr>
          <w:rFonts w:ascii="Arial" w:eastAsia="Times New Roman" w:hAnsi="Arial" w:cs="Arial"/>
          <w:sz w:val="18"/>
          <w:szCs w:val="18"/>
        </w:rPr>
        <w:t xml:space="preserve"> </w:t>
      </w:r>
    </w:p>
    <w:p w14:paraId="2DF99452" w14:textId="4B7A996C" w:rsidR="004D4C86" w:rsidRPr="00920D27" w:rsidRDefault="004D4C86" w:rsidP="00843D4F">
      <w:pPr>
        <w:spacing w:after="0" w:line="240" w:lineRule="auto"/>
        <w:ind w:left="720" w:hanging="720"/>
        <w:rPr>
          <w:rFonts w:ascii="Arial" w:eastAsia="Times New Roman" w:hAnsi="Arial" w:cs="Arial"/>
          <w:sz w:val="20"/>
          <w:szCs w:val="20"/>
          <w:u w:val="single"/>
          <w:lang w:val="en"/>
        </w:rPr>
      </w:pPr>
      <w:r w:rsidRPr="00920D27">
        <w:rPr>
          <w:rFonts w:ascii="Arial" w:eastAsia="Times New Roman" w:hAnsi="Arial" w:cs="Arial"/>
          <w:sz w:val="20"/>
          <w:szCs w:val="20"/>
          <w:lang w:val="en"/>
        </w:rPr>
        <w:t xml:space="preserve">Artiles, A. J., (2023, May 4). </w:t>
      </w:r>
      <w:r w:rsidRPr="00920D27">
        <w:rPr>
          <w:rFonts w:ascii="Arial" w:eastAsia="Times New Roman" w:hAnsi="Arial" w:cs="Arial"/>
          <w:i/>
          <w:sz w:val="20"/>
          <w:szCs w:val="20"/>
          <w:lang w:val="en"/>
        </w:rPr>
        <w:t>Probing Inclusive Education in the Global South: A Critical Cultural Historical Standpoint.</w:t>
      </w:r>
      <w:r w:rsidRPr="00920D27">
        <w:rPr>
          <w:rFonts w:ascii="Arial" w:eastAsia="Times New Roman" w:hAnsi="Arial" w:cs="Arial"/>
          <w:sz w:val="20"/>
          <w:szCs w:val="20"/>
          <w:lang w:val="en"/>
        </w:rPr>
        <w:t xml:space="preserve"> Stanford Public Scholarship Collaborative.</w:t>
      </w:r>
      <w:hyperlink r:id="rId21" w:history="1">
        <w:r w:rsidR="00FF672C" w:rsidRPr="00616F5B">
          <w:rPr>
            <w:rStyle w:val="Hyperlink"/>
            <w:rFonts w:ascii="Arial" w:eastAsia="Times New Roman" w:hAnsi="Arial" w:cs="Arial"/>
            <w:sz w:val="20"/>
            <w:szCs w:val="20"/>
            <w:lang w:val="en"/>
          </w:rPr>
          <w:t xml:space="preserve">  </w:t>
        </w:r>
        <w:r w:rsidR="00FF672C" w:rsidRPr="00616F5B">
          <w:rPr>
            <w:rStyle w:val="Hyperlink"/>
            <w:rFonts w:ascii="Arial" w:eastAsia="Times New Roman" w:hAnsi="Arial" w:cs="Arial"/>
            <w:sz w:val="18"/>
            <w:szCs w:val="18"/>
          </w:rPr>
          <w:t xml:space="preserve">https://publicscholarship.stanford.edu/scholarship/blogs/probing-inclusive-education-global-south-critical-cultural-historical-standpoint </w:t>
        </w:r>
        <w:r w:rsidR="00FF672C" w:rsidRPr="00616F5B">
          <w:rPr>
            <w:rStyle w:val="Hyperlink"/>
            <w:rFonts w:ascii="Arial" w:eastAsia="Times New Roman" w:hAnsi="Arial" w:cs="Arial"/>
            <w:sz w:val="20"/>
            <w:szCs w:val="20"/>
            <w:lang w:val="en"/>
          </w:rPr>
          <w:t xml:space="preserve"> </w:t>
        </w:r>
      </w:hyperlink>
      <w:r w:rsidR="00267059">
        <w:rPr>
          <w:rStyle w:val="Hyperlink"/>
          <w:rFonts w:ascii="Arial" w:eastAsia="Times New Roman" w:hAnsi="Arial" w:cs="Arial"/>
          <w:sz w:val="20"/>
          <w:szCs w:val="20"/>
          <w:lang w:val="en"/>
        </w:rPr>
        <w:t xml:space="preserve"> </w:t>
      </w:r>
    </w:p>
    <w:p w14:paraId="14E1D92C" w14:textId="77777777" w:rsidR="00925345" w:rsidRPr="00920D27" w:rsidRDefault="00925345"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Author. (2025). </w:t>
      </w:r>
      <w:r w:rsidRPr="00920D27">
        <w:rPr>
          <w:rFonts w:ascii="Arial" w:eastAsia="Times New Roman" w:hAnsi="Arial" w:cs="Arial"/>
          <w:i/>
          <w:sz w:val="20"/>
          <w:szCs w:val="20"/>
          <w:lang w:val="en"/>
        </w:rPr>
        <w:t>Inclusive Education and Educators in India: A Systematic Meta-Synthesis.</w:t>
      </w:r>
      <w:r w:rsidRPr="00920D27">
        <w:rPr>
          <w:rFonts w:ascii="Arial" w:eastAsia="Times New Roman" w:hAnsi="Arial" w:cs="Arial"/>
          <w:sz w:val="20"/>
          <w:szCs w:val="20"/>
          <w:lang w:val="en"/>
        </w:rPr>
        <w:t xml:space="preserve"> [Unpublished manuscript].</w:t>
      </w:r>
    </w:p>
    <w:p w14:paraId="717D701E" w14:textId="511FAB1C" w:rsidR="00FF672C"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*Bhatnagar, N., &amp; Das, A. (2014). Regular school teachers’ concerns and perceived barriers to implement inclusive education in New Delhi, India. </w:t>
      </w:r>
      <w:r w:rsidRPr="00920D27">
        <w:rPr>
          <w:rFonts w:ascii="Arial" w:eastAsia="Times New Roman" w:hAnsi="Arial" w:cs="Arial"/>
          <w:i/>
          <w:sz w:val="20"/>
          <w:szCs w:val="20"/>
          <w:lang w:val="en"/>
        </w:rPr>
        <w:t>International Journal of Instruction</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7</w:t>
      </w:r>
      <w:r w:rsidRPr="00920D27">
        <w:rPr>
          <w:rFonts w:ascii="Arial" w:eastAsia="Times New Roman" w:hAnsi="Arial" w:cs="Arial"/>
          <w:sz w:val="20"/>
          <w:szCs w:val="20"/>
          <w:lang w:val="en"/>
        </w:rPr>
        <w:t xml:space="preserve">(2), 89–102. </w:t>
      </w:r>
      <w:hyperlink r:id="rId22" w:history="1">
        <w:r w:rsidR="00FF672C" w:rsidRPr="00616F5B">
          <w:rPr>
            <w:rStyle w:val="Hyperlink"/>
            <w:rFonts w:ascii="Arial" w:eastAsia="Times New Roman" w:hAnsi="Arial" w:cs="Arial"/>
            <w:sz w:val="18"/>
            <w:szCs w:val="18"/>
          </w:rPr>
          <w:t>https://files.eric.ed.gov/fulltext/EJ1085257.pdf</w:t>
        </w:r>
      </w:hyperlink>
      <w:r w:rsidR="00FF672C">
        <w:rPr>
          <w:rFonts w:ascii="Arial" w:eastAsia="Times New Roman" w:hAnsi="Arial" w:cs="Arial"/>
          <w:sz w:val="20"/>
          <w:szCs w:val="20"/>
          <w:lang w:val="en"/>
        </w:rPr>
        <w:t xml:space="preserve">  </w:t>
      </w:r>
    </w:p>
    <w:p w14:paraId="7572A001" w14:textId="6A8951A6"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*Charles, A. S., &amp; </w:t>
      </w:r>
      <w:proofErr w:type="spellStart"/>
      <w:r w:rsidRPr="00920D27">
        <w:rPr>
          <w:rFonts w:ascii="Arial" w:eastAsia="Times New Roman" w:hAnsi="Arial" w:cs="Arial"/>
          <w:sz w:val="20"/>
          <w:szCs w:val="20"/>
          <w:lang w:val="en"/>
        </w:rPr>
        <w:t>Padhy</w:t>
      </w:r>
      <w:proofErr w:type="spellEnd"/>
      <w:r w:rsidRPr="00920D27">
        <w:rPr>
          <w:rFonts w:ascii="Arial" w:eastAsia="Times New Roman" w:hAnsi="Arial" w:cs="Arial"/>
          <w:sz w:val="20"/>
          <w:szCs w:val="20"/>
          <w:lang w:val="en"/>
        </w:rPr>
        <w:t xml:space="preserve">, P. (2019). Inclusion, disability, and schooling in India: A qualitative exploration of select programs. </w:t>
      </w:r>
      <w:r w:rsidRPr="00920D27">
        <w:rPr>
          <w:rFonts w:ascii="Arial" w:eastAsia="Times New Roman" w:hAnsi="Arial" w:cs="Arial"/>
          <w:i/>
          <w:sz w:val="20"/>
          <w:szCs w:val="20"/>
          <w:lang w:val="en"/>
        </w:rPr>
        <w:t>Journal of the International Association of Special Education</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19</w:t>
      </w:r>
      <w:r w:rsidRPr="00920D27">
        <w:rPr>
          <w:rFonts w:ascii="Arial" w:eastAsia="Times New Roman" w:hAnsi="Arial" w:cs="Arial"/>
          <w:sz w:val="20"/>
          <w:szCs w:val="20"/>
          <w:lang w:val="en"/>
        </w:rPr>
        <w:t xml:space="preserve">(1), 53–66. </w:t>
      </w:r>
      <w:hyperlink r:id="rId23" w:history="1">
        <w:r w:rsidR="005A4197" w:rsidRPr="00616F5B">
          <w:rPr>
            <w:rStyle w:val="Hyperlink"/>
            <w:rFonts w:ascii="Arial" w:eastAsia="Times New Roman" w:hAnsi="Arial" w:cs="Arial"/>
            <w:sz w:val="18"/>
            <w:szCs w:val="18"/>
          </w:rPr>
          <w:t>https://eric.ed.gov/?id=EJ1283994</w:t>
        </w:r>
      </w:hyperlink>
      <w:r w:rsidR="005A4197">
        <w:rPr>
          <w:rFonts w:ascii="Arial" w:eastAsia="Times New Roman" w:hAnsi="Arial" w:cs="Arial"/>
          <w:sz w:val="18"/>
          <w:szCs w:val="18"/>
        </w:rPr>
        <w:t xml:space="preserve"> </w:t>
      </w:r>
    </w:p>
    <w:p w14:paraId="49712DB0" w14:textId="34092830" w:rsidR="004D4C86" w:rsidRPr="00920D27" w:rsidRDefault="004D4C86" w:rsidP="00843D4F">
      <w:pPr>
        <w:spacing w:after="0" w:line="240" w:lineRule="auto"/>
        <w:ind w:left="720" w:hanging="720"/>
        <w:rPr>
          <w:rFonts w:ascii="Arial" w:eastAsia="Times New Roman" w:hAnsi="Arial" w:cs="Arial"/>
          <w:sz w:val="20"/>
          <w:szCs w:val="20"/>
          <w:lang w:val="en"/>
        </w:rPr>
      </w:pPr>
      <w:proofErr w:type="spellStart"/>
      <w:r w:rsidRPr="00920D27">
        <w:rPr>
          <w:rFonts w:ascii="Arial" w:eastAsia="Times New Roman" w:hAnsi="Arial" w:cs="Arial"/>
          <w:sz w:val="20"/>
          <w:szCs w:val="20"/>
          <w:lang w:val="en"/>
        </w:rPr>
        <w:t>Chrastina</w:t>
      </w:r>
      <w:proofErr w:type="spellEnd"/>
      <w:r w:rsidRPr="00920D27">
        <w:rPr>
          <w:rFonts w:ascii="Arial" w:eastAsia="Times New Roman" w:hAnsi="Arial" w:cs="Arial"/>
          <w:sz w:val="20"/>
          <w:szCs w:val="20"/>
          <w:lang w:val="en"/>
        </w:rPr>
        <w:t xml:space="preserve">, J. (2018). Meta-synthesis of qualitative studies: Background, methodology and applications. In </w:t>
      </w:r>
      <w:r w:rsidRPr="00920D27">
        <w:rPr>
          <w:rFonts w:ascii="Arial" w:eastAsia="Times New Roman" w:hAnsi="Arial" w:cs="Arial"/>
          <w:i/>
          <w:sz w:val="20"/>
          <w:szCs w:val="20"/>
          <w:lang w:val="en"/>
        </w:rPr>
        <w:t>NORDSCI</w:t>
      </w:r>
      <w:r w:rsidRPr="00920D27">
        <w:rPr>
          <w:rFonts w:ascii="Arial" w:eastAsia="Times New Roman" w:hAnsi="Arial" w:cs="Arial"/>
          <w:sz w:val="20"/>
          <w:szCs w:val="20"/>
          <w:lang w:val="en"/>
        </w:rPr>
        <w:t>.</w:t>
      </w:r>
      <w:hyperlink r:id="rId24" w:history="1">
        <w:r w:rsidRPr="00920D27">
          <w:rPr>
            <w:rStyle w:val="Hyperlink"/>
            <w:rFonts w:ascii="Arial" w:eastAsia="Times New Roman" w:hAnsi="Arial" w:cs="Arial"/>
            <w:sz w:val="20"/>
            <w:szCs w:val="20"/>
            <w:lang w:val="en"/>
          </w:rPr>
          <w:t xml:space="preserve"> </w:t>
        </w:r>
      </w:hyperlink>
      <w:r w:rsidR="002129C6" w:rsidRPr="002129C6">
        <w:rPr>
          <w:rFonts w:ascii="Arial" w:eastAsia="Times New Roman" w:hAnsi="Arial" w:cs="Arial"/>
          <w:sz w:val="18"/>
          <w:szCs w:val="18"/>
        </w:rPr>
        <w:t xml:space="preserve"> </w:t>
      </w:r>
      <w:hyperlink r:id="rId25" w:history="1">
        <w:r w:rsidR="002129C6" w:rsidRPr="00616F5B">
          <w:rPr>
            <w:rStyle w:val="Hyperlink"/>
            <w:rFonts w:ascii="Arial" w:eastAsia="Times New Roman" w:hAnsi="Arial" w:cs="Arial"/>
            <w:sz w:val="18"/>
            <w:szCs w:val="18"/>
          </w:rPr>
          <w:t>https://eric.ed.gov/?id=ED603222</w:t>
        </w:r>
      </w:hyperlink>
      <w:r w:rsidR="002129C6">
        <w:rPr>
          <w:rFonts w:ascii="Arial" w:eastAsia="Times New Roman" w:hAnsi="Arial" w:cs="Arial"/>
          <w:sz w:val="18"/>
          <w:szCs w:val="18"/>
        </w:rPr>
        <w:t xml:space="preserve"> </w:t>
      </w:r>
    </w:p>
    <w:p w14:paraId="2B88FC9C" w14:textId="414FAA90" w:rsidR="00003D34" w:rsidRPr="00003D34" w:rsidRDefault="004D4C86" w:rsidP="00003D34">
      <w:pPr>
        <w:spacing w:after="0" w:line="240" w:lineRule="auto"/>
        <w:ind w:left="720" w:hanging="720"/>
        <w:rPr>
          <w:rFonts w:ascii="Arial" w:eastAsia="Times New Roman" w:hAnsi="Arial" w:cs="Arial"/>
          <w:sz w:val="18"/>
          <w:szCs w:val="18"/>
        </w:rPr>
      </w:pPr>
      <w:r w:rsidRPr="00920D27">
        <w:rPr>
          <w:rFonts w:ascii="Arial" w:eastAsia="Times New Roman" w:hAnsi="Arial" w:cs="Arial"/>
          <w:sz w:val="20"/>
          <w:szCs w:val="20"/>
          <w:lang w:val="en"/>
        </w:rPr>
        <w:t xml:space="preserve">*David, N. (2013). ADHD in Indian elementary classrooms: Understanding teacher perspectives. </w:t>
      </w:r>
      <w:r w:rsidRPr="00920D27">
        <w:rPr>
          <w:rFonts w:ascii="Arial" w:eastAsia="Times New Roman" w:hAnsi="Arial" w:cs="Arial"/>
          <w:i/>
          <w:sz w:val="20"/>
          <w:szCs w:val="20"/>
          <w:lang w:val="en"/>
        </w:rPr>
        <w:t>International Journal of Special Education</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28</w:t>
      </w:r>
      <w:r w:rsidRPr="00920D27">
        <w:rPr>
          <w:rFonts w:ascii="Arial" w:eastAsia="Times New Roman" w:hAnsi="Arial" w:cs="Arial"/>
          <w:sz w:val="20"/>
          <w:szCs w:val="20"/>
          <w:lang w:val="en"/>
        </w:rPr>
        <w:t xml:space="preserve">(2), 4–16. </w:t>
      </w:r>
      <w:hyperlink r:id="rId26" w:history="1">
        <w:r w:rsidR="00003D34" w:rsidRPr="00616F5B">
          <w:rPr>
            <w:rStyle w:val="Hyperlink"/>
            <w:rFonts w:ascii="Arial" w:eastAsia="Times New Roman" w:hAnsi="Arial" w:cs="Arial"/>
            <w:sz w:val="18"/>
            <w:szCs w:val="18"/>
          </w:rPr>
          <w:t>https://files.eric.ed.gov/fulltext/EJ1023228.pdf</w:t>
        </w:r>
      </w:hyperlink>
      <w:r w:rsidR="00003D34">
        <w:rPr>
          <w:rFonts w:ascii="Arial" w:eastAsia="Times New Roman" w:hAnsi="Arial" w:cs="Arial"/>
          <w:sz w:val="18"/>
          <w:szCs w:val="18"/>
        </w:rPr>
        <w:t xml:space="preserve"> </w:t>
      </w:r>
    </w:p>
    <w:p w14:paraId="61564B01" w14:textId="19B42247"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*Devi, D. U., &amp; Reddy, P. A. (2016). Problems of children with special needs (CWSNs) in assessing the education: Role of barrier free environment - A case study of India. </w:t>
      </w:r>
      <w:r w:rsidRPr="00920D27">
        <w:rPr>
          <w:rFonts w:ascii="Arial" w:eastAsia="Times New Roman" w:hAnsi="Arial" w:cs="Arial"/>
          <w:i/>
          <w:sz w:val="20"/>
          <w:szCs w:val="20"/>
          <w:lang w:val="en"/>
        </w:rPr>
        <w:t>Bulgarian Journal of Science and Education Policy</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10</w:t>
      </w:r>
      <w:r w:rsidRPr="00920D27">
        <w:rPr>
          <w:rFonts w:ascii="Arial" w:eastAsia="Times New Roman" w:hAnsi="Arial" w:cs="Arial"/>
          <w:sz w:val="20"/>
          <w:szCs w:val="20"/>
          <w:lang w:val="en"/>
        </w:rPr>
        <w:t xml:space="preserve">(1), 90–105. </w:t>
      </w:r>
      <w:hyperlink r:id="rId27" w:history="1">
        <w:r w:rsidR="00773DAB" w:rsidRPr="00616F5B">
          <w:rPr>
            <w:rStyle w:val="Hyperlink"/>
            <w:rFonts w:ascii="Arial" w:eastAsia="Times New Roman" w:hAnsi="Arial" w:cs="Arial"/>
            <w:sz w:val="20"/>
            <w:szCs w:val="20"/>
            <w:lang w:val="en"/>
          </w:rPr>
          <w:t>http://bjsep.org/getfile.php?id=209</w:t>
        </w:r>
      </w:hyperlink>
      <w:r w:rsidR="00773DAB">
        <w:rPr>
          <w:rFonts w:ascii="Arial" w:eastAsia="Times New Roman" w:hAnsi="Arial" w:cs="Arial"/>
          <w:sz w:val="20"/>
          <w:szCs w:val="20"/>
          <w:lang w:val="en"/>
        </w:rPr>
        <w:t xml:space="preserve"> </w:t>
      </w:r>
    </w:p>
    <w:p w14:paraId="13BD0537" w14:textId="29845D8E" w:rsidR="00F059DD" w:rsidRPr="00F059DD" w:rsidRDefault="004D4C86" w:rsidP="00F059DD">
      <w:pPr>
        <w:spacing w:after="0" w:line="240" w:lineRule="auto"/>
        <w:ind w:left="720" w:hanging="720"/>
        <w:rPr>
          <w:rFonts w:ascii="Arial" w:eastAsia="Times New Roman" w:hAnsi="Arial" w:cs="Arial"/>
          <w:color w:val="467886" w:themeColor="hyperlink"/>
          <w:sz w:val="20"/>
          <w:szCs w:val="20"/>
          <w:u w:val="single"/>
          <w:lang w:val="en"/>
        </w:rPr>
      </w:pPr>
      <w:r w:rsidRPr="00920D27">
        <w:rPr>
          <w:rFonts w:ascii="Arial" w:eastAsia="Times New Roman" w:hAnsi="Arial" w:cs="Arial"/>
          <w:sz w:val="20"/>
          <w:szCs w:val="20"/>
          <w:lang w:val="en"/>
        </w:rPr>
        <w:t xml:space="preserve">*D’Souza, M., &amp; </w:t>
      </w:r>
      <w:proofErr w:type="spellStart"/>
      <w:r w:rsidRPr="00920D27">
        <w:rPr>
          <w:rFonts w:ascii="Arial" w:eastAsia="Times New Roman" w:hAnsi="Arial" w:cs="Arial"/>
          <w:sz w:val="20"/>
          <w:szCs w:val="20"/>
          <w:lang w:val="en"/>
        </w:rPr>
        <w:t>Jament</w:t>
      </w:r>
      <w:proofErr w:type="spellEnd"/>
      <w:r w:rsidRPr="00920D27">
        <w:rPr>
          <w:rFonts w:ascii="Arial" w:eastAsia="Times New Roman" w:hAnsi="Arial" w:cs="Arial"/>
          <w:sz w:val="20"/>
          <w:szCs w:val="20"/>
          <w:lang w:val="en"/>
        </w:rPr>
        <w:t xml:space="preserve">, J. (2015). Providing effective support to teachers in addressing social, emotional and </w:t>
      </w:r>
      <w:proofErr w:type="spellStart"/>
      <w:r w:rsidRPr="00920D27">
        <w:rPr>
          <w:rFonts w:ascii="Arial" w:eastAsia="Times New Roman" w:hAnsi="Arial" w:cs="Arial"/>
          <w:sz w:val="20"/>
          <w:szCs w:val="20"/>
          <w:lang w:val="en"/>
        </w:rPr>
        <w:t>behavioural</w:t>
      </w:r>
      <w:proofErr w:type="spellEnd"/>
      <w:r w:rsidRPr="00920D27">
        <w:rPr>
          <w:rFonts w:ascii="Arial" w:eastAsia="Times New Roman" w:hAnsi="Arial" w:cs="Arial"/>
          <w:sz w:val="20"/>
          <w:szCs w:val="20"/>
          <w:lang w:val="en"/>
        </w:rPr>
        <w:t xml:space="preserve"> difficulties in mainstream classrooms in a Bangalore pre-primary school. </w:t>
      </w:r>
      <w:r w:rsidRPr="00920D27">
        <w:rPr>
          <w:rFonts w:ascii="Arial" w:eastAsia="Times New Roman" w:hAnsi="Arial" w:cs="Arial"/>
          <w:i/>
          <w:sz w:val="20"/>
          <w:szCs w:val="20"/>
          <w:lang w:val="en"/>
        </w:rPr>
        <w:t>Support for Learning</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30</w:t>
      </w:r>
      <w:r w:rsidRPr="00920D27">
        <w:rPr>
          <w:rFonts w:ascii="Arial" w:eastAsia="Times New Roman" w:hAnsi="Arial" w:cs="Arial"/>
          <w:sz w:val="20"/>
          <w:szCs w:val="20"/>
          <w:lang w:val="en"/>
        </w:rPr>
        <w:t>(3), 239–251.</w:t>
      </w:r>
      <w:r w:rsidR="00F059DD" w:rsidRPr="00F059DD">
        <w:rPr>
          <w:rFonts w:ascii="Arial" w:eastAsia="Times New Roman" w:hAnsi="Arial" w:cs="Arial"/>
          <w:sz w:val="18"/>
          <w:szCs w:val="18"/>
        </w:rPr>
        <w:t xml:space="preserve"> </w:t>
      </w:r>
      <w:hyperlink r:id="rId28" w:history="1">
        <w:r w:rsidR="00F059DD" w:rsidRPr="00616F5B">
          <w:rPr>
            <w:rStyle w:val="Hyperlink"/>
            <w:rFonts w:ascii="Arial" w:eastAsia="Times New Roman" w:hAnsi="Arial" w:cs="Arial"/>
            <w:sz w:val="18"/>
            <w:szCs w:val="18"/>
          </w:rPr>
          <w:t>https://doi.org/10.1111/1467-9604.12093</w:t>
        </w:r>
      </w:hyperlink>
      <w:r w:rsidR="00F059DD">
        <w:rPr>
          <w:rFonts w:ascii="Arial" w:eastAsia="Times New Roman" w:hAnsi="Arial" w:cs="Arial"/>
          <w:sz w:val="18"/>
          <w:szCs w:val="18"/>
        </w:rPr>
        <w:t xml:space="preserve"> </w:t>
      </w:r>
      <w:r w:rsidR="00F059DD">
        <w:rPr>
          <w:rStyle w:val="Hyperlink"/>
          <w:rFonts w:ascii="Arial" w:eastAsia="Times New Roman" w:hAnsi="Arial" w:cs="Arial"/>
          <w:sz w:val="20"/>
          <w:szCs w:val="20"/>
          <w:lang w:val="en"/>
        </w:rPr>
        <w:t>.</w:t>
      </w:r>
    </w:p>
    <w:p w14:paraId="749CD7AC" w14:textId="2FFA7C4E"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*Elton-Chalcraft, S., Cammack, P. J., &amp; Harrison, L. (2016). Segregation, integration, inclusion and effective provision: A case study of perspectives from special educational needs children, parents and teachers in Bangalore, India. </w:t>
      </w:r>
      <w:r w:rsidRPr="00920D27">
        <w:rPr>
          <w:rFonts w:ascii="Arial" w:eastAsia="Times New Roman" w:hAnsi="Arial" w:cs="Arial"/>
          <w:i/>
          <w:sz w:val="20"/>
          <w:szCs w:val="20"/>
          <w:lang w:val="en"/>
        </w:rPr>
        <w:t>International Journal of Special Education</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31</w:t>
      </w:r>
      <w:r w:rsidRPr="00920D27">
        <w:rPr>
          <w:rFonts w:ascii="Arial" w:eastAsia="Times New Roman" w:hAnsi="Arial" w:cs="Arial"/>
          <w:sz w:val="20"/>
          <w:szCs w:val="20"/>
          <w:lang w:val="en"/>
        </w:rPr>
        <w:t xml:space="preserve">(1), 2–9. </w:t>
      </w:r>
      <w:hyperlink r:id="rId29" w:history="1">
        <w:r w:rsidR="00F22400" w:rsidRPr="00616F5B">
          <w:rPr>
            <w:rStyle w:val="Hyperlink"/>
            <w:rFonts w:ascii="Arial" w:eastAsia="Times New Roman" w:hAnsi="Arial" w:cs="Arial"/>
            <w:sz w:val="20"/>
            <w:szCs w:val="20"/>
            <w:lang w:val="en"/>
          </w:rPr>
          <w:t>https://files.eric.ed.gov/fulltext/EJ1099934.pdf</w:t>
        </w:r>
      </w:hyperlink>
      <w:r w:rsidR="00F22400">
        <w:rPr>
          <w:rFonts w:ascii="Arial" w:eastAsia="Times New Roman" w:hAnsi="Arial" w:cs="Arial"/>
          <w:sz w:val="20"/>
          <w:szCs w:val="20"/>
          <w:lang w:val="en"/>
        </w:rPr>
        <w:t xml:space="preserve"> </w:t>
      </w:r>
    </w:p>
    <w:p w14:paraId="400ACC08" w14:textId="6A6AD5E9"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Farrell, P. (2016). Promoting inclusive education in India: A framework for research and practice. </w:t>
      </w:r>
      <w:r w:rsidRPr="00920D27">
        <w:rPr>
          <w:rFonts w:ascii="Arial" w:eastAsia="Times New Roman" w:hAnsi="Arial" w:cs="Arial"/>
          <w:i/>
          <w:sz w:val="20"/>
          <w:szCs w:val="20"/>
          <w:lang w:val="en"/>
        </w:rPr>
        <w:t>Journal of the Indian Academy of Applied Psychology</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42</w:t>
      </w:r>
      <w:r w:rsidRPr="00920D27">
        <w:rPr>
          <w:rFonts w:ascii="Arial" w:eastAsia="Times New Roman" w:hAnsi="Arial" w:cs="Arial"/>
          <w:sz w:val="20"/>
          <w:szCs w:val="20"/>
          <w:lang w:val="en"/>
        </w:rPr>
        <w:t xml:space="preserve">(1), 18–29. </w:t>
      </w:r>
      <w:hyperlink r:id="rId30" w:history="1">
        <w:r w:rsidR="00F22400" w:rsidRPr="00616F5B">
          <w:rPr>
            <w:rStyle w:val="Hyperlink"/>
            <w:rFonts w:ascii="Arial" w:eastAsia="Times New Roman" w:hAnsi="Arial" w:cs="Arial"/>
            <w:sz w:val="20"/>
            <w:szCs w:val="20"/>
            <w:lang w:val="en"/>
          </w:rPr>
          <w:t>https://jiaap.in/wp-content/uploads/2024/08/2016_42_1_Farrell_18-29.pdf</w:t>
        </w:r>
      </w:hyperlink>
      <w:r w:rsidR="00F22400">
        <w:rPr>
          <w:rFonts w:ascii="Arial" w:eastAsia="Times New Roman" w:hAnsi="Arial" w:cs="Arial"/>
          <w:sz w:val="20"/>
          <w:szCs w:val="20"/>
          <w:lang w:val="en"/>
        </w:rPr>
        <w:t xml:space="preserve"> </w:t>
      </w:r>
    </w:p>
    <w:p w14:paraId="79423422" w14:textId="77777777" w:rsidR="004D4C86" w:rsidRPr="00920D27" w:rsidRDefault="004D4C86" w:rsidP="00843D4F">
      <w:pPr>
        <w:spacing w:after="0" w:line="240" w:lineRule="auto"/>
        <w:ind w:left="720" w:hanging="720"/>
        <w:rPr>
          <w:rFonts w:ascii="Arial" w:eastAsia="Times New Roman" w:hAnsi="Arial" w:cs="Arial"/>
          <w:sz w:val="20"/>
          <w:szCs w:val="20"/>
          <w:lang w:val="en"/>
        </w:rPr>
      </w:pPr>
      <w:proofErr w:type="spellStart"/>
      <w:r w:rsidRPr="00920D27">
        <w:rPr>
          <w:rFonts w:ascii="Arial" w:eastAsia="Times New Roman" w:hAnsi="Arial" w:cs="Arial"/>
          <w:sz w:val="20"/>
          <w:szCs w:val="20"/>
          <w:lang w:val="en"/>
        </w:rPr>
        <w:t>Finfgeld</w:t>
      </w:r>
      <w:proofErr w:type="spellEnd"/>
      <w:r w:rsidRPr="00920D27">
        <w:rPr>
          <w:rFonts w:ascii="Arial" w:eastAsia="Times New Roman" w:hAnsi="Arial" w:cs="Arial"/>
          <w:sz w:val="20"/>
          <w:szCs w:val="20"/>
          <w:lang w:val="en"/>
        </w:rPr>
        <w:t xml:space="preserve">-Connett, D. (2018). </w:t>
      </w:r>
      <w:r w:rsidRPr="00920D27">
        <w:rPr>
          <w:rFonts w:ascii="Arial" w:eastAsia="Times New Roman" w:hAnsi="Arial" w:cs="Arial"/>
          <w:i/>
          <w:sz w:val="20"/>
          <w:szCs w:val="20"/>
          <w:lang w:val="en"/>
        </w:rPr>
        <w:t>A Guide to Qualitative Meta-synthesis</w:t>
      </w:r>
      <w:r w:rsidRPr="00920D27">
        <w:rPr>
          <w:rFonts w:ascii="Arial" w:eastAsia="Times New Roman" w:hAnsi="Arial" w:cs="Arial"/>
          <w:sz w:val="20"/>
          <w:szCs w:val="20"/>
          <w:lang w:val="en"/>
        </w:rPr>
        <w:t xml:space="preserve">. Routledge. </w:t>
      </w:r>
      <w:hyperlink r:id="rId31" w:history="1">
        <w:r w:rsidRPr="00920D27">
          <w:rPr>
            <w:rStyle w:val="Hyperlink"/>
            <w:rFonts w:ascii="Arial" w:eastAsia="Times New Roman" w:hAnsi="Arial" w:cs="Arial"/>
            <w:sz w:val="20"/>
            <w:szCs w:val="20"/>
            <w:lang w:val="en"/>
          </w:rPr>
          <w:t>https://doi.org/10.4324/9781351212793</w:t>
        </w:r>
      </w:hyperlink>
    </w:p>
    <w:p w14:paraId="05DC1488" w14:textId="77777777" w:rsidR="00340C3C" w:rsidRDefault="004D4C86" w:rsidP="00843D4F">
      <w:pPr>
        <w:spacing w:after="0" w:line="240" w:lineRule="auto"/>
        <w:ind w:left="720" w:hanging="720"/>
        <w:rPr>
          <w:rFonts w:ascii="Arial" w:eastAsia="Times New Roman" w:hAnsi="Arial" w:cs="Arial"/>
          <w:sz w:val="18"/>
          <w:szCs w:val="18"/>
        </w:rPr>
      </w:pPr>
      <w:r w:rsidRPr="00920D27">
        <w:rPr>
          <w:rFonts w:ascii="Arial" w:eastAsia="Times New Roman" w:hAnsi="Arial" w:cs="Arial"/>
          <w:sz w:val="20"/>
          <w:szCs w:val="20"/>
          <w:lang w:val="en"/>
        </w:rPr>
        <w:t xml:space="preserve">*Forber-Pratt, A. J., &amp; Sarkar, T. (2022). Unpacking the possible: A qualitative case study of inclusive teacher practice in India. </w:t>
      </w:r>
      <w:proofErr w:type="spellStart"/>
      <w:r w:rsidRPr="00920D27">
        <w:rPr>
          <w:rFonts w:ascii="Arial" w:eastAsia="Times New Roman" w:hAnsi="Arial" w:cs="Arial"/>
          <w:i/>
          <w:sz w:val="20"/>
          <w:szCs w:val="20"/>
          <w:lang w:val="en"/>
        </w:rPr>
        <w:t>Institutionalised</w:t>
      </w:r>
      <w:proofErr w:type="spellEnd"/>
      <w:r w:rsidRPr="00920D27">
        <w:rPr>
          <w:rFonts w:ascii="Arial" w:eastAsia="Times New Roman" w:hAnsi="Arial" w:cs="Arial"/>
          <w:i/>
          <w:sz w:val="20"/>
          <w:szCs w:val="20"/>
          <w:lang w:val="en"/>
        </w:rPr>
        <w:t xml:space="preserve"> Children Explorations and Beyond</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9</w:t>
      </w:r>
      <w:r w:rsidRPr="00920D27">
        <w:rPr>
          <w:rFonts w:ascii="Arial" w:eastAsia="Times New Roman" w:hAnsi="Arial" w:cs="Arial"/>
          <w:sz w:val="20"/>
          <w:szCs w:val="20"/>
          <w:lang w:val="en"/>
        </w:rPr>
        <w:t xml:space="preserve">(1), 34–46.DOI: </w:t>
      </w:r>
      <w:hyperlink r:id="rId32" w:history="1">
        <w:r w:rsidR="00340C3C" w:rsidRPr="00616F5B">
          <w:rPr>
            <w:rStyle w:val="Hyperlink"/>
            <w:rFonts w:ascii="Arial" w:eastAsia="Times New Roman" w:hAnsi="Arial" w:cs="Arial"/>
            <w:sz w:val="18"/>
            <w:szCs w:val="18"/>
          </w:rPr>
          <w:t>https://doi.org/10.1177/23493003211047927</w:t>
        </w:r>
      </w:hyperlink>
      <w:r w:rsidR="00340C3C">
        <w:rPr>
          <w:rFonts w:ascii="Arial" w:eastAsia="Times New Roman" w:hAnsi="Arial" w:cs="Arial"/>
          <w:sz w:val="18"/>
          <w:szCs w:val="18"/>
        </w:rPr>
        <w:t xml:space="preserve"> </w:t>
      </w:r>
    </w:p>
    <w:p w14:paraId="7E2B6D5E" w14:textId="41F8D058" w:rsidR="004D4C86" w:rsidRPr="00920D27" w:rsidRDefault="004D4C86" w:rsidP="00843D4F">
      <w:pPr>
        <w:spacing w:after="0" w:line="240" w:lineRule="auto"/>
        <w:ind w:left="720" w:hanging="720"/>
        <w:rPr>
          <w:rFonts w:ascii="Arial" w:eastAsia="Times New Roman" w:hAnsi="Arial" w:cs="Arial"/>
          <w:sz w:val="20"/>
          <w:szCs w:val="20"/>
          <w:u w:val="single"/>
          <w:lang w:val="en"/>
        </w:rPr>
      </w:pPr>
      <w:proofErr w:type="spellStart"/>
      <w:r w:rsidRPr="00920D27">
        <w:rPr>
          <w:rFonts w:ascii="Arial" w:eastAsia="Times New Roman" w:hAnsi="Arial" w:cs="Arial"/>
          <w:sz w:val="20"/>
          <w:szCs w:val="20"/>
          <w:lang w:val="en"/>
        </w:rPr>
        <w:t>Forlin</w:t>
      </w:r>
      <w:proofErr w:type="spellEnd"/>
      <w:r w:rsidRPr="00920D27">
        <w:rPr>
          <w:rFonts w:ascii="Arial" w:eastAsia="Times New Roman" w:hAnsi="Arial" w:cs="Arial"/>
          <w:sz w:val="20"/>
          <w:szCs w:val="20"/>
          <w:lang w:val="en"/>
        </w:rPr>
        <w:t xml:space="preserve">, C. (2013). Changing paradigms and future directions for implementing inclusive education in developing countries. </w:t>
      </w:r>
      <w:r w:rsidRPr="00920D27">
        <w:rPr>
          <w:rFonts w:ascii="Arial" w:eastAsia="Times New Roman" w:hAnsi="Arial" w:cs="Arial"/>
          <w:i/>
          <w:sz w:val="20"/>
          <w:szCs w:val="20"/>
          <w:lang w:val="en"/>
        </w:rPr>
        <w:t>Asian Journal of Inclusive Education</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1</w:t>
      </w:r>
      <w:r w:rsidRPr="00920D27">
        <w:rPr>
          <w:rFonts w:ascii="Arial" w:eastAsia="Times New Roman" w:hAnsi="Arial" w:cs="Arial"/>
          <w:sz w:val="20"/>
          <w:szCs w:val="20"/>
          <w:lang w:val="en"/>
        </w:rPr>
        <w:t>(2), 19–31.</w:t>
      </w:r>
      <w:r w:rsidR="00D10157" w:rsidRPr="00D10157">
        <w:rPr>
          <w:rFonts w:ascii="Arial" w:eastAsia="Times New Roman" w:hAnsi="Arial" w:cs="Arial"/>
          <w:sz w:val="18"/>
          <w:szCs w:val="18"/>
        </w:rPr>
        <w:t xml:space="preserve"> </w:t>
      </w:r>
      <w:hyperlink r:id="rId33" w:history="1">
        <w:r w:rsidR="00D10157" w:rsidRPr="00616F5B">
          <w:rPr>
            <w:rStyle w:val="Hyperlink"/>
            <w:rFonts w:ascii="Arial" w:eastAsia="Times New Roman" w:hAnsi="Arial" w:cs="Arial"/>
            <w:sz w:val="18"/>
            <w:szCs w:val="18"/>
          </w:rPr>
          <w:t>https://doi.org/10.59595/ajie.01.2.3</w:t>
        </w:r>
      </w:hyperlink>
      <w:r w:rsidR="00D10157">
        <w:rPr>
          <w:rFonts w:ascii="Arial" w:eastAsia="Times New Roman" w:hAnsi="Arial" w:cs="Arial"/>
          <w:sz w:val="18"/>
          <w:szCs w:val="18"/>
        </w:rPr>
        <w:t xml:space="preserve"> </w:t>
      </w:r>
      <w:r w:rsidR="00D10157" w:rsidRPr="00920D27">
        <w:rPr>
          <w:rFonts w:ascii="Arial" w:eastAsia="Times New Roman" w:hAnsi="Arial" w:cs="Arial"/>
          <w:sz w:val="20"/>
          <w:szCs w:val="20"/>
          <w:u w:val="single"/>
          <w:lang w:val="en"/>
        </w:rPr>
        <w:t xml:space="preserve"> </w:t>
      </w:r>
    </w:p>
    <w:p w14:paraId="630F9DF7" w14:textId="3A3B0C60"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Grech, S., &amp; </w:t>
      </w:r>
      <w:proofErr w:type="spellStart"/>
      <w:r w:rsidRPr="00920D27">
        <w:rPr>
          <w:rFonts w:ascii="Arial" w:eastAsia="Times New Roman" w:hAnsi="Arial" w:cs="Arial"/>
          <w:sz w:val="20"/>
          <w:szCs w:val="20"/>
          <w:lang w:val="en"/>
        </w:rPr>
        <w:t>Soldatic</w:t>
      </w:r>
      <w:proofErr w:type="spellEnd"/>
      <w:r w:rsidRPr="00920D27">
        <w:rPr>
          <w:rFonts w:ascii="Arial" w:eastAsia="Times New Roman" w:hAnsi="Arial" w:cs="Arial"/>
          <w:sz w:val="20"/>
          <w:szCs w:val="20"/>
          <w:lang w:val="en"/>
        </w:rPr>
        <w:t xml:space="preserve">, K. (2016). Disability and development: Critical connections, gaps and contradictions. In S. Grech &amp; K. </w:t>
      </w:r>
      <w:proofErr w:type="spellStart"/>
      <w:r w:rsidRPr="00920D27">
        <w:rPr>
          <w:rFonts w:ascii="Arial" w:eastAsia="Times New Roman" w:hAnsi="Arial" w:cs="Arial"/>
          <w:sz w:val="20"/>
          <w:szCs w:val="20"/>
          <w:lang w:val="en"/>
        </w:rPr>
        <w:t>Soldatic</w:t>
      </w:r>
      <w:proofErr w:type="spellEnd"/>
      <w:r w:rsidRPr="00920D27">
        <w:rPr>
          <w:rFonts w:ascii="Arial" w:eastAsia="Times New Roman" w:hAnsi="Arial" w:cs="Arial"/>
          <w:sz w:val="20"/>
          <w:szCs w:val="20"/>
          <w:lang w:val="en"/>
        </w:rPr>
        <w:t xml:space="preserve"> (Eds.), </w:t>
      </w:r>
      <w:r w:rsidRPr="00920D27">
        <w:rPr>
          <w:rFonts w:ascii="Arial" w:eastAsia="Times New Roman" w:hAnsi="Arial" w:cs="Arial"/>
          <w:i/>
          <w:sz w:val="20"/>
          <w:szCs w:val="20"/>
          <w:lang w:val="en"/>
        </w:rPr>
        <w:t>Disability in the Global South: The critical handbook</w:t>
      </w:r>
      <w:r w:rsidRPr="00920D27">
        <w:rPr>
          <w:rFonts w:ascii="Arial" w:eastAsia="Times New Roman" w:hAnsi="Arial" w:cs="Arial"/>
          <w:sz w:val="20"/>
          <w:szCs w:val="20"/>
          <w:lang w:val="en"/>
        </w:rPr>
        <w:t xml:space="preserve"> (pp. 3-20). Springer</w:t>
      </w:r>
      <w:r w:rsidR="008779A5" w:rsidRPr="008779A5">
        <w:rPr>
          <w:rFonts w:ascii="Arial" w:eastAsia="Times New Roman" w:hAnsi="Arial" w:cs="Arial"/>
          <w:sz w:val="18"/>
          <w:szCs w:val="18"/>
        </w:rPr>
        <w:t xml:space="preserve"> </w:t>
      </w:r>
      <w:hyperlink r:id="rId34" w:history="1">
        <w:r w:rsidR="008779A5" w:rsidRPr="00616F5B">
          <w:rPr>
            <w:rStyle w:val="Hyperlink"/>
            <w:rFonts w:ascii="Arial" w:eastAsia="Times New Roman" w:hAnsi="Arial" w:cs="Arial"/>
            <w:sz w:val="18"/>
            <w:szCs w:val="18"/>
          </w:rPr>
          <w:t>https://doi.org/10.1007/978-3-319-42488-0_1</w:t>
        </w:r>
      </w:hyperlink>
      <w:r w:rsidR="008779A5">
        <w:rPr>
          <w:rFonts w:ascii="Arial" w:eastAsia="Times New Roman" w:hAnsi="Arial" w:cs="Arial"/>
          <w:sz w:val="18"/>
          <w:szCs w:val="18"/>
        </w:rPr>
        <w:t xml:space="preserve"> </w:t>
      </w:r>
      <w:r w:rsidRPr="00920D27">
        <w:rPr>
          <w:rFonts w:ascii="Arial" w:eastAsia="Times New Roman" w:hAnsi="Arial" w:cs="Arial"/>
          <w:sz w:val="20"/>
          <w:szCs w:val="20"/>
          <w:lang w:val="en"/>
        </w:rPr>
        <w:t>.</w:t>
      </w:r>
    </w:p>
    <w:p w14:paraId="692BFF72" w14:textId="17842CBC"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Hannes, K., Lockwood, C., &amp; Pearson, A. (2010). A comparative analysis of three online appraisal instruments' ability to assess validity in qualitative research. </w:t>
      </w:r>
      <w:r w:rsidRPr="00920D27">
        <w:rPr>
          <w:rFonts w:ascii="Arial" w:eastAsia="Times New Roman" w:hAnsi="Arial" w:cs="Arial"/>
          <w:i/>
          <w:sz w:val="20"/>
          <w:szCs w:val="20"/>
          <w:lang w:val="en"/>
        </w:rPr>
        <w:t>Qual Health Res</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20</w:t>
      </w:r>
      <w:r w:rsidRPr="00920D27">
        <w:rPr>
          <w:rFonts w:ascii="Arial" w:eastAsia="Times New Roman" w:hAnsi="Arial" w:cs="Arial"/>
          <w:sz w:val="20"/>
          <w:szCs w:val="20"/>
          <w:lang w:val="en"/>
        </w:rPr>
        <w:t>(12), 1736-1743</w:t>
      </w:r>
      <w:r w:rsidR="007A0324" w:rsidRPr="007A0324">
        <w:rPr>
          <w:rFonts w:ascii="Arial" w:eastAsia="Times New Roman" w:hAnsi="Arial" w:cs="Arial"/>
          <w:sz w:val="18"/>
          <w:szCs w:val="18"/>
        </w:rPr>
        <w:t xml:space="preserve"> </w:t>
      </w:r>
      <w:hyperlink r:id="rId35" w:history="1">
        <w:r w:rsidR="007A0324" w:rsidRPr="00616F5B">
          <w:rPr>
            <w:rStyle w:val="Hyperlink"/>
            <w:rFonts w:ascii="Arial" w:eastAsia="Times New Roman" w:hAnsi="Arial" w:cs="Arial"/>
            <w:sz w:val="18"/>
            <w:szCs w:val="18"/>
          </w:rPr>
          <w:t>https://doi.org/10.1177/1049732310378656</w:t>
        </w:r>
      </w:hyperlink>
      <w:r w:rsidR="007A0324">
        <w:rPr>
          <w:rFonts w:ascii="Arial" w:eastAsia="Times New Roman" w:hAnsi="Arial" w:cs="Arial"/>
          <w:sz w:val="18"/>
          <w:szCs w:val="18"/>
        </w:rPr>
        <w:t xml:space="preserve"> </w:t>
      </w:r>
      <w:r w:rsidRPr="00920D27">
        <w:rPr>
          <w:rFonts w:ascii="Arial" w:eastAsia="Times New Roman" w:hAnsi="Arial" w:cs="Arial"/>
          <w:sz w:val="20"/>
          <w:szCs w:val="20"/>
          <w:lang w:val="en"/>
        </w:rPr>
        <w:t xml:space="preserve">. </w:t>
      </w:r>
    </w:p>
    <w:p w14:paraId="57F395C6" w14:textId="77777777"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Hollings, S. (2021). Implementation barriers of inclusive education and their impact on stakeholders: A review of the literature. </w:t>
      </w:r>
      <w:r w:rsidRPr="00920D27">
        <w:rPr>
          <w:rFonts w:ascii="Arial" w:eastAsia="Times New Roman" w:hAnsi="Arial" w:cs="Arial"/>
          <w:i/>
          <w:sz w:val="20"/>
          <w:szCs w:val="20"/>
          <w:lang w:val="en"/>
        </w:rPr>
        <w:t xml:space="preserve">International Journal of Childhood Education, 2 </w:t>
      </w:r>
      <w:r w:rsidRPr="00920D27">
        <w:rPr>
          <w:rFonts w:ascii="Arial" w:eastAsia="Times New Roman" w:hAnsi="Arial" w:cs="Arial"/>
          <w:sz w:val="20"/>
          <w:szCs w:val="20"/>
          <w:lang w:val="en"/>
        </w:rPr>
        <w:t>(1), 27-45.</w:t>
      </w:r>
      <w:hyperlink r:id="rId36" w:history="1">
        <w:r w:rsidRPr="00920D27">
          <w:rPr>
            <w:rStyle w:val="Hyperlink"/>
            <w:rFonts w:ascii="Arial" w:eastAsia="Times New Roman" w:hAnsi="Arial" w:cs="Arial"/>
            <w:sz w:val="20"/>
            <w:szCs w:val="20"/>
            <w:lang w:val="en"/>
          </w:rPr>
          <w:t xml:space="preserve"> </w:t>
        </w:r>
      </w:hyperlink>
      <w:hyperlink r:id="rId37" w:history="1">
        <w:r w:rsidRPr="00920D27">
          <w:rPr>
            <w:rStyle w:val="Hyperlink"/>
            <w:rFonts w:ascii="Arial" w:eastAsia="Times New Roman" w:hAnsi="Arial" w:cs="Arial"/>
            <w:sz w:val="20"/>
            <w:szCs w:val="20"/>
            <w:lang w:val="en"/>
          </w:rPr>
          <w:t>https://doi.org/10.33422/ijce.v2i1.36</w:t>
        </w:r>
      </w:hyperlink>
    </w:p>
    <w:p w14:paraId="36C5B335" w14:textId="77777777" w:rsidR="004D4C86" w:rsidRPr="00920D27" w:rsidRDefault="004D4C86" w:rsidP="00843D4F">
      <w:pPr>
        <w:spacing w:after="0" w:line="240" w:lineRule="auto"/>
        <w:ind w:left="720" w:hanging="720"/>
        <w:rPr>
          <w:rFonts w:ascii="Arial" w:eastAsia="Times New Roman" w:hAnsi="Arial" w:cs="Arial"/>
          <w:sz w:val="20"/>
          <w:szCs w:val="20"/>
          <w:u w:val="single"/>
          <w:lang w:val="en"/>
        </w:rPr>
      </w:pPr>
      <w:r w:rsidRPr="00920D27">
        <w:rPr>
          <w:rFonts w:ascii="Arial" w:eastAsia="Times New Roman" w:hAnsi="Arial" w:cs="Arial"/>
          <w:sz w:val="20"/>
          <w:szCs w:val="20"/>
          <w:lang w:val="en"/>
        </w:rPr>
        <w:t xml:space="preserve">Kenny, M. (2025, May 2). </w:t>
      </w:r>
      <w:r w:rsidRPr="00920D27">
        <w:rPr>
          <w:rFonts w:ascii="Arial" w:eastAsia="Times New Roman" w:hAnsi="Arial" w:cs="Arial"/>
          <w:i/>
          <w:sz w:val="20"/>
          <w:szCs w:val="20"/>
          <w:lang w:val="en"/>
        </w:rPr>
        <w:t>Global North and Global South</w:t>
      </w:r>
      <w:r w:rsidRPr="00920D27">
        <w:rPr>
          <w:rFonts w:ascii="Arial" w:eastAsia="Times New Roman" w:hAnsi="Arial" w:cs="Arial"/>
          <w:sz w:val="20"/>
          <w:szCs w:val="20"/>
          <w:lang w:val="en"/>
        </w:rPr>
        <w:t>. Britannica.</w:t>
      </w:r>
      <w:hyperlink r:id="rId38" w:history="1">
        <w:r w:rsidRPr="00920D27">
          <w:rPr>
            <w:rStyle w:val="Hyperlink"/>
            <w:rFonts w:ascii="Arial" w:eastAsia="Times New Roman" w:hAnsi="Arial" w:cs="Arial"/>
            <w:sz w:val="20"/>
            <w:szCs w:val="20"/>
            <w:lang w:val="en"/>
          </w:rPr>
          <w:t xml:space="preserve"> </w:t>
        </w:r>
      </w:hyperlink>
      <w:hyperlink r:id="rId39" w:history="1">
        <w:r w:rsidRPr="00920D27">
          <w:rPr>
            <w:rStyle w:val="Hyperlink"/>
            <w:rFonts w:ascii="Arial" w:eastAsia="Times New Roman" w:hAnsi="Arial" w:cs="Arial"/>
            <w:sz w:val="20"/>
            <w:szCs w:val="20"/>
            <w:lang w:val="en"/>
          </w:rPr>
          <w:t>https://www.britannica.com/topic/Global-North-and-Global-South</w:t>
        </w:r>
      </w:hyperlink>
    </w:p>
    <w:p w14:paraId="5978CFC5" w14:textId="3A12C320" w:rsidR="004D4C86" w:rsidRPr="00920D27" w:rsidRDefault="004D4C86" w:rsidP="00843D4F">
      <w:pPr>
        <w:spacing w:after="0" w:line="240" w:lineRule="auto"/>
        <w:ind w:left="720" w:hanging="720"/>
        <w:rPr>
          <w:rFonts w:ascii="Arial" w:eastAsia="Times New Roman" w:hAnsi="Arial" w:cs="Arial"/>
          <w:sz w:val="20"/>
          <w:szCs w:val="20"/>
          <w:u w:val="single"/>
          <w:lang w:val="en"/>
        </w:rPr>
      </w:pPr>
      <w:r w:rsidRPr="00920D27">
        <w:rPr>
          <w:rFonts w:ascii="Arial" w:eastAsia="Times New Roman" w:hAnsi="Arial" w:cs="Arial"/>
          <w:sz w:val="20"/>
          <w:szCs w:val="20"/>
          <w:lang w:val="en"/>
        </w:rPr>
        <w:t xml:space="preserve">*Kundu, A., &amp; Rice, M. (2019). Indian educators’ perceptions of their inclusion implementation practices in secondary schools. </w:t>
      </w:r>
      <w:r w:rsidRPr="00920D27">
        <w:rPr>
          <w:rFonts w:ascii="Arial" w:eastAsia="Times New Roman" w:hAnsi="Arial" w:cs="Arial"/>
          <w:i/>
          <w:sz w:val="20"/>
          <w:szCs w:val="20"/>
          <w:lang w:val="en"/>
        </w:rPr>
        <w:t>British Journal of Special Education</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46</w:t>
      </w:r>
      <w:r w:rsidRPr="00920D27">
        <w:rPr>
          <w:rFonts w:ascii="Arial" w:eastAsia="Times New Roman" w:hAnsi="Arial" w:cs="Arial"/>
          <w:sz w:val="20"/>
          <w:szCs w:val="20"/>
          <w:lang w:val="en"/>
        </w:rPr>
        <w:t>(4), 398–422</w:t>
      </w:r>
      <w:r w:rsidR="007B236C">
        <w:rPr>
          <w:rFonts w:ascii="Arial" w:eastAsia="Times New Roman" w:hAnsi="Arial" w:cs="Arial"/>
          <w:sz w:val="20"/>
          <w:szCs w:val="20"/>
          <w:lang w:val="en"/>
        </w:rPr>
        <w:t xml:space="preserve"> </w:t>
      </w:r>
      <w:hyperlink r:id="rId40" w:history="1">
        <w:r w:rsidR="007B236C" w:rsidRPr="00616F5B">
          <w:rPr>
            <w:rStyle w:val="Hyperlink"/>
            <w:rFonts w:ascii="Arial" w:eastAsia="Times New Roman" w:hAnsi="Arial" w:cs="Arial"/>
            <w:sz w:val="18"/>
            <w:szCs w:val="18"/>
          </w:rPr>
          <w:t>https://doi.org/10.1111/1467-8578.12282</w:t>
        </w:r>
      </w:hyperlink>
      <w:r w:rsidR="007B236C">
        <w:rPr>
          <w:rFonts w:ascii="Arial" w:eastAsia="Times New Roman" w:hAnsi="Arial" w:cs="Arial"/>
          <w:sz w:val="18"/>
          <w:szCs w:val="18"/>
        </w:rPr>
        <w:t xml:space="preserve"> </w:t>
      </w:r>
      <w:r w:rsidRPr="00920D27">
        <w:rPr>
          <w:rFonts w:ascii="Arial" w:eastAsia="Times New Roman" w:hAnsi="Arial" w:cs="Arial"/>
          <w:sz w:val="20"/>
          <w:szCs w:val="20"/>
          <w:lang w:val="en"/>
        </w:rPr>
        <w:t>.</w:t>
      </w:r>
      <w:r w:rsidR="007B236C" w:rsidRPr="00920D27">
        <w:rPr>
          <w:rFonts w:ascii="Arial" w:eastAsia="Times New Roman" w:hAnsi="Arial" w:cs="Arial"/>
          <w:sz w:val="20"/>
          <w:szCs w:val="20"/>
          <w:u w:val="single"/>
          <w:lang w:val="en"/>
        </w:rPr>
        <w:t xml:space="preserve"> </w:t>
      </w:r>
    </w:p>
    <w:p w14:paraId="0AC79867" w14:textId="77777777"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lastRenderedPageBreak/>
        <w:t xml:space="preserve">Ministry of Education (2020). </w:t>
      </w:r>
      <w:r w:rsidRPr="00920D27">
        <w:rPr>
          <w:rFonts w:ascii="Arial" w:eastAsia="Times New Roman" w:hAnsi="Arial" w:cs="Arial"/>
          <w:i/>
          <w:sz w:val="20"/>
          <w:szCs w:val="20"/>
          <w:lang w:val="en"/>
        </w:rPr>
        <w:t>Inclusive Education for Children with Special Needs</w:t>
      </w:r>
      <w:r w:rsidRPr="00920D27">
        <w:rPr>
          <w:rFonts w:ascii="Arial" w:eastAsia="Times New Roman" w:hAnsi="Arial" w:cs="Arial"/>
          <w:sz w:val="20"/>
          <w:szCs w:val="20"/>
          <w:lang w:val="en"/>
        </w:rPr>
        <w:t>. https://samagra.education.gov.in/inclusive.html</w:t>
      </w:r>
    </w:p>
    <w:p w14:paraId="262E671C" w14:textId="692E2797" w:rsidR="004D4C86" w:rsidRPr="00920D27" w:rsidRDefault="004D4C86" w:rsidP="00843D4F">
      <w:pPr>
        <w:spacing w:after="0" w:line="240" w:lineRule="auto"/>
        <w:ind w:left="720" w:hanging="720"/>
        <w:rPr>
          <w:rFonts w:ascii="Arial" w:eastAsia="Times New Roman" w:hAnsi="Arial" w:cs="Arial"/>
          <w:sz w:val="20"/>
          <w:szCs w:val="20"/>
          <w:u w:val="single"/>
          <w:lang w:val="en"/>
        </w:rPr>
      </w:pPr>
      <w:r w:rsidRPr="00920D27">
        <w:rPr>
          <w:rFonts w:ascii="Arial" w:eastAsia="Times New Roman" w:hAnsi="Arial" w:cs="Arial"/>
          <w:sz w:val="20"/>
          <w:szCs w:val="20"/>
          <w:lang w:val="en"/>
        </w:rPr>
        <w:t>*</w:t>
      </w:r>
      <w:proofErr w:type="spellStart"/>
      <w:r w:rsidRPr="00920D27">
        <w:rPr>
          <w:rFonts w:ascii="Arial" w:eastAsia="Times New Roman" w:hAnsi="Arial" w:cs="Arial"/>
          <w:sz w:val="20"/>
          <w:szCs w:val="20"/>
          <w:lang w:val="en"/>
        </w:rPr>
        <w:t>Misquitta</w:t>
      </w:r>
      <w:proofErr w:type="spellEnd"/>
      <w:r w:rsidRPr="00920D27">
        <w:rPr>
          <w:rFonts w:ascii="Arial" w:eastAsia="Times New Roman" w:hAnsi="Arial" w:cs="Arial"/>
          <w:sz w:val="20"/>
          <w:szCs w:val="20"/>
          <w:lang w:val="en"/>
        </w:rPr>
        <w:t xml:space="preserve">, R., &amp; Joshi, R. (2022). Professional development for inclusive education: Insights from India. </w:t>
      </w:r>
      <w:r w:rsidRPr="00920D27">
        <w:rPr>
          <w:rFonts w:ascii="Arial" w:eastAsia="Times New Roman" w:hAnsi="Arial" w:cs="Arial"/>
          <w:i/>
          <w:sz w:val="20"/>
          <w:szCs w:val="20"/>
          <w:lang w:val="en"/>
        </w:rPr>
        <w:t>International Journal of Inclusive Education</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0</w:t>
      </w:r>
      <w:r w:rsidRPr="00920D27">
        <w:rPr>
          <w:rFonts w:ascii="Arial" w:eastAsia="Times New Roman" w:hAnsi="Arial" w:cs="Arial"/>
          <w:sz w:val="20"/>
          <w:szCs w:val="20"/>
          <w:lang w:val="en"/>
        </w:rPr>
        <w:t>(0), 1–16</w:t>
      </w:r>
      <w:r w:rsidR="005B542F">
        <w:rPr>
          <w:rFonts w:ascii="Arial" w:eastAsia="Times New Roman" w:hAnsi="Arial" w:cs="Arial"/>
          <w:sz w:val="20"/>
          <w:szCs w:val="20"/>
          <w:lang w:val="en"/>
        </w:rPr>
        <w:t xml:space="preserve"> </w:t>
      </w:r>
      <w:hyperlink r:id="rId41" w:history="1">
        <w:r w:rsidR="005B542F" w:rsidRPr="00616F5B">
          <w:rPr>
            <w:rStyle w:val="Hyperlink"/>
            <w:rFonts w:ascii="Arial" w:eastAsia="Times New Roman" w:hAnsi="Arial" w:cs="Arial"/>
            <w:sz w:val="18"/>
            <w:szCs w:val="18"/>
          </w:rPr>
          <w:t>https://doi.org/10.1080/13603116.2022.2036831</w:t>
        </w:r>
      </w:hyperlink>
      <w:r w:rsidR="005B542F">
        <w:rPr>
          <w:rFonts w:ascii="Arial" w:eastAsia="Times New Roman" w:hAnsi="Arial" w:cs="Arial"/>
          <w:sz w:val="18"/>
          <w:szCs w:val="18"/>
        </w:rPr>
        <w:t xml:space="preserve"> </w:t>
      </w:r>
      <w:r w:rsidRPr="00920D27">
        <w:rPr>
          <w:rFonts w:ascii="Arial" w:eastAsia="Times New Roman" w:hAnsi="Arial" w:cs="Arial"/>
          <w:sz w:val="20"/>
          <w:szCs w:val="20"/>
          <w:lang w:val="en"/>
        </w:rPr>
        <w:t>.</w:t>
      </w:r>
      <w:r w:rsidR="005B542F" w:rsidRPr="00920D27">
        <w:rPr>
          <w:rFonts w:ascii="Arial" w:eastAsia="Times New Roman" w:hAnsi="Arial" w:cs="Arial"/>
          <w:sz w:val="20"/>
          <w:szCs w:val="20"/>
          <w:u w:val="single"/>
          <w:lang w:val="en"/>
        </w:rPr>
        <w:t xml:space="preserve"> </w:t>
      </w:r>
    </w:p>
    <w:p w14:paraId="5D365FC8" w14:textId="701203D6"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*Mohanty, S. P., &amp; Nanda, N. (2017). Inclusive practices in elementary education: What do the heads of schools perceive? </w:t>
      </w:r>
      <w:r w:rsidRPr="00920D27">
        <w:rPr>
          <w:rFonts w:ascii="Arial" w:eastAsia="Times New Roman" w:hAnsi="Arial" w:cs="Arial"/>
          <w:i/>
          <w:sz w:val="20"/>
          <w:szCs w:val="20"/>
          <w:lang w:val="en"/>
        </w:rPr>
        <w:t>Journal on School Educational Technology</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12</w:t>
      </w:r>
      <w:r w:rsidRPr="00920D27">
        <w:rPr>
          <w:rFonts w:ascii="Arial" w:eastAsia="Times New Roman" w:hAnsi="Arial" w:cs="Arial"/>
          <w:sz w:val="20"/>
          <w:szCs w:val="20"/>
          <w:lang w:val="en"/>
        </w:rPr>
        <w:t>(4), 15–23</w:t>
      </w:r>
      <w:r w:rsidR="00EB5089">
        <w:rPr>
          <w:rFonts w:ascii="Arial" w:eastAsia="Times New Roman" w:hAnsi="Arial" w:cs="Arial"/>
          <w:sz w:val="20"/>
          <w:szCs w:val="20"/>
          <w:lang w:val="en"/>
        </w:rPr>
        <w:t xml:space="preserve"> </w:t>
      </w:r>
      <w:hyperlink r:id="rId42" w:history="1">
        <w:r w:rsidR="00EB5089" w:rsidRPr="00616F5B">
          <w:rPr>
            <w:rStyle w:val="Hyperlink"/>
            <w:rFonts w:ascii="Arial" w:eastAsia="Times New Roman" w:hAnsi="Arial" w:cs="Arial"/>
            <w:sz w:val="18"/>
            <w:szCs w:val="18"/>
          </w:rPr>
          <w:t>https://doi.org/10.26634/jsch.12.4.13548</w:t>
        </w:r>
      </w:hyperlink>
      <w:r w:rsidR="00EB5089">
        <w:rPr>
          <w:rFonts w:ascii="Arial" w:eastAsia="Times New Roman" w:hAnsi="Arial" w:cs="Arial"/>
          <w:sz w:val="18"/>
          <w:szCs w:val="18"/>
        </w:rPr>
        <w:t xml:space="preserve"> </w:t>
      </w:r>
      <w:r w:rsidRPr="00920D27">
        <w:rPr>
          <w:rFonts w:ascii="Arial" w:eastAsia="Times New Roman" w:hAnsi="Arial" w:cs="Arial"/>
          <w:sz w:val="20"/>
          <w:szCs w:val="20"/>
          <w:lang w:val="en"/>
        </w:rPr>
        <w:t>.</w:t>
      </w:r>
    </w:p>
    <w:p w14:paraId="0A0567DB" w14:textId="13170663"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w:t>
      </w:r>
      <w:proofErr w:type="spellStart"/>
      <w:r w:rsidRPr="00920D27">
        <w:rPr>
          <w:rFonts w:ascii="Arial" w:eastAsia="Times New Roman" w:hAnsi="Arial" w:cs="Arial"/>
          <w:sz w:val="20"/>
          <w:szCs w:val="20"/>
          <w:lang w:val="en"/>
        </w:rPr>
        <w:t>Naraian</w:t>
      </w:r>
      <w:proofErr w:type="spellEnd"/>
      <w:r w:rsidRPr="00920D27">
        <w:rPr>
          <w:rFonts w:ascii="Arial" w:eastAsia="Times New Roman" w:hAnsi="Arial" w:cs="Arial"/>
          <w:sz w:val="20"/>
          <w:szCs w:val="20"/>
          <w:lang w:val="en"/>
        </w:rPr>
        <w:t xml:space="preserve">, S. (2013). Dis/ability, agency, and context: A differential consciousness for doing inclusive education. </w:t>
      </w:r>
      <w:r w:rsidRPr="00920D27">
        <w:rPr>
          <w:rFonts w:ascii="Arial" w:eastAsia="Times New Roman" w:hAnsi="Arial" w:cs="Arial"/>
          <w:i/>
          <w:sz w:val="20"/>
          <w:szCs w:val="20"/>
          <w:lang w:val="en"/>
        </w:rPr>
        <w:t>Curriculum Inquiry</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43</w:t>
      </w:r>
      <w:r w:rsidRPr="00920D27">
        <w:rPr>
          <w:rFonts w:ascii="Arial" w:eastAsia="Times New Roman" w:hAnsi="Arial" w:cs="Arial"/>
          <w:sz w:val="20"/>
          <w:szCs w:val="20"/>
          <w:lang w:val="en"/>
        </w:rPr>
        <w:t>(3), 360–387</w:t>
      </w:r>
      <w:r w:rsidR="00AA2B67" w:rsidRPr="00AA2B67">
        <w:rPr>
          <w:rFonts w:ascii="Arial" w:eastAsia="Times New Roman" w:hAnsi="Arial" w:cs="Arial"/>
          <w:sz w:val="18"/>
          <w:szCs w:val="18"/>
        </w:rPr>
        <w:t xml:space="preserve"> </w:t>
      </w:r>
      <w:hyperlink r:id="rId43" w:history="1">
        <w:r w:rsidR="00AA2B67" w:rsidRPr="00616F5B">
          <w:rPr>
            <w:rStyle w:val="Hyperlink"/>
            <w:rFonts w:ascii="Arial" w:eastAsia="Times New Roman" w:hAnsi="Arial" w:cs="Arial"/>
            <w:sz w:val="18"/>
            <w:szCs w:val="18"/>
          </w:rPr>
          <w:t>https://doi.org/10.1111/curi.12014</w:t>
        </w:r>
      </w:hyperlink>
      <w:r w:rsidR="00AA2B67">
        <w:rPr>
          <w:rFonts w:ascii="Arial" w:eastAsia="Times New Roman" w:hAnsi="Arial" w:cs="Arial"/>
          <w:sz w:val="18"/>
          <w:szCs w:val="18"/>
        </w:rPr>
        <w:t xml:space="preserve"> </w:t>
      </w:r>
      <w:r w:rsidRPr="00920D27">
        <w:rPr>
          <w:rFonts w:ascii="Arial" w:eastAsia="Times New Roman" w:hAnsi="Arial" w:cs="Arial"/>
          <w:sz w:val="20"/>
          <w:szCs w:val="20"/>
          <w:lang w:val="en"/>
        </w:rPr>
        <w:t>.</w:t>
      </w:r>
      <w:r w:rsidR="00AA2B67" w:rsidRPr="00920D27">
        <w:rPr>
          <w:rFonts w:ascii="Arial" w:eastAsia="Times New Roman" w:hAnsi="Arial" w:cs="Arial"/>
          <w:sz w:val="20"/>
          <w:szCs w:val="20"/>
          <w:lang w:val="en"/>
        </w:rPr>
        <w:t xml:space="preserve"> </w:t>
      </w:r>
    </w:p>
    <w:p w14:paraId="0C6DFB21" w14:textId="17BAD772" w:rsidR="004D4C86" w:rsidRPr="00920D27" w:rsidRDefault="004D4C86" w:rsidP="00843D4F">
      <w:pPr>
        <w:spacing w:after="0" w:line="240" w:lineRule="auto"/>
        <w:ind w:left="720" w:hanging="720"/>
        <w:rPr>
          <w:rFonts w:ascii="Arial" w:eastAsia="Times New Roman" w:hAnsi="Arial" w:cs="Arial"/>
          <w:sz w:val="20"/>
          <w:szCs w:val="20"/>
          <w:lang w:val="en"/>
        </w:rPr>
      </w:pPr>
      <w:proofErr w:type="spellStart"/>
      <w:r w:rsidRPr="00920D27">
        <w:rPr>
          <w:rFonts w:ascii="Arial" w:eastAsia="Times New Roman" w:hAnsi="Arial" w:cs="Arial"/>
          <w:sz w:val="20"/>
          <w:szCs w:val="20"/>
          <w:lang w:val="en"/>
        </w:rPr>
        <w:t>Naraian</w:t>
      </w:r>
      <w:proofErr w:type="spellEnd"/>
      <w:r w:rsidRPr="00920D27">
        <w:rPr>
          <w:rFonts w:ascii="Arial" w:eastAsia="Times New Roman" w:hAnsi="Arial" w:cs="Arial"/>
          <w:sz w:val="20"/>
          <w:szCs w:val="20"/>
          <w:lang w:val="en"/>
        </w:rPr>
        <w:t xml:space="preserve">, S. (2021). Making inclusion matter: Critical disability studies and teacher education, </w:t>
      </w:r>
      <w:r w:rsidRPr="00920D27">
        <w:rPr>
          <w:rFonts w:ascii="Arial" w:eastAsia="Times New Roman" w:hAnsi="Arial" w:cs="Arial"/>
          <w:i/>
          <w:sz w:val="20"/>
          <w:szCs w:val="20"/>
          <w:lang w:val="en"/>
        </w:rPr>
        <w:t>Journal of Curriculum Studies</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53</w:t>
      </w:r>
      <w:r w:rsidRPr="00920D27">
        <w:rPr>
          <w:rFonts w:ascii="Arial" w:eastAsia="Times New Roman" w:hAnsi="Arial" w:cs="Arial"/>
          <w:sz w:val="20"/>
          <w:szCs w:val="20"/>
          <w:lang w:val="en"/>
        </w:rPr>
        <w:t xml:space="preserve">(3), 298-313, </w:t>
      </w:r>
      <w:hyperlink r:id="rId44" w:history="1">
        <w:r w:rsidR="00D53B79" w:rsidRPr="00616F5B">
          <w:rPr>
            <w:rStyle w:val="Hyperlink"/>
            <w:rFonts w:ascii="Arial" w:eastAsia="Times New Roman" w:hAnsi="Arial" w:cs="Arial"/>
            <w:sz w:val="18"/>
            <w:szCs w:val="18"/>
          </w:rPr>
          <w:t>https://doi.org/10.1080/00220272.2021.1882579</w:t>
        </w:r>
      </w:hyperlink>
      <w:r w:rsidR="00D53B79">
        <w:rPr>
          <w:rFonts w:ascii="Arial" w:eastAsia="Times New Roman" w:hAnsi="Arial" w:cs="Arial"/>
          <w:sz w:val="18"/>
          <w:szCs w:val="18"/>
        </w:rPr>
        <w:t xml:space="preserve"> </w:t>
      </w:r>
    </w:p>
    <w:p w14:paraId="7247C7CC" w14:textId="6A52BA65"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National Council of Educational Research and Training. (2019). </w:t>
      </w:r>
      <w:r w:rsidRPr="00920D27">
        <w:rPr>
          <w:rFonts w:ascii="Arial" w:eastAsia="Times New Roman" w:hAnsi="Arial" w:cs="Arial"/>
          <w:i/>
          <w:sz w:val="20"/>
          <w:szCs w:val="20"/>
          <w:lang w:val="en"/>
        </w:rPr>
        <w:t>Index for inclusive schools</w:t>
      </w:r>
      <w:r w:rsidRPr="00920D27">
        <w:rPr>
          <w:rFonts w:ascii="Arial" w:eastAsia="Times New Roman" w:hAnsi="Arial" w:cs="Arial"/>
          <w:sz w:val="20"/>
          <w:szCs w:val="20"/>
          <w:lang w:val="en"/>
        </w:rPr>
        <w:t xml:space="preserve">. </w:t>
      </w:r>
      <w:hyperlink r:id="rId45" w:history="1">
        <w:r w:rsidR="001A4CC8" w:rsidRPr="00616F5B">
          <w:rPr>
            <w:rStyle w:val="Hyperlink"/>
            <w:rFonts w:ascii="Arial" w:eastAsia="Times New Roman" w:hAnsi="Arial" w:cs="Arial"/>
            <w:sz w:val="20"/>
            <w:szCs w:val="20"/>
            <w:lang w:val="en"/>
          </w:rPr>
          <w:t>https://ncert.nic.in/degsn/pdf/IndexforInclusiveSchools.pdf</w:t>
        </w:r>
      </w:hyperlink>
      <w:r w:rsidR="001A4CC8">
        <w:rPr>
          <w:rFonts w:ascii="Arial" w:eastAsia="Times New Roman" w:hAnsi="Arial" w:cs="Arial"/>
          <w:sz w:val="20"/>
          <w:szCs w:val="20"/>
          <w:lang w:val="en"/>
        </w:rPr>
        <w:t xml:space="preserve"> </w:t>
      </w:r>
    </w:p>
    <w:p w14:paraId="46C8E0C2" w14:textId="68CEB7A0"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Noblit, G. W., &amp; Hare, R. D. (1988). Meta-ethnography: Synthesizing qualitative studies. SAGE Publications</w:t>
      </w:r>
      <w:r w:rsidR="00AD5C93">
        <w:rPr>
          <w:rFonts w:ascii="Arial" w:eastAsia="Times New Roman" w:hAnsi="Arial" w:cs="Arial"/>
          <w:sz w:val="20"/>
          <w:szCs w:val="20"/>
          <w:lang w:val="en"/>
        </w:rPr>
        <w:t xml:space="preserve"> </w:t>
      </w:r>
      <w:hyperlink r:id="rId46" w:history="1">
        <w:r w:rsidR="00AD5C93" w:rsidRPr="00616F5B">
          <w:rPr>
            <w:rStyle w:val="Hyperlink"/>
            <w:rFonts w:ascii="Arial" w:eastAsia="Times New Roman" w:hAnsi="Arial" w:cs="Arial"/>
            <w:sz w:val="18"/>
            <w:szCs w:val="18"/>
          </w:rPr>
          <w:t>https://doi.org/10.4135/9781412985000</w:t>
        </w:r>
      </w:hyperlink>
      <w:r w:rsidR="00AD5C93">
        <w:rPr>
          <w:rFonts w:ascii="Arial" w:eastAsia="Times New Roman" w:hAnsi="Arial" w:cs="Arial"/>
          <w:sz w:val="18"/>
          <w:szCs w:val="18"/>
        </w:rPr>
        <w:t xml:space="preserve"> </w:t>
      </w:r>
      <w:r w:rsidRPr="00920D27">
        <w:rPr>
          <w:rFonts w:ascii="Arial" w:eastAsia="Times New Roman" w:hAnsi="Arial" w:cs="Arial"/>
          <w:sz w:val="20"/>
          <w:szCs w:val="20"/>
          <w:lang w:val="en"/>
        </w:rPr>
        <w:t>.</w:t>
      </w:r>
    </w:p>
    <w:p w14:paraId="236351DD" w14:textId="6C27627A"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Page, M.J., McKenzie, J.E., Bossuyt, P.M., </w:t>
      </w:r>
      <w:proofErr w:type="spellStart"/>
      <w:r w:rsidRPr="00920D27">
        <w:rPr>
          <w:rFonts w:ascii="Arial" w:eastAsia="Times New Roman" w:hAnsi="Arial" w:cs="Arial"/>
          <w:sz w:val="20"/>
          <w:szCs w:val="20"/>
          <w:lang w:val="en"/>
        </w:rPr>
        <w:t>Boutron</w:t>
      </w:r>
      <w:proofErr w:type="spellEnd"/>
      <w:r w:rsidRPr="00920D27">
        <w:rPr>
          <w:rFonts w:ascii="Arial" w:eastAsia="Times New Roman" w:hAnsi="Arial" w:cs="Arial"/>
          <w:sz w:val="20"/>
          <w:szCs w:val="20"/>
          <w:lang w:val="en"/>
        </w:rPr>
        <w:t xml:space="preserve">, I., Hoffmann, T.C., Mulrow, C.D., et al. (2021). The PRISMA 2020 statement: An updated guideline for reporting systematic reviews. </w:t>
      </w:r>
      <w:r w:rsidRPr="00920D27">
        <w:rPr>
          <w:rFonts w:ascii="Arial" w:eastAsia="Times New Roman" w:hAnsi="Arial" w:cs="Arial"/>
          <w:i/>
          <w:sz w:val="20"/>
          <w:szCs w:val="20"/>
          <w:lang w:val="en"/>
        </w:rPr>
        <w:t>BMJ, 372</w:t>
      </w:r>
      <w:r w:rsidRPr="00920D27">
        <w:rPr>
          <w:rFonts w:ascii="Arial" w:eastAsia="Times New Roman" w:hAnsi="Arial" w:cs="Arial"/>
          <w:sz w:val="20"/>
          <w:szCs w:val="20"/>
          <w:lang w:val="en"/>
        </w:rPr>
        <w:t xml:space="preserve">(71). DOI: </w:t>
      </w:r>
      <w:hyperlink r:id="rId47" w:history="1">
        <w:r w:rsidR="007B17BC" w:rsidRPr="00616F5B">
          <w:rPr>
            <w:rStyle w:val="Hyperlink"/>
            <w:rFonts w:ascii="Arial" w:eastAsia="Times New Roman" w:hAnsi="Arial" w:cs="Arial"/>
            <w:sz w:val="18"/>
            <w:szCs w:val="18"/>
          </w:rPr>
          <w:t>https://doi.org/10.1136/bmj.n71</w:t>
        </w:r>
      </w:hyperlink>
      <w:r w:rsidR="007B17BC">
        <w:rPr>
          <w:rFonts w:ascii="Arial" w:eastAsia="Times New Roman" w:hAnsi="Arial" w:cs="Arial"/>
          <w:sz w:val="18"/>
          <w:szCs w:val="18"/>
        </w:rPr>
        <w:t xml:space="preserve"> </w:t>
      </w:r>
    </w:p>
    <w:p w14:paraId="34484787" w14:textId="77777777" w:rsidR="004D4C86" w:rsidRPr="00920D27" w:rsidRDefault="004D4C86" w:rsidP="00843D4F">
      <w:pPr>
        <w:spacing w:after="0" w:line="240" w:lineRule="auto"/>
        <w:ind w:left="720" w:hanging="720"/>
        <w:rPr>
          <w:rFonts w:ascii="Arial" w:eastAsia="Times New Roman" w:hAnsi="Arial" w:cs="Arial"/>
          <w:sz w:val="20"/>
          <w:szCs w:val="20"/>
          <w:u w:val="single"/>
          <w:lang w:val="en"/>
        </w:rPr>
      </w:pPr>
      <w:r w:rsidRPr="00920D27">
        <w:rPr>
          <w:rFonts w:ascii="Arial" w:eastAsia="Times New Roman" w:hAnsi="Arial" w:cs="Arial"/>
          <w:sz w:val="20"/>
          <w:szCs w:val="20"/>
          <w:lang w:val="en"/>
        </w:rPr>
        <w:t xml:space="preserve">*Ramchand, M. (2021). Conceptions, perceptions and practices of inclusive education in schools in Karnataka (India): Moving beyond normative prescriptions and blame-game. </w:t>
      </w:r>
      <w:r w:rsidRPr="00920D27">
        <w:rPr>
          <w:rFonts w:ascii="Arial" w:eastAsia="Times New Roman" w:hAnsi="Arial" w:cs="Arial"/>
          <w:i/>
          <w:sz w:val="20"/>
          <w:szCs w:val="20"/>
          <w:lang w:val="en"/>
        </w:rPr>
        <w:t>International Journal of Inclusive Education</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0</w:t>
      </w:r>
      <w:r w:rsidRPr="00920D27">
        <w:rPr>
          <w:rFonts w:ascii="Arial" w:eastAsia="Times New Roman" w:hAnsi="Arial" w:cs="Arial"/>
          <w:sz w:val="20"/>
          <w:szCs w:val="20"/>
          <w:lang w:val="en"/>
        </w:rPr>
        <w:t>(0), 1–16.</w:t>
      </w:r>
      <w:hyperlink r:id="rId48" w:history="1">
        <w:r w:rsidRPr="00920D27">
          <w:rPr>
            <w:rStyle w:val="Hyperlink"/>
            <w:rFonts w:ascii="Arial" w:eastAsia="Times New Roman" w:hAnsi="Arial" w:cs="Arial"/>
            <w:sz w:val="20"/>
            <w:szCs w:val="20"/>
            <w:lang w:val="en"/>
          </w:rPr>
          <w:t xml:space="preserve"> DOI:</w:t>
        </w:r>
      </w:hyperlink>
      <w:hyperlink r:id="rId49" w:history="1">
        <w:r w:rsidRPr="00920D27">
          <w:rPr>
            <w:rStyle w:val="Hyperlink"/>
            <w:rFonts w:ascii="Arial" w:eastAsia="Times New Roman" w:hAnsi="Arial" w:cs="Arial"/>
            <w:sz w:val="20"/>
            <w:szCs w:val="20"/>
            <w:lang w:val="en"/>
          </w:rPr>
          <w:t xml:space="preserve"> 10.1080/13603116.2021.1965803</w:t>
        </w:r>
      </w:hyperlink>
    </w:p>
    <w:p w14:paraId="53ECE161" w14:textId="77777777"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*Rangarajan, R., Grove, C., Sharma, U., &amp; Odier-</w:t>
      </w:r>
      <w:proofErr w:type="spellStart"/>
      <w:r w:rsidRPr="00920D27">
        <w:rPr>
          <w:rFonts w:ascii="Arial" w:eastAsia="Times New Roman" w:hAnsi="Arial" w:cs="Arial"/>
          <w:sz w:val="20"/>
          <w:szCs w:val="20"/>
          <w:lang w:val="en"/>
        </w:rPr>
        <w:t>Guedj</w:t>
      </w:r>
      <w:proofErr w:type="spellEnd"/>
      <w:r w:rsidRPr="00920D27">
        <w:rPr>
          <w:rFonts w:ascii="Arial" w:eastAsia="Times New Roman" w:hAnsi="Arial" w:cs="Arial"/>
          <w:sz w:val="20"/>
          <w:szCs w:val="20"/>
          <w:lang w:val="en"/>
        </w:rPr>
        <w:t xml:space="preserve">, D. (2023). A tapestry of multiple perspectives: </w:t>
      </w:r>
      <w:proofErr w:type="spellStart"/>
      <w:r w:rsidRPr="00920D27">
        <w:rPr>
          <w:rFonts w:ascii="Arial" w:eastAsia="Times New Roman" w:hAnsi="Arial" w:cs="Arial"/>
          <w:sz w:val="20"/>
          <w:szCs w:val="20"/>
          <w:lang w:val="en"/>
        </w:rPr>
        <w:t>Contextualising</w:t>
      </w:r>
      <w:proofErr w:type="spellEnd"/>
      <w:r w:rsidRPr="00920D27">
        <w:rPr>
          <w:rFonts w:ascii="Arial" w:eastAsia="Times New Roman" w:hAnsi="Arial" w:cs="Arial"/>
          <w:sz w:val="20"/>
          <w:szCs w:val="20"/>
          <w:lang w:val="en"/>
        </w:rPr>
        <w:t xml:space="preserve"> inclusive education through the study of a rural government school in Uttarakhand, India. </w:t>
      </w:r>
      <w:r w:rsidRPr="00920D27">
        <w:rPr>
          <w:rFonts w:ascii="Arial" w:eastAsia="Times New Roman" w:hAnsi="Arial" w:cs="Arial"/>
          <w:i/>
          <w:sz w:val="20"/>
          <w:szCs w:val="20"/>
          <w:lang w:val="en"/>
        </w:rPr>
        <w:t>International Journal of Educational Research</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119</w:t>
      </w:r>
      <w:r w:rsidRPr="00920D27">
        <w:rPr>
          <w:rFonts w:ascii="Arial" w:eastAsia="Times New Roman" w:hAnsi="Arial" w:cs="Arial"/>
          <w:sz w:val="20"/>
          <w:szCs w:val="20"/>
          <w:lang w:val="en"/>
        </w:rPr>
        <w:t>, 102160.</w:t>
      </w:r>
      <w:hyperlink r:id="rId50" w:history="1">
        <w:r w:rsidRPr="00920D27">
          <w:rPr>
            <w:rStyle w:val="Hyperlink"/>
            <w:rFonts w:ascii="Arial" w:eastAsia="Times New Roman" w:hAnsi="Arial" w:cs="Arial"/>
            <w:sz w:val="20"/>
            <w:szCs w:val="20"/>
            <w:lang w:val="en"/>
          </w:rPr>
          <w:t xml:space="preserve"> DOI:</w:t>
        </w:r>
      </w:hyperlink>
      <w:hyperlink r:id="rId51" w:history="1">
        <w:r w:rsidRPr="00920D27">
          <w:rPr>
            <w:rStyle w:val="Hyperlink"/>
            <w:rFonts w:ascii="Arial" w:eastAsia="Times New Roman" w:hAnsi="Arial" w:cs="Arial"/>
            <w:sz w:val="20"/>
            <w:szCs w:val="20"/>
            <w:lang w:val="en"/>
          </w:rPr>
          <w:t>10.1016/j.ijer.2023.102160</w:t>
        </w:r>
      </w:hyperlink>
    </w:p>
    <w:p w14:paraId="418F3030" w14:textId="77777777" w:rsidR="004D4C86" w:rsidRPr="00920D27" w:rsidRDefault="004D4C86" w:rsidP="00843D4F">
      <w:pPr>
        <w:spacing w:after="0" w:line="240" w:lineRule="auto"/>
        <w:ind w:left="720" w:hanging="720"/>
        <w:rPr>
          <w:rFonts w:ascii="Arial" w:eastAsia="Times New Roman" w:hAnsi="Arial" w:cs="Arial"/>
          <w:sz w:val="20"/>
          <w:szCs w:val="20"/>
          <w:u w:val="single"/>
          <w:lang w:val="en"/>
        </w:rPr>
      </w:pPr>
      <w:r w:rsidRPr="00920D27">
        <w:rPr>
          <w:rFonts w:ascii="Arial" w:eastAsia="Times New Roman" w:hAnsi="Arial" w:cs="Arial"/>
          <w:sz w:val="20"/>
          <w:szCs w:val="20"/>
          <w:lang w:val="en"/>
        </w:rPr>
        <w:t xml:space="preserve">Rose, R. (Ed.). (2010). </w:t>
      </w:r>
      <w:r w:rsidRPr="00920D27">
        <w:rPr>
          <w:rFonts w:ascii="Arial" w:eastAsia="Times New Roman" w:hAnsi="Arial" w:cs="Arial"/>
          <w:i/>
          <w:sz w:val="20"/>
          <w:szCs w:val="20"/>
          <w:lang w:val="en"/>
        </w:rPr>
        <w:t>Confronting Obstacles to Inclusion: International Responses to Developing Inclusive Education</w:t>
      </w:r>
      <w:r w:rsidRPr="00920D27">
        <w:rPr>
          <w:rFonts w:ascii="Arial" w:eastAsia="Times New Roman" w:hAnsi="Arial" w:cs="Arial"/>
          <w:sz w:val="20"/>
          <w:szCs w:val="20"/>
          <w:lang w:val="en"/>
        </w:rPr>
        <w:t>. Routledge.</w:t>
      </w:r>
      <w:hyperlink r:id="rId52" w:history="1">
        <w:r w:rsidRPr="00920D27">
          <w:rPr>
            <w:rStyle w:val="Hyperlink"/>
            <w:rFonts w:ascii="Arial" w:eastAsia="Times New Roman" w:hAnsi="Arial" w:cs="Arial"/>
            <w:sz w:val="20"/>
            <w:szCs w:val="20"/>
            <w:lang w:val="en"/>
          </w:rPr>
          <w:t xml:space="preserve"> </w:t>
        </w:r>
      </w:hyperlink>
      <w:hyperlink r:id="rId53" w:history="1">
        <w:r w:rsidRPr="00920D27">
          <w:rPr>
            <w:rStyle w:val="Hyperlink"/>
            <w:rFonts w:ascii="Arial" w:eastAsia="Times New Roman" w:hAnsi="Arial" w:cs="Arial"/>
            <w:sz w:val="20"/>
            <w:szCs w:val="20"/>
            <w:lang w:val="en"/>
          </w:rPr>
          <w:t>https://doi.org/10.4324/9780203846780</w:t>
        </w:r>
      </w:hyperlink>
    </w:p>
    <w:p w14:paraId="2D387522" w14:textId="04C88321"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*Rose, R., Narayan, J., Matam, S., &amp; Sambram, P. R. (2021). A comparison of provision and access to inclusive education for children with disabilities in a metropolitan city and a rural district in Telangana state, India. </w:t>
      </w:r>
      <w:r w:rsidRPr="00920D27">
        <w:rPr>
          <w:rFonts w:ascii="Arial" w:eastAsia="Times New Roman" w:hAnsi="Arial" w:cs="Arial"/>
          <w:i/>
          <w:sz w:val="20"/>
          <w:szCs w:val="20"/>
          <w:lang w:val="en"/>
        </w:rPr>
        <w:t>Education Sciences</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11</w:t>
      </w:r>
      <w:r w:rsidRPr="00920D27">
        <w:rPr>
          <w:rFonts w:ascii="Arial" w:eastAsia="Times New Roman" w:hAnsi="Arial" w:cs="Arial"/>
          <w:sz w:val="20"/>
          <w:szCs w:val="20"/>
          <w:lang w:val="en"/>
        </w:rPr>
        <w:t>(3).</w:t>
      </w:r>
      <w:hyperlink r:id="rId54" w:history="1">
        <w:r w:rsidRPr="00920D27">
          <w:rPr>
            <w:rStyle w:val="Hyperlink"/>
            <w:rFonts w:ascii="Arial" w:eastAsia="Times New Roman" w:hAnsi="Arial" w:cs="Arial"/>
            <w:sz w:val="20"/>
            <w:szCs w:val="20"/>
            <w:lang w:val="en"/>
          </w:rPr>
          <w:t xml:space="preserve"> DOI:</w:t>
        </w:r>
      </w:hyperlink>
      <w:hyperlink r:id="rId55" w:history="1">
        <w:r w:rsidRPr="00920D27">
          <w:rPr>
            <w:rStyle w:val="Hyperlink"/>
            <w:rFonts w:ascii="Arial" w:eastAsia="Times New Roman" w:hAnsi="Arial" w:cs="Arial"/>
            <w:sz w:val="20"/>
            <w:szCs w:val="20"/>
            <w:lang w:val="en"/>
          </w:rPr>
          <w:t xml:space="preserve"> </w:t>
        </w:r>
        <w:r w:rsidR="00F34DF4">
          <w:rPr>
            <w:rFonts w:ascii="Arial" w:eastAsia="Times New Roman" w:hAnsi="Arial" w:cs="Arial"/>
            <w:sz w:val="18"/>
            <w:szCs w:val="18"/>
          </w:rPr>
          <w:t>https://doi.org/10.3390/educsci11030111</w:t>
        </w:r>
      </w:hyperlink>
      <w:r w:rsidR="00784B96">
        <w:rPr>
          <w:rStyle w:val="Hyperlink"/>
          <w:rFonts w:ascii="Arial" w:eastAsia="Times New Roman" w:hAnsi="Arial" w:cs="Arial"/>
          <w:sz w:val="20"/>
          <w:szCs w:val="20"/>
          <w:lang w:val="en"/>
        </w:rPr>
        <w:t xml:space="preserve"> </w:t>
      </w:r>
      <w:r w:rsidR="00F34DF4">
        <w:rPr>
          <w:rStyle w:val="Hyperlink"/>
          <w:rFonts w:ascii="Arial" w:eastAsia="Times New Roman" w:hAnsi="Arial" w:cs="Arial"/>
          <w:sz w:val="20"/>
          <w:szCs w:val="20"/>
          <w:lang w:val="en"/>
        </w:rPr>
        <w:t xml:space="preserve"> </w:t>
      </w:r>
    </w:p>
    <w:p w14:paraId="69F26F11" w14:textId="4936FD43"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Sarkar, T., &amp; Forber-Pratt, A. J. (2021). Examining inclusive education research in India with a focus on teachers: A systematic scoping review. </w:t>
      </w:r>
      <w:r w:rsidRPr="00920D27">
        <w:rPr>
          <w:rFonts w:ascii="Arial" w:eastAsia="Times New Roman" w:hAnsi="Arial" w:cs="Arial"/>
          <w:i/>
          <w:sz w:val="20"/>
          <w:szCs w:val="20"/>
          <w:lang w:val="en"/>
        </w:rPr>
        <w:t>Multiple Voices: Disability, Race, and Language Intersections in Special Education, 21</w:t>
      </w:r>
      <w:r w:rsidRPr="00920D27">
        <w:rPr>
          <w:rFonts w:ascii="Arial" w:eastAsia="Times New Roman" w:hAnsi="Arial" w:cs="Arial"/>
          <w:sz w:val="20"/>
          <w:szCs w:val="20"/>
          <w:lang w:val="en"/>
        </w:rPr>
        <w:t xml:space="preserve">(2), 22–37. DOI: </w:t>
      </w:r>
      <w:hyperlink r:id="rId56" w:history="1">
        <w:r w:rsidR="00784B96" w:rsidRPr="00616F5B">
          <w:rPr>
            <w:rStyle w:val="Hyperlink"/>
            <w:rFonts w:ascii="Arial" w:eastAsia="Times New Roman" w:hAnsi="Arial" w:cs="Arial"/>
            <w:sz w:val="18"/>
            <w:szCs w:val="18"/>
          </w:rPr>
          <w:t>https://doi.org/10.56829/2158-396X-21.2.22</w:t>
        </w:r>
      </w:hyperlink>
      <w:r w:rsidR="00784B96">
        <w:rPr>
          <w:rFonts w:ascii="Arial" w:eastAsia="Times New Roman" w:hAnsi="Arial" w:cs="Arial"/>
          <w:sz w:val="18"/>
          <w:szCs w:val="18"/>
        </w:rPr>
        <w:t xml:space="preserve"> </w:t>
      </w:r>
    </w:p>
    <w:p w14:paraId="149BD797" w14:textId="468CB080"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*Sawhney, S. (2015). Unpacking the nature and practices of inclusive education: The case of two schools in Hyderabad, India. </w:t>
      </w:r>
      <w:r w:rsidRPr="00920D27">
        <w:rPr>
          <w:rFonts w:ascii="Arial" w:eastAsia="Times New Roman" w:hAnsi="Arial" w:cs="Arial"/>
          <w:i/>
          <w:sz w:val="20"/>
          <w:szCs w:val="20"/>
          <w:lang w:val="en"/>
        </w:rPr>
        <w:t>International Journal of Inclusive Education</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19</w:t>
      </w:r>
      <w:r w:rsidRPr="00920D27">
        <w:rPr>
          <w:rFonts w:ascii="Arial" w:eastAsia="Times New Roman" w:hAnsi="Arial" w:cs="Arial"/>
          <w:sz w:val="20"/>
          <w:szCs w:val="20"/>
          <w:lang w:val="en"/>
        </w:rPr>
        <w:t xml:space="preserve">(9), 887–907. DOI: </w:t>
      </w:r>
      <w:hyperlink r:id="rId57" w:history="1">
        <w:r w:rsidR="006947AA" w:rsidRPr="00616F5B">
          <w:rPr>
            <w:rStyle w:val="Hyperlink"/>
            <w:rFonts w:ascii="Arial" w:eastAsia="Times New Roman" w:hAnsi="Arial" w:cs="Arial"/>
            <w:sz w:val="18"/>
            <w:szCs w:val="18"/>
          </w:rPr>
          <w:t>https://doi.org/10.1080/13603116.2015.1015178</w:t>
        </w:r>
      </w:hyperlink>
      <w:r w:rsidR="006947AA">
        <w:rPr>
          <w:rFonts w:ascii="Arial" w:eastAsia="Times New Roman" w:hAnsi="Arial" w:cs="Arial"/>
          <w:sz w:val="18"/>
          <w:szCs w:val="18"/>
        </w:rPr>
        <w:t xml:space="preserve"> </w:t>
      </w:r>
    </w:p>
    <w:p w14:paraId="39AA6B5C" w14:textId="1D0C5694"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Singal, N. (2019) Challenges and opportunities in efforts towards inclusive education: reflections from India, </w:t>
      </w:r>
      <w:r w:rsidRPr="00920D27">
        <w:rPr>
          <w:rFonts w:ascii="Arial" w:eastAsia="Times New Roman" w:hAnsi="Arial" w:cs="Arial"/>
          <w:i/>
          <w:sz w:val="20"/>
          <w:szCs w:val="20"/>
          <w:lang w:val="en"/>
        </w:rPr>
        <w:t xml:space="preserve">International Journal of Inclusive Education, </w:t>
      </w:r>
      <w:r w:rsidRPr="00920D27">
        <w:rPr>
          <w:rFonts w:ascii="Arial" w:eastAsia="Times New Roman" w:hAnsi="Arial" w:cs="Arial"/>
          <w:sz w:val="20"/>
          <w:szCs w:val="20"/>
          <w:lang w:val="en"/>
        </w:rPr>
        <w:t xml:space="preserve">23:7-8, 827-840, DOI: </w:t>
      </w:r>
      <w:hyperlink r:id="rId58" w:history="1">
        <w:r w:rsidR="00E72BBF" w:rsidRPr="00616F5B">
          <w:rPr>
            <w:rStyle w:val="Hyperlink"/>
            <w:rFonts w:ascii="Arial" w:eastAsia="Times New Roman" w:hAnsi="Arial" w:cs="Arial"/>
            <w:sz w:val="18"/>
            <w:szCs w:val="18"/>
          </w:rPr>
          <w:t>https://doi.org/10.1080/13603116.2019.1624845</w:t>
        </w:r>
      </w:hyperlink>
      <w:r w:rsidR="00E72BBF">
        <w:rPr>
          <w:rFonts w:ascii="Arial" w:eastAsia="Times New Roman" w:hAnsi="Arial" w:cs="Arial"/>
          <w:sz w:val="18"/>
          <w:szCs w:val="18"/>
        </w:rPr>
        <w:t xml:space="preserve"> </w:t>
      </w:r>
    </w:p>
    <w:p w14:paraId="59E58867" w14:textId="1EAD5D01" w:rsidR="004D4C86" w:rsidRPr="00920D27" w:rsidRDefault="004D4C86" w:rsidP="00843D4F">
      <w:pPr>
        <w:spacing w:after="0" w:line="240" w:lineRule="auto"/>
        <w:ind w:left="720" w:hanging="720"/>
        <w:rPr>
          <w:rFonts w:ascii="Arial" w:eastAsia="Times New Roman" w:hAnsi="Arial" w:cs="Arial"/>
          <w:sz w:val="20"/>
          <w:szCs w:val="20"/>
          <w:u w:val="single"/>
          <w:lang w:val="en"/>
        </w:rPr>
      </w:pPr>
      <w:r w:rsidRPr="00920D27">
        <w:rPr>
          <w:rFonts w:ascii="Arial" w:eastAsia="Times New Roman" w:hAnsi="Arial" w:cs="Arial"/>
          <w:sz w:val="20"/>
          <w:szCs w:val="20"/>
          <w:lang w:val="en"/>
        </w:rPr>
        <w:t xml:space="preserve">*Taneja Johansson, S. (2014). “He is intelligent but different”: Stakeholders’ perspectives on children on the autism spectrum in an urban Indian school context. </w:t>
      </w:r>
      <w:r w:rsidRPr="00920D27">
        <w:rPr>
          <w:rFonts w:ascii="Arial" w:eastAsia="Times New Roman" w:hAnsi="Arial" w:cs="Arial"/>
          <w:i/>
          <w:sz w:val="20"/>
          <w:szCs w:val="20"/>
          <w:lang w:val="en"/>
        </w:rPr>
        <w:t>International Journal of Disability, Development and Education</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61</w:t>
      </w:r>
      <w:r w:rsidRPr="00920D27">
        <w:rPr>
          <w:rFonts w:ascii="Arial" w:eastAsia="Times New Roman" w:hAnsi="Arial" w:cs="Arial"/>
          <w:sz w:val="20"/>
          <w:szCs w:val="20"/>
          <w:lang w:val="en"/>
        </w:rPr>
        <w:t>(4), 416–433.</w:t>
      </w:r>
      <w:r w:rsidR="00695EBA" w:rsidRPr="00695EBA">
        <w:rPr>
          <w:rFonts w:ascii="Arial" w:eastAsia="Times New Roman" w:hAnsi="Arial" w:cs="Arial"/>
          <w:sz w:val="18"/>
          <w:szCs w:val="18"/>
        </w:rPr>
        <w:t xml:space="preserve"> </w:t>
      </w:r>
      <w:hyperlink r:id="rId59" w:history="1">
        <w:r w:rsidR="00695EBA" w:rsidRPr="00616F5B">
          <w:rPr>
            <w:rStyle w:val="Hyperlink"/>
            <w:rFonts w:ascii="Arial" w:eastAsia="Times New Roman" w:hAnsi="Arial" w:cs="Arial"/>
            <w:sz w:val="18"/>
            <w:szCs w:val="18"/>
          </w:rPr>
          <w:t>https://doi.org/10.1080/1034912X.2014.955786</w:t>
        </w:r>
      </w:hyperlink>
      <w:r w:rsidR="00695EBA">
        <w:rPr>
          <w:rFonts w:ascii="Arial" w:eastAsia="Times New Roman" w:hAnsi="Arial" w:cs="Arial"/>
          <w:sz w:val="18"/>
          <w:szCs w:val="18"/>
        </w:rPr>
        <w:t xml:space="preserve"> </w:t>
      </w:r>
    </w:p>
    <w:p w14:paraId="55AECB68" w14:textId="2AFD2358" w:rsidR="004D4C86" w:rsidRPr="00920D27" w:rsidRDefault="004D4C86" w:rsidP="00843D4F">
      <w:pPr>
        <w:spacing w:after="0" w:line="240" w:lineRule="auto"/>
        <w:ind w:left="720" w:hanging="720"/>
        <w:rPr>
          <w:rFonts w:ascii="Arial" w:eastAsia="Times New Roman" w:hAnsi="Arial" w:cs="Arial"/>
          <w:sz w:val="20"/>
          <w:szCs w:val="20"/>
          <w:u w:val="single"/>
          <w:lang w:val="en"/>
        </w:rPr>
      </w:pPr>
      <w:r w:rsidRPr="00920D27">
        <w:rPr>
          <w:rFonts w:ascii="Arial" w:eastAsia="Times New Roman" w:hAnsi="Arial" w:cs="Arial"/>
          <w:sz w:val="20"/>
          <w:szCs w:val="20"/>
          <w:lang w:val="en"/>
        </w:rPr>
        <w:t xml:space="preserve">*Taneja-Johansson, S., Singal, N., &amp; Samson, M. (2023). Education of children with disabilities in rural Indian government schools: A long road to inclusion. </w:t>
      </w:r>
      <w:r w:rsidRPr="00920D27">
        <w:rPr>
          <w:rFonts w:ascii="Arial" w:eastAsia="Times New Roman" w:hAnsi="Arial" w:cs="Arial"/>
          <w:i/>
          <w:sz w:val="20"/>
          <w:szCs w:val="20"/>
          <w:lang w:val="en"/>
        </w:rPr>
        <w:t>International Journal of Disability, Development and Education</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70</w:t>
      </w:r>
      <w:r w:rsidRPr="00920D27">
        <w:rPr>
          <w:rFonts w:ascii="Arial" w:eastAsia="Times New Roman" w:hAnsi="Arial" w:cs="Arial"/>
          <w:sz w:val="20"/>
          <w:szCs w:val="20"/>
          <w:lang w:val="en"/>
        </w:rPr>
        <w:t>(5), 735–750</w:t>
      </w:r>
      <w:proofErr w:type="gramStart"/>
      <w:r w:rsidRPr="00920D27">
        <w:rPr>
          <w:rFonts w:ascii="Arial" w:eastAsia="Times New Roman" w:hAnsi="Arial" w:cs="Arial"/>
          <w:sz w:val="20"/>
          <w:szCs w:val="20"/>
          <w:lang w:val="en"/>
        </w:rPr>
        <w:t>.</w:t>
      </w:r>
      <w:r w:rsidR="004848E3" w:rsidRPr="004848E3">
        <w:rPr>
          <w:rFonts w:ascii="Arial" w:eastAsia="Times New Roman" w:hAnsi="Arial" w:cs="Arial"/>
          <w:sz w:val="18"/>
          <w:szCs w:val="18"/>
        </w:rPr>
        <w:t xml:space="preserve"> </w:t>
      </w:r>
      <w:r w:rsidR="004848E3">
        <w:rPr>
          <w:rFonts w:ascii="Arial" w:eastAsia="Times New Roman" w:hAnsi="Arial" w:cs="Arial"/>
          <w:sz w:val="18"/>
          <w:szCs w:val="18"/>
        </w:rPr>
        <w:t>.</w:t>
      </w:r>
      <w:proofErr w:type="gramEnd"/>
      <w:r w:rsidR="004848E3">
        <w:rPr>
          <w:rFonts w:ascii="Arial" w:eastAsia="Times New Roman" w:hAnsi="Arial" w:cs="Arial"/>
          <w:sz w:val="18"/>
          <w:szCs w:val="18"/>
        </w:rPr>
        <w:t xml:space="preserve"> </w:t>
      </w:r>
      <w:hyperlink r:id="rId60" w:history="1">
        <w:r w:rsidR="004848E3" w:rsidRPr="00616F5B">
          <w:rPr>
            <w:rStyle w:val="Hyperlink"/>
            <w:rFonts w:ascii="Arial" w:eastAsia="Times New Roman" w:hAnsi="Arial" w:cs="Arial"/>
            <w:sz w:val="18"/>
            <w:szCs w:val="18"/>
          </w:rPr>
          <w:t>https://doi.org/10.1080/1034912X.2021.1917525</w:t>
        </w:r>
      </w:hyperlink>
      <w:r w:rsidR="004848E3">
        <w:rPr>
          <w:rFonts w:ascii="Arial" w:eastAsia="Times New Roman" w:hAnsi="Arial" w:cs="Arial"/>
          <w:sz w:val="18"/>
          <w:szCs w:val="18"/>
        </w:rPr>
        <w:t xml:space="preserve"> </w:t>
      </w:r>
    </w:p>
    <w:p w14:paraId="229DFEE6" w14:textId="2248753B" w:rsidR="00246843" w:rsidRDefault="004D4C86" w:rsidP="00246843">
      <w:pPr>
        <w:spacing w:after="0" w:line="240" w:lineRule="auto"/>
        <w:ind w:left="720" w:hanging="720"/>
        <w:rPr>
          <w:rFonts w:ascii="Arial" w:eastAsia="Times New Roman" w:hAnsi="Arial" w:cs="Arial"/>
          <w:sz w:val="18"/>
          <w:szCs w:val="18"/>
        </w:rPr>
      </w:pPr>
      <w:r w:rsidRPr="00920D27">
        <w:rPr>
          <w:rFonts w:ascii="Arial" w:eastAsia="Times New Roman" w:hAnsi="Arial" w:cs="Arial"/>
          <w:sz w:val="20"/>
          <w:szCs w:val="20"/>
          <w:lang w:val="en"/>
        </w:rPr>
        <w:t xml:space="preserve">*Tiwari, A. (2024). Inclusive practices in an independent private school: Insight into teachers’ perspectives, beliefs and practices. </w:t>
      </w:r>
      <w:r w:rsidRPr="00920D27">
        <w:rPr>
          <w:rFonts w:ascii="Arial" w:eastAsia="Times New Roman" w:hAnsi="Arial" w:cs="Arial"/>
          <w:i/>
          <w:sz w:val="20"/>
          <w:szCs w:val="20"/>
          <w:lang w:val="en"/>
        </w:rPr>
        <w:t>Support for Learning</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39</w:t>
      </w:r>
      <w:r w:rsidRPr="00920D27">
        <w:rPr>
          <w:rFonts w:ascii="Arial" w:eastAsia="Times New Roman" w:hAnsi="Arial" w:cs="Arial"/>
          <w:sz w:val="20"/>
          <w:szCs w:val="20"/>
          <w:lang w:val="en"/>
        </w:rPr>
        <w:t>(1), 22–33.</w:t>
      </w:r>
      <w:r w:rsidR="00246843" w:rsidRPr="00246843">
        <w:rPr>
          <w:rFonts w:ascii="Arial" w:eastAsia="Times New Roman" w:hAnsi="Arial" w:cs="Arial"/>
          <w:sz w:val="18"/>
          <w:szCs w:val="18"/>
        </w:rPr>
        <w:t xml:space="preserve"> </w:t>
      </w:r>
      <w:hyperlink r:id="rId61" w:history="1">
        <w:r w:rsidR="00246843" w:rsidRPr="00616F5B">
          <w:rPr>
            <w:rStyle w:val="Hyperlink"/>
            <w:rFonts w:ascii="Arial" w:eastAsia="Times New Roman" w:hAnsi="Arial" w:cs="Arial"/>
            <w:sz w:val="18"/>
            <w:szCs w:val="18"/>
          </w:rPr>
          <w:t>https://doi.org/10.1111/1467-9604.12461</w:t>
        </w:r>
      </w:hyperlink>
      <w:r w:rsidR="00246843">
        <w:rPr>
          <w:rFonts w:ascii="Arial" w:eastAsia="Times New Roman" w:hAnsi="Arial" w:cs="Arial"/>
          <w:sz w:val="18"/>
          <w:szCs w:val="18"/>
        </w:rPr>
        <w:t xml:space="preserve"> </w:t>
      </w:r>
    </w:p>
    <w:p w14:paraId="0FC792BA" w14:textId="2AC9F056" w:rsidR="00C65CFC" w:rsidRDefault="004D4C86" w:rsidP="00843D4F">
      <w:pPr>
        <w:spacing w:after="0" w:line="240" w:lineRule="auto"/>
        <w:ind w:left="720" w:hanging="720"/>
        <w:rPr>
          <w:rFonts w:ascii="Arial" w:eastAsia="Times New Roman" w:hAnsi="Arial" w:cs="Arial"/>
          <w:sz w:val="18"/>
          <w:szCs w:val="18"/>
        </w:rPr>
      </w:pPr>
      <w:r w:rsidRPr="00920D27">
        <w:rPr>
          <w:rFonts w:ascii="Arial" w:eastAsia="Times New Roman" w:hAnsi="Arial" w:cs="Arial"/>
          <w:sz w:val="20"/>
          <w:szCs w:val="20"/>
          <w:lang w:val="en"/>
        </w:rPr>
        <w:t xml:space="preserve">*Tiwari, A., Das, A., &amp; Sharma, M. (2015). Inclusive education a “rhetoric” or “reality”? Teachers’ perspectives and beliefs. </w:t>
      </w:r>
      <w:r w:rsidRPr="00920D27">
        <w:rPr>
          <w:rFonts w:ascii="Arial" w:eastAsia="Times New Roman" w:hAnsi="Arial" w:cs="Arial"/>
          <w:i/>
          <w:sz w:val="20"/>
          <w:szCs w:val="20"/>
          <w:lang w:val="en"/>
        </w:rPr>
        <w:t>Teaching and Teacher Education</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52</w:t>
      </w:r>
      <w:r w:rsidRPr="00920D27">
        <w:rPr>
          <w:rFonts w:ascii="Arial" w:eastAsia="Times New Roman" w:hAnsi="Arial" w:cs="Arial"/>
          <w:sz w:val="20"/>
          <w:szCs w:val="20"/>
          <w:lang w:val="en"/>
        </w:rPr>
        <w:t>, 128–136</w:t>
      </w:r>
      <w:r w:rsidR="00741F88">
        <w:rPr>
          <w:rFonts w:ascii="Arial" w:eastAsia="Times New Roman" w:hAnsi="Arial" w:cs="Arial"/>
          <w:sz w:val="20"/>
          <w:szCs w:val="20"/>
          <w:lang w:val="en"/>
        </w:rPr>
        <w:t xml:space="preserve"> </w:t>
      </w:r>
      <w:hyperlink r:id="rId62" w:history="1">
        <w:r w:rsidR="00741F88" w:rsidRPr="00616F5B">
          <w:rPr>
            <w:rStyle w:val="Hyperlink"/>
            <w:rFonts w:ascii="Arial" w:eastAsia="Times New Roman" w:hAnsi="Arial" w:cs="Arial"/>
            <w:sz w:val="18"/>
            <w:szCs w:val="18"/>
          </w:rPr>
          <w:t>https://doi.org/10.1016/j.tate.2015.09.002</w:t>
        </w:r>
      </w:hyperlink>
      <w:r w:rsidR="00741F88">
        <w:rPr>
          <w:rFonts w:ascii="Arial" w:eastAsia="Times New Roman" w:hAnsi="Arial" w:cs="Arial"/>
          <w:sz w:val="18"/>
          <w:szCs w:val="18"/>
        </w:rPr>
        <w:t xml:space="preserve"> </w:t>
      </w:r>
      <w:r w:rsidRPr="00920D27">
        <w:rPr>
          <w:rFonts w:ascii="Arial" w:eastAsia="Times New Roman" w:hAnsi="Arial" w:cs="Arial"/>
          <w:sz w:val="20"/>
          <w:szCs w:val="20"/>
          <w:lang w:val="en"/>
        </w:rPr>
        <w:t>.</w:t>
      </w:r>
      <w:r w:rsidR="00C65CFC" w:rsidRPr="00C65CFC">
        <w:rPr>
          <w:rFonts w:ascii="Arial" w:eastAsia="Times New Roman" w:hAnsi="Arial" w:cs="Arial"/>
          <w:sz w:val="18"/>
          <w:szCs w:val="18"/>
        </w:rPr>
        <w:t xml:space="preserve"> </w:t>
      </w:r>
    </w:p>
    <w:p w14:paraId="2D8198A8" w14:textId="1AAD9205"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United Nations Children's Fund. (2017). Inclusive education: Including children with disabilities in quality learning: what needs to be done? https://www.unicef.org/eca/sites/unicef.org.eca/files/IE_summary_accessible_220917_brief.pdf</w:t>
      </w:r>
    </w:p>
    <w:p w14:paraId="5FCA2F6F" w14:textId="77777777"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lastRenderedPageBreak/>
        <w:t xml:space="preserve">The United Nations Convention on the Rights of Persons with Disabilities, December 13, 2006, </w:t>
      </w:r>
      <w:hyperlink r:id="rId63" w:history="1">
        <w:r w:rsidRPr="00920D27">
          <w:rPr>
            <w:rStyle w:val="Hyperlink"/>
            <w:rFonts w:ascii="Arial" w:eastAsia="Times New Roman" w:hAnsi="Arial" w:cs="Arial"/>
            <w:sz w:val="20"/>
            <w:szCs w:val="20"/>
            <w:lang w:val="en"/>
          </w:rPr>
          <w:t>https://www.un.org/disabilities/documents/convention/convoptprot-e.pdf</w:t>
        </w:r>
      </w:hyperlink>
    </w:p>
    <w:p w14:paraId="6A8A9D53" w14:textId="77777777" w:rsidR="004D4C86" w:rsidRPr="00843D4F" w:rsidRDefault="004D4C86" w:rsidP="00843D4F">
      <w:pPr>
        <w:spacing w:after="0" w:line="240" w:lineRule="auto"/>
        <w:rPr>
          <w:rFonts w:ascii="Arial" w:eastAsia="Times New Roman" w:hAnsi="Arial" w:cs="Arial"/>
          <w:lang w:val="en"/>
        </w:rPr>
      </w:pPr>
    </w:p>
    <w:p w14:paraId="2699E1E0" w14:textId="70C15D59" w:rsidR="004D4C86" w:rsidRPr="00843D4F" w:rsidRDefault="004D4C86" w:rsidP="00843D4F">
      <w:pPr>
        <w:spacing w:after="0" w:line="240" w:lineRule="auto"/>
        <w:rPr>
          <w:rFonts w:ascii="Arial" w:eastAsia="Times New Roman" w:hAnsi="Arial" w:cs="Arial"/>
        </w:rPr>
      </w:pPr>
      <w:r w:rsidRPr="00843D4F">
        <w:rPr>
          <w:rFonts w:ascii="Arial" w:eastAsia="Times New Roman" w:hAnsi="Arial" w:cs="Arial"/>
        </w:rPr>
        <w:br w:type="page"/>
      </w:r>
    </w:p>
    <w:p w14:paraId="0E67C896" w14:textId="77777777" w:rsidR="00A4714E" w:rsidRPr="00A4714E" w:rsidRDefault="00A4714E" w:rsidP="009E2C2B">
      <w:pPr>
        <w:spacing w:after="0" w:line="480" w:lineRule="auto"/>
        <w:rPr>
          <w:rFonts w:ascii="Times New Roman" w:eastAsia="Times New Roman" w:hAnsi="Times New Roman" w:cs="Times New Roman"/>
          <w:b/>
          <w:lang w:val="en-AU"/>
        </w:rPr>
      </w:pPr>
      <w:r w:rsidRPr="00A4714E">
        <w:rPr>
          <w:rFonts w:ascii="Times New Roman" w:eastAsia="Times New Roman" w:hAnsi="Times New Roman" w:cs="Times New Roman"/>
          <w:b/>
          <w:lang w:val="en-AU"/>
        </w:rPr>
        <w:lastRenderedPageBreak/>
        <w:t>Figure 1</w:t>
      </w:r>
    </w:p>
    <w:p w14:paraId="3E86CA48" w14:textId="77777777" w:rsidR="00A4714E" w:rsidRPr="00A4714E" w:rsidRDefault="00A4714E" w:rsidP="009E2C2B">
      <w:pPr>
        <w:spacing w:after="0" w:line="480" w:lineRule="auto"/>
        <w:rPr>
          <w:rFonts w:ascii="Times New Roman" w:eastAsia="Times New Roman" w:hAnsi="Times New Roman" w:cs="Times New Roman"/>
          <w:b/>
          <w:lang w:val="en-AU"/>
        </w:rPr>
      </w:pPr>
    </w:p>
    <w:p w14:paraId="540AF0F1" w14:textId="77777777" w:rsidR="00A4714E" w:rsidRPr="00A4714E" w:rsidRDefault="00A4714E" w:rsidP="009E2C2B">
      <w:pPr>
        <w:spacing w:after="0" w:line="480" w:lineRule="auto"/>
        <w:rPr>
          <w:rFonts w:ascii="Times New Roman" w:eastAsia="Times New Roman" w:hAnsi="Times New Roman" w:cs="Times New Roman"/>
          <w:bCs/>
          <w:lang w:val="en-AU"/>
        </w:rPr>
      </w:pPr>
      <w:r w:rsidRPr="00A4714E">
        <w:rPr>
          <w:rFonts w:ascii="Times New Roman" w:eastAsia="Times New Roman" w:hAnsi="Times New Roman" w:cs="Times New Roman"/>
          <w:bCs/>
          <w:lang w:val="en-AU"/>
        </w:rPr>
        <w:t>PRISMA Flow Diagram</w:t>
      </w:r>
    </w:p>
    <w:p w14:paraId="42CA1DA6" w14:textId="38F25161" w:rsidR="00A4714E" w:rsidRPr="00A4714E" w:rsidRDefault="00A4714E" w:rsidP="009E2C2B">
      <w:pPr>
        <w:spacing w:after="0" w:line="480" w:lineRule="auto"/>
        <w:rPr>
          <w:rFonts w:ascii="Times New Roman" w:eastAsia="Times New Roman" w:hAnsi="Times New Roman" w:cs="Times New Roman"/>
          <w:lang w:val="en-AU"/>
        </w:rPr>
      </w:pPr>
      <w:r w:rsidRPr="009E2C2B">
        <w:rPr>
          <w:rFonts w:ascii="Times New Roman" w:eastAsia="Times New Roman" w:hAnsi="Times New Roman" w:cs="Times New Roman"/>
          <w:noProof/>
          <w:lang w:val="en-AU"/>
        </w:rPr>
        <mc:AlternateContent>
          <mc:Choice Requires="wps">
            <w:drawing>
              <wp:anchor distT="0" distB="0" distL="114300" distR="114300" simplePos="0" relativeHeight="251637760" behindDoc="0" locked="0" layoutInCell="1" allowOverlap="1" wp14:anchorId="4146A4CC" wp14:editId="208F6A6B">
                <wp:simplePos x="0" y="0"/>
                <wp:positionH relativeFrom="column">
                  <wp:posOffset>540385</wp:posOffset>
                </wp:positionH>
                <wp:positionV relativeFrom="paragraph">
                  <wp:posOffset>5160010</wp:posOffset>
                </wp:positionV>
                <wp:extent cx="1887220" cy="723900"/>
                <wp:effectExtent l="0" t="0" r="17780" b="19050"/>
                <wp:wrapNone/>
                <wp:docPr id="24427439" name="Rectangle 42"/>
                <wp:cNvGraphicFramePr/>
                <a:graphic xmlns:a="http://schemas.openxmlformats.org/drawingml/2006/main">
                  <a:graphicData uri="http://schemas.microsoft.com/office/word/2010/wordprocessingShape">
                    <wps:wsp>
                      <wps:cNvSpPr/>
                      <wps:spPr>
                        <a:xfrm>
                          <a:off x="0" y="0"/>
                          <a:ext cx="188722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E291E8"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21044B92"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(n = 20)</w:t>
                            </w:r>
                          </w:p>
                          <w:p w14:paraId="3CD3F528" w14:textId="77777777" w:rsidR="00373AC9" w:rsidRDefault="00373AC9" w:rsidP="00A4714E">
                            <w:pPr>
                              <w:spacing w:after="0" w:line="240" w:lineRule="auto"/>
                              <w:rPr>
                                <w:rFonts w:ascii="Arial" w:hAnsi="Arial" w:cs="Arial"/>
                                <w:color w:val="000000" w:themeColor="text1"/>
                                <w:sz w:val="18"/>
                                <w:szCs w:val="20"/>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6A4CC" id="Rectangle 42" o:spid="_x0000_s1026" style="position:absolute;margin-left:42.55pt;margin-top:406.3pt;width:148.6pt;height:5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" filled="f" strokecolor="black [3213]" strokeweight="1pt">
                <v:textbox>
                  <w:txbxContent>
                    <w:p w14:paraId="3AE291E8"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21044B92"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(n = 20)</w:t>
                      </w:r>
                    </w:p>
                    <w:p w14:paraId="3CD3F528" w14:textId="77777777" w:rsidR="00373AC9" w:rsidRDefault="00373AC9" w:rsidP="00A4714E">
                      <w:pPr>
                        <w:spacing w:after="0" w:line="240" w:lineRule="auto"/>
                        <w:rPr>
                          <w:rFonts w:ascii="Arial" w:hAnsi="Arial" w:cs="Arial"/>
                          <w:color w:val="000000" w:themeColor="text1"/>
                          <w:sz w:val="18"/>
                          <w:szCs w:val="20"/>
                        </w:rPr>
                      </w:pPr>
                    </w:p>
                  </w:txbxContent>
                </v:textbox>
              </v:rect>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39808" behindDoc="0" locked="0" layoutInCell="1" allowOverlap="1" wp14:anchorId="4E2CFBD4" wp14:editId="20C006D2">
                <wp:simplePos x="0" y="0"/>
                <wp:positionH relativeFrom="column">
                  <wp:posOffset>567055</wp:posOffset>
                </wp:positionH>
                <wp:positionV relativeFrom="paragraph">
                  <wp:posOffset>74295</wp:posOffset>
                </wp:positionV>
                <wp:extent cx="4345305" cy="262890"/>
                <wp:effectExtent l="0" t="0" r="17145" b="22860"/>
                <wp:wrapNone/>
                <wp:docPr id="236711736" name="Flowchart: Alternate Process 41"/>
                <wp:cNvGraphicFramePr/>
                <a:graphic xmlns:a="http://schemas.openxmlformats.org/drawingml/2006/main">
                  <a:graphicData uri="http://schemas.microsoft.com/office/word/2010/wordprocessingShape">
                    <wps:wsp>
                      <wps:cNvSpPr/>
                      <wps:spPr>
                        <a:xfrm>
                          <a:off x="0" y="0"/>
                          <a:ext cx="4344670" cy="26289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A70E68F" w14:textId="77777777" w:rsidR="00373AC9" w:rsidRDefault="00373AC9" w:rsidP="00A4714E">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Identification of studies via databases and registers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CFBD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1" o:spid="_x0000_s1027" type="#_x0000_t176" style="position:absolute;margin-left:44.65pt;margin-top:5.85pt;width:342.15pt;height:20.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" fillcolor="#0f9ed5 [3207]" strokecolor="#074e69 [1607]" strokeweight="1pt">
                <v:textbox>
                  <w:txbxContent>
                    <w:p w14:paraId="2A70E68F" w14:textId="77777777" w:rsidR="00373AC9" w:rsidRDefault="00373AC9" w:rsidP="00A4714E">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Identification of studies via databases and registers</w:t>
                      </w:r>
                    </w:p>
                  </w:txbxContent>
                </v:textbox>
              </v:shape>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43904" behindDoc="0" locked="0" layoutInCell="1" allowOverlap="1" wp14:anchorId="2EC5C610" wp14:editId="5FF0D16C">
                <wp:simplePos x="0" y="0"/>
                <wp:positionH relativeFrom="column">
                  <wp:posOffset>-1160780</wp:posOffset>
                </wp:positionH>
                <wp:positionV relativeFrom="paragraph">
                  <wp:posOffset>3386455</wp:posOffset>
                </wp:positionV>
                <wp:extent cx="2787650" cy="262890"/>
                <wp:effectExtent l="5080" t="0" r="17780" b="17780"/>
                <wp:wrapNone/>
                <wp:docPr id="664485376" name="Flowchart: Alternate Process 40"/>
                <wp:cNvGraphicFramePr/>
                <a:graphic xmlns:a="http://schemas.openxmlformats.org/drawingml/2006/main">
                  <a:graphicData uri="http://schemas.microsoft.com/office/word/2010/wordprocessingShape">
                    <wps:wsp>
                      <wps:cNvSpPr/>
                      <wps:spPr>
                        <a:xfrm rot="16200000">
                          <a:off x="0" y="0"/>
                          <a:ext cx="278701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849CC6C" w14:textId="77777777" w:rsidR="00373AC9" w:rsidRDefault="00373AC9" w:rsidP="00A4714E">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52342838" w14:textId="77777777" w:rsidR="00373AC9" w:rsidRDefault="00373AC9" w:rsidP="00A4714E">
                            <w:pPr>
                              <w:spacing w:after="0" w:line="240" w:lineRule="auto"/>
                              <w:rPr>
                                <w:rFonts w:ascii="Arial" w:hAnsi="Arial" w:cs="Arial"/>
                                <w:b/>
                                <w:color w:val="000000" w:themeColor="text1"/>
                                <w:sz w:val="18"/>
                                <w:szCs w:val="1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5C610" id="Flowchart: Alternate Process 40" o:spid="_x0000_s1028" type="#_x0000_t176" style="position:absolute;margin-left:-91.4pt;margin-top:266.65pt;width:219.5pt;height:20.7pt;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" fillcolor="#d86dcb [1944]" strokecolor="black [3213]" strokeweight="1pt">
                <v:textbox>
                  <w:txbxContent>
                    <w:p w14:paraId="4849CC6C" w14:textId="77777777" w:rsidR="00373AC9" w:rsidRDefault="00373AC9" w:rsidP="00A4714E">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52342838" w14:textId="77777777" w:rsidR="00373AC9" w:rsidRDefault="00373AC9" w:rsidP="00A4714E">
                      <w:pPr>
                        <w:spacing w:after="0" w:line="240" w:lineRule="auto"/>
                        <w:rPr>
                          <w:rFonts w:ascii="Arial" w:hAnsi="Arial" w:cs="Arial"/>
                          <w:b/>
                          <w:color w:val="000000" w:themeColor="text1"/>
                          <w:sz w:val="18"/>
                          <w:szCs w:val="18"/>
                        </w:rPr>
                      </w:pPr>
                    </w:p>
                  </w:txbxContent>
                </v:textbox>
              </v:shape>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36736" behindDoc="0" locked="0" layoutInCell="1" allowOverlap="1" wp14:anchorId="744C29AD" wp14:editId="2E657C3A">
                <wp:simplePos x="0" y="0"/>
                <wp:positionH relativeFrom="column">
                  <wp:posOffset>559435</wp:posOffset>
                </wp:positionH>
                <wp:positionV relativeFrom="paragraph">
                  <wp:posOffset>2058670</wp:posOffset>
                </wp:positionV>
                <wp:extent cx="1887220" cy="526415"/>
                <wp:effectExtent l="0" t="0" r="17780" b="26035"/>
                <wp:wrapNone/>
                <wp:docPr id="2846887" name="Rectangle 39"/>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7D625"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screened</w:t>
                            </w:r>
                          </w:p>
                          <w:p w14:paraId="7FDF0F32"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(n = 497)</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C29AD" id="Rectangle 39" o:spid="_x0000_s1029" style="position:absolute;margin-left:44.05pt;margin-top:162.1pt;width:148.6pt;height:41.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" filled="f" strokecolor="black [3213]" strokeweight="1pt">
                <v:textbox>
                  <w:txbxContent>
                    <w:p w14:paraId="35F7D625"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screened</w:t>
                      </w:r>
                    </w:p>
                    <w:p w14:paraId="7FDF0F32"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(n = 497)</w:t>
                      </w:r>
                    </w:p>
                  </w:txbxContent>
                </v:textbox>
              </v:rect>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57216" behindDoc="0" locked="0" layoutInCell="1" allowOverlap="1" wp14:anchorId="28E7D832" wp14:editId="48952B6C">
                <wp:simplePos x="0" y="0"/>
                <wp:positionH relativeFrom="column">
                  <wp:posOffset>3048000</wp:posOffset>
                </wp:positionH>
                <wp:positionV relativeFrom="paragraph">
                  <wp:posOffset>2058670</wp:posOffset>
                </wp:positionV>
                <wp:extent cx="1887220" cy="526415"/>
                <wp:effectExtent l="0" t="0" r="17780" b="26035"/>
                <wp:wrapNone/>
                <wp:docPr id="2069066246" name="Rectangle 38"/>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6F57D"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excluded**</w:t>
                            </w:r>
                          </w:p>
                          <w:p w14:paraId="42148DDB"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(n = </w:t>
                            </w:r>
                            <w:proofErr w:type="gramStart"/>
                            <w:r>
                              <w:rPr>
                                <w:rFonts w:ascii="Arial" w:hAnsi="Arial" w:cs="Arial"/>
                                <w:color w:val="000000" w:themeColor="text1"/>
                                <w:sz w:val="18"/>
                                <w:szCs w:val="20"/>
                              </w:rPr>
                              <w:t>222 )</w:t>
                            </w:r>
                            <w:proofErr w:type="gramEnd"/>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7D832" id="Rectangle 38" o:spid="_x0000_s1030" style="position:absolute;margin-left:240pt;margin-top:162.1pt;width:148.6pt;height:4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" filled="f" strokecolor="black [3213]" strokeweight="1pt">
                <v:textbox>
                  <w:txbxContent>
                    <w:p w14:paraId="2B56F57D"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excluded**</w:t>
                      </w:r>
                    </w:p>
                    <w:p w14:paraId="42148DDB"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(n = </w:t>
                      </w:r>
                      <w:proofErr w:type="gramStart"/>
                      <w:r>
                        <w:rPr>
                          <w:rFonts w:ascii="Arial" w:hAnsi="Arial" w:cs="Arial"/>
                          <w:color w:val="000000" w:themeColor="text1"/>
                          <w:sz w:val="18"/>
                          <w:szCs w:val="20"/>
                        </w:rPr>
                        <w:t>222 )</w:t>
                      </w:r>
                      <w:proofErr w:type="gramEnd"/>
                    </w:p>
                  </w:txbxContent>
                </v:textbox>
              </v:rect>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38784" behindDoc="0" locked="0" layoutInCell="1" allowOverlap="1" wp14:anchorId="615DC3DD" wp14:editId="19E447F0">
                <wp:simplePos x="0" y="0"/>
                <wp:positionH relativeFrom="column">
                  <wp:posOffset>2453640</wp:posOffset>
                </wp:positionH>
                <wp:positionV relativeFrom="paragraph">
                  <wp:posOffset>2312035</wp:posOffset>
                </wp:positionV>
                <wp:extent cx="563245" cy="0"/>
                <wp:effectExtent l="0" t="76200" r="27305" b="95250"/>
                <wp:wrapNone/>
                <wp:docPr id="230153851" name="Straight Arrow Connector 37"/>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FA6A51" id="Straight Arrow Connector 37" o:spid="_x0000_s1026" type="#_x0000_t32" style="position:absolute;margin-left:193.2pt;margin-top:182.05pt;width:44.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" strokecolor="black [3213]" strokeweight=".5pt">
                <v:stroke endarrow="block" joinstyle="miter"/>
              </v:shape>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52096" behindDoc="0" locked="0" layoutInCell="1" allowOverlap="1" wp14:anchorId="652FDCFC" wp14:editId="7791CE77">
                <wp:simplePos x="0" y="0"/>
                <wp:positionH relativeFrom="column">
                  <wp:posOffset>1400175</wp:posOffset>
                </wp:positionH>
                <wp:positionV relativeFrom="paragraph">
                  <wp:posOffset>1751965</wp:posOffset>
                </wp:positionV>
                <wp:extent cx="0" cy="281305"/>
                <wp:effectExtent l="76200" t="0" r="57150" b="61595"/>
                <wp:wrapNone/>
                <wp:docPr id="1629373091" name="Straight Arrow Connector 36"/>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7C3687F" id="Straight Arrow Connector 36" o:spid="_x0000_s1026" type="#_x0000_t32" style="position:absolute;margin-left:110.25pt;margin-top:137.95pt;width:0;height:2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" strokecolor="black [3213]" strokeweight=".5pt">
                <v:stroke endarrow="block" joinstyle="miter"/>
              </v:shape>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44928" behindDoc="0" locked="0" layoutInCell="1" allowOverlap="1" wp14:anchorId="783D985E" wp14:editId="3D41DC27">
                <wp:simplePos x="0" y="0"/>
                <wp:positionH relativeFrom="column">
                  <wp:posOffset>560705</wp:posOffset>
                </wp:positionH>
                <wp:positionV relativeFrom="paragraph">
                  <wp:posOffset>2933065</wp:posOffset>
                </wp:positionV>
                <wp:extent cx="1887220" cy="526415"/>
                <wp:effectExtent l="0" t="0" r="17780" b="26035"/>
                <wp:wrapNone/>
                <wp:docPr id="755500045" name="Rectangle 35"/>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92F568"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sought for retrieval</w:t>
                            </w:r>
                          </w:p>
                          <w:p w14:paraId="05DD7160"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(n = 275)</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D985E" id="Rectangle 35" o:spid="_x0000_s1031" style="position:absolute;margin-left:44.15pt;margin-top:230.95pt;width:148.6pt;height:41.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" filled="f" strokecolor="black [3213]" strokeweight="1pt">
                <v:textbox>
                  <w:txbxContent>
                    <w:p w14:paraId="2992F568"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sought for retrieval</w:t>
                      </w:r>
                    </w:p>
                    <w:p w14:paraId="05DD7160"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(n = 275)</w:t>
                      </w:r>
                    </w:p>
                  </w:txbxContent>
                </v:textbox>
              </v:rect>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56192" behindDoc="0" locked="0" layoutInCell="1" allowOverlap="1" wp14:anchorId="6E0B52C5" wp14:editId="3E5BF678">
                <wp:simplePos x="0" y="0"/>
                <wp:positionH relativeFrom="column">
                  <wp:posOffset>3049270</wp:posOffset>
                </wp:positionH>
                <wp:positionV relativeFrom="paragraph">
                  <wp:posOffset>2952115</wp:posOffset>
                </wp:positionV>
                <wp:extent cx="1887220" cy="526415"/>
                <wp:effectExtent l="0" t="0" r="17780" b="26035"/>
                <wp:wrapNone/>
                <wp:docPr id="1953830462" name="Rectangle 34"/>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31425"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not retrieved</w:t>
                            </w:r>
                          </w:p>
                          <w:p w14:paraId="5D387F9E"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113)</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B52C5" id="Rectangle 34" o:spid="_x0000_s1032" style="position:absolute;margin-left:240.1pt;margin-top:232.45pt;width:148.6pt;height:41.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" filled="f" strokecolor="black [3213]" strokeweight="1pt">
                <v:textbox>
                  <w:txbxContent>
                    <w:p w14:paraId="1B531425"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not retrieved</w:t>
                      </w:r>
                    </w:p>
                    <w:p w14:paraId="5D387F9E"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113)</w:t>
                      </w:r>
                    </w:p>
                  </w:txbxContent>
                </v:textbox>
              </v:rect>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55168" behindDoc="0" locked="0" layoutInCell="1" allowOverlap="1" wp14:anchorId="43733CE3" wp14:editId="42006387">
                <wp:simplePos x="0" y="0"/>
                <wp:positionH relativeFrom="column">
                  <wp:posOffset>561975</wp:posOffset>
                </wp:positionH>
                <wp:positionV relativeFrom="paragraph">
                  <wp:posOffset>3800475</wp:posOffset>
                </wp:positionV>
                <wp:extent cx="1887220" cy="526415"/>
                <wp:effectExtent l="0" t="0" r="17780" b="26035"/>
                <wp:wrapNone/>
                <wp:docPr id="1827301302" name="Rectangle 33"/>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4C8BB"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assessed for eligibility</w:t>
                            </w:r>
                          </w:p>
                          <w:p w14:paraId="1015A333"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162)</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33CE3" id="Rectangle 33" o:spid="_x0000_s1033" style="position:absolute;margin-left:44.25pt;margin-top:299.25pt;width:148.6pt;height:41.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" filled="f" strokecolor="black [3213]" strokeweight="1pt">
                <v:textbox>
                  <w:txbxContent>
                    <w:p w14:paraId="5B84C8BB"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assessed for eligibility</w:t>
                      </w:r>
                    </w:p>
                    <w:p w14:paraId="1015A333"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162)</w:t>
                      </w:r>
                    </w:p>
                  </w:txbxContent>
                </v:textbox>
              </v:rect>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45952" behindDoc="0" locked="0" layoutInCell="1" allowOverlap="1" wp14:anchorId="36F3AAE7" wp14:editId="5B64586C">
                <wp:simplePos x="0" y="0"/>
                <wp:positionH relativeFrom="column">
                  <wp:posOffset>3057525</wp:posOffset>
                </wp:positionH>
                <wp:positionV relativeFrom="paragraph">
                  <wp:posOffset>3797935</wp:posOffset>
                </wp:positionV>
                <wp:extent cx="1887220" cy="1133475"/>
                <wp:effectExtent l="0" t="0" r="17780" b="28575"/>
                <wp:wrapNone/>
                <wp:docPr id="785312466" name="Rectangle 32"/>
                <wp:cNvGraphicFramePr/>
                <a:graphic xmlns:a="http://schemas.openxmlformats.org/drawingml/2006/main">
                  <a:graphicData uri="http://schemas.microsoft.com/office/word/2010/wordprocessingShape">
                    <wps:wsp>
                      <wps:cNvSpPr/>
                      <wps:spPr>
                        <a:xfrm>
                          <a:off x="0" y="0"/>
                          <a:ext cx="1887220" cy="1133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229945"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excluded:</w:t>
                            </w:r>
                          </w:p>
                          <w:p w14:paraId="2F5EB952" w14:textId="77777777" w:rsidR="00373AC9" w:rsidRDefault="00373AC9" w:rsidP="00A4714E">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Methodology (n= 49)</w:t>
                            </w:r>
                          </w:p>
                          <w:p w14:paraId="5FF83CAE" w14:textId="77777777" w:rsidR="00373AC9" w:rsidRDefault="00373AC9" w:rsidP="00A4714E">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Location (n = 3)</w:t>
                            </w:r>
                          </w:p>
                          <w:p w14:paraId="513CBA66" w14:textId="77777777" w:rsidR="00373AC9" w:rsidRDefault="00373AC9" w:rsidP="00A4714E">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Setting (n = 4)</w:t>
                            </w:r>
                          </w:p>
                          <w:p w14:paraId="21C7B712" w14:textId="77777777" w:rsidR="00373AC9" w:rsidRDefault="00373AC9" w:rsidP="00A4714E">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Topic (n = 86)</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3AAE7" id="Rectangle 32" o:spid="_x0000_s1034" style="position:absolute;margin-left:240.75pt;margin-top:299.05pt;width:148.6pt;height:89.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" filled="f" strokecolor="black [3213]" strokeweight="1pt">
                <v:textbox>
                  <w:txbxContent>
                    <w:p w14:paraId="29229945"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excluded:</w:t>
                      </w:r>
                    </w:p>
                    <w:p w14:paraId="2F5EB952" w14:textId="77777777" w:rsidR="00373AC9" w:rsidRDefault="00373AC9" w:rsidP="00A4714E">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Methodology (n= 49)</w:t>
                      </w:r>
                    </w:p>
                    <w:p w14:paraId="5FF83CAE" w14:textId="77777777" w:rsidR="00373AC9" w:rsidRDefault="00373AC9" w:rsidP="00A4714E">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Location (n = 3)</w:t>
                      </w:r>
                    </w:p>
                    <w:p w14:paraId="513CBA66" w14:textId="77777777" w:rsidR="00373AC9" w:rsidRDefault="00373AC9" w:rsidP="00A4714E">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Setting (n = 4)</w:t>
                      </w:r>
                    </w:p>
                    <w:p w14:paraId="21C7B712" w14:textId="77777777" w:rsidR="00373AC9" w:rsidRDefault="00373AC9" w:rsidP="00A4714E">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Topic (n = 86)</w:t>
                      </w:r>
                    </w:p>
                  </w:txbxContent>
                </v:textbox>
              </v:rect>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42880" behindDoc="0" locked="0" layoutInCell="1" allowOverlap="1" wp14:anchorId="3CF042F9" wp14:editId="706AD009">
                <wp:simplePos x="0" y="0"/>
                <wp:positionH relativeFrom="column">
                  <wp:posOffset>2463165</wp:posOffset>
                </wp:positionH>
                <wp:positionV relativeFrom="paragraph">
                  <wp:posOffset>3206115</wp:posOffset>
                </wp:positionV>
                <wp:extent cx="563245" cy="0"/>
                <wp:effectExtent l="0" t="76200" r="27305" b="95250"/>
                <wp:wrapNone/>
                <wp:docPr id="654155467" name="Straight Arrow Connector 31"/>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D3B9D2" id="Straight Arrow Connector 31" o:spid="_x0000_s1026" type="#_x0000_t32" style="position:absolute;margin-left:193.95pt;margin-top:252.45pt;width:44.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" strokecolor="black [3213]" strokeweight=".5pt">
                <v:stroke endarrow="block" joinstyle="miter"/>
              </v:shape>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50048" behindDoc="0" locked="0" layoutInCell="1" allowOverlap="1" wp14:anchorId="6846293D" wp14:editId="699B805D">
                <wp:simplePos x="0" y="0"/>
                <wp:positionH relativeFrom="column">
                  <wp:posOffset>2476500</wp:posOffset>
                </wp:positionH>
                <wp:positionV relativeFrom="paragraph">
                  <wp:posOffset>4081780</wp:posOffset>
                </wp:positionV>
                <wp:extent cx="563245" cy="0"/>
                <wp:effectExtent l="0" t="76200" r="27305" b="95250"/>
                <wp:wrapNone/>
                <wp:docPr id="1075623711" name="Straight Arrow Connector 30"/>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4D683C" id="Straight Arrow Connector 30" o:spid="_x0000_s1026" type="#_x0000_t32" style="position:absolute;margin-left:195pt;margin-top:321.4pt;width:44.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" strokecolor="black [3213]" strokeweight=".5pt">
                <v:stroke endarrow="block" joinstyle="miter"/>
              </v:shape>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48000" behindDoc="0" locked="0" layoutInCell="1" allowOverlap="1" wp14:anchorId="66A900BE" wp14:editId="5B6A1DDE">
                <wp:simplePos x="0" y="0"/>
                <wp:positionH relativeFrom="column">
                  <wp:posOffset>1400175</wp:posOffset>
                </wp:positionH>
                <wp:positionV relativeFrom="paragraph">
                  <wp:posOffset>2624455</wp:posOffset>
                </wp:positionV>
                <wp:extent cx="0" cy="281305"/>
                <wp:effectExtent l="76200" t="0" r="57150" b="61595"/>
                <wp:wrapNone/>
                <wp:docPr id="793164996" name="Straight Arrow Connector 29"/>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379927" id="Straight Arrow Connector 29" o:spid="_x0000_s1026" type="#_x0000_t32" style="position:absolute;margin-left:110.25pt;margin-top:206.65pt;width:0;height:2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" strokecolor="black [3213]" strokeweight=".5pt">
                <v:stroke endarrow="block" joinstyle="miter"/>
              </v:shape>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54144" behindDoc="0" locked="0" layoutInCell="1" allowOverlap="1" wp14:anchorId="7C8E7553" wp14:editId="0C641102">
                <wp:simplePos x="0" y="0"/>
                <wp:positionH relativeFrom="column">
                  <wp:posOffset>1409700</wp:posOffset>
                </wp:positionH>
                <wp:positionV relativeFrom="paragraph">
                  <wp:posOffset>3482975</wp:posOffset>
                </wp:positionV>
                <wp:extent cx="0" cy="281305"/>
                <wp:effectExtent l="76200" t="0" r="57150" b="61595"/>
                <wp:wrapNone/>
                <wp:docPr id="1822504235" name="Straight Arrow Connector 28"/>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99CAA6C" id="Straight Arrow Connector 28" o:spid="_x0000_s1026" type="#_x0000_t32" style="position:absolute;margin-left:111pt;margin-top:274.25pt;width:0;height:2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" strokecolor="black [3213]" strokeweight=".5pt">
                <v:stroke endarrow="block" joinstyle="miter"/>
              </v:shape>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53120" behindDoc="0" locked="0" layoutInCell="1" allowOverlap="1" wp14:anchorId="0037FE79" wp14:editId="7A677E33">
                <wp:simplePos x="0" y="0"/>
                <wp:positionH relativeFrom="column">
                  <wp:posOffset>1400810</wp:posOffset>
                </wp:positionH>
                <wp:positionV relativeFrom="paragraph">
                  <wp:posOffset>4358005</wp:posOffset>
                </wp:positionV>
                <wp:extent cx="0" cy="746125"/>
                <wp:effectExtent l="76200" t="0" r="57150" b="53975"/>
                <wp:wrapNone/>
                <wp:docPr id="1699501823" name="Straight Arrow Connector 27"/>
                <wp:cNvGraphicFramePr/>
                <a:graphic xmlns:a="http://schemas.openxmlformats.org/drawingml/2006/main">
                  <a:graphicData uri="http://schemas.microsoft.com/office/word/2010/wordprocessingShape">
                    <wps:wsp>
                      <wps:cNvCnPr/>
                      <wps:spPr>
                        <a:xfrm>
                          <a:off x="0" y="0"/>
                          <a:ext cx="0" cy="746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3801095" id="Straight Arrow Connector 27" o:spid="_x0000_s1026" type="#_x0000_t32" style="position:absolute;margin-left:110.3pt;margin-top:343.15pt;width:0;height:5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" strokecolor="black [3213]" strokeweight=".5pt">
                <v:stroke endarrow="block" joinstyle="miter"/>
              </v:shape>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41856" behindDoc="0" locked="0" layoutInCell="1" allowOverlap="1" wp14:anchorId="7F2A0B3F" wp14:editId="69339AF2">
                <wp:simplePos x="0" y="0"/>
                <wp:positionH relativeFrom="column">
                  <wp:posOffset>-133350</wp:posOffset>
                </wp:positionH>
                <wp:positionV relativeFrom="paragraph">
                  <wp:posOffset>5400675</wp:posOffset>
                </wp:positionV>
                <wp:extent cx="764540" cy="262890"/>
                <wp:effectExtent l="3175" t="0" r="19685" b="19685"/>
                <wp:wrapNone/>
                <wp:docPr id="614460034" name="Flowchart: Alternate Process 26"/>
                <wp:cNvGraphicFramePr/>
                <a:graphic xmlns:a="http://schemas.openxmlformats.org/drawingml/2006/main">
                  <a:graphicData uri="http://schemas.microsoft.com/office/word/2010/wordprocessingShape">
                    <wps:wsp>
                      <wps:cNvSpPr/>
                      <wps:spPr>
                        <a:xfrm rot="16200000">
                          <a:off x="0" y="0"/>
                          <a:ext cx="76390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5C6E31E" w14:textId="77777777" w:rsidR="00373AC9" w:rsidRDefault="00373AC9" w:rsidP="00A4714E">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A0B3F" id="Flowchart: Alternate Process 26" o:spid="_x0000_s1035" type="#_x0000_t176" style="position:absolute;margin-left:-10.5pt;margin-top:425.25pt;width:60.2pt;height:20.7pt;rotation:-9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" fillcolor="#d86dcb [1944]" strokecolor="black [3213]" strokeweight="1pt">
                <v:textbox>
                  <w:txbxContent>
                    <w:p w14:paraId="05C6E31E" w14:textId="77777777" w:rsidR="00373AC9" w:rsidRDefault="00373AC9" w:rsidP="00A4714E">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40832" behindDoc="0" locked="0" layoutInCell="1" allowOverlap="1" wp14:anchorId="0AFE5EEF" wp14:editId="7C9500FA">
                <wp:simplePos x="0" y="0"/>
                <wp:positionH relativeFrom="column">
                  <wp:posOffset>-403860</wp:posOffset>
                </wp:positionH>
                <wp:positionV relativeFrom="paragraph">
                  <wp:posOffset>943610</wp:posOffset>
                </wp:positionV>
                <wp:extent cx="1276985" cy="262890"/>
                <wp:effectExtent l="0" t="7302" r="11112" b="11113"/>
                <wp:wrapNone/>
                <wp:docPr id="377704124" name="Flowchart: Alternate Process 25"/>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A03A481" w14:textId="77777777" w:rsidR="00373AC9" w:rsidRDefault="00373AC9" w:rsidP="00A4714E">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Identification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E5EEF" id="Flowchart: Alternate Process 25" o:spid="_x0000_s1036" type="#_x0000_t176" style="position:absolute;margin-left:-31.8pt;margin-top:74.3pt;width:100.55pt;height:20.7pt;rotation:-9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" fillcolor="#d86dcb [1944]" strokecolor="black [3213]" strokeweight="1pt">
                <v:textbox>
                  <w:txbxContent>
                    <w:p w14:paraId="3A03A481" w14:textId="77777777" w:rsidR="00373AC9" w:rsidRDefault="00373AC9" w:rsidP="00A4714E">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Identification</w:t>
                      </w:r>
                    </w:p>
                  </w:txbxContent>
                </v:textbox>
              </v:shape>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46976" behindDoc="0" locked="0" layoutInCell="1" allowOverlap="1" wp14:anchorId="5B8CC007" wp14:editId="498FB89C">
                <wp:simplePos x="0" y="0"/>
                <wp:positionH relativeFrom="column">
                  <wp:posOffset>559435</wp:posOffset>
                </wp:positionH>
                <wp:positionV relativeFrom="paragraph">
                  <wp:posOffset>437515</wp:posOffset>
                </wp:positionV>
                <wp:extent cx="1887220" cy="1243330"/>
                <wp:effectExtent l="0" t="0" r="17780" b="13970"/>
                <wp:wrapNone/>
                <wp:docPr id="790249104" name="Rectangle 24"/>
                <wp:cNvGraphicFramePr/>
                <a:graphic xmlns:a="http://schemas.openxmlformats.org/drawingml/2006/main">
                  <a:graphicData uri="http://schemas.microsoft.com/office/word/2010/wordprocessingShape">
                    <wps:wsp>
                      <wps:cNvSpPr/>
                      <wps:spPr>
                        <a:xfrm>
                          <a:off x="0" y="0"/>
                          <a:ext cx="1887220" cy="12433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AC1F4"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identified from*:</w:t>
                            </w:r>
                          </w:p>
                          <w:p w14:paraId="557F865B" w14:textId="77777777" w:rsidR="00373AC9" w:rsidRDefault="00373AC9" w:rsidP="00A4714E">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Databases (n = 769)</w:t>
                            </w:r>
                            <w:r>
                              <w:rPr>
                                <w:rFonts w:ascii="Arial" w:hAnsi="Arial" w:cs="Arial"/>
                                <w:color w:val="000000" w:themeColor="text1"/>
                                <w:sz w:val="18"/>
                                <w:szCs w:val="20"/>
                              </w:rPr>
                              <w:br/>
                              <w:t>(Education Source, ERIC, PsycInfo, PsycArticles, Education Database, Web of Science, Google Scholar)</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CC007" id="Rectangle 24" o:spid="_x0000_s1037" style="position:absolute;margin-left:44.05pt;margin-top:34.45pt;width:148.6pt;height:97.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" filled="f" strokecolor="black [3213]" strokeweight="1pt">
                <v:textbox>
                  <w:txbxContent>
                    <w:p w14:paraId="38CAC1F4"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identified from*:</w:t>
                      </w:r>
                    </w:p>
                    <w:p w14:paraId="557F865B" w14:textId="77777777" w:rsidR="00373AC9" w:rsidRDefault="00373AC9" w:rsidP="00A4714E">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Databases (n = 769)</w:t>
                      </w:r>
                      <w:r>
                        <w:rPr>
                          <w:rFonts w:ascii="Arial" w:hAnsi="Arial" w:cs="Arial"/>
                          <w:color w:val="000000" w:themeColor="text1"/>
                          <w:sz w:val="18"/>
                          <w:szCs w:val="20"/>
                        </w:rPr>
                        <w:br/>
                        <w:t>(Education Source, ERIC, PsycInfo, PsycArticles, Education Database, Web of Science, Google Scholar)</w:t>
                      </w:r>
                    </w:p>
                  </w:txbxContent>
                </v:textbox>
              </v:rect>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49024" behindDoc="0" locked="0" layoutInCell="1" allowOverlap="1" wp14:anchorId="41AFB824" wp14:editId="05928EB5">
                <wp:simplePos x="0" y="0"/>
                <wp:positionH relativeFrom="column">
                  <wp:posOffset>3039745</wp:posOffset>
                </wp:positionH>
                <wp:positionV relativeFrom="paragraph">
                  <wp:posOffset>437515</wp:posOffset>
                </wp:positionV>
                <wp:extent cx="1887220" cy="1242695"/>
                <wp:effectExtent l="0" t="0" r="17780" b="14605"/>
                <wp:wrapNone/>
                <wp:docPr id="950332534" name="Rectangle 23"/>
                <wp:cNvGraphicFramePr/>
                <a:graphic xmlns:a="http://schemas.openxmlformats.org/drawingml/2006/main">
                  <a:graphicData uri="http://schemas.microsoft.com/office/word/2010/wordprocessingShape">
                    <wps:wsp>
                      <wps:cNvSpPr/>
                      <wps:spPr>
                        <a:xfrm>
                          <a:off x="0" y="0"/>
                          <a:ext cx="1887220" cy="12426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22D4C"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Records removed </w:t>
                            </w:r>
                            <w:r>
                              <w:rPr>
                                <w:rFonts w:ascii="Arial" w:hAnsi="Arial" w:cs="Arial"/>
                                <w:i/>
                                <w:iCs/>
                                <w:color w:val="000000" w:themeColor="text1"/>
                                <w:sz w:val="18"/>
                                <w:szCs w:val="20"/>
                              </w:rPr>
                              <w:t>before screening</w:t>
                            </w:r>
                            <w:r>
                              <w:rPr>
                                <w:rFonts w:ascii="Arial" w:hAnsi="Arial" w:cs="Arial"/>
                                <w:color w:val="000000" w:themeColor="text1"/>
                                <w:sz w:val="18"/>
                                <w:szCs w:val="20"/>
                              </w:rPr>
                              <w:t>:</w:t>
                            </w:r>
                          </w:p>
                          <w:p w14:paraId="23A08717" w14:textId="77777777" w:rsidR="00373AC9" w:rsidRDefault="00373AC9" w:rsidP="00A4714E">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 xml:space="preserve">Duplicate records </w:t>
                            </w:r>
                            <w:proofErr w:type="gramStart"/>
                            <w:r>
                              <w:rPr>
                                <w:rFonts w:ascii="Arial" w:hAnsi="Arial" w:cs="Arial"/>
                                <w:color w:val="000000" w:themeColor="text1"/>
                                <w:sz w:val="18"/>
                                <w:szCs w:val="20"/>
                              </w:rPr>
                              <w:t>removed  (</w:t>
                            </w:r>
                            <w:proofErr w:type="gramEnd"/>
                            <w:r>
                              <w:rPr>
                                <w:rFonts w:ascii="Arial" w:hAnsi="Arial" w:cs="Arial"/>
                                <w:color w:val="000000" w:themeColor="text1"/>
                                <w:sz w:val="18"/>
                                <w:szCs w:val="20"/>
                              </w:rPr>
                              <w:t>n = 272)</w:t>
                            </w:r>
                          </w:p>
                          <w:p w14:paraId="606B45F6" w14:textId="77777777" w:rsidR="00373AC9" w:rsidRDefault="00373AC9" w:rsidP="00A4714E">
                            <w:pPr>
                              <w:spacing w:after="0" w:line="240" w:lineRule="auto"/>
                              <w:ind w:left="284"/>
                              <w:rPr>
                                <w:rFonts w:ascii="Arial" w:hAnsi="Arial" w:cs="Arial"/>
                                <w:color w:val="000000" w:themeColor="text1"/>
                                <w:sz w:val="18"/>
                                <w:szCs w:val="20"/>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FB824" id="Rectangle 23" o:spid="_x0000_s1038" style="position:absolute;margin-left:239.35pt;margin-top:34.45pt;width:148.6pt;height:97.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" filled="f" strokecolor="black [3213]" strokeweight="1pt">
                <v:textbox>
                  <w:txbxContent>
                    <w:p w14:paraId="18522D4C"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Records removed </w:t>
                      </w:r>
                      <w:r>
                        <w:rPr>
                          <w:rFonts w:ascii="Arial" w:hAnsi="Arial" w:cs="Arial"/>
                          <w:i/>
                          <w:iCs/>
                          <w:color w:val="000000" w:themeColor="text1"/>
                          <w:sz w:val="18"/>
                          <w:szCs w:val="20"/>
                        </w:rPr>
                        <w:t>before screening</w:t>
                      </w:r>
                      <w:r>
                        <w:rPr>
                          <w:rFonts w:ascii="Arial" w:hAnsi="Arial" w:cs="Arial"/>
                          <w:color w:val="000000" w:themeColor="text1"/>
                          <w:sz w:val="18"/>
                          <w:szCs w:val="20"/>
                        </w:rPr>
                        <w:t>:</w:t>
                      </w:r>
                    </w:p>
                    <w:p w14:paraId="23A08717" w14:textId="77777777" w:rsidR="00373AC9" w:rsidRDefault="00373AC9" w:rsidP="00A4714E">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 xml:space="preserve">Duplicate records </w:t>
                      </w:r>
                      <w:proofErr w:type="gramStart"/>
                      <w:r>
                        <w:rPr>
                          <w:rFonts w:ascii="Arial" w:hAnsi="Arial" w:cs="Arial"/>
                          <w:color w:val="000000" w:themeColor="text1"/>
                          <w:sz w:val="18"/>
                          <w:szCs w:val="20"/>
                        </w:rPr>
                        <w:t>removed  (</w:t>
                      </w:r>
                      <w:proofErr w:type="gramEnd"/>
                      <w:r>
                        <w:rPr>
                          <w:rFonts w:ascii="Arial" w:hAnsi="Arial" w:cs="Arial"/>
                          <w:color w:val="000000" w:themeColor="text1"/>
                          <w:sz w:val="18"/>
                          <w:szCs w:val="20"/>
                        </w:rPr>
                        <w:t>n = 272)</w:t>
                      </w:r>
                    </w:p>
                    <w:p w14:paraId="606B45F6" w14:textId="77777777" w:rsidR="00373AC9" w:rsidRDefault="00373AC9" w:rsidP="00A4714E">
                      <w:pPr>
                        <w:spacing w:after="0" w:line="240" w:lineRule="auto"/>
                        <w:ind w:left="284"/>
                        <w:rPr>
                          <w:rFonts w:ascii="Arial" w:hAnsi="Arial" w:cs="Arial"/>
                          <w:color w:val="000000" w:themeColor="text1"/>
                          <w:sz w:val="18"/>
                          <w:szCs w:val="20"/>
                        </w:rPr>
                      </w:pPr>
                    </w:p>
                  </w:txbxContent>
                </v:textbox>
              </v:rect>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51072" behindDoc="0" locked="0" layoutInCell="1" allowOverlap="1" wp14:anchorId="0D3810A0" wp14:editId="385B47BC">
                <wp:simplePos x="0" y="0"/>
                <wp:positionH relativeFrom="column">
                  <wp:posOffset>2454275</wp:posOffset>
                </wp:positionH>
                <wp:positionV relativeFrom="paragraph">
                  <wp:posOffset>1091565</wp:posOffset>
                </wp:positionV>
                <wp:extent cx="563245" cy="0"/>
                <wp:effectExtent l="0" t="76200" r="27305" b="95250"/>
                <wp:wrapNone/>
                <wp:docPr id="1382423255" name="Straight Arrow Connector 22"/>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D1DD65E" id="Straight Arrow Connector 22" o:spid="_x0000_s1026" type="#_x0000_t32" style="position:absolute;margin-left:193.25pt;margin-top:85.95pt;width:44.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" strokecolor="black [3213]" strokeweight=".5pt">
                <v:stroke endarrow="block" joinstyle="miter"/>
              </v:shape>
            </w:pict>
          </mc:Fallback>
        </mc:AlternateContent>
      </w:r>
    </w:p>
    <w:p w14:paraId="5EE049D0" w14:textId="77777777" w:rsidR="00A4714E" w:rsidRPr="00A4714E" w:rsidRDefault="00A4714E" w:rsidP="009E2C2B">
      <w:pPr>
        <w:spacing w:after="0" w:line="480" w:lineRule="auto"/>
        <w:rPr>
          <w:rFonts w:ascii="Times New Roman" w:eastAsia="Times New Roman" w:hAnsi="Times New Roman" w:cs="Times New Roman"/>
          <w:lang w:val="en-AU"/>
        </w:rPr>
      </w:pPr>
    </w:p>
    <w:p w14:paraId="5D7C889A" w14:textId="77777777" w:rsidR="00A4714E" w:rsidRPr="00A4714E" w:rsidRDefault="00A4714E" w:rsidP="009E2C2B">
      <w:pPr>
        <w:spacing w:after="0" w:line="480" w:lineRule="auto"/>
        <w:rPr>
          <w:rFonts w:ascii="Times New Roman" w:eastAsia="Times New Roman" w:hAnsi="Times New Roman" w:cs="Times New Roman"/>
          <w:lang w:val="en-AU"/>
        </w:rPr>
      </w:pPr>
    </w:p>
    <w:p w14:paraId="0D916632" w14:textId="77777777" w:rsidR="00A4714E" w:rsidRPr="00A4714E" w:rsidRDefault="00A4714E" w:rsidP="009E2C2B">
      <w:pPr>
        <w:spacing w:after="0" w:line="480" w:lineRule="auto"/>
        <w:rPr>
          <w:rFonts w:ascii="Times New Roman" w:eastAsia="Times New Roman" w:hAnsi="Times New Roman" w:cs="Times New Roman"/>
          <w:lang w:val="en-AU"/>
        </w:rPr>
      </w:pPr>
    </w:p>
    <w:p w14:paraId="1E0A555F" w14:textId="77777777" w:rsidR="00A4714E" w:rsidRPr="00A4714E" w:rsidRDefault="00A4714E" w:rsidP="009E2C2B">
      <w:pPr>
        <w:spacing w:after="0" w:line="480" w:lineRule="auto"/>
        <w:rPr>
          <w:rFonts w:ascii="Times New Roman" w:eastAsia="Times New Roman" w:hAnsi="Times New Roman" w:cs="Times New Roman"/>
          <w:lang w:val="en-AU"/>
        </w:rPr>
      </w:pPr>
    </w:p>
    <w:p w14:paraId="0D79E2C0" w14:textId="77777777" w:rsidR="00A4714E" w:rsidRPr="00A4714E" w:rsidRDefault="00A4714E" w:rsidP="009E2C2B">
      <w:pPr>
        <w:spacing w:after="0" w:line="480" w:lineRule="auto"/>
        <w:rPr>
          <w:rFonts w:ascii="Times New Roman" w:eastAsia="Times New Roman" w:hAnsi="Times New Roman" w:cs="Times New Roman"/>
          <w:lang w:val="en-AU"/>
        </w:rPr>
      </w:pPr>
    </w:p>
    <w:p w14:paraId="17FC8CEF" w14:textId="77777777" w:rsidR="00A4714E" w:rsidRPr="00A4714E" w:rsidRDefault="00A4714E" w:rsidP="009E2C2B">
      <w:pPr>
        <w:spacing w:after="0" w:line="480" w:lineRule="auto"/>
        <w:rPr>
          <w:rFonts w:ascii="Times New Roman" w:eastAsia="Times New Roman" w:hAnsi="Times New Roman" w:cs="Times New Roman"/>
          <w:lang w:val="en-AU"/>
        </w:rPr>
      </w:pPr>
    </w:p>
    <w:p w14:paraId="4EB7749B" w14:textId="77777777" w:rsidR="00A4714E" w:rsidRPr="00A4714E" w:rsidRDefault="00A4714E" w:rsidP="009E2C2B">
      <w:pPr>
        <w:spacing w:after="0" w:line="480" w:lineRule="auto"/>
        <w:rPr>
          <w:rFonts w:ascii="Times New Roman" w:eastAsia="Times New Roman" w:hAnsi="Times New Roman" w:cs="Times New Roman"/>
          <w:lang w:val="en-AU"/>
        </w:rPr>
      </w:pPr>
    </w:p>
    <w:p w14:paraId="6F013898" w14:textId="77777777" w:rsidR="00A4714E" w:rsidRPr="00A4714E" w:rsidRDefault="00A4714E" w:rsidP="009E2C2B">
      <w:pPr>
        <w:spacing w:after="0" w:line="480" w:lineRule="auto"/>
        <w:rPr>
          <w:rFonts w:ascii="Times New Roman" w:eastAsia="Times New Roman" w:hAnsi="Times New Roman" w:cs="Times New Roman"/>
          <w:lang w:val="en-AU"/>
        </w:rPr>
      </w:pPr>
    </w:p>
    <w:p w14:paraId="1CE51AB4" w14:textId="77777777" w:rsidR="00A4714E" w:rsidRPr="00A4714E" w:rsidRDefault="00A4714E" w:rsidP="009E2C2B">
      <w:pPr>
        <w:spacing w:after="0" w:line="480" w:lineRule="auto"/>
        <w:rPr>
          <w:rFonts w:ascii="Times New Roman" w:eastAsia="Times New Roman" w:hAnsi="Times New Roman" w:cs="Times New Roman"/>
          <w:lang w:val="en-AU"/>
        </w:rPr>
      </w:pPr>
    </w:p>
    <w:p w14:paraId="1C3E2C0E" w14:textId="77777777" w:rsidR="00A4714E" w:rsidRPr="00A4714E" w:rsidRDefault="00A4714E" w:rsidP="009E2C2B">
      <w:pPr>
        <w:spacing w:after="0" w:line="480" w:lineRule="auto"/>
        <w:rPr>
          <w:rFonts w:ascii="Times New Roman" w:eastAsia="Times New Roman" w:hAnsi="Times New Roman" w:cs="Times New Roman"/>
          <w:lang w:val="en-AU"/>
        </w:rPr>
      </w:pPr>
    </w:p>
    <w:p w14:paraId="182CE590" w14:textId="77777777" w:rsidR="00A4714E" w:rsidRPr="00A4714E" w:rsidRDefault="00A4714E" w:rsidP="009E2C2B">
      <w:pPr>
        <w:spacing w:after="0" w:line="480" w:lineRule="auto"/>
        <w:rPr>
          <w:rFonts w:ascii="Times New Roman" w:eastAsia="Times New Roman" w:hAnsi="Times New Roman" w:cs="Times New Roman"/>
          <w:lang w:val="en-AU"/>
        </w:rPr>
      </w:pPr>
    </w:p>
    <w:p w14:paraId="690FB3D4" w14:textId="7AC4D578" w:rsidR="00496CFF" w:rsidRPr="009E2C2B" w:rsidRDefault="00496CFF" w:rsidP="00925345">
      <w:pPr>
        <w:spacing w:after="0" w:line="480" w:lineRule="auto"/>
        <w:rPr>
          <w:rFonts w:ascii="Times New Roman" w:eastAsia="Times New Roman" w:hAnsi="Times New Roman" w:cs="Times New Roman"/>
        </w:rPr>
      </w:pPr>
    </w:p>
    <w:sectPr w:rsidR="00496CFF" w:rsidRPr="009E2C2B">
      <w:headerReference w:type="even" r:id="rId64"/>
      <w:headerReference w:type="default" r:id="rId65"/>
      <w:headerReference w:type="first" r:id="rId66"/>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JL TEAM REVIW" w:date="2025-12-19T12:04:00Z" w:initials="ATR">
    <w:p w14:paraId="3ECFAE9B" w14:textId="77777777" w:rsidR="00C74022" w:rsidRDefault="00C74022" w:rsidP="00C74022">
      <w:pPr>
        <w:pStyle w:val="CommentText"/>
      </w:pPr>
      <w:r>
        <w:rPr>
          <w:rStyle w:val="CommentReference"/>
        </w:rPr>
        <w:annotationRef/>
      </w:r>
      <w:r>
        <w:t>Include at least five keywords at the end of the abstract</w:t>
      </w:r>
    </w:p>
  </w:comment>
  <w:comment w:id="1" w:author="AJL TEAM REVIW" w:date="2025-12-19T12:11:00Z" w:initials="ATR">
    <w:p w14:paraId="5B96149A" w14:textId="77777777" w:rsidR="00C74022" w:rsidRDefault="00C74022" w:rsidP="00C74022">
      <w:pPr>
        <w:pStyle w:val="CommentText"/>
      </w:pPr>
      <w:r>
        <w:rPr>
          <w:rStyle w:val="CommentReference"/>
        </w:rPr>
        <w:annotationRef/>
      </w:r>
      <w:r>
        <w:t>Move citation to the end of the sentence</w:t>
      </w:r>
    </w:p>
  </w:comment>
  <w:comment w:id="2" w:author="AJL TEAM REVIW" w:date="2025-12-19T12:15:00Z" w:initials="ATR">
    <w:p w14:paraId="487DAC48" w14:textId="77777777" w:rsidR="002C34B9" w:rsidRDefault="002C34B9" w:rsidP="002C34B9">
      <w:pPr>
        <w:pStyle w:val="CommentText"/>
      </w:pPr>
      <w:r>
        <w:rPr>
          <w:rStyle w:val="CommentReference"/>
        </w:rPr>
        <w:annotationRef/>
      </w:r>
      <w:r>
        <w:t>Write out what SWD stands for to enable readers understand better</w:t>
      </w:r>
    </w:p>
  </w:comment>
  <w:comment w:id="3" w:author="AJL TEAM REVIW" w:date="2025-12-19T12:16:00Z" w:initials="ATR">
    <w:p w14:paraId="1061F7B0" w14:textId="77777777" w:rsidR="002C34B9" w:rsidRDefault="002C34B9" w:rsidP="002C34B9">
      <w:pPr>
        <w:pStyle w:val="CommentText"/>
      </w:pPr>
      <w:r>
        <w:rPr>
          <w:rStyle w:val="CommentReference"/>
        </w:rPr>
        <w:annotationRef/>
      </w:r>
      <w:r>
        <w:t>Not clear. Recast</w:t>
      </w:r>
    </w:p>
  </w:comment>
  <w:comment w:id="4" w:author="AJL TEAM REVIW" w:date="2025-12-19T12:19:00Z" w:initials="ATR">
    <w:p w14:paraId="47EADE3C" w14:textId="77777777" w:rsidR="002C34B9" w:rsidRDefault="002C34B9" w:rsidP="002C34B9">
      <w:pPr>
        <w:pStyle w:val="CommentText"/>
      </w:pPr>
      <w:r>
        <w:rPr>
          <w:rStyle w:val="CommentReference"/>
        </w:rPr>
        <w:annotationRef/>
      </w:r>
      <w:r>
        <w:t>Too long and clumsy. Break into shorter sentences for clarity and readability</w:t>
      </w:r>
    </w:p>
  </w:comment>
  <w:comment w:id="7" w:author="AJL TEAM REVIW" w:date="2025-12-19T12:38:00Z" w:initials="ATR">
    <w:p w14:paraId="4CA9215C" w14:textId="77777777" w:rsidR="00795F32" w:rsidRDefault="00795F32" w:rsidP="00795F32">
      <w:pPr>
        <w:pStyle w:val="CommentText"/>
      </w:pPr>
      <w:r>
        <w:rPr>
          <w:rStyle w:val="CommentReference"/>
        </w:rPr>
        <w:annotationRef/>
      </w:r>
      <w:r>
        <w:t>Write “Would not”</w:t>
      </w:r>
    </w:p>
  </w:comment>
  <w:comment w:id="8" w:author="AJL TEAM REVIW" w:date="2025-12-19T12:38:00Z" w:initials="ATR">
    <w:p w14:paraId="6DD178DD" w14:textId="77777777" w:rsidR="00795F32" w:rsidRDefault="00795F32" w:rsidP="00795F32">
      <w:pPr>
        <w:pStyle w:val="CommentText"/>
      </w:pPr>
      <w:r>
        <w:rPr>
          <w:rStyle w:val="CommentReference"/>
        </w:rPr>
        <w:annotationRef/>
      </w:r>
      <w:r>
        <w:t>Write “did not”</w:t>
      </w:r>
    </w:p>
  </w:comment>
  <w:comment w:id="9" w:author="AJL TEAM REVIW" w:date="2025-12-19T12:39:00Z" w:initials="ATR">
    <w:p w14:paraId="4A0C26B1" w14:textId="77777777" w:rsidR="00795F32" w:rsidRDefault="00795F32" w:rsidP="00795F32">
      <w:pPr>
        <w:pStyle w:val="CommentText"/>
      </w:pPr>
      <w:r>
        <w:rPr>
          <w:rStyle w:val="CommentReference"/>
        </w:rPr>
        <w:annotationRef/>
      </w:r>
      <w:r>
        <w:t>Add coma after “Do”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ECFAE9B" w15:done="0"/>
  <w15:commentEx w15:paraId="5B96149A" w15:done="0"/>
  <w15:commentEx w15:paraId="487DAC48" w15:done="0"/>
  <w15:commentEx w15:paraId="1061F7B0" w15:done="0"/>
  <w15:commentEx w15:paraId="47EADE3C" w15:paraIdParent="1061F7B0" w15:done="0"/>
  <w15:commentEx w15:paraId="4CA9215C" w15:done="0"/>
  <w15:commentEx w15:paraId="6DD178DD" w15:done="0"/>
  <w15:commentEx w15:paraId="4A0C26B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68B9010" w16cex:dateUtc="2025-12-19T11:04:00Z"/>
  <w16cex:commentExtensible w16cex:durableId="5C720B83" w16cex:dateUtc="2025-12-19T11:11:00Z"/>
  <w16cex:commentExtensible w16cex:durableId="199EB0B6" w16cex:dateUtc="2025-12-19T11:15:00Z"/>
  <w16cex:commentExtensible w16cex:durableId="2C42EF3C" w16cex:dateUtc="2025-12-19T11:16:00Z"/>
  <w16cex:commentExtensible w16cex:durableId="5E20389E" w16cex:dateUtc="2025-12-19T11:19:00Z"/>
  <w16cex:commentExtensible w16cex:durableId="50F4CC53" w16cex:dateUtc="2025-12-19T11:38:00Z"/>
  <w16cex:commentExtensible w16cex:durableId="387A44A0" w16cex:dateUtc="2025-12-19T11:38:00Z"/>
  <w16cex:commentExtensible w16cex:durableId="771CEE42" w16cex:dateUtc="2025-12-19T11: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ECFAE9B" w16cid:durableId="268B9010"/>
  <w16cid:commentId w16cid:paraId="5B96149A" w16cid:durableId="5C720B83"/>
  <w16cid:commentId w16cid:paraId="487DAC48" w16cid:durableId="199EB0B6"/>
  <w16cid:commentId w16cid:paraId="1061F7B0" w16cid:durableId="2C42EF3C"/>
  <w16cid:commentId w16cid:paraId="47EADE3C" w16cid:durableId="5E20389E"/>
  <w16cid:commentId w16cid:paraId="4CA9215C" w16cid:durableId="50F4CC53"/>
  <w16cid:commentId w16cid:paraId="6DD178DD" w16cid:durableId="387A44A0"/>
  <w16cid:commentId w16cid:paraId="4A0C26B1" w16cid:durableId="771CEE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F9262" w14:textId="77777777" w:rsidR="00CB6E93" w:rsidRDefault="00CB6E93" w:rsidP="00A4714E">
      <w:pPr>
        <w:spacing w:after="0" w:line="240" w:lineRule="auto"/>
      </w:pPr>
      <w:r>
        <w:separator/>
      </w:r>
    </w:p>
  </w:endnote>
  <w:endnote w:type="continuationSeparator" w:id="0">
    <w:p w14:paraId="614625A7" w14:textId="77777777" w:rsidR="00CB6E93" w:rsidRDefault="00CB6E93" w:rsidP="00A47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2D11869E-C16E-4FB2-91F7-85E0D75D4DFF}"/>
    <w:embedBold r:id="rId2" w:fontKey="{C600F08B-D103-4E03-B5B2-DB328270F504}"/>
    <w:embedItalic r:id="rId3" w:fontKey="{2B70248D-68F0-482A-87A3-B88CF6DD5D9C}"/>
  </w:font>
  <w:font w:name="Aptos Display">
    <w:charset w:val="00"/>
    <w:family w:val="swiss"/>
    <w:pitch w:val="variable"/>
    <w:sig w:usb0="20000287" w:usb1="00000003" w:usb2="00000000" w:usb3="00000000" w:csb0="0000019F" w:csb1="00000000"/>
    <w:embedRegular r:id="rId4" w:fontKey="{554A544F-FB95-40EC-8336-D5781070BA9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99DB6EDB-2618-4E94-A2CB-8EF8691B82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76096" w14:textId="77777777" w:rsidR="008E3024" w:rsidRDefault="008E30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8E8A8" w14:textId="77777777" w:rsidR="008E3024" w:rsidRDefault="008E30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3FDF4" w14:textId="77777777" w:rsidR="008E3024" w:rsidRDefault="008E30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520DF" w14:textId="77777777" w:rsidR="00CB6E93" w:rsidRDefault="00CB6E93" w:rsidP="00A4714E">
      <w:pPr>
        <w:spacing w:after="0" w:line="240" w:lineRule="auto"/>
      </w:pPr>
      <w:r>
        <w:separator/>
      </w:r>
    </w:p>
  </w:footnote>
  <w:footnote w:type="continuationSeparator" w:id="0">
    <w:p w14:paraId="524CF06C" w14:textId="77777777" w:rsidR="00CB6E93" w:rsidRDefault="00CB6E93" w:rsidP="00A471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A6DC8" w14:textId="4F0354EA" w:rsidR="008E3024" w:rsidRDefault="00000000">
    <w:pPr>
      <w:pStyle w:val="Header"/>
    </w:pPr>
    <w:r>
      <w:rPr>
        <w:noProof/>
      </w:rPr>
      <w:pict w14:anchorId="006C1F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19813"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1D3F3" w14:textId="7516EC74" w:rsidR="00373AC9" w:rsidRPr="002646C0" w:rsidRDefault="00000000" w:rsidP="002646C0">
    <w:pPr>
      <w:pStyle w:val="Header"/>
      <w:tabs>
        <w:tab w:val="left" w:pos="1360"/>
      </w:tabs>
      <w:rPr>
        <w:lang w:val="en"/>
      </w:rPr>
    </w:pPr>
    <w:r>
      <w:rPr>
        <w:noProof/>
      </w:rPr>
      <w:pict w14:anchorId="202636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19814"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892B0" w14:textId="4FFBD304" w:rsidR="008E3024" w:rsidRDefault="00000000">
    <w:pPr>
      <w:pStyle w:val="Header"/>
    </w:pPr>
    <w:r>
      <w:rPr>
        <w:noProof/>
      </w:rPr>
      <w:pict w14:anchorId="740DC9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19812"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E049F" w14:textId="1A5CA10D" w:rsidR="008E3024" w:rsidRDefault="00000000">
    <w:pPr>
      <w:pStyle w:val="Header"/>
    </w:pPr>
    <w:r>
      <w:rPr>
        <w:noProof/>
      </w:rPr>
      <w:pict w14:anchorId="2BE564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19816" o:spid="_x0000_s1029" type="#_x0000_t136" style="position:absolute;margin-left:0;margin-top:0;width:592.85pt;height:66.9pt;rotation:315;z-index:-251649024;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59396" w14:textId="2C533394" w:rsidR="00373AC9" w:rsidRPr="002646C0" w:rsidRDefault="00000000" w:rsidP="002646C0">
    <w:pPr>
      <w:pStyle w:val="Header"/>
      <w:tabs>
        <w:tab w:val="left" w:pos="1360"/>
      </w:tabs>
      <w:rPr>
        <w:lang w:val="en"/>
      </w:rPr>
    </w:pPr>
    <w:r>
      <w:rPr>
        <w:noProof/>
      </w:rPr>
      <w:pict w14:anchorId="7F2793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19817" o:spid="_x0000_s1030" type="#_x0000_t136" style="position:absolute;margin-left:0;margin-top:0;width:592.85pt;height:66.9pt;rotation:315;z-index:-25164697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4522C" w14:textId="7354D1DF" w:rsidR="008E3024" w:rsidRDefault="00000000">
    <w:pPr>
      <w:pStyle w:val="Header"/>
    </w:pPr>
    <w:r>
      <w:rPr>
        <w:noProof/>
      </w:rPr>
      <w:pict w14:anchorId="4DB35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19815" o:spid="_x0000_s1028" type="#_x0000_t136" style="position:absolute;margin-left:0;margin-top:0;width:592.85pt;height:66.9pt;rotation:315;z-index:-251651072;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AD19D4"/>
    <w:multiLevelType w:val="multilevel"/>
    <w:tmpl w:val="3AFA05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92837B5"/>
    <w:multiLevelType w:val="multilevel"/>
    <w:tmpl w:val="8DA0DBF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18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18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180"/>
      </w:pPr>
      <w:rPr>
        <w:strike w:val="0"/>
        <w:dstrike w:val="0"/>
        <w:u w:val="none"/>
        <w:effect w:val="none"/>
      </w:rPr>
    </w:lvl>
  </w:abstractNum>
  <w:abstractNum w:abstractNumId="2" w15:restartNumberingAfterBreak="0">
    <w:nsid w:val="49FF785C"/>
    <w:multiLevelType w:val="multilevel"/>
    <w:tmpl w:val="564E7F3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18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18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180"/>
      </w:pPr>
      <w:rPr>
        <w:strike w:val="0"/>
        <w:dstrike w:val="0"/>
        <w:u w:val="none"/>
        <w:effect w:val="none"/>
      </w:rPr>
    </w:lvl>
  </w:abstractNum>
  <w:abstractNum w:abstractNumId="3" w15:restartNumberingAfterBreak="0">
    <w:nsid w:val="543C3E47"/>
    <w:multiLevelType w:val="multilevel"/>
    <w:tmpl w:val="C71E62C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70C45460"/>
    <w:multiLevelType w:val="multilevel"/>
    <w:tmpl w:val="36C224C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 w15:restartNumberingAfterBreak="0">
    <w:nsid w:val="7F6354BF"/>
    <w:multiLevelType w:val="multilevel"/>
    <w:tmpl w:val="BC90603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16cid:durableId="1744713497">
    <w:abstractNumId w:val="0"/>
  </w:num>
  <w:num w:numId="2" w16cid:durableId="724304106">
    <w:abstractNumId w:val="3"/>
  </w:num>
  <w:num w:numId="3" w16cid:durableId="7664675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019951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607818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883629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JL TEAM REVIW">
    <w15:presenceInfo w15:providerId="None" w15:userId="AJL TEAM REVI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CFF"/>
    <w:rsid w:val="00003D34"/>
    <w:rsid w:val="000129E4"/>
    <w:rsid w:val="0002118A"/>
    <w:rsid w:val="00035FDF"/>
    <w:rsid w:val="00052222"/>
    <w:rsid w:val="000552E5"/>
    <w:rsid w:val="00086E1C"/>
    <w:rsid w:val="001A4CC8"/>
    <w:rsid w:val="001C21BB"/>
    <w:rsid w:val="001F746B"/>
    <w:rsid w:val="002129C6"/>
    <w:rsid w:val="00246843"/>
    <w:rsid w:val="002646C0"/>
    <w:rsid w:val="00267059"/>
    <w:rsid w:val="002C34B9"/>
    <w:rsid w:val="002C3859"/>
    <w:rsid w:val="002F345B"/>
    <w:rsid w:val="00340C3C"/>
    <w:rsid w:val="00373AC9"/>
    <w:rsid w:val="00374714"/>
    <w:rsid w:val="004233A0"/>
    <w:rsid w:val="00425083"/>
    <w:rsid w:val="00431BD9"/>
    <w:rsid w:val="004848E3"/>
    <w:rsid w:val="00496CFF"/>
    <w:rsid w:val="004D4C86"/>
    <w:rsid w:val="005A4197"/>
    <w:rsid w:val="005B542F"/>
    <w:rsid w:val="005D7D7A"/>
    <w:rsid w:val="006371DC"/>
    <w:rsid w:val="006731B7"/>
    <w:rsid w:val="006947AA"/>
    <w:rsid w:val="00695EBA"/>
    <w:rsid w:val="006C1507"/>
    <w:rsid w:val="00706103"/>
    <w:rsid w:val="00714229"/>
    <w:rsid w:val="00741F88"/>
    <w:rsid w:val="00773DAB"/>
    <w:rsid w:val="00784B96"/>
    <w:rsid w:val="00795F32"/>
    <w:rsid w:val="007A0324"/>
    <w:rsid w:val="007B17BC"/>
    <w:rsid w:val="007B236C"/>
    <w:rsid w:val="007E6C12"/>
    <w:rsid w:val="00833260"/>
    <w:rsid w:val="00843D4F"/>
    <w:rsid w:val="008779A5"/>
    <w:rsid w:val="008E3024"/>
    <w:rsid w:val="008F3459"/>
    <w:rsid w:val="00912E38"/>
    <w:rsid w:val="00920D27"/>
    <w:rsid w:val="00925345"/>
    <w:rsid w:val="00957348"/>
    <w:rsid w:val="009E2C2B"/>
    <w:rsid w:val="00A428CE"/>
    <w:rsid w:val="00A4714E"/>
    <w:rsid w:val="00A66B4E"/>
    <w:rsid w:val="00A957BA"/>
    <w:rsid w:val="00AA2B67"/>
    <w:rsid w:val="00AD5C93"/>
    <w:rsid w:val="00B3471C"/>
    <w:rsid w:val="00B426A3"/>
    <w:rsid w:val="00B61F76"/>
    <w:rsid w:val="00BC429E"/>
    <w:rsid w:val="00C5520F"/>
    <w:rsid w:val="00C64BB0"/>
    <w:rsid w:val="00C65CFC"/>
    <w:rsid w:val="00C74022"/>
    <w:rsid w:val="00C86292"/>
    <w:rsid w:val="00CB6E93"/>
    <w:rsid w:val="00CC7D76"/>
    <w:rsid w:val="00D0402D"/>
    <w:rsid w:val="00D10157"/>
    <w:rsid w:val="00D53B79"/>
    <w:rsid w:val="00D97E4E"/>
    <w:rsid w:val="00DF2AF6"/>
    <w:rsid w:val="00E72BBF"/>
    <w:rsid w:val="00E77725"/>
    <w:rsid w:val="00EB5089"/>
    <w:rsid w:val="00F059DD"/>
    <w:rsid w:val="00F22400"/>
    <w:rsid w:val="00F34DF4"/>
    <w:rsid w:val="00F35987"/>
    <w:rsid w:val="00FA3728"/>
    <w:rsid w:val="00FF6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C465D"/>
  <w15:docId w15:val="{86DBB7FC-81EE-40D9-B780-0D548909D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3D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03D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03D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3D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3D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3D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3D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3D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3D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3D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03D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3D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3D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3D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3D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3D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3D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3D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3DC2"/>
    <w:rPr>
      <w:rFonts w:eastAsiaTheme="majorEastAsia" w:cstheme="majorBidi"/>
      <w:color w:val="272727" w:themeColor="text1" w:themeTint="D8"/>
    </w:rPr>
  </w:style>
  <w:style w:type="character" w:customStyle="1" w:styleId="TitleChar">
    <w:name w:val="Title Char"/>
    <w:basedOn w:val="DefaultParagraphFont"/>
    <w:link w:val="Title"/>
    <w:uiPriority w:val="10"/>
    <w:rsid w:val="00403D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03D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3DC2"/>
    <w:pPr>
      <w:spacing w:before="160"/>
      <w:jc w:val="center"/>
    </w:pPr>
    <w:rPr>
      <w:i/>
      <w:iCs/>
      <w:color w:val="404040" w:themeColor="text1" w:themeTint="BF"/>
    </w:rPr>
  </w:style>
  <w:style w:type="character" w:customStyle="1" w:styleId="QuoteChar">
    <w:name w:val="Quote Char"/>
    <w:basedOn w:val="DefaultParagraphFont"/>
    <w:link w:val="Quote"/>
    <w:uiPriority w:val="29"/>
    <w:rsid w:val="00403DC2"/>
    <w:rPr>
      <w:i/>
      <w:iCs/>
      <w:color w:val="404040" w:themeColor="text1" w:themeTint="BF"/>
    </w:rPr>
  </w:style>
  <w:style w:type="paragraph" w:styleId="ListParagraph">
    <w:name w:val="List Paragraph"/>
    <w:basedOn w:val="Normal"/>
    <w:uiPriority w:val="34"/>
    <w:qFormat/>
    <w:rsid w:val="00403DC2"/>
    <w:pPr>
      <w:ind w:left="720"/>
      <w:contextualSpacing/>
    </w:pPr>
  </w:style>
  <w:style w:type="character" w:styleId="IntenseEmphasis">
    <w:name w:val="Intense Emphasis"/>
    <w:basedOn w:val="DefaultParagraphFont"/>
    <w:uiPriority w:val="21"/>
    <w:qFormat/>
    <w:rsid w:val="00403DC2"/>
    <w:rPr>
      <w:i/>
      <w:iCs/>
      <w:color w:val="0F4761" w:themeColor="accent1" w:themeShade="BF"/>
    </w:rPr>
  </w:style>
  <w:style w:type="paragraph" w:styleId="IntenseQuote">
    <w:name w:val="Intense Quote"/>
    <w:basedOn w:val="Normal"/>
    <w:next w:val="Normal"/>
    <w:link w:val="IntenseQuoteChar"/>
    <w:uiPriority w:val="30"/>
    <w:qFormat/>
    <w:rsid w:val="00403D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3DC2"/>
    <w:rPr>
      <w:i/>
      <w:iCs/>
      <w:color w:val="0F4761" w:themeColor="accent1" w:themeShade="BF"/>
    </w:rPr>
  </w:style>
  <w:style w:type="character" w:styleId="IntenseReference">
    <w:name w:val="Intense Reference"/>
    <w:basedOn w:val="DefaultParagraphFont"/>
    <w:uiPriority w:val="32"/>
    <w:qFormat/>
    <w:rsid w:val="00403DC2"/>
    <w:rPr>
      <w:b/>
      <w:bCs/>
      <w:smallCaps/>
      <w:color w:val="0F4761" w:themeColor="accent1" w:themeShade="BF"/>
      <w:spacing w:val="5"/>
    </w:rPr>
  </w:style>
  <w:style w:type="character" w:styleId="Hyperlink">
    <w:name w:val="Hyperlink"/>
    <w:basedOn w:val="DefaultParagraphFont"/>
    <w:uiPriority w:val="99"/>
    <w:unhideWhenUsed/>
    <w:rsid w:val="00403DC2"/>
    <w:rPr>
      <w:color w:val="467886" w:themeColor="hyperlink"/>
      <w:u w:val="single"/>
    </w:rPr>
  </w:style>
  <w:style w:type="character" w:styleId="UnresolvedMention">
    <w:name w:val="Unresolved Mention"/>
    <w:basedOn w:val="DefaultParagraphFont"/>
    <w:uiPriority w:val="99"/>
    <w:semiHidden/>
    <w:unhideWhenUsed/>
    <w:rsid w:val="00403DC2"/>
    <w:rPr>
      <w:color w:val="605E5C"/>
      <w:shd w:val="clear" w:color="auto" w:fill="E1DFDD"/>
    </w:rPr>
  </w:style>
  <w:style w:type="paragraph" w:customStyle="1" w:styleId="Default">
    <w:name w:val="Default"/>
    <w:rsid w:val="002857D7"/>
    <w:pPr>
      <w:autoSpaceDE w:val="0"/>
      <w:autoSpaceDN w:val="0"/>
      <w:adjustRightInd w:val="0"/>
      <w:spacing w:after="0" w:line="240" w:lineRule="auto"/>
    </w:pPr>
    <w:rPr>
      <w:rFonts w:ascii="Times New Roman" w:hAnsi="Times New Roman" w:cs="Times New Roman"/>
      <w:color w:val="000000"/>
    </w:rPr>
  </w:style>
  <w:style w:type="paragraph" w:styleId="NormalWeb">
    <w:name w:val="Normal (Web)"/>
    <w:basedOn w:val="Normal"/>
    <w:uiPriority w:val="99"/>
    <w:semiHidden/>
    <w:unhideWhenUsed/>
    <w:rsid w:val="00B407A4"/>
    <w:rPr>
      <w:rFonts w:ascii="Times New Roman" w:hAnsi="Times New Roman" w:cs="Times New Roman"/>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4D4C86"/>
    <w:pPr>
      <w:spacing w:line="240" w:lineRule="auto"/>
    </w:pPr>
    <w:rPr>
      <w:rFonts w:asciiTheme="minorHAnsi" w:eastAsiaTheme="minorEastAsia" w:hAnsiTheme="minorHAnsi" w:cstheme="minorBidi"/>
      <w:sz w:val="20"/>
      <w:szCs w:val="20"/>
      <w:lang w:val="en-AU" w:eastAsia="zh-CN"/>
    </w:rPr>
  </w:style>
  <w:style w:type="character" w:customStyle="1" w:styleId="CommentTextChar">
    <w:name w:val="Comment Text Char"/>
    <w:basedOn w:val="DefaultParagraphFont"/>
    <w:link w:val="CommentText"/>
    <w:uiPriority w:val="99"/>
    <w:rsid w:val="004D4C86"/>
    <w:rPr>
      <w:rFonts w:asciiTheme="minorHAnsi" w:eastAsiaTheme="minorEastAsia" w:hAnsiTheme="minorHAnsi" w:cstheme="minorBidi"/>
      <w:sz w:val="20"/>
      <w:szCs w:val="20"/>
      <w:lang w:val="en-AU" w:eastAsia="zh-CN"/>
    </w:rPr>
  </w:style>
  <w:style w:type="paragraph" w:styleId="Header">
    <w:name w:val="header"/>
    <w:basedOn w:val="Normal"/>
    <w:link w:val="HeaderChar"/>
    <w:uiPriority w:val="99"/>
    <w:unhideWhenUsed/>
    <w:rsid w:val="00A47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714E"/>
  </w:style>
  <w:style w:type="paragraph" w:styleId="Footer">
    <w:name w:val="footer"/>
    <w:basedOn w:val="Normal"/>
    <w:link w:val="FooterChar"/>
    <w:uiPriority w:val="99"/>
    <w:unhideWhenUsed/>
    <w:rsid w:val="00A471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714E"/>
  </w:style>
  <w:style w:type="character" w:styleId="CommentReference">
    <w:name w:val="annotation reference"/>
    <w:basedOn w:val="DefaultParagraphFont"/>
    <w:uiPriority w:val="99"/>
    <w:semiHidden/>
    <w:unhideWhenUsed/>
    <w:rsid w:val="00C74022"/>
    <w:rPr>
      <w:sz w:val="16"/>
      <w:szCs w:val="16"/>
    </w:rPr>
  </w:style>
  <w:style w:type="paragraph" w:styleId="CommentSubject">
    <w:name w:val="annotation subject"/>
    <w:basedOn w:val="CommentText"/>
    <w:next w:val="CommentText"/>
    <w:link w:val="CommentSubjectChar"/>
    <w:uiPriority w:val="99"/>
    <w:semiHidden/>
    <w:unhideWhenUsed/>
    <w:rsid w:val="00C74022"/>
    <w:rPr>
      <w:rFonts w:ascii="Aptos" w:eastAsia="Aptos" w:hAnsi="Aptos" w:cs="Aptos"/>
      <w:b/>
      <w:bCs/>
      <w:lang w:val="en-US" w:eastAsia="en-US"/>
    </w:rPr>
  </w:style>
  <w:style w:type="character" w:customStyle="1" w:styleId="CommentSubjectChar">
    <w:name w:val="Comment Subject Char"/>
    <w:basedOn w:val="CommentTextChar"/>
    <w:link w:val="CommentSubject"/>
    <w:uiPriority w:val="99"/>
    <w:semiHidden/>
    <w:rsid w:val="00C74022"/>
    <w:rPr>
      <w:rFonts w:asciiTheme="minorHAnsi" w:eastAsiaTheme="minorEastAsia" w:hAnsiTheme="minorHAnsi" w:cstheme="minorBidi"/>
      <w:b/>
      <w:bCs/>
      <w:sz w:val="20"/>
      <w:szCs w:val="20"/>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298654">
      <w:bodyDiv w:val="1"/>
      <w:marLeft w:val="0"/>
      <w:marRight w:val="0"/>
      <w:marTop w:val="0"/>
      <w:marBottom w:val="0"/>
      <w:divBdr>
        <w:top w:val="none" w:sz="0" w:space="0" w:color="auto"/>
        <w:left w:val="none" w:sz="0" w:space="0" w:color="auto"/>
        <w:bottom w:val="none" w:sz="0" w:space="0" w:color="auto"/>
        <w:right w:val="none" w:sz="0" w:space="0" w:color="auto"/>
      </w:divBdr>
    </w:div>
    <w:div w:id="461964841">
      <w:bodyDiv w:val="1"/>
      <w:marLeft w:val="0"/>
      <w:marRight w:val="0"/>
      <w:marTop w:val="0"/>
      <w:marBottom w:val="0"/>
      <w:divBdr>
        <w:top w:val="none" w:sz="0" w:space="0" w:color="auto"/>
        <w:left w:val="none" w:sz="0" w:space="0" w:color="auto"/>
        <w:bottom w:val="none" w:sz="0" w:space="0" w:color="auto"/>
        <w:right w:val="none" w:sz="0" w:space="0" w:color="auto"/>
      </w:divBdr>
    </w:div>
    <w:div w:id="596904863">
      <w:bodyDiv w:val="1"/>
      <w:marLeft w:val="0"/>
      <w:marRight w:val="0"/>
      <w:marTop w:val="0"/>
      <w:marBottom w:val="0"/>
      <w:divBdr>
        <w:top w:val="none" w:sz="0" w:space="0" w:color="auto"/>
        <w:left w:val="none" w:sz="0" w:space="0" w:color="auto"/>
        <w:bottom w:val="none" w:sz="0" w:space="0" w:color="auto"/>
        <w:right w:val="none" w:sz="0" w:space="0" w:color="auto"/>
      </w:divBdr>
    </w:div>
    <w:div w:id="620455062">
      <w:bodyDiv w:val="1"/>
      <w:marLeft w:val="0"/>
      <w:marRight w:val="0"/>
      <w:marTop w:val="0"/>
      <w:marBottom w:val="0"/>
      <w:divBdr>
        <w:top w:val="none" w:sz="0" w:space="0" w:color="auto"/>
        <w:left w:val="none" w:sz="0" w:space="0" w:color="auto"/>
        <w:bottom w:val="none" w:sz="0" w:space="0" w:color="auto"/>
        <w:right w:val="none" w:sz="0" w:space="0" w:color="auto"/>
      </w:divBdr>
    </w:div>
    <w:div w:id="1100637868">
      <w:bodyDiv w:val="1"/>
      <w:marLeft w:val="0"/>
      <w:marRight w:val="0"/>
      <w:marTop w:val="0"/>
      <w:marBottom w:val="0"/>
      <w:divBdr>
        <w:top w:val="none" w:sz="0" w:space="0" w:color="auto"/>
        <w:left w:val="none" w:sz="0" w:space="0" w:color="auto"/>
        <w:bottom w:val="none" w:sz="0" w:space="0" w:color="auto"/>
        <w:right w:val="none" w:sz="0" w:space="0" w:color="auto"/>
      </w:divBdr>
    </w:div>
    <w:div w:id="1131364903">
      <w:bodyDiv w:val="1"/>
      <w:marLeft w:val="0"/>
      <w:marRight w:val="0"/>
      <w:marTop w:val="0"/>
      <w:marBottom w:val="0"/>
      <w:divBdr>
        <w:top w:val="none" w:sz="0" w:space="0" w:color="auto"/>
        <w:left w:val="none" w:sz="0" w:space="0" w:color="auto"/>
        <w:bottom w:val="none" w:sz="0" w:space="0" w:color="auto"/>
        <w:right w:val="none" w:sz="0" w:space="0" w:color="auto"/>
      </w:divBdr>
    </w:div>
    <w:div w:id="1248491751">
      <w:bodyDiv w:val="1"/>
      <w:marLeft w:val="0"/>
      <w:marRight w:val="0"/>
      <w:marTop w:val="0"/>
      <w:marBottom w:val="0"/>
      <w:divBdr>
        <w:top w:val="none" w:sz="0" w:space="0" w:color="auto"/>
        <w:left w:val="none" w:sz="0" w:space="0" w:color="auto"/>
        <w:bottom w:val="none" w:sz="0" w:space="0" w:color="auto"/>
        <w:right w:val="none" w:sz="0" w:space="0" w:color="auto"/>
      </w:divBdr>
    </w:div>
    <w:div w:id="1926914647">
      <w:bodyDiv w:val="1"/>
      <w:marLeft w:val="0"/>
      <w:marRight w:val="0"/>
      <w:marTop w:val="0"/>
      <w:marBottom w:val="0"/>
      <w:divBdr>
        <w:top w:val="none" w:sz="0" w:space="0" w:color="auto"/>
        <w:left w:val="none" w:sz="0" w:space="0" w:color="auto"/>
        <w:bottom w:val="none" w:sz="0" w:space="0" w:color="auto"/>
        <w:right w:val="none" w:sz="0" w:space="0" w:color="auto"/>
      </w:divBdr>
    </w:div>
    <w:div w:id="1938053273">
      <w:bodyDiv w:val="1"/>
      <w:marLeft w:val="0"/>
      <w:marRight w:val="0"/>
      <w:marTop w:val="0"/>
      <w:marBottom w:val="0"/>
      <w:divBdr>
        <w:top w:val="none" w:sz="0" w:space="0" w:color="auto"/>
        <w:left w:val="none" w:sz="0" w:space="0" w:color="auto"/>
        <w:bottom w:val="none" w:sz="0" w:space="0" w:color="auto"/>
        <w:right w:val="none" w:sz="0" w:space="0" w:color="auto"/>
      </w:divBdr>
    </w:div>
    <w:div w:id="21179413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iles.eric.ed.gov/fulltext/EJ1023228.pdf" TargetMode="External"/><Relationship Id="rId21" Type="http://schemas.openxmlformats.org/officeDocument/2006/relationships/hyperlink" Target="%20%20https://publicscholarship.stanford.edu/scholarship/blogs/probing-inclusive-education-global-south-critical-cultural-historical-standpoint%20%20" TargetMode="External"/><Relationship Id="rId42" Type="http://schemas.openxmlformats.org/officeDocument/2006/relationships/hyperlink" Target="https://doi.org/10.26634/jsch.12.4.13548" TargetMode="External"/><Relationship Id="rId47" Type="http://schemas.openxmlformats.org/officeDocument/2006/relationships/hyperlink" Target="https://doi.org/10.1136/bmj.n71" TargetMode="External"/><Relationship Id="rId63" Type="http://schemas.openxmlformats.org/officeDocument/2006/relationships/hyperlink" Target="https://www.un.org/disabilities/documents/convention/convoptprot-e.pdf" TargetMode="External"/><Relationship Id="rId68"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files.eric.ed.gov/fulltext/EJ1099934.pdf" TargetMode="External"/><Relationship Id="rId11" Type="http://schemas.microsoft.com/office/2016/09/relationships/commentsIds" Target="commentsIds.xml"/><Relationship Id="rId24" Type="http://schemas.openxmlformats.org/officeDocument/2006/relationships/hyperlink" Target="https://eric.ed.gov/?id=ED603222" TargetMode="External"/><Relationship Id="rId32" Type="http://schemas.openxmlformats.org/officeDocument/2006/relationships/hyperlink" Target="https://doi.org/10.1177/23493003211047927" TargetMode="External"/><Relationship Id="rId37" Type="http://schemas.openxmlformats.org/officeDocument/2006/relationships/hyperlink" Target="https://doi.org/10.33422/ijce.v2i1.36" TargetMode="External"/><Relationship Id="rId40" Type="http://schemas.openxmlformats.org/officeDocument/2006/relationships/hyperlink" Target="https://doi.org/10.1111/1467-8578.12282" TargetMode="External"/><Relationship Id="rId45" Type="http://schemas.openxmlformats.org/officeDocument/2006/relationships/hyperlink" Target="https://ncert.nic.in/degsn/pdf/IndexforInclusiveSchools.pdf" TargetMode="External"/><Relationship Id="rId53" Type="http://schemas.openxmlformats.org/officeDocument/2006/relationships/hyperlink" Target="https://doi.org/10.4324/9780203846780" TargetMode="External"/><Relationship Id="rId58" Type="http://schemas.openxmlformats.org/officeDocument/2006/relationships/hyperlink" Target="https://doi.org/10.1080/13603116.2019.1624845" TargetMode="External"/><Relationship Id="rId66" Type="http://schemas.openxmlformats.org/officeDocument/2006/relationships/header" Target="header6.xml"/><Relationship Id="rId5" Type="http://schemas.openxmlformats.org/officeDocument/2006/relationships/settings" Target="settings.xml"/><Relationship Id="rId61" Type="http://schemas.openxmlformats.org/officeDocument/2006/relationships/hyperlink" Target="https://doi.org/10.1111/1467-9604.12461" TargetMode="External"/><Relationship Id="rId19" Type="http://schemas.openxmlformats.org/officeDocument/2006/relationships/hyperlink" Target="https://doi.org/10.26634/jpsy.15.2.18397" TargetMode="External"/><Relationship Id="rId14" Type="http://schemas.openxmlformats.org/officeDocument/2006/relationships/header" Target="header2.xml"/><Relationship Id="rId22" Type="http://schemas.openxmlformats.org/officeDocument/2006/relationships/hyperlink" Target="https://files.eric.ed.gov/fulltext/EJ1085257.pdf" TargetMode="External"/><Relationship Id="rId27" Type="http://schemas.openxmlformats.org/officeDocument/2006/relationships/hyperlink" Target="http://bjsep.org/getfile.php?id=209" TargetMode="External"/><Relationship Id="rId30" Type="http://schemas.openxmlformats.org/officeDocument/2006/relationships/hyperlink" Target="https://jiaap.in/wp-content/uploads/2024/08/2016_42_1_Farrell_18-29.pdf" TargetMode="External"/><Relationship Id="rId35" Type="http://schemas.openxmlformats.org/officeDocument/2006/relationships/hyperlink" Target="https://doi.org/10.1177/1049732310378656" TargetMode="External"/><Relationship Id="rId43" Type="http://schemas.openxmlformats.org/officeDocument/2006/relationships/hyperlink" Target="https://doi.org/10.1111/curi.12014" TargetMode="External"/><Relationship Id="rId48" Type="http://schemas.openxmlformats.org/officeDocument/2006/relationships/hyperlink" Target="https://doi.org/10.1080/13603116.2021.1965803" TargetMode="External"/><Relationship Id="rId56" Type="http://schemas.openxmlformats.org/officeDocument/2006/relationships/hyperlink" Target="https://doi.org/10.56829/2158-396X-21.2.22" TargetMode="External"/><Relationship Id="rId64" Type="http://schemas.openxmlformats.org/officeDocument/2006/relationships/header" Target="header4.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doi.org/10.1016/j.ijer.2023.102160" TargetMode="External"/><Relationship Id="rId3" Type="http://schemas.openxmlformats.org/officeDocument/2006/relationships/numbering" Target="numbering.xml"/><Relationship Id="rId12" Type="http://schemas.microsoft.com/office/2018/08/relationships/commentsExtensible" Target="commentsExtensible.xml"/><Relationship Id="rId17" Type="http://schemas.openxmlformats.org/officeDocument/2006/relationships/header" Target="header3.xml"/><Relationship Id="rId25" Type="http://schemas.openxmlformats.org/officeDocument/2006/relationships/hyperlink" Target="https://eric.ed.gov/?id=ED603222" TargetMode="External"/><Relationship Id="rId33" Type="http://schemas.openxmlformats.org/officeDocument/2006/relationships/hyperlink" Target="https://doi.org/10.59595/ajie.01.2.3" TargetMode="External"/><Relationship Id="rId38" Type="http://schemas.openxmlformats.org/officeDocument/2006/relationships/hyperlink" Target="https://www.britannica.com/topic/Global-North-and-Global-South" TargetMode="External"/><Relationship Id="rId46" Type="http://schemas.openxmlformats.org/officeDocument/2006/relationships/hyperlink" Target="https://doi.org/10.4135/9781412985000" TargetMode="External"/><Relationship Id="rId59" Type="http://schemas.openxmlformats.org/officeDocument/2006/relationships/hyperlink" Target="https://doi.org/10.1080/1034912X.2014.955786" TargetMode="External"/><Relationship Id="rId67" Type="http://schemas.openxmlformats.org/officeDocument/2006/relationships/fontTable" Target="fontTable.xml"/><Relationship Id="rId20" Type="http://schemas.openxmlformats.org/officeDocument/2006/relationships/hyperlink" Target="https://doi.org/10.1080/13603116.2010.496192" TargetMode="External"/><Relationship Id="rId41" Type="http://schemas.openxmlformats.org/officeDocument/2006/relationships/hyperlink" Target="https://doi.org/10.1080/13603116.2022.2036831" TargetMode="External"/><Relationship Id="rId54" Type="http://schemas.openxmlformats.org/officeDocument/2006/relationships/hyperlink" Target="https://doi.org/10.3390/educsci11030111" TargetMode="External"/><Relationship Id="rId62" Type="http://schemas.openxmlformats.org/officeDocument/2006/relationships/hyperlink" Target="https://doi.org/10.1016/j.tate.2015.09.00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eric.ed.gov/?id=EJ1283994" TargetMode="External"/><Relationship Id="rId28" Type="http://schemas.openxmlformats.org/officeDocument/2006/relationships/hyperlink" Target="https://doi.org/10.1111/1467-9604.12093" TargetMode="External"/><Relationship Id="rId36" Type="http://schemas.openxmlformats.org/officeDocument/2006/relationships/hyperlink" Target="https://doi.org/10.33422/ijce.v2i1.36" TargetMode="External"/><Relationship Id="rId49" Type="http://schemas.openxmlformats.org/officeDocument/2006/relationships/hyperlink" Target="https://doi.org/10.1080/13603116.2021.1965803" TargetMode="External"/><Relationship Id="rId57" Type="http://schemas.openxmlformats.org/officeDocument/2006/relationships/hyperlink" Target="https://doi.org/10.1080/13603116.2015.1015178" TargetMode="External"/><Relationship Id="rId10" Type="http://schemas.microsoft.com/office/2011/relationships/commentsExtended" Target="commentsExtended.xml"/><Relationship Id="rId31" Type="http://schemas.openxmlformats.org/officeDocument/2006/relationships/hyperlink" Target="https://doi.org/10.4324/9781351212793" TargetMode="External"/><Relationship Id="rId44" Type="http://schemas.openxmlformats.org/officeDocument/2006/relationships/hyperlink" Target="https://doi.org/10.1080/00220272.2021.1882579" TargetMode="External"/><Relationship Id="rId52" Type="http://schemas.openxmlformats.org/officeDocument/2006/relationships/hyperlink" Target="https://doi.org/10.4324/9780203846780" TargetMode="External"/><Relationship Id="rId60" Type="http://schemas.openxmlformats.org/officeDocument/2006/relationships/hyperlink" Target="https://doi.org/10.1080/1034912X.2021.1917525" TargetMode="External"/><Relationship Id="rId65" Type="http://schemas.openxmlformats.org/officeDocument/2006/relationships/header" Target="header5.xml"/><Relationship Id="rId4" Type="http://schemas.openxmlformats.org/officeDocument/2006/relationships/styles" Target="styles.xml"/><Relationship Id="rId9"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britannica.com/topic/Global-North-and-Global-South" TargetMode="External"/><Relationship Id="rId34" Type="http://schemas.openxmlformats.org/officeDocument/2006/relationships/hyperlink" Target="https://doi.org/10.1007/978-3-319-42488-0_1" TargetMode="External"/><Relationship Id="rId50" Type="http://schemas.openxmlformats.org/officeDocument/2006/relationships/hyperlink" Target="https://doi.org/10.1016/j.ijer.2023.102160" TargetMode="External"/><Relationship Id="rId55" Type="http://schemas.openxmlformats.org/officeDocument/2006/relationships/hyperlink" Target="https://doi.org/10.3390/educsci1103011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yFPBGHwSBFVazfweR+5mC31dMA==">CgMxLjA4AHIhMWdnMnY3NjE0dVE0cHk2R0VPY2RnTlp0ME5GaFVtR1dv</go:docsCustomData>
</go:gDocsCustomXmlDataStorage>
</file>

<file path=customXml/itemProps1.xml><?xml version="1.0" encoding="utf-8"?>
<ds:datastoreItem xmlns:ds="http://schemas.openxmlformats.org/officeDocument/2006/customXml" ds:itemID="{9D99B058-35DB-4B20-95F6-BA1060E828C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17</Pages>
  <Words>7997</Words>
  <Characters>45589</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Daniel</dc:creator>
  <cp:lastModifiedBy>AJL TEAM REVIW</cp:lastModifiedBy>
  <cp:revision>44</cp:revision>
  <dcterms:created xsi:type="dcterms:W3CDTF">2025-12-19T01:58:00Z</dcterms:created>
  <dcterms:modified xsi:type="dcterms:W3CDTF">2025-12-19T11:54:00Z</dcterms:modified>
</cp:coreProperties>
</file>