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728" w:rsidRDefault="00FA3728" w:rsidP="005E27E7">
      <w:pPr>
        <w:spacing w:after="0" w:line="360" w:lineRule="auto"/>
        <w:rPr>
          <w:rFonts w:ascii="Arial" w:eastAsia="Times New Roman" w:hAnsi="Arial" w:cs="Arial"/>
          <w:b/>
          <w:sz w:val="36"/>
          <w:szCs w:val="36"/>
          <w:u w:val="single"/>
        </w:rPr>
      </w:pPr>
      <w:r w:rsidRPr="00FA3728">
        <w:rPr>
          <w:rFonts w:ascii="Arial" w:eastAsia="Times New Roman" w:hAnsi="Arial" w:cs="Arial"/>
          <w:b/>
          <w:sz w:val="36"/>
          <w:szCs w:val="36"/>
          <w:u w:val="single"/>
        </w:rPr>
        <w:t>Systematic Review Article</w:t>
      </w:r>
    </w:p>
    <w:p w:rsidR="00FA3728" w:rsidRPr="00FA3728" w:rsidRDefault="00FA3728" w:rsidP="005E27E7">
      <w:pPr>
        <w:spacing w:after="0" w:line="360" w:lineRule="auto"/>
        <w:rPr>
          <w:rFonts w:ascii="Arial" w:eastAsia="Times New Roman" w:hAnsi="Arial" w:cs="Arial"/>
          <w:b/>
          <w:sz w:val="36"/>
          <w:szCs w:val="36"/>
          <w:u w:val="single"/>
        </w:rPr>
      </w:pPr>
    </w:p>
    <w:p w:rsidR="004233A0" w:rsidRPr="00843D4F" w:rsidRDefault="004233A0" w:rsidP="005E27E7">
      <w:pPr>
        <w:spacing w:after="0" w:line="360" w:lineRule="auto"/>
        <w:jc w:val="right"/>
        <w:rPr>
          <w:rFonts w:ascii="Arial" w:eastAsia="Times New Roman" w:hAnsi="Arial" w:cs="Arial"/>
          <w:sz w:val="36"/>
          <w:szCs w:val="36"/>
        </w:rPr>
      </w:pPr>
      <w:r w:rsidRPr="00843D4F">
        <w:rPr>
          <w:rFonts w:ascii="Arial" w:eastAsia="Times New Roman" w:hAnsi="Arial" w:cs="Arial"/>
          <w:b/>
          <w:sz w:val="36"/>
          <w:szCs w:val="36"/>
        </w:rPr>
        <w:t>Inclusive Education in Practice: A Qualitative Synthesis of Implementation and Teacher Preparation in India</w:t>
      </w:r>
    </w:p>
    <w:p w:rsidR="004233A0" w:rsidRPr="00A428CE" w:rsidRDefault="004233A0" w:rsidP="005E27E7">
      <w:pPr>
        <w:tabs>
          <w:tab w:val="left" w:pos="3170"/>
        </w:tabs>
        <w:spacing w:line="360" w:lineRule="auto"/>
        <w:jc w:val="both"/>
        <w:rPr>
          <w:rFonts w:ascii="Arial" w:eastAsia="Times New Roman" w:hAnsi="Arial" w:cs="Arial"/>
          <w:b/>
          <w:sz w:val="22"/>
          <w:szCs w:val="22"/>
        </w:rPr>
      </w:pPr>
      <w:bookmarkStart w:id="0" w:name="_GoBack"/>
      <w:bookmarkEnd w:id="0"/>
      <w:r w:rsidRPr="00A428CE">
        <w:rPr>
          <w:rFonts w:ascii="Arial" w:eastAsia="Times New Roman" w:hAnsi="Arial" w:cs="Arial"/>
          <w:b/>
          <w:sz w:val="22"/>
          <w:szCs w:val="22"/>
        </w:rPr>
        <w:t>ABSTRACT</w:t>
      </w:r>
    </w:p>
    <w:p w:rsidR="004233A0" w:rsidRPr="00A428CE" w:rsidRDefault="00A428CE" w:rsidP="005E27E7">
      <w:pPr>
        <w:tabs>
          <w:tab w:val="left" w:pos="3170"/>
        </w:tabs>
        <w:spacing w:line="360" w:lineRule="auto"/>
        <w:jc w:val="both"/>
        <w:rPr>
          <w:rFonts w:ascii="Arial" w:eastAsia="Times New Roman" w:hAnsi="Arial" w:cs="Arial"/>
          <w:bCs/>
          <w:sz w:val="20"/>
          <w:szCs w:val="20"/>
        </w:rPr>
      </w:pPr>
      <w:r w:rsidRPr="00A428CE">
        <w:rPr>
          <w:rFonts w:ascii="Arial" w:eastAsia="Times New Roman" w:hAnsi="Arial" w:cs="Arial"/>
          <w:sz w:val="20"/>
          <w:szCs w:val="20"/>
        </w:rPr>
        <w:t>This qualitative meta-synthesis was undertaken to synthesize the available literature on the implementation of inclusive education and teacher preparation for inclusive education in India.. An electronic search of six databases—Education Source, APA PsycArticles, APA PsycINFO, ERIC, Education Database, and Web of Science</w:t>
      </w:r>
      <w:r>
        <w:rPr>
          <w:rFonts w:ascii="Arial" w:eastAsia="Times New Roman" w:hAnsi="Arial" w:cs="Arial"/>
          <w:sz w:val="20"/>
          <w:szCs w:val="20"/>
        </w:rPr>
        <w:t xml:space="preserve">, </w:t>
      </w:r>
      <w:r w:rsidRPr="00A428CE">
        <w:rPr>
          <w:rFonts w:ascii="Arial" w:eastAsia="Times New Roman" w:hAnsi="Arial" w:cs="Arial"/>
          <w:sz w:val="20"/>
          <w:szCs w:val="20"/>
        </w:rPr>
        <w:t xml:space="preserve">was conducted. Twenty peer-reviewed articles were included in the final review. </w:t>
      </w:r>
      <w:r>
        <w:rPr>
          <w:rFonts w:ascii="Arial" w:eastAsia="Times New Roman" w:hAnsi="Arial" w:cs="Arial"/>
          <w:sz w:val="20"/>
          <w:szCs w:val="20"/>
        </w:rPr>
        <w:t>The s</w:t>
      </w:r>
      <w:r w:rsidRPr="00843D4F">
        <w:rPr>
          <w:rFonts w:ascii="Arial" w:eastAsia="Times New Roman" w:hAnsi="Arial" w:cs="Arial"/>
          <w:sz w:val="20"/>
          <w:szCs w:val="20"/>
        </w:rPr>
        <w:t>elected studies were appraised for quality using the Critical Appraisal Skills Program (CASP)</w:t>
      </w:r>
      <w:r>
        <w:rPr>
          <w:rFonts w:ascii="Arial" w:eastAsia="Times New Roman" w:hAnsi="Arial" w:cs="Arial"/>
          <w:sz w:val="20"/>
          <w:szCs w:val="20"/>
        </w:rPr>
        <w:t xml:space="preserve">. </w:t>
      </w:r>
      <w:r w:rsidRPr="00A428CE">
        <w:rPr>
          <w:rFonts w:ascii="Arial" w:eastAsia="Times New Roman" w:hAnsi="Arial" w:cs="Arial"/>
          <w:sz w:val="20"/>
          <w:szCs w:val="20"/>
        </w:rPr>
        <w:t xml:space="preserve">Inductive coding revealed that most of the evidence related to the practice of inclusive education focused on barriers, followed by classroom culture and action. The limited available evidence on teacher training for inclusive education indicates that teachers perceived such training as ineffective and insufficient when it was present. Implications for policy, practice, and future research are </w:t>
      </w:r>
      <w:commentRangeStart w:id="1"/>
      <w:commentRangeStart w:id="2"/>
      <w:r w:rsidRPr="00A428CE">
        <w:rPr>
          <w:rFonts w:ascii="Arial" w:eastAsia="Times New Roman" w:hAnsi="Arial" w:cs="Arial"/>
          <w:sz w:val="20"/>
          <w:szCs w:val="20"/>
        </w:rPr>
        <w:t>discussed</w:t>
      </w:r>
      <w:commentRangeEnd w:id="1"/>
      <w:r w:rsidR="005E27E7">
        <w:rPr>
          <w:rStyle w:val="CommentReference"/>
          <w:rFonts w:asciiTheme="minorHAnsi" w:eastAsiaTheme="minorEastAsia" w:hAnsiTheme="minorHAnsi" w:cstheme="minorBidi"/>
          <w:lang w:val="en-AU" w:eastAsia="zh-CN"/>
        </w:rPr>
        <w:commentReference w:id="1"/>
      </w:r>
      <w:commentRangeEnd w:id="2"/>
      <w:r w:rsidR="005E27E7">
        <w:rPr>
          <w:rStyle w:val="CommentReference"/>
          <w:rFonts w:asciiTheme="minorHAnsi" w:eastAsiaTheme="minorEastAsia" w:hAnsiTheme="minorHAnsi" w:cstheme="minorBidi"/>
          <w:lang w:val="en-AU" w:eastAsia="zh-CN"/>
        </w:rPr>
        <w:commentReference w:id="2"/>
      </w:r>
      <w:r w:rsidRPr="00A428CE">
        <w:rPr>
          <w:rFonts w:ascii="Arial" w:eastAsia="Times New Roman" w:hAnsi="Arial" w:cs="Arial"/>
          <w:sz w:val="20"/>
          <w:szCs w:val="20"/>
        </w:rPr>
        <w:t>.</w:t>
      </w:r>
    </w:p>
    <w:p w:rsidR="004233A0" w:rsidRDefault="004233A0" w:rsidP="005E27E7">
      <w:pPr>
        <w:tabs>
          <w:tab w:val="left" w:pos="3170"/>
        </w:tabs>
        <w:spacing w:line="360" w:lineRule="auto"/>
        <w:rPr>
          <w:rFonts w:ascii="Arial" w:eastAsia="Times New Roman" w:hAnsi="Arial" w:cs="Arial"/>
          <w:bCs/>
          <w:sz w:val="16"/>
          <w:szCs w:val="16"/>
        </w:rPr>
      </w:pPr>
    </w:p>
    <w:p w:rsidR="005E27E7" w:rsidRPr="00843D4F" w:rsidRDefault="005E27E7" w:rsidP="005E27E7">
      <w:pPr>
        <w:tabs>
          <w:tab w:val="left" w:pos="3170"/>
        </w:tabs>
        <w:spacing w:line="360" w:lineRule="auto"/>
        <w:rPr>
          <w:rFonts w:ascii="Arial" w:eastAsia="Times New Roman" w:hAnsi="Arial" w:cs="Arial"/>
          <w:bCs/>
          <w:sz w:val="16"/>
          <w:szCs w:val="16"/>
        </w:rPr>
      </w:pPr>
    </w:p>
    <w:p w:rsidR="005E27E7" w:rsidRDefault="005E27E7" w:rsidP="005E27E7">
      <w:pPr>
        <w:spacing w:line="360" w:lineRule="auto"/>
        <w:rPr>
          <w:rFonts w:ascii="Arial" w:eastAsia="Times New Roman" w:hAnsi="Arial" w:cs="Arial"/>
          <w:b/>
          <w:sz w:val="20"/>
          <w:szCs w:val="20"/>
        </w:rPr>
      </w:pPr>
      <w:r>
        <w:rPr>
          <w:rFonts w:ascii="Arial" w:eastAsia="Times New Roman" w:hAnsi="Arial" w:cs="Arial"/>
          <w:b/>
          <w:sz w:val="20"/>
          <w:szCs w:val="20"/>
        </w:rPr>
        <w:br w:type="page"/>
      </w:r>
    </w:p>
    <w:p w:rsidR="004D4C86" w:rsidRDefault="004233A0" w:rsidP="005E27E7">
      <w:pPr>
        <w:spacing w:after="0" w:line="360" w:lineRule="auto"/>
        <w:rPr>
          <w:rFonts w:ascii="Arial" w:eastAsia="Times New Roman" w:hAnsi="Arial" w:cs="Arial"/>
          <w:b/>
          <w:sz w:val="20"/>
          <w:szCs w:val="20"/>
        </w:rPr>
      </w:pPr>
      <w:r w:rsidRPr="00843D4F">
        <w:rPr>
          <w:rFonts w:ascii="Arial" w:eastAsia="Times New Roman" w:hAnsi="Arial" w:cs="Arial"/>
          <w:b/>
          <w:sz w:val="20"/>
          <w:szCs w:val="20"/>
        </w:rPr>
        <w:lastRenderedPageBreak/>
        <w:t xml:space="preserve">1. </w:t>
      </w:r>
      <w:r w:rsidR="004D4C86" w:rsidRPr="00843D4F">
        <w:rPr>
          <w:rFonts w:ascii="Arial" w:eastAsia="Times New Roman" w:hAnsi="Arial" w:cs="Arial"/>
          <w:b/>
          <w:sz w:val="20"/>
          <w:szCs w:val="20"/>
        </w:rPr>
        <w:t>I</w:t>
      </w:r>
      <w:r w:rsidR="00843D4F" w:rsidRPr="00843D4F">
        <w:rPr>
          <w:rFonts w:ascii="Arial" w:eastAsia="Times New Roman" w:hAnsi="Arial" w:cs="Arial"/>
          <w:b/>
          <w:sz w:val="20"/>
          <w:szCs w:val="20"/>
        </w:rPr>
        <w:t>NTRODUCTION</w:t>
      </w:r>
    </w:p>
    <w:p w:rsidR="00920D27" w:rsidRPr="00843D4F"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 countries across the Global South, inclusive education is shaped by postcolonial histories and ideas of development that have been imported from Western nations (Armstrong et al., 2011; Grech, 2016). The advancement of the practice of inclusive education in these contexts is possible only with policies and practices that are locally informed and grounded, supported by sustainable teacher training, and informed by context-specific strategies and research (Forlin, 2013). Article 24 of the United Nations Convention on the Rights of Persons with Disabilities (UNCRPD, 2006) defines inclusive education as a system in which all learners, including those with disabilities, are educated together in mainstream settings with appropriate support. Importantly, inclusive education differs from integration, which involves placing students with disabilities in mainstream classrooms without adequate adaptation, thus expecting them to conform to existing norms (UNICEF, 2017). The rationale for inclusive education includes not only its potential to improve academic outcomes for all students but also its cost-effectiveness and its contribution to building a more inclusive society (UNICEF, 2017).</w:t>
      </w:r>
    </w:p>
    <w:p w:rsidR="00920D27" w:rsidRPr="00843D4F" w:rsidRDefault="00920D27" w:rsidP="005E27E7">
      <w:pPr>
        <w:spacing w:after="0" w:line="360" w:lineRule="auto"/>
        <w:rPr>
          <w:rFonts w:ascii="Arial" w:eastAsia="Times New Roman" w:hAnsi="Arial" w:cs="Arial"/>
          <w:sz w:val="20"/>
          <w:szCs w:val="20"/>
        </w:rPr>
      </w:pPr>
    </w:p>
    <w:p w:rsidR="00B61F7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Mirroring global definitions, in the Index for Inclusive Schools, India’s National Council of Educational Research and Training’s (NCERT, 2019) illustrated that the growth of the inclusive education movement in India could be viewed as evolving in stages from segregation, integration, and inclusion. In the segregation stage, educational provisions for children with disabilities are rooted in a medical model that emphasizes diagnosis, categorization, and special treatment. This phase prioritized services over rights, advocating for separate educational settings and differentiated curricula perceived as more appropriate for children with disabilities. The emphasis remained on inputs, such as special schools and individualized support, with professional involvement centered on the assumption that learners with disabilities needed to be managed in isolated environments. This approach operates under the notion that disability is a deficit and is within the individual. The integration stage, although still grounded in the medical model, marked a shift toward adaptations made for the individual. Children with disabilities were placed in regular schools, provided they could adapt to prevailing structures and norms. The focus during this phase shifted to curriculum delivery, educational process, and system efficiency, often managed by professionals who specialized in inclusion. The document describes that the focus of integration activities is for SWD (NCERT, 2019). The final stage described in the document was inclusion, which drew on the social model of disability and emphasized institutional adaptation. This stage focuses on rights, systemic reform, and the restructuring of educational environments to support all learners, not only those with disabilities.</w:t>
      </w:r>
    </w:p>
    <w:p w:rsidR="00920D27" w:rsidRDefault="00920D27"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Inclusion celebrated diversity, aimed to unify the system, and emphasized learning outcomes. It encouraged collaborative partnerships between professionals and parents and advocated for curriculum content that was flexible and responsive to learner variability. Schools are expected to accommodate differences and actively foster belonging and participation for all students. According to NCERT (2019), this approach aimed to position inclusion as a comprehensive framework for school improvement and effectiveness, rather than a marginal concern.</w:t>
      </w: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lastRenderedPageBreak/>
        <w:t xml:space="preserve">While national frameworks affirm the inclusive vision articulated in the Rights of Persons with Disabilities Act (RPWD Act, 2016) which defines inclusive education as a system where students with and without disabilities learn together through adapted pedagogies they are also influenced by broader initiatives such as </w:t>
      </w:r>
      <w:r w:rsidRPr="00843D4F">
        <w:rPr>
          <w:rFonts w:ascii="Arial" w:eastAsia="Times New Roman" w:hAnsi="Arial" w:cs="Arial"/>
          <w:i/>
          <w:sz w:val="20"/>
          <w:szCs w:val="20"/>
        </w:rPr>
        <w:t>Samagra Shiksha</w:t>
      </w:r>
      <w:r w:rsidRPr="00843D4F">
        <w:rPr>
          <w:rFonts w:ascii="Arial" w:eastAsia="Times New Roman" w:hAnsi="Arial" w:cs="Arial"/>
          <w:sz w:val="20"/>
          <w:szCs w:val="20"/>
        </w:rPr>
        <w:t xml:space="preserve"> (2018), India’s flagship "education for all" program. A recent meta-synthesis on perceptions of inclusive education found that educators often conceptualized inclusion not solely in relation to students with disabilities (SWD), but as a broader equity-oriented framework targeting all learners (</w:t>
      </w:r>
      <w:r w:rsidR="00925345" w:rsidRPr="00843D4F">
        <w:rPr>
          <w:rFonts w:ascii="Arial" w:eastAsia="Times New Roman" w:hAnsi="Arial" w:cs="Arial"/>
          <w:sz w:val="20"/>
          <w:szCs w:val="20"/>
        </w:rPr>
        <w:t>Author</w:t>
      </w:r>
      <w:r w:rsidRPr="00843D4F">
        <w:rPr>
          <w:rFonts w:ascii="Arial" w:eastAsia="Times New Roman" w:hAnsi="Arial" w:cs="Arial"/>
          <w:sz w:val="20"/>
          <w:szCs w:val="20"/>
        </w:rPr>
        <w:t>, 2025).</w:t>
      </w:r>
    </w:p>
    <w:p w:rsidR="00920D27" w:rsidRDefault="00920D27"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Despite the availability of indicators for inclusive schools, there is a lack of comprehensive studies that synthesize evidence on the actual implementation of inclusive education within the Indian context. Some reviews have examined implementation across the Global South more broadly. For instance, Mendoza and Heymann (2024) conducted a systematic review of 31 studies from 19 low- and middle-income countries. Their review included both qualitative and quantitative studies and considered perspectives from multiple stakeholders, such as educators, parents, students, community members, and non-governmental organizations (NGOs). It sought to identify interventions supporting inclusive education in resource-constrained environments. Findings underscored the importance of teacher training, instructional differentiation, and community engagement as essential for successful implementation. Although promising strategies such as Cluster-Based Instruction and school–community partnerships were noted, the authors highlighted a lack of consistent, high-quality evidence across studies. Moreover, educators’ voices, despite being critical to the success of inclusive initiatives, were often underrepresented.</w:t>
      </w:r>
    </w:p>
    <w:p w:rsidR="00920D27" w:rsidRDefault="00920D27"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Similarly, Hollings (2021) conducted a review of 18 studies, the majority of which were situated in low- and middle-income countries across the Middle East, Oceania, East Asia, Eurasia/Central Asia, Southeast Asia, and Africa. Although the review explicitly excluded studies from North America and Europe to focus on inclusive practices beyond Western contexts, it included studies from countries such as New Zealand, South Korea, and Japan, which are not typically categorized as part of the Global South (Kenny, 2025). Like Mendoza and Heymann’s review, Hollings included both quantitative and qualitative studies and considered a wide range of stakeholders beyond educators. The primary aim of the review was to map barriers to the implementation of inclusive education. The findings revealed persistent challenges, including cultural stigma, inadequate infrastructure, and poorly contextualized policy frameworks, many of which were adapted from Western models and found to be misaligned with local realities. Although teachers were acknowledged as key actors in implementing inclusive education, their perspectives were frequently overshadowed by administrative or systemic concerns. The review further emphasized the need for meaningful collaboration among stakeholders to cultivate genuinely inclusive educational communities.</w:t>
      </w:r>
    </w:p>
    <w:p w:rsidR="00920D27" w:rsidRDefault="00920D27" w:rsidP="005E27E7">
      <w:pPr>
        <w:spacing w:after="0" w:line="360" w:lineRule="auto"/>
        <w:rPr>
          <w:rFonts w:ascii="Arial" w:eastAsia="Times New Roman" w:hAnsi="Arial" w:cs="Arial"/>
          <w:sz w:val="20"/>
          <w:szCs w:val="20"/>
        </w:rPr>
      </w:pPr>
    </w:p>
    <w:p w:rsidR="00920D27"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Teachers are widely recognized as powerful implementers of inclusive education, positioned at the frontlines of addressing the growing diversity of learners in today’s classrooms. Their central role in shaping school culture and enacting inclusive practices also positions them as leaders in driving sustainable, context-sensitive inclusion (Rose, 2010; Sarkar &amp; Forber-Pratt, 2021). Given the critical importance of teacher voices and the notable gaps in literature specifically focused on their </w:t>
      </w:r>
      <w:r w:rsidRPr="00843D4F">
        <w:rPr>
          <w:rFonts w:ascii="Arial" w:eastAsia="Times New Roman" w:hAnsi="Arial" w:cs="Arial"/>
          <w:sz w:val="20"/>
          <w:szCs w:val="20"/>
        </w:rPr>
        <w:lastRenderedPageBreak/>
        <w:t>experiences in India, this meta-synthesis was undertaken to center educators’ perspectives on how inclusive education is interpreted and enacted in Indian schools.</w:t>
      </w:r>
    </w:p>
    <w:p w:rsidR="00920D27" w:rsidRDefault="004D4C86" w:rsidP="005E27E7">
      <w:pPr>
        <w:spacing w:after="0" w:line="360" w:lineRule="auto"/>
        <w:rPr>
          <w:rFonts w:ascii="Arial" w:eastAsia="Times New Roman" w:hAnsi="Arial" w:cs="Arial"/>
          <w:b/>
          <w:sz w:val="22"/>
          <w:szCs w:val="22"/>
        </w:rPr>
      </w:pPr>
      <w:r w:rsidRPr="00843D4F">
        <w:rPr>
          <w:rFonts w:ascii="Arial" w:eastAsia="Times New Roman" w:hAnsi="Arial" w:cs="Arial"/>
          <w:sz w:val="20"/>
          <w:szCs w:val="20"/>
        </w:rPr>
        <w:br/>
      </w:r>
      <w:r w:rsidR="004233A0" w:rsidRPr="00843D4F">
        <w:rPr>
          <w:rFonts w:ascii="Arial" w:eastAsia="Times New Roman" w:hAnsi="Arial" w:cs="Arial"/>
          <w:b/>
          <w:sz w:val="22"/>
          <w:szCs w:val="22"/>
        </w:rPr>
        <w:t xml:space="preserve">1.1 </w:t>
      </w:r>
      <w:r w:rsidRPr="00843D4F">
        <w:rPr>
          <w:rFonts w:ascii="Arial" w:eastAsia="Times New Roman" w:hAnsi="Arial" w:cs="Arial"/>
          <w:b/>
          <w:sz w:val="22"/>
          <w:szCs w:val="22"/>
        </w:rPr>
        <w:t>Rationale for the Study</w:t>
      </w: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br/>
      </w:r>
      <w:r w:rsidRPr="00843D4F">
        <w:rPr>
          <w:rFonts w:ascii="Arial" w:eastAsia="Times New Roman" w:hAnsi="Arial" w:cs="Arial"/>
          <w:sz w:val="20"/>
          <w:szCs w:val="20"/>
        </w:rPr>
        <w:t>This paper is part of a systematic meta-synthesis that consists of two studies and three research questions. The first study (</w:t>
      </w:r>
      <w:r w:rsidR="00925345" w:rsidRPr="00843D4F">
        <w:rPr>
          <w:rFonts w:ascii="Arial" w:eastAsia="Times New Roman" w:hAnsi="Arial" w:cs="Arial"/>
          <w:sz w:val="20"/>
          <w:szCs w:val="20"/>
        </w:rPr>
        <w:t>Author</w:t>
      </w:r>
      <w:r w:rsidRPr="00843D4F">
        <w:rPr>
          <w:rFonts w:ascii="Arial" w:eastAsia="Times New Roman" w:hAnsi="Arial" w:cs="Arial"/>
          <w:sz w:val="20"/>
          <w:szCs w:val="20"/>
        </w:rPr>
        <w:t xml:space="preserve">, 2025) examined educators’ perceptions of inclusive education and disability, addressing the following research questions: (a) perception of educators about inclusive education; (b) perception of educators about disability. Findings revealed that while educators often conceptualize inclusive education as a school culture that they are responsible for building, they also tend to hold deficit-oriented views of disability. The current study builds on those insights by exploring how educators implement inclusive education in practice. Whether their perceptions are reflected in their actions. Additionally, this review investigates the nature of training educators receive for inclusive education and how they perceive its effectiveness in preparing them for inclusive practice. Therefore, this phase of the meta-synthesis addresses the research question: </w:t>
      </w:r>
      <w:bookmarkStart w:id="3" w:name="_Hlk200444047"/>
      <w:r w:rsidRPr="00843D4F">
        <w:rPr>
          <w:rFonts w:ascii="Arial" w:eastAsia="Times New Roman" w:hAnsi="Arial" w:cs="Arial"/>
          <w:sz w:val="20"/>
          <w:szCs w:val="20"/>
        </w:rPr>
        <w:t>How is inclusive education taught and practiced in India?</w:t>
      </w:r>
    </w:p>
    <w:p w:rsidR="005D7D7A" w:rsidRPr="00843D4F" w:rsidRDefault="005D7D7A" w:rsidP="005E27E7">
      <w:pPr>
        <w:spacing w:after="0" w:line="360" w:lineRule="auto"/>
        <w:rPr>
          <w:rFonts w:ascii="Arial" w:eastAsia="Times New Roman" w:hAnsi="Arial" w:cs="Arial"/>
          <w:sz w:val="20"/>
          <w:szCs w:val="20"/>
        </w:rPr>
      </w:pPr>
    </w:p>
    <w:bookmarkEnd w:id="3"/>
    <w:p w:rsidR="004D4C86" w:rsidRDefault="004233A0" w:rsidP="005E27E7">
      <w:pPr>
        <w:spacing w:after="0" w:line="360" w:lineRule="auto"/>
        <w:rPr>
          <w:rFonts w:ascii="Arial" w:eastAsia="Times New Roman" w:hAnsi="Arial" w:cs="Arial"/>
          <w:b/>
          <w:sz w:val="22"/>
          <w:szCs w:val="22"/>
        </w:rPr>
      </w:pPr>
      <w:r w:rsidRPr="00843D4F">
        <w:rPr>
          <w:rFonts w:ascii="Arial" w:eastAsia="Times New Roman" w:hAnsi="Arial" w:cs="Arial"/>
          <w:b/>
          <w:sz w:val="22"/>
          <w:szCs w:val="22"/>
        </w:rPr>
        <w:t>2.</w:t>
      </w:r>
      <w:r w:rsidR="004D4C86" w:rsidRPr="00843D4F">
        <w:rPr>
          <w:rFonts w:ascii="Arial" w:eastAsia="Times New Roman" w:hAnsi="Arial" w:cs="Arial"/>
          <w:b/>
          <w:sz w:val="22"/>
          <w:szCs w:val="22"/>
        </w:rPr>
        <w:t>M</w:t>
      </w:r>
      <w:r w:rsidR="00843D4F" w:rsidRPr="00843D4F">
        <w:rPr>
          <w:rFonts w:ascii="Arial" w:eastAsia="Times New Roman" w:hAnsi="Arial" w:cs="Arial"/>
          <w:b/>
          <w:sz w:val="22"/>
          <w:szCs w:val="22"/>
        </w:rPr>
        <w:t>ETHODS</w:t>
      </w:r>
    </w:p>
    <w:p w:rsidR="00920D27" w:rsidRPr="00843D4F" w:rsidRDefault="00920D27" w:rsidP="005E27E7">
      <w:pPr>
        <w:spacing w:after="0" w:line="360" w:lineRule="auto"/>
        <w:rPr>
          <w:rFonts w:ascii="Arial" w:eastAsia="Times New Roman" w:hAnsi="Arial" w:cs="Arial"/>
          <w:b/>
          <w:sz w:val="22"/>
          <w:szCs w:val="22"/>
        </w:rPr>
      </w:pPr>
    </w:p>
    <w:p w:rsidR="004D4C86" w:rsidRDefault="004233A0" w:rsidP="005E27E7">
      <w:pPr>
        <w:spacing w:after="0" w:line="360" w:lineRule="auto"/>
        <w:rPr>
          <w:rFonts w:ascii="Arial" w:eastAsia="Times New Roman" w:hAnsi="Arial" w:cs="Arial"/>
          <w:b/>
          <w:sz w:val="22"/>
          <w:szCs w:val="22"/>
        </w:rPr>
      </w:pPr>
      <w:bookmarkStart w:id="4" w:name="_heading=h.oeuqt28yoru6"/>
      <w:bookmarkEnd w:id="4"/>
      <w:r w:rsidRPr="00843D4F">
        <w:rPr>
          <w:rFonts w:ascii="Arial" w:eastAsia="Times New Roman" w:hAnsi="Arial" w:cs="Arial"/>
          <w:b/>
          <w:sz w:val="22"/>
          <w:szCs w:val="22"/>
        </w:rPr>
        <w:t>2.</w:t>
      </w:r>
      <w:r w:rsidR="00843D4F" w:rsidRPr="00843D4F">
        <w:rPr>
          <w:rFonts w:ascii="Arial" w:eastAsia="Times New Roman" w:hAnsi="Arial" w:cs="Arial"/>
          <w:b/>
          <w:sz w:val="22"/>
          <w:szCs w:val="22"/>
        </w:rPr>
        <w:t>1</w:t>
      </w:r>
      <w:r w:rsidRPr="00843D4F">
        <w:rPr>
          <w:rFonts w:ascii="Arial" w:eastAsia="Times New Roman" w:hAnsi="Arial" w:cs="Arial"/>
          <w:b/>
          <w:sz w:val="22"/>
          <w:szCs w:val="22"/>
        </w:rPr>
        <w:t xml:space="preserve">. </w:t>
      </w:r>
      <w:r w:rsidR="004D4C86" w:rsidRPr="00843D4F">
        <w:rPr>
          <w:rFonts w:ascii="Arial" w:eastAsia="Times New Roman" w:hAnsi="Arial" w:cs="Arial"/>
          <w:b/>
          <w:sz w:val="22"/>
          <w:szCs w:val="22"/>
        </w:rPr>
        <w:t>Study Design</w:t>
      </w:r>
    </w:p>
    <w:p w:rsidR="00920D27" w:rsidRPr="00843D4F" w:rsidRDefault="00920D27" w:rsidP="005E27E7">
      <w:pPr>
        <w:spacing w:after="0" w:line="360" w:lineRule="auto"/>
        <w:rPr>
          <w:rFonts w:ascii="Arial" w:eastAsia="Times New Roman" w:hAnsi="Arial" w:cs="Arial"/>
          <w:b/>
          <w:sz w:val="22"/>
          <w:szCs w:val="22"/>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This study employed a qualitative meta-synthesis to investigate how inclusive education is implemented in Indian classrooms and how teacher preparation programs facilitate inclusive teaching practices. Meta-synthesis is particularly well-suited for analyzing individual experiences and interpretations of a phenomenon within specific sociocultural contexts (Chrastina, 2018). While some reviews have examined the implementation of inclusive education more broadly in middle to low-income countries, there are none that focus specifically on India ( Hollings, 2021; Mendoza &amp; Heymann, 2024). The decision to use a meta-synthesis stems from its capacity to go beyond simple aggregation of results. It allows for a critical and interpretive integration of findings, offering new conceptual insights into how inclusive education is taught and enacted across diverse educational contexts (Noblit &amp; Hare, 1988). This method is especially valuable in contexts like India, where regional, cultural, and institutional variation shapes educational practice in complex ways. By comparing and contextualizing findings across studies, meta-synthesis helps generate more transferable and nuanced understandings, even when working with data that are inherently context-bound (Finfgeld-Connett, 2018).</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This paper builds upon a previous meta-synthesis that examined how educators perceive disability and inclusion. In contrast, the present study shifts focus to the operationalization of inclusion, how inclusive practices are carried out in classrooms, and the ways in which teacher education supports or hinders these practices.</w:t>
      </w:r>
    </w:p>
    <w:p w:rsidR="00920D27" w:rsidRPr="00843D4F" w:rsidRDefault="00920D27" w:rsidP="005E27E7">
      <w:pPr>
        <w:spacing w:after="0" w:line="360" w:lineRule="auto"/>
        <w:rPr>
          <w:rFonts w:ascii="Arial" w:eastAsia="Times New Roman" w:hAnsi="Arial" w:cs="Arial"/>
          <w:sz w:val="20"/>
          <w:szCs w:val="20"/>
        </w:rPr>
      </w:pPr>
    </w:p>
    <w:p w:rsidR="00920D27" w:rsidRDefault="00843D4F" w:rsidP="005E27E7">
      <w:pPr>
        <w:spacing w:after="0" w:line="360" w:lineRule="auto"/>
        <w:rPr>
          <w:rFonts w:ascii="Arial" w:eastAsia="Times New Roman" w:hAnsi="Arial" w:cs="Arial"/>
          <w:b/>
          <w:sz w:val="22"/>
          <w:szCs w:val="22"/>
        </w:rPr>
      </w:pPr>
      <w:r w:rsidRPr="00843D4F">
        <w:rPr>
          <w:rFonts w:ascii="Arial" w:eastAsia="Times New Roman" w:hAnsi="Arial" w:cs="Arial"/>
          <w:b/>
          <w:sz w:val="22"/>
          <w:szCs w:val="22"/>
        </w:rPr>
        <w:lastRenderedPageBreak/>
        <w:t>2.2.</w:t>
      </w:r>
      <w:r w:rsidR="004D4C86" w:rsidRPr="00843D4F">
        <w:rPr>
          <w:rFonts w:ascii="Arial" w:eastAsia="Times New Roman" w:hAnsi="Arial" w:cs="Arial"/>
          <w:b/>
          <w:sz w:val="22"/>
          <w:szCs w:val="22"/>
        </w:rPr>
        <w:t>Search and Screening Strategy</w:t>
      </w: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br/>
        <w:t>An electronic search was conducted using five databases: Education Source, APA PsycArticles, APA PsycINFO, ERIC, Education Database, and Web of Science. Because I was interested in three research questions, I identified studies that addressed one or more of those questions. Due to the vast amount of data pulled from the studies, the first two original research questions are as follows: (a) How do researchers define inclusion? and (b) How do teachers perceive disability and inclusion?—were addressed in a separate paper (</w:t>
      </w:r>
      <w:r w:rsidR="00925345" w:rsidRPr="00843D4F">
        <w:rPr>
          <w:rFonts w:ascii="Arial" w:eastAsia="Times New Roman" w:hAnsi="Arial" w:cs="Arial"/>
          <w:sz w:val="20"/>
          <w:szCs w:val="20"/>
        </w:rPr>
        <w:t>Author</w:t>
      </w:r>
      <w:r w:rsidRPr="00843D4F">
        <w:rPr>
          <w:rFonts w:ascii="Arial" w:eastAsia="Times New Roman" w:hAnsi="Arial" w:cs="Arial"/>
          <w:sz w:val="20"/>
          <w:szCs w:val="20"/>
        </w:rPr>
        <w:t>, 2025). The current paper focuses exclusively on the third research question: How is inclusive education taught and practiced in India? Notably, the inclusion criteria and search procedures were consistent across all three questions.</w:t>
      </w: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The search strategy involved combinations of the following terms: (inclusion OR inclu* OR inclusive practices OR inclusive strategies); (disability education OR disabilit*); (teacher OR educator); (India). Studies were included in the review based on the following criteria:</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Participants of the study consisted of teachers in inclusive settings, pre-service teachers, special educators, school administrators, and subject teachers.</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The study focuses on inclusive practice. Different models of inclusion, such as mainstreaming and integration, were included. This approach was chosen to encompass the diverse educational settings that serve SWD that are used in the Indian context (Farrell, 2016).</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Studies were published between 2012 to 2023 to capture the most recent literature.</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Studies used a qualitative research design or mixed methods design that included qualitative descriptive data.</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Studies were published in peer-reviewed journals.</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Studies addressed implementation of inclusive education and teacher preparation for inclusion. </w:t>
      </w:r>
    </w:p>
    <w:p w:rsidR="004D4C86" w:rsidRPr="00843D4F" w:rsidRDefault="004D4C86" w:rsidP="005E27E7">
      <w:pPr>
        <w:numPr>
          <w:ilvl w:val="0"/>
          <w:numId w:val="3"/>
        </w:num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Study was conducted in India. </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The initial search yielded 769 articles. After title and abstract screening, 389 articles were retained for full-text review, with 311 excluded. A total of 78 studies underwent full-text screening using the inclusion criteria. Of these, 56 were excluded, and 21 were included. One additional article was identified through an ancestral search, resulting in a final sample of 20 studies for synthesis. Figure 1 presents the PRISMA flow diagram (Page et al., 2021), which outlines the study selection process and details the reasons for exclusion at each stage.</w:t>
      </w:r>
    </w:p>
    <w:p w:rsidR="00920D27" w:rsidRPr="00843D4F" w:rsidRDefault="00920D27" w:rsidP="005E27E7">
      <w:pPr>
        <w:spacing w:after="0" w:line="360" w:lineRule="auto"/>
        <w:ind w:firstLine="360"/>
        <w:rPr>
          <w:rFonts w:ascii="Arial" w:eastAsia="Times New Roman" w:hAnsi="Arial" w:cs="Arial"/>
          <w:sz w:val="20"/>
          <w:szCs w:val="20"/>
        </w:rPr>
      </w:pPr>
    </w:p>
    <w:p w:rsidR="00920D27" w:rsidRDefault="00843D4F" w:rsidP="005E27E7">
      <w:pPr>
        <w:spacing w:after="0" w:line="360" w:lineRule="auto"/>
        <w:rPr>
          <w:rFonts w:ascii="Arial" w:eastAsia="Times New Roman" w:hAnsi="Arial" w:cs="Arial"/>
          <w:b/>
          <w:sz w:val="22"/>
          <w:szCs w:val="22"/>
        </w:rPr>
      </w:pPr>
      <w:r w:rsidRPr="00843D4F">
        <w:rPr>
          <w:rFonts w:ascii="Arial" w:eastAsia="Times New Roman" w:hAnsi="Arial" w:cs="Arial"/>
          <w:b/>
          <w:sz w:val="22"/>
          <w:szCs w:val="22"/>
        </w:rPr>
        <w:t xml:space="preserve">2.3. </w:t>
      </w:r>
      <w:r w:rsidR="004D4C86" w:rsidRPr="00843D4F">
        <w:rPr>
          <w:rFonts w:ascii="Arial" w:eastAsia="Times New Roman" w:hAnsi="Arial" w:cs="Arial"/>
          <w:b/>
          <w:sz w:val="22"/>
          <w:szCs w:val="22"/>
        </w:rPr>
        <w:t>Data Analysis</w:t>
      </w:r>
    </w:p>
    <w:p w:rsidR="00920D27"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i/>
          <w:sz w:val="20"/>
          <w:szCs w:val="20"/>
        </w:rPr>
        <w:br/>
      </w:r>
      <w:r w:rsidRPr="00843D4F">
        <w:rPr>
          <w:rFonts w:ascii="Arial" w:eastAsia="Times New Roman" w:hAnsi="Arial" w:cs="Arial"/>
          <w:sz w:val="20"/>
          <w:szCs w:val="20"/>
        </w:rPr>
        <w:tab/>
      </w: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Data extraction and analysis followed a systematic multi-step approach. A protocol was used to extract key study information, including author(s), year, study purpose, participants, methodology, data collection and analysis methods, and major findings (Peters et al., 2015). The selected studies were appraised for quality using the Critical Appraisal Skills Program (CASP), which offers strong descriptive validity for qualitative evidence (Hannes et al., 2010).</w:t>
      </w:r>
    </w:p>
    <w:p w:rsidR="00920D27" w:rsidRPr="00843D4F" w:rsidRDefault="00920D27"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Each study was reviewed and coded using separate tabs in a Google Sheet, one sheet focused on descriptions of inclusive education practices or implementation, and the other on teacher preparation. Relevant excerpts from the results sections, including both direct participant quotes and author inferences, were inductively coded. The first stage of analysis involved data segmentation, which entailed breaking down the findings into discrete parts, each of which was categorized as a meaning unit. These meaning units were then condensed and labeled with descriptive codes. Following the guidance of O'Connor and Joffe (2020), 25% of the data units were randomly selected for review by a second rater, an associate professor in special education who specializes in school inclusion and exclusion of SWD. The second rater reviewed the data at each step of the coding process. Disagreements were discussed and I reviewed and made adjustments to improve the accuracy of the coding process.</w:t>
      </w:r>
    </w:p>
    <w:p w:rsidR="00920D27" w:rsidRDefault="00920D27"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The average agreement rate of meaning units was 86%, 97.5% for condensed meaning units, 97.5% for codes, and 96.45% for categories. At the category level, codes were reviewed against the condensed meaning units to resolve disagreements. See Table 1 for an example of the coding process. </w:t>
      </w:r>
    </w:p>
    <w:p w:rsidR="00D5132C" w:rsidRDefault="00D5132C" w:rsidP="005E27E7">
      <w:pPr>
        <w:spacing w:after="0" w:line="360" w:lineRule="auto"/>
        <w:rPr>
          <w:rFonts w:ascii="Arial" w:eastAsia="Times New Roman" w:hAnsi="Arial" w:cs="Arial"/>
          <w:b/>
          <w:sz w:val="20"/>
          <w:szCs w:val="20"/>
        </w:rPr>
      </w:pPr>
    </w:p>
    <w:p w:rsidR="00D5132C" w:rsidRDefault="00D5132C" w:rsidP="005E27E7">
      <w:pPr>
        <w:spacing w:after="0" w:line="360" w:lineRule="auto"/>
        <w:rPr>
          <w:rFonts w:ascii="Arial" w:eastAsia="Times New Roman" w:hAnsi="Arial" w:cs="Arial"/>
          <w:b/>
          <w:sz w:val="20"/>
          <w:szCs w:val="20"/>
        </w:rPr>
      </w:pPr>
    </w:p>
    <w:p w:rsidR="005E27E7" w:rsidRDefault="005E27E7">
      <w:pPr>
        <w:rPr>
          <w:rFonts w:ascii="Arial" w:eastAsia="Times New Roman" w:hAnsi="Arial" w:cs="Arial"/>
          <w:b/>
          <w:sz w:val="20"/>
          <w:szCs w:val="20"/>
        </w:rPr>
      </w:pPr>
      <w:r>
        <w:rPr>
          <w:rFonts w:ascii="Arial" w:eastAsia="Times New Roman" w:hAnsi="Arial" w:cs="Arial"/>
          <w:b/>
          <w:sz w:val="20"/>
          <w:szCs w:val="20"/>
        </w:rPr>
        <w:br w:type="page"/>
      </w:r>
    </w:p>
    <w:p w:rsidR="004D4C86" w:rsidRPr="005D7D7A" w:rsidRDefault="004D4C86" w:rsidP="005E27E7">
      <w:pPr>
        <w:spacing w:after="0" w:line="360" w:lineRule="auto"/>
        <w:rPr>
          <w:rFonts w:ascii="Arial" w:eastAsia="Times New Roman" w:hAnsi="Arial" w:cs="Arial"/>
          <w:b/>
          <w:sz w:val="20"/>
          <w:szCs w:val="20"/>
        </w:rPr>
      </w:pPr>
      <w:r w:rsidRPr="00843D4F">
        <w:rPr>
          <w:rFonts w:ascii="Arial" w:eastAsia="Times New Roman" w:hAnsi="Arial" w:cs="Arial"/>
          <w:b/>
          <w:sz w:val="20"/>
          <w:szCs w:val="20"/>
        </w:rPr>
        <w:lastRenderedPageBreak/>
        <w:t>Table 1</w:t>
      </w:r>
      <w:r w:rsidRPr="00843D4F">
        <w:rPr>
          <w:rFonts w:ascii="Arial" w:eastAsia="Times New Roman" w:hAnsi="Arial" w:cs="Arial"/>
          <w:sz w:val="20"/>
          <w:szCs w:val="20"/>
        </w:rPr>
        <w:br/>
      </w:r>
      <w:r w:rsidRPr="00843D4F">
        <w:rPr>
          <w:rFonts w:ascii="Arial" w:eastAsia="Times New Roman" w:hAnsi="Arial" w:cs="Arial"/>
          <w:i/>
          <w:sz w:val="20"/>
          <w:szCs w:val="20"/>
        </w:rPr>
        <w:t>Demonstration of the coding process</w:t>
      </w:r>
    </w:p>
    <w:tbl>
      <w:tblPr>
        <w:tblW w:w="9360" w:type="dxa"/>
        <w:tblBorders>
          <w:insideH w:val="nil"/>
          <w:insideV w:val="nil"/>
        </w:tblBorders>
        <w:tblLayout w:type="fixed"/>
        <w:tblLook w:val="0600"/>
      </w:tblPr>
      <w:tblGrid>
        <w:gridCol w:w="3444"/>
        <w:gridCol w:w="1806"/>
        <w:gridCol w:w="1309"/>
        <w:gridCol w:w="1492"/>
        <w:gridCol w:w="1309"/>
      </w:tblGrid>
      <w:tr w:rsidR="004D4C86" w:rsidRPr="00843D4F" w:rsidTr="004D4C86">
        <w:trPr>
          <w:trHeight w:val="1155"/>
        </w:trPr>
        <w:tc>
          <w:tcPr>
            <w:tcW w:w="3442"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Meaning Units</w:t>
            </w:r>
          </w:p>
        </w:tc>
        <w:tc>
          <w:tcPr>
            <w:tcW w:w="1806"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Condensed meaning units</w:t>
            </w:r>
          </w:p>
        </w:tc>
        <w:tc>
          <w:tcPr>
            <w:tcW w:w="1309" w:type="dxa"/>
            <w:tcBorders>
              <w:top w:val="single" w:sz="8" w:space="0" w:color="000000"/>
              <w:left w:val="nil"/>
              <w:bottom w:val="single" w:sz="8" w:space="0" w:color="000000"/>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Codes</w:t>
            </w:r>
          </w:p>
        </w:tc>
        <w:tc>
          <w:tcPr>
            <w:tcW w:w="1492" w:type="dxa"/>
            <w:tcBorders>
              <w:top w:val="single" w:sz="8" w:space="0" w:color="000000"/>
              <w:left w:val="nil"/>
              <w:bottom w:val="single" w:sz="8" w:space="0" w:color="000000"/>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Categories-who, what, when or where?</w:t>
            </w:r>
          </w:p>
        </w:tc>
        <w:tc>
          <w:tcPr>
            <w:tcW w:w="1309" w:type="dxa"/>
            <w:tcBorders>
              <w:top w:val="single" w:sz="8" w:space="0" w:color="000000"/>
              <w:left w:val="nil"/>
              <w:bottom w:val="single" w:sz="8" w:space="0" w:color="000000"/>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Finalized Categories</w:t>
            </w:r>
          </w:p>
        </w:tc>
      </w:tr>
      <w:tr w:rsidR="004D4C86" w:rsidRPr="00843D4F" w:rsidTr="004D4C86">
        <w:trPr>
          <w:trHeight w:val="1425"/>
        </w:trPr>
        <w:tc>
          <w:tcPr>
            <w:tcW w:w="3442" w:type="dxa"/>
            <w:tcBorders>
              <w:top w:val="single" w:sz="8" w:space="0" w:color="000000"/>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They described how disabled children attending mainstream schools are neglected in classrooms and are rarely provided opportunities to interact with their classmates</w:t>
            </w:r>
          </w:p>
        </w:tc>
        <w:tc>
          <w:tcPr>
            <w:tcW w:w="1806" w:type="dxa"/>
            <w:tcBorders>
              <w:top w:val="single" w:sz="8" w:space="0" w:color="000000"/>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Disabled children in mainstream schools are neglected and isolated from peers</w:t>
            </w:r>
          </w:p>
        </w:tc>
        <w:tc>
          <w:tcPr>
            <w:tcW w:w="1309" w:type="dxa"/>
            <w:tcBorders>
              <w:top w:val="single" w:sz="8" w:space="0" w:color="000000"/>
              <w:left w:val="nil"/>
              <w:bottom w:val="nil"/>
              <w:right w:val="nil"/>
            </w:tcBorders>
            <w:tcMar>
              <w:top w:w="40" w:type="dxa"/>
              <w:left w:w="40" w:type="dxa"/>
              <w:bottom w:w="40" w:type="dxa"/>
              <w:right w:w="40" w:type="dxa"/>
            </w:tcMar>
          </w:tcPr>
          <w:p w:rsidR="004D4C86" w:rsidRPr="00843D4F" w:rsidRDefault="004D4C86"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SWD isolated from peers</w:t>
            </w:r>
          </w:p>
        </w:tc>
        <w:tc>
          <w:tcPr>
            <w:tcW w:w="1492" w:type="dxa"/>
            <w:tcBorders>
              <w:top w:val="single" w:sz="8" w:space="0" w:color="000000"/>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What: peer access</w:t>
            </w:r>
          </w:p>
        </w:tc>
        <w:tc>
          <w:tcPr>
            <w:tcW w:w="1309" w:type="dxa"/>
            <w:tcBorders>
              <w:top w:val="single" w:sz="8" w:space="0" w:color="000000"/>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r w:rsidR="004D4C86" w:rsidRPr="00843D4F" w:rsidTr="004D4C86">
        <w:trPr>
          <w:trHeight w:val="1155"/>
        </w:trPr>
        <w:tc>
          <w:tcPr>
            <w:tcW w:w="3442"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Teachers in the rural school had limited access to support, with a lack of specialist teachers for planning and delivering the curriculum.</w:t>
            </w:r>
          </w:p>
        </w:tc>
        <w:tc>
          <w:tcPr>
            <w:tcW w:w="1806"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Rural school had limited resources especially a specialist teacher</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Resources</w:t>
            </w:r>
          </w:p>
        </w:tc>
        <w:tc>
          <w:tcPr>
            <w:tcW w:w="1492"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What: resources/ support</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r w:rsidR="004D4C86" w:rsidRPr="00843D4F" w:rsidTr="004D4C86">
        <w:trPr>
          <w:trHeight w:val="1695"/>
        </w:trPr>
        <w:tc>
          <w:tcPr>
            <w:tcW w:w="3442"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 extreme cases of behavioural issues that lead to regular disruption of the class or harm to other students, parents were advised to consult counsellors outside the school.</w:t>
            </w:r>
          </w:p>
        </w:tc>
        <w:tc>
          <w:tcPr>
            <w:tcW w:w="1806"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Parents were advised to consult counsellors outside school for disruptive behaviours</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services outside school</w:t>
            </w:r>
          </w:p>
        </w:tc>
        <w:tc>
          <w:tcPr>
            <w:tcW w:w="1492"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What: services</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r w:rsidR="004D4C86" w:rsidRPr="00843D4F" w:rsidTr="004D4C86">
        <w:trPr>
          <w:trHeight w:val="2235"/>
        </w:trPr>
        <w:tc>
          <w:tcPr>
            <w:tcW w:w="3442"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"So my daughter she wouldn't get admission into the special school because they felt she didn't need a special school because she comes somewhere in-between. So she is a slow learner, having a specific learning disability so she wouldn't come into, they felt, the school."</w:t>
            </w:r>
          </w:p>
        </w:tc>
        <w:tc>
          <w:tcPr>
            <w:tcW w:w="1806"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Child not admitted to the special school because she had moderate disability, being a slow learner with a specific learning disability.</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admission</w:t>
            </w:r>
          </w:p>
        </w:tc>
        <w:tc>
          <w:tcPr>
            <w:tcW w:w="1492"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Who: in-between case</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r w:rsidR="004D4C86" w:rsidRPr="00843D4F" w:rsidTr="004D4C86">
        <w:trPr>
          <w:trHeight w:val="615"/>
        </w:trPr>
        <w:tc>
          <w:tcPr>
            <w:tcW w:w="3442"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Their schools were having all facilities for SC, ST, OBC category of children</w:t>
            </w:r>
          </w:p>
        </w:tc>
        <w:tc>
          <w:tcPr>
            <w:tcW w:w="1806"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Facilities for SC, ST, OBC category</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SC, ST, OBC</w:t>
            </w:r>
          </w:p>
        </w:tc>
        <w:tc>
          <w:tcPr>
            <w:tcW w:w="1492"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Who: SC, ST, OBC</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r w:rsidR="004D4C86" w:rsidRPr="00843D4F" w:rsidTr="004D4C86">
        <w:trPr>
          <w:trHeight w:val="1155"/>
        </w:trPr>
        <w:tc>
          <w:tcPr>
            <w:tcW w:w="3442"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38.8% indicated that their schools follow universal access and retention for elementary education.</w:t>
            </w:r>
          </w:p>
        </w:tc>
        <w:tc>
          <w:tcPr>
            <w:tcW w:w="1806"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38.8% of schools follow universal access and retention.</w:t>
            </w:r>
          </w:p>
        </w:tc>
        <w:tc>
          <w:tcPr>
            <w:tcW w:w="1309"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 and retention</w:t>
            </w:r>
          </w:p>
        </w:tc>
        <w:tc>
          <w:tcPr>
            <w:tcW w:w="1492" w:type="dxa"/>
            <w:tcBorders>
              <w:top w:val="nil"/>
              <w:left w:val="nil"/>
              <w:bottom w:val="nil"/>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What: access and retention</w:t>
            </w:r>
          </w:p>
        </w:tc>
        <w:tc>
          <w:tcPr>
            <w:tcW w:w="1309" w:type="dxa"/>
            <w:tcBorders>
              <w:top w:val="nil"/>
              <w:left w:val="nil"/>
              <w:bottom w:val="nil"/>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r w:rsidR="004D4C86" w:rsidRPr="00843D4F" w:rsidTr="004D4C86">
        <w:trPr>
          <w:trHeight w:val="2040"/>
        </w:trPr>
        <w:tc>
          <w:tcPr>
            <w:tcW w:w="3442" w:type="dxa"/>
            <w:tcBorders>
              <w:top w:val="nil"/>
              <w:left w:val="nil"/>
              <w:bottom w:val="single" w:sz="8" w:space="0" w:color="000000"/>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lastRenderedPageBreak/>
              <w:t>Some of the schools in this study after having 'accidentally' admitted children with disabilities claimed that it was their conscious decision to take in children with special needs if approached by parents.</w:t>
            </w:r>
          </w:p>
        </w:tc>
        <w:tc>
          <w:tcPr>
            <w:tcW w:w="1806" w:type="dxa"/>
            <w:tcBorders>
              <w:top w:val="nil"/>
              <w:left w:val="nil"/>
              <w:bottom w:val="single" w:sz="8" w:space="0" w:color="000000"/>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Accidental admissions framed as conscious decisions.</w:t>
            </w:r>
          </w:p>
        </w:tc>
        <w:tc>
          <w:tcPr>
            <w:tcW w:w="1309" w:type="dxa"/>
            <w:tcBorders>
              <w:top w:val="nil"/>
              <w:left w:val="nil"/>
              <w:bottom w:val="single" w:sz="8" w:space="0" w:color="000000"/>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accidental admission</w:t>
            </w:r>
          </w:p>
        </w:tc>
        <w:tc>
          <w:tcPr>
            <w:tcW w:w="1492" w:type="dxa"/>
            <w:tcBorders>
              <w:top w:val="nil"/>
              <w:left w:val="nil"/>
              <w:bottom w:val="single" w:sz="8" w:space="0" w:color="000000"/>
              <w:right w:val="nil"/>
            </w:tcBorders>
            <w:shd w:val="clear" w:color="auto" w:fill="FFFFFF"/>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What: admissions</w:t>
            </w:r>
          </w:p>
        </w:tc>
        <w:tc>
          <w:tcPr>
            <w:tcW w:w="1309" w:type="dxa"/>
            <w:tcBorders>
              <w:top w:val="nil"/>
              <w:left w:val="nil"/>
              <w:bottom w:val="single" w:sz="8" w:space="0" w:color="000000"/>
              <w:right w:val="nil"/>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r>
    </w:tbl>
    <w:p w:rsidR="00843D4F" w:rsidRPr="005D7D7A" w:rsidRDefault="004D4C86" w:rsidP="005E27E7">
      <w:pPr>
        <w:spacing w:after="0" w:line="360" w:lineRule="auto"/>
        <w:rPr>
          <w:rFonts w:ascii="Arial" w:eastAsia="Times New Roman" w:hAnsi="Arial" w:cs="Arial"/>
          <w:sz w:val="18"/>
          <w:szCs w:val="18"/>
        </w:rPr>
      </w:pPr>
      <w:r w:rsidRPr="00843D4F">
        <w:rPr>
          <w:rFonts w:ascii="Arial" w:eastAsia="Times New Roman" w:hAnsi="Arial" w:cs="Arial"/>
          <w:i/>
          <w:sz w:val="18"/>
          <w:szCs w:val="18"/>
        </w:rPr>
        <w:t>Note.</w:t>
      </w:r>
      <w:r w:rsidRPr="00843D4F">
        <w:rPr>
          <w:rFonts w:ascii="Arial" w:eastAsia="Times New Roman" w:hAnsi="Arial" w:cs="Arial"/>
          <w:sz w:val="18"/>
          <w:szCs w:val="18"/>
        </w:rPr>
        <w:t xml:space="preserve"> SWD = students with disabilities, SC = scheduled castes, ST= Schedules tribes, OBC = other backward castes</w:t>
      </w:r>
    </w:p>
    <w:p w:rsidR="004D4C86" w:rsidRDefault="00843D4F" w:rsidP="005E27E7">
      <w:pPr>
        <w:spacing w:after="0" w:line="360" w:lineRule="auto"/>
        <w:rPr>
          <w:rFonts w:ascii="Arial" w:eastAsia="Times New Roman" w:hAnsi="Arial" w:cs="Arial"/>
          <w:b/>
        </w:rPr>
      </w:pPr>
      <w:r w:rsidRPr="00843D4F">
        <w:rPr>
          <w:rFonts w:ascii="Arial" w:eastAsia="Times New Roman" w:hAnsi="Arial" w:cs="Arial"/>
          <w:b/>
        </w:rPr>
        <w:t xml:space="preserve">3. </w:t>
      </w:r>
      <w:r w:rsidR="004D4C86" w:rsidRPr="00843D4F">
        <w:rPr>
          <w:rFonts w:ascii="Arial" w:eastAsia="Times New Roman" w:hAnsi="Arial" w:cs="Arial"/>
          <w:b/>
        </w:rPr>
        <w:t>F</w:t>
      </w:r>
      <w:r w:rsidRPr="00843D4F">
        <w:rPr>
          <w:rFonts w:ascii="Arial" w:eastAsia="Times New Roman" w:hAnsi="Arial" w:cs="Arial"/>
          <w:b/>
        </w:rPr>
        <w:t>INDINGS</w:t>
      </w:r>
    </w:p>
    <w:p w:rsidR="00920D27" w:rsidRPr="00843D4F" w:rsidRDefault="00920D27" w:rsidP="005E27E7">
      <w:pPr>
        <w:spacing w:after="0" w:line="360" w:lineRule="auto"/>
        <w:rPr>
          <w:rFonts w:ascii="Arial" w:eastAsia="Times New Roman" w:hAnsi="Arial" w:cs="Arial"/>
          <w:b/>
        </w:rPr>
      </w:pPr>
    </w:p>
    <w:p w:rsidR="004D4C86" w:rsidRDefault="00843D4F" w:rsidP="005E27E7">
      <w:pPr>
        <w:spacing w:after="0" w:line="360" w:lineRule="auto"/>
        <w:rPr>
          <w:rFonts w:ascii="Arial" w:eastAsia="Times New Roman" w:hAnsi="Arial" w:cs="Arial"/>
          <w:b/>
          <w:sz w:val="22"/>
          <w:szCs w:val="22"/>
        </w:rPr>
      </w:pPr>
      <w:r w:rsidRPr="00843D4F">
        <w:rPr>
          <w:rFonts w:ascii="Arial" w:eastAsia="Times New Roman" w:hAnsi="Arial" w:cs="Arial"/>
          <w:b/>
          <w:sz w:val="22"/>
          <w:szCs w:val="22"/>
        </w:rPr>
        <w:t xml:space="preserve">3.1. </w:t>
      </w:r>
      <w:r w:rsidR="004D4C86" w:rsidRPr="00843D4F">
        <w:rPr>
          <w:rFonts w:ascii="Arial" w:eastAsia="Times New Roman" w:hAnsi="Arial" w:cs="Arial"/>
          <w:b/>
          <w:sz w:val="22"/>
          <w:szCs w:val="22"/>
        </w:rPr>
        <w:t xml:space="preserve"> Implementation of Inclusive Education </w:t>
      </w:r>
    </w:p>
    <w:p w:rsidR="00920D27" w:rsidRPr="00843D4F" w:rsidRDefault="00920D27" w:rsidP="005E27E7">
      <w:pPr>
        <w:spacing w:after="0" w:line="360" w:lineRule="auto"/>
        <w:rPr>
          <w:rFonts w:ascii="Arial" w:eastAsia="Times New Roman" w:hAnsi="Arial" w:cs="Arial"/>
          <w:b/>
          <w:sz w:val="22"/>
          <w:szCs w:val="22"/>
        </w:rPr>
      </w:pP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This section presents the results of open coding applied to data on instances of implementation of inclusive education. </w:t>
      </w:r>
      <w:bookmarkStart w:id="5" w:name="_Hlk200448439"/>
      <w:r w:rsidRPr="00843D4F">
        <w:rPr>
          <w:rFonts w:ascii="Arial" w:eastAsia="Times New Roman" w:hAnsi="Arial" w:cs="Arial"/>
          <w:sz w:val="20"/>
          <w:szCs w:val="20"/>
        </w:rPr>
        <w:t>The key categories that emerged include barriers, classroom culture, placement of students, and adaptations</w:t>
      </w:r>
      <w:bookmarkEnd w:id="5"/>
      <w:r w:rsidRPr="00843D4F">
        <w:rPr>
          <w:rFonts w:ascii="Arial" w:eastAsia="Times New Roman" w:hAnsi="Arial" w:cs="Arial"/>
          <w:sz w:val="20"/>
          <w:szCs w:val="20"/>
        </w:rPr>
        <w:t xml:space="preserve">.  Table 2 illustrates the proportion of these categories as identified through the coding process. Out of the 20 studies included in the review, 17 studies addressed the implementation of inclusive education (Ahmed &amp; Ali, 2021; Charles &amp;Padhy, 2019; D'Souza &amp; Johnson, 2015; Devi Reddy, 2016; Elton-Chalcraft et al., 2016; Forber-Pratt &amp; Sarkar, 2021; Kundu &amp; Rice, 2019; Mohanty &amp; Nanda, 2017; Naraian, 2013; Ramchand, 2021; Rangarajan et al., 2023; Rose et al., 2021; Sawhney, 2015; Taneja-Johansson, 2014; Taneja-Johansson et al., 2023; Tiwari, 2023; Tiwari et al., 2015). </w:t>
      </w:r>
    </w:p>
    <w:p w:rsidR="00843D4F" w:rsidRDefault="00843D4F" w:rsidP="005E27E7">
      <w:pPr>
        <w:spacing w:after="0" w:line="360" w:lineRule="auto"/>
        <w:rPr>
          <w:rFonts w:ascii="Arial" w:eastAsia="Times New Roman" w:hAnsi="Arial" w:cs="Arial"/>
          <w:sz w:val="20"/>
          <w:szCs w:val="20"/>
        </w:rPr>
      </w:pPr>
    </w:p>
    <w:p w:rsidR="005E27E7" w:rsidRDefault="005E27E7">
      <w:pPr>
        <w:rPr>
          <w:rFonts w:ascii="Arial" w:eastAsia="Times New Roman" w:hAnsi="Arial" w:cs="Arial"/>
          <w:b/>
          <w:sz w:val="20"/>
          <w:szCs w:val="20"/>
        </w:rPr>
      </w:pPr>
      <w:r>
        <w:rPr>
          <w:rFonts w:ascii="Arial" w:eastAsia="Times New Roman" w:hAnsi="Arial" w:cs="Arial"/>
          <w:b/>
          <w:sz w:val="20"/>
          <w:szCs w:val="20"/>
        </w:rPr>
        <w:br w:type="page"/>
      </w:r>
    </w:p>
    <w:p w:rsidR="00843D4F" w:rsidRPr="00843D4F" w:rsidRDefault="00843D4F" w:rsidP="005E27E7">
      <w:pPr>
        <w:spacing w:after="0" w:line="360" w:lineRule="auto"/>
        <w:rPr>
          <w:rFonts w:ascii="Arial" w:eastAsia="Times New Roman" w:hAnsi="Arial" w:cs="Arial"/>
          <w:b/>
          <w:sz w:val="20"/>
          <w:szCs w:val="20"/>
        </w:rPr>
      </w:pPr>
      <w:r w:rsidRPr="00843D4F">
        <w:rPr>
          <w:rFonts w:ascii="Arial" w:eastAsia="Times New Roman" w:hAnsi="Arial" w:cs="Arial"/>
          <w:b/>
          <w:sz w:val="20"/>
          <w:szCs w:val="20"/>
        </w:rPr>
        <w:lastRenderedPageBreak/>
        <w:t>Table 2</w:t>
      </w:r>
    </w:p>
    <w:p w:rsidR="00843D4F" w:rsidRPr="00843D4F" w:rsidRDefault="00843D4F" w:rsidP="005E27E7">
      <w:pPr>
        <w:spacing w:after="0" w:line="360" w:lineRule="auto"/>
        <w:rPr>
          <w:rFonts w:ascii="Arial" w:eastAsia="Times New Roman" w:hAnsi="Arial" w:cs="Arial"/>
          <w:i/>
          <w:sz w:val="20"/>
          <w:szCs w:val="20"/>
        </w:rPr>
      </w:pPr>
      <w:r w:rsidRPr="00843D4F">
        <w:rPr>
          <w:rFonts w:ascii="Arial" w:eastAsia="Times New Roman" w:hAnsi="Arial" w:cs="Arial"/>
          <w:i/>
          <w:sz w:val="20"/>
          <w:szCs w:val="20"/>
        </w:rPr>
        <w:t>Frequency Distribution of Categories in the Implementation/Practice of Inclusion</w:t>
      </w:r>
    </w:p>
    <w:tbl>
      <w:tblPr>
        <w:tblW w:w="8925" w:type="dxa"/>
        <w:tblBorders>
          <w:insideH w:val="nil"/>
          <w:insideV w:val="nil"/>
        </w:tblBorders>
        <w:tblLayout w:type="fixed"/>
        <w:tblLook w:val="0600"/>
      </w:tblPr>
      <w:tblGrid>
        <w:gridCol w:w="2340"/>
        <w:gridCol w:w="1575"/>
        <w:gridCol w:w="5010"/>
      </w:tblGrid>
      <w:tr w:rsidR="00843D4F" w:rsidRPr="00843D4F" w:rsidTr="00373AC9">
        <w:trPr>
          <w:trHeight w:val="345"/>
        </w:trPr>
        <w:tc>
          <w:tcPr>
            <w:tcW w:w="234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Categories</w:t>
            </w:r>
          </w:p>
        </w:tc>
        <w:tc>
          <w:tcPr>
            <w:tcW w:w="1575"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Frequency</w:t>
            </w:r>
          </w:p>
        </w:tc>
        <w:tc>
          <w:tcPr>
            <w:tcW w:w="501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Examples of codes</w:t>
            </w:r>
          </w:p>
        </w:tc>
      </w:tr>
      <w:tr w:rsidR="00843D4F" w:rsidRPr="00843D4F" w:rsidTr="00373AC9">
        <w:trPr>
          <w:trHeight w:val="615"/>
        </w:trPr>
        <w:tc>
          <w:tcPr>
            <w:tcW w:w="234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Barrier</w:t>
            </w:r>
          </w:p>
        </w:tc>
        <w:tc>
          <w:tcPr>
            <w:tcW w:w="1575"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93</w:t>
            </w:r>
          </w:p>
        </w:tc>
        <w:tc>
          <w:tcPr>
            <w:tcW w:w="501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Attitudinal barriers, classroom sizes, textbook supply delays</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Classroom Culture</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76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teaching to test, protection from bullying, relegation of SWD</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Placement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32</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models of inclusion, resource unit, school with specialist, de facto special school</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Adaptation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34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curriculum, learner-specific instruction, IEP: only basic information</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Adult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17</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paraprofessionals juggle roles, community mobilized finances, volunteers sought for support</w:t>
            </w:r>
          </w:p>
        </w:tc>
      </w:tr>
      <w:tr w:rsidR="00843D4F" w:rsidRPr="00843D4F" w:rsidTr="00373AC9">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Classroom Strategies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16</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building involvement, low expectations from SWD,</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External Roles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15</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budgeting/funds, awareness sessions, teacher played negotiation roles</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Access</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14</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Resources; SC, ST, OBC; SWD: unintentional admission</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Collaboration</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13</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no culture of collaboration, planning with specialist</w:t>
            </w:r>
          </w:p>
        </w:tc>
      </w:tr>
      <w:tr w:rsidR="00843D4F" w:rsidRPr="00843D4F" w:rsidTr="00373AC9">
        <w:trPr>
          <w:trHeight w:val="34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Assessment</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9</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Same marking scale, board exams</w:t>
            </w:r>
          </w:p>
        </w:tc>
      </w:tr>
      <w:tr w:rsidR="00843D4F" w:rsidRPr="00843D4F" w:rsidTr="00373AC9">
        <w:trPr>
          <w:trHeight w:val="615"/>
        </w:trPr>
        <w:tc>
          <w:tcPr>
            <w:tcW w:w="234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School Makeup</w:t>
            </w:r>
          </w:p>
        </w:tc>
        <w:tc>
          <w:tcPr>
            <w:tcW w:w="1575"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11</w:t>
            </w:r>
          </w:p>
        </w:tc>
        <w:tc>
          <w:tcPr>
            <w:tcW w:w="501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Government schools serve marginalized schools, SWD concentrated areas</w:t>
            </w:r>
          </w:p>
        </w:tc>
      </w:tr>
      <w:tr w:rsidR="00843D4F" w:rsidRPr="00843D4F" w:rsidTr="00373AC9">
        <w:trPr>
          <w:trHeight w:val="345"/>
        </w:trPr>
        <w:tc>
          <w:tcPr>
            <w:tcW w:w="234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Certification</w:t>
            </w:r>
          </w:p>
        </w:tc>
        <w:tc>
          <w:tcPr>
            <w:tcW w:w="1575"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10</w:t>
            </w:r>
          </w:p>
        </w:tc>
        <w:tc>
          <w:tcPr>
            <w:tcW w:w="501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disability certification important; not informative</w:t>
            </w:r>
          </w:p>
        </w:tc>
      </w:tr>
    </w:tbl>
    <w:p w:rsidR="00843D4F" w:rsidRPr="00843D4F" w:rsidRDefault="00843D4F" w:rsidP="005E27E7">
      <w:pPr>
        <w:spacing w:after="0" w:line="360" w:lineRule="auto"/>
        <w:rPr>
          <w:rFonts w:ascii="Arial" w:eastAsia="Times New Roman" w:hAnsi="Arial" w:cs="Arial"/>
          <w:sz w:val="20"/>
          <w:szCs w:val="20"/>
        </w:rPr>
      </w:pPr>
      <w:r w:rsidRPr="00843D4F">
        <w:rPr>
          <w:rFonts w:ascii="Arial" w:eastAsia="Times New Roman" w:hAnsi="Arial" w:cs="Arial"/>
          <w:i/>
          <w:sz w:val="18"/>
          <w:szCs w:val="18"/>
        </w:rPr>
        <w:t>Note.</w:t>
      </w:r>
      <w:r w:rsidRPr="00843D4F">
        <w:rPr>
          <w:rFonts w:ascii="Arial" w:eastAsia="Times New Roman" w:hAnsi="Arial" w:cs="Arial"/>
          <w:sz w:val="18"/>
          <w:szCs w:val="18"/>
        </w:rPr>
        <w:t xml:space="preserve"> SC = scheduled castes, ST= Schedules tribes, OBC = other backward castes</w:t>
      </w:r>
    </w:p>
    <w:p w:rsidR="00843D4F" w:rsidRPr="005D7D7A" w:rsidRDefault="00843D4F" w:rsidP="005E27E7">
      <w:pPr>
        <w:spacing w:after="0" w:line="360" w:lineRule="auto"/>
        <w:rPr>
          <w:rFonts w:ascii="Arial" w:eastAsia="Times New Roman" w:hAnsi="Arial" w:cs="Arial"/>
          <w:sz w:val="18"/>
          <w:szCs w:val="18"/>
        </w:rPr>
      </w:pPr>
    </w:p>
    <w:p w:rsidR="004D4C86" w:rsidRDefault="00843D4F" w:rsidP="005E27E7">
      <w:pPr>
        <w:spacing w:after="0" w:line="360" w:lineRule="auto"/>
        <w:rPr>
          <w:rFonts w:ascii="Arial" w:eastAsia="Times New Roman" w:hAnsi="Arial" w:cs="Arial"/>
          <w:b/>
          <w:iCs/>
          <w:sz w:val="22"/>
          <w:szCs w:val="22"/>
          <w:u w:val="single"/>
        </w:rPr>
      </w:pPr>
      <w:r w:rsidRPr="00843D4F">
        <w:rPr>
          <w:rFonts w:ascii="Arial" w:eastAsia="Times New Roman" w:hAnsi="Arial" w:cs="Arial"/>
          <w:b/>
          <w:iCs/>
          <w:sz w:val="22"/>
          <w:szCs w:val="22"/>
          <w:u w:val="single"/>
        </w:rPr>
        <w:t xml:space="preserve">3.1.1. </w:t>
      </w:r>
      <w:r w:rsidR="004D4C86" w:rsidRPr="00843D4F">
        <w:rPr>
          <w:rFonts w:ascii="Arial" w:eastAsia="Times New Roman" w:hAnsi="Arial" w:cs="Arial"/>
          <w:b/>
          <w:iCs/>
          <w:sz w:val="22"/>
          <w:szCs w:val="22"/>
          <w:u w:val="single"/>
        </w:rPr>
        <w:t>Barriers</w:t>
      </w:r>
    </w:p>
    <w:p w:rsidR="00920D27" w:rsidRPr="00843D4F" w:rsidRDefault="00920D27" w:rsidP="005E27E7">
      <w:pPr>
        <w:spacing w:after="0" w:line="360" w:lineRule="auto"/>
        <w:rPr>
          <w:rFonts w:ascii="Arial" w:eastAsia="Times New Roman" w:hAnsi="Arial" w:cs="Arial"/>
          <w:b/>
          <w:iCs/>
          <w:sz w:val="22"/>
          <w:szCs w:val="22"/>
          <w:u w:val="single"/>
        </w:rPr>
      </w:pPr>
    </w:p>
    <w:p w:rsidR="00B61F7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The largest category to emerge pertained to barriers to inclusion that researchers presented with 93 codes in 15 studies (Ahmed &amp; Ali, 2021; Charles &amp;Padhy, 2019; Elton-Chalcraft et al., 2016; Forber-Pratt &amp; Sarkar, 2021; Kundu &amp; Rice, 2019; Mohanty &amp; Nanda, 2017; Naraian, 2013; Ramchand, 2021; Rangarajan et al., 2023; Rose et al., 2021; Sawhney, 2015; Taneja-Johansson, 2014; Taneja-Johansson et al., 2023; Tiwari, 2023; Tiwari et al., 2015). Educators described barriers to inclusive education as a result of structural, attitudinal, and resource-related challenges. A recurring issue was the inadequate availability of resources, with three studies highlighting the absence of instructional materials, special infrastructure, and adaptive equipment for SWD (Kundu &amp; Rice, 2019; Mohanty &amp; Nanda, 2017; Ramchand, 2021). Classroom sizes were overwhelmingly large, often exceeding 45 students, leading to the neglect of SWD (Sawhney, 2015; Taneja-Johansson et al., 2023). </w:t>
      </w:r>
      <w:r w:rsidRPr="00843D4F">
        <w:rPr>
          <w:rFonts w:ascii="Arial" w:eastAsia="Times New Roman" w:hAnsi="Arial" w:cs="Arial"/>
          <w:sz w:val="20"/>
          <w:szCs w:val="20"/>
        </w:rPr>
        <w:lastRenderedPageBreak/>
        <w:t>Furthermore, there was a notable shortage of specialized teachers and a lack of adequate training for general educators to support inclusive practices, particularly in rural areas (Rose et al., 2021; Taneja-Johansson et al., 2023). Attitudinal barriers also posed significant obstacles, as negative perceptions and stigma among staff, parents, and administrators undermined inclusive efforts (Charles &amp;Padhy, 2019).</w:t>
      </w: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Teachers reported hesitation in engaging with inclusive practices and were often constrained by rigid administrative structures that emphasized traditional hierarchies and profit motives (Tiwari, 2023; Naraian, 2013). Additionally, institutional delays in providing facilities such as ramps and resource rooms further exacerbated accessibility issues (Mohanty &amp; Nanda, 2017; Charles &amp;Padhy, 2019). Despite some educators recognizing the potential of SWD, the lack of systemic support, collaboration time, and consistent policy implementation limited the practical realization of inclusive education (Tiwari, 2023; Ahmed &amp; Ali, 2021). </w:t>
      </w:r>
    </w:p>
    <w:p w:rsidR="00920D27" w:rsidRPr="00843D4F" w:rsidRDefault="00920D27" w:rsidP="005E27E7">
      <w:pPr>
        <w:spacing w:after="0" w:line="360" w:lineRule="auto"/>
        <w:rPr>
          <w:rFonts w:ascii="Arial" w:eastAsia="Times New Roman" w:hAnsi="Arial" w:cs="Arial"/>
          <w:sz w:val="20"/>
          <w:szCs w:val="20"/>
        </w:rPr>
      </w:pPr>
    </w:p>
    <w:p w:rsidR="004D4C86" w:rsidRDefault="00843D4F" w:rsidP="005E27E7">
      <w:pPr>
        <w:spacing w:after="0" w:line="360" w:lineRule="auto"/>
        <w:rPr>
          <w:rFonts w:ascii="Arial" w:eastAsia="Times New Roman" w:hAnsi="Arial" w:cs="Arial"/>
          <w:b/>
          <w:iCs/>
          <w:sz w:val="22"/>
          <w:szCs w:val="22"/>
          <w:u w:val="single"/>
        </w:rPr>
      </w:pPr>
      <w:r w:rsidRPr="00843D4F">
        <w:rPr>
          <w:rFonts w:ascii="Arial" w:eastAsia="Times New Roman" w:hAnsi="Arial" w:cs="Arial"/>
          <w:b/>
          <w:iCs/>
          <w:sz w:val="22"/>
          <w:szCs w:val="22"/>
          <w:u w:val="single"/>
        </w:rPr>
        <w:t>3.1.2.</w:t>
      </w:r>
      <w:r w:rsidR="004D4C86" w:rsidRPr="00843D4F">
        <w:rPr>
          <w:rFonts w:ascii="Arial" w:eastAsia="Times New Roman" w:hAnsi="Arial" w:cs="Arial"/>
          <w:b/>
          <w:iCs/>
          <w:sz w:val="22"/>
          <w:szCs w:val="22"/>
          <w:u w:val="single"/>
        </w:rPr>
        <w:t>Classroom Culture and Action</w:t>
      </w:r>
    </w:p>
    <w:p w:rsidR="00920D27" w:rsidRPr="00843D4F" w:rsidRDefault="00920D27" w:rsidP="005E27E7">
      <w:pPr>
        <w:spacing w:after="0" w:line="360" w:lineRule="auto"/>
        <w:rPr>
          <w:rFonts w:ascii="Arial" w:eastAsia="Times New Roman" w:hAnsi="Arial" w:cs="Arial"/>
          <w:b/>
          <w:iCs/>
          <w:sz w:val="22"/>
          <w:szCs w:val="22"/>
          <w:u w:val="single"/>
        </w:rPr>
      </w:pPr>
    </w:p>
    <w:p w:rsidR="00B61F7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The second largest category to emerge was classroom culture and action which referred to the values, norms, and practices within a classroom with 76 codes in 17 studies (Ahmed &amp; Ali, 2021; Charles &amp;Padhy, 2019; D'Souza &amp; Johnson, 2015; Devi &amp; Reddy, 2016; Elton-Chalcraft et al., 2016; Forber-Pratt &amp; Sarkar, 2021; Kundu &amp; Rice, 2019; Mohanty &amp; Nanda, 2017; Naraian, 2013; Ramchand, 2021; Rangarajan et al., 2023; Rose et al., 2021; Sawhney, 2015; Taneja-Johansson, 2014; Taneja-Johansson et al., 2023; Tiwari, 2023; Tiwari et al., 2015).</w:t>
      </w:r>
    </w:p>
    <w:p w:rsidR="00920D27" w:rsidRPr="00843D4F" w:rsidRDefault="00920D27" w:rsidP="005E27E7">
      <w:pPr>
        <w:spacing w:after="0" w:line="360" w:lineRule="auto"/>
        <w:rPr>
          <w:rFonts w:ascii="Arial" w:eastAsia="Times New Roman" w:hAnsi="Arial" w:cs="Arial"/>
          <w:sz w:val="20"/>
          <w:szCs w:val="20"/>
        </w:rPr>
      </w:pP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Classroom culture and actions for inclusive education showed a mix of supportive and exclusionary practices. Teachers made accommodations for sensory needs, such as special seating or headphones, and used proactive behavior management strategies, like teaching self-regulation skills and providing time-out corners for inattentive students (Tiwari, 2023; D’Souza &amp; Johnson, 2015). Efforts to create a positive environment included emotional support, moral encouragement, and modeling of appropriate behaviors to boost student confidence (D’Souza &amp; Johnson, 2015). Some teachers went beyond standard practices by using creative resources or engaging with parents and special educators to better understand disabilities like autism (Rangarajan et al., 2023; Taneja-Johansson, 2014). However, significant challenges persisted, including unidirectional instruction and a heavy focus on teaching to the test, which limited the scope for interactive and student-centered learning (Tiwari, 2023; Naraian, 2013).</w:t>
      </w: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Instances of exclusion were also prevalent, as SWD were often ignored, seated away from peers, or not provided tailored learning goals, especially for students with intellectual disabilities (Taneja-Johansson et al., 2023). Teachers tended to prioritize high-performing students, leaving struggling learners and SWD marginalized (Kundu &amp; Rice, 2019; Taneja-Johansson et al., 2023). Structural limitations, such as a lack of special facilities and an emphasis on performance culture in mainstream schools, further relegated SWD (Charles &amp;Padhy, 2019; Mohanty &amp; Nanda, 2017). Despite these barriers, iterative efforts by some teachers, including constant self-improvement and mutual respect, </w:t>
      </w:r>
      <w:r w:rsidRPr="00843D4F">
        <w:rPr>
          <w:rFonts w:ascii="Arial" w:eastAsia="Times New Roman" w:hAnsi="Arial" w:cs="Arial"/>
          <w:sz w:val="20"/>
          <w:szCs w:val="20"/>
        </w:rPr>
        <w:lastRenderedPageBreak/>
        <w:t>indicated potential for gradual change (Forber-Pratt &amp; Sarkar, 2021; Rangarajan et al., 2023). Overall, we see a mix of promise and barriers in the practice of inclusive education.</w:t>
      </w:r>
    </w:p>
    <w:p w:rsidR="00920D27" w:rsidRDefault="00920D27" w:rsidP="005E27E7">
      <w:pPr>
        <w:spacing w:after="0" w:line="360" w:lineRule="auto"/>
        <w:rPr>
          <w:rFonts w:ascii="Arial" w:eastAsia="Times New Roman" w:hAnsi="Arial" w:cs="Arial"/>
          <w:sz w:val="20"/>
          <w:szCs w:val="20"/>
        </w:rPr>
      </w:pPr>
    </w:p>
    <w:p w:rsidR="005D7D7A" w:rsidRDefault="005D7D7A" w:rsidP="005E27E7">
      <w:pPr>
        <w:spacing w:after="0" w:line="360" w:lineRule="auto"/>
        <w:rPr>
          <w:rFonts w:ascii="Arial" w:eastAsia="Times New Roman" w:hAnsi="Arial" w:cs="Arial"/>
          <w:sz w:val="20"/>
          <w:szCs w:val="20"/>
        </w:rPr>
      </w:pPr>
    </w:p>
    <w:p w:rsidR="005D7D7A" w:rsidRPr="00843D4F" w:rsidRDefault="005D7D7A" w:rsidP="005E27E7">
      <w:pPr>
        <w:spacing w:after="0" w:line="360" w:lineRule="auto"/>
        <w:rPr>
          <w:rFonts w:ascii="Arial" w:eastAsia="Times New Roman" w:hAnsi="Arial" w:cs="Arial"/>
          <w:sz w:val="20"/>
          <w:szCs w:val="20"/>
        </w:rPr>
      </w:pPr>
    </w:p>
    <w:p w:rsidR="004D4C86" w:rsidRPr="00843D4F" w:rsidRDefault="00843D4F" w:rsidP="005E27E7">
      <w:pPr>
        <w:spacing w:after="0" w:line="360" w:lineRule="auto"/>
        <w:rPr>
          <w:rFonts w:ascii="Arial" w:eastAsia="Times New Roman" w:hAnsi="Arial" w:cs="Arial"/>
          <w:b/>
          <w:iCs/>
          <w:sz w:val="22"/>
          <w:szCs w:val="22"/>
          <w:u w:val="single"/>
        </w:rPr>
      </w:pPr>
      <w:r w:rsidRPr="00843D4F">
        <w:rPr>
          <w:rFonts w:ascii="Arial" w:eastAsia="Times New Roman" w:hAnsi="Arial" w:cs="Arial"/>
          <w:b/>
          <w:iCs/>
          <w:sz w:val="22"/>
          <w:szCs w:val="22"/>
          <w:u w:val="single"/>
        </w:rPr>
        <w:t xml:space="preserve">3.1.3. </w:t>
      </w:r>
      <w:r w:rsidR="004D4C86" w:rsidRPr="00843D4F">
        <w:rPr>
          <w:rFonts w:ascii="Arial" w:eastAsia="Times New Roman" w:hAnsi="Arial" w:cs="Arial"/>
          <w:b/>
          <w:iCs/>
          <w:sz w:val="22"/>
          <w:szCs w:val="22"/>
          <w:u w:val="single"/>
        </w:rPr>
        <w:t>Placement</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The third largest category to emerge was location of placement of SWD, with 32 codes in nine studies (Ahmed &amp; Ali, 2021; Charles &amp;Padhy, 2019; Elton-Chalcraft et al., 2016; Naraian, 2013; Ramchand, 2021; Sawhney, 2015; Taneja-Johansson et al., 2023; Tiwari, 2023; Tiwari et al., 2015). Teachers described placing SWD in front rows or with siblings to facilitate note-taking; there were also instances where seating arrangements were based on ability or gender (Ramchand, 2021; Taneja-Johansson et al., 2023). Resource units and pull-out sessions were used to provide targeted academic support for struggling students, both in private and government schools (Elton-Chalcraft et al., 2016; Tiwari et al., 2015). However, space constraints often limited effective inclusion, with teachers unable to maneuver or integrate assistive technologies within overcrowded classrooms (Tiwari, 2023). Additionally, some schools served as de facto centers for SWD due to the presence of trained staff, while others transferred students deemed "uneducable" to special schools (Ramchand, 2021; Elton-Chalcraft et al., 2016). </w:t>
      </w:r>
    </w:p>
    <w:p w:rsidR="00920D27" w:rsidRPr="00843D4F" w:rsidRDefault="00920D27" w:rsidP="005E27E7">
      <w:pPr>
        <w:spacing w:after="0" w:line="360" w:lineRule="auto"/>
        <w:rPr>
          <w:rFonts w:ascii="Arial" w:eastAsia="Times New Roman" w:hAnsi="Arial" w:cs="Arial"/>
          <w:sz w:val="20"/>
          <w:szCs w:val="20"/>
        </w:rPr>
      </w:pPr>
    </w:p>
    <w:p w:rsidR="004D4C86" w:rsidRDefault="00843D4F" w:rsidP="005E27E7">
      <w:pPr>
        <w:spacing w:after="0" w:line="360" w:lineRule="auto"/>
        <w:rPr>
          <w:rFonts w:ascii="Arial" w:eastAsia="Times New Roman" w:hAnsi="Arial" w:cs="Arial"/>
          <w:b/>
          <w:iCs/>
          <w:sz w:val="22"/>
          <w:szCs w:val="22"/>
          <w:u w:val="single"/>
        </w:rPr>
      </w:pPr>
      <w:r w:rsidRPr="00843D4F">
        <w:rPr>
          <w:rFonts w:ascii="Arial" w:eastAsia="Times New Roman" w:hAnsi="Arial" w:cs="Arial"/>
          <w:b/>
          <w:iCs/>
          <w:sz w:val="22"/>
          <w:szCs w:val="22"/>
          <w:u w:val="single"/>
        </w:rPr>
        <w:t xml:space="preserve">3.1.4. </w:t>
      </w:r>
      <w:r w:rsidR="004D4C86" w:rsidRPr="00843D4F">
        <w:rPr>
          <w:rFonts w:ascii="Arial" w:eastAsia="Times New Roman" w:hAnsi="Arial" w:cs="Arial"/>
          <w:b/>
          <w:iCs/>
          <w:sz w:val="22"/>
          <w:szCs w:val="22"/>
          <w:u w:val="single"/>
        </w:rPr>
        <w:t>Adaptations</w:t>
      </w:r>
    </w:p>
    <w:p w:rsidR="00920D27" w:rsidRDefault="00920D27" w:rsidP="005E27E7">
      <w:pPr>
        <w:spacing w:after="0" w:line="360" w:lineRule="auto"/>
        <w:rPr>
          <w:rFonts w:ascii="Arial" w:eastAsia="Times New Roman" w:hAnsi="Arial" w:cs="Arial"/>
          <w:b/>
          <w:iCs/>
          <w:sz w:val="22"/>
          <w:szCs w:val="22"/>
          <w:u w:val="single"/>
        </w:rPr>
      </w:pP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 xml:space="preserve">The fourth largest category to emerge was classroom culture and action, which referred to modifications in the classroom, curriculum, or teaching strategies, including one-on-one support and IEPs, to support SWD and other marginalized learners with 34 codes in eight studies (Elton-Chalcraft et al., 2016; Forber-Pratt &amp; Sarkar, 2021; Kundu &amp; Rice, 2019; Mohanty &amp; Nanda, 2017; Naraian, 2013; Rose et al., 2021; Taneja-Johansson et al., 2023; Tiwari, 2023). Teachers implemented various adaptations to create inclusive classrooms, tailoring their approaches to meet the diverse needs of students. Curricular modifications were a key focus, with some schools adopting alternative curricula or flexible options like the National Institute of Open Schooling (NIOS) to accommodate students who struggled with mainstream academic pathways (Elton-Chalcraft et al., 2016; Naraian, 2013). Strategies such as differentiated instruction, multisensory teaching, and personalized lesson plans were used to support learner-specific needs (Kundu &amp; Rice, 2019; Elton-Chalcraft et al., 2016). Individualized Education Plans (IEPs) were used, but challenges such as limited teacher knowledge and inadequate implementation hindered their effectiveness (Tiwari, 2023). Additional adaptations included one-on-one time with students, leveraging peer support systems, and utilizing proactive behavior management techniques for engagement (Taneja-Johansson et al., 2023; Rose et al., 2021; D'Souza &amp; Johnson, 2015). </w:t>
      </w:r>
    </w:p>
    <w:p w:rsidR="00920D27" w:rsidRPr="00843D4F" w:rsidRDefault="00920D27" w:rsidP="005E27E7">
      <w:pPr>
        <w:spacing w:after="0" w:line="360" w:lineRule="auto"/>
        <w:rPr>
          <w:rFonts w:ascii="Arial" w:eastAsia="Times New Roman" w:hAnsi="Arial" w:cs="Arial"/>
          <w:sz w:val="20"/>
          <w:szCs w:val="20"/>
        </w:rPr>
      </w:pPr>
    </w:p>
    <w:p w:rsidR="00920D27" w:rsidRDefault="00843D4F" w:rsidP="005E27E7">
      <w:pPr>
        <w:spacing w:after="0" w:line="360" w:lineRule="auto"/>
        <w:rPr>
          <w:rFonts w:ascii="Arial" w:eastAsia="Times New Roman" w:hAnsi="Arial" w:cs="Arial"/>
          <w:b/>
        </w:rPr>
      </w:pPr>
      <w:r w:rsidRPr="00843D4F">
        <w:rPr>
          <w:rFonts w:ascii="Arial" w:eastAsia="Times New Roman" w:hAnsi="Arial" w:cs="Arial"/>
          <w:b/>
          <w:sz w:val="22"/>
          <w:szCs w:val="22"/>
        </w:rPr>
        <w:t xml:space="preserve">3.2. </w:t>
      </w:r>
      <w:r w:rsidR="004D4C86" w:rsidRPr="00843D4F">
        <w:rPr>
          <w:rFonts w:ascii="Arial" w:eastAsia="Times New Roman" w:hAnsi="Arial" w:cs="Arial"/>
          <w:b/>
          <w:sz w:val="22"/>
          <w:szCs w:val="22"/>
        </w:rPr>
        <w:t>Professional Development for Inclusive Education in India</w:t>
      </w:r>
    </w:p>
    <w:p w:rsidR="004D4C86"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rPr>
        <w:lastRenderedPageBreak/>
        <w:br/>
      </w:r>
      <w:r w:rsidRPr="00843D4F">
        <w:rPr>
          <w:rFonts w:ascii="Arial" w:eastAsia="Times New Roman" w:hAnsi="Arial" w:cs="Arial"/>
          <w:sz w:val="20"/>
          <w:szCs w:val="20"/>
        </w:rPr>
        <w:t>This section presents the results of open coding applied to data on educators' perceptions of the training they received for inclusive education. Out of the studies included in the review,, only 12 studies referred to teacher preparation (Bhatnagar &amp; Das, 2014; Charles &amp;Padhy, 2019; Devi &amp; Reddy, 2016; D'Souza &amp; Johnson, 2015; Elton-Chalcraft et al., 2016; Kundu &amp; Rice, 2019; Misquitta&amp; Joshi, 2022; Mohanty &amp; Nanda, 2017; Ramchand, 2022; Sawhney, 2015; Taneja-Johansson, 2014; Taneja-Johansson et al., 2023). One study described the details of an in-service professional development program. The remaining 11 studies were educators recounting the professional development they had received. The key categories that emerged include teachers describing training to be insufficient or ineffective, followed by enablers, training gaps, and training they desired. Table 3 illustrates the proportion of these categories as identified through the coding process.</w:t>
      </w:r>
      <w:r w:rsidRPr="00843D4F">
        <w:rPr>
          <w:rFonts w:ascii="Arial" w:eastAsia="Times New Roman" w:hAnsi="Arial" w:cs="Arial"/>
          <w:sz w:val="20"/>
          <w:szCs w:val="20"/>
        </w:rPr>
        <w:tab/>
      </w:r>
    </w:p>
    <w:p w:rsidR="00920D27" w:rsidRDefault="00920D27" w:rsidP="005E27E7">
      <w:pPr>
        <w:spacing w:after="0" w:line="360" w:lineRule="auto"/>
        <w:rPr>
          <w:rFonts w:ascii="Arial" w:eastAsia="Times New Roman" w:hAnsi="Arial" w:cs="Arial"/>
          <w:sz w:val="20"/>
          <w:szCs w:val="20"/>
        </w:rPr>
      </w:pPr>
    </w:p>
    <w:p w:rsidR="00920D27" w:rsidRPr="00843D4F" w:rsidRDefault="00920D27" w:rsidP="005E27E7">
      <w:pPr>
        <w:spacing w:after="0" w:line="360" w:lineRule="auto"/>
        <w:rPr>
          <w:rFonts w:ascii="Arial" w:eastAsia="Times New Roman" w:hAnsi="Arial" w:cs="Arial"/>
          <w:sz w:val="20"/>
          <w:szCs w:val="20"/>
        </w:rPr>
      </w:pPr>
    </w:p>
    <w:p w:rsidR="005E27E7" w:rsidRDefault="005E27E7">
      <w:pPr>
        <w:rPr>
          <w:rFonts w:ascii="Arial" w:eastAsia="Times New Roman" w:hAnsi="Arial" w:cs="Arial"/>
          <w:b/>
          <w:sz w:val="20"/>
          <w:szCs w:val="20"/>
        </w:rPr>
      </w:pPr>
      <w:r>
        <w:rPr>
          <w:rFonts w:ascii="Arial" w:eastAsia="Times New Roman" w:hAnsi="Arial" w:cs="Arial"/>
          <w:b/>
          <w:sz w:val="20"/>
          <w:szCs w:val="20"/>
        </w:rPr>
        <w:br w:type="page"/>
      </w: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lastRenderedPageBreak/>
        <w:t>Table 3</w:t>
      </w:r>
    </w:p>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i/>
          <w:sz w:val="20"/>
          <w:szCs w:val="20"/>
        </w:rPr>
        <w:t>Frequency Distribution of Categories in Professional Development for Inclusive Education</w:t>
      </w:r>
    </w:p>
    <w:tbl>
      <w:tblPr>
        <w:tblW w:w="8550" w:type="dxa"/>
        <w:tblBorders>
          <w:insideH w:val="nil"/>
          <w:insideV w:val="nil"/>
        </w:tblBorders>
        <w:tblLayout w:type="fixed"/>
        <w:tblLook w:val="0600"/>
      </w:tblPr>
      <w:tblGrid>
        <w:gridCol w:w="2520"/>
        <w:gridCol w:w="1500"/>
        <w:gridCol w:w="4530"/>
      </w:tblGrid>
      <w:tr w:rsidR="004D4C86" w:rsidRPr="00843D4F" w:rsidTr="004D4C86">
        <w:trPr>
          <w:trHeight w:val="422"/>
        </w:trPr>
        <w:tc>
          <w:tcPr>
            <w:tcW w:w="252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Categories</w:t>
            </w:r>
          </w:p>
        </w:tc>
        <w:tc>
          <w:tcPr>
            <w:tcW w:w="150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Frequency</w:t>
            </w:r>
          </w:p>
        </w:tc>
        <w:tc>
          <w:tcPr>
            <w:tcW w:w="4530" w:type="dxa"/>
            <w:tcBorders>
              <w:top w:val="single" w:sz="4" w:space="0" w:color="000000"/>
              <w:left w:val="single" w:sz="4" w:space="0" w:color="FFFFFF"/>
              <w:bottom w:val="single" w:sz="4" w:space="0" w:color="000000"/>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b/>
                <w:sz w:val="20"/>
                <w:szCs w:val="20"/>
              </w:rPr>
              <w:t>Examples of codes</w:t>
            </w:r>
          </w:p>
        </w:tc>
      </w:tr>
      <w:tr w:rsidR="004D4C86" w:rsidRPr="00843D4F" w:rsidTr="004D4C86">
        <w:trPr>
          <w:trHeight w:val="615"/>
        </w:trPr>
        <w:tc>
          <w:tcPr>
            <w:tcW w:w="252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Insufficient</w:t>
            </w:r>
          </w:p>
        </w:tc>
        <w:tc>
          <w:tcPr>
            <w:tcW w:w="150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29</w:t>
            </w:r>
          </w:p>
        </w:tc>
        <w:tc>
          <w:tcPr>
            <w:tcW w:w="4530" w:type="dxa"/>
            <w:tcBorders>
              <w:top w:val="single" w:sz="4" w:space="0" w:color="000000"/>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limited component on inclusion; no practical exposure</w:t>
            </w:r>
          </w:p>
        </w:tc>
      </w:tr>
      <w:tr w:rsidR="004D4C86" w:rsidRPr="00843D4F"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Enablers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adaptation for low-resource environment; Interaction with other professionals</w:t>
            </w:r>
          </w:p>
        </w:tc>
      </w:tr>
      <w:tr w:rsidR="004D4C86" w:rsidRPr="00843D4F"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Training Gap</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insufficient special education training; no training: differentiated instruction</w:t>
            </w:r>
          </w:p>
        </w:tc>
      </w:tr>
      <w:tr w:rsidR="004D4C86" w:rsidRPr="00843D4F" w:rsidTr="004D4C86">
        <w:trPr>
          <w:trHeight w:val="61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Desired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10</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incentivization of inclusion training; Master trainers for IE</w:t>
            </w:r>
          </w:p>
        </w:tc>
      </w:tr>
      <w:tr w:rsidR="004D4C86" w:rsidRPr="00843D4F"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Skills Needed</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9</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skills/ competence/ability</w:t>
            </w:r>
          </w:p>
        </w:tc>
      </w:tr>
      <w:tr w:rsidR="004D4C86" w:rsidRPr="00843D4F"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ID-Focused Training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4</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focus on identification</w:t>
            </w:r>
          </w:p>
        </w:tc>
      </w:tr>
      <w:tr w:rsidR="004D4C86" w:rsidRPr="00843D4F"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Inclusion Skills Lacking</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Not trained for IE</w:t>
            </w:r>
          </w:p>
        </w:tc>
      </w:tr>
      <w:tr w:rsidR="004D4C86" w:rsidRPr="00843D4F"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Single-Disability Focus</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focus on specific disabilities</w:t>
            </w:r>
          </w:p>
        </w:tc>
      </w:tr>
      <w:tr w:rsidR="004D4C86" w:rsidRPr="00843D4F" w:rsidTr="004D4C86">
        <w:trPr>
          <w:trHeight w:val="345"/>
        </w:trPr>
        <w:tc>
          <w:tcPr>
            <w:tcW w:w="25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Support</w:t>
            </w:r>
          </w:p>
        </w:tc>
        <w:tc>
          <w:tcPr>
            <w:tcW w:w="150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2</w:t>
            </w:r>
          </w:p>
        </w:tc>
        <w:tc>
          <w:tcPr>
            <w:tcW w:w="453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insufficient support</w:t>
            </w:r>
          </w:p>
        </w:tc>
      </w:tr>
      <w:tr w:rsidR="004D4C86" w:rsidRPr="00843D4F" w:rsidTr="00920D27">
        <w:trPr>
          <w:trHeight w:val="463"/>
        </w:trPr>
        <w:tc>
          <w:tcPr>
            <w:tcW w:w="252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Teacher Shortage</w:t>
            </w:r>
          </w:p>
        </w:tc>
        <w:tc>
          <w:tcPr>
            <w:tcW w:w="150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2</w:t>
            </w:r>
          </w:p>
        </w:tc>
        <w:tc>
          <w:tcPr>
            <w:tcW w:w="4530" w:type="dxa"/>
            <w:tcBorders>
              <w:top w:val="single" w:sz="4" w:space="0" w:color="FFFFFF"/>
              <w:left w:val="single" w:sz="4" w:space="0" w:color="FFFFFF"/>
              <w:bottom w:val="single" w:sz="4" w:space="0" w:color="000000"/>
              <w:right w:val="single" w:sz="4" w:space="0" w:color="FFFFFF"/>
            </w:tcBorders>
            <w:tcMar>
              <w:top w:w="40" w:type="dxa"/>
              <w:left w:w="40" w:type="dxa"/>
              <w:bottom w:w="40" w:type="dxa"/>
              <w:right w:w="40" w:type="dxa"/>
            </w:tcMar>
            <w:hideMark/>
          </w:tcPr>
          <w:p w:rsidR="004D4C86" w:rsidRPr="00843D4F" w:rsidRDefault="004D4C86" w:rsidP="005E27E7">
            <w:pPr>
              <w:spacing w:after="0" w:line="360" w:lineRule="auto"/>
              <w:rPr>
                <w:rFonts w:ascii="Arial" w:eastAsia="Times New Roman" w:hAnsi="Arial" w:cs="Arial"/>
                <w:sz w:val="20"/>
                <w:szCs w:val="20"/>
              </w:rPr>
            </w:pPr>
            <w:r w:rsidRPr="00843D4F">
              <w:rPr>
                <w:rFonts w:ascii="Arial" w:eastAsia="Times New Roman" w:hAnsi="Arial" w:cs="Arial"/>
                <w:sz w:val="20"/>
                <w:szCs w:val="20"/>
              </w:rPr>
              <w:t>teacher Shortage, transfer of trained teachers</w:t>
            </w:r>
          </w:p>
        </w:tc>
      </w:tr>
    </w:tbl>
    <w:p w:rsidR="004D4C86" w:rsidRPr="00920D27" w:rsidRDefault="004D4C86" w:rsidP="005E27E7">
      <w:pPr>
        <w:spacing w:after="0" w:line="360" w:lineRule="auto"/>
        <w:rPr>
          <w:rFonts w:ascii="Arial" w:eastAsia="Times New Roman" w:hAnsi="Arial" w:cs="Arial"/>
          <w:b/>
          <w:i/>
          <w:sz w:val="18"/>
          <w:szCs w:val="18"/>
        </w:rPr>
      </w:pPr>
      <w:r w:rsidRPr="00920D27">
        <w:rPr>
          <w:rFonts w:ascii="Arial" w:eastAsia="Times New Roman" w:hAnsi="Arial" w:cs="Arial"/>
          <w:i/>
          <w:sz w:val="18"/>
          <w:szCs w:val="18"/>
        </w:rPr>
        <w:t>Note.</w:t>
      </w:r>
      <w:r w:rsidRPr="00920D27">
        <w:rPr>
          <w:rFonts w:ascii="Arial" w:eastAsia="Times New Roman" w:hAnsi="Arial" w:cs="Arial"/>
          <w:sz w:val="18"/>
          <w:szCs w:val="18"/>
        </w:rPr>
        <w:t xml:space="preserve"> IE = inclusive education.</w:t>
      </w:r>
    </w:p>
    <w:p w:rsidR="00920D27" w:rsidRDefault="00920D27" w:rsidP="005E27E7">
      <w:pPr>
        <w:spacing w:after="0" w:line="360" w:lineRule="auto"/>
        <w:rPr>
          <w:rFonts w:ascii="Arial" w:eastAsia="Times New Roman" w:hAnsi="Arial" w:cs="Arial"/>
          <w:b/>
          <w:i/>
        </w:rPr>
      </w:pPr>
    </w:p>
    <w:p w:rsidR="004D4C86" w:rsidRDefault="00920D27" w:rsidP="005E27E7">
      <w:pPr>
        <w:spacing w:after="0" w:line="360" w:lineRule="auto"/>
        <w:rPr>
          <w:rFonts w:ascii="Arial" w:eastAsia="Times New Roman" w:hAnsi="Arial" w:cs="Arial"/>
          <w:b/>
          <w:iCs/>
          <w:sz w:val="22"/>
          <w:szCs w:val="22"/>
          <w:u w:val="single"/>
        </w:rPr>
      </w:pPr>
      <w:r w:rsidRPr="00920D27">
        <w:rPr>
          <w:rFonts w:ascii="Arial" w:eastAsia="Times New Roman" w:hAnsi="Arial" w:cs="Arial"/>
          <w:b/>
          <w:iCs/>
          <w:sz w:val="22"/>
          <w:szCs w:val="22"/>
          <w:u w:val="single"/>
        </w:rPr>
        <w:t>3.2.1.</w:t>
      </w:r>
      <w:r w:rsidR="004D4C86" w:rsidRPr="00920D27">
        <w:rPr>
          <w:rFonts w:ascii="Arial" w:eastAsia="Times New Roman" w:hAnsi="Arial" w:cs="Arial"/>
          <w:b/>
          <w:iCs/>
          <w:sz w:val="22"/>
          <w:szCs w:val="22"/>
          <w:u w:val="single"/>
        </w:rPr>
        <w:t xml:space="preserve">Ineffective, Insufficient, or Absent </w:t>
      </w:r>
    </w:p>
    <w:p w:rsidR="00920D27" w:rsidRPr="00920D27" w:rsidRDefault="00920D27" w:rsidP="005E27E7">
      <w:pPr>
        <w:spacing w:after="0" w:line="360" w:lineRule="auto"/>
        <w:rPr>
          <w:rFonts w:ascii="Arial" w:eastAsia="Times New Roman" w:hAnsi="Arial" w:cs="Arial"/>
          <w:iCs/>
          <w:sz w:val="22"/>
          <w:szCs w:val="22"/>
          <w:u w:val="single"/>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 xml:space="preserve">The largest category to emerge under training for inclusive education was teachers describing training as ineffective or insufficient with 27 codes in eight studies (Charles &amp;Padhy, 2019; Devi &amp; Reddy, 2016; Kundu &amp; Rice, 2019; Mohanty &amp; Nanda, 2017; Ramchand, 2022; Sawhney, 2015; Taneja-Johansson, 2014; Taneja-Johansson et al., 2023). One of the second largest categories was teachers describing the lack of training for inclusion with 10 codes in seven studies (Bhatnagar &amp; Das, 2014; Charles &amp;Padhy, 2019; D'Souza &amp; Johnson, 2015; Mohanty &amp; Nanda, 2017; Ramchand, 2022; Sawhney, 2015; Taneja-Johansson et al., 2023).  Since both these categories are very closely related, they are being reported together. Teachers reported pervasive gaps in the training and professional development of educators for inclusive education, leaving them unprepared to support SWD. Teachers reported that pre-service programs often excluded inclusive education content, while in-service training consisted of brief, superficial workshops that failed to equip them with practical skills (Taneja-Johansson et al., 2023; Kundu &amp; Rice, 2019). This inadequacy, compounded by the focus on theoretical concepts over practical application, left educators struggling to address diverse classroom needs (Kundu &amp; Rice, 2019; Taneja-Johansson, 2014). Differentiated instruction was also underemphasized in curricula, and general education tracks were preferred due to better job prospects, contributing to a shortage of specialized teachers (Charles &amp;Padhy, 2019). Additionally, expressed feelings of helplessness, citing insufficient expertise and ineffective training leading to a </w:t>
      </w:r>
      <w:r w:rsidRPr="00920D27">
        <w:rPr>
          <w:rFonts w:ascii="Arial" w:eastAsia="Times New Roman" w:hAnsi="Arial" w:cs="Arial"/>
          <w:sz w:val="20"/>
          <w:szCs w:val="20"/>
        </w:rPr>
        <w:lastRenderedPageBreak/>
        <w:t>lack of preparedness to address students with specific disabilities such as Autism, or social, emotional, and behavioral disorders (SEBD) (D'Souza &amp; Johnson, 2015; Mohanty &amp; Nanda, 2017; Taneja-Johansson et al., 2023)</w:t>
      </w:r>
    </w:p>
    <w:p w:rsidR="00920D27" w:rsidRDefault="00920D27" w:rsidP="005E27E7">
      <w:pPr>
        <w:spacing w:after="0" w:line="360" w:lineRule="auto"/>
        <w:rPr>
          <w:rFonts w:ascii="Arial" w:eastAsia="Times New Roman" w:hAnsi="Arial" w:cs="Arial"/>
          <w:b/>
          <w:i/>
          <w:sz w:val="20"/>
          <w:szCs w:val="20"/>
        </w:rPr>
      </w:pPr>
    </w:p>
    <w:p w:rsidR="005D7D7A" w:rsidRDefault="005D7D7A" w:rsidP="005E27E7">
      <w:pPr>
        <w:spacing w:after="0" w:line="360" w:lineRule="auto"/>
        <w:rPr>
          <w:rFonts w:ascii="Arial" w:eastAsia="Times New Roman" w:hAnsi="Arial" w:cs="Arial"/>
          <w:b/>
          <w:i/>
          <w:sz w:val="20"/>
          <w:szCs w:val="20"/>
        </w:rPr>
      </w:pPr>
    </w:p>
    <w:p w:rsidR="005D7D7A" w:rsidRDefault="005D7D7A" w:rsidP="005E27E7">
      <w:pPr>
        <w:spacing w:after="0" w:line="360" w:lineRule="auto"/>
        <w:rPr>
          <w:rFonts w:ascii="Arial" w:eastAsia="Times New Roman" w:hAnsi="Arial" w:cs="Arial"/>
          <w:b/>
          <w:i/>
          <w:sz w:val="20"/>
          <w:szCs w:val="20"/>
        </w:rPr>
      </w:pPr>
    </w:p>
    <w:p w:rsidR="005D7D7A" w:rsidRPr="00920D27" w:rsidRDefault="005D7D7A" w:rsidP="005E27E7">
      <w:pPr>
        <w:spacing w:after="0" w:line="360" w:lineRule="auto"/>
        <w:rPr>
          <w:rFonts w:ascii="Arial" w:eastAsia="Times New Roman" w:hAnsi="Arial" w:cs="Arial"/>
          <w:b/>
          <w:i/>
          <w:sz w:val="20"/>
          <w:szCs w:val="20"/>
        </w:rPr>
      </w:pPr>
    </w:p>
    <w:p w:rsidR="00920D27" w:rsidRPr="00920D27" w:rsidRDefault="00920D27" w:rsidP="005E27E7">
      <w:pPr>
        <w:spacing w:after="0" w:line="360" w:lineRule="auto"/>
        <w:rPr>
          <w:rFonts w:ascii="Arial" w:eastAsia="Times New Roman" w:hAnsi="Arial" w:cs="Arial"/>
          <w:b/>
          <w:iCs/>
          <w:sz w:val="22"/>
          <w:szCs w:val="22"/>
          <w:u w:val="single"/>
        </w:rPr>
      </w:pPr>
      <w:r w:rsidRPr="00920D27">
        <w:rPr>
          <w:rFonts w:ascii="Arial" w:eastAsia="Times New Roman" w:hAnsi="Arial" w:cs="Arial"/>
          <w:b/>
          <w:iCs/>
          <w:sz w:val="22"/>
          <w:szCs w:val="22"/>
          <w:u w:val="single"/>
        </w:rPr>
        <w:t xml:space="preserve">3.2.2. </w:t>
      </w:r>
      <w:r w:rsidR="004D4C86" w:rsidRPr="00920D27">
        <w:rPr>
          <w:rFonts w:ascii="Arial" w:eastAsia="Times New Roman" w:hAnsi="Arial" w:cs="Arial"/>
          <w:b/>
          <w:iCs/>
          <w:sz w:val="22"/>
          <w:szCs w:val="22"/>
          <w:u w:val="single"/>
        </w:rPr>
        <w:t xml:space="preserve">Enablers </w:t>
      </w: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br/>
        <w:t>There was only one study that reported an in-service training program that was reported to be helpful to participants. All 10 codes from this category are from Misquitta and Joshi’s (2022) study that highlighted effective training strategies that empowered educators to teach in inclusive classrooms, even in low-resource settings. Teachers utilized innovative techniques, such as energizers and attention grabbers, to enhance student engagement during lessons. They also demonstrated resourcefulness by adapting tools like a Math app for individualized instruction and remediation in pull-out sessions, enabling focused learning for some students while others continued traditional tasks. Online resources were another key strategy, used to involve parents in their children’s learning process and content.</w:t>
      </w:r>
    </w:p>
    <w:p w:rsidR="00920D27" w:rsidRP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Participants appreciated the collaborative nature of training, particularly the coaching support that offered guidance and helped resolve their queries. Hands-on workshops and opportunities to share experiences further fostered a professional community where educators addressed common challenges and exchanged practical solutions.Instances of what teachers find valuable in training closely reflect the inadequacies they previously reported (see previous paragraph), such as unidirectional instruction and the failure to address practical classroom challenges.</w:t>
      </w:r>
    </w:p>
    <w:p w:rsidR="00920D27" w:rsidRPr="00920D27" w:rsidRDefault="00920D27" w:rsidP="005E27E7">
      <w:pPr>
        <w:spacing w:after="0" w:line="360" w:lineRule="auto"/>
        <w:rPr>
          <w:rFonts w:ascii="Arial" w:eastAsia="Times New Roman" w:hAnsi="Arial" w:cs="Arial"/>
          <w:sz w:val="20"/>
          <w:szCs w:val="20"/>
        </w:rPr>
      </w:pPr>
    </w:p>
    <w:p w:rsidR="004D4C86" w:rsidRDefault="00920D27" w:rsidP="005E27E7">
      <w:pPr>
        <w:spacing w:after="0" w:line="360" w:lineRule="auto"/>
        <w:rPr>
          <w:rFonts w:ascii="Arial" w:eastAsia="Times New Roman" w:hAnsi="Arial" w:cs="Arial"/>
          <w:b/>
          <w:iCs/>
          <w:sz w:val="22"/>
          <w:szCs w:val="22"/>
          <w:u w:val="single"/>
        </w:rPr>
      </w:pPr>
      <w:r w:rsidRPr="00920D27">
        <w:rPr>
          <w:rFonts w:ascii="Arial" w:eastAsia="Times New Roman" w:hAnsi="Arial" w:cs="Arial"/>
          <w:b/>
          <w:iCs/>
          <w:sz w:val="22"/>
          <w:szCs w:val="22"/>
          <w:u w:val="single"/>
        </w:rPr>
        <w:t xml:space="preserve">3.2.3. </w:t>
      </w:r>
      <w:r w:rsidR="004D4C86" w:rsidRPr="00920D27">
        <w:rPr>
          <w:rFonts w:ascii="Arial" w:eastAsia="Times New Roman" w:hAnsi="Arial" w:cs="Arial"/>
          <w:b/>
          <w:iCs/>
          <w:sz w:val="22"/>
          <w:szCs w:val="22"/>
          <w:u w:val="single"/>
        </w:rPr>
        <w:t xml:space="preserve">Desired Training </w:t>
      </w:r>
    </w:p>
    <w:p w:rsidR="00920D27" w:rsidRDefault="00920D27" w:rsidP="005E27E7">
      <w:pPr>
        <w:spacing w:after="0" w:line="360" w:lineRule="auto"/>
        <w:rPr>
          <w:rFonts w:ascii="Arial" w:eastAsia="Times New Roman" w:hAnsi="Arial" w:cs="Arial"/>
          <w:iCs/>
          <w:sz w:val="22"/>
          <w:szCs w:val="22"/>
          <w:u w:val="single"/>
        </w:rPr>
      </w:pPr>
    </w:p>
    <w:p w:rsidR="004D4C86" w:rsidRPr="00920D27"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 xml:space="preserve">The third largest category was descriptions of training that teachers expressed they preferred, with 10 codes in five studies (Bhatnagar &amp; Das, 2014; Charles &amp;Padhy, 2019; Elton-Chalcraft et al., 2016; Mohanty &amp; Nanda, 2017; Ramchand, 2022). Teachers expressed a strong need for structured and specialized training to support inclusive education. Teachers suggested the importance of integrating special education modules into teacher preparation programs, suggesting that such courses would benefit all educators (Charles &amp;Padhy, 2019). Similarly, teachers in Bhatnagar and Das’s (2014) study recommended that the NCERT develop master trainers to equip educators with the skills needed to effectively teach students with special needs. Respondents in studies by Mohanty and Nanda (2017) and Elton-Chalcraft et al. (2016) emphasized the need for specialized training, particularly for those teaching deaf students and working in resource units. Additionally, teachers in Bhatnagar and Das’s (2014) research stressed the importance of regular in-service training, along with incentives, to ensure the successful implementation of inclusive practices. These responses collectively underscore the </w:t>
      </w:r>
      <w:r w:rsidRPr="00920D27">
        <w:rPr>
          <w:rFonts w:ascii="Arial" w:eastAsia="Times New Roman" w:hAnsi="Arial" w:cs="Arial"/>
          <w:sz w:val="20"/>
          <w:szCs w:val="20"/>
        </w:rPr>
        <w:lastRenderedPageBreak/>
        <w:t>necessity for a comprehensive and sustained professional development framework to advance inclusive education.</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 xml:space="preserve">Other codes that emerged in this section included training focused on identification only (Bhatnagar &amp; Das 2014; Taneja-Johansson et al., 2023), teacher shortage and transfers (Charles &amp;Padhy, 2019; Sawhney, 2015), insufficient structural support from training institutes and in the classroom (Kundu &amp; Rice, 2016; Ramchand, 2022).  </w:t>
      </w:r>
    </w:p>
    <w:p w:rsidR="00920D27" w:rsidRPr="00920D27" w:rsidRDefault="00920D27" w:rsidP="005E27E7">
      <w:pPr>
        <w:spacing w:after="0" w:line="360" w:lineRule="auto"/>
        <w:rPr>
          <w:rFonts w:ascii="Arial" w:eastAsia="Times New Roman" w:hAnsi="Arial" w:cs="Arial"/>
          <w:sz w:val="20"/>
          <w:szCs w:val="20"/>
        </w:rPr>
      </w:pPr>
    </w:p>
    <w:p w:rsidR="004D4C86" w:rsidRDefault="00920D27" w:rsidP="005E27E7">
      <w:pPr>
        <w:spacing w:after="0" w:line="360" w:lineRule="auto"/>
        <w:rPr>
          <w:rFonts w:ascii="Arial" w:eastAsia="Times New Roman" w:hAnsi="Arial" w:cs="Arial"/>
          <w:sz w:val="20"/>
          <w:szCs w:val="20"/>
        </w:rPr>
      </w:pPr>
      <w:r>
        <w:rPr>
          <w:rFonts w:ascii="Arial" w:eastAsia="Times New Roman" w:hAnsi="Arial" w:cs="Arial"/>
          <w:b/>
          <w:sz w:val="20"/>
          <w:szCs w:val="20"/>
        </w:rPr>
        <w:t>4. DISCUSSION</w:t>
      </w:r>
    </w:p>
    <w:p w:rsidR="00920D27" w:rsidRDefault="00920D27" w:rsidP="005E27E7">
      <w:pPr>
        <w:spacing w:after="0" w:line="360" w:lineRule="auto"/>
        <w:rPr>
          <w:rFonts w:ascii="Arial" w:eastAsia="Times New Roman" w:hAnsi="Arial" w:cs="Arial"/>
          <w:sz w:val="20"/>
          <w:szCs w:val="20"/>
        </w:rPr>
      </w:pPr>
    </w:p>
    <w:p w:rsidR="004D4C86" w:rsidRPr="00920D27"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While educators predominantly express favorable perceptions toward inclusive education (</w:t>
      </w:r>
      <w:r w:rsidR="00925345" w:rsidRPr="00920D27">
        <w:rPr>
          <w:rFonts w:ascii="Arial" w:eastAsia="Times New Roman" w:hAnsi="Arial" w:cs="Arial"/>
          <w:sz w:val="20"/>
          <w:szCs w:val="20"/>
        </w:rPr>
        <w:t>Author</w:t>
      </w:r>
      <w:r w:rsidRPr="00920D27">
        <w:rPr>
          <w:rFonts w:ascii="Arial" w:eastAsia="Times New Roman" w:hAnsi="Arial" w:cs="Arial"/>
          <w:sz w:val="20"/>
          <w:szCs w:val="20"/>
        </w:rPr>
        <w:t xml:space="preserve">, 2025), the findings of this meta-synthesis reveal a stark discrepancy between their ideological commitment and actual implementation in schools. The most prominent category across the studies was barriers to inclusion, encompassing systemic, attitudinal, and resource-related challenges. These include a consistent shortage of specialist educators, inadequate training for general education teachers, large class sizes, lack of instructional materials, and limited adaptive infrastructure. Attitudinal barriers were not confined to teachers but extended to parents and administrators, highlighting a broader cultural resistance to inclusion (Naraian, 2021; Singal, 2019). It is also important to note that there were very few codes in the included studies pertaining to teacher preparation for inclusive education. </w:t>
      </w:r>
    </w:p>
    <w:p w:rsidR="00920D27" w:rsidRDefault="00920D27" w:rsidP="005E27E7">
      <w:pPr>
        <w:spacing w:after="0" w:line="360" w:lineRule="auto"/>
        <w:rPr>
          <w:rFonts w:ascii="Arial" w:eastAsia="Times New Roman" w:hAnsi="Arial" w:cs="Arial"/>
          <w:sz w:val="20"/>
          <w:szCs w:val="20"/>
        </w:rPr>
      </w:pPr>
    </w:p>
    <w:p w:rsidR="004D4C86" w:rsidRPr="00920D27"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Educators also reported a lack of systemic support, insufficient policy coherence, and limited collaboration time. Rigid administrative frameworks, profit-driven motives in private schools, and an emphasis on standardized testing further constrained the meaningful implementation of inclusive practices. These findings align with existing critiques of the narrow, exam-centric focus of mainstream Indian education, which often sidelines inclusive pedagogies (Naraian, 2021; Singal, 2019).</w:t>
      </w:r>
    </w:p>
    <w:p w:rsidR="00920D27" w:rsidRDefault="00920D27" w:rsidP="005E27E7">
      <w:pPr>
        <w:spacing w:after="0" w:line="360" w:lineRule="auto"/>
        <w:rPr>
          <w:rFonts w:ascii="Arial" w:eastAsia="Times New Roman" w:hAnsi="Arial" w:cs="Arial"/>
          <w:sz w:val="20"/>
          <w:szCs w:val="20"/>
        </w:rPr>
      </w:pPr>
    </w:p>
    <w:p w:rsidR="004D4C86" w:rsidRPr="00920D27"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 xml:space="preserve">In terms of classroom practice, accommodations were sporadic and typically limited to emotional support or behavioral modeling. Examples included special seating arrangements or the use of headphones for sensory regulation. Occasionally, alternative academic pathways, such as the NIOS, were offered to students who could not cope with conventional academic expectations. However, it is important to examine whether these decisions were truly made in response to student needs or whether they reflected the limitations of an educational system unable to provide adequate support. In other words, there is a need for closer examination of who is making these academic decisions for students and the factors influencing them. Drawing from Waitoller and Artiles’ (2013) framework of redistribution, recognition, and representation, this reflects a concern regarding the representation of SWD in educational decision-making. Ideally, SWD should be sufficiently empowered to participate in decisions that directly affect their educational experiences, including placement. Similarly, findings of this study indicate that placement of SWD is often shaped by logistical convenience or resource availability. This reflects yet another instance in which decisions are made on behalf of students—decisions that may not align with what students would choose for themselves if they were given the opportunity to advocate for their own interests. While acknowledging that inclusive education cannot </w:t>
      </w:r>
      <w:r w:rsidRPr="00920D27">
        <w:rPr>
          <w:rFonts w:ascii="Arial" w:eastAsia="Times New Roman" w:hAnsi="Arial" w:cs="Arial"/>
          <w:sz w:val="20"/>
          <w:szCs w:val="20"/>
        </w:rPr>
        <w:lastRenderedPageBreak/>
        <w:t xml:space="preserve">be reduced to the mere placement of SWD in general education classrooms especially in the Indian context, this may look like trying to include SWD to </w:t>
      </w:r>
      <w:r w:rsidRPr="00920D27">
        <w:rPr>
          <w:rFonts w:ascii="Arial" w:eastAsia="Times New Roman" w:hAnsi="Arial" w:cs="Arial"/>
          <w:i/>
          <w:sz w:val="20"/>
          <w:szCs w:val="20"/>
        </w:rPr>
        <w:t xml:space="preserve">flawed and barren center </w:t>
      </w:r>
      <w:r w:rsidRPr="00920D27">
        <w:rPr>
          <w:rFonts w:ascii="Arial" w:eastAsia="Times New Roman" w:hAnsi="Arial" w:cs="Arial"/>
          <w:sz w:val="20"/>
          <w:szCs w:val="20"/>
        </w:rPr>
        <w:t>(Singal, 2019) there remains a pressing need for deliberate and systematic efforts to critically examine the rationale behind such placement decisions. Without thoughtful consideration and sustained action toward building a system that is genuinely inclusive of SWD, there is a significant risk of reinforcing segregationist practices.</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Data from this meta-synthesis indicated a significant gap in teacher preparation for inclusive education. Educators consistently reported that existing training programs were inadequate, heavily theoretical, and lacked practical components essential for effective classroom implementation. In particular, teachers highlighted the absence of training in areas such as the development of individualized education plans (IEPs) and the application of hands-on instructional strategies. As a result, many educators described a disconnect between their conceptual understanding of inclusion and the practical skills needed to support SWD in everyday classroom contexts.</w:t>
      </w:r>
    </w:p>
    <w:p w:rsidR="00920D27" w:rsidRPr="00920D27" w:rsidRDefault="00920D27" w:rsidP="005E27E7">
      <w:pPr>
        <w:spacing w:after="0" w:line="360" w:lineRule="auto"/>
        <w:rPr>
          <w:rFonts w:ascii="Arial" w:eastAsia="Times New Roman" w:hAnsi="Arial" w:cs="Arial"/>
          <w:sz w:val="20"/>
          <w:szCs w:val="20"/>
        </w:rPr>
      </w:pPr>
    </w:p>
    <w:p w:rsidR="004D4C86" w:rsidRPr="00920D27" w:rsidRDefault="00920D27" w:rsidP="005E27E7">
      <w:pPr>
        <w:spacing w:after="0" w:line="360" w:lineRule="auto"/>
        <w:rPr>
          <w:rFonts w:ascii="Arial" w:eastAsia="Times New Roman" w:hAnsi="Arial" w:cs="Arial"/>
          <w:b/>
          <w:sz w:val="22"/>
          <w:szCs w:val="22"/>
        </w:rPr>
      </w:pPr>
      <w:r w:rsidRPr="00920D27">
        <w:rPr>
          <w:rFonts w:ascii="Arial" w:eastAsia="Times New Roman" w:hAnsi="Arial" w:cs="Arial"/>
          <w:b/>
          <w:sz w:val="22"/>
          <w:szCs w:val="22"/>
        </w:rPr>
        <w:t xml:space="preserve">4.1. </w:t>
      </w:r>
      <w:r w:rsidR="004D4C86" w:rsidRPr="00920D27">
        <w:rPr>
          <w:rFonts w:ascii="Arial" w:eastAsia="Times New Roman" w:hAnsi="Arial" w:cs="Arial"/>
          <w:b/>
          <w:sz w:val="22"/>
          <w:szCs w:val="22"/>
        </w:rPr>
        <w:t>Implications for Policy and Practice</w:t>
      </w:r>
    </w:p>
    <w:p w:rsidR="00920D27" w:rsidRDefault="00920D27" w:rsidP="005E27E7">
      <w:pPr>
        <w:spacing w:after="0" w:line="360" w:lineRule="auto"/>
        <w:rPr>
          <w:rFonts w:ascii="Arial" w:eastAsia="Times New Roman" w:hAnsi="Arial" w:cs="Arial"/>
          <w:sz w:val="20"/>
          <w:szCs w:val="20"/>
        </w:rPr>
      </w:pPr>
    </w:p>
    <w:p w:rsidR="004D4C86" w:rsidRPr="00920D27" w:rsidRDefault="004D4C86" w:rsidP="005E27E7">
      <w:pPr>
        <w:spacing w:after="0" w:line="360" w:lineRule="auto"/>
        <w:rPr>
          <w:rFonts w:ascii="Arial" w:eastAsia="Times New Roman" w:hAnsi="Arial" w:cs="Arial"/>
          <w:b/>
          <w:sz w:val="20"/>
          <w:szCs w:val="20"/>
        </w:rPr>
      </w:pPr>
      <w:r w:rsidRPr="00920D27">
        <w:rPr>
          <w:rFonts w:ascii="Arial" w:eastAsia="Times New Roman" w:hAnsi="Arial" w:cs="Arial"/>
          <w:sz w:val="20"/>
          <w:szCs w:val="20"/>
        </w:rPr>
        <w:t xml:space="preserve">To address the persistent shortage of trained special educators, policies must aim to make specialist teacher training both accessible and professionally rewarding. Recruitment strategies should be accompanied by systemic reforms that incentivize pursuing specialist training. Furthermore, there should be efforts to make systemic changes that will support teachers in the practice of inclusion. For example, policy that promotes sustained investment in advancing the use of technology for inclusive classrooms and investment in appropriately training educators to use the technology effectively would be an important foundational step. </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 xml:space="preserve">Effective inclusion requires sustained investment in teacher development. In-service training programs must prioritize experiential learning, offering opportunities for teachers to co-develop and implement IEPs and practice differentiated instruction. Collaborative structures such as peer coaching, co-teaching, professional learning communities, and creative use of tech solutions have shown promise (Misquitta&amp; Joshi, 2022) and can serve a model for pre-service and in-service training efforts.  </w:t>
      </w:r>
    </w:p>
    <w:p w:rsidR="00920D27" w:rsidRPr="00920D27" w:rsidRDefault="00920D27" w:rsidP="005E27E7">
      <w:pPr>
        <w:spacing w:after="0" w:line="360" w:lineRule="auto"/>
        <w:rPr>
          <w:rFonts w:ascii="Arial" w:eastAsia="Times New Roman" w:hAnsi="Arial" w:cs="Arial"/>
          <w:sz w:val="20"/>
          <w:szCs w:val="20"/>
        </w:rPr>
      </w:pPr>
    </w:p>
    <w:p w:rsidR="004D4C86" w:rsidRDefault="00920D27" w:rsidP="005E27E7">
      <w:pPr>
        <w:spacing w:after="0" w:line="360" w:lineRule="auto"/>
        <w:rPr>
          <w:rFonts w:ascii="Arial" w:eastAsia="Times New Roman" w:hAnsi="Arial" w:cs="Arial"/>
          <w:b/>
          <w:sz w:val="22"/>
          <w:szCs w:val="22"/>
        </w:rPr>
      </w:pPr>
      <w:r w:rsidRPr="00920D27">
        <w:rPr>
          <w:rFonts w:ascii="Arial" w:eastAsia="Times New Roman" w:hAnsi="Arial" w:cs="Arial"/>
          <w:b/>
          <w:sz w:val="22"/>
          <w:szCs w:val="22"/>
        </w:rPr>
        <w:t xml:space="preserve">4.2. </w:t>
      </w:r>
      <w:r w:rsidR="004D4C86" w:rsidRPr="00920D27">
        <w:rPr>
          <w:rFonts w:ascii="Arial" w:eastAsia="Times New Roman" w:hAnsi="Arial" w:cs="Arial"/>
          <w:b/>
          <w:sz w:val="22"/>
          <w:szCs w:val="22"/>
        </w:rPr>
        <w:t>Implications for Research</w:t>
      </w:r>
    </w:p>
    <w:p w:rsidR="00920D27" w:rsidRDefault="00920D27" w:rsidP="005E27E7">
      <w:pPr>
        <w:spacing w:after="0" w:line="360" w:lineRule="auto"/>
        <w:rPr>
          <w:rFonts w:ascii="Arial" w:eastAsia="Times New Roman" w:hAnsi="Arial" w:cs="Arial"/>
          <w:b/>
          <w:sz w:val="22"/>
          <w:szCs w:val="22"/>
        </w:rPr>
      </w:pPr>
    </w:p>
    <w:p w:rsidR="004D4C86" w:rsidRPr="00920D27"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 xml:space="preserve">Future research should critically examine whether alternatives like NIOS are truly responsive to student needs or merely symptomatic of systemic incapacity to support diverse learners. Additionally, studies should explore the efficacy of classroom-level strategies, such as one-on-one instruction, peer-assisted learning, and proactive behavior management, and interrogate the goals that guide their implementation. Research must also investigate how inclusive practices are negotiated within the cultural and structural constraints of schools to better inform context-sensitive interventions. Additionally, there should be an effort to understand the perspective of SWD, their experience in the </w:t>
      </w:r>
      <w:r w:rsidRPr="00920D27">
        <w:rPr>
          <w:rFonts w:ascii="Arial" w:eastAsia="Times New Roman" w:hAnsi="Arial" w:cs="Arial"/>
          <w:sz w:val="20"/>
          <w:szCs w:val="20"/>
        </w:rPr>
        <w:lastRenderedPageBreak/>
        <w:t>school system, their aspirations for the future, and their school journey. Finally, policy analyses of schools and systems across India would provide a foundational understanding of the capacity of educators to provide inclusive education.</w:t>
      </w:r>
    </w:p>
    <w:p w:rsidR="00920D27" w:rsidRDefault="00920D27" w:rsidP="005E27E7">
      <w:pPr>
        <w:spacing w:after="0" w:line="360" w:lineRule="auto"/>
        <w:jc w:val="center"/>
        <w:rPr>
          <w:rFonts w:ascii="Arial" w:eastAsia="Times New Roman" w:hAnsi="Arial" w:cs="Arial"/>
          <w:b/>
          <w:sz w:val="20"/>
          <w:szCs w:val="20"/>
        </w:rPr>
      </w:pPr>
    </w:p>
    <w:p w:rsidR="004D4C86" w:rsidRPr="00920D27" w:rsidRDefault="00920D27" w:rsidP="005E27E7">
      <w:pPr>
        <w:spacing w:after="0" w:line="360" w:lineRule="auto"/>
        <w:rPr>
          <w:rFonts w:ascii="Arial" w:eastAsia="Times New Roman" w:hAnsi="Arial" w:cs="Arial"/>
          <w:b/>
          <w:sz w:val="22"/>
          <w:szCs w:val="22"/>
        </w:rPr>
      </w:pPr>
      <w:r w:rsidRPr="00920D27">
        <w:rPr>
          <w:rFonts w:ascii="Arial" w:eastAsia="Times New Roman" w:hAnsi="Arial" w:cs="Arial"/>
          <w:b/>
          <w:sz w:val="22"/>
          <w:szCs w:val="22"/>
        </w:rPr>
        <w:t xml:space="preserve">5. </w:t>
      </w:r>
      <w:r w:rsidR="004D4C86" w:rsidRPr="00920D27">
        <w:rPr>
          <w:rFonts w:ascii="Arial" w:eastAsia="Times New Roman" w:hAnsi="Arial" w:cs="Arial"/>
          <w:b/>
          <w:sz w:val="22"/>
          <w:szCs w:val="22"/>
        </w:rPr>
        <w:t>Limitations</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This systematic meta-synthesis was limited to specific databases and included only peer-reviewed articles, which may have constrained the overall representation of inclusive education practices in India. Additionally, restricting the review to English-language publications may have further narrowed the scope, potentially omitting relevant research published in regional languages. The choice of search terms may also have influenced the range of studies identified. Despite these limitations, the findings synthesized in this review offer a valuable contribution to the field of inclusive education and can serve as a foundation for future research, inform practice and policy, and stimulate deeper dialogue among stakeholders.</w:t>
      </w:r>
    </w:p>
    <w:p w:rsidR="00920D27" w:rsidRPr="00920D27" w:rsidRDefault="00920D27" w:rsidP="005E27E7">
      <w:pPr>
        <w:spacing w:after="0" w:line="360" w:lineRule="auto"/>
        <w:rPr>
          <w:rFonts w:ascii="Arial" w:eastAsia="Times New Roman" w:hAnsi="Arial" w:cs="Arial"/>
          <w:sz w:val="20"/>
          <w:szCs w:val="20"/>
        </w:rPr>
      </w:pPr>
    </w:p>
    <w:p w:rsidR="004D4C86" w:rsidRPr="00920D27" w:rsidRDefault="00920D27" w:rsidP="005E27E7">
      <w:pPr>
        <w:spacing w:after="0" w:line="360" w:lineRule="auto"/>
        <w:rPr>
          <w:rFonts w:ascii="Arial" w:eastAsia="Times New Roman" w:hAnsi="Arial" w:cs="Arial"/>
          <w:b/>
          <w:sz w:val="22"/>
          <w:szCs w:val="22"/>
        </w:rPr>
      </w:pPr>
      <w:r w:rsidRPr="00920D27">
        <w:rPr>
          <w:rFonts w:ascii="Arial" w:eastAsia="Times New Roman" w:hAnsi="Arial" w:cs="Arial"/>
          <w:b/>
          <w:sz w:val="22"/>
          <w:szCs w:val="22"/>
        </w:rPr>
        <w:t xml:space="preserve">6. </w:t>
      </w:r>
      <w:r w:rsidR="004D4C86" w:rsidRPr="00920D27">
        <w:rPr>
          <w:rFonts w:ascii="Arial" w:eastAsia="Times New Roman" w:hAnsi="Arial" w:cs="Arial"/>
          <w:b/>
          <w:sz w:val="22"/>
          <w:szCs w:val="22"/>
        </w:rPr>
        <w:t>Conclusion</w:t>
      </w:r>
    </w:p>
    <w:p w:rsidR="00920D27" w:rsidRDefault="00920D27" w:rsidP="005E27E7">
      <w:pPr>
        <w:spacing w:after="0" w:line="360" w:lineRule="auto"/>
        <w:rPr>
          <w:rFonts w:ascii="Arial" w:eastAsia="Times New Roman" w:hAnsi="Arial" w:cs="Arial"/>
          <w:sz w:val="20"/>
          <w:szCs w:val="20"/>
        </w:rPr>
      </w:pPr>
    </w:p>
    <w:p w:rsidR="004D4C86" w:rsidRDefault="004D4C86" w:rsidP="005E27E7">
      <w:pPr>
        <w:spacing w:after="0" w:line="360" w:lineRule="auto"/>
        <w:rPr>
          <w:rFonts w:ascii="Arial" w:eastAsia="Times New Roman" w:hAnsi="Arial" w:cs="Arial"/>
          <w:sz w:val="20"/>
          <w:szCs w:val="20"/>
        </w:rPr>
      </w:pPr>
      <w:r w:rsidRPr="00920D27">
        <w:rPr>
          <w:rFonts w:ascii="Arial" w:eastAsia="Times New Roman" w:hAnsi="Arial" w:cs="Arial"/>
          <w:sz w:val="20"/>
          <w:szCs w:val="20"/>
        </w:rPr>
        <w:t>This meta-synthesis indicates that while educators generally support the principles of inclusion, their efforts are constrained by systemic barriers, inadequate preparation, attitudinal resistance, and rigid institutional cultures. The findings highlight that inclusion remains more aspirational than operational, often reduced to minimal accommodations and trivialized solutions like seating arrangements in the front or with siblings. Addressing this gap requires a holistic response that includes meaningful changes in teacher education, school policy, and broader structural reforms. As long as deficit-based understandings of disability and normative expectations persist, inclusive education risks becoming a tokenistic idea rather than a lived reality for SWD in India.</w:t>
      </w:r>
    </w:p>
    <w:p w:rsidR="00714229" w:rsidRDefault="00714229" w:rsidP="005E27E7">
      <w:pPr>
        <w:spacing w:after="0" w:line="360" w:lineRule="auto"/>
        <w:rPr>
          <w:rFonts w:ascii="Arial" w:eastAsia="Times New Roman" w:hAnsi="Arial" w:cs="Arial"/>
          <w:sz w:val="20"/>
          <w:szCs w:val="20"/>
        </w:rPr>
      </w:pPr>
    </w:p>
    <w:p w:rsidR="00714229" w:rsidRDefault="00714229" w:rsidP="005E27E7">
      <w:pPr>
        <w:spacing w:after="0" w:line="360" w:lineRule="auto"/>
        <w:rPr>
          <w:rFonts w:ascii="Arial" w:eastAsia="Times New Roman" w:hAnsi="Arial" w:cs="Arial"/>
          <w:sz w:val="20"/>
          <w:szCs w:val="20"/>
        </w:rPr>
      </w:pPr>
    </w:p>
    <w:p w:rsidR="00714229" w:rsidRPr="00714229" w:rsidRDefault="00714229" w:rsidP="005E27E7">
      <w:pPr>
        <w:spacing w:after="200" w:line="360" w:lineRule="auto"/>
        <w:jc w:val="both"/>
        <w:outlineLvl w:val="0"/>
        <w:rPr>
          <w:rFonts w:ascii="Arial" w:eastAsia="Times New Roman" w:hAnsi="Arial" w:cs="Arial"/>
          <w:sz w:val="22"/>
          <w:szCs w:val="22"/>
          <w:lang w:val="en-GB" w:eastAsia="en-GB"/>
        </w:rPr>
      </w:pPr>
      <w:r w:rsidRPr="00714229">
        <w:rPr>
          <w:rFonts w:ascii="Arial" w:eastAsia="Times New Roman" w:hAnsi="Arial" w:cs="Arial"/>
          <w:b/>
          <w:bCs/>
          <w:sz w:val="22"/>
          <w:szCs w:val="22"/>
          <w:lang w:val="en-GB" w:eastAsia="en-GB"/>
        </w:rPr>
        <w:t>COMPETING INTERESTS DISCLAIMER:</w:t>
      </w:r>
    </w:p>
    <w:p w:rsidR="00714229" w:rsidRPr="00714229" w:rsidRDefault="00714229" w:rsidP="005E27E7">
      <w:pPr>
        <w:spacing w:after="200" w:line="360" w:lineRule="auto"/>
        <w:rPr>
          <w:rFonts w:ascii="Calibri" w:eastAsia="Times New Roman" w:hAnsi="Calibri" w:cs="Times New Roman"/>
          <w:sz w:val="22"/>
          <w:szCs w:val="22"/>
          <w:lang w:val="en-GB" w:eastAsia="en-GB"/>
        </w:rPr>
      </w:pPr>
      <w:r w:rsidRPr="00714229">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rsidR="00714229" w:rsidRPr="00920D27" w:rsidRDefault="00714229" w:rsidP="005E27E7">
      <w:pPr>
        <w:spacing w:after="0" w:line="360" w:lineRule="auto"/>
        <w:rPr>
          <w:rFonts w:ascii="Arial" w:eastAsia="Times New Roman" w:hAnsi="Arial" w:cs="Arial"/>
          <w:sz w:val="20"/>
          <w:szCs w:val="20"/>
        </w:rPr>
      </w:pPr>
    </w:p>
    <w:p w:rsidR="005E27E7" w:rsidRDefault="005E27E7">
      <w:pPr>
        <w:rPr>
          <w:rFonts w:ascii="Arial" w:eastAsia="Times New Roman" w:hAnsi="Arial" w:cs="Arial"/>
          <w:b/>
        </w:rPr>
      </w:pPr>
      <w:r>
        <w:rPr>
          <w:rFonts w:ascii="Arial" w:eastAsia="Times New Roman" w:hAnsi="Arial" w:cs="Arial"/>
          <w:b/>
        </w:rPr>
        <w:br w:type="page"/>
      </w:r>
    </w:p>
    <w:p w:rsidR="004D4C86" w:rsidRPr="00843D4F" w:rsidRDefault="004D4C86" w:rsidP="005E27E7">
      <w:pPr>
        <w:spacing w:line="360" w:lineRule="auto"/>
        <w:rPr>
          <w:rFonts w:ascii="Arial" w:eastAsia="Times New Roman" w:hAnsi="Arial" w:cs="Arial"/>
        </w:rPr>
      </w:pPr>
      <w:r w:rsidRPr="00843D4F">
        <w:rPr>
          <w:rFonts w:ascii="Arial" w:eastAsia="Times New Roman" w:hAnsi="Arial" w:cs="Arial"/>
          <w:b/>
        </w:rPr>
        <w:lastRenderedPageBreak/>
        <w:t>References</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Ahmed, S., &amp; Ali, M. A. (2021). A study on special educators’ professional autonomy in Delhi government schools. </w:t>
      </w:r>
      <w:r w:rsidRPr="00920D27">
        <w:rPr>
          <w:rFonts w:ascii="Arial" w:eastAsia="Times New Roman" w:hAnsi="Arial" w:cs="Arial"/>
          <w:i/>
          <w:sz w:val="20"/>
          <w:szCs w:val="20"/>
        </w:rPr>
        <w:t>Journal on Educational Psychology</w:t>
      </w:r>
      <w:r w:rsidRPr="00920D27">
        <w:rPr>
          <w:rFonts w:ascii="Arial" w:eastAsia="Times New Roman" w:hAnsi="Arial" w:cs="Arial"/>
          <w:sz w:val="20"/>
          <w:szCs w:val="20"/>
        </w:rPr>
        <w:t xml:space="preserve">, </w:t>
      </w:r>
      <w:r w:rsidRPr="00920D27">
        <w:rPr>
          <w:rFonts w:ascii="Arial" w:eastAsia="Times New Roman" w:hAnsi="Arial" w:cs="Arial"/>
          <w:i/>
          <w:sz w:val="20"/>
          <w:szCs w:val="20"/>
        </w:rPr>
        <w:t>15</w:t>
      </w:r>
      <w:r w:rsidRPr="00920D27">
        <w:rPr>
          <w:rFonts w:ascii="Arial" w:eastAsia="Times New Roman" w:hAnsi="Arial" w:cs="Arial"/>
          <w:sz w:val="20"/>
          <w:szCs w:val="20"/>
        </w:rPr>
        <w:t>(2), 64–70.</w:t>
      </w:r>
      <w:hyperlink r:id="rId10" w:history="1">
        <w:r w:rsidR="00CC7D76" w:rsidRPr="00616F5B">
          <w:rPr>
            <w:rStyle w:val="Hyperlink"/>
            <w:rFonts w:ascii="Arial" w:eastAsia="Times New Roman" w:hAnsi="Arial" w:cs="Arial"/>
            <w:sz w:val="18"/>
            <w:szCs w:val="18"/>
          </w:rPr>
          <w:t>https://doi.org/10.26634/jpsy.15.2.18397</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Armstrong, D., Armstrong, A. C., &amp;Spandagou, I. (2011). Inclusion: By choice or by chance? </w:t>
      </w:r>
      <w:r w:rsidRPr="00920D27">
        <w:rPr>
          <w:rFonts w:ascii="Arial" w:eastAsia="Times New Roman" w:hAnsi="Arial" w:cs="Arial"/>
          <w:i/>
          <w:sz w:val="20"/>
          <w:szCs w:val="20"/>
        </w:rPr>
        <w:t>International Journal of Inclusive Education, 15</w:t>
      </w:r>
      <w:r w:rsidRPr="00920D27">
        <w:rPr>
          <w:rFonts w:ascii="Arial" w:eastAsia="Times New Roman" w:hAnsi="Arial" w:cs="Arial"/>
          <w:sz w:val="20"/>
          <w:szCs w:val="20"/>
        </w:rPr>
        <w:t xml:space="preserve">(1), 29–39. </w:t>
      </w:r>
      <w:hyperlink r:id="rId11" w:history="1">
        <w:r w:rsidR="00431BD9" w:rsidRPr="00616F5B">
          <w:rPr>
            <w:rStyle w:val="Hyperlink"/>
            <w:rFonts w:ascii="Arial" w:eastAsia="Times New Roman" w:hAnsi="Arial" w:cs="Arial"/>
            <w:sz w:val="18"/>
            <w:szCs w:val="18"/>
          </w:rPr>
          <w:t>https://doi.org/10.1080/13603116.2010.496192</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Artiles, A. J., (2023, May 4). </w:t>
      </w:r>
      <w:r w:rsidRPr="00920D27">
        <w:rPr>
          <w:rFonts w:ascii="Arial" w:eastAsia="Times New Roman" w:hAnsi="Arial" w:cs="Arial"/>
          <w:i/>
          <w:sz w:val="20"/>
          <w:szCs w:val="20"/>
        </w:rPr>
        <w:t>Probing Inclusive Education in the Global South: A Critical Cultural Historical Standpoint.</w:t>
      </w:r>
      <w:r w:rsidRPr="00920D27">
        <w:rPr>
          <w:rFonts w:ascii="Arial" w:eastAsia="Times New Roman" w:hAnsi="Arial" w:cs="Arial"/>
          <w:sz w:val="20"/>
          <w:szCs w:val="20"/>
        </w:rPr>
        <w:t xml:space="preserve"> Stanford Public Scholarship Collaborative.</w:t>
      </w:r>
      <w:hyperlink r:id="rId12" w:history="1">
        <w:r w:rsidR="00FF672C" w:rsidRPr="00616F5B">
          <w:rPr>
            <w:rStyle w:val="Hyperlink"/>
            <w:rFonts w:ascii="Arial" w:eastAsia="Times New Roman" w:hAnsi="Arial" w:cs="Arial"/>
            <w:sz w:val="18"/>
            <w:szCs w:val="18"/>
          </w:rPr>
          <w:t xml:space="preserve">https://publicscholarship.stanford.edu/scholarship/blogs/probing-inclusive-education-global-south-critical-cultural-historical-standpoint </w:t>
        </w:r>
      </w:hyperlink>
    </w:p>
    <w:p w:rsidR="00925345" w:rsidRPr="00920D27" w:rsidRDefault="00925345"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Author. (2025). </w:t>
      </w:r>
      <w:r w:rsidRPr="00920D27">
        <w:rPr>
          <w:rFonts w:ascii="Arial" w:eastAsia="Times New Roman" w:hAnsi="Arial" w:cs="Arial"/>
          <w:i/>
          <w:sz w:val="20"/>
          <w:szCs w:val="20"/>
        </w:rPr>
        <w:t>Inclusive Education and Educators in India: A Systematic Meta-Synthesis.</w:t>
      </w:r>
      <w:r w:rsidRPr="00920D27">
        <w:rPr>
          <w:rFonts w:ascii="Arial" w:eastAsia="Times New Roman" w:hAnsi="Arial" w:cs="Arial"/>
          <w:sz w:val="20"/>
          <w:szCs w:val="20"/>
        </w:rPr>
        <w:t xml:space="preserve"> [Unpublished manuscript].</w:t>
      </w:r>
    </w:p>
    <w:p w:rsidR="00FF672C"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*Bhatnagar, N., &amp; Das, A. (2014). Regular school teachers’ concerns and perceived barriers to implement inclusive education in New Delhi, India. </w:t>
      </w:r>
      <w:r w:rsidRPr="00920D27">
        <w:rPr>
          <w:rFonts w:ascii="Arial" w:eastAsia="Times New Roman" w:hAnsi="Arial" w:cs="Arial"/>
          <w:i/>
          <w:sz w:val="20"/>
          <w:szCs w:val="20"/>
        </w:rPr>
        <w:t>International Journal of Instruction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7</w:t>
      </w:r>
      <w:r w:rsidRPr="00920D27">
        <w:rPr>
          <w:rFonts w:ascii="Arial" w:eastAsia="Times New Roman" w:hAnsi="Arial" w:cs="Arial"/>
          <w:sz w:val="20"/>
          <w:szCs w:val="20"/>
        </w:rPr>
        <w:t xml:space="preserve">(2), 89–102. </w:t>
      </w:r>
      <w:hyperlink r:id="rId13" w:history="1">
        <w:r w:rsidR="00FF672C" w:rsidRPr="00616F5B">
          <w:rPr>
            <w:rStyle w:val="Hyperlink"/>
            <w:rFonts w:ascii="Arial" w:eastAsia="Times New Roman" w:hAnsi="Arial" w:cs="Arial"/>
            <w:sz w:val="18"/>
            <w:szCs w:val="18"/>
          </w:rPr>
          <w:t>https://files.eric.ed.gov/fulltext/EJ1085257.pdf</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*Charles, A. S., &amp;Padhy, P. (2019). Inclusion, disability, and schooling in India: A qualitative exploration of select programs. </w:t>
      </w:r>
      <w:r w:rsidRPr="00920D27">
        <w:rPr>
          <w:rFonts w:ascii="Arial" w:eastAsia="Times New Roman" w:hAnsi="Arial" w:cs="Arial"/>
          <w:i/>
          <w:sz w:val="20"/>
          <w:szCs w:val="20"/>
        </w:rPr>
        <w:t>Journal of the International Association of Special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19</w:t>
      </w:r>
      <w:r w:rsidRPr="00920D27">
        <w:rPr>
          <w:rFonts w:ascii="Arial" w:eastAsia="Times New Roman" w:hAnsi="Arial" w:cs="Arial"/>
          <w:sz w:val="20"/>
          <w:szCs w:val="20"/>
        </w:rPr>
        <w:t xml:space="preserve">(1), 53–66. </w:t>
      </w:r>
      <w:hyperlink r:id="rId14" w:history="1">
        <w:r w:rsidR="005A4197" w:rsidRPr="00616F5B">
          <w:rPr>
            <w:rStyle w:val="Hyperlink"/>
            <w:rFonts w:ascii="Arial" w:eastAsia="Times New Roman" w:hAnsi="Arial" w:cs="Arial"/>
            <w:sz w:val="18"/>
            <w:szCs w:val="18"/>
          </w:rPr>
          <w:t>https://eric.ed.gov/?id=EJ1283994</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Chrastina, J. (2018). Meta-synthesis of qualitative studies: Background, methodology and applications. In </w:t>
      </w:r>
      <w:r w:rsidRPr="00920D27">
        <w:rPr>
          <w:rFonts w:ascii="Arial" w:eastAsia="Times New Roman" w:hAnsi="Arial" w:cs="Arial"/>
          <w:i/>
          <w:sz w:val="20"/>
          <w:szCs w:val="20"/>
        </w:rPr>
        <w:t>NORDSCI</w:t>
      </w:r>
      <w:r w:rsidRPr="00920D27">
        <w:rPr>
          <w:rFonts w:ascii="Arial" w:eastAsia="Times New Roman" w:hAnsi="Arial" w:cs="Arial"/>
          <w:sz w:val="20"/>
          <w:szCs w:val="20"/>
        </w:rPr>
        <w:t>.</w:t>
      </w:r>
      <w:hyperlink r:id="rId15" w:history="1"/>
      <w:hyperlink r:id="rId16" w:history="1">
        <w:r w:rsidR="002129C6" w:rsidRPr="00616F5B">
          <w:rPr>
            <w:rStyle w:val="Hyperlink"/>
            <w:rFonts w:ascii="Arial" w:eastAsia="Times New Roman" w:hAnsi="Arial" w:cs="Arial"/>
            <w:sz w:val="18"/>
            <w:szCs w:val="18"/>
          </w:rPr>
          <w:t>https://eric.ed.gov/?id=ED603222</w:t>
        </w:r>
      </w:hyperlink>
    </w:p>
    <w:p w:rsidR="00003D34" w:rsidRPr="00003D34" w:rsidRDefault="004D4C86" w:rsidP="005E27E7">
      <w:pPr>
        <w:spacing w:after="0" w:line="360" w:lineRule="auto"/>
        <w:ind w:left="720" w:hanging="720"/>
        <w:rPr>
          <w:rFonts w:ascii="Arial" w:eastAsia="Times New Roman" w:hAnsi="Arial" w:cs="Arial"/>
          <w:sz w:val="18"/>
          <w:szCs w:val="18"/>
        </w:rPr>
      </w:pPr>
      <w:r w:rsidRPr="00920D27">
        <w:rPr>
          <w:rFonts w:ascii="Arial" w:eastAsia="Times New Roman" w:hAnsi="Arial" w:cs="Arial"/>
          <w:sz w:val="20"/>
          <w:szCs w:val="20"/>
        </w:rPr>
        <w:t xml:space="preserve">*David, N. (2013). ADHD in Indian elementary classrooms: Understanding teacher perspectives. </w:t>
      </w:r>
      <w:r w:rsidRPr="00920D27">
        <w:rPr>
          <w:rFonts w:ascii="Arial" w:eastAsia="Times New Roman" w:hAnsi="Arial" w:cs="Arial"/>
          <w:i/>
          <w:sz w:val="20"/>
          <w:szCs w:val="20"/>
        </w:rPr>
        <w:t>International Journal of Special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28</w:t>
      </w:r>
      <w:r w:rsidRPr="00920D27">
        <w:rPr>
          <w:rFonts w:ascii="Arial" w:eastAsia="Times New Roman" w:hAnsi="Arial" w:cs="Arial"/>
          <w:sz w:val="20"/>
          <w:szCs w:val="20"/>
        </w:rPr>
        <w:t xml:space="preserve">(2), 4–16. </w:t>
      </w:r>
      <w:hyperlink r:id="rId17" w:history="1">
        <w:r w:rsidR="00003D34" w:rsidRPr="00616F5B">
          <w:rPr>
            <w:rStyle w:val="Hyperlink"/>
            <w:rFonts w:ascii="Arial" w:eastAsia="Times New Roman" w:hAnsi="Arial" w:cs="Arial"/>
            <w:sz w:val="18"/>
            <w:szCs w:val="18"/>
          </w:rPr>
          <w:t>https://files.eric.ed.gov/fulltext/EJ1023228.pdf</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*Devi, D. U., &amp; Reddy, P. A. (2016). Problems of children with special needs (CWSNs) in assessing the education: Role of barrier free environment - A case study of India. </w:t>
      </w:r>
      <w:r w:rsidRPr="00920D27">
        <w:rPr>
          <w:rFonts w:ascii="Arial" w:eastAsia="Times New Roman" w:hAnsi="Arial" w:cs="Arial"/>
          <w:i/>
          <w:sz w:val="20"/>
          <w:szCs w:val="20"/>
        </w:rPr>
        <w:t>Bulgarian Journal of Science and Education Policy</w:t>
      </w:r>
      <w:r w:rsidRPr="00920D27">
        <w:rPr>
          <w:rFonts w:ascii="Arial" w:eastAsia="Times New Roman" w:hAnsi="Arial" w:cs="Arial"/>
          <w:sz w:val="20"/>
          <w:szCs w:val="20"/>
        </w:rPr>
        <w:t xml:space="preserve">, </w:t>
      </w:r>
      <w:r w:rsidRPr="00920D27">
        <w:rPr>
          <w:rFonts w:ascii="Arial" w:eastAsia="Times New Roman" w:hAnsi="Arial" w:cs="Arial"/>
          <w:i/>
          <w:sz w:val="20"/>
          <w:szCs w:val="20"/>
        </w:rPr>
        <w:t>10</w:t>
      </w:r>
      <w:r w:rsidRPr="00920D27">
        <w:rPr>
          <w:rFonts w:ascii="Arial" w:eastAsia="Times New Roman" w:hAnsi="Arial" w:cs="Arial"/>
          <w:sz w:val="20"/>
          <w:szCs w:val="20"/>
        </w:rPr>
        <w:t xml:space="preserve">(1), 90–105. </w:t>
      </w:r>
      <w:hyperlink r:id="rId18" w:history="1">
        <w:r w:rsidR="00773DAB" w:rsidRPr="00616F5B">
          <w:rPr>
            <w:rStyle w:val="Hyperlink"/>
            <w:rFonts w:ascii="Arial" w:eastAsia="Times New Roman" w:hAnsi="Arial" w:cs="Arial"/>
            <w:sz w:val="20"/>
            <w:szCs w:val="20"/>
          </w:rPr>
          <w:t>http://bjsep.org/getfile.php?id=209</w:t>
        </w:r>
      </w:hyperlink>
    </w:p>
    <w:p w:rsidR="00F059DD" w:rsidRPr="00F059DD" w:rsidRDefault="004D4C86" w:rsidP="005E27E7">
      <w:pPr>
        <w:spacing w:after="0" w:line="360" w:lineRule="auto"/>
        <w:ind w:left="720" w:hanging="720"/>
        <w:rPr>
          <w:rFonts w:ascii="Arial" w:eastAsia="Times New Roman" w:hAnsi="Arial" w:cs="Arial"/>
          <w:color w:val="467886" w:themeColor="hyperlink"/>
          <w:sz w:val="20"/>
          <w:szCs w:val="20"/>
          <w:u w:val="single"/>
        </w:rPr>
      </w:pPr>
      <w:r w:rsidRPr="00920D27">
        <w:rPr>
          <w:rFonts w:ascii="Arial" w:eastAsia="Times New Roman" w:hAnsi="Arial" w:cs="Arial"/>
          <w:sz w:val="20"/>
          <w:szCs w:val="20"/>
        </w:rPr>
        <w:t xml:space="preserve">*D’Souza, M., &amp;Jament, J. (2015). Providing effective support to teachers in addressing social, emotional and behavioural difficulties in mainstream classrooms in a Bangalore pre-primary school. </w:t>
      </w:r>
      <w:r w:rsidRPr="00920D27">
        <w:rPr>
          <w:rFonts w:ascii="Arial" w:eastAsia="Times New Roman" w:hAnsi="Arial" w:cs="Arial"/>
          <w:i/>
          <w:sz w:val="20"/>
          <w:szCs w:val="20"/>
        </w:rPr>
        <w:t>Support for Learning</w:t>
      </w:r>
      <w:r w:rsidRPr="00920D27">
        <w:rPr>
          <w:rFonts w:ascii="Arial" w:eastAsia="Times New Roman" w:hAnsi="Arial" w:cs="Arial"/>
          <w:sz w:val="20"/>
          <w:szCs w:val="20"/>
        </w:rPr>
        <w:t xml:space="preserve">, </w:t>
      </w:r>
      <w:r w:rsidRPr="00920D27">
        <w:rPr>
          <w:rFonts w:ascii="Arial" w:eastAsia="Times New Roman" w:hAnsi="Arial" w:cs="Arial"/>
          <w:i/>
          <w:sz w:val="20"/>
          <w:szCs w:val="20"/>
        </w:rPr>
        <w:t>30</w:t>
      </w:r>
      <w:r w:rsidRPr="00920D27">
        <w:rPr>
          <w:rFonts w:ascii="Arial" w:eastAsia="Times New Roman" w:hAnsi="Arial" w:cs="Arial"/>
          <w:sz w:val="20"/>
          <w:szCs w:val="20"/>
        </w:rPr>
        <w:t>(3), 239–251.</w:t>
      </w:r>
      <w:hyperlink r:id="rId19" w:history="1">
        <w:r w:rsidR="00F059DD" w:rsidRPr="00616F5B">
          <w:rPr>
            <w:rStyle w:val="Hyperlink"/>
            <w:rFonts w:ascii="Arial" w:eastAsia="Times New Roman" w:hAnsi="Arial" w:cs="Arial"/>
            <w:sz w:val="18"/>
            <w:szCs w:val="18"/>
          </w:rPr>
          <w:t>https://doi.org/10.1111/1467-9604.12093</w:t>
        </w:r>
      </w:hyperlink>
      <w:r w:rsidR="00F059DD">
        <w:rPr>
          <w:rStyle w:val="Hyperlink"/>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*Elton-Chalcraft, S., Cammack, P. J., &amp; Harrison, L. (2016). Segregation, integration, inclusion and effective provision: A case study of perspectives from special educational needs children, parents and teachers in Bangalore, India. </w:t>
      </w:r>
      <w:r w:rsidRPr="00920D27">
        <w:rPr>
          <w:rFonts w:ascii="Arial" w:eastAsia="Times New Roman" w:hAnsi="Arial" w:cs="Arial"/>
          <w:i/>
          <w:sz w:val="20"/>
          <w:szCs w:val="20"/>
        </w:rPr>
        <w:t>International Journal of Special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31</w:t>
      </w:r>
      <w:r w:rsidRPr="00920D27">
        <w:rPr>
          <w:rFonts w:ascii="Arial" w:eastAsia="Times New Roman" w:hAnsi="Arial" w:cs="Arial"/>
          <w:sz w:val="20"/>
          <w:szCs w:val="20"/>
        </w:rPr>
        <w:t xml:space="preserve">(1), 2–9. </w:t>
      </w:r>
      <w:hyperlink r:id="rId20" w:history="1">
        <w:r w:rsidR="00F22400" w:rsidRPr="00616F5B">
          <w:rPr>
            <w:rStyle w:val="Hyperlink"/>
            <w:rFonts w:ascii="Arial" w:eastAsia="Times New Roman" w:hAnsi="Arial" w:cs="Arial"/>
            <w:sz w:val="20"/>
            <w:szCs w:val="20"/>
          </w:rPr>
          <w:t>https://files.eric.ed.gov/fulltext/EJ1099934.pdf</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Farrell, P. (2016). Promoting inclusive education in India: A framework for research and practice. </w:t>
      </w:r>
      <w:r w:rsidRPr="00920D27">
        <w:rPr>
          <w:rFonts w:ascii="Arial" w:eastAsia="Times New Roman" w:hAnsi="Arial" w:cs="Arial"/>
          <w:i/>
          <w:sz w:val="20"/>
          <w:szCs w:val="20"/>
        </w:rPr>
        <w:t>Journal of the Indian Academy of Applied Psychology</w:t>
      </w:r>
      <w:r w:rsidRPr="00920D27">
        <w:rPr>
          <w:rFonts w:ascii="Arial" w:eastAsia="Times New Roman" w:hAnsi="Arial" w:cs="Arial"/>
          <w:sz w:val="20"/>
          <w:szCs w:val="20"/>
        </w:rPr>
        <w:t xml:space="preserve">, </w:t>
      </w:r>
      <w:r w:rsidRPr="00920D27">
        <w:rPr>
          <w:rFonts w:ascii="Arial" w:eastAsia="Times New Roman" w:hAnsi="Arial" w:cs="Arial"/>
          <w:i/>
          <w:sz w:val="20"/>
          <w:szCs w:val="20"/>
        </w:rPr>
        <w:t>42</w:t>
      </w:r>
      <w:r w:rsidRPr="00920D27">
        <w:rPr>
          <w:rFonts w:ascii="Arial" w:eastAsia="Times New Roman" w:hAnsi="Arial" w:cs="Arial"/>
          <w:sz w:val="20"/>
          <w:szCs w:val="20"/>
        </w:rPr>
        <w:t xml:space="preserve">(1), 18–29. </w:t>
      </w:r>
      <w:hyperlink r:id="rId21" w:history="1">
        <w:r w:rsidR="00F22400" w:rsidRPr="00616F5B">
          <w:rPr>
            <w:rStyle w:val="Hyperlink"/>
            <w:rFonts w:ascii="Arial" w:eastAsia="Times New Roman" w:hAnsi="Arial" w:cs="Arial"/>
            <w:sz w:val="20"/>
            <w:szCs w:val="20"/>
          </w:rPr>
          <w:t>https://jiaap.in/wp-content/uploads/2024/08/2016_42_1_Farrell_18-29.pdf</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Finfgeld-Connett, D. (2018). </w:t>
      </w:r>
      <w:r w:rsidRPr="00920D27">
        <w:rPr>
          <w:rFonts w:ascii="Arial" w:eastAsia="Times New Roman" w:hAnsi="Arial" w:cs="Arial"/>
          <w:i/>
          <w:sz w:val="20"/>
          <w:szCs w:val="20"/>
        </w:rPr>
        <w:t>A Guide to Qualitative Meta-synthesis</w:t>
      </w:r>
      <w:r w:rsidRPr="00920D27">
        <w:rPr>
          <w:rFonts w:ascii="Arial" w:eastAsia="Times New Roman" w:hAnsi="Arial" w:cs="Arial"/>
          <w:sz w:val="20"/>
          <w:szCs w:val="20"/>
        </w:rPr>
        <w:t xml:space="preserve">. Routledge. </w:t>
      </w:r>
      <w:hyperlink r:id="rId22" w:history="1">
        <w:r w:rsidRPr="00920D27">
          <w:rPr>
            <w:rStyle w:val="Hyperlink"/>
            <w:rFonts w:ascii="Arial" w:eastAsia="Times New Roman" w:hAnsi="Arial" w:cs="Arial"/>
            <w:sz w:val="20"/>
            <w:szCs w:val="20"/>
          </w:rPr>
          <w:t>https://doi.org/10.4324/9781351212793</w:t>
        </w:r>
      </w:hyperlink>
    </w:p>
    <w:p w:rsidR="00340C3C" w:rsidRDefault="004D4C86" w:rsidP="005E27E7">
      <w:pPr>
        <w:spacing w:after="0" w:line="360" w:lineRule="auto"/>
        <w:ind w:left="720" w:hanging="720"/>
        <w:rPr>
          <w:rFonts w:ascii="Arial" w:eastAsia="Times New Roman" w:hAnsi="Arial" w:cs="Arial"/>
          <w:sz w:val="18"/>
          <w:szCs w:val="18"/>
        </w:rPr>
      </w:pPr>
      <w:r w:rsidRPr="00920D27">
        <w:rPr>
          <w:rFonts w:ascii="Arial" w:eastAsia="Times New Roman" w:hAnsi="Arial" w:cs="Arial"/>
          <w:sz w:val="20"/>
          <w:szCs w:val="20"/>
        </w:rPr>
        <w:lastRenderedPageBreak/>
        <w:t xml:space="preserve">*Forber-Pratt, A. J., &amp; Sarkar, T. (2022). Unpacking the possible: A qualitative case study of inclusive teacher practice in India. </w:t>
      </w:r>
      <w:r w:rsidRPr="00920D27">
        <w:rPr>
          <w:rFonts w:ascii="Arial" w:eastAsia="Times New Roman" w:hAnsi="Arial" w:cs="Arial"/>
          <w:i/>
          <w:sz w:val="20"/>
          <w:szCs w:val="20"/>
        </w:rPr>
        <w:t>Institutionalised Children Explorations and Beyond</w:t>
      </w:r>
      <w:r w:rsidRPr="00920D27">
        <w:rPr>
          <w:rFonts w:ascii="Arial" w:eastAsia="Times New Roman" w:hAnsi="Arial" w:cs="Arial"/>
          <w:sz w:val="20"/>
          <w:szCs w:val="20"/>
        </w:rPr>
        <w:t xml:space="preserve">, </w:t>
      </w:r>
      <w:r w:rsidRPr="00920D27">
        <w:rPr>
          <w:rFonts w:ascii="Arial" w:eastAsia="Times New Roman" w:hAnsi="Arial" w:cs="Arial"/>
          <w:i/>
          <w:sz w:val="20"/>
          <w:szCs w:val="20"/>
        </w:rPr>
        <w:t>9</w:t>
      </w:r>
      <w:r w:rsidRPr="00920D27">
        <w:rPr>
          <w:rFonts w:ascii="Arial" w:eastAsia="Times New Roman" w:hAnsi="Arial" w:cs="Arial"/>
          <w:sz w:val="20"/>
          <w:szCs w:val="20"/>
        </w:rPr>
        <w:t xml:space="preserve">(1), 34–46.DOI: </w:t>
      </w:r>
      <w:hyperlink r:id="rId23" w:history="1">
        <w:r w:rsidR="00340C3C" w:rsidRPr="00616F5B">
          <w:rPr>
            <w:rStyle w:val="Hyperlink"/>
            <w:rFonts w:ascii="Arial" w:eastAsia="Times New Roman" w:hAnsi="Arial" w:cs="Arial"/>
            <w:sz w:val="18"/>
            <w:szCs w:val="18"/>
          </w:rPr>
          <w:t>https://doi.org/10.1177/23493003211047927</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Forlin, C. (2013). Changing paradigms and future directions for implementing inclusive education in developing countries. </w:t>
      </w:r>
      <w:r w:rsidRPr="00920D27">
        <w:rPr>
          <w:rFonts w:ascii="Arial" w:eastAsia="Times New Roman" w:hAnsi="Arial" w:cs="Arial"/>
          <w:i/>
          <w:sz w:val="20"/>
          <w:szCs w:val="20"/>
        </w:rPr>
        <w:t>Asian Journal of Inclusive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1</w:t>
      </w:r>
      <w:r w:rsidRPr="00920D27">
        <w:rPr>
          <w:rFonts w:ascii="Arial" w:eastAsia="Times New Roman" w:hAnsi="Arial" w:cs="Arial"/>
          <w:sz w:val="20"/>
          <w:szCs w:val="20"/>
        </w:rPr>
        <w:t>(2), 19–31.</w:t>
      </w:r>
      <w:hyperlink r:id="rId24" w:history="1">
        <w:r w:rsidR="00D10157" w:rsidRPr="00616F5B">
          <w:rPr>
            <w:rStyle w:val="Hyperlink"/>
            <w:rFonts w:ascii="Arial" w:eastAsia="Times New Roman" w:hAnsi="Arial" w:cs="Arial"/>
            <w:sz w:val="18"/>
            <w:szCs w:val="18"/>
          </w:rPr>
          <w:t>https://doi.org/10.59595/ajie.01.2.3</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Grech, S., &amp;Soldatic, K. (2016). Disability and development: Critical connections, gaps and contradictions. In S. Grech &amp; K. Soldatic (Eds.), </w:t>
      </w:r>
      <w:r w:rsidRPr="00920D27">
        <w:rPr>
          <w:rFonts w:ascii="Arial" w:eastAsia="Times New Roman" w:hAnsi="Arial" w:cs="Arial"/>
          <w:i/>
          <w:sz w:val="20"/>
          <w:szCs w:val="20"/>
        </w:rPr>
        <w:t>Disability in the Global South: The critical handbook</w:t>
      </w:r>
      <w:r w:rsidRPr="00920D27">
        <w:rPr>
          <w:rFonts w:ascii="Arial" w:eastAsia="Times New Roman" w:hAnsi="Arial" w:cs="Arial"/>
          <w:sz w:val="20"/>
          <w:szCs w:val="20"/>
        </w:rPr>
        <w:t xml:space="preserve"> (pp. 3-20). Springer</w:t>
      </w:r>
      <w:hyperlink r:id="rId25" w:history="1">
        <w:r w:rsidR="008779A5" w:rsidRPr="00616F5B">
          <w:rPr>
            <w:rStyle w:val="Hyperlink"/>
            <w:rFonts w:ascii="Arial" w:eastAsia="Times New Roman" w:hAnsi="Arial" w:cs="Arial"/>
            <w:sz w:val="18"/>
            <w:szCs w:val="18"/>
          </w:rPr>
          <w:t>https://doi.org/10.1007/978-3-319-42488-0_1</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Hannes, K., Lockwood, C., &amp; Pearson, A. (2010). A comparative analysis of three online appraisal instruments' ability to assess validity in qualitative research. </w:t>
      </w:r>
      <w:r w:rsidRPr="00920D27">
        <w:rPr>
          <w:rFonts w:ascii="Arial" w:eastAsia="Times New Roman" w:hAnsi="Arial" w:cs="Arial"/>
          <w:i/>
          <w:sz w:val="20"/>
          <w:szCs w:val="20"/>
        </w:rPr>
        <w:t>Qual Health Res</w:t>
      </w:r>
      <w:r w:rsidRPr="00920D27">
        <w:rPr>
          <w:rFonts w:ascii="Arial" w:eastAsia="Times New Roman" w:hAnsi="Arial" w:cs="Arial"/>
          <w:sz w:val="20"/>
          <w:szCs w:val="20"/>
        </w:rPr>
        <w:t xml:space="preserve">, </w:t>
      </w:r>
      <w:r w:rsidRPr="00920D27">
        <w:rPr>
          <w:rFonts w:ascii="Arial" w:eastAsia="Times New Roman" w:hAnsi="Arial" w:cs="Arial"/>
          <w:i/>
          <w:sz w:val="20"/>
          <w:szCs w:val="20"/>
        </w:rPr>
        <w:t>20</w:t>
      </w:r>
      <w:r w:rsidRPr="00920D27">
        <w:rPr>
          <w:rFonts w:ascii="Arial" w:eastAsia="Times New Roman" w:hAnsi="Arial" w:cs="Arial"/>
          <w:sz w:val="20"/>
          <w:szCs w:val="20"/>
        </w:rPr>
        <w:t>(12), 1736-1743</w:t>
      </w:r>
      <w:hyperlink r:id="rId26" w:history="1">
        <w:r w:rsidR="007A0324" w:rsidRPr="00616F5B">
          <w:rPr>
            <w:rStyle w:val="Hyperlink"/>
            <w:rFonts w:ascii="Arial" w:eastAsia="Times New Roman" w:hAnsi="Arial" w:cs="Arial"/>
            <w:sz w:val="18"/>
            <w:szCs w:val="18"/>
          </w:rPr>
          <w:t>https://doi.org/10.1177/1049732310378656</w:t>
        </w:r>
      </w:hyperlink>
      <w:r w:rsidRPr="00920D27">
        <w:rPr>
          <w:rFonts w:ascii="Arial" w:eastAsia="Times New Roman" w:hAnsi="Arial" w:cs="Arial"/>
          <w:sz w:val="20"/>
          <w:szCs w:val="20"/>
        </w:rPr>
        <w:t xml:space="preserve">. </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Hollings, S. (2021). Implementation barriers of inclusive education and their impact on stakeholders: A review of the literature. </w:t>
      </w:r>
      <w:r w:rsidRPr="00920D27">
        <w:rPr>
          <w:rFonts w:ascii="Arial" w:eastAsia="Times New Roman" w:hAnsi="Arial" w:cs="Arial"/>
          <w:i/>
          <w:sz w:val="20"/>
          <w:szCs w:val="20"/>
        </w:rPr>
        <w:t xml:space="preserve">International Journal of Childhood Education, 2 </w:t>
      </w:r>
      <w:r w:rsidRPr="00920D27">
        <w:rPr>
          <w:rFonts w:ascii="Arial" w:eastAsia="Times New Roman" w:hAnsi="Arial" w:cs="Arial"/>
          <w:sz w:val="20"/>
          <w:szCs w:val="20"/>
        </w:rPr>
        <w:t>(1), 27-45.</w:t>
      </w:r>
      <w:hyperlink r:id="rId27" w:history="1"/>
      <w:hyperlink r:id="rId28" w:history="1">
        <w:r w:rsidRPr="00920D27">
          <w:rPr>
            <w:rStyle w:val="Hyperlink"/>
            <w:rFonts w:ascii="Arial" w:eastAsia="Times New Roman" w:hAnsi="Arial" w:cs="Arial"/>
            <w:sz w:val="20"/>
            <w:szCs w:val="20"/>
          </w:rPr>
          <w:t>https://doi.org/10.33422/ijce.v2i1.36</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Kenny, M. (2025, May 2). </w:t>
      </w:r>
      <w:r w:rsidRPr="00920D27">
        <w:rPr>
          <w:rFonts w:ascii="Arial" w:eastAsia="Times New Roman" w:hAnsi="Arial" w:cs="Arial"/>
          <w:i/>
          <w:sz w:val="20"/>
          <w:szCs w:val="20"/>
        </w:rPr>
        <w:t>Global North and Global South</w:t>
      </w:r>
      <w:r w:rsidRPr="00920D27">
        <w:rPr>
          <w:rFonts w:ascii="Arial" w:eastAsia="Times New Roman" w:hAnsi="Arial" w:cs="Arial"/>
          <w:sz w:val="20"/>
          <w:szCs w:val="20"/>
        </w:rPr>
        <w:t>. Britannica.</w:t>
      </w:r>
      <w:hyperlink r:id="rId29" w:history="1"/>
      <w:hyperlink r:id="rId30" w:history="1">
        <w:r w:rsidRPr="00920D27">
          <w:rPr>
            <w:rStyle w:val="Hyperlink"/>
            <w:rFonts w:ascii="Arial" w:eastAsia="Times New Roman" w:hAnsi="Arial" w:cs="Arial"/>
            <w:sz w:val="20"/>
            <w:szCs w:val="20"/>
          </w:rPr>
          <w:t>https://www.britannica.com/topic/Global-North-and-Global-South</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*Kundu, A., &amp; Rice, M. (2019). Indian educators’ perceptions of their inclusion implementation practices in secondary schools. </w:t>
      </w:r>
      <w:r w:rsidRPr="00920D27">
        <w:rPr>
          <w:rFonts w:ascii="Arial" w:eastAsia="Times New Roman" w:hAnsi="Arial" w:cs="Arial"/>
          <w:i/>
          <w:sz w:val="20"/>
          <w:szCs w:val="20"/>
        </w:rPr>
        <w:t>British Journal of Special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46</w:t>
      </w:r>
      <w:r w:rsidRPr="00920D27">
        <w:rPr>
          <w:rFonts w:ascii="Arial" w:eastAsia="Times New Roman" w:hAnsi="Arial" w:cs="Arial"/>
          <w:sz w:val="20"/>
          <w:szCs w:val="20"/>
        </w:rPr>
        <w:t>(4), 398–422</w:t>
      </w:r>
      <w:hyperlink r:id="rId31" w:history="1">
        <w:r w:rsidR="007B236C" w:rsidRPr="00616F5B">
          <w:rPr>
            <w:rStyle w:val="Hyperlink"/>
            <w:rFonts w:ascii="Arial" w:eastAsia="Times New Roman" w:hAnsi="Arial" w:cs="Arial"/>
            <w:sz w:val="18"/>
            <w:szCs w:val="18"/>
          </w:rPr>
          <w:t>https://doi.org/10.1111/1467-8578.12282</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Ministry of Education (2020). </w:t>
      </w:r>
      <w:r w:rsidRPr="00920D27">
        <w:rPr>
          <w:rFonts w:ascii="Arial" w:eastAsia="Times New Roman" w:hAnsi="Arial" w:cs="Arial"/>
          <w:i/>
          <w:sz w:val="20"/>
          <w:szCs w:val="20"/>
        </w:rPr>
        <w:t>Inclusive Education for Children with Special Needs</w:t>
      </w:r>
      <w:r w:rsidRPr="00920D27">
        <w:rPr>
          <w:rFonts w:ascii="Arial" w:eastAsia="Times New Roman" w:hAnsi="Arial" w:cs="Arial"/>
          <w:sz w:val="20"/>
          <w:szCs w:val="20"/>
        </w:rPr>
        <w:t>. https://samagra.education.gov.in/inclusive.html</w:t>
      </w:r>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*Misquitta, R., &amp; Joshi, R. (2022). Professional development for inclusive education: Insights from India. </w:t>
      </w:r>
      <w:r w:rsidRPr="00920D27">
        <w:rPr>
          <w:rFonts w:ascii="Arial" w:eastAsia="Times New Roman" w:hAnsi="Arial" w:cs="Arial"/>
          <w:i/>
          <w:sz w:val="20"/>
          <w:szCs w:val="20"/>
        </w:rPr>
        <w:t>International Journal of Inclusive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0</w:t>
      </w:r>
      <w:r w:rsidRPr="00920D27">
        <w:rPr>
          <w:rFonts w:ascii="Arial" w:eastAsia="Times New Roman" w:hAnsi="Arial" w:cs="Arial"/>
          <w:sz w:val="20"/>
          <w:szCs w:val="20"/>
        </w:rPr>
        <w:t>(0), 1–16</w:t>
      </w:r>
      <w:hyperlink r:id="rId32" w:history="1">
        <w:r w:rsidR="005B542F" w:rsidRPr="00616F5B">
          <w:rPr>
            <w:rStyle w:val="Hyperlink"/>
            <w:rFonts w:ascii="Arial" w:eastAsia="Times New Roman" w:hAnsi="Arial" w:cs="Arial"/>
            <w:sz w:val="18"/>
            <w:szCs w:val="18"/>
          </w:rPr>
          <w:t>https://doi.org/10.1080/13603116.2022.2036831</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*Mohanty, S. P., &amp; Nanda, N. (2017). Inclusive practices in elementary education: What do the heads of schools perceive? </w:t>
      </w:r>
      <w:r w:rsidRPr="00920D27">
        <w:rPr>
          <w:rFonts w:ascii="Arial" w:eastAsia="Times New Roman" w:hAnsi="Arial" w:cs="Arial"/>
          <w:i/>
          <w:sz w:val="20"/>
          <w:szCs w:val="20"/>
        </w:rPr>
        <w:t>Journal on School Educational Technology</w:t>
      </w:r>
      <w:r w:rsidRPr="00920D27">
        <w:rPr>
          <w:rFonts w:ascii="Arial" w:eastAsia="Times New Roman" w:hAnsi="Arial" w:cs="Arial"/>
          <w:sz w:val="20"/>
          <w:szCs w:val="20"/>
        </w:rPr>
        <w:t xml:space="preserve">, </w:t>
      </w:r>
      <w:r w:rsidRPr="00920D27">
        <w:rPr>
          <w:rFonts w:ascii="Arial" w:eastAsia="Times New Roman" w:hAnsi="Arial" w:cs="Arial"/>
          <w:i/>
          <w:sz w:val="20"/>
          <w:szCs w:val="20"/>
        </w:rPr>
        <w:t>12</w:t>
      </w:r>
      <w:r w:rsidRPr="00920D27">
        <w:rPr>
          <w:rFonts w:ascii="Arial" w:eastAsia="Times New Roman" w:hAnsi="Arial" w:cs="Arial"/>
          <w:sz w:val="20"/>
          <w:szCs w:val="20"/>
        </w:rPr>
        <w:t>(4), 15–23</w:t>
      </w:r>
      <w:hyperlink r:id="rId33" w:history="1">
        <w:r w:rsidR="00EB5089" w:rsidRPr="00616F5B">
          <w:rPr>
            <w:rStyle w:val="Hyperlink"/>
            <w:rFonts w:ascii="Arial" w:eastAsia="Times New Roman" w:hAnsi="Arial" w:cs="Arial"/>
            <w:sz w:val="18"/>
            <w:szCs w:val="18"/>
          </w:rPr>
          <w:t>https://doi.org/10.26634/jsch.12.4.13548</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*Naraian, S. (2013). Dis/ability, agency, and context: A differential consciousness for doing inclusive education. </w:t>
      </w:r>
      <w:r w:rsidRPr="00920D27">
        <w:rPr>
          <w:rFonts w:ascii="Arial" w:eastAsia="Times New Roman" w:hAnsi="Arial" w:cs="Arial"/>
          <w:i/>
          <w:sz w:val="20"/>
          <w:szCs w:val="20"/>
        </w:rPr>
        <w:t>Curriculum Inquiry</w:t>
      </w:r>
      <w:r w:rsidRPr="00920D27">
        <w:rPr>
          <w:rFonts w:ascii="Arial" w:eastAsia="Times New Roman" w:hAnsi="Arial" w:cs="Arial"/>
          <w:sz w:val="20"/>
          <w:szCs w:val="20"/>
        </w:rPr>
        <w:t xml:space="preserve">, </w:t>
      </w:r>
      <w:r w:rsidRPr="00920D27">
        <w:rPr>
          <w:rFonts w:ascii="Arial" w:eastAsia="Times New Roman" w:hAnsi="Arial" w:cs="Arial"/>
          <w:i/>
          <w:sz w:val="20"/>
          <w:szCs w:val="20"/>
        </w:rPr>
        <w:t>43</w:t>
      </w:r>
      <w:r w:rsidRPr="00920D27">
        <w:rPr>
          <w:rFonts w:ascii="Arial" w:eastAsia="Times New Roman" w:hAnsi="Arial" w:cs="Arial"/>
          <w:sz w:val="20"/>
          <w:szCs w:val="20"/>
        </w:rPr>
        <w:t>(3), 360–387</w:t>
      </w:r>
      <w:hyperlink r:id="rId34" w:history="1">
        <w:r w:rsidR="00AA2B67" w:rsidRPr="00616F5B">
          <w:rPr>
            <w:rStyle w:val="Hyperlink"/>
            <w:rFonts w:ascii="Arial" w:eastAsia="Times New Roman" w:hAnsi="Arial" w:cs="Arial"/>
            <w:sz w:val="18"/>
            <w:szCs w:val="18"/>
          </w:rPr>
          <w:t>https://doi.org/10.1111/curi.12014</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Naraian, S. (2021). Making inclusion matter: Critical disability studies and teacher education, </w:t>
      </w:r>
      <w:r w:rsidRPr="00920D27">
        <w:rPr>
          <w:rFonts w:ascii="Arial" w:eastAsia="Times New Roman" w:hAnsi="Arial" w:cs="Arial"/>
          <w:i/>
          <w:sz w:val="20"/>
          <w:szCs w:val="20"/>
        </w:rPr>
        <w:t>Journal of Curriculum Studies</w:t>
      </w:r>
      <w:r w:rsidRPr="00920D27">
        <w:rPr>
          <w:rFonts w:ascii="Arial" w:eastAsia="Times New Roman" w:hAnsi="Arial" w:cs="Arial"/>
          <w:sz w:val="20"/>
          <w:szCs w:val="20"/>
        </w:rPr>
        <w:t xml:space="preserve">, </w:t>
      </w:r>
      <w:r w:rsidRPr="00920D27">
        <w:rPr>
          <w:rFonts w:ascii="Arial" w:eastAsia="Times New Roman" w:hAnsi="Arial" w:cs="Arial"/>
          <w:i/>
          <w:sz w:val="20"/>
          <w:szCs w:val="20"/>
        </w:rPr>
        <w:t>53</w:t>
      </w:r>
      <w:r w:rsidRPr="00920D27">
        <w:rPr>
          <w:rFonts w:ascii="Arial" w:eastAsia="Times New Roman" w:hAnsi="Arial" w:cs="Arial"/>
          <w:sz w:val="20"/>
          <w:szCs w:val="20"/>
        </w:rPr>
        <w:t xml:space="preserve">(3), 298-313, </w:t>
      </w:r>
      <w:hyperlink r:id="rId35" w:history="1">
        <w:r w:rsidR="00D53B79" w:rsidRPr="00616F5B">
          <w:rPr>
            <w:rStyle w:val="Hyperlink"/>
            <w:rFonts w:ascii="Arial" w:eastAsia="Times New Roman" w:hAnsi="Arial" w:cs="Arial"/>
            <w:sz w:val="18"/>
            <w:szCs w:val="18"/>
          </w:rPr>
          <w:t>https://doi.org/10.1080/00220272.2021.1882579</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National Council of Educational Research and Training. (2019). </w:t>
      </w:r>
      <w:r w:rsidRPr="00920D27">
        <w:rPr>
          <w:rFonts w:ascii="Arial" w:eastAsia="Times New Roman" w:hAnsi="Arial" w:cs="Arial"/>
          <w:i/>
          <w:sz w:val="20"/>
          <w:szCs w:val="20"/>
        </w:rPr>
        <w:t>Index for inclusive schools</w:t>
      </w:r>
      <w:r w:rsidRPr="00920D27">
        <w:rPr>
          <w:rFonts w:ascii="Arial" w:eastAsia="Times New Roman" w:hAnsi="Arial" w:cs="Arial"/>
          <w:sz w:val="20"/>
          <w:szCs w:val="20"/>
        </w:rPr>
        <w:t xml:space="preserve">. </w:t>
      </w:r>
      <w:hyperlink r:id="rId36" w:history="1">
        <w:r w:rsidR="001A4CC8" w:rsidRPr="00616F5B">
          <w:rPr>
            <w:rStyle w:val="Hyperlink"/>
            <w:rFonts w:ascii="Arial" w:eastAsia="Times New Roman" w:hAnsi="Arial" w:cs="Arial"/>
            <w:sz w:val="20"/>
            <w:szCs w:val="20"/>
          </w:rPr>
          <w:t>https://ncert.nic.in/degsn/pdf/IndexforInclusiveSchools.pdf</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Noblit, G. W., &amp; Hare, R. D. (1988). Meta-ethnography: Synthesizing qualitative studies. SAGE Publications</w:t>
      </w:r>
      <w:hyperlink r:id="rId37" w:history="1">
        <w:r w:rsidR="00AD5C93" w:rsidRPr="00616F5B">
          <w:rPr>
            <w:rStyle w:val="Hyperlink"/>
            <w:rFonts w:ascii="Arial" w:eastAsia="Times New Roman" w:hAnsi="Arial" w:cs="Arial"/>
            <w:sz w:val="18"/>
            <w:szCs w:val="18"/>
          </w:rPr>
          <w:t>https://doi.org/10.4135/9781412985000</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Page, M.J., McKenzie, J.E., Bossuyt, P.M., Boutron, I., Hoffmann, T.C., Mulrow, C.D., et al. (2021). The PRISMA 2020 statement: An updated guideline for reporting systematic reviews. </w:t>
      </w:r>
      <w:r w:rsidRPr="00920D27">
        <w:rPr>
          <w:rFonts w:ascii="Arial" w:eastAsia="Times New Roman" w:hAnsi="Arial" w:cs="Arial"/>
          <w:i/>
          <w:sz w:val="20"/>
          <w:szCs w:val="20"/>
        </w:rPr>
        <w:t>BMJ, 372</w:t>
      </w:r>
      <w:r w:rsidRPr="00920D27">
        <w:rPr>
          <w:rFonts w:ascii="Arial" w:eastAsia="Times New Roman" w:hAnsi="Arial" w:cs="Arial"/>
          <w:sz w:val="20"/>
          <w:szCs w:val="20"/>
        </w:rPr>
        <w:t xml:space="preserve">(71). DOI: </w:t>
      </w:r>
      <w:hyperlink r:id="rId38" w:history="1">
        <w:r w:rsidR="007B17BC" w:rsidRPr="00616F5B">
          <w:rPr>
            <w:rStyle w:val="Hyperlink"/>
            <w:rFonts w:ascii="Arial" w:eastAsia="Times New Roman" w:hAnsi="Arial" w:cs="Arial"/>
            <w:sz w:val="18"/>
            <w:szCs w:val="18"/>
          </w:rPr>
          <w:t>https://doi.org/10.1136/bmj.n71</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*Ramchand, M. (2021). Conceptions, perceptions and practices of inclusive education in schools in Karnataka (India): Moving beyond normative prescriptions and blame-game. </w:t>
      </w:r>
      <w:r w:rsidRPr="00920D27">
        <w:rPr>
          <w:rFonts w:ascii="Arial" w:eastAsia="Times New Roman" w:hAnsi="Arial" w:cs="Arial"/>
          <w:i/>
          <w:sz w:val="20"/>
          <w:szCs w:val="20"/>
        </w:rPr>
        <w:t>International Journal of Inclusive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0</w:t>
      </w:r>
      <w:r w:rsidRPr="00920D27">
        <w:rPr>
          <w:rFonts w:ascii="Arial" w:eastAsia="Times New Roman" w:hAnsi="Arial" w:cs="Arial"/>
          <w:sz w:val="20"/>
          <w:szCs w:val="20"/>
        </w:rPr>
        <w:t>(0), 1–16.</w:t>
      </w:r>
      <w:hyperlink r:id="rId39" w:history="1">
        <w:r w:rsidRPr="00920D27">
          <w:rPr>
            <w:rStyle w:val="Hyperlink"/>
            <w:rFonts w:ascii="Arial" w:eastAsia="Times New Roman" w:hAnsi="Arial" w:cs="Arial"/>
            <w:sz w:val="20"/>
            <w:szCs w:val="20"/>
          </w:rPr>
          <w:t xml:space="preserve"> DOI:</w:t>
        </w:r>
      </w:hyperlink>
      <w:commentRangeStart w:id="6"/>
      <w:r w:rsidR="00A84E5A">
        <w:fldChar w:fldCharType="begin"/>
      </w:r>
      <w:r w:rsidR="00A84E5A">
        <w:instrText>HYPERLINK "https://doi.org/10.1080/13603116.2021.1965803"</w:instrText>
      </w:r>
      <w:r w:rsidR="00A84E5A">
        <w:fldChar w:fldCharType="separate"/>
      </w:r>
      <w:r w:rsidRPr="00920D27">
        <w:rPr>
          <w:rStyle w:val="Hyperlink"/>
          <w:rFonts w:ascii="Arial" w:eastAsia="Times New Roman" w:hAnsi="Arial" w:cs="Arial"/>
          <w:sz w:val="20"/>
          <w:szCs w:val="20"/>
        </w:rPr>
        <w:t xml:space="preserve"> 10.1080/13603116.2021.1965803</w:t>
      </w:r>
      <w:r w:rsidR="00A84E5A">
        <w:fldChar w:fldCharType="end"/>
      </w:r>
      <w:commentRangeEnd w:id="6"/>
      <w:r w:rsidR="005E27E7">
        <w:rPr>
          <w:rStyle w:val="CommentReference"/>
          <w:rFonts w:asciiTheme="minorHAnsi" w:eastAsiaTheme="minorEastAsia" w:hAnsiTheme="minorHAnsi" w:cstheme="minorBidi"/>
          <w:lang w:val="en-AU" w:eastAsia="zh-CN"/>
        </w:rPr>
        <w:commentReference w:id="6"/>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lastRenderedPageBreak/>
        <w:t xml:space="preserve">*Rangarajan, R., Grove, C., Sharma, U., &amp; Odier-Guedj, D. (2023). A tapestry of multiple perspectives: Contextualising inclusive education through the study of a rural government school in Uttarakhand, India. </w:t>
      </w:r>
      <w:r w:rsidRPr="00920D27">
        <w:rPr>
          <w:rFonts w:ascii="Arial" w:eastAsia="Times New Roman" w:hAnsi="Arial" w:cs="Arial"/>
          <w:i/>
          <w:sz w:val="20"/>
          <w:szCs w:val="20"/>
        </w:rPr>
        <w:t>International Journal of Educational Research</w:t>
      </w:r>
      <w:r w:rsidRPr="00920D27">
        <w:rPr>
          <w:rFonts w:ascii="Arial" w:eastAsia="Times New Roman" w:hAnsi="Arial" w:cs="Arial"/>
          <w:sz w:val="20"/>
          <w:szCs w:val="20"/>
        </w:rPr>
        <w:t xml:space="preserve">, </w:t>
      </w:r>
      <w:r w:rsidRPr="00920D27">
        <w:rPr>
          <w:rFonts w:ascii="Arial" w:eastAsia="Times New Roman" w:hAnsi="Arial" w:cs="Arial"/>
          <w:i/>
          <w:sz w:val="20"/>
          <w:szCs w:val="20"/>
        </w:rPr>
        <w:t>119</w:t>
      </w:r>
      <w:r w:rsidRPr="00920D27">
        <w:rPr>
          <w:rFonts w:ascii="Arial" w:eastAsia="Times New Roman" w:hAnsi="Arial" w:cs="Arial"/>
          <w:sz w:val="20"/>
          <w:szCs w:val="20"/>
        </w:rPr>
        <w:t>, 102160.</w:t>
      </w:r>
      <w:hyperlink r:id="rId40" w:history="1">
        <w:r w:rsidRPr="00920D27">
          <w:rPr>
            <w:rStyle w:val="Hyperlink"/>
            <w:rFonts w:ascii="Arial" w:eastAsia="Times New Roman" w:hAnsi="Arial" w:cs="Arial"/>
            <w:sz w:val="20"/>
            <w:szCs w:val="20"/>
          </w:rPr>
          <w:t xml:space="preserve"> DOI:</w:t>
        </w:r>
      </w:hyperlink>
      <w:hyperlink r:id="rId41" w:history="1">
        <w:r w:rsidRPr="00920D27">
          <w:rPr>
            <w:rStyle w:val="Hyperlink"/>
            <w:rFonts w:ascii="Arial" w:eastAsia="Times New Roman" w:hAnsi="Arial" w:cs="Arial"/>
            <w:sz w:val="20"/>
            <w:szCs w:val="20"/>
          </w:rPr>
          <w:t>10.1016/j.ijer.2023.102160</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Rose, R. (Ed.). (2010). </w:t>
      </w:r>
      <w:r w:rsidRPr="00920D27">
        <w:rPr>
          <w:rFonts w:ascii="Arial" w:eastAsia="Times New Roman" w:hAnsi="Arial" w:cs="Arial"/>
          <w:i/>
          <w:sz w:val="20"/>
          <w:szCs w:val="20"/>
        </w:rPr>
        <w:t>Confronting Obstacles to Inclusion: International Responses to Developing Inclusive Education</w:t>
      </w:r>
      <w:r w:rsidRPr="00920D27">
        <w:rPr>
          <w:rFonts w:ascii="Arial" w:eastAsia="Times New Roman" w:hAnsi="Arial" w:cs="Arial"/>
          <w:sz w:val="20"/>
          <w:szCs w:val="20"/>
        </w:rPr>
        <w:t>. Routledge.</w:t>
      </w:r>
      <w:hyperlink r:id="rId42" w:history="1"/>
      <w:hyperlink r:id="rId43" w:history="1">
        <w:r w:rsidRPr="00920D27">
          <w:rPr>
            <w:rStyle w:val="Hyperlink"/>
            <w:rFonts w:ascii="Arial" w:eastAsia="Times New Roman" w:hAnsi="Arial" w:cs="Arial"/>
            <w:sz w:val="20"/>
            <w:szCs w:val="20"/>
          </w:rPr>
          <w:t>https://doi.org/10.4324/9780203846780</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*Rose, R., Narayan, J., Matam, S., &amp; Sambram, P. R. (2021). A comparison of provision and access to inclusive education for children with disabilities in a metropolitan city and a rural district in Telangana state, India. </w:t>
      </w:r>
      <w:r w:rsidRPr="00920D27">
        <w:rPr>
          <w:rFonts w:ascii="Arial" w:eastAsia="Times New Roman" w:hAnsi="Arial" w:cs="Arial"/>
          <w:i/>
          <w:sz w:val="20"/>
          <w:szCs w:val="20"/>
        </w:rPr>
        <w:t>Education Sciences</w:t>
      </w:r>
      <w:r w:rsidRPr="00920D27">
        <w:rPr>
          <w:rFonts w:ascii="Arial" w:eastAsia="Times New Roman" w:hAnsi="Arial" w:cs="Arial"/>
          <w:sz w:val="20"/>
          <w:szCs w:val="20"/>
        </w:rPr>
        <w:t xml:space="preserve">, </w:t>
      </w:r>
      <w:r w:rsidRPr="00920D27">
        <w:rPr>
          <w:rFonts w:ascii="Arial" w:eastAsia="Times New Roman" w:hAnsi="Arial" w:cs="Arial"/>
          <w:i/>
          <w:sz w:val="20"/>
          <w:szCs w:val="20"/>
        </w:rPr>
        <w:t>11</w:t>
      </w:r>
      <w:r w:rsidRPr="00920D27">
        <w:rPr>
          <w:rFonts w:ascii="Arial" w:eastAsia="Times New Roman" w:hAnsi="Arial" w:cs="Arial"/>
          <w:sz w:val="20"/>
          <w:szCs w:val="20"/>
        </w:rPr>
        <w:t>(3).</w:t>
      </w:r>
      <w:hyperlink r:id="rId44" w:history="1">
        <w:r w:rsidRPr="00920D27">
          <w:rPr>
            <w:rStyle w:val="Hyperlink"/>
            <w:rFonts w:ascii="Arial" w:eastAsia="Times New Roman" w:hAnsi="Arial" w:cs="Arial"/>
            <w:sz w:val="20"/>
            <w:szCs w:val="20"/>
          </w:rPr>
          <w:t xml:space="preserve"> DOI:</w:t>
        </w:r>
      </w:hyperlink>
      <w:hyperlink r:id="rId45" w:history="1">
        <w:r w:rsidR="00F34DF4">
          <w:rPr>
            <w:rFonts w:ascii="Arial" w:eastAsia="Times New Roman" w:hAnsi="Arial" w:cs="Arial"/>
            <w:sz w:val="18"/>
            <w:szCs w:val="18"/>
          </w:rPr>
          <w:t>https://doi.org/10.3390/educsci11030111</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Sarkar, T., &amp; Forber-Pratt, A. J. (2021). Examining inclusive education research in India with a focus on teachers: A systematic scoping review. </w:t>
      </w:r>
      <w:r w:rsidRPr="00920D27">
        <w:rPr>
          <w:rFonts w:ascii="Arial" w:eastAsia="Times New Roman" w:hAnsi="Arial" w:cs="Arial"/>
          <w:i/>
          <w:sz w:val="20"/>
          <w:szCs w:val="20"/>
        </w:rPr>
        <w:t>Multiple Voices: Disability, Race, and Language Intersections in Special Education, 21</w:t>
      </w:r>
      <w:r w:rsidRPr="00920D27">
        <w:rPr>
          <w:rFonts w:ascii="Arial" w:eastAsia="Times New Roman" w:hAnsi="Arial" w:cs="Arial"/>
          <w:sz w:val="20"/>
          <w:szCs w:val="20"/>
        </w:rPr>
        <w:t xml:space="preserve">(2), 22–37. DOI: </w:t>
      </w:r>
      <w:hyperlink r:id="rId46" w:history="1">
        <w:r w:rsidR="00784B96" w:rsidRPr="00616F5B">
          <w:rPr>
            <w:rStyle w:val="Hyperlink"/>
            <w:rFonts w:ascii="Arial" w:eastAsia="Times New Roman" w:hAnsi="Arial" w:cs="Arial"/>
            <w:sz w:val="18"/>
            <w:szCs w:val="18"/>
          </w:rPr>
          <w:t>https://doi.org/10.56829/2158-396X-21.2.22</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*Sawhney, S. (2015). Unpacking the nature and practices of inclusive education: The case of two schools in Hyderabad, India. </w:t>
      </w:r>
      <w:r w:rsidRPr="00920D27">
        <w:rPr>
          <w:rFonts w:ascii="Arial" w:eastAsia="Times New Roman" w:hAnsi="Arial" w:cs="Arial"/>
          <w:i/>
          <w:sz w:val="20"/>
          <w:szCs w:val="20"/>
        </w:rPr>
        <w:t>International Journal of Inclusive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19</w:t>
      </w:r>
      <w:r w:rsidRPr="00920D27">
        <w:rPr>
          <w:rFonts w:ascii="Arial" w:eastAsia="Times New Roman" w:hAnsi="Arial" w:cs="Arial"/>
          <w:sz w:val="20"/>
          <w:szCs w:val="20"/>
        </w:rPr>
        <w:t xml:space="preserve">(9), 887–907. DOI: </w:t>
      </w:r>
      <w:hyperlink r:id="rId47" w:history="1">
        <w:r w:rsidR="006947AA" w:rsidRPr="00616F5B">
          <w:rPr>
            <w:rStyle w:val="Hyperlink"/>
            <w:rFonts w:ascii="Arial" w:eastAsia="Times New Roman" w:hAnsi="Arial" w:cs="Arial"/>
            <w:sz w:val="18"/>
            <w:szCs w:val="18"/>
          </w:rPr>
          <w:t>https://doi.org/10.1080/13603116.2015.1015178</w:t>
        </w:r>
      </w:hyperlink>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Singal, N. (2019) Challenges and opportunities in efforts towards inclusive education: reflections from India, </w:t>
      </w:r>
      <w:r w:rsidRPr="00920D27">
        <w:rPr>
          <w:rFonts w:ascii="Arial" w:eastAsia="Times New Roman" w:hAnsi="Arial" w:cs="Arial"/>
          <w:i/>
          <w:sz w:val="20"/>
          <w:szCs w:val="20"/>
        </w:rPr>
        <w:t xml:space="preserve">International Journal of Inclusive Education, </w:t>
      </w:r>
      <w:r w:rsidRPr="00920D27">
        <w:rPr>
          <w:rFonts w:ascii="Arial" w:eastAsia="Times New Roman" w:hAnsi="Arial" w:cs="Arial"/>
          <w:sz w:val="20"/>
          <w:szCs w:val="20"/>
        </w:rPr>
        <w:t xml:space="preserve">23:7-8, 827-840, DOI: </w:t>
      </w:r>
      <w:hyperlink r:id="rId48" w:history="1">
        <w:r w:rsidR="00E72BBF" w:rsidRPr="00616F5B">
          <w:rPr>
            <w:rStyle w:val="Hyperlink"/>
            <w:rFonts w:ascii="Arial" w:eastAsia="Times New Roman" w:hAnsi="Arial" w:cs="Arial"/>
            <w:sz w:val="18"/>
            <w:szCs w:val="18"/>
          </w:rPr>
          <w:t>https://doi.org/10.1080/13603116.2019.1624845</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*Taneja Johansson, S. (2014). “He is intelligent but different”: Stakeholders’ perspectives on children on the autism spectrum in an urban Indian school context. </w:t>
      </w:r>
      <w:r w:rsidRPr="00920D27">
        <w:rPr>
          <w:rFonts w:ascii="Arial" w:eastAsia="Times New Roman" w:hAnsi="Arial" w:cs="Arial"/>
          <w:i/>
          <w:sz w:val="20"/>
          <w:szCs w:val="20"/>
        </w:rPr>
        <w:t>International Journal of Disability, Development and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61</w:t>
      </w:r>
      <w:r w:rsidRPr="00920D27">
        <w:rPr>
          <w:rFonts w:ascii="Arial" w:eastAsia="Times New Roman" w:hAnsi="Arial" w:cs="Arial"/>
          <w:sz w:val="20"/>
          <w:szCs w:val="20"/>
        </w:rPr>
        <w:t>(4), 416–433.</w:t>
      </w:r>
      <w:hyperlink r:id="rId49" w:history="1">
        <w:r w:rsidR="00695EBA" w:rsidRPr="00616F5B">
          <w:rPr>
            <w:rStyle w:val="Hyperlink"/>
            <w:rFonts w:ascii="Arial" w:eastAsia="Times New Roman" w:hAnsi="Arial" w:cs="Arial"/>
            <w:sz w:val="18"/>
            <w:szCs w:val="18"/>
          </w:rPr>
          <w:t>https://doi.org/10.1080/1034912X.2014.955786</w:t>
        </w:r>
      </w:hyperlink>
    </w:p>
    <w:p w:rsidR="004D4C86" w:rsidRPr="00920D27" w:rsidRDefault="004D4C86" w:rsidP="005E27E7">
      <w:pPr>
        <w:spacing w:after="0" w:line="360" w:lineRule="auto"/>
        <w:ind w:left="720" w:hanging="720"/>
        <w:rPr>
          <w:rFonts w:ascii="Arial" w:eastAsia="Times New Roman" w:hAnsi="Arial" w:cs="Arial"/>
          <w:sz w:val="20"/>
          <w:szCs w:val="20"/>
          <w:u w:val="single"/>
        </w:rPr>
      </w:pPr>
      <w:r w:rsidRPr="00920D27">
        <w:rPr>
          <w:rFonts w:ascii="Arial" w:eastAsia="Times New Roman" w:hAnsi="Arial" w:cs="Arial"/>
          <w:sz w:val="20"/>
          <w:szCs w:val="20"/>
        </w:rPr>
        <w:t xml:space="preserve">*Taneja-Johansson, S., Singal, N., &amp; Samson, M. (2023). Education of children with disabilities in rural Indian government schools: A long road to inclusion. </w:t>
      </w:r>
      <w:r w:rsidRPr="00920D27">
        <w:rPr>
          <w:rFonts w:ascii="Arial" w:eastAsia="Times New Roman" w:hAnsi="Arial" w:cs="Arial"/>
          <w:i/>
          <w:sz w:val="20"/>
          <w:szCs w:val="20"/>
        </w:rPr>
        <w:t>International Journal of Disability, Development and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70</w:t>
      </w:r>
      <w:r w:rsidRPr="00920D27">
        <w:rPr>
          <w:rFonts w:ascii="Arial" w:eastAsia="Times New Roman" w:hAnsi="Arial" w:cs="Arial"/>
          <w:sz w:val="20"/>
          <w:szCs w:val="20"/>
        </w:rPr>
        <w:t>(5), 735–750.</w:t>
      </w:r>
      <w:r w:rsidR="004848E3">
        <w:rPr>
          <w:rFonts w:ascii="Arial" w:eastAsia="Times New Roman" w:hAnsi="Arial" w:cs="Arial"/>
          <w:sz w:val="18"/>
          <w:szCs w:val="18"/>
        </w:rPr>
        <w:t>.</w:t>
      </w:r>
      <w:hyperlink r:id="rId50" w:history="1">
        <w:r w:rsidR="004848E3" w:rsidRPr="00616F5B">
          <w:rPr>
            <w:rStyle w:val="Hyperlink"/>
            <w:rFonts w:ascii="Arial" w:eastAsia="Times New Roman" w:hAnsi="Arial" w:cs="Arial"/>
            <w:sz w:val="18"/>
            <w:szCs w:val="18"/>
          </w:rPr>
          <w:t>https://doi.org/10.1080/1034912X.2021.1917525</w:t>
        </w:r>
      </w:hyperlink>
    </w:p>
    <w:p w:rsidR="00246843" w:rsidRDefault="004D4C86" w:rsidP="005E27E7">
      <w:pPr>
        <w:spacing w:after="0" w:line="360" w:lineRule="auto"/>
        <w:ind w:left="720" w:hanging="720"/>
        <w:rPr>
          <w:rFonts w:ascii="Arial" w:eastAsia="Times New Roman" w:hAnsi="Arial" w:cs="Arial"/>
          <w:sz w:val="18"/>
          <w:szCs w:val="18"/>
        </w:rPr>
      </w:pPr>
      <w:r w:rsidRPr="00920D27">
        <w:rPr>
          <w:rFonts w:ascii="Arial" w:eastAsia="Times New Roman" w:hAnsi="Arial" w:cs="Arial"/>
          <w:sz w:val="20"/>
          <w:szCs w:val="20"/>
        </w:rPr>
        <w:t xml:space="preserve">*Tiwari, A. (2024). Inclusive practices in an independent private school: Insight into teachers’ perspectives, beliefs and practices. </w:t>
      </w:r>
      <w:r w:rsidRPr="00920D27">
        <w:rPr>
          <w:rFonts w:ascii="Arial" w:eastAsia="Times New Roman" w:hAnsi="Arial" w:cs="Arial"/>
          <w:i/>
          <w:sz w:val="20"/>
          <w:szCs w:val="20"/>
        </w:rPr>
        <w:t>Support for Learning</w:t>
      </w:r>
      <w:r w:rsidRPr="00920D27">
        <w:rPr>
          <w:rFonts w:ascii="Arial" w:eastAsia="Times New Roman" w:hAnsi="Arial" w:cs="Arial"/>
          <w:sz w:val="20"/>
          <w:szCs w:val="20"/>
        </w:rPr>
        <w:t xml:space="preserve">, </w:t>
      </w:r>
      <w:r w:rsidRPr="00920D27">
        <w:rPr>
          <w:rFonts w:ascii="Arial" w:eastAsia="Times New Roman" w:hAnsi="Arial" w:cs="Arial"/>
          <w:i/>
          <w:sz w:val="20"/>
          <w:szCs w:val="20"/>
        </w:rPr>
        <w:t>39</w:t>
      </w:r>
      <w:r w:rsidRPr="00920D27">
        <w:rPr>
          <w:rFonts w:ascii="Arial" w:eastAsia="Times New Roman" w:hAnsi="Arial" w:cs="Arial"/>
          <w:sz w:val="20"/>
          <w:szCs w:val="20"/>
        </w:rPr>
        <w:t>(1), 22–33.</w:t>
      </w:r>
      <w:hyperlink r:id="rId51" w:history="1">
        <w:r w:rsidR="00246843" w:rsidRPr="00616F5B">
          <w:rPr>
            <w:rStyle w:val="Hyperlink"/>
            <w:rFonts w:ascii="Arial" w:eastAsia="Times New Roman" w:hAnsi="Arial" w:cs="Arial"/>
            <w:sz w:val="18"/>
            <w:szCs w:val="18"/>
          </w:rPr>
          <w:t>https://doi.org/10.1111/1467-9604.12461</w:t>
        </w:r>
      </w:hyperlink>
    </w:p>
    <w:p w:rsidR="00C65CFC" w:rsidRDefault="004D4C86" w:rsidP="005E27E7">
      <w:pPr>
        <w:spacing w:after="0" w:line="360" w:lineRule="auto"/>
        <w:ind w:left="720" w:hanging="720"/>
        <w:rPr>
          <w:rFonts w:ascii="Arial" w:eastAsia="Times New Roman" w:hAnsi="Arial" w:cs="Arial"/>
          <w:sz w:val="18"/>
          <w:szCs w:val="18"/>
        </w:rPr>
      </w:pPr>
      <w:r w:rsidRPr="00920D27">
        <w:rPr>
          <w:rFonts w:ascii="Arial" w:eastAsia="Times New Roman" w:hAnsi="Arial" w:cs="Arial"/>
          <w:sz w:val="20"/>
          <w:szCs w:val="20"/>
        </w:rPr>
        <w:t xml:space="preserve">*Tiwari, A., Das, A., &amp; Sharma, M. (2015). Inclusive education a “rhetoric” or “reality”? Teachers’ perspectives and beliefs. </w:t>
      </w:r>
      <w:r w:rsidRPr="00920D27">
        <w:rPr>
          <w:rFonts w:ascii="Arial" w:eastAsia="Times New Roman" w:hAnsi="Arial" w:cs="Arial"/>
          <w:i/>
          <w:sz w:val="20"/>
          <w:szCs w:val="20"/>
        </w:rPr>
        <w:t>Teaching and Teacher Education</w:t>
      </w:r>
      <w:r w:rsidRPr="00920D27">
        <w:rPr>
          <w:rFonts w:ascii="Arial" w:eastAsia="Times New Roman" w:hAnsi="Arial" w:cs="Arial"/>
          <w:sz w:val="20"/>
          <w:szCs w:val="20"/>
        </w:rPr>
        <w:t xml:space="preserve">, </w:t>
      </w:r>
      <w:r w:rsidRPr="00920D27">
        <w:rPr>
          <w:rFonts w:ascii="Arial" w:eastAsia="Times New Roman" w:hAnsi="Arial" w:cs="Arial"/>
          <w:i/>
          <w:sz w:val="20"/>
          <w:szCs w:val="20"/>
        </w:rPr>
        <w:t>52</w:t>
      </w:r>
      <w:r w:rsidRPr="00920D27">
        <w:rPr>
          <w:rFonts w:ascii="Arial" w:eastAsia="Times New Roman" w:hAnsi="Arial" w:cs="Arial"/>
          <w:sz w:val="20"/>
          <w:szCs w:val="20"/>
        </w:rPr>
        <w:t>, 128–136</w:t>
      </w:r>
      <w:hyperlink r:id="rId52" w:history="1">
        <w:r w:rsidR="00741F88" w:rsidRPr="00616F5B">
          <w:rPr>
            <w:rStyle w:val="Hyperlink"/>
            <w:rFonts w:ascii="Arial" w:eastAsia="Times New Roman" w:hAnsi="Arial" w:cs="Arial"/>
            <w:sz w:val="18"/>
            <w:szCs w:val="18"/>
          </w:rPr>
          <w:t>https://doi.org/10.1016/j.tate.2015.09.002</w:t>
        </w:r>
      </w:hyperlink>
      <w:r w:rsidRPr="00920D27">
        <w:rPr>
          <w:rFonts w:ascii="Arial" w:eastAsia="Times New Roman" w:hAnsi="Arial" w:cs="Arial"/>
          <w:sz w:val="20"/>
          <w:szCs w:val="20"/>
        </w:rPr>
        <w:t>.</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United Nations Children's Fund. (2017). Inclusive education: Including children with disabilities in quality learning: what needs to be done? https://www.unicef.org/eca/sites/unicef.org.eca/files/IE_summary_accessible_220917_brief.pdf</w:t>
      </w:r>
    </w:p>
    <w:p w:rsidR="004D4C86" w:rsidRPr="00920D27" w:rsidRDefault="004D4C86" w:rsidP="005E27E7">
      <w:pPr>
        <w:spacing w:after="0" w:line="360" w:lineRule="auto"/>
        <w:ind w:left="720" w:hanging="720"/>
        <w:rPr>
          <w:rFonts w:ascii="Arial" w:eastAsia="Times New Roman" w:hAnsi="Arial" w:cs="Arial"/>
          <w:sz w:val="20"/>
          <w:szCs w:val="20"/>
        </w:rPr>
      </w:pPr>
      <w:r w:rsidRPr="00920D27">
        <w:rPr>
          <w:rFonts w:ascii="Arial" w:eastAsia="Times New Roman" w:hAnsi="Arial" w:cs="Arial"/>
          <w:sz w:val="20"/>
          <w:szCs w:val="20"/>
        </w:rPr>
        <w:t xml:space="preserve">The United Nations Convention on the Rights of Persons with Disabilities, December 13, 2006, </w:t>
      </w:r>
      <w:hyperlink r:id="rId53" w:history="1">
        <w:r w:rsidRPr="00920D27">
          <w:rPr>
            <w:rStyle w:val="Hyperlink"/>
            <w:rFonts w:ascii="Arial" w:eastAsia="Times New Roman" w:hAnsi="Arial" w:cs="Arial"/>
            <w:sz w:val="20"/>
            <w:szCs w:val="20"/>
          </w:rPr>
          <w:t>https://www.un.org/disabilities/documents/convention/convoptprot-e.pdf</w:t>
        </w:r>
      </w:hyperlink>
    </w:p>
    <w:p w:rsidR="004D4C86" w:rsidRPr="00843D4F" w:rsidRDefault="004D4C86" w:rsidP="005E27E7">
      <w:pPr>
        <w:spacing w:after="0" w:line="360" w:lineRule="auto"/>
        <w:rPr>
          <w:rFonts w:ascii="Arial" w:eastAsia="Times New Roman" w:hAnsi="Arial" w:cs="Arial"/>
        </w:rPr>
      </w:pPr>
    </w:p>
    <w:p w:rsidR="004D4C86" w:rsidRPr="00843D4F" w:rsidRDefault="004D4C86" w:rsidP="005E27E7">
      <w:pPr>
        <w:spacing w:after="0" w:line="360" w:lineRule="auto"/>
        <w:rPr>
          <w:rFonts w:ascii="Arial" w:eastAsia="Times New Roman" w:hAnsi="Arial" w:cs="Arial"/>
        </w:rPr>
      </w:pPr>
    </w:p>
    <w:p w:rsidR="005E27E7" w:rsidRDefault="005E27E7">
      <w:pPr>
        <w:rPr>
          <w:rFonts w:ascii="Times New Roman" w:eastAsia="Times New Roman" w:hAnsi="Times New Roman" w:cs="Times New Roman"/>
          <w:b/>
          <w:lang w:val="en-AU"/>
        </w:rPr>
      </w:pPr>
      <w:r>
        <w:rPr>
          <w:rFonts w:ascii="Times New Roman" w:eastAsia="Times New Roman" w:hAnsi="Times New Roman" w:cs="Times New Roman"/>
          <w:b/>
          <w:lang w:val="en-AU"/>
        </w:rPr>
        <w:br w:type="page"/>
      </w:r>
    </w:p>
    <w:p w:rsidR="00A4714E" w:rsidRPr="00A4714E" w:rsidRDefault="00A4714E" w:rsidP="005E27E7">
      <w:pPr>
        <w:spacing w:after="0" w:line="360" w:lineRule="auto"/>
        <w:rPr>
          <w:rFonts w:ascii="Times New Roman" w:eastAsia="Times New Roman" w:hAnsi="Times New Roman" w:cs="Times New Roman"/>
          <w:b/>
          <w:lang w:val="en-AU"/>
        </w:rPr>
      </w:pPr>
      <w:r w:rsidRPr="00A4714E">
        <w:rPr>
          <w:rFonts w:ascii="Times New Roman" w:eastAsia="Times New Roman" w:hAnsi="Times New Roman" w:cs="Times New Roman"/>
          <w:b/>
          <w:lang w:val="en-AU"/>
        </w:rPr>
        <w:lastRenderedPageBreak/>
        <w:t>Figure 1</w:t>
      </w:r>
    </w:p>
    <w:p w:rsidR="00A4714E" w:rsidRPr="00A4714E" w:rsidRDefault="00A4714E" w:rsidP="005E27E7">
      <w:pPr>
        <w:spacing w:after="0" w:line="360" w:lineRule="auto"/>
        <w:rPr>
          <w:rFonts w:ascii="Times New Roman" w:eastAsia="Times New Roman" w:hAnsi="Times New Roman" w:cs="Times New Roman"/>
          <w:b/>
          <w:lang w:val="en-AU"/>
        </w:rPr>
      </w:pPr>
    </w:p>
    <w:p w:rsidR="00A4714E" w:rsidRPr="00A4714E" w:rsidRDefault="00A4714E" w:rsidP="005E27E7">
      <w:pPr>
        <w:spacing w:after="0" w:line="360" w:lineRule="auto"/>
        <w:rPr>
          <w:rFonts w:ascii="Times New Roman" w:eastAsia="Times New Roman" w:hAnsi="Times New Roman" w:cs="Times New Roman"/>
          <w:bCs/>
          <w:lang w:val="en-AU"/>
        </w:rPr>
      </w:pPr>
      <w:r w:rsidRPr="00A4714E">
        <w:rPr>
          <w:rFonts w:ascii="Times New Roman" w:eastAsia="Times New Roman" w:hAnsi="Times New Roman" w:cs="Times New Roman"/>
          <w:bCs/>
          <w:lang w:val="en-AU"/>
        </w:rPr>
        <w:t>PRISMA Flow Diagram</w:t>
      </w:r>
    </w:p>
    <w:p w:rsidR="00A4714E" w:rsidRPr="00A4714E" w:rsidRDefault="00A84E5A" w:rsidP="005E27E7">
      <w:pPr>
        <w:spacing w:after="0" w:line="360" w:lineRule="auto"/>
        <w:rPr>
          <w:rFonts w:ascii="Times New Roman" w:eastAsia="Times New Roman" w:hAnsi="Times New Roman" w:cs="Times New Roman"/>
          <w:lang w:val="en-AU"/>
        </w:rPr>
      </w:pPr>
      <w:r w:rsidRPr="00A84E5A">
        <w:rPr>
          <w:rFonts w:ascii="Times New Roman" w:eastAsia="Times New Roman" w:hAnsi="Times New Roman" w:cs="Times New Roman"/>
          <w:noProof/>
          <w:lang w:val="en-AU"/>
        </w:rPr>
        <w:pict>
          <v:rect id="Rectangle 42" o:spid="_x0000_s1026" style="position:absolute;margin-left:42.55pt;margin-top:406.3pt;width:148.6pt;height:57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20)</w:t>
                  </w:r>
                </w:p>
                <w:p w:rsidR="00373AC9" w:rsidRDefault="00373AC9" w:rsidP="00A4714E">
                  <w:pPr>
                    <w:spacing w:after="0" w:line="240" w:lineRule="auto"/>
                    <w:rPr>
                      <w:rFonts w:ascii="Arial" w:hAnsi="Arial" w:cs="Arial"/>
                      <w:color w:val="000000" w:themeColor="text1"/>
                      <w:sz w:val="18"/>
                      <w:szCs w:val="20"/>
                    </w:rPr>
                  </w:pPr>
                </w:p>
              </w:txbxContent>
            </v:textbox>
          </v:rect>
        </w:pict>
      </w:r>
      <w:r w:rsidRPr="00A84E5A">
        <w:rPr>
          <w:rFonts w:ascii="Times New Roman" w:eastAsia="Times New Roman" w:hAnsi="Times New Roman" w:cs="Times New Roman"/>
          <w:noProof/>
          <w:lang w:val="en-A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 o:spid="_x0000_s1027" type="#_x0000_t176" style="position:absolute;margin-left:44.65pt;margin-top:5.85pt;width:342.15pt;height:20.7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" fillcolor="#0f9ed5 [3207]" strokecolor="#074e69 [1607]" strokeweight="1pt">
            <v:textbox>
              <w:txbxContent>
                <w:p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 of studies via databases and registers</w:t>
                  </w:r>
                </w:p>
              </w:txbxContent>
            </v:textbox>
          </v:shape>
        </w:pict>
      </w:r>
      <w:r w:rsidRPr="00A84E5A">
        <w:rPr>
          <w:rFonts w:ascii="Times New Roman" w:eastAsia="Times New Roman" w:hAnsi="Times New Roman" w:cs="Times New Roman"/>
          <w:noProof/>
          <w:lang w:val="en-AU"/>
        </w:rPr>
        <w:pict>
          <v:shape id="Flowchart: Alternate Process 40" o:spid="_x0000_s1028" type="#_x0000_t176" style="position:absolute;margin-left:-91.4pt;margin-top:266.65pt;width:219.5pt;height:20.7pt;rotation:-90;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" fillcolor="#d86dcb [1944]" strokecolor="black [3213]" strokeweight="1pt">
            <v:textbox>
              <w:txbxContent>
                <w:p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rsidR="00373AC9" w:rsidRDefault="00373AC9" w:rsidP="00A4714E">
                  <w:pPr>
                    <w:spacing w:after="0" w:line="240" w:lineRule="auto"/>
                    <w:rPr>
                      <w:rFonts w:ascii="Arial" w:hAnsi="Arial" w:cs="Arial"/>
                      <w:b/>
                      <w:color w:val="000000" w:themeColor="text1"/>
                      <w:sz w:val="18"/>
                      <w:szCs w:val="18"/>
                    </w:rPr>
                  </w:pPr>
                </w:p>
              </w:txbxContent>
            </v:textbox>
          </v:shape>
        </w:pict>
      </w:r>
      <w:r w:rsidRPr="00A84E5A">
        <w:rPr>
          <w:rFonts w:ascii="Times New Roman" w:eastAsia="Times New Roman" w:hAnsi="Times New Roman" w:cs="Times New Roman"/>
          <w:noProof/>
          <w:lang w:val="en-AU"/>
        </w:rPr>
        <w:pict>
          <v:rect id="Rectangle 39" o:spid="_x0000_s1029" style="position:absolute;margin-left:44.05pt;margin-top:162.1pt;width:148.6pt;height:41.45pt;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screened</w:t>
                  </w:r>
                </w:p>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497)</w:t>
                  </w:r>
                </w:p>
              </w:txbxContent>
            </v:textbox>
          </v:rect>
        </w:pict>
      </w:r>
      <w:r w:rsidRPr="00A84E5A">
        <w:rPr>
          <w:rFonts w:ascii="Times New Roman" w:eastAsia="Times New Roman" w:hAnsi="Times New Roman" w:cs="Times New Roman"/>
          <w:noProof/>
          <w:lang w:val="en-AU"/>
        </w:rPr>
        <w:pict>
          <v:rect id="Rectangle 38" o:spid="_x0000_s1030" style="position:absolute;margin-left:240pt;margin-top:162.1pt;width:148.6pt;height:41.4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excluded**</w:t>
                  </w:r>
                </w:p>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222 )</w:t>
                  </w:r>
                </w:p>
              </w:txbxContent>
            </v:textbox>
          </v:rect>
        </w:pict>
      </w:r>
      <w:r w:rsidRPr="00A84E5A">
        <w:rPr>
          <w:rFonts w:ascii="Times New Roman" w:eastAsia="Times New Roman" w:hAnsi="Times New Roman" w:cs="Times New Roman"/>
          <w:noProof/>
          <w:lang w:val="en-AU"/>
        </w:rPr>
        <w:pict>
          <v:shapetype id="_x0000_t32" coordsize="21600,21600" o:spt="32" o:oned="t" path="m,l21600,21600e" filled="f">
            <v:path arrowok="t" fillok="f" o:connecttype="none"/>
            <o:lock v:ext="edit" shapetype="t"/>
          </v:shapetype>
          <v:shape id="Straight Arrow Connector 37" o:spid="_x0000_s1046" type="#_x0000_t32" style="position:absolute;margin-left:193.2pt;margin-top:182.05pt;width:44.3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" strokecolor="black [3213]" strokeweight=".5pt">
            <v:stroke endarrow="block" joinstyle="miter"/>
          </v:shape>
        </w:pict>
      </w:r>
      <w:r w:rsidRPr="00A84E5A">
        <w:rPr>
          <w:rFonts w:ascii="Times New Roman" w:eastAsia="Times New Roman" w:hAnsi="Times New Roman" w:cs="Times New Roman"/>
          <w:noProof/>
          <w:lang w:val="en-AU"/>
        </w:rPr>
        <w:pict>
          <v:shape id="Straight Arrow Connector 36" o:spid="_x0000_s1045" type="#_x0000_t32" style="position:absolute;margin-left:110.25pt;margin-top:137.95pt;width:0;height:22.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" strokecolor="black [3213]" strokeweight=".5pt">
            <v:stroke endarrow="block" joinstyle="miter"/>
          </v:shape>
        </w:pict>
      </w:r>
      <w:r w:rsidRPr="00A84E5A">
        <w:rPr>
          <w:rFonts w:ascii="Times New Roman" w:eastAsia="Times New Roman" w:hAnsi="Times New Roman" w:cs="Times New Roman"/>
          <w:noProof/>
          <w:lang w:val="en-AU"/>
        </w:rPr>
        <w:pict>
          <v:rect id="Rectangle 35" o:spid="_x0000_s1031" style="position:absolute;margin-left:44.15pt;margin-top:230.95pt;width:148.6pt;height:41.4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sought for retrieval</w:t>
                  </w:r>
                </w:p>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275)</w:t>
                  </w:r>
                </w:p>
              </w:txbxContent>
            </v:textbox>
          </v:rect>
        </w:pict>
      </w:r>
      <w:r w:rsidRPr="00A84E5A">
        <w:rPr>
          <w:rFonts w:ascii="Times New Roman" w:eastAsia="Times New Roman" w:hAnsi="Times New Roman" w:cs="Times New Roman"/>
          <w:noProof/>
          <w:lang w:val="en-AU"/>
        </w:rPr>
        <w:pict>
          <v:rect id="Rectangle 34" o:spid="_x0000_s1032" style="position:absolute;margin-left:240.1pt;margin-top:232.45pt;width:148.6pt;height:41.4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not retrieved</w:t>
                  </w:r>
                </w:p>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113)</w:t>
                  </w:r>
                </w:p>
              </w:txbxContent>
            </v:textbox>
          </v:rect>
        </w:pict>
      </w:r>
      <w:r w:rsidRPr="00A84E5A">
        <w:rPr>
          <w:rFonts w:ascii="Times New Roman" w:eastAsia="Times New Roman" w:hAnsi="Times New Roman" w:cs="Times New Roman"/>
          <w:noProof/>
          <w:lang w:val="en-AU"/>
        </w:rPr>
        <w:pict>
          <v:rect id="Rectangle 33" o:spid="_x0000_s1033" style="position:absolute;margin-left:44.25pt;margin-top:299.25pt;width:148.6pt;height:41.4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assessed for eligibility</w:t>
                  </w:r>
                </w:p>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162)</w:t>
                  </w:r>
                </w:p>
              </w:txbxContent>
            </v:textbox>
          </v:rect>
        </w:pict>
      </w:r>
      <w:r w:rsidRPr="00A84E5A">
        <w:rPr>
          <w:rFonts w:ascii="Times New Roman" w:eastAsia="Times New Roman" w:hAnsi="Times New Roman" w:cs="Times New Roman"/>
          <w:noProof/>
          <w:lang w:val="en-AU"/>
        </w:rPr>
        <w:pict>
          <v:rect id="Rectangle 32" o:spid="_x0000_s1034" style="position:absolute;margin-left:240.75pt;margin-top:299.05pt;width:148.6pt;height:89.2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excluded:</w:t>
                  </w:r>
                </w:p>
                <w:p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Methodology (n= 49)</w:t>
                  </w:r>
                </w:p>
                <w:p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Location (n = 3)</w:t>
                  </w:r>
                </w:p>
                <w:p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Setting (n = 4)</w:t>
                  </w:r>
                </w:p>
                <w:p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Topic (n = 86)</w:t>
                  </w:r>
                </w:p>
              </w:txbxContent>
            </v:textbox>
          </v:rect>
        </w:pict>
      </w:r>
      <w:r w:rsidRPr="00A84E5A">
        <w:rPr>
          <w:rFonts w:ascii="Times New Roman" w:eastAsia="Times New Roman" w:hAnsi="Times New Roman" w:cs="Times New Roman"/>
          <w:noProof/>
          <w:lang w:val="en-AU"/>
        </w:rPr>
        <w:pict>
          <v:shape id="Straight Arrow Connector 31" o:spid="_x0000_s1044" type="#_x0000_t32" style="position:absolute;margin-left:193.95pt;margin-top:252.45pt;width:44.3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" strokecolor="black [3213]" strokeweight=".5pt">
            <v:stroke endarrow="block" joinstyle="miter"/>
          </v:shape>
        </w:pict>
      </w:r>
      <w:r w:rsidRPr="00A84E5A">
        <w:rPr>
          <w:rFonts w:ascii="Times New Roman" w:eastAsia="Times New Roman" w:hAnsi="Times New Roman" w:cs="Times New Roman"/>
          <w:noProof/>
          <w:lang w:val="en-AU"/>
        </w:rPr>
        <w:pict>
          <v:shape id="Straight Arrow Connector 30" o:spid="_x0000_s1043" type="#_x0000_t32" style="position:absolute;margin-left:195pt;margin-top:321.4pt;width:44.35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" strokecolor="black [3213]" strokeweight=".5pt">
            <v:stroke endarrow="block" joinstyle="miter"/>
          </v:shape>
        </w:pict>
      </w:r>
      <w:r w:rsidRPr="00A84E5A">
        <w:rPr>
          <w:rFonts w:ascii="Times New Roman" w:eastAsia="Times New Roman" w:hAnsi="Times New Roman" w:cs="Times New Roman"/>
          <w:noProof/>
          <w:lang w:val="en-AU"/>
        </w:rPr>
        <w:pict>
          <v:shape id="Straight Arrow Connector 29" o:spid="_x0000_s1042" type="#_x0000_t32" style="position:absolute;margin-left:110.25pt;margin-top:206.65pt;width:0;height:22.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" strokecolor="black [3213]" strokeweight=".5pt">
            <v:stroke endarrow="block" joinstyle="miter"/>
          </v:shape>
        </w:pict>
      </w:r>
      <w:r w:rsidRPr="00A84E5A">
        <w:rPr>
          <w:rFonts w:ascii="Times New Roman" w:eastAsia="Times New Roman" w:hAnsi="Times New Roman" w:cs="Times New Roman"/>
          <w:noProof/>
          <w:lang w:val="en-AU"/>
        </w:rPr>
        <w:pict>
          <v:shape id="Straight Arrow Connector 28" o:spid="_x0000_s1041" type="#_x0000_t32" style="position:absolute;margin-left:111pt;margin-top:274.25pt;width:0;height:22.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" strokecolor="black [3213]" strokeweight=".5pt">
            <v:stroke endarrow="block" joinstyle="miter"/>
          </v:shape>
        </w:pict>
      </w:r>
      <w:r w:rsidRPr="00A84E5A">
        <w:rPr>
          <w:rFonts w:ascii="Times New Roman" w:eastAsia="Times New Roman" w:hAnsi="Times New Roman" w:cs="Times New Roman"/>
          <w:noProof/>
          <w:lang w:val="en-AU"/>
        </w:rPr>
        <w:pict>
          <v:shape id="Straight Arrow Connector 27" o:spid="_x0000_s1040" type="#_x0000_t32" style="position:absolute;margin-left:110.3pt;margin-top:343.15pt;width:0;height:58.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" strokecolor="black [3213]" strokeweight=".5pt">
            <v:stroke endarrow="block" joinstyle="miter"/>
          </v:shape>
        </w:pict>
      </w:r>
      <w:r w:rsidRPr="00A84E5A">
        <w:rPr>
          <w:rFonts w:ascii="Times New Roman" w:eastAsia="Times New Roman" w:hAnsi="Times New Roman" w:cs="Times New Roman"/>
          <w:noProof/>
          <w:lang w:val="en-AU"/>
        </w:rPr>
        <w:pict>
          <v:shape id="Flowchart: Alternate Process 26" o:spid="_x0000_s1035" type="#_x0000_t176" style="position:absolute;margin-left:-10.5pt;margin-top:425.25pt;width:60.2pt;height:20.7pt;rotation:-90;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" fillcolor="#d86dcb [1944]" strokecolor="black [3213]" strokeweight="1pt">
            <v:textbox>
              <w:txbxContent>
                <w:p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w:r>
      <w:r w:rsidRPr="00A84E5A">
        <w:rPr>
          <w:rFonts w:ascii="Times New Roman" w:eastAsia="Times New Roman" w:hAnsi="Times New Roman" w:cs="Times New Roman"/>
          <w:noProof/>
          <w:lang w:val="en-AU"/>
        </w:rPr>
        <w:pict>
          <v:shape id="Flowchart: Alternate Process 25" o:spid="_x0000_s1036" type="#_x0000_t176" style="position:absolute;margin-left:-31.8pt;margin-top:74.3pt;width:100.55pt;height:20.7pt;rotation:-90;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" fillcolor="#d86dcb [1944]" strokecolor="black [3213]" strokeweight="1pt">
            <v:textbox>
              <w:txbxContent>
                <w:p w:rsidR="00373AC9" w:rsidRDefault="00373AC9" w:rsidP="00A471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Identification</w:t>
                  </w:r>
                </w:p>
              </w:txbxContent>
            </v:textbox>
          </v:shape>
        </w:pict>
      </w:r>
      <w:r w:rsidRPr="00A84E5A">
        <w:rPr>
          <w:rFonts w:ascii="Times New Roman" w:eastAsia="Times New Roman" w:hAnsi="Times New Roman" w:cs="Times New Roman"/>
          <w:noProof/>
          <w:lang w:val="en-AU"/>
        </w:rPr>
        <w:pict>
          <v:rect id="Rectangle 24" o:spid="_x0000_s1037" style="position:absolute;margin-left:44.05pt;margin-top:34.45pt;width:148.6pt;height:97.9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Records identified from*:</w:t>
                  </w:r>
                </w:p>
                <w:p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Databases (n = 769)</w:t>
                  </w:r>
                  <w:r>
                    <w:rPr>
                      <w:rFonts w:ascii="Arial" w:hAnsi="Arial" w:cs="Arial"/>
                      <w:color w:val="000000" w:themeColor="text1"/>
                      <w:sz w:val="18"/>
                      <w:szCs w:val="20"/>
                    </w:rPr>
                    <w:br/>
                    <w:t>(Education Source, ERIC, PsycInfo, PsycArticles, Education Database, Web of Science, Google Scholar)</w:t>
                  </w:r>
                </w:p>
              </w:txbxContent>
            </v:textbox>
          </v:rect>
        </w:pict>
      </w:r>
      <w:r w:rsidRPr="00A84E5A">
        <w:rPr>
          <w:rFonts w:ascii="Times New Roman" w:eastAsia="Times New Roman" w:hAnsi="Times New Roman" w:cs="Times New Roman"/>
          <w:noProof/>
          <w:lang w:val="en-AU"/>
        </w:rPr>
        <w:pict>
          <v:rect id="Rectangle 23" o:spid="_x0000_s1038" style="position:absolute;margin-left:239.35pt;margin-top:34.45pt;width:148.6pt;height:97.8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" filled="f" strokecolor="black [3213]" strokeweight="1pt">
            <v:textbox>
              <w:txbxContent>
                <w:p w:rsidR="00373AC9" w:rsidRDefault="00373AC9" w:rsidP="00A471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removed </w:t>
                  </w:r>
                  <w:r>
                    <w:rPr>
                      <w:rFonts w:ascii="Arial" w:hAnsi="Arial" w:cs="Arial"/>
                      <w:i/>
                      <w:iCs/>
                      <w:color w:val="000000" w:themeColor="text1"/>
                      <w:sz w:val="18"/>
                      <w:szCs w:val="20"/>
                    </w:rPr>
                    <w:t>before screening</w:t>
                  </w:r>
                  <w:r>
                    <w:rPr>
                      <w:rFonts w:ascii="Arial" w:hAnsi="Arial" w:cs="Arial"/>
                      <w:color w:val="000000" w:themeColor="text1"/>
                      <w:sz w:val="18"/>
                      <w:szCs w:val="20"/>
                    </w:rPr>
                    <w:t>:</w:t>
                  </w:r>
                </w:p>
                <w:p w:rsidR="00373AC9" w:rsidRDefault="00373AC9" w:rsidP="00A4714E">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 = 272)</w:t>
                  </w:r>
                </w:p>
                <w:p w:rsidR="00373AC9" w:rsidRDefault="00373AC9" w:rsidP="00A4714E">
                  <w:pPr>
                    <w:spacing w:after="0" w:line="240" w:lineRule="auto"/>
                    <w:ind w:left="284"/>
                    <w:rPr>
                      <w:rFonts w:ascii="Arial" w:hAnsi="Arial" w:cs="Arial"/>
                      <w:color w:val="000000" w:themeColor="text1"/>
                      <w:sz w:val="18"/>
                      <w:szCs w:val="20"/>
                    </w:rPr>
                  </w:pPr>
                </w:p>
              </w:txbxContent>
            </v:textbox>
          </v:rect>
        </w:pict>
      </w:r>
      <w:r w:rsidRPr="00A84E5A">
        <w:rPr>
          <w:rFonts w:ascii="Times New Roman" w:eastAsia="Times New Roman" w:hAnsi="Times New Roman" w:cs="Times New Roman"/>
          <w:noProof/>
          <w:lang w:val="en-AU"/>
        </w:rPr>
        <w:pict>
          <v:shape id="Straight Arrow Connector 22" o:spid="_x0000_s1039" type="#_x0000_t32" style="position:absolute;margin-left:193.25pt;margin-top:85.95pt;width:44.35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" strokecolor="black [3213]" strokeweight=".5pt">
            <v:stroke endarrow="block" joinstyle="miter"/>
          </v:shape>
        </w:pict>
      </w: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A4714E" w:rsidRPr="00A4714E" w:rsidRDefault="00A4714E" w:rsidP="005E27E7">
      <w:pPr>
        <w:spacing w:after="0" w:line="360" w:lineRule="auto"/>
        <w:rPr>
          <w:rFonts w:ascii="Times New Roman" w:eastAsia="Times New Roman" w:hAnsi="Times New Roman" w:cs="Times New Roman"/>
          <w:lang w:val="en-AU"/>
        </w:rPr>
      </w:pPr>
    </w:p>
    <w:p w:rsidR="00496CFF" w:rsidRPr="009E2C2B" w:rsidRDefault="00496CFF" w:rsidP="005E27E7">
      <w:pPr>
        <w:spacing w:after="0" w:line="360" w:lineRule="auto"/>
        <w:rPr>
          <w:rFonts w:ascii="Times New Roman" w:eastAsia="Times New Roman" w:hAnsi="Times New Roman" w:cs="Times New Roman"/>
        </w:rPr>
      </w:pPr>
    </w:p>
    <w:sectPr w:rsidR="00496CFF" w:rsidRPr="009E2C2B" w:rsidSect="00D5132C">
      <w:headerReference w:type="even" r:id="rId54"/>
      <w:headerReference w:type="default" r:id="rId55"/>
      <w:headerReference w:type="first" r:id="rId56"/>
      <w:pgSz w:w="11909" w:h="16834" w:code="9"/>
      <w:pgMar w:top="810" w:right="1440" w:bottom="1440" w:left="144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Guest" w:date="2010-01-01T12:07:00Z" w:initials="G">
    <w:p w:rsidR="005E27E7" w:rsidRDefault="005E27E7">
      <w:pPr>
        <w:pStyle w:val="CommentText"/>
      </w:pPr>
      <w:r>
        <w:rPr>
          <w:rStyle w:val="CommentReference"/>
        </w:rPr>
        <w:annotationRef/>
      </w:r>
      <w:r>
        <w:t>Recommendations should be included.</w:t>
      </w:r>
    </w:p>
  </w:comment>
  <w:comment w:id="2" w:author="Guest" w:date="2010-01-01T12:07:00Z" w:initials="G">
    <w:p w:rsidR="005E27E7" w:rsidRDefault="005E27E7">
      <w:pPr>
        <w:pStyle w:val="CommentText"/>
      </w:pPr>
      <w:r>
        <w:rPr>
          <w:rStyle w:val="CommentReference"/>
        </w:rPr>
        <w:annotationRef/>
      </w:r>
      <w:r>
        <w:t>No keywords</w:t>
      </w:r>
    </w:p>
  </w:comment>
  <w:comment w:id="6" w:author="Guest" w:date="2010-01-01T12:11:00Z" w:initials="G">
    <w:p w:rsidR="005E27E7" w:rsidRDefault="005E27E7">
      <w:pPr>
        <w:pStyle w:val="CommentText"/>
      </w:pPr>
      <w:r>
        <w:rPr>
          <w:rStyle w:val="CommentReference"/>
        </w:rPr>
        <w:annotationRef/>
      </w:r>
      <w:r>
        <w:t>Ramchand, M. (2022) not cited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C2D" w:rsidRDefault="00516C2D" w:rsidP="00A4714E">
      <w:pPr>
        <w:spacing w:after="0" w:line="240" w:lineRule="auto"/>
      </w:pPr>
      <w:r>
        <w:separator/>
      </w:r>
    </w:p>
  </w:endnote>
  <w:endnote w:type="continuationSeparator" w:id="1">
    <w:p w:rsidR="00516C2D" w:rsidRDefault="00516C2D" w:rsidP="00A47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DED193AE-3532-4C6B-8CA9-EA23A34A17C5}"/>
    <w:embedBold r:id="rId2" w:fontKey="{8DA8E9C1-DDE3-4F15-A41D-8976C1514B23}"/>
    <w:embedItalic r:id="rId3" w:fontKey="{1664CD82-5E33-45C1-A310-28CD5C0A79E0}"/>
  </w:font>
  <w:font w:name="Aptos Display">
    <w:altName w:val="Arial"/>
    <w:charset w:val="00"/>
    <w:family w:val="swiss"/>
    <w:pitch w:val="variable"/>
    <w:sig w:usb0="00000001" w:usb1="00000003" w:usb2="00000000" w:usb3="00000000" w:csb0="0000019F" w:csb1="00000000"/>
    <w:embedRegular r:id="rId4" w:fontKey="{7CC59D65-FD0A-4F15-A5DC-58EFFC5EC75F}"/>
  </w:font>
  <w:font w:name="Tahoma">
    <w:panose1 w:val="020B0604030504040204"/>
    <w:charset w:val="00"/>
    <w:family w:val="swiss"/>
    <w:pitch w:val="variable"/>
    <w:sig w:usb0="E1002EFF" w:usb1="C000605B" w:usb2="00000029" w:usb3="00000000" w:csb0="000101FF" w:csb1="00000000"/>
    <w:embedRegular r:id="rId5" w:fontKey="{1E8E479B-E2B0-4E32-9731-F013E22E374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embedRegular r:id="rId6" w:fontKey="{0F3C330A-5521-401E-803F-1F62E7E5B39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C2D" w:rsidRDefault="00516C2D" w:rsidP="00A4714E">
      <w:pPr>
        <w:spacing w:after="0" w:line="240" w:lineRule="auto"/>
      </w:pPr>
      <w:r>
        <w:separator/>
      </w:r>
    </w:p>
  </w:footnote>
  <w:footnote w:type="continuationSeparator" w:id="1">
    <w:p w:rsidR="00516C2D" w:rsidRDefault="00516C2D" w:rsidP="00A471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024" w:rsidRDefault="00A84E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6"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AC9" w:rsidRPr="002646C0" w:rsidRDefault="00A84E5A" w:rsidP="002646C0">
    <w:pPr>
      <w:pStyle w:val="Header"/>
      <w:tabs>
        <w:tab w:val="left" w:pos="136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7"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024" w:rsidRDefault="00A84E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9815"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D19D4"/>
    <w:multiLevelType w:val="multilevel"/>
    <w:tmpl w:val="3AFA0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92837B5"/>
    <w:multiLevelType w:val="multilevel"/>
    <w:tmpl w:val="8DA0DB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2">
    <w:nsid w:val="49FF785C"/>
    <w:multiLevelType w:val="multilevel"/>
    <w:tmpl w:val="564E7F3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3">
    <w:nsid w:val="543C3E47"/>
    <w:multiLevelType w:val="multilevel"/>
    <w:tmpl w:val="C71E62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70C45460"/>
    <w:multiLevelType w:val="multilevel"/>
    <w:tmpl w:val="36C224C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
    <w:nsid w:val="7F6354BF"/>
    <w:multiLevelType w:val="multilevel"/>
    <w:tmpl w:val="BC90603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TrueTypeFonts/>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496CFF"/>
    <w:rsid w:val="00003D34"/>
    <w:rsid w:val="000129E4"/>
    <w:rsid w:val="0002118A"/>
    <w:rsid w:val="00035FDF"/>
    <w:rsid w:val="00052222"/>
    <w:rsid w:val="000552E5"/>
    <w:rsid w:val="00086E1C"/>
    <w:rsid w:val="00147002"/>
    <w:rsid w:val="001A4CC8"/>
    <w:rsid w:val="001C21BB"/>
    <w:rsid w:val="001E192D"/>
    <w:rsid w:val="001F746B"/>
    <w:rsid w:val="002129C6"/>
    <w:rsid w:val="00246843"/>
    <w:rsid w:val="002646C0"/>
    <w:rsid w:val="00267059"/>
    <w:rsid w:val="002C3859"/>
    <w:rsid w:val="002F345B"/>
    <w:rsid w:val="00340C3C"/>
    <w:rsid w:val="00373AC9"/>
    <w:rsid w:val="00374714"/>
    <w:rsid w:val="004233A0"/>
    <w:rsid w:val="00425083"/>
    <w:rsid w:val="00431BD9"/>
    <w:rsid w:val="004848E3"/>
    <w:rsid w:val="00496CFF"/>
    <w:rsid w:val="004D4C86"/>
    <w:rsid w:val="00516C2D"/>
    <w:rsid w:val="005A4197"/>
    <w:rsid w:val="005B542F"/>
    <w:rsid w:val="005D7D7A"/>
    <w:rsid w:val="005E27E7"/>
    <w:rsid w:val="006371DC"/>
    <w:rsid w:val="006731B7"/>
    <w:rsid w:val="006947AA"/>
    <w:rsid w:val="00695EBA"/>
    <w:rsid w:val="006C1507"/>
    <w:rsid w:val="00714229"/>
    <w:rsid w:val="00741F88"/>
    <w:rsid w:val="00773DAB"/>
    <w:rsid w:val="00784B96"/>
    <w:rsid w:val="007A0324"/>
    <w:rsid w:val="007B17BC"/>
    <w:rsid w:val="007B236C"/>
    <w:rsid w:val="007E6C12"/>
    <w:rsid w:val="00833260"/>
    <w:rsid w:val="00843D4F"/>
    <w:rsid w:val="008779A5"/>
    <w:rsid w:val="008E3024"/>
    <w:rsid w:val="008F3459"/>
    <w:rsid w:val="00912E38"/>
    <w:rsid w:val="00920D27"/>
    <w:rsid w:val="00925345"/>
    <w:rsid w:val="00957348"/>
    <w:rsid w:val="009E2C2B"/>
    <w:rsid w:val="00A428CE"/>
    <w:rsid w:val="00A4714E"/>
    <w:rsid w:val="00A66B4E"/>
    <w:rsid w:val="00A84E5A"/>
    <w:rsid w:val="00A957BA"/>
    <w:rsid w:val="00AA2B67"/>
    <w:rsid w:val="00AD5C93"/>
    <w:rsid w:val="00B3471C"/>
    <w:rsid w:val="00B426A3"/>
    <w:rsid w:val="00B61F76"/>
    <w:rsid w:val="00BC429E"/>
    <w:rsid w:val="00C5520F"/>
    <w:rsid w:val="00C65CFC"/>
    <w:rsid w:val="00C86292"/>
    <w:rsid w:val="00CC7D76"/>
    <w:rsid w:val="00D0402D"/>
    <w:rsid w:val="00D10157"/>
    <w:rsid w:val="00D5132C"/>
    <w:rsid w:val="00D53B79"/>
    <w:rsid w:val="00D97E4E"/>
    <w:rsid w:val="00DF2AF6"/>
    <w:rsid w:val="00E72BBF"/>
    <w:rsid w:val="00E77725"/>
    <w:rsid w:val="00EB5089"/>
    <w:rsid w:val="00F059DD"/>
    <w:rsid w:val="00F22400"/>
    <w:rsid w:val="00F34DF4"/>
    <w:rsid w:val="00F35987"/>
    <w:rsid w:val="00FA3728"/>
    <w:rsid w:val="00FF67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Straight Arrow Connector 37"/>
        <o:r id="V:Rule10" type="connector" idref="#Straight Arrow Connector 31"/>
        <o:r id="V:Rule11" type="connector" idref="#Straight Arrow Connector 36"/>
        <o:r id="V:Rule12" type="connector" idref="#Straight Arrow Connector 27"/>
        <o:r id="V:Rule13" type="connector" idref="#Straight Arrow Connector 28"/>
        <o:r id="V:Rule14" type="connector" idref="#Straight Arrow Connector 30"/>
        <o:r id="V:Rule15" type="connector" idref="#Straight Arrow Connector 29"/>
        <o:r id="V:Rule16"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92D"/>
  </w:style>
  <w:style w:type="paragraph" w:styleId="Heading1">
    <w:name w:val="heading 1"/>
    <w:basedOn w:val="Normal"/>
    <w:next w:val="Normal"/>
    <w:link w:val="Heading1Char"/>
    <w:uiPriority w:val="9"/>
    <w:qFormat/>
    <w:rsid w:val="00403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3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3D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3D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D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D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3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03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3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3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3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DC2"/>
    <w:rPr>
      <w:rFonts w:eastAsiaTheme="majorEastAsia" w:cstheme="majorBidi"/>
      <w:color w:val="272727" w:themeColor="text1" w:themeTint="D8"/>
    </w:rPr>
  </w:style>
  <w:style w:type="character" w:customStyle="1" w:styleId="TitleChar">
    <w:name w:val="Title Char"/>
    <w:basedOn w:val="DefaultParagraphFont"/>
    <w:link w:val="Title"/>
    <w:uiPriority w:val="10"/>
    <w:rsid w:val="00403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192D"/>
    <w:rPr>
      <w:color w:val="595959"/>
      <w:sz w:val="28"/>
      <w:szCs w:val="28"/>
    </w:rPr>
  </w:style>
  <w:style w:type="character" w:customStyle="1" w:styleId="SubtitleChar">
    <w:name w:val="Subtitle Char"/>
    <w:basedOn w:val="DefaultParagraphFont"/>
    <w:link w:val="Subtitle"/>
    <w:uiPriority w:val="11"/>
    <w:rsid w:val="00403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DC2"/>
    <w:pPr>
      <w:spacing w:before="160"/>
      <w:jc w:val="center"/>
    </w:pPr>
    <w:rPr>
      <w:i/>
      <w:iCs/>
      <w:color w:val="404040" w:themeColor="text1" w:themeTint="BF"/>
    </w:rPr>
  </w:style>
  <w:style w:type="character" w:customStyle="1" w:styleId="QuoteChar">
    <w:name w:val="Quote Char"/>
    <w:basedOn w:val="DefaultParagraphFont"/>
    <w:link w:val="Quote"/>
    <w:uiPriority w:val="29"/>
    <w:rsid w:val="00403DC2"/>
    <w:rPr>
      <w:i/>
      <w:iCs/>
      <w:color w:val="404040" w:themeColor="text1" w:themeTint="BF"/>
    </w:rPr>
  </w:style>
  <w:style w:type="paragraph" w:styleId="ListParagraph">
    <w:name w:val="List Paragraph"/>
    <w:basedOn w:val="Normal"/>
    <w:uiPriority w:val="34"/>
    <w:qFormat/>
    <w:rsid w:val="00403DC2"/>
    <w:pPr>
      <w:ind w:left="720"/>
      <w:contextualSpacing/>
    </w:pPr>
  </w:style>
  <w:style w:type="character" w:styleId="IntenseEmphasis">
    <w:name w:val="Intense Emphasis"/>
    <w:basedOn w:val="DefaultParagraphFont"/>
    <w:uiPriority w:val="21"/>
    <w:qFormat/>
    <w:rsid w:val="00403DC2"/>
    <w:rPr>
      <w:i/>
      <w:iCs/>
      <w:color w:val="0F4761" w:themeColor="accent1" w:themeShade="BF"/>
    </w:rPr>
  </w:style>
  <w:style w:type="paragraph" w:styleId="IntenseQuote">
    <w:name w:val="Intense Quote"/>
    <w:basedOn w:val="Normal"/>
    <w:next w:val="Normal"/>
    <w:link w:val="IntenseQuoteChar"/>
    <w:uiPriority w:val="30"/>
    <w:qFormat/>
    <w:rsid w:val="00403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DC2"/>
    <w:rPr>
      <w:i/>
      <w:iCs/>
      <w:color w:val="0F4761" w:themeColor="accent1" w:themeShade="BF"/>
    </w:rPr>
  </w:style>
  <w:style w:type="character" w:styleId="IntenseReference">
    <w:name w:val="Intense Reference"/>
    <w:basedOn w:val="DefaultParagraphFont"/>
    <w:uiPriority w:val="32"/>
    <w:qFormat/>
    <w:rsid w:val="00403DC2"/>
    <w:rPr>
      <w:b/>
      <w:bCs/>
      <w:smallCaps/>
      <w:color w:val="0F4761" w:themeColor="accent1" w:themeShade="BF"/>
      <w:spacing w:val="5"/>
    </w:rPr>
  </w:style>
  <w:style w:type="character" w:styleId="Hyperlink">
    <w:name w:val="Hyperlink"/>
    <w:basedOn w:val="DefaultParagraphFont"/>
    <w:uiPriority w:val="99"/>
    <w:unhideWhenUsed/>
    <w:rsid w:val="00403DC2"/>
    <w:rPr>
      <w:color w:val="467886" w:themeColor="hyperlink"/>
      <w:u w:val="single"/>
    </w:rPr>
  </w:style>
  <w:style w:type="character" w:customStyle="1" w:styleId="UnresolvedMention">
    <w:name w:val="Unresolved Mention"/>
    <w:basedOn w:val="DefaultParagraphFont"/>
    <w:uiPriority w:val="99"/>
    <w:semiHidden/>
    <w:unhideWhenUsed/>
    <w:rsid w:val="00403DC2"/>
    <w:rPr>
      <w:color w:val="605E5C"/>
      <w:shd w:val="clear" w:color="auto" w:fill="E1DFDD"/>
    </w:rPr>
  </w:style>
  <w:style w:type="paragraph" w:customStyle="1" w:styleId="Default">
    <w:name w:val="Default"/>
    <w:rsid w:val="002857D7"/>
    <w:pPr>
      <w:autoSpaceDE w:val="0"/>
      <w:autoSpaceDN w:val="0"/>
      <w:adjustRightInd w:val="0"/>
      <w:spacing w:after="0" w:line="240" w:lineRule="auto"/>
    </w:pPr>
    <w:rPr>
      <w:rFonts w:ascii="Times New Roman" w:hAnsi="Times New Roman" w:cs="Times New Roman"/>
      <w:color w:val="000000"/>
    </w:rPr>
  </w:style>
  <w:style w:type="paragraph" w:styleId="NormalWeb">
    <w:name w:val="Normal (Web)"/>
    <w:basedOn w:val="Normal"/>
    <w:uiPriority w:val="99"/>
    <w:semiHidden/>
    <w:unhideWhenUsed/>
    <w:rsid w:val="00B407A4"/>
    <w:rPr>
      <w:rFonts w:ascii="Times New Roman" w:hAnsi="Times New Roman" w:cs="Times New Roman"/>
    </w:rPr>
  </w:style>
  <w:style w:type="table" w:customStyle="1" w:styleId="a">
    <w:basedOn w:val="TableNormal"/>
    <w:rsid w:val="001E192D"/>
    <w:tblPr>
      <w:tblStyleRowBandSize w:val="1"/>
      <w:tblStyleColBandSize w:val="1"/>
      <w:tblInd w:w="0" w:type="dxa"/>
      <w:tblCellMar>
        <w:top w:w="0" w:type="dxa"/>
        <w:left w:w="0" w:type="dxa"/>
        <w:bottom w:w="0" w:type="dxa"/>
        <w:right w:w="0" w:type="dxa"/>
      </w:tblCellMar>
    </w:tblPr>
  </w:style>
  <w:style w:type="table" w:customStyle="1" w:styleId="a0">
    <w:basedOn w:val="TableNormal"/>
    <w:rsid w:val="001E192D"/>
    <w:tblPr>
      <w:tblStyleRowBandSize w:val="1"/>
      <w:tblStyleColBandSize w:val="1"/>
      <w:tblInd w:w="0" w:type="dxa"/>
      <w:tblCellMar>
        <w:top w:w="0" w:type="dxa"/>
        <w:left w:w="0" w:type="dxa"/>
        <w:bottom w:w="0" w:type="dxa"/>
        <w:right w:w="0" w:type="dxa"/>
      </w:tblCellMar>
    </w:tblPr>
  </w:style>
  <w:style w:type="table" w:customStyle="1" w:styleId="a1">
    <w:basedOn w:val="TableNormal"/>
    <w:rsid w:val="001E192D"/>
    <w:tblPr>
      <w:tblStyleRowBandSize w:val="1"/>
      <w:tblStyleColBandSize w:val="1"/>
      <w:tblInd w:w="0" w:type="dxa"/>
      <w:tblCellMar>
        <w:top w:w="0" w:type="dxa"/>
        <w:left w:w="0" w:type="dxa"/>
        <w:bottom w:w="0" w:type="dxa"/>
        <w:right w:w="0" w:type="dxa"/>
      </w:tblCellMar>
    </w:tblPr>
  </w:style>
  <w:style w:type="table" w:customStyle="1" w:styleId="a2">
    <w:basedOn w:val="TableNormal"/>
    <w:rsid w:val="001E192D"/>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4D4C86"/>
    <w:pPr>
      <w:spacing w:line="240" w:lineRule="auto"/>
    </w:pPr>
    <w:rPr>
      <w:rFonts w:asciiTheme="minorHAnsi" w:eastAsiaTheme="minorEastAsia" w:hAnsiTheme="minorHAnsi" w:cstheme="minorBidi"/>
      <w:sz w:val="20"/>
      <w:szCs w:val="20"/>
      <w:lang w:val="en-AU" w:eastAsia="zh-CN"/>
    </w:rPr>
  </w:style>
  <w:style w:type="character" w:customStyle="1" w:styleId="CommentTextChar">
    <w:name w:val="Comment Text Char"/>
    <w:basedOn w:val="DefaultParagraphFont"/>
    <w:link w:val="CommentText"/>
    <w:uiPriority w:val="99"/>
    <w:rsid w:val="004D4C86"/>
    <w:rPr>
      <w:rFonts w:asciiTheme="minorHAnsi" w:eastAsiaTheme="minorEastAsia" w:hAnsiTheme="minorHAnsi" w:cstheme="minorBidi"/>
      <w:sz w:val="20"/>
      <w:szCs w:val="20"/>
      <w:lang w:val="en-AU" w:eastAsia="zh-CN"/>
    </w:rPr>
  </w:style>
  <w:style w:type="paragraph" w:styleId="Header">
    <w:name w:val="header"/>
    <w:basedOn w:val="Normal"/>
    <w:link w:val="HeaderChar"/>
    <w:uiPriority w:val="99"/>
    <w:unhideWhenUsed/>
    <w:rsid w:val="00A47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14E"/>
  </w:style>
  <w:style w:type="paragraph" w:styleId="Footer">
    <w:name w:val="footer"/>
    <w:basedOn w:val="Normal"/>
    <w:link w:val="FooterChar"/>
    <w:uiPriority w:val="99"/>
    <w:unhideWhenUsed/>
    <w:rsid w:val="00A47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14E"/>
  </w:style>
  <w:style w:type="character" w:styleId="CommentReference">
    <w:name w:val="annotation reference"/>
    <w:basedOn w:val="DefaultParagraphFont"/>
    <w:uiPriority w:val="99"/>
    <w:semiHidden/>
    <w:unhideWhenUsed/>
    <w:rsid w:val="005E27E7"/>
    <w:rPr>
      <w:sz w:val="16"/>
      <w:szCs w:val="16"/>
    </w:rPr>
  </w:style>
  <w:style w:type="paragraph" w:styleId="CommentSubject">
    <w:name w:val="annotation subject"/>
    <w:basedOn w:val="CommentText"/>
    <w:next w:val="CommentText"/>
    <w:link w:val="CommentSubjectChar"/>
    <w:uiPriority w:val="99"/>
    <w:semiHidden/>
    <w:unhideWhenUsed/>
    <w:rsid w:val="005E27E7"/>
    <w:rPr>
      <w:rFonts w:ascii="Aptos" w:eastAsia="Aptos" w:hAnsi="Aptos" w:cs="Aptos"/>
      <w:b/>
      <w:bCs/>
      <w:lang w:val="en-US" w:eastAsia="en-US"/>
    </w:rPr>
  </w:style>
  <w:style w:type="character" w:customStyle="1" w:styleId="CommentSubjectChar">
    <w:name w:val="Comment Subject Char"/>
    <w:basedOn w:val="CommentTextChar"/>
    <w:link w:val="CommentSubject"/>
    <w:uiPriority w:val="99"/>
    <w:semiHidden/>
    <w:rsid w:val="005E27E7"/>
    <w:rPr>
      <w:b/>
      <w:bCs/>
    </w:rPr>
  </w:style>
  <w:style w:type="paragraph" w:styleId="BalloonText">
    <w:name w:val="Balloon Text"/>
    <w:basedOn w:val="Normal"/>
    <w:link w:val="BalloonTextChar"/>
    <w:uiPriority w:val="99"/>
    <w:semiHidden/>
    <w:unhideWhenUsed/>
    <w:rsid w:val="005E2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7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5298654">
      <w:bodyDiv w:val="1"/>
      <w:marLeft w:val="0"/>
      <w:marRight w:val="0"/>
      <w:marTop w:val="0"/>
      <w:marBottom w:val="0"/>
      <w:divBdr>
        <w:top w:val="none" w:sz="0" w:space="0" w:color="auto"/>
        <w:left w:val="none" w:sz="0" w:space="0" w:color="auto"/>
        <w:bottom w:val="none" w:sz="0" w:space="0" w:color="auto"/>
        <w:right w:val="none" w:sz="0" w:space="0" w:color="auto"/>
      </w:divBdr>
    </w:div>
    <w:div w:id="461964841">
      <w:bodyDiv w:val="1"/>
      <w:marLeft w:val="0"/>
      <w:marRight w:val="0"/>
      <w:marTop w:val="0"/>
      <w:marBottom w:val="0"/>
      <w:divBdr>
        <w:top w:val="none" w:sz="0" w:space="0" w:color="auto"/>
        <w:left w:val="none" w:sz="0" w:space="0" w:color="auto"/>
        <w:bottom w:val="none" w:sz="0" w:space="0" w:color="auto"/>
        <w:right w:val="none" w:sz="0" w:space="0" w:color="auto"/>
      </w:divBdr>
    </w:div>
    <w:div w:id="596904863">
      <w:bodyDiv w:val="1"/>
      <w:marLeft w:val="0"/>
      <w:marRight w:val="0"/>
      <w:marTop w:val="0"/>
      <w:marBottom w:val="0"/>
      <w:divBdr>
        <w:top w:val="none" w:sz="0" w:space="0" w:color="auto"/>
        <w:left w:val="none" w:sz="0" w:space="0" w:color="auto"/>
        <w:bottom w:val="none" w:sz="0" w:space="0" w:color="auto"/>
        <w:right w:val="none" w:sz="0" w:space="0" w:color="auto"/>
      </w:divBdr>
    </w:div>
    <w:div w:id="620455062">
      <w:bodyDiv w:val="1"/>
      <w:marLeft w:val="0"/>
      <w:marRight w:val="0"/>
      <w:marTop w:val="0"/>
      <w:marBottom w:val="0"/>
      <w:divBdr>
        <w:top w:val="none" w:sz="0" w:space="0" w:color="auto"/>
        <w:left w:val="none" w:sz="0" w:space="0" w:color="auto"/>
        <w:bottom w:val="none" w:sz="0" w:space="0" w:color="auto"/>
        <w:right w:val="none" w:sz="0" w:space="0" w:color="auto"/>
      </w:divBdr>
    </w:div>
    <w:div w:id="1100637868">
      <w:bodyDiv w:val="1"/>
      <w:marLeft w:val="0"/>
      <w:marRight w:val="0"/>
      <w:marTop w:val="0"/>
      <w:marBottom w:val="0"/>
      <w:divBdr>
        <w:top w:val="none" w:sz="0" w:space="0" w:color="auto"/>
        <w:left w:val="none" w:sz="0" w:space="0" w:color="auto"/>
        <w:bottom w:val="none" w:sz="0" w:space="0" w:color="auto"/>
        <w:right w:val="none" w:sz="0" w:space="0" w:color="auto"/>
      </w:divBdr>
    </w:div>
    <w:div w:id="1131364903">
      <w:bodyDiv w:val="1"/>
      <w:marLeft w:val="0"/>
      <w:marRight w:val="0"/>
      <w:marTop w:val="0"/>
      <w:marBottom w:val="0"/>
      <w:divBdr>
        <w:top w:val="none" w:sz="0" w:space="0" w:color="auto"/>
        <w:left w:val="none" w:sz="0" w:space="0" w:color="auto"/>
        <w:bottom w:val="none" w:sz="0" w:space="0" w:color="auto"/>
        <w:right w:val="none" w:sz="0" w:space="0" w:color="auto"/>
      </w:divBdr>
    </w:div>
    <w:div w:id="1248491751">
      <w:bodyDiv w:val="1"/>
      <w:marLeft w:val="0"/>
      <w:marRight w:val="0"/>
      <w:marTop w:val="0"/>
      <w:marBottom w:val="0"/>
      <w:divBdr>
        <w:top w:val="none" w:sz="0" w:space="0" w:color="auto"/>
        <w:left w:val="none" w:sz="0" w:space="0" w:color="auto"/>
        <w:bottom w:val="none" w:sz="0" w:space="0" w:color="auto"/>
        <w:right w:val="none" w:sz="0" w:space="0" w:color="auto"/>
      </w:divBdr>
    </w:div>
    <w:div w:id="1926914647">
      <w:bodyDiv w:val="1"/>
      <w:marLeft w:val="0"/>
      <w:marRight w:val="0"/>
      <w:marTop w:val="0"/>
      <w:marBottom w:val="0"/>
      <w:divBdr>
        <w:top w:val="none" w:sz="0" w:space="0" w:color="auto"/>
        <w:left w:val="none" w:sz="0" w:space="0" w:color="auto"/>
        <w:bottom w:val="none" w:sz="0" w:space="0" w:color="auto"/>
        <w:right w:val="none" w:sz="0" w:space="0" w:color="auto"/>
      </w:divBdr>
    </w:div>
    <w:div w:id="1938053273">
      <w:bodyDiv w:val="1"/>
      <w:marLeft w:val="0"/>
      <w:marRight w:val="0"/>
      <w:marTop w:val="0"/>
      <w:marBottom w:val="0"/>
      <w:divBdr>
        <w:top w:val="none" w:sz="0" w:space="0" w:color="auto"/>
        <w:left w:val="none" w:sz="0" w:space="0" w:color="auto"/>
        <w:bottom w:val="none" w:sz="0" w:space="0" w:color="auto"/>
        <w:right w:val="none" w:sz="0" w:space="0" w:color="auto"/>
      </w:divBdr>
    </w:div>
    <w:div w:id="2117941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eric.ed.gov/fulltext/EJ1085257.pdf" TargetMode="External"/><Relationship Id="rId18" Type="http://schemas.openxmlformats.org/officeDocument/2006/relationships/hyperlink" Target="http://bjsep.org/getfile.php?id=209" TargetMode="External"/><Relationship Id="rId26" Type="http://schemas.openxmlformats.org/officeDocument/2006/relationships/hyperlink" Target="https://doi.org/10.1177/1049732310378656" TargetMode="External"/><Relationship Id="rId39" Type="http://schemas.openxmlformats.org/officeDocument/2006/relationships/hyperlink" Target="https://doi.org/10.1080/13603116.2021.1965803" TargetMode="External"/><Relationship Id="rId21" Type="http://schemas.openxmlformats.org/officeDocument/2006/relationships/hyperlink" Target="https://jiaap.in/wp-content/uploads/2024/08/2016_42_1_Farrell_18-29.pdf" TargetMode="External"/><Relationship Id="rId34" Type="http://schemas.openxmlformats.org/officeDocument/2006/relationships/hyperlink" Target="https://doi.org/10.1111/curi.12014" TargetMode="External"/><Relationship Id="rId42" Type="http://schemas.openxmlformats.org/officeDocument/2006/relationships/hyperlink" Target="https://doi.org/10.4324/9780203846780" TargetMode="External"/><Relationship Id="rId47" Type="http://schemas.openxmlformats.org/officeDocument/2006/relationships/hyperlink" Target="https://doi.org/10.1080/13603116.2015.1015178" TargetMode="External"/><Relationship Id="rId50" Type="http://schemas.openxmlformats.org/officeDocument/2006/relationships/hyperlink" Target="https://doi.org/10.1080/1034912X.2021.1917525"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20%20https://publicscholarship.stanford.edu/scholarship/blogs/probing-inclusive-education-global-south-critical-cultural-historical-standpoint%20%20" TargetMode="External"/><Relationship Id="rId17" Type="http://schemas.openxmlformats.org/officeDocument/2006/relationships/hyperlink" Target="https://files.eric.ed.gov/fulltext/EJ1023228.pdf" TargetMode="External"/><Relationship Id="rId25" Type="http://schemas.openxmlformats.org/officeDocument/2006/relationships/hyperlink" Target="https://doi.org/10.1007/978-3-319-42488-0_1" TargetMode="External"/><Relationship Id="rId33" Type="http://schemas.openxmlformats.org/officeDocument/2006/relationships/hyperlink" Target="https://doi.org/10.26634/jsch.12.4.13548" TargetMode="External"/><Relationship Id="rId38" Type="http://schemas.openxmlformats.org/officeDocument/2006/relationships/hyperlink" Target="https://doi.org/10.1136/bmj.n71" TargetMode="External"/><Relationship Id="rId46" Type="http://schemas.openxmlformats.org/officeDocument/2006/relationships/hyperlink" Target="https://doi.org/10.56829/2158-396X-21.2.22" TargetMode="External"/><Relationship Id="rId2" Type="http://schemas.openxmlformats.org/officeDocument/2006/relationships/customXml" Target="../customXml/item2.xml"/><Relationship Id="rId16" Type="http://schemas.openxmlformats.org/officeDocument/2006/relationships/hyperlink" Target="https://eric.ed.gov/?id=ED603222" TargetMode="External"/><Relationship Id="rId20" Type="http://schemas.openxmlformats.org/officeDocument/2006/relationships/hyperlink" Target="https://files.eric.ed.gov/fulltext/EJ1099934.pdf" TargetMode="External"/><Relationship Id="rId29" Type="http://schemas.openxmlformats.org/officeDocument/2006/relationships/hyperlink" Target="https://www.britannica.com/topic/Global-North-and-Global-South" TargetMode="External"/><Relationship Id="rId41" Type="http://schemas.openxmlformats.org/officeDocument/2006/relationships/hyperlink" Target="https://doi.org/10.1016/j.ijer.2023.10216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80/13603116.2010.496192" TargetMode="External"/><Relationship Id="rId24" Type="http://schemas.openxmlformats.org/officeDocument/2006/relationships/hyperlink" Target="https://doi.org/10.59595/ajie.01.2.3" TargetMode="External"/><Relationship Id="rId32" Type="http://schemas.openxmlformats.org/officeDocument/2006/relationships/hyperlink" Target="https://doi.org/10.1080/13603116.2022.2036831" TargetMode="External"/><Relationship Id="rId37" Type="http://schemas.openxmlformats.org/officeDocument/2006/relationships/hyperlink" Target="https://doi.org/10.4135/9781412985000" TargetMode="External"/><Relationship Id="rId40" Type="http://schemas.openxmlformats.org/officeDocument/2006/relationships/hyperlink" Target="https://doi.org/10.1016/j.ijer.2023.102160" TargetMode="External"/><Relationship Id="rId45" Type="http://schemas.openxmlformats.org/officeDocument/2006/relationships/hyperlink" Target="https://doi.org/10.3390/educsci11030111" TargetMode="External"/><Relationship Id="rId53" Type="http://schemas.openxmlformats.org/officeDocument/2006/relationships/hyperlink" Target="https://www.un.org/disabilities/documents/convention/convoptprot-e.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ric.ed.gov/?id=ED603222" TargetMode="External"/><Relationship Id="rId23" Type="http://schemas.openxmlformats.org/officeDocument/2006/relationships/hyperlink" Target="https://doi.org/10.1177/23493003211047927" TargetMode="External"/><Relationship Id="rId28" Type="http://schemas.openxmlformats.org/officeDocument/2006/relationships/hyperlink" Target="https://doi.org/10.33422/ijce.v2i1.36" TargetMode="External"/><Relationship Id="rId36" Type="http://schemas.openxmlformats.org/officeDocument/2006/relationships/hyperlink" Target="https://ncert.nic.in/degsn/pdf/IndexforInclusiveSchools.pdf" TargetMode="External"/><Relationship Id="rId49" Type="http://schemas.openxmlformats.org/officeDocument/2006/relationships/hyperlink" Target="https://doi.org/10.1080/1034912X.2014.955786" TargetMode="External"/><Relationship Id="rId57" Type="http://schemas.openxmlformats.org/officeDocument/2006/relationships/fontTable" Target="fontTable.xml"/><Relationship Id="rId10" Type="http://schemas.openxmlformats.org/officeDocument/2006/relationships/hyperlink" Target="https://doi.org/10.26634/jpsy.15.2.18397" TargetMode="External"/><Relationship Id="rId19" Type="http://schemas.openxmlformats.org/officeDocument/2006/relationships/hyperlink" Target="https://doi.org/10.1111/1467-9604.12093" TargetMode="External"/><Relationship Id="rId31" Type="http://schemas.openxmlformats.org/officeDocument/2006/relationships/hyperlink" Target="https://doi.org/10.1111/1467-8578.12282" TargetMode="External"/><Relationship Id="rId44" Type="http://schemas.openxmlformats.org/officeDocument/2006/relationships/hyperlink" Target="https://doi.org/10.3390/educsci11030111" TargetMode="External"/><Relationship Id="rId52" Type="http://schemas.openxmlformats.org/officeDocument/2006/relationships/hyperlink" Target="https://doi.org/10.1016/j.tate.2015.09.002"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eric.ed.gov/?id=EJ1283994" TargetMode="External"/><Relationship Id="rId22" Type="http://schemas.openxmlformats.org/officeDocument/2006/relationships/hyperlink" Target="https://doi.org/10.4324/9781351212793" TargetMode="External"/><Relationship Id="rId27" Type="http://schemas.openxmlformats.org/officeDocument/2006/relationships/hyperlink" Target="https://doi.org/10.33422/ijce.v2i1.36" TargetMode="External"/><Relationship Id="rId30" Type="http://schemas.openxmlformats.org/officeDocument/2006/relationships/hyperlink" Target="https://www.britannica.com/topic/Global-North-and-Global-South" TargetMode="External"/><Relationship Id="rId35" Type="http://schemas.openxmlformats.org/officeDocument/2006/relationships/hyperlink" Target="https://doi.org/10.1080/00220272.2021.1882579" TargetMode="External"/><Relationship Id="rId43" Type="http://schemas.openxmlformats.org/officeDocument/2006/relationships/hyperlink" Target="https://doi.org/10.4324/9780203846780" TargetMode="External"/><Relationship Id="rId48" Type="http://schemas.openxmlformats.org/officeDocument/2006/relationships/hyperlink" Target="https://doi.org/10.1080/13603116.2019.1624845"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doi.org/10.1111/1467-9604.12461"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FPBGHwSBFVazfweR+5mC31dMA==">CgMxLjA4AHIhMWdnMnY3NjE0dVE0cHk2R0VPY2RnTlp0ME5GaFVtR1dv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490F2A-13F3-4CCE-ABFD-2E771375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21</Pages>
  <Words>7978</Words>
  <Characters>45477</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Daniel</dc:creator>
  <cp:lastModifiedBy>Guest</cp:lastModifiedBy>
  <cp:revision>45</cp:revision>
  <dcterms:created xsi:type="dcterms:W3CDTF">2025-12-19T01:58:00Z</dcterms:created>
  <dcterms:modified xsi:type="dcterms:W3CDTF">2010-01-01T20:13:00Z</dcterms:modified>
</cp:coreProperties>
</file>