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A6CCE" w14:textId="77777777" w:rsidR="007A60D7" w:rsidRDefault="007A60D7" w:rsidP="000913C3">
      <w:pPr>
        <w:spacing w:before="100" w:beforeAutospacing="1" w:after="100" w:afterAutospacing="1" w:line="240" w:lineRule="auto"/>
        <w:jc w:val="center"/>
        <w:outlineLvl w:val="0"/>
        <w:rPr>
          <w:rFonts w:ascii="Times New Roman" w:eastAsia="Times New Roman" w:hAnsi="Times New Roman" w:cs="Times New Roman"/>
          <w:b/>
          <w:bCs/>
          <w:kern w:val="36"/>
          <w:sz w:val="40"/>
          <w:szCs w:val="40"/>
        </w:rPr>
      </w:pPr>
      <w:r w:rsidRPr="007A60D7">
        <w:rPr>
          <w:rFonts w:ascii="Times New Roman" w:eastAsia="Times New Roman" w:hAnsi="Times New Roman" w:cs="Times New Roman"/>
          <w:b/>
          <w:bCs/>
          <w:kern w:val="36"/>
          <w:sz w:val="40"/>
          <w:szCs w:val="40"/>
        </w:rPr>
        <w:t>Assessing the Economic Consequences of Structural Failures in Newly Built National Highways in Kerala</w:t>
      </w:r>
    </w:p>
    <w:p w14:paraId="4095CAA1" w14:textId="77777777" w:rsidR="00511A15" w:rsidRDefault="00511A15" w:rsidP="00E46405">
      <w:pPr>
        <w:spacing w:before="100" w:beforeAutospacing="1" w:after="100" w:afterAutospacing="1" w:line="240" w:lineRule="auto"/>
        <w:jc w:val="both"/>
        <w:outlineLvl w:val="1"/>
        <w:rPr>
          <w:rFonts w:ascii="Times New Roman" w:eastAsia="Times New Roman" w:hAnsi="Times New Roman" w:cs="Times New Roman"/>
          <w:b/>
          <w:bCs/>
          <w:sz w:val="36"/>
          <w:szCs w:val="36"/>
        </w:rPr>
      </w:pPr>
    </w:p>
    <w:p w14:paraId="23DB27B5" w14:textId="028EEFE5" w:rsidR="007A60D7" w:rsidRPr="007A60D7" w:rsidRDefault="007A60D7" w:rsidP="00E46405">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7A60D7">
        <w:rPr>
          <w:rFonts w:ascii="Times New Roman" w:eastAsia="Times New Roman" w:hAnsi="Times New Roman" w:cs="Times New Roman"/>
          <w:b/>
          <w:bCs/>
          <w:sz w:val="36"/>
          <w:szCs w:val="36"/>
        </w:rPr>
        <w:t>Abstract</w:t>
      </w:r>
    </w:p>
    <w:p w14:paraId="298F06D9" w14:textId="5254FEC1" w:rsidR="007A60D7" w:rsidRPr="007A60D7" w:rsidRDefault="007A60D7" w:rsidP="00E46405">
      <w:p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Newly built national highways in Kerala were intended to cataly</w:t>
      </w:r>
      <w:r w:rsidR="00C2428E">
        <w:rPr>
          <w:rFonts w:ascii="Times New Roman" w:eastAsia="Times New Roman" w:hAnsi="Times New Roman" w:cs="Times New Roman"/>
          <w:sz w:val="24"/>
          <w:szCs w:val="24"/>
        </w:rPr>
        <w:t>z</w:t>
      </w:r>
      <w:r w:rsidRPr="007A60D7">
        <w:rPr>
          <w:rFonts w:ascii="Times New Roman" w:eastAsia="Times New Roman" w:hAnsi="Times New Roman" w:cs="Times New Roman"/>
          <w:sz w:val="24"/>
          <w:szCs w:val="24"/>
        </w:rPr>
        <w:t>e regional economic development through reductions in transport costs, improved market connectivity, and enhanced supply chains. Yet repeated structural failures and rapid degradation of these assets have attenuated expected benefits and produced adverse socio-economic out</w:t>
      </w:r>
      <w:r w:rsidR="002675AB" w:rsidRPr="00E46405">
        <w:rPr>
          <w:rFonts w:ascii="Times New Roman" w:eastAsia="Times New Roman" w:hAnsi="Times New Roman" w:cs="Times New Roman"/>
          <w:sz w:val="24"/>
          <w:szCs w:val="24"/>
        </w:rPr>
        <w:t>comes. This paper reconceptualiz</w:t>
      </w:r>
      <w:r w:rsidRPr="007A60D7">
        <w:rPr>
          <w:rFonts w:ascii="Times New Roman" w:eastAsia="Times New Roman" w:hAnsi="Times New Roman" w:cs="Times New Roman"/>
          <w:sz w:val="24"/>
          <w:szCs w:val="24"/>
        </w:rPr>
        <w:t xml:space="preserve">es newly built highways as Common-Property Resources </w:t>
      </w:r>
      <w:commentRangeStart w:id="0"/>
      <w:r w:rsidRPr="007A60D7">
        <w:rPr>
          <w:rFonts w:ascii="Times New Roman" w:eastAsia="Times New Roman" w:hAnsi="Times New Roman" w:cs="Times New Roman"/>
          <w:sz w:val="24"/>
          <w:szCs w:val="24"/>
        </w:rPr>
        <w:t xml:space="preserve">(CPR) </w:t>
      </w:r>
      <w:commentRangeEnd w:id="0"/>
      <w:r w:rsidR="00C2428E">
        <w:rPr>
          <w:rStyle w:val="CommentReference"/>
        </w:rPr>
        <w:commentReference w:id="0"/>
      </w:r>
      <w:r w:rsidRPr="007A60D7">
        <w:rPr>
          <w:rFonts w:ascii="Times New Roman" w:eastAsia="Times New Roman" w:hAnsi="Times New Roman" w:cs="Times New Roman"/>
          <w:sz w:val="24"/>
          <w:szCs w:val="24"/>
        </w:rPr>
        <w:t xml:space="preserve">and employs Ostrom’s polycentric governance lens to examine how institutional fragmentation, maintenance deficits, and weak accountability mechanisms convert infrastructure investments into economic liabilities. Using a mixed-methods approach—structured surveys (n=300), stakeholder interviews, and secondary administrative data—this study elaborates the causal pathways linking highway failures to supply-chain disruptions, income volatility, health and insurance costs, and distributional impacts on vulnerable groups. Detailed quantitative analyses (descriptive statistics, correlation matrices, multivariate regressions, robustness checks) and qualitative thematic coding inform actionable policy recommendations: decentralized monitoring, participatory maintenance, and sustainable financing models. </w:t>
      </w:r>
    </w:p>
    <w:p w14:paraId="6F06803B" w14:textId="77777777" w:rsidR="007A60D7" w:rsidRPr="007A60D7" w:rsidRDefault="007A60D7" w:rsidP="00E46405">
      <w:pPr>
        <w:spacing w:before="100" w:beforeAutospacing="1" w:after="100" w:afterAutospacing="1" w:line="240" w:lineRule="auto"/>
        <w:jc w:val="both"/>
        <w:rPr>
          <w:rFonts w:ascii="Times New Roman" w:eastAsia="Times New Roman" w:hAnsi="Times New Roman" w:cs="Times New Roman"/>
          <w:sz w:val="24"/>
          <w:szCs w:val="24"/>
        </w:rPr>
      </w:pPr>
      <w:r w:rsidRPr="00E46405">
        <w:rPr>
          <w:rFonts w:ascii="Times New Roman" w:eastAsia="Times New Roman" w:hAnsi="Times New Roman" w:cs="Times New Roman"/>
          <w:b/>
          <w:bCs/>
          <w:sz w:val="24"/>
          <w:szCs w:val="24"/>
        </w:rPr>
        <w:t>Keywords:</w:t>
      </w:r>
      <w:r w:rsidRPr="007A60D7">
        <w:rPr>
          <w:rFonts w:ascii="Times New Roman" w:eastAsia="Times New Roman" w:hAnsi="Times New Roman" w:cs="Times New Roman"/>
          <w:sz w:val="24"/>
          <w:szCs w:val="24"/>
        </w:rPr>
        <w:t xml:space="preserve"> Highway infrastructure, Common-Property Resources, Polycentric governance, Kerala, Economic impacts, infrastructure maintenance.</w:t>
      </w:r>
    </w:p>
    <w:p w14:paraId="6772499F" w14:textId="77777777" w:rsidR="007A60D7" w:rsidRPr="007A60D7" w:rsidRDefault="00735E47" w:rsidP="00E4640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601B16B">
          <v:rect id="_x0000_i1025" style="width:0;height:1.5pt" o:hralign="center" o:hrstd="t" o:hr="t" fillcolor="#a0a0a0" stroked="f"/>
        </w:pict>
      </w:r>
    </w:p>
    <w:p w14:paraId="267F5213" w14:textId="77777777" w:rsidR="007A60D7" w:rsidRPr="007A60D7" w:rsidRDefault="007A60D7" w:rsidP="00E46405">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7A60D7">
        <w:rPr>
          <w:rFonts w:ascii="Times New Roman" w:eastAsia="Times New Roman" w:hAnsi="Times New Roman" w:cs="Times New Roman"/>
          <w:b/>
          <w:bCs/>
          <w:sz w:val="36"/>
          <w:szCs w:val="36"/>
        </w:rPr>
        <w:t>1. Introduction</w:t>
      </w:r>
    </w:p>
    <w:p w14:paraId="7D7C594C" w14:textId="77777777" w:rsidR="007A60D7" w:rsidRPr="007A60D7" w:rsidRDefault="007A60D7" w:rsidP="00E46405">
      <w:p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Investment in highway infrastructure is widely regarded as a cornerstone of regional development, particularly in economies where road transport dominates freight and passenger movement (Banerjee, 2015; World Bank, 2019). Kerala’s geography, demographic density, and unique political economy make highway quality a critical determinant of local and state-wide economic performance. Despite substantial capital outlays on new national highways over the last two decades, the state has witnessed repeated cases of structural failures and rapid pavement deterioration leading to extended closures, frequent repairs, and economic disruptions.</w:t>
      </w:r>
    </w:p>
    <w:p w14:paraId="267AB3DE" w14:textId="77777777" w:rsidR="007A60D7" w:rsidRPr="007A60D7" w:rsidRDefault="007A60D7" w:rsidP="00E46405">
      <w:p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 xml:space="preserve">This paper contends that the central problem is institutional: fragmented governance, unclear responsibilities across national, state, and local actors, and insufficient maintenance funding and monitoring transform highways into managed commons vulnerable to overuse and under-maintenance. By framing highways as </w:t>
      </w:r>
      <w:commentRangeStart w:id="1"/>
      <w:r w:rsidRPr="007A60D7">
        <w:rPr>
          <w:rFonts w:ascii="Times New Roman" w:eastAsia="Times New Roman" w:hAnsi="Times New Roman" w:cs="Times New Roman"/>
          <w:sz w:val="24"/>
          <w:szCs w:val="24"/>
        </w:rPr>
        <w:t>CPRs</w:t>
      </w:r>
      <w:commentRangeEnd w:id="1"/>
      <w:r w:rsidR="00C2428E">
        <w:rPr>
          <w:rStyle w:val="CommentReference"/>
        </w:rPr>
        <w:commentReference w:id="1"/>
      </w:r>
      <w:r w:rsidRPr="007A60D7">
        <w:rPr>
          <w:rFonts w:ascii="Times New Roman" w:eastAsia="Times New Roman" w:hAnsi="Times New Roman" w:cs="Times New Roman"/>
          <w:sz w:val="24"/>
          <w:szCs w:val="24"/>
        </w:rPr>
        <w:t xml:space="preserve"> and applying polycentric governance theory, the study interrogates how multi-level governance arrangements can be redesigned to deliver resilient infrastructure outcomes.</w:t>
      </w:r>
    </w:p>
    <w:p w14:paraId="4C531DD8" w14:textId="77777777" w:rsidR="007A60D7" w:rsidRPr="000913C3" w:rsidRDefault="007A60D7" w:rsidP="00E46405">
      <w:pPr>
        <w:pStyle w:val="ListParagraph"/>
        <w:numPr>
          <w:ilvl w:val="1"/>
          <w:numId w:val="10"/>
        </w:numPr>
        <w:spacing w:before="100" w:beforeAutospacing="1" w:after="100" w:afterAutospacing="1" w:line="240" w:lineRule="auto"/>
        <w:jc w:val="both"/>
        <w:rPr>
          <w:rFonts w:ascii="Times New Roman" w:eastAsia="Times New Roman" w:hAnsi="Times New Roman" w:cs="Times New Roman"/>
          <w:b/>
          <w:sz w:val="28"/>
          <w:szCs w:val="28"/>
        </w:rPr>
      </w:pPr>
      <w:r w:rsidRPr="000913C3">
        <w:rPr>
          <w:rFonts w:ascii="Times New Roman" w:eastAsia="Times New Roman" w:hAnsi="Times New Roman" w:cs="Times New Roman"/>
          <w:b/>
          <w:sz w:val="28"/>
          <w:szCs w:val="28"/>
        </w:rPr>
        <w:lastRenderedPageBreak/>
        <w:t>Objectives:</w:t>
      </w:r>
    </w:p>
    <w:p w14:paraId="2BACCB46" w14:textId="77777777" w:rsidR="007A60D7" w:rsidRPr="007A60D7" w:rsidRDefault="007A60D7" w:rsidP="00E4640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 xml:space="preserve">To </w:t>
      </w:r>
      <w:proofErr w:type="spellStart"/>
      <w:r w:rsidRPr="007A60D7">
        <w:rPr>
          <w:rFonts w:ascii="Times New Roman" w:eastAsia="Times New Roman" w:hAnsi="Times New Roman" w:cs="Times New Roman"/>
          <w:sz w:val="24"/>
          <w:szCs w:val="24"/>
        </w:rPr>
        <w:t>analyse</w:t>
      </w:r>
      <w:proofErr w:type="spellEnd"/>
      <w:r w:rsidRPr="007A60D7">
        <w:rPr>
          <w:rFonts w:ascii="Times New Roman" w:eastAsia="Times New Roman" w:hAnsi="Times New Roman" w:cs="Times New Roman"/>
          <w:sz w:val="24"/>
          <w:szCs w:val="24"/>
        </w:rPr>
        <w:t xml:space="preserve"> the economic consequences of structural failures in newly built national highways in Kerala.</w:t>
      </w:r>
    </w:p>
    <w:p w14:paraId="1EFF142C" w14:textId="77777777" w:rsidR="007A60D7" w:rsidRPr="007A60D7" w:rsidRDefault="007A60D7" w:rsidP="00E4640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 xml:space="preserve">To identify institutional mechanisms </w:t>
      </w:r>
      <w:r w:rsidR="002675AB" w:rsidRPr="00E46405">
        <w:rPr>
          <w:rFonts w:ascii="Times New Roman" w:eastAsia="Times New Roman" w:hAnsi="Times New Roman" w:cs="Times New Roman"/>
          <w:sz w:val="24"/>
          <w:szCs w:val="24"/>
        </w:rPr>
        <w:t>that contributes</w:t>
      </w:r>
      <w:r w:rsidRPr="007A60D7">
        <w:rPr>
          <w:rFonts w:ascii="Times New Roman" w:eastAsia="Times New Roman" w:hAnsi="Times New Roman" w:cs="Times New Roman"/>
          <w:sz w:val="24"/>
          <w:szCs w:val="24"/>
        </w:rPr>
        <w:t xml:space="preserve"> to premature highway degradation.</w:t>
      </w:r>
    </w:p>
    <w:p w14:paraId="3AB5AA5C" w14:textId="4C9CCEB4" w:rsidR="007A60D7" w:rsidRDefault="007A60D7" w:rsidP="00E4640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 xml:space="preserve">To propose governance and financing reforms informed by </w:t>
      </w:r>
      <w:commentRangeStart w:id="2"/>
      <w:r w:rsidRPr="007A60D7">
        <w:rPr>
          <w:rFonts w:ascii="Times New Roman" w:eastAsia="Times New Roman" w:hAnsi="Times New Roman" w:cs="Times New Roman"/>
          <w:sz w:val="24"/>
          <w:szCs w:val="24"/>
        </w:rPr>
        <w:t xml:space="preserve">CPR </w:t>
      </w:r>
      <w:commentRangeEnd w:id="2"/>
      <w:r w:rsidR="00C2428E">
        <w:rPr>
          <w:rStyle w:val="CommentReference"/>
        </w:rPr>
        <w:commentReference w:id="2"/>
      </w:r>
      <w:r w:rsidRPr="007A60D7">
        <w:rPr>
          <w:rFonts w:ascii="Times New Roman" w:eastAsia="Times New Roman" w:hAnsi="Times New Roman" w:cs="Times New Roman"/>
          <w:sz w:val="24"/>
          <w:szCs w:val="24"/>
        </w:rPr>
        <w:t>theory and polycentric governance.</w:t>
      </w:r>
    </w:p>
    <w:p w14:paraId="36B2BC30" w14:textId="7E624263" w:rsidR="005D4BB3" w:rsidRPr="007A60D7" w:rsidRDefault="005D4BB3" w:rsidP="005D4BB3">
      <w:pPr>
        <w:spacing w:before="100" w:beforeAutospacing="1" w:after="100" w:afterAutospacing="1" w:line="240" w:lineRule="auto"/>
        <w:ind w:left="360"/>
        <w:jc w:val="both"/>
        <w:rPr>
          <w:rFonts w:ascii="Times New Roman" w:eastAsia="Times New Roman" w:hAnsi="Times New Roman" w:cs="Times New Roman"/>
          <w:sz w:val="24"/>
          <w:szCs w:val="24"/>
        </w:rPr>
      </w:pPr>
      <w:commentRangeStart w:id="3"/>
      <w:r>
        <w:rPr>
          <w:rFonts w:ascii="Times New Roman" w:eastAsia="Times New Roman" w:hAnsi="Times New Roman" w:cs="Times New Roman"/>
          <w:sz w:val="24"/>
          <w:szCs w:val="24"/>
        </w:rPr>
        <w:t>Add</w:t>
      </w:r>
      <w:commentRangeEnd w:id="3"/>
      <w:r>
        <w:rPr>
          <w:rStyle w:val="CommentReference"/>
        </w:rPr>
        <w:commentReference w:id="3"/>
      </w:r>
      <w:r>
        <w:rPr>
          <w:rFonts w:ascii="Times New Roman" w:eastAsia="Times New Roman" w:hAnsi="Times New Roman" w:cs="Times New Roman"/>
          <w:sz w:val="24"/>
          <w:szCs w:val="24"/>
        </w:rPr>
        <w:t xml:space="preserve">: </w:t>
      </w:r>
    </w:p>
    <w:p w14:paraId="6655651C" w14:textId="77777777" w:rsidR="007A60D7" w:rsidRDefault="007A60D7" w:rsidP="00E46405">
      <w:p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Scope: The focus is on recently constructed stretches of n</w:t>
      </w:r>
      <w:r w:rsidR="00DB193D" w:rsidRPr="00E46405">
        <w:rPr>
          <w:rFonts w:ascii="Times New Roman" w:eastAsia="Times New Roman" w:hAnsi="Times New Roman" w:cs="Times New Roman"/>
          <w:sz w:val="24"/>
          <w:szCs w:val="24"/>
        </w:rPr>
        <w:t>ational highways</w:t>
      </w:r>
      <w:r w:rsidRPr="007A60D7">
        <w:rPr>
          <w:rFonts w:ascii="Times New Roman" w:eastAsia="Times New Roman" w:hAnsi="Times New Roman" w:cs="Times New Roman"/>
          <w:sz w:val="24"/>
          <w:szCs w:val="24"/>
        </w:rPr>
        <w:t xml:space="preserve"> with observed struc</w:t>
      </w:r>
      <w:r w:rsidR="00DB193D" w:rsidRPr="00E46405">
        <w:rPr>
          <w:rFonts w:ascii="Times New Roman" w:eastAsia="Times New Roman" w:hAnsi="Times New Roman" w:cs="Times New Roman"/>
          <w:sz w:val="24"/>
          <w:szCs w:val="24"/>
        </w:rPr>
        <w:t>tural distress within 1</w:t>
      </w:r>
      <w:r w:rsidR="00684E80" w:rsidRPr="00E46405">
        <w:rPr>
          <w:rFonts w:ascii="Times New Roman" w:eastAsia="Times New Roman" w:hAnsi="Times New Roman" w:cs="Times New Roman"/>
          <w:sz w:val="24"/>
          <w:szCs w:val="24"/>
        </w:rPr>
        <w:t>–7</w:t>
      </w:r>
      <w:r w:rsidRPr="007A60D7">
        <w:rPr>
          <w:rFonts w:ascii="Times New Roman" w:eastAsia="Times New Roman" w:hAnsi="Times New Roman" w:cs="Times New Roman"/>
          <w:sz w:val="24"/>
          <w:szCs w:val="24"/>
        </w:rPr>
        <w:t xml:space="preserve"> years post-construction across multiple districts in Kerala. The empirical core combines survey evidence with administrative data on accidents, repair costs, and maintenance budgets.</w:t>
      </w:r>
    </w:p>
    <w:p w14:paraId="7514CD44" w14:textId="77777777" w:rsidR="000913C3" w:rsidRPr="000913C3" w:rsidRDefault="000913C3" w:rsidP="000913C3">
      <w:pPr>
        <w:pStyle w:val="ListParagraph"/>
        <w:numPr>
          <w:ilvl w:val="1"/>
          <w:numId w:val="10"/>
        </w:numPr>
        <w:spacing w:before="100" w:beforeAutospacing="1" w:after="100" w:afterAutospacing="1" w:line="240" w:lineRule="auto"/>
        <w:jc w:val="both"/>
        <w:rPr>
          <w:rFonts w:ascii="Times New Roman" w:eastAsia="Times New Roman" w:hAnsi="Times New Roman" w:cs="Times New Roman"/>
          <w:b/>
          <w:sz w:val="28"/>
          <w:szCs w:val="28"/>
        </w:rPr>
      </w:pPr>
      <w:r w:rsidRPr="000913C3">
        <w:rPr>
          <w:rFonts w:ascii="Times New Roman" w:eastAsia="Times New Roman" w:hAnsi="Times New Roman" w:cs="Times New Roman"/>
          <w:b/>
          <w:sz w:val="28"/>
          <w:szCs w:val="28"/>
        </w:rPr>
        <w:t>Research Problem</w:t>
      </w:r>
    </w:p>
    <w:p w14:paraId="3A13B1B3" w14:textId="77777777" w:rsidR="008C24B6" w:rsidRDefault="008C24B6" w:rsidP="008C24B6">
      <w:pPr>
        <w:pStyle w:val="NormalWeb"/>
        <w:jc w:val="both"/>
      </w:pPr>
      <w:r>
        <w:t>Despite substantial public investment in highway infrastructure in Kerala, the performance and sustainability of the highway system remain weak due to persistent governance and institutional failures. The recent disruptions observed along the newly constructed National Highway-66 (NH-66)—including surface damage, drainage failures, traffic bottlenecks, and premature maintenance needs—highlight that these challenges are not rooted primarily in engineering design or construction quality alone. Rather, they reflect deeper institutional shortcomings in highway governance. Fragmented authority among central, state, and local agencies, coupled with inadequate post-construction maintenance regimes and weak accountability mechanisms, has resulted in NH-66 functioning as a de facto unmanaged common property resource. This has accelerated overuse, congestion, and deterioration, generating escalating economic, social, and environmental costs.</w:t>
      </w:r>
    </w:p>
    <w:p w14:paraId="2094ED95" w14:textId="77777777" w:rsidR="008C24B6" w:rsidRDefault="008C24B6" w:rsidP="008C24B6">
      <w:pPr>
        <w:pStyle w:val="NormalWeb"/>
        <w:jc w:val="both"/>
      </w:pPr>
      <w:r>
        <w:t xml:space="preserve">The NH-66 case exemplifies the widening gap between policy design and policy implementation, where ambitious infrastructure expansion has not been matched by effective polycentric governance arrangements or participatory institutional mechanisms for monitoring, maintenance, and conflict resolution. The absence of decentralized oversight and user participation has limited the system’s capacity to adapt to local conditions, undermining the long-term sustainability of the highway. Consequently, NH-66 serves as a critical empirical site for examining how institutional failures convert newly constructed highways from public investments into governance liabilities, thereby necessitating a rethinking of highway infrastructure as a </w:t>
      </w:r>
      <w:proofErr w:type="gramStart"/>
      <w:r>
        <w:t>managed commons</w:t>
      </w:r>
      <w:proofErr w:type="gramEnd"/>
      <w:r>
        <w:t xml:space="preserve"> rather than a conventional public good.</w:t>
      </w:r>
    </w:p>
    <w:p w14:paraId="0C6B2088" w14:textId="77777777" w:rsidR="00DB193D" w:rsidRPr="007A60D7" w:rsidRDefault="000A5486" w:rsidP="00E46405">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E46405">
        <w:rPr>
          <w:rFonts w:ascii="Times New Roman" w:eastAsia="Times New Roman" w:hAnsi="Times New Roman" w:cs="Times New Roman"/>
          <w:b/>
          <w:bCs/>
          <w:sz w:val="36"/>
          <w:szCs w:val="36"/>
        </w:rPr>
        <w:t>2</w:t>
      </w:r>
      <w:r w:rsidR="00DB193D" w:rsidRPr="007A60D7">
        <w:rPr>
          <w:rFonts w:ascii="Times New Roman" w:eastAsia="Times New Roman" w:hAnsi="Times New Roman" w:cs="Times New Roman"/>
          <w:b/>
          <w:bCs/>
          <w:sz w:val="36"/>
          <w:szCs w:val="36"/>
        </w:rPr>
        <w:t>. Methodology</w:t>
      </w:r>
    </w:p>
    <w:p w14:paraId="04CBCC1D" w14:textId="77777777" w:rsidR="00DB193D" w:rsidRPr="007A60D7" w:rsidRDefault="000A5486" w:rsidP="00E4640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E46405">
        <w:rPr>
          <w:rFonts w:ascii="Times New Roman" w:eastAsia="Times New Roman" w:hAnsi="Times New Roman" w:cs="Times New Roman"/>
          <w:b/>
          <w:bCs/>
          <w:sz w:val="27"/>
          <w:szCs w:val="27"/>
        </w:rPr>
        <w:t>2</w:t>
      </w:r>
      <w:r w:rsidR="00DB193D" w:rsidRPr="007A60D7">
        <w:rPr>
          <w:rFonts w:ascii="Times New Roman" w:eastAsia="Times New Roman" w:hAnsi="Times New Roman" w:cs="Times New Roman"/>
          <w:b/>
          <w:bCs/>
          <w:sz w:val="27"/>
          <w:szCs w:val="27"/>
        </w:rPr>
        <w:t>.1 Research design</w:t>
      </w:r>
    </w:p>
    <w:p w14:paraId="19622BAF" w14:textId="77777777" w:rsidR="00DB193D" w:rsidRPr="007A60D7" w:rsidRDefault="00DB193D" w:rsidP="00E46405">
      <w:p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 xml:space="preserve">A concurrent mixed-methods design was used to triangulate quantitative and qualitative evidence. Quantitative components estimate the magnitude of economic impacts and test </w:t>
      </w:r>
      <w:r w:rsidRPr="007A60D7">
        <w:rPr>
          <w:rFonts w:ascii="Times New Roman" w:eastAsia="Times New Roman" w:hAnsi="Times New Roman" w:cs="Times New Roman"/>
          <w:sz w:val="24"/>
          <w:szCs w:val="24"/>
        </w:rPr>
        <w:lastRenderedPageBreak/>
        <w:t>hypothesized relationships; qualitative components explore governance processes, mechanisms of failure, and stakeholder preferences for reform.</w:t>
      </w:r>
    </w:p>
    <w:p w14:paraId="6632A66C" w14:textId="77777777" w:rsidR="00DB193D" w:rsidRPr="007A60D7" w:rsidRDefault="000A5486" w:rsidP="00E4640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E46405">
        <w:rPr>
          <w:rFonts w:ascii="Times New Roman" w:eastAsia="Times New Roman" w:hAnsi="Times New Roman" w:cs="Times New Roman"/>
          <w:b/>
          <w:bCs/>
          <w:sz w:val="27"/>
          <w:szCs w:val="27"/>
        </w:rPr>
        <w:t>2</w:t>
      </w:r>
      <w:r w:rsidR="00DB193D" w:rsidRPr="007A60D7">
        <w:rPr>
          <w:rFonts w:ascii="Times New Roman" w:eastAsia="Times New Roman" w:hAnsi="Times New Roman" w:cs="Times New Roman"/>
          <w:b/>
          <w:bCs/>
          <w:sz w:val="27"/>
          <w:szCs w:val="27"/>
        </w:rPr>
        <w:t>.2 Sampling and data sources</w:t>
      </w:r>
    </w:p>
    <w:p w14:paraId="402772DF" w14:textId="77777777" w:rsidR="00DB193D" w:rsidRPr="007A60D7" w:rsidRDefault="00DB193D" w:rsidP="00E46405">
      <w:p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Primary survey: Stratified random sampling across 6 districts (Kozhikode, Malappuram, Ernakulam, Thrissur, Kollam, Thiruvananthapuram) targeted users and stakeholders affected by highway failures. A total of n=300 valid responses were collected (response rate ≈ 72% from 420 contacts). Stratification ensured coverage of shop owners (n=75), drivers/transport workers (n=60), employees (n=60), students (n=50), wholesalers (n=25), and others (n=30).</w:t>
      </w:r>
    </w:p>
    <w:p w14:paraId="446EB598" w14:textId="77777777" w:rsidR="00DB193D" w:rsidRPr="007A60D7" w:rsidRDefault="00DB193D" w:rsidP="00E46405">
      <w:p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Key informant interviews: 18 semi-structured interviews with PWD officials, local body representatives, NHAI engineers, contractor representatives, insurance agents, and civil society actors.</w:t>
      </w:r>
    </w:p>
    <w:p w14:paraId="6639673A" w14:textId="77777777" w:rsidR="00DB193D" w:rsidRPr="007A60D7" w:rsidRDefault="00DB193D" w:rsidP="00E46405">
      <w:p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Secondary data: Road accidents and repair records (Kerala Police traffic data; NHAI/PWD repair logs), district-level economic indicators, hospital admission data for road accidents, and insurance claims aggregated at district level.</w:t>
      </w:r>
    </w:p>
    <w:p w14:paraId="433A0233" w14:textId="77777777" w:rsidR="00DB193D" w:rsidRPr="007A60D7" w:rsidRDefault="000A5486" w:rsidP="00E4640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E46405">
        <w:rPr>
          <w:rFonts w:ascii="Times New Roman" w:eastAsia="Times New Roman" w:hAnsi="Times New Roman" w:cs="Times New Roman"/>
          <w:b/>
          <w:bCs/>
          <w:sz w:val="27"/>
          <w:szCs w:val="27"/>
        </w:rPr>
        <w:t>2</w:t>
      </w:r>
      <w:r w:rsidR="00DB193D" w:rsidRPr="007A60D7">
        <w:rPr>
          <w:rFonts w:ascii="Times New Roman" w:eastAsia="Times New Roman" w:hAnsi="Times New Roman" w:cs="Times New Roman"/>
          <w:b/>
          <w:bCs/>
          <w:sz w:val="27"/>
          <w:szCs w:val="27"/>
        </w:rPr>
        <w:t>.3 Measurement and variables</w:t>
      </w:r>
    </w:p>
    <w:p w14:paraId="2373281C" w14:textId="77777777" w:rsidR="00DB193D" w:rsidRPr="007A60D7" w:rsidRDefault="00DB193D" w:rsidP="00E46405">
      <w:p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Dependent variable:</w:t>
      </w:r>
    </w:p>
    <w:p w14:paraId="13D67BE3" w14:textId="77777777" w:rsidR="00DB193D" w:rsidRPr="007A60D7" w:rsidRDefault="00DB193D" w:rsidP="00E46405">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Disruption Index (DI): Composite index (0–10) derived from reported frequency of closures, average closure duration (hours), and reported economic loss (self-reported monetized loss normalized by median local income).</w:t>
      </w:r>
    </w:p>
    <w:p w14:paraId="265B7268" w14:textId="77777777" w:rsidR="00DB193D" w:rsidRPr="007A60D7" w:rsidRDefault="00DB193D" w:rsidP="00E46405">
      <w:p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Key independent variables:</w:t>
      </w:r>
    </w:p>
    <w:p w14:paraId="1D40C970" w14:textId="77777777" w:rsidR="00DB193D" w:rsidRPr="007A60D7" w:rsidRDefault="00DB193D" w:rsidP="00E46405">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Maintenance adequacy (MA): Self-reported score (1–5) and administrative spending per km (continuous).</w:t>
      </w:r>
    </w:p>
    <w:p w14:paraId="597C965E" w14:textId="77777777" w:rsidR="00DB193D" w:rsidRPr="007A60D7" w:rsidRDefault="00DB193D" w:rsidP="00E46405">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Institutional fragmentation (IF): Categorical variable representing number of agencies with overlapping responsibilities per corridor (1–4).</w:t>
      </w:r>
    </w:p>
    <w:p w14:paraId="1BA17555" w14:textId="77777777" w:rsidR="00DB193D" w:rsidRPr="007A60D7" w:rsidRDefault="00DB193D" w:rsidP="00E46405">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Traffic intensity (TI): Average Daily Traffic (vehicles/day) from automated counters or estimates.</w:t>
      </w:r>
    </w:p>
    <w:p w14:paraId="1C1F07E9" w14:textId="77777777" w:rsidR="00DB193D" w:rsidRDefault="00DB193D" w:rsidP="00E46405">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Socioeconomic controls: Income quintile, age, occupation, access to alternative routes.</w:t>
      </w:r>
    </w:p>
    <w:p w14:paraId="6D7F3ACD" w14:textId="77777777" w:rsidR="00BE05CC" w:rsidRPr="007A60D7" w:rsidRDefault="00BE05CC" w:rsidP="00BE05CC">
      <w:pPr>
        <w:spacing w:before="100" w:beforeAutospacing="1" w:after="100" w:afterAutospacing="1" w:line="240" w:lineRule="auto"/>
        <w:ind w:left="720"/>
        <w:jc w:val="both"/>
        <w:rPr>
          <w:rFonts w:ascii="Times New Roman" w:eastAsia="Times New Roman" w:hAnsi="Times New Roman" w:cs="Times New Roman"/>
          <w:sz w:val="24"/>
          <w:szCs w:val="24"/>
        </w:rPr>
      </w:pPr>
    </w:p>
    <w:p w14:paraId="44FFBD6A" w14:textId="77777777" w:rsidR="00DB193D" w:rsidRPr="007A60D7" w:rsidRDefault="000A5486" w:rsidP="00E4640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E46405">
        <w:rPr>
          <w:rFonts w:ascii="Times New Roman" w:eastAsia="Times New Roman" w:hAnsi="Times New Roman" w:cs="Times New Roman"/>
          <w:b/>
          <w:bCs/>
          <w:sz w:val="27"/>
          <w:szCs w:val="27"/>
        </w:rPr>
        <w:t>2</w:t>
      </w:r>
      <w:r w:rsidR="00DB193D" w:rsidRPr="007A60D7">
        <w:rPr>
          <w:rFonts w:ascii="Times New Roman" w:eastAsia="Times New Roman" w:hAnsi="Times New Roman" w:cs="Times New Roman"/>
          <w:b/>
          <w:bCs/>
          <w:sz w:val="27"/>
          <w:szCs w:val="27"/>
        </w:rPr>
        <w:t>.4 Analytical methods</w:t>
      </w:r>
    </w:p>
    <w:p w14:paraId="22125790" w14:textId="77777777" w:rsidR="00DB193D" w:rsidRDefault="00DB193D" w:rsidP="00E46405">
      <w:p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 xml:space="preserve">Descriptive statistics characterize affected populations. Pearson correlations and variance inflation factors (VIF) assess multicollinearity. Multivariate OLS regressions estimate associations between DI and predictors, with cluster-robust standard errors at the district level. Instrumental variable (IV) regressions address potential endogeneity between maintenance adequacy and disruption—using historical allocation rules (pre-decadal budget index) as </w:t>
      </w:r>
      <w:r w:rsidRPr="007A60D7">
        <w:rPr>
          <w:rFonts w:ascii="Times New Roman" w:eastAsia="Times New Roman" w:hAnsi="Times New Roman" w:cs="Times New Roman"/>
          <w:sz w:val="24"/>
          <w:szCs w:val="24"/>
        </w:rPr>
        <w:lastRenderedPageBreak/>
        <w:t>instrument. Propensity score matching (PSM) compares similar localities with vs without observed early structural failure to estimate average treatment effects on local economic indicators.</w:t>
      </w:r>
    </w:p>
    <w:p w14:paraId="34B5F0CD" w14:textId="77777777" w:rsidR="007A60D7" w:rsidRPr="007A60D7" w:rsidRDefault="007A60D7" w:rsidP="00E46405">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7A60D7">
        <w:rPr>
          <w:rFonts w:ascii="Times New Roman" w:eastAsia="Times New Roman" w:hAnsi="Times New Roman" w:cs="Times New Roman"/>
          <w:b/>
          <w:bCs/>
          <w:sz w:val="28"/>
          <w:szCs w:val="28"/>
        </w:rPr>
        <w:t>2.</w:t>
      </w:r>
      <w:r w:rsidR="000A5486" w:rsidRPr="00E46405">
        <w:rPr>
          <w:rFonts w:ascii="Times New Roman" w:eastAsia="Times New Roman" w:hAnsi="Times New Roman" w:cs="Times New Roman"/>
          <w:b/>
          <w:bCs/>
          <w:sz w:val="28"/>
          <w:szCs w:val="28"/>
        </w:rPr>
        <w:t>5</w:t>
      </w:r>
      <w:r w:rsidRPr="007A60D7">
        <w:rPr>
          <w:rFonts w:ascii="Times New Roman" w:eastAsia="Times New Roman" w:hAnsi="Times New Roman" w:cs="Times New Roman"/>
          <w:b/>
          <w:bCs/>
          <w:sz w:val="28"/>
          <w:szCs w:val="28"/>
        </w:rPr>
        <w:t xml:space="preserve"> Extended Literature Review and Theoretical Framing</w:t>
      </w:r>
    </w:p>
    <w:p w14:paraId="42E3B8DF" w14:textId="77777777" w:rsidR="007A60D7" w:rsidRPr="007A60D7" w:rsidRDefault="007A60D7" w:rsidP="00E46405">
      <w:p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This section situates the study within three intersecting literatures: (1) infrastructure economics and transport development, (2) common-pool resource and public goods theory, and (3) governance and institutional design for infrastructure maintenance.</w:t>
      </w:r>
    </w:p>
    <w:p w14:paraId="35381908" w14:textId="77777777" w:rsidR="007A60D7" w:rsidRPr="007A60D7" w:rsidRDefault="000A5486" w:rsidP="00E4640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E46405">
        <w:rPr>
          <w:rFonts w:ascii="Times New Roman" w:eastAsia="Times New Roman" w:hAnsi="Times New Roman" w:cs="Times New Roman"/>
          <w:b/>
          <w:bCs/>
          <w:sz w:val="27"/>
          <w:szCs w:val="27"/>
        </w:rPr>
        <w:t>2.6</w:t>
      </w:r>
      <w:r w:rsidR="007A60D7" w:rsidRPr="007A60D7">
        <w:rPr>
          <w:rFonts w:ascii="Times New Roman" w:eastAsia="Times New Roman" w:hAnsi="Times New Roman" w:cs="Times New Roman"/>
          <w:b/>
          <w:bCs/>
          <w:sz w:val="27"/>
          <w:szCs w:val="27"/>
        </w:rPr>
        <w:t xml:space="preserve"> Infrastructure economics and transport development</w:t>
      </w:r>
    </w:p>
    <w:p w14:paraId="44250F76" w14:textId="77777777" w:rsidR="007A60D7" w:rsidRPr="007A60D7" w:rsidRDefault="007A60D7" w:rsidP="00E46405">
      <w:p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 xml:space="preserve">Extensive literature links road quality to productivity, market access, and poverty reduction (Fay &amp; Yepes, 2003; Calderón &amp; </w:t>
      </w:r>
      <w:proofErr w:type="spellStart"/>
      <w:r w:rsidRPr="007A60D7">
        <w:rPr>
          <w:rFonts w:ascii="Times New Roman" w:eastAsia="Times New Roman" w:hAnsi="Times New Roman" w:cs="Times New Roman"/>
          <w:sz w:val="24"/>
          <w:szCs w:val="24"/>
        </w:rPr>
        <w:t>Servén</w:t>
      </w:r>
      <w:proofErr w:type="spellEnd"/>
      <w:r w:rsidRPr="007A60D7">
        <w:rPr>
          <w:rFonts w:ascii="Times New Roman" w:eastAsia="Times New Roman" w:hAnsi="Times New Roman" w:cs="Times New Roman"/>
          <w:sz w:val="24"/>
          <w:szCs w:val="24"/>
        </w:rPr>
        <w:t xml:space="preserve">, 2010). Empirical work demonstrates that improved road networks reduce travel times, lower transportation costs for firms, and increase access to </w:t>
      </w:r>
      <w:proofErr w:type="spellStart"/>
      <w:r w:rsidRPr="007A60D7">
        <w:rPr>
          <w:rFonts w:ascii="Times New Roman" w:eastAsia="Times New Roman" w:hAnsi="Times New Roman" w:cs="Times New Roman"/>
          <w:sz w:val="24"/>
          <w:szCs w:val="24"/>
        </w:rPr>
        <w:t>labour</w:t>
      </w:r>
      <w:proofErr w:type="spellEnd"/>
      <w:r w:rsidRPr="007A60D7">
        <w:rPr>
          <w:rFonts w:ascii="Times New Roman" w:eastAsia="Times New Roman" w:hAnsi="Times New Roman" w:cs="Times New Roman"/>
          <w:sz w:val="24"/>
          <w:szCs w:val="24"/>
        </w:rPr>
        <w:t xml:space="preserve"> markets (Banerjee et al., 2012; Jacoby, 2000). However, recent studies stress lifecycle management: capital expenditure alone is insufficient—ongoing maintenance is crucial to preserve returns (</w:t>
      </w:r>
      <w:proofErr w:type="spellStart"/>
      <w:r w:rsidRPr="007A60D7">
        <w:rPr>
          <w:rFonts w:ascii="Times New Roman" w:eastAsia="Times New Roman" w:hAnsi="Times New Roman" w:cs="Times New Roman"/>
          <w:sz w:val="24"/>
          <w:szCs w:val="24"/>
        </w:rPr>
        <w:t>Rothengatter</w:t>
      </w:r>
      <w:proofErr w:type="spellEnd"/>
      <w:r w:rsidRPr="007A60D7">
        <w:rPr>
          <w:rFonts w:ascii="Times New Roman" w:eastAsia="Times New Roman" w:hAnsi="Times New Roman" w:cs="Times New Roman"/>
          <w:sz w:val="24"/>
          <w:szCs w:val="24"/>
        </w:rPr>
        <w:t xml:space="preserve"> et al., 2018; World Bank, 2019).</w:t>
      </w:r>
    </w:p>
    <w:p w14:paraId="5CCF0D9D" w14:textId="77777777" w:rsidR="007A60D7" w:rsidRPr="007A60D7" w:rsidRDefault="000A5486" w:rsidP="00E4640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E46405">
        <w:rPr>
          <w:rFonts w:ascii="Times New Roman" w:eastAsia="Times New Roman" w:hAnsi="Times New Roman" w:cs="Times New Roman"/>
          <w:b/>
          <w:bCs/>
          <w:sz w:val="27"/>
          <w:szCs w:val="27"/>
        </w:rPr>
        <w:t>2.7</w:t>
      </w:r>
      <w:r w:rsidR="007A60D7" w:rsidRPr="007A60D7">
        <w:rPr>
          <w:rFonts w:ascii="Times New Roman" w:eastAsia="Times New Roman" w:hAnsi="Times New Roman" w:cs="Times New Roman"/>
          <w:b/>
          <w:bCs/>
          <w:sz w:val="27"/>
          <w:szCs w:val="27"/>
        </w:rPr>
        <w:t xml:space="preserve"> Common-Property Resources and public goods theory</w:t>
      </w:r>
    </w:p>
    <w:p w14:paraId="0E4A2185" w14:textId="77777777" w:rsidR="007A60D7" w:rsidRPr="007A60D7" w:rsidRDefault="007A60D7" w:rsidP="00E46405">
      <w:p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 xml:space="preserve">Hardin’s (1968) seminal framing of the tragedy of the commons posits that shared resources degrade under unregulated use. </w:t>
      </w:r>
      <w:proofErr w:type="spellStart"/>
      <w:r w:rsidRPr="007A60D7">
        <w:rPr>
          <w:rFonts w:ascii="Times New Roman" w:eastAsia="Times New Roman" w:hAnsi="Times New Roman" w:cs="Times New Roman"/>
          <w:sz w:val="24"/>
          <w:szCs w:val="24"/>
        </w:rPr>
        <w:t>Ciriacy-Wantrup</w:t>
      </w:r>
      <w:proofErr w:type="spellEnd"/>
      <w:r w:rsidRPr="007A60D7">
        <w:rPr>
          <w:rFonts w:ascii="Times New Roman" w:eastAsia="Times New Roman" w:hAnsi="Times New Roman" w:cs="Times New Roman"/>
          <w:sz w:val="24"/>
          <w:szCs w:val="24"/>
        </w:rPr>
        <w:t xml:space="preserve"> &amp; Bishop (1975) and Ostrom (1990) challenge the inevitability of collapse, showing that institutional arrangements mediate outcomes. Highways possess mixed characteristics: they are non-excludable to a large extent and rivalrous in congestion and wear, warranting analysis as CPRs (Horne &amp; Haynes, 2017). Public goods theory (Samuelson, 1954) and Olson’s (1965) collective action framework further explain why coordination failures occur across diverse stakeholders.</w:t>
      </w:r>
    </w:p>
    <w:p w14:paraId="4CF4AADB" w14:textId="77777777" w:rsidR="007A60D7" w:rsidRPr="007A60D7" w:rsidRDefault="000A5486" w:rsidP="00E4640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E46405">
        <w:rPr>
          <w:rFonts w:ascii="Times New Roman" w:eastAsia="Times New Roman" w:hAnsi="Times New Roman" w:cs="Times New Roman"/>
          <w:b/>
          <w:bCs/>
          <w:sz w:val="27"/>
          <w:szCs w:val="27"/>
        </w:rPr>
        <w:t>2.8</w:t>
      </w:r>
      <w:r w:rsidR="007A60D7" w:rsidRPr="007A60D7">
        <w:rPr>
          <w:rFonts w:ascii="Times New Roman" w:eastAsia="Times New Roman" w:hAnsi="Times New Roman" w:cs="Times New Roman"/>
          <w:b/>
          <w:bCs/>
          <w:sz w:val="27"/>
          <w:szCs w:val="27"/>
        </w:rPr>
        <w:t xml:space="preserve"> Governance, maintenance, and polycentricity</w:t>
      </w:r>
    </w:p>
    <w:p w14:paraId="614B6E98" w14:textId="77777777" w:rsidR="007A60D7" w:rsidRPr="007A60D7" w:rsidRDefault="007A60D7" w:rsidP="00E46405">
      <w:p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 xml:space="preserve">Ostrom’s principles for managing commons—clearly defined boundaries, collective-choice arrangements, monitoring, graduated sanctions, and conflict-resolution mechanisms—have been applied to natural resources but are increasingly relevant for built infrastructure (Ostrom, 2010; Blomquist &amp; de Leon, 2019). Polycentric governance—multiple overlapping </w:t>
      </w:r>
      <w:proofErr w:type="spellStart"/>
      <w:r w:rsidRPr="007A60D7">
        <w:rPr>
          <w:rFonts w:ascii="Times New Roman" w:eastAsia="Times New Roman" w:hAnsi="Times New Roman" w:cs="Times New Roman"/>
          <w:sz w:val="24"/>
          <w:szCs w:val="24"/>
        </w:rPr>
        <w:t>centres</w:t>
      </w:r>
      <w:proofErr w:type="spellEnd"/>
      <w:r w:rsidRPr="007A60D7">
        <w:rPr>
          <w:rFonts w:ascii="Times New Roman" w:eastAsia="Times New Roman" w:hAnsi="Times New Roman" w:cs="Times New Roman"/>
          <w:sz w:val="24"/>
          <w:szCs w:val="24"/>
        </w:rPr>
        <w:t xml:space="preserve"> of decision-making—can improve responsiveness if incentives and accountability mechanisms align. Empirical studies on road maintenance financing emphasize stable, ring-fenced funding, performance-based contracts, and community engagement (</w:t>
      </w:r>
      <w:proofErr w:type="spellStart"/>
      <w:r w:rsidRPr="007A60D7">
        <w:rPr>
          <w:rFonts w:ascii="Times New Roman" w:eastAsia="Times New Roman" w:hAnsi="Times New Roman" w:cs="Times New Roman"/>
          <w:sz w:val="24"/>
          <w:szCs w:val="24"/>
        </w:rPr>
        <w:t>Estache</w:t>
      </w:r>
      <w:proofErr w:type="spellEnd"/>
      <w:r w:rsidRPr="007A60D7">
        <w:rPr>
          <w:rFonts w:ascii="Times New Roman" w:eastAsia="Times New Roman" w:hAnsi="Times New Roman" w:cs="Times New Roman"/>
          <w:sz w:val="24"/>
          <w:szCs w:val="24"/>
        </w:rPr>
        <w:t xml:space="preserve"> &amp; </w:t>
      </w:r>
      <w:proofErr w:type="spellStart"/>
      <w:r w:rsidRPr="007A60D7">
        <w:rPr>
          <w:rFonts w:ascii="Times New Roman" w:eastAsia="Times New Roman" w:hAnsi="Times New Roman" w:cs="Times New Roman"/>
          <w:sz w:val="24"/>
          <w:szCs w:val="24"/>
        </w:rPr>
        <w:t>Goicoechea</w:t>
      </w:r>
      <w:proofErr w:type="spellEnd"/>
      <w:r w:rsidRPr="007A60D7">
        <w:rPr>
          <w:rFonts w:ascii="Times New Roman" w:eastAsia="Times New Roman" w:hAnsi="Times New Roman" w:cs="Times New Roman"/>
          <w:sz w:val="24"/>
          <w:szCs w:val="24"/>
        </w:rPr>
        <w:t xml:space="preserve">, 2005; </w:t>
      </w:r>
      <w:proofErr w:type="spellStart"/>
      <w:r w:rsidRPr="007A60D7">
        <w:rPr>
          <w:rFonts w:ascii="Times New Roman" w:eastAsia="Times New Roman" w:hAnsi="Times New Roman" w:cs="Times New Roman"/>
          <w:sz w:val="24"/>
          <w:szCs w:val="24"/>
        </w:rPr>
        <w:t>Yescombe</w:t>
      </w:r>
      <w:proofErr w:type="spellEnd"/>
      <w:r w:rsidRPr="007A60D7">
        <w:rPr>
          <w:rFonts w:ascii="Times New Roman" w:eastAsia="Times New Roman" w:hAnsi="Times New Roman" w:cs="Times New Roman"/>
          <w:sz w:val="24"/>
          <w:szCs w:val="24"/>
        </w:rPr>
        <w:t>, 2013).</w:t>
      </w:r>
    </w:p>
    <w:p w14:paraId="25DEB1A9" w14:textId="77777777" w:rsidR="007A60D7" w:rsidRPr="007A60D7" w:rsidRDefault="000A5486" w:rsidP="00E4640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E46405">
        <w:rPr>
          <w:rFonts w:ascii="Times New Roman" w:eastAsia="Times New Roman" w:hAnsi="Times New Roman" w:cs="Times New Roman"/>
          <w:b/>
          <w:bCs/>
          <w:sz w:val="27"/>
          <w:szCs w:val="27"/>
        </w:rPr>
        <w:t>2.9</w:t>
      </w:r>
      <w:r w:rsidR="007A60D7" w:rsidRPr="007A60D7">
        <w:rPr>
          <w:rFonts w:ascii="Times New Roman" w:eastAsia="Times New Roman" w:hAnsi="Times New Roman" w:cs="Times New Roman"/>
          <w:b/>
          <w:bCs/>
          <w:sz w:val="27"/>
          <w:szCs w:val="27"/>
        </w:rPr>
        <w:t xml:space="preserve"> Indian and Kerala context</w:t>
      </w:r>
    </w:p>
    <w:p w14:paraId="6B525E35" w14:textId="77777777" w:rsidR="007A60D7" w:rsidRPr="007A60D7" w:rsidRDefault="007A60D7" w:rsidP="00E46405">
      <w:p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 xml:space="preserve">Indian road governance involves the Ministry of Road Transport &amp; Highways (MoRTH), National Highways Authority of India (NHAI), state public works departments (PWDs), and local bodies. Several audits and studies highlight mismatches between design, contractor incentives, and supervision leading to premature distress (CAG reports, 2016–2022). Kerala’s </w:t>
      </w:r>
      <w:r w:rsidRPr="007A60D7">
        <w:rPr>
          <w:rFonts w:ascii="Times New Roman" w:eastAsia="Times New Roman" w:hAnsi="Times New Roman" w:cs="Times New Roman"/>
          <w:sz w:val="24"/>
          <w:szCs w:val="24"/>
        </w:rPr>
        <w:lastRenderedPageBreak/>
        <w:t>heavy monsoon rains, high groundwater table, and dense settlement patterns add climatic and socio-spatial stresses to road durability (Kerala State Planning Board, 2018; PWD technical notes).</w:t>
      </w:r>
    </w:p>
    <w:p w14:paraId="51F511D6" w14:textId="77777777" w:rsidR="007A60D7" w:rsidRPr="007A60D7" w:rsidRDefault="000A5486" w:rsidP="00E4640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E46405">
        <w:rPr>
          <w:rFonts w:ascii="Times New Roman" w:eastAsia="Times New Roman" w:hAnsi="Times New Roman" w:cs="Times New Roman"/>
          <w:b/>
          <w:bCs/>
          <w:sz w:val="27"/>
          <w:szCs w:val="27"/>
        </w:rPr>
        <w:t>2.10</w:t>
      </w:r>
      <w:r w:rsidR="007A60D7" w:rsidRPr="007A60D7">
        <w:rPr>
          <w:rFonts w:ascii="Times New Roman" w:eastAsia="Times New Roman" w:hAnsi="Times New Roman" w:cs="Times New Roman"/>
          <w:b/>
          <w:bCs/>
          <w:sz w:val="27"/>
          <w:szCs w:val="27"/>
        </w:rPr>
        <w:t xml:space="preserve"> Gaps addressed by this study</w:t>
      </w:r>
    </w:p>
    <w:p w14:paraId="41BA1EE0" w14:textId="77777777" w:rsidR="007A60D7" w:rsidRPr="007A60D7" w:rsidRDefault="007A60D7" w:rsidP="00E46405">
      <w:p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While macro studies document infrastructure returns, fewer studies integrate CPR theory with rigorous micro-level socioeconomic impacts of premature highway failures. This paper fills that gap by combining stakeholder surveys, econometric analysis, and institutional assessment—offering policy prescriptions</w:t>
      </w:r>
      <w:r w:rsidR="000A5486" w:rsidRPr="00E46405">
        <w:rPr>
          <w:rFonts w:ascii="Times New Roman" w:eastAsia="Times New Roman" w:hAnsi="Times New Roman" w:cs="Times New Roman"/>
          <w:sz w:val="24"/>
          <w:szCs w:val="24"/>
        </w:rPr>
        <w:t>.</w:t>
      </w:r>
      <w:r w:rsidRPr="007A60D7">
        <w:rPr>
          <w:rFonts w:ascii="Times New Roman" w:eastAsia="Times New Roman" w:hAnsi="Times New Roman" w:cs="Times New Roman"/>
          <w:sz w:val="24"/>
          <w:szCs w:val="24"/>
        </w:rPr>
        <w:t xml:space="preserve"> </w:t>
      </w:r>
    </w:p>
    <w:p w14:paraId="1C3F52F1" w14:textId="77777777" w:rsidR="007A60D7" w:rsidRPr="007A60D7" w:rsidRDefault="00735E47" w:rsidP="00E4640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A0049B5">
          <v:rect id="_x0000_i1026" style="width:0;height:1.5pt" o:hralign="center" o:hrstd="t" o:hr="t" fillcolor="#a0a0a0" stroked="f"/>
        </w:pict>
      </w:r>
    </w:p>
    <w:p w14:paraId="445D99AE" w14:textId="77777777" w:rsidR="007A60D7" w:rsidRPr="00E46405" w:rsidRDefault="00DC49CE" w:rsidP="00E46405">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E46405">
        <w:rPr>
          <w:rFonts w:ascii="Times New Roman" w:eastAsia="Times New Roman" w:hAnsi="Times New Roman" w:cs="Times New Roman"/>
          <w:b/>
          <w:bCs/>
          <w:sz w:val="36"/>
          <w:szCs w:val="36"/>
        </w:rPr>
        <w:t xml:space="preserve">3. </w:t>
      </w:r>
      <w:r w:rsidR="000A5486" w:rsidRPr="00E46405">
        <w:rPr>
          <w:rFonts w:ascii="Times New Roman" w:eastAsia="Times New Roman" w:hAnsi="Times New Roman" w:cs="Times New Roman"/>
          <w:b/>
          <w:bCs/>
          <w:sz w:val="36"/>
          <w:szCs w:val="36"/>
        </w:rPr>
        <w:t>Results and Discussions</w:t>
      </w:r>
    </w:p>
    <w:p w14:paraId="55DD6F8B" w14:textId="77777777" w:rsidR="00DC49CE" w:rsidRPr="002D6FEA" w:rsidRDefault="00CE6E5B" w:rsidP="002D6FEA">
      <w:pPr>
        <w:spacing w:before="100" w:beforeAutospacing="1" w:after="100" w:afterAutospacing="1" w:line="240" w:lineRule="auto"/>
        <w:jc w:val="both"/>
        <w:rPr>
          <w:rFonts w:ascii="Times New Roman" w:hAnsi="Times New Roman" w:cs="Times New Roman"/>
          <w:sz w:val="24"/>
          <w:szCs w:val="24"/>
        </w:rPr>
      </w:pPr>
      <w:r w:rsidRPr="002D6FEA">
        <w:rPr>
          <w:rFonts w:ascii="Times New Roman" w:hAnsi="Times New Roman" w:cs="Times New Roman"/>
          <w:sz w:val="24"/>
          <w:szCs w:val="24"/>
        </w:rPr>
        <w:t>This pie chart</w:t>
      </w:r>
      <w:r w:rsidR="002D6FEA" w:rsidRPr="002D6FEA">
        <w:rPr>
          <w:rFonts w:ascii="Times New Roman" w:hAnsi="Times New Roman" w:cs="Times New Roman"/>
          <w:sz w:val="24"/>
          <w:szCs w:val="24"/>
        </w:rPr>
        <w:t xml:space="preserve"> (Fig.1)</w:t>
      </w:r>
      <w:r w:rsidRPr="002D6FEA">
        <w:rPr>
          <w:rFonts w:ascii="Times New Roman" w:hAnsi="Times New Roman" w:cs="Times New Roman"/>
          <w:sz w:val="24"/>
          <w:szCs w:val="24"/>
        </w:rPr>
        <w:t xml:space="preserve"> indicates that </w:t>
      </w:r>
      <w:r w:rsidRPr="002D6FEA">
        <w:rPr>
          <w:rStyle w:val="Strong"/>
          <w:rFonts w:ascii="Times New Roman" w:hAnsi="Times New Roman" w:cs="Times New Roman"/>
          <w:b w:val="0"/>
          <w:sz w:val="24"/>
          <w:szCs w:val="24"/>
        </w:rPr>
        <w:t>shop owners constitute the largest affected group (25%</w:t>
      </w:r>
      <w:r w:rsidRPr="002D6FEA">
        <w:rPr>
          <w:rStyle w:val="Strong"/>
          <w:rFonts w:ascii="Times New Roman" w:hAnsi="Times New Roman" w:cs="Times New Roman"/>
          <w:sz w:val="24"/>
          <w:szCs w:val="24"/>
        </w:rPr>
        <w:t>)</w:t>
      </w:r>
      <w:r w:rsidRPr="002D6FEA">
        <w:rPr>
          <w:rFonts w:ascii="Times New Roman" w:hAnsi="Times New Roman" w:cs="Times New Roman"/>
          <w:sz w:val="24"/>
          <w:szCs w:val="24"/>
        </w:rPr>
        <w:t xml:space="preserve">, followed by </w:t>
      </w:r>
      <w:r w:rsidRPr="002D6FEA">
        <w:rPr>
          <w:rStyle w:val="Strong"/>
          <w:rFonts w:ascii="Times New Roman" w:hAnsi="Times New Roman" w:cs="Times New Roman"/>
          <w:b w:val="0"/>
          <w:sz w:val="24"/>
          <w:szCs w:val="24"/>
        </w:rPr>
        <w:t>employees (20%)</w:t>
      </w:r>
      <w:r w:rsidRPr="002D6FEA">
        <w:rPr>
          <w:rFonts w:ascii="Times New Roman" w:hAnsi="Times New Roman" w:cs="Times New Roman"/>
          <w:b/>
          <w:sz w:val="24"/>
          <w:szCs w:val="24"/>
        </w:rPr>
        <w:t xml:space="preserve">, </w:t>
      </w:r>
      <w:r w:rsidRPr="002D6FEA">
        <w:rPr>
          <w:rStyle w:val="Strong"/>
          <w:rFonts w:ascii="Times New Roman" w:hAnsi="Times New Roman" w:cs="Times New Roman"/>
          <w:b w:val="0"/>
          <w:sz w:val="24"/>
          <w:szCs w:val="24"/>
        </w:rPr>
        <w:t>drivers (15%)</w:t>
      </w:r>
      <w:r w:rsidRPr="002D6FEA">
        <w:rPr>
          <w:rFonts w:ascii="Times New Roman" w:hAnsi="Times New Roman" w:cs="Times New Roman"/>
          <w:b/>
          <w:sz w:val="24"/>
          <w:szCs w:val="24"/>
        </w:rPr>
        <w:t xml:space="preserve">, </w:t>
      </w:r>
      <w:r w:rsidRPr="002D6FEA">
        <w:rPr>
          <w:rStyle w:val="Strong"/>
          <w:rFonts w:ascii="Times New Roman" w:hAnsi="Times New Roman" w:cs="Times New Roman"/>
          <w:b w:val="0"/>
          <w:sz w:val="24"/>
          <w:szCs w:val="24"/>
        </w:rPr>
        <w:t>wholesalers (15%)</w:t>
      </w:r>
      <w:r w:rsidRPr="002D6FEA">
        <w:rPr>
          <w:rFonts w:ascii="Times New Roman" w:hAnsi="Times New Roman" w:cs="Times New Roman"/>
          <w:b/>
          <w:sz w:val="24"/>
          <w:szCs w:val="24"/>
        </w:rPr>
        <w:t xml:space="preserve">, </w:t>
      </w:r>
      <w:r w:rsidRPr="002D6FEA">
        <w:rPr>
          <w:rStyle w:val="Strong"/>
          <w:rFonts w:ascii="Times New Roman" w:hAnsi="Times New Roman" w:cs="Times New Roman"/>
          <w:b w:val="0"/>
          <w:sz w:val="24"/>
          <w:szCs w:val="24"/>
        </w:rPr>
        <w:t>students (10%)</w:t>
      </w:r>
      <w:r w:rsidRPr="002D6FEA">
        <w:rPr>
          <w:rFonts w:ascii="Times New Roman" w:hAnsi="Times New Roman" w:cs="Times New Roman"/>
          <w:b/>
          <w:sz w:val="24"/>
          <w:szCs w:val="24"/>
        </w:rPr>
        <w:t xml:space="preserve">, </w:t>
      </w:r>
      <w:r w:rsidRPr="002D6FEA">
        <w:rPr>
          <w:rFonts w:ascii="Times New Roman" w:hAnsi="Times New Roman" w:cs="Times New Roman"/>
          <w:sz w:val="24"/>
          <w:szCs w:val="24"/>
        </w:rPr>
        <w:t xml:space="preserve">and </w:t>
      </w:r>
      <w:r w:rsidRPr="002D6FEA">
        <w:rPr>
          <w:rStyle w:val="Strong"/>
          <w:rFonts w:ascii="Times New Roman" w:hAnsi="Times New Roman" w:cs="Times New Roman"/>
          <w:b w:val="0"/>
          <w:sz w:val="24"/>
          <w:szCs w:val="24"/>
        </w:rPr>
        <w:t>others (10%)</w:t>
      </w:r>
      <w:r w:rsidRPr="002D6FEA">
        <w:rPr>
          <w:rFonts w:ascii="Times New Roman" w:hAnsi="Times New Roman" w:cs="Times New Roman"/>
          <w:b/>
          <w:sz w:val="24"/>
          <w:szCs w:val="24"/>
        </w:rPr>
        <w:t>.</w:t>
      </w:r>
      <w:r w:rsidRPr="002D6FEA">
        <w:rPr>
          <w:rFonts w:ascii="Times New Roman" w:hAnsi="Times New Roman" w:cs="Times New Roman"/>
          <w:sz w:val="24"/>
          <w:szCs w:val="24"/>
        </w:rPr>
        <w:t xml:space="preserve"> The substantial share of shop owners suggests that they experience the </w:t>
      </w:r>
      <w:r w:rsidRPr="002D6FEA">
        <w:rPr>
          <w:rStyle w:val="Strong"/>
          <w:rFonts w:ascii="Times New Roman" w:hAnsi="Times New Roman" w:cs="Times New Roman"/>
          <w:b w:val="0"/>
          <w:sz w:val="24"/>
          <w:szCs w:val="24"/>
        </w:rPr>
        <w:t>greatest economic impact from highway disruptions</w:t>
      </w:r>
      <w:r w:rsidRPr="002D6FEA">
        <w:rPr>
          <w:rFonts w:ascii="Times New Roman" w:hAnsi="Times New Roman" w:cs="Times New Roman"/>
          <w:b/>
          <w:sz w:val="24"/>
          <w:szCs w:val="24"/>
        </w:rPr>
        <w:t>,</w:t>
      </w:r>
      <w:r w:rsidRPr="002D6FEA">
        <w:rPr>
          <w:rFonts w:ascii="Times New Roman" w:hAnsi="Times New Roman" w:cs="Times New Roman"/>
          <w:sz w:val="24"/>
          <w:szCs w:val="24"/>
        </w:rPr>
        <w:t xml:space="preserve"> primarily due to delays in inventory delivery and reduced customer accessibility.</w:t>
      </w:r>
    </w:p>
    <w:p w14:paraId="2B0CFE57" w14:textId="77777777" w:rsidR="002D6FEA" w:rsidRPr="00CE6E5B" w:rsidRDefault="002D6FEA" w:rsidP="002D6FEA">
      <w:pPr>
        <w:spacing w:before="100" w:beforeAutospacing="1" w:after="100" w:afterAutospacing="1" w:line="240" w:lineRule="auto"/>
        <w:jc w:val="center"/>
        <w:rPr>
          <w:rFonts w:ascii="Times New Roman" w:eastAsia="Times New Roman" w:hAnsi="Times New Roman" w:cs="Times New Roman"/>
          <w:sz w:val="24"/>
          <w:szCs w:val="24"/>
        </w:rPr>
      </w:pPr>
      <w:r>
        <w:t>Fig. 1</w:t>
      </w:r>
    </w:p>
    <w:p w14:paraId="2C861717" w14:textId="77777777" w:rsidR="002D6FEA" w:rsidRDefault="00CE6E5B" w:rsidP="002D6FEA">
      <w:pPr>
        <w:spacing w:before="100" w:beforeAutospacing="1" w:after="100" w:afterAutospacing="1" w:line="240" w:lineRule="auto"/>
        <w:jc w:val="center"/>
        <w:rPr>
          <w:rFonts w:ascii="Times New Roman" w:eastAsia="Times New Roman" w:hAnsi="Times New Roman" w:cs="Times New Roman"/>
          <w:sz w:val="24"/>
          <w:szCs w:val="24"/>
        </w:rPr>
      </w:pPr>
      <w:r w:rsidRPr="00CE6E5B">
        <w:rPr>
          <w:rFonts w:ascii="Times New Roman" w:eastAsia="Times New Roman" w:hAnsi="Times New Roman" w:cs="Times New Roman"/>
          <w:noProof/>
          <w:sz w:val="24"/>
          <w:szCs w:val="24"/>
        </w:rPr>
        <w:drawing>
          <wp:inline distT="0" distB="0" distL="0" distR="0" wp14:anchorId="28189DEA" wp14:editId="536EE8D5">
            <wp:extent cx="4766972" cy="2504661"/>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9677" cy="2506082"/>
                    </a:xfrm>
                    <a:prstGeom prst="rect">
                      <a:avLst/>
                    </a:prstGeom>
                    <a:noFill/>
                    <a:ln>
                      <a:noFill/>
                    </a:ln>
                  </pic:spPr>
                </pic:pic>
              </a:graphicData>
            </a:graphic>
          </wp:inline>
        </w:drawing>
      </w:r>
    </w:p>
    <w:p w14:paraId="2F308BC6" w14:textId="77777777" w:rsidR="00CE6E5B" w:rsidRPr="002D6FEA" w:rsidRDefault="002D6FEA" w:rsidP="002D6FEA">
      <w:pPr>
        <w:tabs>
          <w:tab w:val="left" w:pos="1581"/>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Source: Primary Data 2025</w:t>
      </w:r>
    </w:p>
    <w:p w14:paraId="746EEA2B" w14:textId="77777777" w:rsidR="008E2903" w:rsidRPr="00B54411" w:rsidRDefault="008E2903" w:rsidP="00B54411">
      <w:pPr>
        <w:pStyle w:val="NormalWeb"/>
        <w:jc w:val="both"/>
      </w:pPr>
      <w:r w:rsidRPr="00B54411">
        <w:t xml:space="preserve">Employees, who account for </w:t>
      </w:r>
      <w:r w:rsidRPr="00B54411">
        <w:rPr>
          <w:rStyle w:val="Strong"/>
          <w:b w:val="0"/>
        </w:rPr>
        <w:t>20%</w:t>
      </w:r>
      <w:r w:rsidRPr="00B54411">
        <w:t>, may face</w:t>
      </w:r>
      <w:r w:rsidRPr="00B54411">
        <w:rPr>
          <w:b/>
        </w:rPr>
        <w:t xml:space="preserve"> </w:t>
      </w:r>
      <w:r w:rsidRPr="00B54411">
        <w:rPr>
          <w:rStyle w:val="Strong"/>
          <w:b w:val="0"/>
        </w:rPr>
        <w:t>job insecurity or income instability</w:t>
      </w:r>
      <w:r w:rsidRPr="00B54411">
        <w:t xml:space="preserve">, particularly during prolonged disruptions caused by highway infrastructure failures. The equal representation of </w:t>
      </w:r>
      <w:r w:rsidRPr="00B54411">
        <w:rPr>
          <w:rStyle w:val="Strong"/>
          <w:b w:val="0"/>
        </w:rPr>
        <w:t>drivers and students (15% each)</w:t>
      </w:r>
      <w:r w:rsidRPr="00B54411">
        <w:t xml:space="preserve"> highlights significant concerns related to </w:t>
      </w:r>
      <w:r w:rsidRPr="00B54411">
        <w:rPr>
          <w:rStyle w:val="Strong"/>
          <w:b w:val="0"/>
        </w:rPr>
        <w:t>transportation livelihoods and educational access</w:t>
      </w:r>
      <w:r w:rsidRPr="00B54411">
        <w:rPr>
          <w:b/>
        </w:rPr>
        <w:t>,</w:t>
      </w:r>
      <w:r w:rsidRPr="00B54411">
        <w:t xml:space="preserve"> as both groups are highly dependent on reliable road connectivity.</w:t>
      </w:r>
    </w:p>
    <w:p w14:paraId="5E1A5926" w14:textId="77777777" w:rsidR="008E2903" w:rsidRPr="00B54411" w:rsidRDefault="008E2903" w:rsidP="00B54411">
      <w:pPr>
        <w:pStyle w:val="NormalWeb"/>
        <w:jc w:val="both"/>
      </w:pPr>
      <w:r w:rsidRPr="00B54411">
        <w:lastRenderedPageBreak/>
        <w:t xml:space="preserve">Overall, this distribution underscores the need for </w:t>
      </w:r>
      <w:r w:rsidRPr="00B54411">
        <w:rPr>
          <w:rStyle w:val="Strong"/>
          <w:b w:val="0"/>
        </w:rPr>
        <w:t>targeted support measures</w:t>
      </w:r>
      <w:r w:rsidRPr="00B54411">
        <w:t xml:space="preserve"> to mitigate the adverse effects of highway disruptions. Policy interventions should prioritize </w:t>
      </w:r>
      <w:r w:rsidRPr="00B54411">
        <w:rPr>
          <w:rStyle w:val="Strong"/>
          <w:b w:val="0"/>
        </w:rPr>
        <w:t>small business owners</w:t>
      </w:r>
      <w:r w:rsidRPr="00B54411">
        <w:rPr>
          <w:b/>
        </w:rPr>
        <w:t>,</w:t>
      </w:r>
      <w:r w:rsidRPr="00B54411">
        <w:t xml:space="preserve"> while also addressing the</w:t>
      </w:r>
      <w:r w:rsidRPr="00B54411">
        <w:rPr>
          <w:b/>
        </w:rPr>
        <w:t xml:space="preserve"> </w:t>
      </w:r>
      <w:r w:rsidRPr="00B54411">
        <w:rPr>
          <w:rStyle w:val="Strong"/>
          <w:b w:val="0"/>
        </w:rPr>
        <w:t>transportation-related challenges faced by workers and students</w:t>
      </w:r>
      <w:r w:rsidRPr="00B54411">
        <w:t>, in order to reduce the broader socioeconomic consequences of infrastructure failures.</w:t>
      </w:r>
    </w:p>
    <w:p w14:paraId="33DAE571" w14:textId="77777777" w:rsidR="008E2903" w:rsidRDefault="008E2903" w:rsidP="00B54411">
      <w:pPr>
        <w:spacing w:before="100" w:beforeAutospacing="1" w:after="100" w:afterAutospacing="1" w:line="240" w:lineRule="auto"/>
        <w:jc w:val="both"/>
        <w:rPr>
          <w:rFonts w:ascii="Times New Roman" w:hAnsi="Times New Roman" w:cs="Times New Roman"/>
          <w:sz w:val="24"/>
          <w:szCs w:val="24"/>
        </w:rPr>
      </w:pPr>
      <w:r w:rsidRPr="00B54411">
        <w:rPr>
          <w:rFonts w:ascii="Times New Roman" w:hAnsi="Times New Roman" w:cs="Times New Roman"/>
          <w:sz w:val="24"/>
          <w:szCs w:val="24"/>
        </w:rPr>
        <w:t>The bar graph</w:t>
      </w:r>
      <w:r w:rsidR="00B54411">
        <w:rPr>
          <w:rFonts w:ascii="Times New Roman" w:hAnsi="Times New Roman" w:cs="Times New Roman"/>
          <w:sz w:val="24"/>
          <w:szCs w:val="24"/>
        </w:rPr>
        <w:t xml:space="preserve"> (Fig.2)</w:t>
      </w:r>
      <w:r w:rsidRPr="00B54411">
        <w:rPr>
          <w:rFonts w:ascii="Times New Roman" w:hAnsi="Times New Roman" w:cs="Times New Roman"/>
          <w:sz w:val="24"/>
          <w:szCs w:val="24"/>
        </w:rPr>
        <w:t xml:space="preserve"> reveals </w:t>
      </w:r>
      <w:r w:rsidRPr="00B54411">
        <w:rPr>
          <w:rStyle w:val="Strong"/>
          <w:rFonts w:ascii="Times New Roman" w:hAnsi="Times New Roman" w:cs="Times New Roman"/>
          <w:b w:val="0"/>
          <w:sz w:val="24"/>
          <w:szCs w:val="24"/>
        </w:rPr>
        <w:t>significant income disparities among the respondents</w:t>
      </w:r>
      <w:r w:rsidRPr="00B54411">
        <w:rPr>
          <w:rFonts w:ascii="Times New Roman" w:hAnsi="Times New Roman" w:cs="Times New Roman"/>
          <w:b/>
          <w:sz w:val="24"/>
          <w:szCs w:val="24"/>
        </w:rPr>
        <w:t xml:space="preserve">, </w:t>
      </w:r>
      <w:r w:rsidRPr="00B54411">
        <w:rPr>
          <w:rFonts w:ascii="Times New Roman" w:hAnsi="Times New Roman" w:cs="Times New Roman"/>
          <w:sz w:val="24"/>
          <w:szCs w:val="24"/>
        </w:rPr>
        <w:t>with</w:t>
      </w:r>
      <w:r w:rsidRPr="00B54411">
        <w:rPr>
          <w:rFonts w:ascii="Times New Roman" w:hAnsi="Times New Roman" w:cs="Times New Roman"/>
          <w:b/>
          <w:sz w:val="24"/>
          <w:szCs w:val="24"/>
        </w:rPr>
        <w:t xml:space="preserve"> </w:t>
      </w:r>
      <w:r w:rsidRPr="00B54411">
        <w:rPr>
          <w:rStyle w:val="Strong"/>
          <w:rFonts w:ascii="Times New Roman" w:hAnsi="Times New Roman" w:cs="Times New Roman"/>
          <w:b w:val="0"/>
          <w:sz w:val="24"/>
          <w:szCs w:val="24"/>
        </w:rPr>
        <w:t>drivers concentrated in the lowest income category (30%)</w:t>
      </w:r>
      <w:r w:rsidRPr="00B54411">
        <w:rPr>
          <w:rFonts w:ascii="Times New Roman" w:hAnsi="Times New Roman" w:cs="Times New Roman"/>
          <w:b/>
          <w:sz w:val="24"/>
          <w:szCs w:val="24"/>
        </w:rPr>
        <w:t xml:space="preserve">, </w:t>
      </w:r>
      <w:r w:rsidRPr="00B54411">
        <w:rPr>
          <w:rFonts w:ascii="Times New Roman" w:hAnsi="Times New Roman" w:cs="Times New Roman"/>
          <w:sz w:val="24"/>
          <w:szCs w:val="24"/>
        </w:rPr>
        <w:t>while</w:t>
      </w:r>
      <w:r w:rsidRPr="00B54411">
        <w:rPr>
          <w:rFonts w:ascii="Times New Roman" w:hAnsi="Times New Roman" w:cs="Times New Roman"/>
          <w:b/>
          <w:sz w:val="24"/>
          <w:szCs w:val="24"/>
        </w:rPr>
        <w:t xml:space="preserve"> </w:t>
      </w:r>
      <w:r w:rsidRPr="00B54411">
        <w:rPr>
          <w:rStyle w:val="Strong"/>
          <w:rFonts w:ascii="Times New Roman" w:hAnsi="Times New Roman" w:cs="Times New Roman"/>
          <w:b w:val="0"/>
          <w:sz w:val="24"/>
          <w:szCs w:val="24"/>
        </w:rPr>
        <w:t>shop owners and wholesalers are predominantly represented in higher income groups</w:t>
      </w:r>
      <w:r w:rsidRPr="00B54411">
        <w:rPr>
          <w:rFonts w:ascii="Times New Roman" w:hAnsi="Times New Roman" w:cs="Times New Roman"/>
          <w:sz w:val="24"/>
          <w:szCs w:val="24"/>
        </w:rPr>
        <w:t xml:space="preserve">. This pattern of economic stratification indicates that drivers—many of whom are engaged in trucking and delivery services—are </w:t>
      </w:r>
      <w:r w:rsidRPr="00B54411">
        <w:rPr>
          <w:rStyle w:val="Strong"/>
          <w:rFonts w:ascii="Times New Roman" w:hAnsi="Times New Roman" w:cs="Times New Roman"/>
          <w:b w:val="0"/>
          <w:sz w:val="24"/>
          <w:szCs w:val="24"/>
        </w:rPr>
        <w:t>particularly vulnerable to highway disruptions</w:t>
      </w:r>
      <w:r w:rsidRPr="00B54411">
        <w:rPr>
          <w:rFonts w:ascii="Times New Roman" w:hAnsi="Times New Roman" w:cs="Times New Roman"/>
          <w:sz w:val="24"/>
          <w:szCs w:val="24"/>
        </w:rPr>
        <w:t>, as their livelihoods depend heavily on uninterrupted access to road networks.</w:t>
      </w:r>
    </w:p>
    <w:p w14:paraId="6FA0E355" w14:textId="77777777" w:rsidR="00B54411" w:rsidRPr="00B54411" w:rsidRDefault="00B54411" w:rsidP="00B54411">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Fig.2.</w:t>
      </w:r>
    </w:p>
    <w:p w14:paraId="0A3E386E" w14:textId="77777777" w:rsidR="008E2903" w:rsidRDefault="008E2903" w:rsidP="00B54411">
      <w:pPr>
        <w:spacing w:before="100" w:beforeAutospacing="1" w:after="100" w:afterAutospacing="1" w:line="240" w:lineRule="auto"/>
        <w:jc w:val="center"/>
        <w:rPr>
          <w:rFonts w:ascii="Times New Roman" w:eastAsia="Times New Roman" w:hAnsi="Times New Roman" w:cs="Times New Roman"/>
          <w:sz w:val="24"/>
          <w:szCs w:val="24"/>
        </w:rPr>
      </w:pPr>
      <w:r w:rsidRPr="008E2903">
        <w:rPr>
          <w:noProof/>
        </w:rPr>
        <w:drawing>
          <wp:inline distT="0" distB="0" distL="0" distR="0" wp14:anchorId="60E71083" wp14:editId="1B716954">
            <wp:extent cx="5731510" cy="4128402"/>
            <wp:effectExtent l="0" t="0" r="2540" b="5715"/>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4128402"/>
                    </a:xfrm>
                    <a:prstGeom prst="rect">
                      <a:avLst/>
                    </a:prstGeom>
                    <a:noFill/>
                    <a:ln>
                      <a:noFill/>
                    </a:ln>
                  </pic:spPr>
                </pic:pic>
              </a:graphicData>
            </a:graphic>
          </wp:inline>
        </w:drawing>
      </w:r>
    </w:p>
    <w:p w14:paraId="100793E1" w14:textId="77777777" w:rsidR="00B54411" w:rsidRDefault="00B54411" w:rsidP="008E2903">
      <w:pPr>
        <w:pStyle w:val="NormalWeb"/>
      </w:pPr>
      <w:r>
        <w:t xml:space="preserve">        Source: Primary data 2025</w:t>
      </w:r>
    </w:p>
    <w:p w14:paraId="0DC0CFE5" w14:textId="77777777" w:rsidR="008E2903" w:rsidRPr="00B54411" w:rsidRDefault="008E2903" w:rsidP="00B54411">
      <w:pPr>
        <w:pStyle w:val="NormalWeb"/>
        <w:jc w:val="both"/>
      </w:pPr>
      <w:r w:rsidRPr="00B54411">
        <w:t xml:space="preserve">Employees in the </w:t>
      </w:r>
      <w:r w:rsidRPr="00B54411">
        <w:rPr>
          <w:rStyle w:val="Strong"/>
          <w:b w:val="0"/>
        </w:rPr>
        <w:t>middle-income</w:t>
      </w:r>
      <w:r w:rsidRPr="00B54411">
        <w:rPr>
          <w:rStyle w:val="Strong"/>
        </w:rPr>
        <w:t xml:space="preserve"> </w:t>
      </w:r>
      <w:r w:rsidRPr="00B54411">
        <w:rPr>
          <w:rStyle w:val="Strong"/>
          <w:b w:val="0"/>
        </w:rPr>
        <w:t>category (20–25%)</w:t>
      </w:r>
      <w:r w:rsidRPr="00B54411">
        <w:rPr>
          <w:b/>
        </w:rPr>
        <w:t xml:space="preserve"> </w:t>
      </w:r>
      <w:r w:rsidRPr="00B54411">
        <w:t>exhibit</w:t>
      </w:r>
      <w:r w:rsidRPr="00B54411">
        <w:rPr>
          <w:b/>
        </w:rPr>
        <w:t xml:space="preserve"> </w:t>
      </w:r>
      <w:r w:rsidRPr="00B54411">
        <w:rPr>
          <w:rStyle w:val="Strong"/>
          <w:b w:val="0"/>
        </w:rPr>
        <w:t>moderate vulnerability</w:t>
      </w:r>
      <w:r w:rsidRPr="00B54411">
        <w:t xml:space="preserve">, as income stability may be affected by reduced mobility or temporary workplace disruptions. Overall, the findings demonstrate that </w:t>
      </w:r>
      <w:r w:rsidRPr="00B54411">
        <w:rPr>
          <w:rStyle w:val="Strong"/>
          <w:b w:val="0"/>
        </w:rPr>
        <w:t>highway infrastructure failures disproportionately impact low-wage transportation workers</w:t>
      </w:r>
      <w:r w:rsidRPr="00B54411">
        <w:rPr>
          <w:b/>
        </w:rPr>
        <w:t>,</w:t>
      </w:r>
      <w:r w:rsidRPr="00B54411">
        <w:t xml:space="preserve"> thereby exacerbating existing economic inequalities.</w:t>
      </w:r>
    </w:p>
    <w:p w14:paraId="38F43DAA" w14:textId="77777777" w:rsidR="008E2903" w:rsidRPr="00B54411" w:rsidRDefault="008E2903" w:rsidP="00B54411">
      <w:pPr>
        <w:pStyle w:val="NormalWeb"/>
        <w:jc w:val="both"/>
      </w:pPr>
      <w:r w:rsidRPr="00B54411">
        <w:lastRenderedPageBreak/>
        <w:t xml:space="preserve">These results underscore the need for </w:t>
      </w:r>
      <w:r w:rsidRPr="00B54411">
        <w:rPr>
          <w:rStyle w:val="Strong"/>
          <w:b w:val="0"/>
        </w:rPr>
        <w:t>policy interventions such as wage protection schemes, employment security measures, and targeted support programs</w:t>
      </w:r>
      <w:r w:rsidRPr="00B54411">
        <w:t xml:space="preserve"> to safeguard vulnerable workers during periods of highway disruption and infrastructure-related crises.</w:t>
      </w:r>
    </w:p>
    <w:p w14:paraId="0CEE6273" w14:textId="77777777" w:rsidR="008E2903" w:rsidRDefault="008E2903" w:rsidP="00B54411">
      <w:pPr>
        <w:pStyle w:val="NormalWeb"/>
        <w:jc w:val="both"/>
      </w:pPr>
      <w:r w:rsidRPr="00B54411">
        <w:t>The histogram</w:t>
      </w:r>
      <w:r w:rsidR="00B54411">
        <w:t xml:space="preserve"> (Fig.3.)</w:t>
      </w:r>
      <w:r w:rsidRPr="00B54411">
        <w:t xml:space="preserve"> shows that </w:t>
      </w:r>
      <w:r w:rsidRPr="00B54411">
        <w:rPr>
          <w:rStyle w:val="Strong"/>
          <w:b w:val="0"/>
        </w:rPr>
        <w:t>60% of respondents rated government responsiveness</w:t>
      </w:r>
      <w:r w:rsidR="009454F0">
        <w:rPr>
          <w:rStyle w:val="Strong"/>
          <w:b w:val="0"/>
        </w:rPr>
        <w:t xml:space="preserve"> during the COVID-19 period</w:t>
      </w:r>
      <w:r w:rsidRPr="00B54411">
        <w:rPr>
          <w:rStyle w:val="Strong"/>
          <w:b w:val="0"/>
        </w:rPr>
        <w:t xml:space="preserve"> as poor (1) or below average (2)</w:t>
      </w:r>
      <w:r w:rsidRPr="00B54411">
        <w:rPr>
          <w:b/>
        </w:rPr>
        <w:t>,</w:t>
      </w:r>
      <w:r w:rsidRPr="00B54411">
        <w:t xml:space="preserve"> while </w:t>
      </w:r>
      <w:r w:rsidRPr="00B54411">
        <w:rPr>
          <w:rStyle w:val="Strong"/>
          <w:b w:val="0"/>
        </w:rPr>
        <w:t>only 5% awarded an excellent rating (5)</w:t>
      </w:r>
      <w:r w:rsidRPr="00B54411">
        <w:rPr>
          <w:b/>
        </w:rPr>
        <w:t>.</w:t>
      </w:r>
      <w:r w:rsidRPr="00B54411">
        <w:t xml:space="preserve"> This distribution reflects </w:t>
      </w:r>
      <w:r w:rsidRPr="00B54411">
        <w:rPr>
          <w:rStyle w:val="Strong"/>
          <w:b w:val="0"/>
        </w:rPr>
        <w:t>widespread dissatisfaction with crisis management and emergency response mechanisms</w:t>
      </w:r>
      <w:r w:rsidRPr="00B54411">
        <w:rPr>
          <w:b/>
        </w:rPr>
        <w:t>.</w:t>
      </w:r>
      <w:r w:rsidRPr="00B54411">
        <w:t xml:space="preserve"> The </w:t>
      </w:r>
      <w:r w:rsidRPr="00B54411">
        <w:rPr>
          <w:rStyle w:val="Strong"/>
          <w:b w:val="0"/>
        </w:rPr>
        <w:t>35% of respondents assigning the lowest ratings</w:t>
      </w:r>
      <w:r w:rsidRPr="00B54411">
        <w:t xml:space="preserve"> indicates a strong perception of inadequate performance, whereas the </w:t>
      </w:r>
      <w:r w:rsidRPr="00B54411">
        <w:rPr>
          <w:rStyle w:val="Strong"/>
          <w:b w:val="0"/>
        </w:rPr>
        <w:t>25% giving slightly higher but still negative ratings</w:t>
      </w:r>
      <w:r w:rsidRPr="00B54411">
        <w:rPr>
          <w:b/>
        </w:rPr>
        <w:t xml:space="preserve"> </w:t>
      </w:r>
      <w:r w:rsidRPr="00B54411">
        <w:t>suggests limited acknowledgment of government efforts.</w:t>
      </w:r>
    </w:p>
    <w:p w14:paraId="30439864" w14:textId="77777777" w:rsidR="00B54411" w:rsidRPr="00B54411" w:rsidRDefault="00B54411" w:rsidP="00B54411">
      <w:pPr>
        <w:pStyle w:val="NormalWeb"/>
        <w:contextualSpacing/>
        <w:jc w:val="center"/>
      </w:pPr>
      <w:r>
        <w:t>Fig.3.</w:t>
      </w:r>
    </w:p>
    <w:p w14:paraId="2C39FA2A" w14:textId="77777777" w:rsidR="008E2903" w:rsidRDefault="008E2903" w:rsidP="00B54411">
      <w:pPr>
        <w:spacing w:before="100" w:beforeAutospacing="1" w:after="100" w:afterAutospacing="1" w:line="240" w:lineRule="auto"/>
        <w:jc w:val="center"/>
        <w:rPr>
          <w:rFonts w:ascii="Times New Roman" w:eastAsia="Times New Roman" w:hAnsi="Times New Roman" w:cs="Times New Roman"/>
          <w:sz w:val="24"/>
          <w:szCs w:val="24"/>
        </w:rPr>
      </w:pPr>
      <w:r w:rsidRPr="008E2903">
        <w:rPr>
          <w:rFonts w:ascii="Times New Roman" w:eastAsia="Times New Roman" w:hAnsi="Times New Roman" w:cs="Times New Roman"/>
          <w:noProof/>
          <w:sz w:val="24"/>
          <w:szCs w:val="24"/>
        </w:rPr>
        <w:drawing>
          <wp:inline distT="0" distB="0" distL="0" distR="0" wp14:anchorId="68E27908" wp14:editId="534A069D">
            <wp:extent cx="5731510" cy="3922043"/>
            <wp:effectExtent l="0" t="0" r="2540" b="254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922043"/>
                    </a:xfrm>
                    <a:prstGeom prst="rect">
                      <a:avLst/>
                    </a:prstGeom>
                    <a:noFill/>
                    <a:ln>
                      <a:noFill/>
                    </a:ln>
                  </pic:spPr>
                </pic:pic>
              </a:graphicData>
            </a:graphic>
          </wp:inline>
        </w:drawing>
      </w:r>
    </w:p>
    <w:p w14:paraId="473EDBD3" w14:textId="77777777" w:rsidR="00B54411" w:rsidRDefault="00B54411" w:rsidP="00E46405">
      <w:pPr>
        <w:spacing w:before="100" w:beforeAutospacing="1" w:after="100" w:afterAutospacing="1" w:line="240" w:lineRule="auto"/>
        <w:jc w:val="both"/>
      </w:pPr>
      <w:r>
        <w:t xml:space="preserve">        Source: Computed from Primary data 2025</w:t>
      </w:r>
    </w:p>
    <w:p w14:paraId="5183FAD4" w14:textId="77777777" w:rsidR="00C906A7" w:rsidRPr="00B54411" w:rsidRDefault="00C906A7" w:rsidP="00B54411">
      <w:pPr>
        <w:spacing w:before="100" w:beforeAutospacing="1" w:after="100" w:afterAutospacing="1" w:line="240" w:lineRule="auto"/>
        <w:jc w:val="both"/>
        <w:rPr>
          <w:rFonts w:ascii="Times New Roman" w:eastAsia="Times New Roman" w:hAnsi="Times New Roman" w:cs="Times New Roman"/>
          <w:sz w:val="24"/>
          <w:szCs w:val="24"/>
        </w:rPr>
      </w:pPr>
      <w:r w:rsidRPr="00B54411">
        <w:rPr>
          <w:rFonts w:ascii="Times New Roman" w:hAnsi="Times New Roman" w:cs="Times New Roman"/>
          <w:sz w:val="24"/>
          <w:szCs w:val="24"/>
        </w:rPr>
        <w:t xml:space="preserve">Overall, the findings point to a </w:t>
      </w:r>
      <w:r w:rsidRPr="00B54411">
        <w:rPr>
          <w:rStyle w:val="Strong"/>
          <w:rFonts w:ascii="Times New Roman" w:hAnsi="Times New Roman" w:cs="Times New Roman"/>
          <w:b w:val="0"/>
          <w:sz w:val="24"/>
          <w:szCs w:val="24"/>
        </w:rPr>
        <w:t>substantial trust deficit in official response capabilities</w:t>
      </w:r>
      <w:r w:rsidRPr="00B54411">
        <w:rPr>
          <w:rFonts w:ascii="Times New Roman" w:hAnsi="Times New Roman" w:cs="Times New Roman"/>
          <w:b/>
          <w:sz w:val="24"/>
          <w:szCs w:val="24"/>
        </w:rPr>
        <w:t>,</w:t>
      </w:r>
      <w:r w:rsidRPr="00B54411">
        <w:rPr>
          <w:rFonts w:ascii="Times New Roman" w:hAnsi="Times New Roman" w:cs="Times New Roman"/>
          <w:sz w:val="24"/>
          <w:szCs w:val="24"/>
        </w:rPr>
        <w:t xml:space="preserve"> which may adversely affect public cooperation and compliance in future crises if left unaddressed. The pattern of responses implies </w:t>
      </w:r>
      <w:r w:rsidRPr="00B54411">
        <w:rPr>
          <w:rStyle w:val="Strong"/>
          <w:rFonts w:ascii="Times New Roman" w:hAnsi="Times New Roman" w:cs="Times New Roman"/>
          <w:b w:val="0"/>
          <w:sz w:val="24"/>
          <w:szCs w:val="24"/>
        </w:rPr>
        <w:t>deficiencies in communication, delays in response, and a lack of transparency in recovery initiatives</w:t>
      </w:r>
      <w:r w:rsidRPr="00B54411">
        <w:rPr>
          <w:rFonts w:ascii="Times New Roman" w:hAnsi="Times New Roman" w:cs="Times New Roman"/>
          <w:b/>
          <w:sz w:val="24"/>
          <w:szCs w:val="24"/>
        </w:rPr>
        <w:t>,</w:t>
      </w:r>
      <w:r w:rsidRPr="00B54411">
        <w:rPr>
          <w:rFonts w:ascii="Times New Roman" w:hAnsi="Times New Roman" w:cs="Times New Roman"/>
          <w:sz w:val="24"/>
          <w:szCs w:val="24"/>
        </w:rPr>
        <w:t xml:space="preserve"> all of which undermine public confidence in governance. Such weaknesses pose significant challenges to effective </w:t>
      </w:r>
      <w:r w:rsidRPr="00B54411">
        <w:rPr>
          <w:rStyle w:val="Strong"/>
          <w:rFonts w:ascii="Times New Roman" w:hAnsi="Times New Roman" w:cs="Times New Roman"/>
          <w:b w:val="0"/>
          <w:sz w:val="24"/>
          <w:szCs w:val="24"/>
        </w:rPr>
        <w:t>transportation infrastructure recovery and reconstruction strategies</w:t>
      </w:r>
      <w:r w:rsidRPr="00B54411">
        <w:rPr>
          <w:rFonts w:ascii="Times New Roman" w:hAnsi="Times New Roman" w:cs="Times New Roman"/>
          <w:b/>
          <w:sz w:val="24"/>
          <w:szCs w:val="24"/>
        </w:rPr>
        <w:t>,</w:t>
      </w:r>
      <w:r w:rsidRPr="00B54411">
        <w:rPr>
          <w:rFonts w:ascii="Times New Roman" w:hAnsi="Times New Roman" w:cs="Times New Roman"/>
          <w:sz w:val="24"/>
          <w:szCs w:val="24"/>
        </w:rPr>
        <w:t xml:space="preserve"> where public trust and coordination are essential for successful implementation.</w:t>
      </w:r>
    </w:p>
    <w:p w14:paraId="4F3A744D" w14:textId="77777777" w:rsidR="00B54411" w:rsidRDefault="00C906A7" w:rsidP="00B54411">
      <w:pPr>
        <w:spacing w:before="100" w:beforeAutospacing="1" w:after="100" w:afterAutospacing="1" w:line="240" w:lineRule="auto"/>
        <w:jc w:val="both"/>
      </w:pPr>
      <w:r w:rsidRPr="00B54411">
        <w:rPr>
          <w:rFonts w:ascii="Times New Roman" w:hAnsi="Times New Roman" w:cs="Times New Roman"/>
          <w:sz w:val="24"/>
          <w:szCs w:val="24"/>
        </w:rPr>
        <w:lastRenderedPageBreak/>
        <w:t xml:space="preserve">The survey provides important insights into the relationship between </w:t>
      </w:r>
      <w:r w:rsidRPr="00B54411">
        <w:rPr>
          <w:rStyle w:val="Strong"/>
          <w:rFonts w:ascii="Times New Roman" w:hAnsi="Times New Roman" w:cs="Times New Roman"/>
          <w:b w:val="0"/>
          <w:sz w:val="24"/>
          <w:szCs w:val="24"/>
        </w:rPr>
        <w:t>highway disruptions, economic responsiveness, and demographic factors</w:t>
      </w:r>
      <w:r w:rsidRPr="00B54411">
        <w:rPr>
          <w:rFonts w:ascii="Times New Roman" w:hAnsi="Times New Roman" w:cs="Times New Roman"/>
          <w:sz w:val="24"/>
          <w:szCs w:val="24"/>
        </w:rPr>
        <w:t xml:space="preserve">. One of the key findings is a </w:t>
      </w:r>
      <w:r w:rsidRPr="00B54411">
        <w:rPr>
          <w:rStyle w:val="Strong"/>
          <w:rFonts w:ascii="Times New Roman" w:hAnsi="Times New Roman" w:cs="Times New Roman"/>
          <w:b w:val="0"/>
          <w:sz w:val="24"/>
          <w:szCs w:val="24"/>
        </w:rPr>
        <w:t>moderate negative correlation (r = −0.42)</w:t>
      </w:r>
      <w:r w:rsidRPr="00B54411">
        <w:rPr>
          <w:rFonts w:ascii="Times New Roman" w:hAnsi="Times New Roman" w:cs="Times New Roman"/>
          <w:sz w:val="24"/>
          <w:szCs w:val="24"/>
        </w:rPr>
        <w:t xml:space="preserve"> between highway disruption and economic responsiveness, indicating that as infrastructure failures intensify, the capacity of businesses and communities to respond effectively declines. Severe disruptions—such as prolonged highway closures or blockages of freight routes—directly constrain recovery efforts, reduce supply chain flexibility, and slow local economic activity. Industries that rely on </w:t>
      </w:r>
      <w:r w:rsidRPr="00B54411">
        <w:rPr>
          <w:rStyle w:val="Strong"/>
          <w:rFonts w:ascii="Times New Roman" w:hAnsi="Times New Roman" w:cs="Times New Roman"/>
          <w:b w:val="0"/>
          <w:sz w:val="24"/>
          <w:szCs w:val="24"/>
        </w:rPr>
        <w:t>just-in-time delivery systems</w:t>
      </w:r>
      <w:r w:rsidRPr="00B54411">
        <w:rPr>
          <w:rFonts w:ascii="Times New Roman" w:hAnsi="Times New Roman" w:cs="Times New Roman"/>
          <w:sz w:val="24"/>
          <w:szCs w:val="24"/>
        </w:rPr>
        <w:t xml:space="preserve">, particularly manufacturing and retail, are especially vulnerable, </w:t>
      </w:r>
      <w:r w:rsidR="00B54411">
        <w:rPr>
          <w:rFonts w:ascii="Times New Roman" w:hAnsi="Times New Roman" w:cs="Times New Roman"/>
          <w:sz w:val="24"/>
          <w:szCs w:val="24"/>
        </w:rPr>
        <w:t xml:space="preserve">as highway failures can lead to production </w:t>
      </w:r>
      <w:r w:rsidRPr="00B54411">
        <w:rPr>
          <w:rFonts w:ascii="Times New Roman" w:hAnsi="Times New Roman" w:cs="Times New Roman"/>
          <w:sz w:val="24"/>
          <w:szCs w:val="24"/>
        </w:rPr>
        <w:t>stoppages and revenue losses</w:t>
      </w:r>
      <w:r>
        <w:t>.</w:t>
      </w:r>
    </w:p>
    <w:p w14:paraId="108C8D49" w14:textId="77777777" w:rsidR="00B54411" w:rsidRDefault="00B54411" w:rsidP="00B54411">
      <w:pPr>
        <w:spacing w:before="100" w:beforeAutospacing="1" w:after="100" w:afterAutospacing="1" w:line="240" w:lineRule="auto"/>
        <w:jc w:val="center"/>
      </w:pPr>
      <w:r>
        <w:t>Fig.4.</w:t>
      </w:r>
    </w:p>
    <w:p w14:paraId="7B14DECA" w14:textId="77777777" w:rsidR="00C906A7" w:rsidRPr="00DC49CE" w:rsidRDefault="00C906A7" w:rsidP="00B54411">
      <w:pPr>
        <w:spacing w:before="100" w:beforeAutospacing="1" w:after="100" w:afterAutospacing="1" w:line="240" w:lineRule="auto"/>
        <w:jc w:val="center"/>
        <w:rPr>
          <w:rFonts w:ascii="Times New Roman" w:eastAsia="Times New Roman" w:hAnsi="Times New Roman" w:cs="Times New Roman"/>
          <w:sz w:val="24"/>
          <w:szCs w:val="24"/>
        </w:rPr>
      </w:pPr>
      <w:r w:rsidRPr="00C906A7">
        <w:rPr>
          <w:rFonts w:ascii="Times New Roman" w:eastAsia="Times New Roman" w:hAnsi="Times New Roman" w:cs="Times New Roman"/>
          <w:noProof/>
          <w:sz w:val="24"/>
          <w:szCs w:val="24"/>
        </w:rPr>
        <w:drawing>
          <wp:inline distT="0" distB="0" distL="0" distR="0" wp14:anchorId="59ECA5A7" wp14:editId="669BD1BB">
            <wp:extent cx="5731510" cy="4061044"/>
            <wp:effectExtent l="0" t="0" r="254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4061044"/>
                    </a:xfrm>
                    <a:prstGeom prst="rect">
                      <a:avLst/>
                    </a:prstGeom>
                    <a:noFill/>
                    <a:ln>
                      <a:noFill/>
                    </a:ln>
                  </pic:spPr>
                </pic:pic>
              </a:graphicData>
            </a:graphic>
          </wp:inline>
        </w:drawing>
      </w:r>
    </w:p>
    <w:p w14:paraId="6AB3F134" w14:textId="77777777" w:rsidR="00B54411" w:rsidRPr="00B54411" w:rsidRDefault="00B54411" w:rsidP="00E46405">
      <w:pPr>
        <w:spacing w:before="100" w:beforeAutospacing="1" w:after="100" w:afterAutospacing="1" w:line="240" w:lineRule="auto"/>
        <w:jc w:val="both"/>
        <w:rPr>
          <w:rFonts w:ascii="Times New Roman" w:hAnsi="Times New Roman" w:cs="Times New Roman"/>
          <w:sz w:val="24"/>
          <w:szCs w:val="24"/>
        </w:rPr>
      </w:pPr>
      <w:r w:rsidRPr="00B54411">
        <w:rPr>
          <w:rFonts w:ascii="Times New Roman" w:hAnsi="Times New Roman" w:cs="Times New Roman"/>
          <w:sz w:val="24"/>
          <w:szCs w:val="24"/>
        </w:rPr>
        <w:t xml:space="preserve">      Source: Computed from Primary data 2025  </w:t>
      </w:r>
    </w:p>
    <w:p w14:paraId="1439419E" w14:textId="77777777" w:rsidR="00B54411" w:rsidRDefault="00B54411" w:rsidP="00E46405">
      <w:pPr>
        <w:spacing w:before="100" w:beforeAutospacing="1" w:after="100" w:afterAutospacing="1" w:line="240" w:lineRule="auto"/>
        <w:jc w:val="both"/>
        <w:rPr>
          <w:rFonts w:ascii="Times New Roman" w:hAnsi="Times New Roman" w:cs="Times New Roman"/>
          <w:sz w:val="24"/>
          <w:szCs w:val="24"/>
        </w:rPr>
      </w:pPr>
    </w:p>
    <w:p w14:paraId="7397092F" w14:textId="77777777" w:rsidR="00B54411" w:rsidRDefault="00B54411" w:rsidP="00E46405">
      <w:pPr>
        <w:spacing w:before="100" w:beforeAutospacing="1" w:after="100" w:afterAutospacing="1" w:line="240" w:lineRule="auto"/>
        <w:jc w:val="both"/>
        <w:rPr>
          <w:rFonts w:ascii="Times New Roman" w:hAnsi="Times New Roman" w:cs="Times New Roman"/>
          <w:sz w:val="24"/>
          <w:szCs w:val="24"/>
        </w:rPr>
      </w:pPr>
    </w:p>
    <w:p w14:paraId="04485886" w14:textId="77777777" w:rsidR="00C906A7" w:rsidRPr="00B54411" w:rsidRDefault="00C906A7" w:rsidP="00E46405">
      <w:pPr>
        <w:spacing w:before="100" w:beforeAutospacing="1" w:after="100" w:afterAutospacing="1" w:line="240" w:lineRule="auto"/>
        <w:jc w:val="both"/>
        <w:rPr>
          <w:rFonts w:ascii="Times New Roman" w:hAnsi="Times New Roman" w:cs="Times New Roman"/>
          <w:sz w:val="24"/>
          <w:szCs w:val="24"/>
        </w:rPr>
      </w:pPr>
      <w:r w:rsidRPr="00B54411">
        <w:rPr>
          <w:rFonts w:ascii="Times New Roman" w:hAnsi="Times New Roman" w:cs="Times New Roman"/>
          <w:sz w:val="24"/>
          <w:szCs w:val="24"/>
        </w:rPr>
        <w:t xml:space="preserve">The analysis also reveals a </w:t>
      </w:r>
      <w:r w:rsidRPr="00B54411">
        <w:rPr>
          <w:rStyle w:val="Strong"/>
          <w:rFonts w:ascii="Times New Roman" w:hAnsi="Times New Roman" w:cs="Times New Roman"/>
          <w:b w:val="0"/>
          <w:sz w:val="24"/>
          <w:szCs w:val="24"/>
        </w:rPr>
        <w:t>stronger negative correlation between income and disruption-related variables (r = −0.57)</w:t>
      </w:r>
      <w:r w:rsidRPr="00B54411">
        <w:rPr>
          <w:rFonts w:ascii="Times New Roman" w:hAnsi="Times New Roman" w:cs="Times New Roman"/>
          <w:b/>
          <w:sz w:val="24"/>
          <w:szCs w:val="24"/>
        </w:rPr>
        <w:t>,</w:t>
      </w:r>
      <w:r w:rsidRPr="00B54411">
        <w:rPr>
          <w:rFonts w:ascii="Times New Roman" w:hAnsi="Times New Roman" w:cs="Times New Roman"/>
          <w:sz w:val="24"/>
          <w:szCs w:val="24"/>
        </w:rPr>
        <w:t xml:space="preserve"> suggesting that </w:t>
      </w:r>
      <w:r w:rsidRPr="00B54411">
        <w:rPr>
          <w:rStyle w:val="Strong"/>
          <w:rFonts w:ascii="Times New Roman" w:hAnsi="Times New Roman" w:cs="Times New Roman"/>
          <w:b w:val="0"/>
          <w:sz w:val="24"/>
          <w:szCs w:val="24"/>
        </w:rPr>
        <w:t>low-income areas face a disproportionate burden during highway</w:t>
      </w:r>
      <w:r w:rsidRPr="00B54411">
        <w:rPr>
          <w:rStyle w:val="Strong"/>
          <w:rFonts w:ascii="Times New Roman" w:hAnsi="Times New Roman" w:cs="Times New Roman"/>
          <w:sz w:val="24"/>
          <w:szCs w:val="24"/>
        </w:rPr>
        <w:t xml:space="preserve"> </w:t>
      </w:r>
      <w:r w:rsidRPr="00B54411">
        <w:rPr>
          <w:rStyle w:val="Strong"/>
          <w:rFonts w:ascii="Times New Roman" w:hAnsi="Times New Roman" w:cs="Times New Roman"/>
          <w:b w:val="0"/>
          <w:sz w:val="24"/>
          <w:szCs w:val="24"/>
        </w:rPr>
        <w:t>disruptions</w:t>
      </w:r>
      <w:r w:rsidRPr="00B54411">
        <w:rPr>
          <w:rFonts w:ascii="Times New Roman" w:hAnsi="Times New Roman" w:cs="Times New Roman"/>
          <w:sz w:val="24"/>
          <w:szCs w:val="24"/>
        </w:rPr>
        <w:t xml:space="preserve">. These communities typically lack the financial resources required to adapt, such as access to alternative transport routes, emergency credit facilities, or diversified </w:t>
      </w:r>
      <w:r w:rsidRPr="00B54411">
        <w:rPr>
          <w:rFonts w:ascii="Times New Roman" w:hAnsi="Times New Roman" w:cs="Times New Roman"/>
          <w:sz w:val="24"/>
          <w:szCs w:val="24"/>
        </w:rPr>
        <w:lastRenderedPageBreak/>
        <w:t xml:space="preserve">employment opportunities. Many residents are also employed in occupations that are highly dependent on uninterrupted highway access. Consequently, policymakers should prioritize </w:t>
      </w:r>
      <w:r w:rsidRPr="00B54411">
        <w:rPr>
          <w:rStyle w:val="Strong"/>
          <w:rFonts w:ascii="Times New Roman" w:hAnsi="Times New Roman" w:cs="Times New Roman"/>
          <w:b w:val="0"/>
          <w:sz w:val="24"/>
          <w:szCs w:val="24"/>
        </w:rPr>
        <w:t>equitable interventions</w:t>
      </w:r>
      <w:r w:rsidRPr="00B54411">
        <w:rPr>
          <w:rFonts w:ascii="Times New Roman" w:hAnsi="Times New Roman" w:cs="Times New Roman"/>
          <w:sz w:val="24"/>
          <w:szCs w:val="24"/>
        </w:rPr>
        <w:t>, including targeted subsidies for small businesses and infrastructure grants for vulnerable regions, to reduce these disparities.</w:t>
      </w:r>
    </w:p>
    <w:p w14:paraId="6678B750" w14:textId="77777777" w:rsidR="00C906A7" w:rsidRPr="00B54411" w:rsidRDefault="00C906A7" w:rsidP="00E46405">
      <w:pPr>
        <w:spacing w:before="100" w:beforeAutospacing="1" w:after="100" w:afterAutospacing="1" w:line="240" w:lineRule="auto"/>
        <w:jc w:val="both"/>
        <w:rPr>
          <w:rFonts w:ascii="Times New Roman" w:hAnsi="Times New Roman" w:cs="Times New Roman"/>
          <w:sz w:val="24"/>
          <w:szCs w:val="24"/>
        </w:rPr>
      </w:pPr>
      <w:r w:rsidRPr="00B54411">
        <w:rPr>
          <w:rFonts w:ascii="Times New Roman" w:hAnsi="Times New Roman" w:cs="Times New Roman"/>
          <w:sz w:val="24"/>
          <w:szCs w:val="24"/>
        </w:rPr>
        <w:t xml:space="preserve">Further examination of </w:t>
      </w:r>
      <w:r w:rsidRPr="00B54411">
        <w:rPr>
          <w:rStyle w:val="Strong"/>
          <w:rFonts w:ascii="Times New Roman" w:hAnsi="Times New Roman" w:cs="Times New Roman"/>
          <w:b w:val="0"/>
          <w:sz w:val="24"/>
          <w:szCs w:val="24"/>
        </w:rPr>
        <w:t>weak or negligible correlations between economic responsiveness and demographic variables</w:t>
      </w:r>
      <w:r w:rsidRPr="00B54411">
        <w:rPr>
          <w:rFonts w:ascii="Times New Roman" w:hAnsi="Times New Roman" w:cs="Times New Roman"/>
          <w:sz w:val="24"/>
          <w:szCs w:val="24"/>
        </w:rPr>
        <w:t xml:space="preserve"> (r = 0.01–0.08) indicates that adaptability is influenced less by population characteristics, such as age, and more by </w:t>
      </w:r>
      <w:r w:rsidRPr="00B54411">
        <w:rPr>
          <w:rStyle w:val="Strong"/>
          <w:rFonts w:ascii="Times New Roman" w:hAnsi="Times New Roman" w:cs="Times New Roman"/>
          <w:b w:val="0"/>
          <w:sz w:val="24"/>
          <w:szCs w:val="24"/>
        </w:rPr>
        <w:t>systemic factors</w:t>
      </w:r>
      <w:r w:rsidRPr="00B54411">
        <w:rPr>
          <w:rFonts w:ascii="Times New Roman" w:hAnsi="Times New Roman" w:cs="Times New Roman"/>
          <w:sz w:val="24"/>
          <w:szCs w:val="24"/>
        </w:rPr>
        <w:t xml:space="preserve">, including infrastructure quality, maintenance practices, and the presence of resilience or contingency plans. An older workforce or aging businesses do not inherently experience lower responsiveness unless these factors are combined with poor infrastructure or outdated technologies. This distinction is critical for effective resource allocation: policy efforts should focus on </w:t>
      </w:r>
      <w:r w:rsidRPr="00B54411">
        <w:rPr>
          <w:rStyle w:val="Strong"/>
          <w:rFonts w:ascii="Times New Roman" w:hAnsi="Times New Roman" w:cs="Times New Roman"/>
          <w:b w:val="0"/>
          <w:sz w:val="24"/>
          <w:szCs w:val="24"/>
        </w:rPr>
        <w:t>modernizing highway infrastructure, enhancing digital logistics systems, and developing regional contingency frameworks</w:t>
      </w:r>
      <w:r w:rsidRPr="00B54411">
        <w:rPr>
          <w:rFonts w:ascii="Times New Roman" w:hAnsi="Times New Roman" w:cs="Times New Roman"/>
          <w:sz w:val="24"/>
          <w:szCs w:val="24"/>
        </w:rPr>
        <w:t>, rather than relying solely on broad demographic-based interventions.</w:t>
      </w:r>
    </w:p>
    <w:p w14:paraId="401D5F77" w14:textId="77777777" w:rsidR="00C906A7" w:rsidRPr="00B54411" w:rsidRDefault="00C906A7" w:rsidP="00E46405">
      <w:pPr>
        <w:spacing w:before="100" w:beforeAutospacing="1" w:after="100" w:afterAutospacing="1" w:line="240" w:lineRule="auto"/>
        <w:jc w:val="both"/>
        <w:rPr>
          <w:rFonts w:ascii="Times New Roman" w:eastAsia="Times New Roman" w:hAnsi="Times New Roman" w:cs="Times New Roman"/>
          <w:b/>
          <w:sz w:val="24"/>
          <w:szCs w:val="24"/>
        </w:rPr>
      </w:pPr>
      <w:r w:rsidRPr="00B54411">
        <w:rPr>
          <w:rFonts w:ascii="Times New Roman" w:hAnsi="Times New Roman" w:cs="Times New Roman"/>
          <w:sz w:val="24"/>
          <w:szCs w:val="24"/>
        </w:rPr>
        <w:t xml:space="preserve">The absence of strong correlations between age and highway disruption further suggests that while aging infrastructure may contribute to failures, it is </w:t>
      </w:r>
      <w:r w:rsidRPr="00B54411">
        <w:rPr>
          <w:rStyle w:val="Strong"/>
          <w:rFonts w:ascii="Times New Roman" w:hAnsi="Times New Roman" w:cs="Times New Roman"/>
          <w:b w:val="0"/>
          <w:sz w:val="24"/>
          <w:szCs w:val="24"/>
        </w:rPr>
        <w:t>not the sole determinant of economic impact</w:t>
      </w:r>
      <w:r w:rsidRPr="00B54411">
        <w:rPr>
          <w:rFonts w:ascii="Times New Roman" w:hAnsi="Times New Roman" w:cs="Times New Roman"/>
          <w:b/>
          <w:sz w:val="24"/>
          <w:szCs w:val="24"/>
        </w:rPr>
        <w:t>.</w:t>
      </w:r>
      <w:r w:rsidRPr="00B54411">
        <w:rPr>
          <w:rFonts w:ascii="Times New Roman" w:hAnsi="Times New Roman" w:cs="Times New Roman"/>
          <w:sz w:val="24"/>
          <w:szCs w:val="24"/>
        </w:rPr>
        <w:t xml:space="preserve"> Instead, maintenance regimes, governance quality, and adaptive capacity play more decisive roles. These findings are consistent with broader transport economics literature, which emphasizes that </w:t>
      </w:r>
      <w:r w:rsidRPr="00B54411">
        <w:rPr>
          <w:rStyle w:val="Strong"/>
          <w:rFonts w:ascii="Times New Roman" w:hAnsi="Times New Roman" w:cs="Times New Roman"/>
          <w:b w:val="0"/>
          <w:sz w:val="24"/>
          <w:szCs w:val="24"/>
        </w:rPr>
        <w:t>proactive resilience planning—such as developing redundant transport routes and establishing emergency funding mechanisms—can significantly mitigate the cascading economic costs of highway failures</w:t>
      </w:r>
      <w:r w:rsidRPr="00B54411">
        <w:rPr>
          <w:rFonts w:ascii="Times New Roman" w:hAnsi="Times New Roman" w:cs="Times New Roman"/>
          <w:b/>
          <w:sz w:val="24"/>
          <w:szCs w:val="24"/>
        </w:rPr>
        <w:t>.</w:t>
      </w:r>
      <w:r w:rsidRPr="00B54411">
        <w:rPr>
          <w:rFonts w:ascii="Times New Roman" w:hAnsi="Times New Roman" w:cs="Times New Roman"/>
          <w:sz w:val="24"/>
          <w:szCs w:val="24"/>
        </w:rPr>
        <w:t xml:space="preserve"> Although future research should explore causal relationships in greater depth, the present analysis already offers a clear policy roadmap for reducing vulnerability, particularly in </w:t>
      </w:r>
      <w:r w:rsidRPr="00B54411">
        <w:rPr>
          <w:rStyle w:val="Strong"/>
          <w:rFonts w:ascii="Times New Roman" w:hAnsi="Times New Roman" w:cs="Times New Roman"/>
          <w:b w:val="0"/>
          <w:sz w:val="24"/>
          <w:szCs w:val="24"/>
        </w:rPr>
        <w:t>underserved and high-risk transport corridors</w:t>
      </w:r>
      <w:r w:rsidRPr="00B54411">
        <w:rPr>
          <w:rFonts w:ascii="Times New Roman" w:hAnsi="Times New Roman" w:cs="Times New Roman"/>
          <w:b/>
          <w:sz w:val="24"/>
          <w:szCs w:val="24"/>
        </w:rPr>
        <w:t>.</w:t>
      </w:r>
    </w:p>
    <w:p w14:paraId="41E4252F" w14:textId="77777777" w:rsidR="00DC49CE" w:rsidRDefault="002D6FEA" w:rsidP="00E46405">
      <w:pPr>
        <w:spacing w:before="100" w:beforeAutospacing="1" w:after="100" w:afterAutospacing="1" w:line="240" w:lineRule="auto"/>
        <w:jc w:val="both"/>
        <w:rPr>
          <w:rFonts w:ascii="Times New Roman" w:eastAsia="Times New Roman" w:hAnsi="Times New Roman" w:cs="Times New Roman"/>
          <w:sz w:val="24"/>
          <w:szCs w:val="24"/>
        </w:rPr>
      </w:pPr>
      <w:r w:rsidRPr="00B54411">
        <w:rPr>
          <w:rFonts w:ascii="Times New Roman" w:hAnsi="Times New Roman" w:cs="Times New Roman"/>
          <w:sz w:val="24"/>
          <w:szCs w:val="24"/>
        </w:rPr>
        <w:t>The regression analysis</w:t>
      </w:r>
      <w:r w:rsidR="00B54411">
        <w:rPr>
          <w:rFonts w:ascii="Times New Roman" w:hAnsi="Times New Roman" w:cs="Times New Roman"/>
          <w:sz w:val="24"/>
          <w:szCs w:val="24"/>
        </w:rPr>
        <w:t xml:space="preserve"> (Table.1)</w:t>
      </w:r>
      <w:r w:rsidRPr="00B54411">
        <w:rPr>
          <w:rFonts w:ascii="Times New Roman" w:hAnsi="Times New Roman" w:cs="Times New Roman"/>
          <w:sz w:val="24"/>
          <w:szCs w:val="24"/>
        </w:rPr>
        <w:t xml:space="preserve"> reports a </w:t>
      </w:r>
      <w:r w:rsidRPr="00B54411">
        <w:rPr>
          <w:rStyle w:val="Strong"/>
          <w:rFonts w:ascii="Times New Roman" w:hAnsi="Times New Roman" w:cs="Times New Roman"/>
          <w:b w:val="0"/>
          <w:sz w:val="24"/>
          <w:szCs w:val="24"/>
        </w:rPr>
        <w:t>moderate R Square value of 0.415</w:t>
      </w:r>
      <w:r w:rsidRPr="00B54411">
        <w:rPr>
          <w:rFonts w:ascii="Times New Roman" w:hAnsi="Times New Roman" w:cs="Times New Roman"/>
          <w:sz w:val="24"/>
          <w:szCs w:val="24"/>
        </w:rPr>
        <w:t xml:space="preserve">, indicating that </w:t>
      </w:r>
      <w:r w:rsidRPr="00B54411">
        <w:rPr>
          <w:rStyle w:val="Strong"/>
          <w:rFonts w:ascii="Times New Roman" w:hAnsi="Times New Roman" w:cs="Times New Roman"/>
          <w:b w:val="0"/>
          <w:sz w:val="24"/>
          <w:szCs w:val="24"/>
        </w:rPr>
        <w:t>age and income together explain 41.5% of the variation in highway disruption</w:t>
      </w:r>
      <w:r w:rsidRPr="00B54411">
        <w:rPr>
          <w:rFonts w:ascii="Times New Roman" w:hAnsi="Times New Roman" w:cs="Times New Roman"/>
          <w:b/>
          <w:sz w:val="24"/>
          <w:szCs w:val="24"/>
        </w:rPr>
        <w:t xml:space="preserve">. </w:t>
      </w:r>
      <w:r w:rsidRPr="00B54411">
        <w:rPr>
          <w:rFonts w:ascii="Times New Roman" w:hAnsi="Times New Roman" w:cs="Times New Roman"/>
          <w:sz w:val="24"/>
          <w:szCs w:val="24"/>
        </w:rPr>
        <w:t>The</w:t>
      </w:r>
      <w:r w:rsidRPr="00B54411">
        <w:rPr>
          <w:rFonts w:ascii="Times New Roman" w:hAnsi="Times New Roman" w:cs="Times New Roman"/>
          <w:b/>
          <w:sz w:val="24"/>
          <w:szCs w:val="24"/>
        </w:rPr>
        <w:t xml:space="preserve"> </w:t>
      </w:r>
      <w:r w:rsidRPr="00B54411">
        <w:rPr>
          <w:rStyle w:val="Strong"/>
          <w:rFonts w:ascii="Times New Roman" w:hAnsi="Times New Roman" w:cs="Times New Roman"/>
          <w:b w:val="0"/>
          <w:sz w:val="24"/>
          <w:szCs w:val="24"/>
        </w:rPr>
        <w:t>ANOVA results confirm that the overall model is statistically significant</w:t>
      </w:r>
      <w:r w:rsidRPr="00B54411">
        <w:rPr>
          <w:rFonts w:ascii="Times New Roman" w:hAnsi="Times New Roman" w:cs="Times New Roman"/>
          <w:sz w:val="24"/>
          <w:szCs w:val="24"/>
        </w:rPr>
        <w:t xml:space="preserve"> (p = 0.010), suggesting that the predictors collectively contribute to explaining disruption.</w:t>
      </w:r>
    </w:p>
    <w:p w14:paraId="68734474" w14:textId="77777777" w:rsidR="00B54411" w:rsidRDefault="00B54411" w:rsidP="00E46405">
      <w:pPr>
        <w:spacing w:before="100" w:beforeAutospacing="1" w:after="100" w:afterAutospacing="1" w:line="240" w:lineRule="auto"/>
        <w:jc w:val="both"/>
        <w:rPr>
          <w:rFonts w:ascii="Times New Roman" w:eastAsia="Times New Roman" w:hAnsi="Times New Roman" w:cs="Times New Roman"/>
          <w:sz w:val="24"/>
          <w:szCs w:val="24"/>
        </w:rPr>
      </w:pPr>
    </w:p>
    <w:p w14:paraId="291601D0" w14:textId="77777777" w:rsidR="00B54411" w:rsidRDefault="00B54411" w:rsidP="00E46405">
      <w:pPr>
        <w:spacing w:before="100" w:beforeAutospacing="1" w:after="100" w:afterAutospacing="1" w:line="240" w:lineRule="auto"/>
        <w:jc w:val="both"/>
        <w:rPr>
          <w:rFonts w:ascii="Times New Roman" w:eastAsia="Times New Roman" w:hAnsi="Times New Roman" w:cs="Times New Roman"/>
          <w:sz w:val="24"/>
          <w:szCs w:val="24"/>
        </w:rPr>
      </w:pPr>
    </w:p>
    <w:p w14:paraId="4C506313" w14:textId="77777777" w:rsidR="00B54411" w:rsidRDefault="00B54411" w:rsidP="00E46405">
      <w:pPr>
        <w:spacing w:before="100" w:beforeAutospacing="1" w:after="100" w:afterAutospacing="1" w:line="240" w:lineRule="auto"/>
        <w:jc w:val="both"/>
        <w:rPr>
          <w:rFonts w:ascii="Times New Roman" w:eastAsia="Times New Roman" w:hAnsi="Times New Roman" w:cs="Times New Roman"/>
          <w:sz w:val="24"/>
          <w:szCs w:val="24"/>
        </w:rPr>
      </w:pPr>
    </w:p>
    <w:p w14:paraId="42F5B9ED" w14:textId="77777777" w:rsidR="00B54411" w:rsidRDefault="00B54411" w:rsidP="00E46405">
      <w:pPr>
        <w:spacing w:before="100" w:beforeAutospacing="1" w:after="100" w:afterAutospacing="1" w:line="240" w:lineRule="auto"/>
        <w:jc w:val="both"/>
        <w:rPr>
          <w:rFonts w:ascii="Times New Roman" w:eastAsia="Times New Roman" w:hAnsi="Times New Roman" w:cs="Times New Roman"/>
          <w:sz w:val="24"/>
          <w:szCs w:val="24"/>
        </w:rPr>
      </w:pPr>
    </w:p>
    <w:p w14:paraId="67EA93C2" w14:textId="77777777" w:rsidR="00B54411" w:rsidRDefault="00B54411" w:rsidP="00E46405">
      <w:pPr>
        <w:spacing w:before="100" w:beforeAutospacing="1" w:after="100" w:afterAutospacing="1" w:line="240" w:lineRule="auto"/>
        <w:jc w:val="both"/>
        <w:rPr>
          <w:rFonts w:ascii="Times New Roman" w:eastAsia="Times New Roman" w:hAnsi="Times New Roman" w:cs="Times New Roman"/>
          <w:sz w:val="24"/>
          <w:szCs w:val="24"/>
        </w:rPr>
      </w:pPr>
    </w:p>
    <w:p w14:paraId="2D337170" w14:textId="77777777" w:rsidR="00B54411" w:rsidRDefault="00B54411" w:rsidP="00E46405">
      <w:pPr>
        <w:spacing w:before="100" w:beforeAutospacing="1" w:after="100" w:afterAutospacing="1" w:line="240" w:lineRule="auto"/>
        <w:jc w:val="both"/>
        <w:rPr>
          <w:rFonts w:ascii="Times New Roman" w:eastAsia="Times New Roman" w:hAnsi="Times New Roman" w:cs="Times New Roman"/>
          <w:sz w:val="24"/>
          <w:szCs w:val="24"/>
        </w:rPr>
      </w:pPr>
    </w:p>
    <w:p w14:paraId="2993A81C" w14:textId="77777777" w:rsidR="00B54411" w:rsidRDefault="00B54411" w:rsidP="00E4640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Table.1.</w:t>
      </w:r>
    </w:p>
    <w:p w14:paraId="20A50C85" w14:textId="77777777" w:rsidR="00B54411" w:rsidRPr="00B54411" w:rsidRDefault="00B54411" w:rsidP="00E4640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 Analysis</w:t>
      </w:r>
    </w:p>
    <w:tbl>
      <w:tblPr>
        <w:tblW w:w="9581" w:type="dxa"/>
        <w:tblInd w:w="-5" w:type="dxa"/>
        <w:tblLook w:val="04A0" w:firstRow="1" w:lastRow="0" w:firstColumn="1" w:lastColumn="0" w:noHBand="0" w:noVBand="1"/>
      </w:tblPr>
      <w:tblGrid>
        <w:gridCol w:w="1179"/>
        <w:gridCol w:w="24"/>
        <w:gridCol w:w="757"/>
        <w:gridCol w:w="348"/>
        <w:gridCol w:w="152"/>
        <w:gridCol w:w="758"/>
        <w:gridCol w:w="233"/>
        <w:gridCol w:w="42"/>
        <w:gridCol w:w="937"/>
        <w:gridCol w:w="70"/>
        <w:gridCol w:w="962"/>
        <w:gridCol w:w="167"/>
        <w:gridCol w:w="865"/>
        <w:gridCol w:w="513"/>
        <w:gridCol w:w="516"/>
        <w:gridCol w:w="1029"/>
        <w:gridCol w:w="1029"/>
      </w:tblGrid>
      <w:tr w:rsidR="00C906A7" w:rsidRPr="00B3584D" w14:paraId="49B2A375" w14:textId="77777777" w:rsidTr="002D6FEA">
        <w:trPr>
          <w:gridAfter w:val="11"/>
          <w:wAfter w:w="6367" w:type="dxa"/>
          <w:trHeight w:val="300"/>
        </w:trPr>
        <w:tc>
          <w:tcPr>
            <w:tcW w:w="1959" w:type="dxa"/>
            <w:gridSpan w:val="3"/>
            <w:tcBorders>
              <w:top w:val="single" w:sz="4" w:space="0" w:color="auto"/>
              <w:left w:val="single" w:sz="4" w:space="0" w:color="auto"/>
              <w:bottom w:val="single" w:sz="4" w:space="0" w:color="auto"/>
              <w:right w:val="single" w:sz="4" w:space="0" w:color="auto"/>
            </w:tcBorders>
            <w:noWrap/>
            <w:vAlign w:val="bottom"/>
            <w:hideMark/>
          </w:tcPr>
          <w:p w14:paraId="76DE15B1" w14:textId="77777777" w:rsidR="00C906A7" w:rsidRPr="00B3584D" w:rsidRDefault="00C906A7" w:rsidP="00766E88">
            <w:pPr>
              <w:spacing w:after="0" w:line="240" w:lineRule="auto"/>
              <w:jc w:val="both"/>
              <w:rPr>
                <w:rFonts w:ascii="Times New Roman" w:eastAsia="Times New Roman" w:hAnsi="Times New Roman" w:cs="Times New Roman"/>
                <w:i/>
                <w:iCs/>
                <w:color w:val="000000"/>
                <w:lang w:bidi="ta-IN"/>
              </w:rPr>
            </w:pPr>
            <w:r w:rsidRPr="00B3584D">
              <w:rPr>
                <w:rFonts w:ascii="Times New Roman" w:eastAsia="Times New Roman" w:hAnsi="Times New Roman" w:cs="Times New Roman"/>
                <w:i/>
                <w:iCs/>
                <w:color w:val="000000"/>
                <w:lang w:bidi="ta-IN"/>
              </w:rPr>
              <w:lastRenderedPageBreak/>
              <w:t>Regression Statistics</w:t>
            </w:r>
          </w:p>
        </w:tc>
        <w:tc>
          <w:tcPr>
            <w:tcW w:w="1255" w:type="dxa"/>
            <w:gridSpan w:val="3"/>
            <w:tcBorders>
              <w:top w:val="single" w:sz="4" w:space="0" w:color="auto"/>
              <w:left w:val="nil"/>
              <w:bottom w:val="single" w:sz="4" w:space="0" w:color="auto"/>
              <w:right w:val="single" w:sz="4" w:space="0" w:color="auto"/>
            </w:tcBorders>
            <w:noWrap/>
            <w:vAlign w:val="bottom"/>
            <w:hideMark/>
          </w:tcPr>
          <w:p w14:paraId="40F31D2A" w14:textId="77777777" w:rsidR="00C906A7" w:rsidRPr="00B3584D" w:rsidRDefault="00C906A7" w:rsidP="00766E88">
            <w:pPr>
              <w:spacing w:after="0" w:line="240" w:lineRule="auto"/>
              <w:jc w:val="both"/>
              <w:rPr>
                <w:rFonts w:ascii="Times New Roman" w:eastAsia="Times New Roman" w:hAnsi="Times New Roman" w:cs="Times New Roman"/>
                <w:i/>
                <w:iCs/>
                <w:color w:val="000000"/>
                <w:lang w:bidi="ta-IN"/>
              </w:rPr>
            </w:pPr>
            <w:r w:rsidRPr="00B3584D">
              <w:rPr>
                <w:rFonts w:ascii="Times New Roman" w:eastAsia="Times New Roman" w:hAnsi="Times New Roman" w:cs="Times New Roman"/>
                <w:i/>
                <w:iCs/>
                <w:color w:val="000000"/>
                <w:lang w:bidi="ta-IN"/>
              </w:rPr>
              <w:t> </w:t>
            </w:r>
          </w:p>
        </w:tc>
      </w:tr>
      <w:tr w:rsidR="00C906A7" w:rsidRPr="00B3584D" w14:paraId="34F4AD4C" w14:textId="77777777" w:rsidTr="002D6FEA">
        <w:trPr>
          <w:gridAfter w:val="11"/>
          <w:wAfter w:w="6367" w:type="dxa"/>
          <w:trHeight w:val="300"/>
        </w:trPr>
        <w:tc>
          <w:tcPr>
            <w:tcW w:w="1959" w:type="dxa"/>
            <w:gridSpan w:val="3"/>
            <w:tcBorders>
              <w:top w:val="nil"/>
              <w:left w:val="single" w:sz="4" w:space="0" w:color="auto"/>
              <w:bottom w:val="single" w:sz="4" w:space="0" w:color="auto"/>
              <w:right w:val="single" w:sz="4" w:space="0" w:color="auto"/>
            </w:tcBorders>
            <w:noWrap/>
            <w:vAlign w:val="bottom"/>
            <w:hideMark/>
          </w:tcPr>
          <w:p w14:paraId="6535991E"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Multiple R</w:t>
            </w:r>
          </w:p>
        </w:tc>
        <w:tc>
          <w:tcPr>
            <w:tcW w:w="1255" w:type="dxa"/>
            <w:gridSpan w:val="3"/>
            <w:tcBorders>
              <w:top w:val="nil"/>
              <w:left w:val="nil"/>
              <w:bottom w:val="single" w:sz="4" w:space="0" w:color="auto"/>
              <w:right w:val="single" w:sz="4" w:space="0" w:color="auto"/>
            </w:tcBorders>
            <w:noWrap/>
            <w:vAlign w:val="bottom"/>
            <w:hideMark/>
          </w:tcPr>
          <w:p w14:paraId="543FF707"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0.644526</w:t>
            </w:r>
          </w:p>
        </w:tc>
      </w:tr>
      <w:tr w:rsidR="00C906A7" w:rsidRPr="00B3584D" w14:paraId="2534C2C2" w14:textId="77777777" w:rsidTr="002D6FEA">
        <w:trPr>
          <w:gridAfter w:val="11"/>
          <w:wAfter w:w="6367" w:type="dxa"/>
          <w:trHeight w:val="300"/>
        </w:trPr>
        <w:tc>
          <w:tcPr>
            <w:tcW w:w="1959" w:type="dxa"/>
            <w:gridSpan w:val="3"/>
            <w:tcBorders>
              <w:top w:val="nil"/>
              <w:left w:val="single" w:sz="4" w:space="0" w:color="auto"/>
              <w:bottom w:val="single" w:sz="4" w:space="0" w:color="auto"/>
              <w:right w:val="single" w:sz="4" w:space="0" w:color="auto"/>
            </w:tcBorders>
            <w:noWrap/>
            <w:vAlign w:val="bottom"/>
            <w:hideMark/>
          </w:tcPr>
          <w:p w14:paraId="29A909B6"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R Square</w:t>
            </w:r>
          </w:p>
        </w:tc>
        <w:tc>
          <w:tcPr>
            <w:tcW w:w="1255" w:type="dxa"/>
            <w:gridSpan w:val="3"/>
            <w:tcBorders>
              <w:top w:val="nil"/>
              <w:left w:val="nil"/>
              <w:bottom w:val="single" w:sz="4" w:space="0" w:color="auto"/>
              <w:right w:val="single" w:sz="4" w:space="0" w:color="auto"/>
            </w:tcBorders>
            <w:noWrap/>
            <w:vAlign w:val="bottom"/>
            <w:hideMark/>
          </w:tcPr>
          <w:p w14:paraId="54E6616F"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0.415414</w:t>
            </w:r>
          </w:p>
        </w:tc>
      </w:tr>
      <w:tr w:rsidR="00C906A7" w:rsidRPr="00B3584D" w14:paraId="7CA3C372" w14:textId="77777777" w:rsidTr="002D6FEA">
        <w:trPr>
          <w:gridAfter w:val="11"/>
          <w:wAfter w:w="6367" w:type="dxa"/>
          <w:trHeight w:val="300"/>
        </w:trPr>
        <w:tc>
          <w:tcPr>
            <w:tcW w:w="1959" w:type="dxa"/>
            <w:gridSpan w:val="3"/>
            <w:tcBorders>
              <w:top w:val="nil"/>
              <w:left w:val="single" w:sz="4" w:space="0" w:color="auto"/>
              <w:bottom w:val="single" w:sz="4" w:space="0" w:color="auto"/>
              <w:right w:val="single" w:sz="4" w:space="0" w:color="auto"/>
            </w:tcBorders>
            <w:noWrap/>
            <w:vAlign w:val="bottom"/>
            <w:hideMark/>
          </w:tcPr>
          <w:p w14:paraId="74204160"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Adjusted R Square</w:t>
            </w:r>
          </w:p>
        </w:tc>
        <w:tc>
          <w:tcPr>
            <w:tcW w:w="1255" w:type="dxa"/>
            <w:gridSpan w:val="3"/>
            <w:tcBorders>
              <w:top w:val="nil"/>
              <w:left w:val="nil"/>
              <w:bottom w:val="single" w:sz="4" w:space="0" w:color="auto"/>
              <w:right w:val="single" w:sz="4" w:space="0" w:color="auto"/>
            </w:tcBorders>
            <w:noWrap/>
            <w:vAlign w:val="bottom"/>
            <w:hideMark/>
          </w:tcPr>
          <w:p w14:paraId="1478E2DC"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0.346639</w:t>
            </w:r>
          </w:p>
        </w:tc>
      </w:tr>
      <w:tr w:rsidR="00C906A7" w:rsidRPr="00B3584D" w14:paraId="5CE9A152" w14:textId="77777777" w:rsidTr="002D6FEA">
        <w:trPr>
          <w:gridAfter w:val="11"/>
          <w:wAfter w:w="6367" w:type="dxa"/>
          <w:trHeight w:val="300"/>
        </w:trPr>
        <w:tc>
          <w:tcPr>
            <w:tcW w:w="1959" w:type="dxa"/>
            <w:gridSpan w:val="3"/>
            <w:tcBorders>
              <w:top w:val="nil"/>
              <w:left w:val="single" w:sz="4" w:space="0" w:color="auto"/>
              <w:bottom w:val="single" w:sz="4" w:space="0" w:color="auto"/>
              <w:right w:val="single" w:sz="4" w:space="0" w:color="auto"/>
            </w:tcBorders>
            <w:noWrap/>
            <w:vAlign w:val="bottom"/>
            <w:hideMark/>
          </w:tcPr>
          <w:p w14:paraId="318DEF17"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Standard Error</w:t>
            </w:r>
          </w:p>
        </w:tc>
        <w:tc>
          <w:tcPr>
            <w:tcW w:w="1255" w:type="dxa"/>
            <w:gridSpan w:val="3"/>
            <w:tcBorders>
              <w:top w:val="nil"/>
              <w:left w:val="nil"/>
              <w:bottom w:val="single" w:sz="4" w:space="0" w:color="auto"/>
              <w:right w:val="single" w:sz="4" w:space="0" w:color="auto"/>
            </w:tcBorders>
            <w:noWrap/>
            <w:vAlign w:val="bottom"/>
            <w:hideMark/>
          </w:tcPr>
          <w:p w14:paraId="2D1A16CE"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0.798678</w:t>
            </w:r>
          </w:p>
        </w:tc>
      </w:tr>
      <w:tr w:rsidR="00C906A7" w:rsidRPr="00B3584D" w14:paraId="3E16AB31" w14:textId="77777777" w:rsidTr="002D6FEA">
        <w:trPr>
          <w:gridAfter w:val="11"/>
          <w:wAfter w:w="6367" w:type="dxa"/>
          <w:trHeight w:val="300"/>
        </w:trPr>
        <w:tc>
          <w:tcPr>
            <w:tcW w:w="1959" w:type="dxa"/>
            <w:gridSpan w:val="3"/>
            <w:tcBorders>
              <w:top w:val="nil"/>
              <w:left w:val="single" w:sz="4" w:space="0" w:color="auto"/>
              <w:bottom w:val="single" w:sz="4" w:space="0" w:color="auto"/>
              <w:right w:val="single" w:sz="4" w:space="0" w:color="auto"/>
            </w:tcBorders>
            <w:noWrap/>
            <w:vAlign w:val="bottom"/>
            <w:hideMark/>
          </w:tcPr>
          <w:p w14:paraId="09DEA162"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Observations</w:t>
            </w:r>
          </w:p>
        </w:tc>
        <w:tc>
          <w:tcPr>
            <w:tcW w:w="1255" w:type="dxa"/>
            <w:gridSpan w:val="3"/>
            <w:tcBorders>
              <w:top w:val="nil"/>
              <w:left w:val="nil"/>
              <w:bottom w:val="single" w:sz="4" w:space="0" w:color="auto"/>
              <w:right w:val="single" w:sz="4" w:space="0" w:color="auto"/>
            </w:tcBorders>
            <w:noWrap/>
            <w:vAlign w:val="bottom"/>
            <w:hideMark/>
          </w:tcPr>
          <w:p w14:paraId="3CE1D0DE"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20</w:t>
            </w:r>
          </w:p>
        </w:tc>
      </w:tr>
      <w:tr w:rsidR="00C906A7" w:rsidRPr="00B3584D" w14:paraId="3688A151" w14:textId="77777777" w:rsidTr="002D6FEA">
        <w:trPr>
          <w:gridAfter w:val="3"/>
          <w:wAfter w:w="2573" w:type="dxa"/>
          <w:trHeight w:val="300"/>
        </w:trPr>
        <w:tc>
          <w:tcPr>
            <w:tcW w:w="1178" w:type="dxa"/>
            <w:tcBorders>
              <w:top w:val="single" w:sz="4" w:space="0" w:color="auto"/>
              <w:left w:val="single" w:sz="4" w:space="0" w:color="auto"/>
              <w:bottom w:val="single" w:sz="4" w:space="0" w:color="auto"/>
              <w:right w:val="single" w:sz="4" w:space="0" w:color="auto"/>
            </w:tcBorders>
            <w:noWrap/>
            <w:vAlign w:val="bottom"/>
            <w:hideMark/>
          </w:tcPr>
          <w:p w14:paraId="06B248C7"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ANOVA</w:t>
            </w:r>
          </w:p>
        </w:tc>
        <w:tc>
          <w:tcPr>
            <w:tcW w:w="1128" w:type="dxa"/>
            <w:gridSpan w:val="3"/>
            <w:tcBorders>
              <w:top w:val="nil"/>
              <w:left w:val="single" w:sz="4" w:space="0" w:color="auto"/>
              <w:bottom w:val="nil"/>
              <w:right w:val="nil"/>
            </w:tcBorders>
            <w:noWrap/>
            <w:vAlign w:val="bottom"/>
            <w:hideMark/>
          </w:tcPr>
          <w:p w14:paraId="009EA2D5"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p>
        </w:tc>
        <w:tc>
          <w:tcPr>
            <w:tcW w:w="1142" w:type="dxa"/>
            <w:gridSpan w:val="3"/>
            <w:tcBorders>
              <w:top w:val="nil"/>
              <w:left w:val="nil"/>
              <w:bottom w:val="nil"/>
              <w:right w:val="nil"/>
            </w:tcBorders>
            <w:noWrap/>
            <w:vAlign w:val="bottom"/>
            <w:hideMark/>
          </w:tcPr>
          <w:p w14:paraId="60D9831E" w14:textId="77777777" w:rsidR="00C906A7" w:rsidRPr="00B3584D" w:rsidRDefault="00C906A7" w:rsidP="00766E88">
            <w:pPr>
              <w:spacing w:after="0" w:line="240" w:lineRule="auto"/>
              <w:jc w:val="both"/>
              <w:rPr>
                <w:rFonts w:ascii="Times New Roman" w:eastAsia="Times New Roman" w:hAnsi="Times New Roman" w:cs="Times New Roman"/>
                <w:sz w:val="20"/>
                <w:szCs w:val="20"/>
                <w:lang w:bidi="ta-IN"/>
              </w:rPr>
            </w:pPr>
          </w:p>
        </w:tc>
        <w:tc>
          <w:tcPr>
            <w:tcW w:w="1054" w:type="dxa"/>
            <w:gridSpan w:val="3"/>
            <w:tcBorders>
              <w:top w:val="nil"/>
              <w:left w:val="nil"/>
              <w:bottom w:val="nil"/>
              <w:right w:val="nil"/>
            </w:tcBorders>
            <w:noWrap/>
            <w:vAlign w:val="bottom"/>
            <w:hideMark/>
          </w:tcPr>
          <w:p w14:paraId="13880984" w14:textId="77777777" w:rsidR="00C906A7" w:rsidRPr="00B3584D" w:rsidRDefault="00C906A7" w:rsidP="00766E88">
            <w:pPr>
              <w:spacing w:after="0" w:line="240" w:lineRule="auto"/>
              <w:jc w:val="both"/>
              <w:rPr>
                <w:rFonts w:ascii="Times New Roman" w:eastAsia="Times New Roman" w:hAnsi="Times New Roman" w:cs="Times New Roman"/>
                <w:sz w:val="20"/>
                <w:szCs w:val="20"/>
                <w:lang w:bidi="ta-IN"/>
              </w:rPr>
            </w:pPr>
          </w:p>
        </w:tc>
        <w:tc>
          <w:tcPr>
            <w:tcW w:w="1128" w:type="dxa"/>
            <w:gridSpan w:val="2"/>
            <w:tcBorders>
              <w:top w:val="nil"/>
              <w:left w:val="nil"/>
              <w:bottom w:val="nil"/>
              <w:right w:val="nil"/>
            </w:tcBorders>
            <w:noWrap/>
            <w:vAlign w:val="bottom"/>
            <w:hideMark/>
          </w:tcPr>
          <w:p w14:paraId="64E1D64E" w14:textId="77777777" w:rsidR="00C906A7" w:rsidRPr="00B3584D" w:rsidRDefault="00C906A7" w:rsidP="00766E88">
            <w:pPr>
              <w:spacing w:after="0" w:line="240" w:lineRule="auto"/>
              <w:jc w:val="both"/>
              <w:rPr>
                <w:rFonts w:ascii="Times New Roman" w:eastAsia="Times New Roman" w:hAnsi="Times New Roman" w:cs="Times New Roman"/>
                <w:sz w:val="20"/>
                <w:szCs w:val="20"/>
                <w:lang w:bidi="ta-IN"/>
              </w:rPr>
            </w:pPr>
          </w:p>
        </w:tc>
        <w:tc>
          <w:tcPr>
            <w:tcW w:w="1378" w:type="dxa"/>
            <w:gridSpan w:val="2"/>
            <w:tcBorders>
              <w:top w:val="nil"/>
              <w:left w:val="nil"/>
              <w:bottom w:val="nil"/>
              <w:right w:val="nil"/>
            </w:tcBorders>
            <w:noWrap/>
            <w:vAlign w:val="bottom"/>
            <w:hideMark/>
          </w:tcPr>
          <w:p w14:paraId="46E767DF" w14:textId="77777777" w:rsidR="00C906A7" w:rsidRPr="00B3584D" w:rsidRDefault="00C906A7" w:rsidP="00766E88">
            <w:pPr>
              <w:spacing w:after="0" w:line="240" w:lineRule="auto"/>
              <w:jc w:val="both"/>
              <w:rPr>
                <w:rFonts w:ascii="Times New Roman" w:eastAsia="Times New Roman" w:hAnsi="Times New Roman" w:cs="Times New Roman"/>
                <w:sz w:val="20"/>
                <w:szCs w:val="20"/>
                <w:lang w:bidi="ta-IN"/>
              </w:rPr>
            </w:pPr>
          </w:p>
        </w:tc>
      </w:tr>
      <w:tr w:rsidR="00C906A7" w:rsidRPr="00B3584D" w14:paraId="7D28355A" w14:textId="77777777" w:rsidTr="002D6FEA">
        <w:trPr>
          <w:gridAfter w:val="3"/>
          <w:wAfter w:w="2573" w:type="dxa"/>
          <w:trHeight w:val="288"/>
        </w:trPr>
        <w:tc>
          <w:tcPr>
            <w:tcW w:w="1178" w:type="dxa"/>
            <w:tcBorders>
              <w:top w:val="single" w:sz="4" w:space="0" w:color="auto"/>
              <w:left w:val="single" w:sz="4" w:space="0" w:color="auto"/>
              <w:bottom w:val="single" w:sz="4" w:space="0" w:color="auto"/>
              <w:right w:val="single" w:sz="4" w:space="0" w:color="auto"/>
            </w:tcBorders>
            <w:noWrap/>
            <w:vAlign w:val="bottom"/>
            <w:hideMark/>
          </w:tcPr>
          <w:p w14:paraId="32A168F5" w14:textId="77777777" w:rsidR="00C906A7" w:rsidRPr="00B3584D" w:rsidRDefault="00C906A7" w:rsidP="00766E88">
            <w:pPr>
              <w:spacing w:after="0" w:line="240" w:lineRule="auto"/>
              <w:jc w:val="both"/>
              <w:rPr>
                <w:rFonts w:ascii="Times New Roman" w:eastAsia="Times New Roman" w:hAnsi="Times New Roman" w:cs="Times New Roman"/>
                <w:i/>
                <w:iCs/>
                <w:color w:val="000000"/>
                <w:lang w:bidi="ta-IN"/>
              </w:rPr>
            </w:pPr>
            <w:r w:rsidRPr="00B3584D">
              <w:rPr>
                <w:rFonts w:ascii="Times New Roman" w:eastAsia="Times New Roman" w:hAnsi="Times New Roman" w:cs="Times New Roman"/>
                <w:i/>
                <w:iCs/>
                <w:color w:val="000000"/>
                <w:lang w:bidi="ta-IN"/>
              </w:rPr>
              <w:t> </w:t>
            </w:r>
          </w:p>
        </w:tc>
        <w:tc>
          <w:tcPr>
            <w:tcW w:w="1128" w:type="dxa"/>
            <w:gridSpan w:val="3"/>
            <w:tcBorders>
              <w:top w:val="single" w:sz="4" w:space="0" w:color="auto"/>
              <w:left w:val="nil"/>
              <w:bottom w:val="single" w:sz="4" w:space="0" w:color="auto"/>
              <w:right w:val="single" w:sz="4" w:space="0" w:color="auto"/>
            </w:tcBorders>
            <w:noWrap/>
            <w:vAlign w:val="bottom"/>
            <w:hideMark/>
          </w:tcPr>
          <w:p w14:paraId="7544523F" w14:textId="77777777" w:rsidR="00C906A7" w:rsidRPr="00B3584D" w:rsidRDefault="00C906A7" w:rsidP="00766E88">
            <w:pPr>
              <w:spacing w:after="0" w:line="240" w:lineRule="auto"/>
              <w:jc w:val="both"/>
              <w:rPr>
                <w:rFonts w:ascii="Times New Roman" w:eastAsia="Times New Roman" w:hAnsi="Times New Roman" w:cs="Times New Roman"/>
                <w:i/>
                <w:iCs/>
                <w:color w:val="000000"/>
                <w:lang w:bidi="ta-IN"/>
              </w:rPr>
            </w:pPr>
            <w:r w:rsidRPr="00B3584D">
              <w:rPr>
                <w:rFonts w:ascii="Times New Roman" w:eastAsia="Times New Roman" w:hAnsi="Times New Roman" w:cs="Times New Roman"/>
                <w:i/>
                <w:iCs/>
                <w:color w:val="000000"/>
                <w:lang w:bidi="ta-IN"/>
              </w:rPr>
              <w:t>do</w:t>
            </w:r>
          </w:p>
        </w:tc>
        <w:tc>
          <w:tcPr>
            <w:tcW w:w="1142" w:type="dxa"/>
            <w:gridSpan w:val="3"/>
            <w:tcBorders>
              <w:top w:val="single" w:sz="4" w:space="0" w:color="auto"/>
              <w:left w:val="nil"/>
              <w:bottom w:val="single" w:sz="4" w:space="0" w:color="auto"/>
              <w:right w:val="single" w:sz="4" w:space="0" w:color="auto"/>
            </w:tcBorders>
            <w:noWrap/>
            <w:vAlign w:val="bottom"/>
            <w:hideMark/>
          </w:tcPr>
          <w:p w14:paraId="59143385" w14:textId="77777777" w:rsidR="00C906A7" w:rsidRPr="00B3584D" w:rsidRDefault="00C906A7" w:rsidP="00766E88">
            <w:pPr>
              <w:spacing w:after="0" w:line="240" w:lineRule="auto"/>
              <w:jc w:val="both"/>
              <w:rPr>
                <w:rFonts w:ascii="Times New Roman" w:eastAsia="Times New Roman" w:hAnsi="Times New Roman" w:cs="Times New Roman"/>
                <w:i/>
                <w:iCs/>
                <w:color w:val="000000"/>
                <w:lang w:bidi="ta-IN"/>
              </w:rPr>
            </w:pPr>
            <w:r w:rsidRPr="00B3584D">
              <w:rPr>
                <w:rFonts w:ascii="Times New Roman" w:eastAsia="Times New Roman" w:hAnsi="Times New Roman" w:cs="Times New Roman"/>
                <w:i/>
                <w:iCs/>
                <w:color w:val="000000"/>
                <w:lang w:bidi="ta-IN"/>
              </w:rPr>
              <w:t>SS</w:t>
            </w:r>
          </w:p>
        </w:tc>
        <w:tc>
          <w:tcPr>
            <w:tcW w:w="1054" w:type="dxa"/>
            <w:gridSpan w:val="3"/>
            <w:tcBorders>
              <w:top w:val="single" w:sz="4" w:space="0" w:color="auto"/>
              <w:left w:val="nil"/>
              <w:bottom w:val="single" w:sz="4" w:space="0" w:color="auto"/>
              <w:right w:val="single" w:sz="4" w:space="0" w:color="auto"/>
            </w:tcBorders>
            <w:noWrap/>
            <w:vAlign w:val="bottom"/>
            <w:hideMark/>
          </w:tcPr>
          <w:p w14:paraId="7709603C" w14:textId="77777777" w:rsidR="00C906A7" w:rsidRPr="00B3584D" w:rsidRDefault="00C906A7" w:rsidP="00766E88">
            <w:pPr>
              <w:spacing w:after="0" w:line="240" w:lineRule="auto"/>
              <w:jc w:val="both"/>
              <w:rPr>
                <w:rFonts w:ascii="Times New Roman" w:eastAsia="Times New Roman" w:hAnsi="Times New Roman" w:cs="Times New Roman"/>
                <w:i/>
                <w:iCs/>
                <w:color w:val="000000"/>
                <w:lang w:bidi="ta-IN"/>
              </w:rPr>
            </w:pPr>
            <w:r w:rsidRPr="00B3584D">
              <w:rPr>
                <w:rFonts w:ascii="Times New Roman" w:eastAsia="Times New Roman" w:hAnsi="Times New Roman" w:cs="Times New Roman"/>
                <w:i/>
                <w:iCs/>
                <w:color w:val="000000"/>
                <w:lang w:bidi="ta-IN"/>
              </w:rPr>
              <w:t>MS</w:t>
            </w:r>
          </w:p>
        </w:tc>
        <w:tc>
          <w:tcPr>
            <w:tcW w:w="1128" w:type="dxa"/>
            <w:gridSpan w:val="2"/>
            <w:tcBorders>
              <w:top w:val="single" w:sz="4" w:space="0" w:color="auto"/>
              <w:left w:val="nil"/>
              <w:bottom w:val="single" w:sz="4" w:space="0" w:color="auto"/>
              <w:right w:val="single" w:sz="4" w:space="0" w:color="auto"/>
            </w:tcBorders>
            <w:noWrap/>
            <w:vAlign w:val="bottom"/>
            <w:hideMark/>
          </w:tcPr>
          <w:p w14:paraId="3DBDE5B8" w14:textId="77777777" w:rsidR="00C906A7" w:rsidRPr="00B3584D" w:rsidRDefault="00C906A7" w:rsidP="00766E88">
            <w:pPr>
              <w:spacing w:after="0" w:line="240" w:lineRule="auto"/>
              <w:jc w:val="both"/>
              <w:rPr>
                <w:rFonts w:ascii="Times New Roman" w:eastAsia="Times New Roman" w:hAnsi="Times New Roman" w:cs="Times New Roman"/>
                <w:i/>
                <w:iCs/>
                <w:color w:val="000000"/>
                <w:lang w:bidi="ta-IN"/>
              </w:rPr>
            </w:pPr>
            <w:r w:rsidRPr="00B3584D">
              <w:rPr>
                <w:rFonts w:ascii="Times New Roman" w:eastAsia="Times New Roman" w:hAnsi="Times New Roman" w:cs="Times New Roman"/>
                <w:i/>
                <w:iCs/>
                <w:color w:val="000000"/>
                <w:lang w:bidi="ta-IN"/>
              </w:rPr>
              <w:t>F</w:t>
            </w:r>
          </w:p>
        </w:tc>
        <w:tc>
          <w:tcPr>
            <w:tcW w:w="1378" w:type="dxa"/>
            <w:gridSpan w:val="2"/>
            <w:tcBorders>
              <w:top w:val="single" w:sz="4" w:space="0" w:color="auto"/>
              <w:left w:val="nil"/>
              <w:bottom w:val="single" w:sz="4" w:space="0" w:color="auto"/>
              <w:right w:val="single" w:sz="4" w:space="0" w:color="auto"/>
            </w:tcBorders>
            <w:noWrap/>
            <w:vAlign w:val="bottom"/>
            <w:hideMark/>
          </w:tcPr>
          <w:p w14:paraId="39228A80" w14:textId="77777777" w:rsidR="00C906A7" w:rsidRPr="00B3584D" w:rsidRDefault="00C906A7" w:rsidP="00766E88">
            <w:pPr>
              <w:spacing w:after="0" w:line="240" w:lineRule="auto"/>
              <w:jc w:val="both"/>
              <w:rPr>
                <w:rFonts w:ascii="Times New Roman" w:eastAsia="Times New Roman" w:hAnsi="Times New Roman" w:cs="Times New Roman"/>
                <w:i/>
                <w:iCs/>
                <w:color w:val="000000"/>
                <w:lang w:bidi="ta-IN"/>
              </w:rPr>
            </w:pPr>
            <w:r w:rsidRPr="00B3584D">
              <w:rPr>
                <w:rFonts w:ascii="Times New Roman" w:eastAsia="Times New Roman" w:hAnsi="Times New Roman" w:cs="Times New Roman"/>
                <w:i/>
                <w:iCs/>
                <w:color w:val="000000"/>
                <w:lang w:bidi="ta-IN"/>
              </w:rPr>
              <w:t>Significance F</w:t>
            </w:r>
          </w:p>
        </w:tc>
      </w:tr>
      <w:tr w:rsidR="00C906A7" w:rsidRPr="00B3584D" w14:paraId="00330E26" w14:textId="77777777" w:rsidTr="002D6FEA">
        <w:trPr>
          <w:gridAfter w:val="3"/>
          <w:wAfter w:w="2573" w:type="dxa"/>
          <w:trHeight w:val="288"/>
        </w:trPr>
        <w:tc>
          <w:tcPr>
            <w:tcW w:w="1178" w:type="dxa"/>
            <w:tcBorders>
              <w:top w:val="nil"/>
              <w:left w:val="single" w:sz="4" w:space="0" w:color="auto"/>
              <w:bottom w:val="single" w:sz="4" w:space="0" w:color="auto"/>
              <w:right w:val="single" w:sz="4" w:space="0" w:color="auto"/>
            </w:tcBorders>
            <w:noWrap/>
            <w:vAlign w:val="bottom"/>
            <w:hideMark/>
          </w:tcPr>
          <w:p w14:paraId="0A93AA45"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Regression</w:t>
            </w:r>
          </w:p>
        </w:tc>
        <w:tc>
          <w:tcPr>
            <w:tcW w:w="1128" w:type="dxa"/>
            <w:gridSpan w:val="3"/>
            <w:tcBorders>
              <w:top w:val="nil"/>
              <w:left w:val="nil"/>
              <w:bottom w:val="single" w:sz="4" w:space="0" w:color="auto"/>
              <w:right w:val="single" w:sz="4" w:space="0" w:color="auto"/>
            </w:tcBorders>
            <w:noWrap/>
            <w:vAlign w:val="bottom"/>
            <w:hideMark/>
          </w:tcPr>
          <w:p w14:paraId="5DF7D42F"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2</w:t>
            </w:r>
          </w:p>
        </w:tc>
        <w:tc>
          <w:tcPr>
            <w:tcW w:w="1142" w:type="dxa"/>
            <w:gridSpan w:val="3"/>
            <w:tcBorders>
              <w:top w:val="nil"/>
              <w:left w:val="nil"/>
              <w:bottom w:val="single" w:sz="4" w:space="0" w:color="auto"/>
              <w:right w:val="single" w:sz="4" w:space="0" w:color="auto"/>
            </w:tcBorders>
            <w:noWrap/>
            <w:vAlign w:val="bottom"/>
            <w:hideMark/>
          </w:tcPr>
          <w:p w14:paraId="0793F4FB"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7.705928</w:t>
            </w:r>
          </w:p>
        </w:tc>
        <w:tc>
          <w:tcPr>
            <w:tcW w:w="1054" w:type="dxa"/>
            <w:gridSpan w:val="3"/>
            <w:tcBorders>
              <w:top w:val="nil"/>
              <w:left w:val="nil"/>
              <w:bottom w:val="single" w:sz="4" w:space="0" w:color="auto"/>
              <w:right w:val="single" w:sz="4" w:space="0" w:color="auto"/>
            </w:tcBorders>
            <w:noWrap/>
            <w:vAlign w:val="bottom"/>
            <w:hideMark/>
          </w:tcPr>
          <w:p w14:paraId="5229F5DB"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3.852964</w:t>
            </w:r>
          </w:p>
        </w:tc>
        <w:tc>
          <w:tcPr>
            <w:tcW w:w="1128" w:type="dxa"/>
            <w:gridSpan w:val="2"/>
            <w:tcBorders>
              <w:top w:val="nil"/>
              <w:left w:val="nil"/>
              <w:bottom w:val="single" w:sz="4" w:space="0" w:color="auto"/>
              <w:right w:val="single" w:sz="4" w:space="0" w:color="auto"/>
            </w:tcBorders>
            <w:noWrap/>
            <w:vAlign w:val="bottom"/>
            <w:hideMark/>
          </w:tcPr>
          <w:p w14:paraId="2EC9C700"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6.040202</w:t>
            </w:r>
          </w:p>
        </w:tc>
        <w:tc>
          <w:tcPr>
            <w:tcW w:w="1378" w:type="dxa"/>
            <w:gridSpan w:val="2"/>
            <w:tcBorders>
              <w:top w:val="nil"/>
              <w:left w:val="nil"/>
              <w:bottom w:val="single" w:sz="4" w:space="0" w:color="auto"/>
              <w:right w:val="single" w:sz="4" w:space="0" w:color="auto"/>
            </w:tcBorders>
            <w:noWrap/>
            <w:vAlign w:val="bottom"/>
            <w:hideMark/>
          </w:tcPr>
          <w:p w14:paraId="0DE408D2"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0.010428</w:t>
            </w:r>
          </w:p>
        </w:tc>
      </w:tr>
      <w:tr w:rsidR="00C906A7" w:rsidRPr="00B3584D" w14:paraId="6590764D" w14:textId="77777777" w:rsidTr="002D6FEA">
        <w:trPr>
          <w:gridAfter w:val="3"/>
          <w:wAfter w:w="2573" w:type="dxa"/>
          <w:trHeight w:val="288"/>
        </w:trPr>
        <w:tc>
          <w:tcPr>
            <w:tcW w:w="1178" w:type="dxa"/>
            <w:tcBorders>
              <w:top w:val="nil"/>
              <w:left w:val="single" w:sz="4" w:space="0" w:color="auto"/>
              <w:bottom w:val="single" w:sz="4" w:space="0" w:color="auto"/>
              <w:right w:val="single" w:sz="4" w:space="0" w:color="auto"/>
            </w:tcBorders>
            <w:noWrap/>
            <w:vAlign w:val="bottom"/>
            <w:hideMark/>
          </w:tcPr>
          <w:p w14:paraId="41B28193"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Residual</w:t>
            </w:r>
          </w:p>
        </w:tc>
        <w:tc>
          <w:tcPr>
            <w:tcW w:w="1128" w:type="dxa"/>
            <w:gridSpan w:val="3"/>
            <w:tcBorders>
              <w:top w:val="nil"/>
              <w:left w:val="nil"/>
              <w:bottom w:val="single" w:sz="4" w:space="0" w:color="auto"/>
              <w:right w:val="single" w:sz="4" w:space="0" w:color="auto"/>
            </w:tcBorders>
            <w:noWrap/>
            <w:vAlign w:val="bottom"/>
            <w:hideMark/>
          </w:tcPr>
          <w:p w14:paraId="7821BFF7"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17</w:t>
            </w:r>
          </w:p>
        </w:tc>
        <w:tc>
          <w:tcPr>
            <w:tcW w:w="1142" w:type="dxa"/>
            <w:gridSpan w:val="3"/>
            <w:tcBorders>
              <w:top w:val="nil"/>
              <w:left w:val="nil"/>
              <w:bottom w:val="single" w:sz="4" w:space="0" w:color="auto"/>
              <w:right w:val="single" w:sz="4" w:space="0" w:color="auto"/>
            </w:tcBorders>
            <w:noWrap/>
            <w:vAlign w:val="bottom"/>
            <w:hideMark/>
          </w:tcPr>
          <w:p w14:paraId="41CE4D9B"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10.84407</w:t>
            </w:r>
          </w:p>
        </w:tc>
        <w:tc>
          <w:tcPr>
            <w:tcW w:w="1054" w:type="dxa"/>
            <w:gridSpan w:val="3"/>
            <w:tcBorders>
              <w:top w:val="nil"/>
              <w:left w:val="nil"/>
              <w:bottom w:val="single" w:sz="4" w:space="0" w:color="auto"/>
              <w:right w:val="single" w:sz="4" w:space="0" w:color="auto"/>
            </w:tcBorders>
            <w:noWrap/>
            <w:vAlign w:val="bottom"/>
            <w:hideMark/>
          </w:tcPr>
          <w:p w14:paraId="22841C49"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0.637887</w:t>
            </w:r>
          </w:p>
        </w:tc>
        <w:tc>
          <w:tcPr>
            <w:tcW w:w="1128" w:type="dxa"/>
            <w:gridSpan w:val="2"/>
            <w:tcBorders>
              <w:top w:val="nil"/>
              <w:left w:val="nil"/>
              <w:bottom w:val="single" w:sz="4" w:space="0" w:color="auto"/>
              <w:right w:val="single" w:sz="4" w:space="0" w:color="auto"/>
            </w:tcBorders>
            <w:noWrap/>
            <w:vAlign w:val="bottom"/>
            <w:hideMark/>
          </w:tcPr>
          <w:p w14:paraId="413DE25A"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 </w:t>
            </w:r>
          </w:p>
        </w:tc>
        <w:tc>
          <w:tcPr>
            <w:tcW w:w="1378" w:type="dxa"/>
            <w:gridSpan w:val="2"/>
            <w:tcBorders>
              <w:top w:val="nil"/>
              <w:left w:val="nil"/>
              <w:bottom w:val="single" w:sz="4" w:space="0" w:color="auto"/>
              <w:right w:val="single" w:sz="4" w:space="0" w:color="auto"/>
            </w:tcBorders>
            <w:noWrap/>
            <w:vAlign w:val="bottom"/>
            <w:hideMark/>
          </w:tcPr>
          <w:p w14:paraId="7E217B9F"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 </w:t>
            </w:r>
          </w:p>
        </w:tc>
      </w:tr>
      <w:tr w:rsidR="00C906A7" w:rsidRPr="00B3584D" w14:paraId="747E9208" w14:textId="77777777" w:rsidTr="002D6FEA">
        <w:trPr>
          <w:gridAfter w:val="3"/>
          <w:wAfter w:w="2573" w:type="dxa"/>
          <w:trHeight w:val="288"/>
        </w:trPr>
        <w:tc>
          <w:tcPr>
            <w:tcW w:w="1178" w:type="dxa"/>
            <w:tcBorders>
              <w:top w:val="nil"/>
              <w:left w:val="single" w:sz="4" w:space="0" w:color="auto"/>
              <w:bottom w:val="single" w:sz="4" w:space="0" w:color="auto"/>
              <w:right w:val="single" w:sz="4" w:space="0" w:color="auto"/>
            </w:tcBorders>
            <w:noWrap/>
            <w:vAlign w:val="bottom"/>
            <w:hideMark/>
          </w:tcPr>
          <w:p w14:paraId="72174568"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Total</w:t>
            </w:r>
          </w:p>
        </w:tc>
        <w:tc>
          <w:tcPr>
            <w:tcW w:w="1128" w:type="dxa"/>
            <w:gridSpan w:val="3"/>
            <w:tcBorders>
              <w:top w:val="nil"/>
              <w:left w:val="nil"/>
              <w:bottom w:val="single" w:sz="4" w:space="0" w:color="auto"/>
              <w:right w:val="single" w:sz="4" w:space="0" w:color="auto"/>
            </w:tcBorders>
            <w:noWrap/>
            <w:vAlign w:val="bottom"/>
            <w:hideMark/>
          </w:tcPr>
          <w:p w14:paraId="01CE9408"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19</w:t>
            </w:r>
          </w:p>
        </w:tc>
        <w:tc>
          <w:tcPr>
            <w:tcW w:w="1142" w:type="dxa"/>
            <w:gridSpan w:val="3"/>
            <w:tcBorders>
              <w:top w:val="nil"/>
              <w:left w:val="nil"/>
              <w:bottom w:val="single" w:sz="4" w:space="0" w:color="auto"/>
              <w:right w:val="single" w:sz="4" w:space="0" w:color="auto"/>
            </w:tcBorders>
            <w:noWrap/>
            <w:vAlign w:val="bottom"/>
            <w:hideMark/>
          </w:tcPr>
          <w:p w14:paraId="6D11A416"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18.55</w:t>
            </w:r>
          </w:p>
        </w:tc>
        <w:tc>
          <w:tcPr>
            <w:tcW w:w="1054" w:type="dxa"/>
            <w:gridSpan w:val="3"/>
            <w:tcBorders>
              <w:top w:val="nil"/>
              <w:left w:val="nil"/>
              <w:bottom w:val="single" w:sz="4" w:space="0" w:color="auto"/>
              <w:right w:val="single" w:sz="4" w:space="0" w:color="auto"/>
            </w:tcBorders>
            <w:noWrap/>
            <w:vAlign w:val="bottom"/>
            <w:hideMark/>
          </w:tcPr>
          <w:p w14:paraId="58D0CE23"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 </w:t>
            </w:r>
          </w:p>
        </w:tc>
        <w:tc>
          <w:tcPr>
            <w:tcW w:w="1128" w:type="dxa"/>
            <w:gridSpan w:val="2"/>
            <w:tcBorders>
              <w:top w:val="nil"/>
              <w:left w:val="nil"/>
              <w:bottom w:val="single" w:sz="4" w:space="0" w:color="auto"/>
              <w:right w:val="single" w:sz="4" w:space="0" w:color="auto"/>
            </w:tcBorders>
            <w:noWrap/>
            <w:vAlign w:val="bottom"/>
            <w:hideMark/>
          </w:tcPr>
          <w:p w14:paraId="5D810614"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 </w:t>
            </w:r>
          </w:p>
        </w:tc>
        <w:tc>
          <w:tcPr>
            <w:tcW w:w="1378" w:type="dxa"/>
            <w:gridSpan w:val="2"/>
            <w:tcBorders>
              <w:top w:val="nil"/>
              <w:left w:val="nil"/>
              <w:bottom w:val="single" w:sz="4" w:space="0" w:color="auto"/>
              <w:right w:val="single" w:sz="4" w:space="0" w:color="auto"/>
            </w:tcBorders>
            <w:noWrap/>
            <w:vAlign w:val="bottom"/>
            <w:hideMark/>
          </w:tcPr>
          <w:p w14:paraId="39D326A6"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 </w:t>
            </w:r>
          </w:p>
        </w:tc>
      </w:tr>
      <w:tr w:rsidR="00C906A7" w:rsidRPr="00B3584D" w14:paraId="733C419E" w14:textId="77777777" w:rsidTr="002D6FEA">
        <w:trPr>
          <w:trHeight w:val="288"/>
        </w:trPr>
        <w:tc>
          <w:tcPr>
            <w:tcW w:w="1199" w:type="dxa"/>
            <w:gridSpan w:val="2"/>
            <w:tcBorders>
              <w:top w:val="single" w:sz="4" w:space="0" w:color="auto"/>
              <w:left w:val="single" w:sz="4" w:space="0" w:color="auto"/>
              <w:bottom w:val="single" w:sz="4" w:space="0" w:color="auto"/>
              <w:right w:val="single" w:sz="4" w:space="0" w:color="auto"/>
            </w:tcBorders>
            <w:noWrap/>
            <w:vAlign w:val="bottom"/>
            <w:hideMark/>
          </w:tcPr>
          <w:p w14:paraId="36B5340B" w14:textId="77777777" w:rsidR="00C906A7" w:rsidRPr="00B3584D" w:rsidRDefault="00C906A7" w:rsidP="00766E88">
            <w:pPr>
              <w:spacing w:after="0" w:line="240" w:lineRule="auto"/>
              <w:jc w:val="both"/>
              <w:rPr>
                <w:rFonts w:ascii="Times New Roman" w:eastAsia="Times New Roman" w:hAnsi="Times New Roman" w:cs="Times New Roman"/>
                <w:i/>
                <w:iCs/>
                <w:color w:val="000000"/>
                <w:lang w:bidi="ta-IN"/>
              </w:rPr>
            </w:pPr>
            <w:r w:rsidRPr="00B3584D">
              <w:rPr>
                <w:rFonts w:ascii="Times New Roman" w:eastAsia="Times New Roman" w:hAnsi="Times New Roman" w:cs="Times New Roman"/>
                <w:i/>
                <w:iCs/>
                <w:color w:val="000000"/>
                <w:lang w:bidi="ta-IN"/>
              </w:rPr>
              <w:t> </w:t>
            </w:r>
          </w:p>
        </w:tc>
        <w:tc>
          <w:tcPr>
            <w:tcW w:w="1257" w:type="dxa"/>
            <w:gridSpan w:val="3"/>
            <w:tcBorders>
              <w:top w:val="single" w:sz="4" w:space="0" w:color="auto"/>
              <w:left w:val="nil"/>
              <w:bottom w:val="single" w:sz="4" w:space="0" w:color="auto"/>
              <w:right w:val="single" w:sz="4" w:space="0" w:color="auto"/>
            </w:tcBorders>
            <w:noWrap/>
            <w:vAlign w:val="bottom"/>
            <w:hideMark/>
          </w:tcPr>
          <w:p w14:paraId="609A5CA4" w14:textId="77777777" w:rsidR="00C906A7" w:rsidRPr="00B3584D" w:rsidRDefault="00C906A7" w:rsidP="00766E88">
            <w:pPr>
              <w:spacing w:after="0" w:line="240" w:lineRule="auto"/>
              <w:jc w:val="both"/>
              <w:rPr>
                <w:rFonts w:ascii="Times New Roman" w:eastAsia="Times New Roman" w:hAnsi="Times New Roman" w:cs="Times New Roman"/>
                <w:i/>
                <w:iCs/>
                <w:color w:val="000000"/>
                <w:lang w:bidi="ta-IN"/>
              </w:rPr>
            </w:pPr>
            <w:r w:rsidRPr="00B3584D">
              <w:rPr>
                <w:rFonts w:ascii="Times New Roman" w:eastAsia="Times New Roman" w:hAnsi="Times New Roman" w:cs="Times New Roman"/>
                <w:i/>
                <w:iCs/>
                <w:color w:val="000000"/>
                <w:lang w:bidi="ta-IN"/>
              </w:rPr>
              <w:t>Coefficients</w:t>
            </w:r>
          </w:p>
        </w:tc>
        <w:tc>
          <w:tcPr>
            <w:tcW w:w="1031" w:type="dxa"/>
            <w:gridSpan w:val="3"/>
            <w:tcBorders>
              <w:top w:val="single" w:sz="4" w:space="0" w:color="auto"/>
              <w:left w:val="nil"/>
              <w:bottom w:val="single" w:sz="4" w:space="0" w:color="auto"/>
              <w:right w:val="single" w:sz="4" w:space="0" w:color="auto"/>
            </w:tcBorders>
            <w:noWrap/>
            <w:vAlign w:val="bottom"/>
            <w:hideMark/>
          </w:tcPr>
          <w:p w14:paraId="1CE0E6D5" w14:textId="77777777" w:rsidR="00C906A7" w:rsidRPr="00B3584D" w:rsidRDefault="00C906A7" w:rsidP="00766E88">
            <w:pPr>
              <w:spacing w:after="0" w:line="240" w:lineRule="auto"/>
              <w:jc w:val="both"/>
              <w:rPr>
                <w:rFonts w:ascii="Times New Roman" w:eastAsia="Times New Roman" w:hAnsi="Times New Roman" w:cs="Times New Roman"/>
                <w:i/>
                <w:iCs/>
                <w:color w:val="000000"/>
                <w:lang w:bidi="ta-IN"/>
              </w:rPr>
            </w:pPr>
            <w:r w:rsidRPr="00B3584D">
              <w:rPr>
                <w:rFonts w:ascii="Times New Roman" w:eastAsia="Times New Roman" w:hAnsi="Times New Roman" w:cs="Times New Roman"/>
                <w:i/>
                <w:iCs/>
                <w:color w:val="000000"/>
                <w:lang w:bidi="ta-IN"/>
              </w:rPr>
              <w:t>Standard Error</w:t>
            </w:r>
          </w:p>
        </w:tc>
        <w:tc>
          <w:tcPr>
            <w:tcW w:w="948" w:type="dxa"/>
            <w:tcBorders>
              <w:top w:val="single" w:sz="4" w:space="0" w:color="auto"/>
              <w:left w:val="nil"/>
              <w:bottom w:val="single" w:sz="4" w:space="0" w:color="auto"/>
              <w:right w:val="single" w:sz="4" w:space="0" w:color="auto"/>
            </w:tcBorders>
            <w:noWrap/>
            <w:vAlign w:val="bottom"/>
            <w:hideMark/>
          </w:tcPr>
          <w:p w14:paraId="7B043864" w14:textId="77777777" w:rsidR="00C906A7" w:rsidRPr="00B3584D" w:rsidRDefault="00C906A7" w:rsidP="00766E88">
            <w:pPr>
              <w:spacing w:after="0" w:line="240" w:lineRule="auto"/>
              <w:jc w:val="both"/>
              <w:rPr>
                <w:rFonts w:ascii="Times New Roman" w:eastAsia="Times New Roman" w:hAnsi="Times New Roman" w:cs="Times New Roman"/>
                <w:i/>
                <w:iCs/>
                <w:color w:val="000000"/>
                <w:lang w:bidi="ta-IN"/>
              </w:rPr>
            </w:pPr>
            <w:r w:rsidRPr="00B3584D">
              <w:rPr>
                <w:rFonts w:ascii="Times New Roman" w:eastAsia="Times New Roman" w:hAnsi="Times New Roman" w:cs="Times New Roman"/>
                <w:i/>
                <w:iCs/>
                <w:color w:val="000000"/>
                <w:lang w:bidi="ta-IN"/>
              </w:rPr>
              <w:t>t Stat</w:t>
            </w:r>
          </w:p>
        </w:tc>
        <w:tc>
          <w:tcPr>
            <w:tcW w:w="1031" w:type="dxa"/>
            <w:gridSpan w:val="2"/>
            <w:tcBorders>
              <w:top w:val="single" w:sz="4" w:space="0" w:color="auto"/>
              <w:left w:val="nil"/>
              <w:bottom w:val="single" w:sz="4" w:space="0" w:color="auto"/>
              <w:right w:val="single" w:sz="4" w:space="0" w:color="auto"/>
            </w:tcBorders>
            <w:noWrap/>
            <w:vAlign w:val="bottom"/>
            <w:hideMark/>
          </w:tcPr>
          <w:p w14:paraId="6BF44B50" w14:textId="77777777" w:rsidR="00C906A7" w:rsidRPr="00B3584D" w:rsidRDefault="00C906A7" w:rsidP="00766E88">
            <w:pPr>
              <w:spacing w:after="0" w:line="240" w:lineRule="auto"/>
              <w:jc w:val="both"/>
              <w:rPr>
                <w:rFonts w:ascii="Times New Roman" w:eastAsia="Times New Roman" w:hAnsi="Times New Roman" w:cs="Times New Roman"/>
                <w:i/>
                <w:iCs/>
                <w:color w:val="000000"/>
                <w:lang w:bidi="ta-IN"/>
              </w:rPr>
            </w:pPr>
            <w:r w:rsidRPr="00B3584D">
              <w:rPr>
                <w:rFonts w:ascii="Times New Roman" w:eastAsia="Times New Roman" w:hAnsi="Times New Roman" w:cs="Times New Roman"/>
                <w:i/>
                <w:iCs/>
                <w:color w:val="000000"/>
                <w:lang w:bidi="ta-IN"/>
              </w:rPr>
              <w:t>P-value</w:t>
            </w:r>
          </w:p>
        </w:tc>
        <w:tc>
          <w:tcPr>
            <w:tcW w:w="1031" w:type="dxa"/>
            <w:gridSpan w:val="2"/>
            <w:tcBorders>
              <w:top w:val="single" w:sz="4" w:space="0" w:color="auto"/>
              <w:left w:val="nil"/>
              <w:bottom w:val="single" w:sz="4" w:space="0" w:color="auto"/>
              <w:right w:val="single" w:sz="4" w:space="0" w:color="auto"/>
            </w:tcBorders>
            <w:noWrap/>
            <w:vAlign w:val="bottom"/>
            <w:hideMark/>
          </w:tcPr>
          <w:p w14:paraId="15FA26FD" w14:textId="77777777" w:rsidR="00C906A7" w:rsidRPr="00B3584D" w:rsidRDefault="00C906A7" w:rsidP="00766E88">
            <w:pPr>
              <w:spacing w:after="0" w:line="240" w:lineRule="auto"/>
              <w:jc w:val="both"/>
              <w:rPr>
                <w:rFonts w:ascii="Times New Roman" w:eastAsia="Times New Roman" w:hAnsi="Times New Roman" w:cs="Times New Roman"/>
                <w:i/>
                <w:iCs/>
                <w:color w:val="000000"/>
                <w:lang w:bidi="ta-IN"/>
              </w:rPr>
            </w:pPr>
            <w:r w:rsidRPr="00B3584D">
              <w:rPr>
                <w:rFonts w:ascii="Times New Roman" w:eastAsia="Times New Roman" w:hAnsi="Times New Roman" w:cs="Times New Roman"/>
                <w:i/>
                <w:iCs/>
                <w:color w:val="000000"/>
                <w:lang w:bidi="ta-IN"/>
              </w:rPr>
              <w:t>Lower 95%</w:t>
            </w:r>
          </w:p>
        </w:tc>
        <w:tc>
          <w:tcPr>
            <w:tcW w:w="1028" w:type="dxa"/>
            <w:gridSpan w:val="2"/>
            <w:tcBorders>
              <w:top w:val="single" w:sz="4" w:space="0" w:color="auto"/>
              <w:left w:val="nil"/>
              <w:bottom w:val="single" w:sz="4" w:space="0" w:color="auto"/>
              <w:right w:val="single" w:sz="4" w:space="0" w:color="auto"/>
            </w:tcBorders>
            <w:noWrap/>
            <w:vAlign w:val="bottom"/>
            <w:hideMark/>
          </w:tcPr>
          <w:p w14:paraId="38B6732E" w14:textId="77777777" w:rsidR="00C906A7" w:rsidRPr="00B3584D" w:rsidRDefault="00C906A7" w:rsidP="00766E88">
            <w:pPr>
              <w:spacing w:after="0" w:line="240" w:lineRule="auto"/>
              <w:jc w:val="both"/>
              <w:rPr>
                <w:rFonts w:ascii="Times New Roman" w:eastAsia="Times New Roman" w:hAnsi="Times New Roman" w:cs="Times New Roman"/>
                <w:i/>
                <w:iCs/>
                <w:color w:val="000000"/>
                <w:lang w:bidi="ta-IN"/>
              </w:rPr>
            </w:pPr>
            <w:r w:rsidRPr="00B3584D">
              <w:rPr>
                <w:rFonts w:ascii="Times New Roman" w:eastAsia="Times New Roman" w:hAnsi="Times New Roman" w:cs="Times New Roman"/>
                <w:i/>
                <w:iCs/>
                <w:color w:val="000000"/>
                <w:lang w:bidi="ta-IN"/>
              </w:rPr>
              <w:t>Upper 95%</w:t>
            </w:r>
          </w:p>
        </w:tc>
        <w:tc>
          <w:tcPr>
            <w:tcW w:w="1028" w:type="dxa"/>
            <w:tcBorders>
              <w:top w:val="single" w:sz="4" w:space="0" w:color="auto"/>
              <w:left w:val="nil"/>
              <w:bottom w:val="single" w:sz="4" w:space="0" w:color="auto"/>
              <w:right w:val="single" w:sz="4" w:space="0" w:color="auto"/>
            </w:tcBorders>
            <w:noWrap/>
            <w:vAlign w:val="bottom"/>
            <w:hideMark/>
          </w:tcPr>
          <w:p w14:paraId="4A6D7930" w14:textId="77777777" w:rsidR="00C906A7" w:rsidRPr="00B3584D" w:rsidRDefault="00C906A7" w:rsidP="00766E88">
            <w:pPr>
              <w:spacing w:after="0" w:line="240" w:lineRule="auto"/>
              <w:jc w:val="both"/>
              <w:rPr>
                <w:rFonts w:ascii="Times New Roman" w:eastAsia="Times New Roman" w:hAnsi="Times New Roman" w:cs="Times New Roman"/>
                <w:i/>
                <w:iCs/>
                <w:color w:val="000000"/>
                <w:lang w:bidi="ta-IN"/>
              </w:rPr>
            </w:pPr>
            <w:r w:rsidRPr="00B3584D">
              <w:rPr>
                <w:rFonts w:ascii="Times New Roman" w:eastAsia="Times New Roman" w:hAnsi="Times New Roman" w:cs="Times New Roman"/>
                <w:i/>
                <w:iCs/>
                <w:color w:val="000000"/>
                <w:lang w:bidi="ta-IN"/>
              </w:rPr>
              <w:t>Lower 95.0%</w:t>
            </w:r>
          </w:p>
        </w:tc>
        <w:tc>
          <w:tcPr>
            <w:tcW w:w="1028" w:type="dxa"/>
            <w:tcBorders>
              <w:top w:val="single" w:sz="4" w:space="0" w:color="auto"/>
              <w:left w:val="nil"/>
              <w:bottom w:val="single" w:sz="4" w:space="0" w:color="auto"/>
              <w:right w:val="single" w:sz="4" w:space="0" w:color="auto"/>
            </w:tcBorders>
            <w:noWrap/>
            <w:vAlign w:val="bottom"/>
            <w:hideMark/>
          </w:tcPr>
          <w:p w14:paraId="64CEF93B" w14:textId="77777777" w:rsidR="00C906A7" w:rsidRPr="00B3584D" w:rsidRDefault="00C906A7" w:rsidP="00766E88">
            <w:pPr>
              <w:spacing w:after="0" w:line="240" w:lineRule="auto"/>
              <w:jc w:val="both"/>
              <w:rPr>
                <w:rFonts w:ascii="Times New Roman" w:eastAsia="Times New Roman" w:hAnsi="Times New Roman" w:cs="Times New Roman"/>
                <w:i/>
                <w:iCs/>
                <w:color w:val="000000"/>
                <w:lang w:bidi="ta-IN"/>
              </w:rPr>
            </w:pPr>
            <w:r w:rsidRPr="00B3584D">
              <w:rPr>
                <w:rFonts w:ascii="Times New Roman" w:eastAsia="Times New Roman" w:hAnsi="Times New Roman" w:cs="Times New Roman"/>
                <w:i/>
                <w:iCs/>
                <w:color w:val="000000"/>
                <w:lang w:bidi="ta-IN"/>
              </w:rPr>
              <w:t>Upper 95.0%</w:t>
            </w:r>
          </w:p>
        </w:tc>
      </w:tr>
      <w:tr w:rsidR="00C906A7" w:rsidRPr="00B3584D" w14:paraId="5553105E" w14:textId="77777777" w:rsidTr="002D6FEA">
        <w:trPr>
          <w:trHeight w:val="288"/>
        </w:trPr>
        <w:tc>
          <w:tcPr>
            <w:tcW w:w="1199" w:type="dxa"/>
            <w:gridSpan w:val="2"/>
            <w:tcBorders>
              <w:top w:val="nil"/>
              <w:left w:val="single" w:sz="4" w:space="0" w:color="auto"/>
              <w:bottom w:val="single" w:sz="4" w:space="0" w:color="auto"/>
              <w:right w:val="single" w:sz="4" w:space="0" w:color="auto"/>
            </w:tcBorders>
            <w:noWrap/>
            <w:vAlign w:val="bottom"/>
            <w:hideMark/>
          </w:tcPr>
          <w:p w14:paraId="69AE4DE5"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Intercept</w:t>
            </w:r>
          </w:p>
        </w:tc>
        <w:tc>
          <w:tcPr>
            <w:tcW w:w="1257" w:type="dxa"/>
            <w:gridSpan w:val="3"/>
            <w:tcBorders>
              <w:top w:val="nil"/>
              <w:left w:val="nil"/>
              <w:bottom w:val="single" w:sz="4" w:space="0" w:color="auto"/>
              <w:right w:val="single" w:sz="4" w:space="0" w:color="auto"/>
            </w:tcBorders>
            <w:noWrap/>
            <w:vAlign w:val="bottom"/>
            <w:hideMark/>
          </w:tcPr>
          <w:p w14:paraId="5EEF4200"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4.640948</w:t>
            </w:r>
          </w:p>
        </w:tc>
        <w:tc>
          <w:tcPr>
            <w:tcW w:w="1031" w:type="dxa"/>
            <w:gridSpan w:val="3"/>
            <w:tcBorders>
              <w:top w:val="nil"/>
              <w:left w:val="nil"/>
              <w:bottom w:val="single" w:sz="4" w:space="0" w:color="auto"/>
              <w:right w:val="single" w:sz="4" w:space="0" w:color="auto"/>
            </w:tcBorders>
            <w:noWrap/>
            <w:vAlign w:val="bottom"/>
            <w:hideMark/>
          </w:tcPr>
          <w:p w14:paraId="1BC3E4DA"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0.684702</w:t>
            </w:r>
          </w:p>
        </w:tc>
        <w:tc>
          <w:tcPr>
            <w:tcW w:w="948" w:type="dxa"/>
            <w:tcBorders>
              <w:top w:val="nil"/>
              <w:left w:val="nil"/>
              <w:bottom w:val="single" w:sz="4" w:space="0" w:color="auto"/>
              <w:right w:val="single" w:sz="4" w:space="0" w:color="auto"/>
            </w:tcBorders>
            <w:noWrap/>
            <w:vAlign w:val="bottom"/>
            <w:hideMark/>
          </w:tcPr>
          <w:p w14:paraId="452F336C"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6.77806</w:t>
            </w:r>
          </w:p>
        </w:tc>
        <w:tc>
          <w:tcPr>
            <w:tcW w:w="1031" w:type="dxa"/>
            <w:gridSpan w:val="2"/>
            <w:tcBorders>
              <w:top w:val="nil"/>
              <w:left w:val="nil"/>
              <w:bottom w:val="single" w:sz="4" w:space="0" w:color="auto"/>
              <w:right w:val="single" w:sz="4" w:space="0" w:color="auto"/>
            </w:tcBorders>
            <w:noWrap/>
            <w:vAlign w:val="bottom"/>
            <w:hideMark/>
          </w:tcPr>
          <w:p w14:paraId="3ED480DD"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3.22E-06</w:t>
            </w:r>
          </w:p>
        </w:tc>
        <w:tc>
          <w:tcPr>
            <w:tcW w:w="1031" w:type="dxa"/>
            <w:gridSpan w:val="2"/>
            <w:tcBorders>
              <w:top w:val="nil"/>
              <w:left w:val="nil"/>
              <w:bottom w:val="single" w:sz="4" w:space="0" w:color="auto"/>
              <w:right w:val="single" w:sz="4" w:space="0" w:color="auto"/>
            </w:tcBorders>
            <w:noWrap/>
            <w:vAlign w:val="bottom"/>
            <w:hideMark/>
          </w:tcPr>
          <w:p w14:paraId="796074D3"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3.196354</w:t>
            </w:r>
          </w:p>
        </w:tc>
        <w:tc>
          <w:tcPr>
            <w:tcW w:w="1028" w:type="dxa"/>
            <w:gridSpan w:val="2"/>
            <w:tcBorders>
              <w:top w:val="nil"/>
              <w:left w:val="nil"/>
              <w:bottom w:val="single" w:sz="4" w:space="0" w:color="auto"/>
              <w:right w:val="single" w:sz="4" w:space="0" w:color="auto"/>
            </w:tcBorders>
            <w:noWrap/>
            <w:vAlign w:val="bottom"/>
            <w:hideMark/>
          </w:tcPr>
          <w:p w14:paraId="046EBAFE"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6.085542</w:t>
            </w:r>
          </w:p>
        </w:tc>
        <w:tc>
          <w:tcPr>
            <w:tcW w:w="1028" w:type="dxa"/>
            <w:tcBorders>
              <w:top w:val="nil"/>
              <w:left w:val="nil"/>
              <w:bottom w:val="single" w:sz="4" w:space="0" w:color="auto"/>
              <w:right w:val="single" w:sz="4" w:space="0" w:color="auto"/>
            </w:tcBorders>
            <w:noWrap/>
            <w:vAlign w:val="bottom"/>
            <w:hideMark/>
          </w:tcPr>
          <w:p w14:paraId="27084AF6"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3.196354</w:t>
            </w:r>
          </w:p>
        </w:tc>
        <w:tc>
          <w:tcPr>
            <w:tcW w:w="1028" w:type="dxa"/>
            <w:tcBorders>
              <w:top w:val="nil"/>
              <w:left w:val="nil"/>
              <w:bottom w:val="single" w:sz="4" w:space="0" w:color="auto"/>
              <w:right w:val="single" w:sz="4" w:space="0" w:color="auto"/>
            </w:tcBorders>
            <w:noWrap/>
            <w:vAlign w:val="bottom"/>
            <w:hideMark/>
          </w:tcPr>
          <w:p w14:paraId="04308B0C"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6.085542</w:t>
            </w:r>
          </w:p>
        </w:tc>
      </w:tr>
      <w:tr w:rsidR="00C906A7" w:rsidRPr="00B3584D" w14:paraId="24072131" w14:textId="77777777" w:rsidTr="002D6FEA">
        <w:trPr>
          <w:trHeight w:val="288"/>
        </w:trPr>
        <w:tc>
          <w:tcPr>
            <w:tcW w:w="1199" w:type="dxa"/>
            <w:gridSpan w:val="2"/>
            <w:tcBorders>
              <w:top w:val="nil"/>
              <w:left w:val="single" w:sz="4" w:space="0" w:color="auto"/>
              <w:bottom w:val="single" w:sz="4" w:space="0" w:color="auto"/>
              <w:right w:val="single" w:sz="4" w:space="0" w:color="auto"/>
            </w:tcBorders>
            <w:noWrap/>
            <w:vAlign w:val="bottom"/>
            <w:hideMark/>
          </w:tcPr>
          <w:p w14:paraId="6EA7CB26"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Age</w:t>
            </w:r>
          </w:p>
        </w:tc>
        <w:tc>
          <w:tcPr>
            <w:tcW w:w="1257" w:type="dxa"/>
            <w:gridSpan w:val="3"/>
            <w:tcBorders>
              <w:top w:val="nil"/>
              <w:left w:val="nil"/>
              <w:bottom w:val="single" w:sz="4" w:space="0" w:color="auto"/>
              <w:right w:val="single" w:sz="4" w:space="0" w:color="auto"/>
            </w:tcBorders>
            <w:noWrap/>
            <w:vAlign w:val="bottom"/>
            <w:hideMark/>
          </w:tcPr>
          <w:p w14:paraId="36296B50"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-0.05847</w:t>
            </w:r>
          </w:p>
        </w:tc>
        <w:tc>
          <w:tcPr>
            <w:tcW w:w="1031" w:type="dxa"/>
            <w:gridSpan w:val="3"/>
            <w:tcBorders>
              <w:top w:val="nil"/>
              <w:left w:val="nil"/>
              <w:bottom w:val="single" w:sz="4" w:space="0" w:color="auto"/>
              <w:right w:val="single" w:sz="4" w:space="0" w:color="auto"/>
            </w:tcBorders>
            <w:noWrap/>
            <w:vAlign w:val="bottom"/>
            <w:hideMark/>
          </w:tcPr>
          <w:p w14:paraId="6E06B54D"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0.027244</w:t>
            </w:r>
          </w:p>
        </w:tc>
        <w:tc>
          <w:tcPr>
            <w:tcW w:w="948" w:type="dxa"/>
            <w:tcBorders>
              <w:top w:val="nil"/>
              <w:left w:val="nil"/>
              <w:bottom w:val="single" w:sz="4" w:space="0" w:color="auto"/>
              <w:right w:val="single" w:sz="4" w:space="0" w:color="auto"/>
            </w:tcBorders>
            <w:noWrap/>
            <w:vAlign w:val="bottom"/>
            <w:hideMark/>
          </w:tcPr>
          <w:p w14:paraId="126631A1"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-2.14615</w:t>
            </w:r>
          </w:p>
        </w:tc>
        <w:tc>
          <w:tcPr>
            <w:tcW w:w="1031" w:type="dxa"/>
            <w:gridSpan w:val="2"/>
            <w:tcBorders>
              <w:top w:val="nil"/>
              <w:left w:val="nil"/>
              <w:bottom w:val="single" w:sz="4" w:space="0" w:color="auto"/>
              <w:right w:val="single" w:sz="4" w:space="0" w:color="auto"/>
            </w:tcBorders>
            <w:noWrap/>
            <w:vAlign w:val="bottom"/>
            <w:hideMark/>
          </w:tcPr>
          <w:p w14:paraId="758A9B44"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0.046589</w:t>
            </w:r>
          </w:p>
        </w:tc>
        <w:tc>
          <w:tcPr>
            <w:tcW w:w="1031" w:type="dxa"/>
            <w:gridSpan w:val="2"/>
            <w:tcBorders>
              <w:top w:val="nil"/>
              <w:left w:val="nil"/>
              <w:bottom w:val="single" w:sz="4" w:space="0" w:color="auto"/>
              <w:right w:val="single" w:sz="4" w:space="0" w:color="auto"/>
            </w:tcBorders>
            <w:noWrap/>
            <w:vAlign w:val="bottom"/>
            <w:hideMark/>
          </w:tcPr>
          <w:p w14:paraId="61737F3B"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-0.11595</w:t>
            </w:r>
          </w:p>
        </w:tc>
        <w:tc>
          <w:tcPr>
            <w:tcW w:w="1028" w:type="dxa"/>
            <w:gridSpan w:val="2"/>
            <w:tcBorders>
              <w:top w:val="nil"/>
              <w:left w:val="nil"/>
              <w:bottom w:val="single" w:sz="4" w:space="0" w:color="auto"/>
              <w:right w:val="single" w:sz="4" w:space="0" w:color="auto"/>
            </w:tcBorders>
            <w:noWrap/>
            <w:vAlign w:val="bottom"/>
            <w:hideMark/>
          </w:tcPr>
          <w:p w14:paraId="26E4DA45"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-0.00099</w:t>
            </w:r>
          </w:p>
        </w:tc>
        <w:tc>
          <w:tcPr>
            <w:tcW w:w="1028" w:type="dxa"/>
            <w:tcBorders>
              <w:top w:val="nil"/>
              <w:left w:val="nil"/>
              <w:bottom w:val="single" w:sz="4" w:space="0" w:color="auto"/>
              <w:right w:val="single" w:sz="4" w:space="0" w:color="auto"/>
            </w:tcBorders>
            <w:noWrap/>
            <w:vAlign w:val="bottom"/>
            <w:hideMark/>
          </w:tcPr>
          <w:p w14:paraId="349648C2"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-0.11595</w:t>
            </w:r>
          </w:p>
        </w:tc>
        <w:tc>
          <w:tcPr>
            <w:tcW w:w="1028" w:type="dxa"/>
            <w:tcBorders>
              <w:top w:val="nil"/>
              <w:left w:val="nil"/>
              <w:bottom w:val="single" w:sz="4" w:space="0" w:color="auto"/>
              <w:right w:val="single" w:sz="4" w:space="0" w:color="auto"/>
            </w:tcBorders>
            <w:noWrap/>
            <w:vAlign w:val="bottom"/>
            <w:hideMark/>
          </w:tcPr>
          <w:p w14:paraId="0471FD17"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-0.00099</w:t>
            </w:r>
          </w:p>
        </w:tc>
      </w:tr>
      <w:tr w:rsidR="00C906A7" w:rsidRPr="00B3584D" w14:paraId="72D99512" w14:textId="77777777" w:rsidTr="002D6FEA">
        <w:trPr>
          <w:trHeight w:val="288"/>
        </w:trPr>
        <w:tc>
          <w:tcPr>
            <w:tcW w:w="1199" w:type="dxa"/>
            <w:gridSpan w:val="2"/>
            <w:tcBorders>
              <w:top w:val="nil"/>
              <w:left w:val="single" w:sz="4" w:space="0" w:color="auto"/>
              <w:bottom w:val="single" w:sz="4" w:space="0" w:color="auto"/>
              <w:right w:val="single" w:sz="4" w:space="0" w:color="auto"/>
            </w:tcBorders>
            <w:noWrap/>
            <w:vAlign w:val="bottom"/>
            <w:hideMark/>
          </w:tcPr>
          <w:p w14:paraId="4091135E"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Income Level</w:t>
            </w:r>
          </w:p>
        </w:tc>
        <w:tc>
          <w:tcPr>
            <w:tcW w:w="1257" w:type="dxa"/>
            <w:gridSpan w:val="3"/>
            <w:tcBorders>
              <w:top w:val="nil"/>
              <w:left w:val="nil"/>
              <w:bottom w:val="single" w:sz="4" w:space="0" w:color="auto"/>
              <w:right w:val="single" w:sz="4" w:space="0" w:color="auto"/>
            </w:tcBorders>
            <w:noWrap/>
            <w:vAlign w:val="bottom"/>
            <w:hideMark/>
          </w:tcPr>
          <w:p w14:paraId="18A0CA54"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-3.1E-07</w:t>
            </w:r>
          </w:p>
        </w:tc>
        <w:tc>
          <w:tcPr>
            <w:tcW w:w="1031" w:type="dxa"/>
            <w:gridSpan w:val="3"/>
            <w:tcBorders>
              <w:top w:val="nil"/>
              <w:left w:val="nil"/>
              <w:bottom w:val="single" w:sz="4" w:space="0" w:color="auto"/>
              <w:right w:val="single" w:sz="4" w:space="0" w:color="auto"/>
            </w:tcBorders>
            <w:noWrap/>
            <w:vAlign w:val="bottom"/>
            <w:hideMark/>
          </w:tcPr>
          <w:p w14:paraId="6B7EAF70"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9.55E-06</w:t>
            </w:r>
          </w:p>
        </w:tc>
        <w:tc>
          <w:tcPr>
            <w:tcW w:w="948" w:type="dxa"/>
            <w:tcBorders>
              <w:top w:val="nil"/>
              <w:left w:val="nil"/>
              <w:bottom w:val="single" w:sz="4" w:space="0" w:color="auto"/>
              <w:right w:val="single" w:sz="4" w:space="0" w:color="auto"/>
            </w:tcBorders>
            <w:noWrap/>
            <w:vAlign w:val="bottom"/>
            <w:hideMark/>
          </w:tcPr>
          <w:p w14:paraId="761D3AFE"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-0.03229</w:t>
            </w:r>
          </w:p>
        </w:tc>
        <w:tc>
          <w:tcPr>
            <w:tcW w:w="1031" w:type="dxa"/>
            <w:gridSpan w:val="2"/>
            <w:tcBorders>
              <w:top w:val="nil"/>
              <w:left w:val="nil"/>
              <w:bottom w:val="single" w:sz="4" w:space="0" w:color="auto"/>
              <w:right w:val="single" w:sz="4" w:space="0" w:color="auto"/>
            </w:tcBorders>
            <w:noWrap/>
            <w:vAlign w:val="bottom"/>
            <w:hideMark/>
          </w:tcPr>
          <w:p w14:paraId="5A6D2446"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0.974617</w:t>
            </w:r>
          </w:p>
        </w:tc>
        <w:tc>
          <w:tcPr>
            <w:tcW w:w="1031" w:type="dxa"/>
            <w:gridSpan w:val="2"/>
            <w:tcBorders>
              <w:top w:val="nil"/>
              <w:left w:val="nil"/>
              <w:bottom w:val="single" w:sz="4" w:space="0" w:color="auto"/>
              <w:right w:val="single" w:sz="4" w:space="0" w:color="auto"/>
            </w:tcBorders>
            <w:noWrap/>
            <w:vAlign w:val="bottom"/>
            <w:hideMark/>
          </w:tcPr>
          <w:p w14:paraId="281570F7"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-2E-05</w:t>
            </w:r>
          </w:p>
        </w:tc>
        <w:tc>
          <w:tcPr>
            <w:tcW w:w="1028" w:type="dxa"/>
            <w:gridSpan w:val="2"/>
            <w:tcBorders>
              <w:top w:val="nil"/>
              <w:left w:val="nil"/>
              <w:bottom w:val="single" w:sz="4" w:space="0" w:color="auto"/>
              <w:right w:val="single" w:sz="4" w:space="0" w:color="auto"/>
            </w:tcBorders>
            <w:noWrap/>
            <w:vAlign w:val="bottom"/>
            <w:hideMark/>
          </w:tcPr>
          <w:p w14:paraId="599B7DE9"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1.98E-05</w:t>
            </w:r>
          </w:p>
        </w:tc>
        <w:tc>
          <w:tcPr>
            <w:tcW w:w="1028" w:type="dxa"/>
            <w:tcBorders>
              <w:top w:val="nil"/>
              <w:left w:val="nil"/>
              <w:bottom w:val="single" w:sz="4" w:space="0" w:color="auto"/>
              <w:right w:val="single" w:sz="4" w:space="0" w:color="auto"/>
            </w:tcBorders>
            <w:noWrap/>
            <w:vAlign w:val="bottom"/>
            <w:hideMark/>
          </w:tcPr>
          <w:p w14:paraId="3D3A26BE"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-2E-05</w:t>
            </w:r>
          </w:p>
        </w:tc>
        <w:tc>
          <w:tcPr>
            <w:tcW w:w="1028" w:type="dxa"/>
            <w:tcBorders>
              <w:top w:val="nil"/>
              <w:left w:val="nil"/>
              <w:bottom w:val="single" w:sz="4" w:space="0" w:color="auto"/>
              <w:right w:val="single" w:sz="4" w:space="0" w:color="auto"/>
            </w:tcBorders>
            <w:noWrap/>
            <w:vAlign w:val="bottom"/>
            <w:hideMark/>
          </w:tcPr>
          <w:p w14:paraId="7AED0B5B" w14:textId="77777777" w:rsidR="00C906A7" w:rsidRPr="00B3584D" w:rsidRDefault="00C906A7" w:rsidP="00766E88">
            <w:pPr>
              <w:keepNext/>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1.98E-05</w:t>
            </w:r>
          </w:p>
        </w:tc>
      </w:tr>
    </w:tbl>
    <w:p w14:paraId="2038CCDA" w14:textId="77777777" w:rsidR="00B54411" w:rsidRDefault="00B54411" w:rsidP="002D6FEA">
      <w:pPr>
        <w:pStyle w:val="NormalWeb"/>
      </w:pPr>
      <w:r>
        <w:t>Source: Computed from Primary data 2025</w:t>
      </w:r>
    </w:p>
    <w:p w14:paraId="3E177DAB" w14:textId="77777777" w:rsidR="002D6FEA" w:rsidRDefault="002D6FEA" w:rsidP="00BE05CC">
      <w:pPr>
        <w:pStyle w:val="NormalWeb"/>
        <w:jc w:val="both"/>
      </w:pPr>
      <w:r>
        <w:t xml:space="preserve">Among the independent variables, </w:t>
      </w:r>
      <w:r w:rsidRPr="002D6FEA">
        <w:rPr>
          <w:rStyle w:val="Strong"/>
          <w:b w:val="0"/>
        </w:rPr>
        <w:t>Age exhibits a statistically significant negative coefficient (β = −0.058, p = 0.047)</w:t>
      </w:r>
      <w:r w:rsidRPr="002D6FEA">
        <w:rPr>
          <w:b/>
        </w:rPr>
        <w:t>,</w:t>
      </w:r>
      <w:r>
        <w:t xml:space="preserve"> implying that higher age values are associated with </w:t>
      </w:r>
      <w:r w:rsidRPr="002D6FEA">
        <w:rPr>
          <w:rStyle w:val="Strong"/>
          <w:b w:val="0"/>
        </w:rPr>
        <w:t>lower levels of reported highway disruption</w:t>
      </w:r>
      <w:r w:rsidRPr="002D6FEA">
        <w:rPr>
          <w:b/>
        </w:rPr>
        <w:t>.</w:t>
      </w:r>
      <w:r>
        <w:t xml:space="preserve"> This relationship is more plausibly interpreted in terms of </w:t>
      </w:r>
      <w:r w:rsidRPr="002D6FEA">
        <w:rPr>
          <w:rStyle w:val="Strong"/>
          <w:b w:val="0"/>
        </w:rPr>
        <w:t>demographic or usage patterns</w:t>
      </w:r>
      <w:r>
        <w:t>—such as reduced mobility intensity or adaptive behavior among older populations—rather than as a direct indicator that older infrastructure necessarily performs better. Therefore, caution is required in attributing this effect solely to infrastructure age or maintenance quality.</w:t>
      </w:r>
    </w:p>
    <w:p w14:paraId="263CE4FC" w14:textId="77777777" w:rsidR="002D6FEA" w:rsidRDefault="002D6FEA" w:rsidP="00BE05CC">
      <w:pPr>
        <w:pStyle w:val="NormalWeb"/>
        <w:jc w:val="both"/>
      </w:pPr>
      <w:r>
        <w:t xml:space="preserve">In contrast, </w:t>
      </w:r>
      <w:r w:rsidRPr="002D6FEA">
        <w:rPr>
          <w:rStyle w:val="Strong"/>
          <w:b w:val="0"/>
        </w:rPr>
        <w:t>Income Level shows no statistically significant relationship with highway disruption</w:t>
      </w:r>
      <w:r w:rsidRPr="002D6FEA">
        <w:rPr>
          <w:b/>
        </w:rPr>
        <w:t xml:space="preserve"> </w:t>
      </w:r>
      <w:r>
        <w:t xml:space="preserve">(p = 0.975), indicating that, within this dataset, economic status alone does not directly predict the level of disruption experienced. </w:t>
      </w:r>
      <w:r w:rsidRPr="002D6FEA">
        <w:t>The</w:t>
      </w:r>
      <w:r w:rsidRPr="002D6FEA">
        <w:rPr>
          <w:b/>
        </w:rPr>
        <w:t xml:space="preserve"> </w:t>
      </w:r>
      <w:r w:rsidRPr="002D6FEA">
        <w:rPr>
          <w:rStyle w:val="Strong"/>
          <w:b w:val="0"/>
        </w:rPr>
        <w:t>intercept (4.641, p &lt; 0.001)</w:t>
      </w:r>
      <w:r>
        <w:t xml:space="preserve"> represents the estimated baseline level of disruption when both predictors are held constant at zero and serves primarily as a statistical reference point.</w:t>
      </w:r>
    </w:p>
    <w:p w14:paraId="0929658D" w14:textId="77777777" w:rsidR="002D6FEA" w:rsidRDefault="002D6FEA" w:rsidP="00BE05CC">
      <w:pPr>
        <w:pStyle w:val="NormalWeb"/>
        <w:jc w:val="both"/>
      </w:pPr>
      <w:r w:rsidRPr="002D6FEA">
        <w:t xml:space="preserve">The </w:t>
      </w:r>
      <w:r w:rsidRPr="002D6FEA">
        <w:rPr>
          <w:rStyle w:val="Strong"/>
          <w:b w:val="0"/>
        </w:rPr>
        <w:t>standard error of the estimate (0.799)</w:t>
      </w:r>
      <w:r w:rsidRPr="002D6FEA">
        <w:rPr>
          <w:b/>
        </w:rPr>
        <w:t xml:space="preserve"> </w:t>
      </w:r>
      <w:r>
        <w:t xml:space="preserve">reflects a moderate degree of dispersion around the predicted values. Although </w:t>
      </w:r>
      <w:r w:rsidRPr="002D6FEA">
        <w:rPr>
          <w:rStyle w:val="Strong"/>
          <w:b w:val="0"/>
        </w:rPr>
        <w:t>Age emerges as a more influential predictor than income</w:t>
      </w:r>
      <w:r w:rsidRPr="002D6FEA">
        <w:rPr>
          <w:b/>
        </w:rPr>
        <w:t xml:space="preserve">, </w:t>
      </w:r>
      <w:r w:rsidRPr="002D6FEA">
        <w:t xml:space="preserve">the </w:t>
      </w:r>
      <w:r w:rsidRPr="002D6FEA">
        <w:rPr>
          <w:rStyle w:val="Strong"/>
          <w:b w:val="0"/>
        </w:rPr>
        <w:t>Adjusted R Square value of 0.347</w:t>
      </w:r>
      <w:r>
        <w:t xml:space="preserve"> indicates that a substantial proportion of variation remains unexplained, suggesting the presence of other important determinants of highway disruption.</w:t>
      </w:r>
    </w:p>
    <w:p w14:paraId="14298913" w14:textId="0A1826F6" w:rsidR="00DC49CE" w:rsidRDefault="00DC49CE" w:rsidP="00BE05CC">
      <w:pPr>
        <w:spacing w:before="100" w:beforeAutospacing="1" w:after="100" w:afterAutospacing="1" w:line="240" w:lineRule="auto"/>
        <w:jc w:val="both"/>
        <w:rPr>
          <w:rFonts w:ascii="Times New Roman" w:eastAsia="Times New Roman" w:hAnsi="Times New Roman" w:cs="Times New Roman"/>
          <w:sz w:val="24"/>
          <w:szCs w:val="24"/>
        </w:rPr>
      </w:pPr>
      <w:r w:rsidRPr="00DC49CE">
        <w:rPr>
          <w:rFonts w:ascii="Times New Roman" w:eastAsia="Times New Roman" w:hAnsi="Times New Roman" w:cs="Times New Roman"/>
          <w:sz w:val="24"/>
          <w:szCs w:val="24"/>
        </w:rPr>
        <w:t xml:space="preserve">Environmental consequences also emerge, as congestion and detours increase fuel consumption and emissions, reinforcing the tragedy of the commons. Public dissatisfaction with government </w:t>
      </w:r>
      <w:r w:rsidRPr="00DC49CE">
        <w:rPr>
          <w:rFonts w:ascii="Times New Roman" w:eastAsia="Times New Roman" w:hAnsi="Times New Roman" w:cs="Times New Roman"/>
          <w:sz w:val="24"/>
          <w:szCs w:val="24"/>
        </w:rPr>
        <w:lastRenderedPageBreak/>
        <w:t>responsiveness reflects declining trust in institutional capacity, further undermining compliance and cooperation.</w:t>
      </w:r>
    </w:p>
    <w:p w14:paraId="5B9B57CC" w14:textId="185162D6" w:rsidR="00D91836" w:rsidRPr="00DC49CE" w:rsidRDefault="00D91836" w:rsidP="00BE05CC">
      <w:pPr>
        <w:spacing w:before="100" w:beforeAutospacing="1" w:after="100" w:afterAutospacing="1" w:line="240" w:lineRule="auto"/>
        <w:jc w:val="both"/>
        <w:rPr>
          <w:rFonts w:ascii="Times New Roman" w:eastAsia="Times New Roman" w:hAnsi="Times New Roman" w:cs="Times New Roman"/>
          <w:sz w:val="24"/>
          <w:szCs w:val="24"/>
        </w:rPr>
      </w:pPr>
      <w:commentRangeStart w:id="4"/>
      <w:r>
        <w:rPr>
          <w:rFonts w:ascii="Times New Roman" w:eastAsia="Times New Roman" w:hAnsi="Times New Roman" w:cs="Times New Roman"/>
          <w:sz w:val="24"/>
          <w:szCs w:val="24"/>
        </w:rPr>
        <w:t>Add</w:t>
      </w:r>
      <w:commentRangeEnd w:id="4"/>
      <w:r>
        <w:rPr>
          <w:rStyle w:val="CommentReference"/>
        </w:rPr>
        <w:commentReference w:id="4"/>
      </w:r>
    </w:p>
    <w:p w14:paraId="187C4FE2" w14:textId="77777777" w:rsidR="00DC49CE" w:rsidRPr="00DC49CE" w:rsidRDefault="00DC49CE" w:rsidP="00BE05CC">
      <w:pPr>
        <w:spacing w:before="100" w:beforeAutospacing="1" w:after="100" w:afterAutospacing="1" w:line="240" w:lineRule="auto"/>
        <w:jc w:val="both"/>
        <w:rPr>
          <w:rFonts w:ascii="Times New Roman" w:eastAsia="Times New Roman" w:hAnsi="Times New Roman" w:cs="Times New Roman"/>
          <w:sz w:val="24"/>
          <w:szCs w:val="24"/>
        </w:rPr>
      </w:pPr>
      <w:r w:rsidRPr="00DC49CE">
        <w:rPr>
          <w:rFonts w:ascii="Times New Roman" w:eastAsia="Times New Roman" w:hAnsi="Times New Roman" w:cs="Times New Roman"/>
          <w:sz w:val="24"/>
          <w:szCs w:val="24"/>
        </w:rPr>
        <w:t>While new highways have the potential to stimulate growth, poor governance diminishes these benefits. Without effective maintenance and inclusive planning, infrastructure investments exacerbate inequality and economic fragility.</w:t>
      </w:r>
    </w:p>
    <w:p w14:paraId="74114A7E" w14:textId="77777777" w:rsidR="001212D1" w:rsidRPr="00E46405" w:rsidRDefault="001212D1" w:rsidP="00E46405">
      <w:pPr>
        <w:pStyle w:val="ListParagraph"/>
        <w:numPr>
          <w:ilvl w:val="0"/>
          <w:numId w:val="1"/>
        </w:numPr>
        <w:jc w:val="both"/>
        <w:rPr>
          <w:rFonts w:ascii="Times New Roman" w:hAnsi="Times New Roman" w:cs="Times New Roman"/>
          <w:b/>
          <w:bCs/>
          <w:sz w:val="36"/>
        </w:rPr>
      </w:pPr>
      <w:r w:rsidRPr="00E46405">
        <w:rPr>
          <w:rFonts w:ascii="Times New Roman" w:hAnsi="Times New Roman" w:cs="Times New Roman"/>
          <w:b/>
          <w:bCs/>
          <w:sz w:val="36"/>
        </w:rPr>
        <w:t>Conclusion</w:t>
      </w:r>
    </w:p>
    <w:p w14:paraId="5663C938" w14:textId="77777777" w:rsidR="00E46405" w:rsidRPr="00E46405" w:rsidRDefault="00E46405" w:rsidP="00E46405">
      <w:pPr>
        <w:pStyle w:val="NormalWeb"/>
        <w:jc w:val="both"/>
      </w:pPr>
      <w:r w:rsidRPr="00E46405">
        <w:t>The findings of this research indicate that Kerala’s failures in highway infrastructure stem less from technical flaws in the design or implementation of the highway system and far more from institutional failures—specifically, failures in governance systems. The analysis demonstrates that competing governance authorities and inadequate maintenance mechanisms transform public goods into private economic liabilities, thereby validating the applicability of the Common Property Resources (CPR) framework to transportation infrastructure. The study further emphasizes that polycentric governance systems could offer viable solutions to Kerala’s highway governance challenges, particularly by addressing the persistent gap between policy design and policy implementation that currently exacerbates the “tragedy of the commons” in highway usage.</w:t>
      </w:r>
    </w:p>
    <w:p w14:paraId="4D2B5684" w14:textId="77777777" w:rsidR="00E46405" w:rsidRPr="00E46405" w:rsidRDefault="00E46405" w:rsidP="00E46405">
      <w:pPr>
        <w:pStyle w:val="NormalWeb"/>
        <w:jc w:val="both"/>
      </w:pPr>
      <w:r w:rsidRPr="00E46405">
        <w:t>This research argues for enhanced accountability through the introduction of three key institutional innovations: decentralized monitoring processes, participatory maintenance systems, and flexible financing mechanisms capable of bridging the gap between infrastructure investment and sustainable long-term management.</w:t>
      </w:r>
    </w:p>
    <w:p w14:paraId="12A2D262" w14:textId="77777777" w:rsidR="00E46405" w:rsidRPr="00E46405" w:rsidRDefault="00E46405" w:rsidP="00E46405">
      <w:pPr>
        <w:pStyle w:val="NormalWeb"/>
        <w:jc w:val="both"/>
      </w:pPr>
      <w:r w:rsidRPr="00E46405">
        <w:t>The findings also open several new avenues for research by framing transportation infrastructure as a complex socio-technical system. Future studies may explore the role of digital governance tools in infrastructure monitoring and draw comparative insights from governance models adopted in other regions. Moreover, this study contributes significantly to infrastructure governance theory by advancing a reconceptualization of highways as managed commons rather than conventional public goods. This represents a transformative contribution, particularly for developing economies that are rapidly expanding infrastructure while facing persistent challenges in long-term maintenance. The analytical framework developed in this study is replicable across regions and sectors, offering a valuable tool for examining the governance of public goods in diverse contexts. Overall, these findings generate both conceptual insights and actionable policy recommendations for achieving sustainable infrastructure development in Kerala and beyond.</w:t>
      </w:r>
    </w:p>
    <w:p w14:paraId="0B6DB792" w14:textId="77777777" w:rsidR="00DC49CE" w:rsidRPr="00E46405" w:rsidRDefault="00DC49CE" w:rsidP="00E46405">
      <w:pPr>
        <w:pStyle w:val="ListParagraph"/>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E46405">
        <w:rPr>
          <w:rFonts w:ascii="Times New Roman" w:eastAsia="Times New Roman" w:hAnsi="Times New Roman" w:cs="Times New Roman"/>
          <w:b/>
          <w:bCs/>
          <w:sz w:val="36"/>
          <w:szCs w:val="36"/>
        </w:rPr>
        <w:t xml:space="preserve"> </w:t>
      </w:r>
    </w:p>
    <w:p w14:paraId="0B2817D6" w14:textId="77777777" w:rsidR="007A60D7" w:rsidRPr="007A60D7" w:rsidRDefault="007A60D7" w:rsidP="00E46405">
      <w:pPr>
        <w:spacing w:after="0" w:line="240" w:lineRule="auto"/>
        <w:jc w:val="both"/>
        <w:rPr>
          <w:rFonts w:ascii="Times New Roman" w:eastAsia="Times New Roman" w:hAnsi="Times New Roman" w:cs="Times New Roman"/>
          <w:sz w:val="24"/>
          <w:szCs w:val="24"/>
        </w:rPr>
      </w:pPr>
    </w:p>
    <w:p w14:paraId="1C271E46" w14:textId="77777777" w:rsidR="007A60D7" w:rsidRPr="007A60D7" w:rsidRDefault="00684E80" w:rsidP="00E46405">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E46405">
        <w:rPr>
          <w:rFonts w:ascii="Times New Roman" w:eastAsia="Times New Roman" w:hAnsi="Times New Roman" w:cs="Times New Roman"/>
          <w:b/>
          <w:bCs/>
          <w:sz w:val="36"/>
          <w:szCs w:val="36"/>
        </w:rPr>
        <w:t>5</w:t>
      </w:r>
      <w:r w:rsidR="007A60D7" w:rsidRPr="007A60D7">
        <w:rPr>
          <w:rFonts w:ascii="Times New Roman" w:eastAsia="Times New Roman" w:hAnsi="Times New Roman" w:cs="Times New Roman"/>
          <w:b/>
          <w:bCs/>
          <w:sz w:val="36"/>
          <w:szCs w:val="36"/>
        </w:rPr>
        <w:t>. Policy Recommendations</w:t>
      </w:r>
    </w:p>
    <w:p w14:paraId="23C11961" w14:textId="77777777" w:rsidR="007A60D7" w:rsidRPr="007A60D7" w:rsidRDefault="007A60D7" w:rsidP="00E46405">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commentRangeStart w:id="5"/>
      <w:r w:rsidRPr="00E46405">
        <w:rPr>
          <w:rFonts w:ascii="Times New Roman" w:eastAsia="Times New Roman" w:hAnsi="Times New Roman" w:cs="Times New Roman"/>
          <w:b/>
          <w:bCs/>
          <w:sz w:val="24"/>
          <w:szCs w:val="24"/>
        </w:rPr>
        <w:lastRenderedPageBreak/>
        <w:t>Performance-based maintenance contracts (PBMC)</w:t>
      </w:r>
      <w:r w:rsidRPr="007A60D7">
        <w:rPr>
          <w:rFonts w:ascii="Times New Roman" w:eastAsia="Times New Roman" w:hAnsi="Times New Roman" w:cs="Times New Roman"/>
          <w:sz w:val="24"/>
          <w:szCs w:val="24"/>
        </w:rPr>
        <w:t>: Adopt long-duration PBMCs or extended warranties that tie payments to pavement condition indices and availability. This internalizes lifecycle costs and discourages substandard construction.</w:t>
      </w:r>
    </w:p>
    <w:p w14:paraId="41F76FAF" w14:textId="77777777" w:rsidR="007A60D7" w:rsidRPr="007A60D7" w:rsidRDefault="007A60D7" w:rsidP="00E46405">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E46405">
        <w:rPr>
          <w:rFonts w:ascii="Times New Roman" w:eastAsia="Times New Roman" w:hAnsi="Times New Roman" w:cs="Times New Roman"/>
          <w:b/>
          <w:bCs/>
          <w:sz w:val="24"/>
          <w:szCs w:val="24"/>
        </w:rPr>
        <w:t>Ring-fenced maintenance financing</w:t>
      </w:r>
      <w:r w:rsidRPr="007A60D7">
        <w:rPr>
          <w:rFonts w:ascii="Times New Roman" w:eastAsia="Times New Roman" w:hAnsi="Times New Roman" w:cs="Times New Roman"/>
          <w:sz w:val="24"/>
          <w:szCs w:val="24"/>
        </w:rPr>
        <w:t xml:space="preserve">: Establish dedicated maintenance funds (state-highway maintenance </w:t>
      </w:r>
      <w:proofErr w:type="spellStart"/>
      <w:r w:rsidRPr="007A60D7">
        <w:rPr>
          <w:rFonts w:ascii="Times New Roman" w:eastAsia="Times New Roman" w:hAnsi="Times New Roman" w:cs="Times New Roman"/>
          <w:sz w:val="24"/>
          <w:szCs w:val="24"/>
        </w:rPr>
        <w:t>cess</w:t>
      </w:r>
      <w:proofErr w:type="spellEnd"/>
      <w:r w:rsidRPr="007A60D7">
        <w:rPr>
          <w:rFonts w:ascii="Times New Roman" w:eastAsia="Times New Roman" w:hAnsi="Times New Roman" w:cs="Times New Roman"/>
          <w:sz w:val="24"/>
          <w:szCs w:val="24"/>
        </w:rPr>
        <w:t>, mileage-based grants) to ensure reliable maintenance flows rather than ad-hoc emergency funding.</w:t>
      </w:r>
    </w:p>
    <w:p w14:paraId="4C84776C" w14:textId="77777777" w:rsidR="007A60D7" w:rsidRPr="007A60D7" w:rsidRDefault="007A60D7" w:rsidP="00E46405">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E46405">
        <w:rPr>
          <w:rFonts w:ascii="Times New Roman" w:eastAsia="Times New Roman" w:hAnsi="Times New Roman" w:cs="Times New Roman"/>
          <w:b/>
          <w:bCs/>
          <w:sz w:val="24"/>
          <w:szCs w:val="24"/>
        </w:rPr>
        <w:t>Decentralized monitoring with digital transparency</w:t>
      </w:r>
      <w:r w:rsidRPr="007A60D7">
        <w:rPr>
          <w:rFonts w:ascii="Times New Roman" w:eastAsia="Times New Roman" w:hAnsi="Times New Roman" w:cs="Times New Roman"/>
          <w:sz w:val="24"/>
          <w:szCs w:val="24"/>
        </w:rPr>
        <w:t>: Deploy GIS-linked monitoring dashboards and empower local monitoring committees to report defects; integrate with NHAI/PWD workflows.</w:t>
      </w:r>
    </w:p>
    <w:p w14:paraId="10E644D3" w14:textId="77777777" w:rsidR="007A60D7" w:rsidRPr="007A60D7" w:rsidRDefault="007A60D7" w:rsidP="00E46405">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E46405">
        <w:rPr>
          <w:rFonts w:ascii="Times New Roman" w:eastAsia="Times New Roman" w:hAnsi="Times New Roman" w:cs="Times New Roman"/>
          <w:b/>
          <w:bCs/>
          <w:sz w:val="24"/>
          <w:szCs w:val="24"/>
        </w:rPr>
        <w:t>Clarify multi-level roles (governance compact)</w:t>
      </w:r>
      <w:r w:rsidRPr="007A60D7">
        <w:rPr>
          <w:rFonts w:ascii="Times New Roman" w:eastAsia="Times New Roman" w:hAnsi="Times New Roman" w:cs="Times New Roman"/>
          <w:sz w:val="24"/>
          <w:szCs w:val="24"/>
        </w:rPr>
        <w:t>: Draft inter-agency Memoranda of Understanding (MoUs) delineating responsibilities, triggers for handover, and co-financing arrangements.</w:t>
      </w:r>
    </w:p>
    <w:p w14:paraId="6CEB1D47" w14:textId="77777777" w:rsidR="007A60D7" w:rsidRPr="007A60D7" w:rsidRDefault="007A60D7" w:rsidP="00E46405">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E46405">
        <w:rPr>
          <w:rFonts w:ascii="Times New Roman" w:eastAsia="Times New Roman" w:hAnsi="Times New Roman" w:cs="Times New Roman"/>
          <w:b/>
          <w:bCs/>
          <w:sz w:val="24"/>
          <w:szCs w:val="24"/>
        </w:rPr>
        <w:t>Community engagement and grievance redressal</w:t>
      </w:r>
      <w:r w:rsidRPr="007A60D7">
        <w:rPr>
          <w:rFonts w:ascii="Times New Roman" w:eastAsia="Times New Roman" w:hAnsi="Times New Roman" w:cs="Times New Roman"/>
          <w:sz w:val="24"/>
          <w:szCs w:val="24"/>
        </w:rPr>
        <w:t>: Institutionalize participatory mechanisms for users and affected businesses to report damage and co-design mitigation strategies.</w:t>
      </w:r>
    </w:p>
    <w:p w14:paraId="12CF29B4" w14:textId="77777777" w:rsidR="007A60D7" w:rsidRPr="007A60D7" w:rsidRDefault="007A60D7" w:rsidP="00E46405">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E46405">
        <w:rPr>
          <w:rFonts w:ascii="Times New Roman" w:eastAsia="Times New Roman" w:hAnsi="Times New Roman" w:cs="Times New Roman"/>
          <w:b/>
          <w:bCs/>
          <w:sz w:val="24"/>
          <w:szCs w:val="24"/>
        </w:rPr>
        <w:t>Climate-resilient design standards</w:t>
      </w:r>
      <w:r w:rsidRPr="007A60D7">
        <w:rPr>
          <w:rFonts w:ascii="Times New Roman" w:eastAsia="Times New Roman" w:hAnsi="Times New Roman" w:cs="Times New Roman"/>
          <w:sz w:val="24"/>
          <w:szCs w:val="24"/>
        </w:rPr>
        <w:t>: Update engineering standards to account for Kerala’s monsoon intensity and groundwater conditions; include adaptive maintenance schedules.</w:t>
      </w:r>
      <w:commentRangeEnd w:id="5"/>
      <w:r w:rsidR="00D91836">
        <w:rPr>
          <w:rStyle w:val="CommentReference"/>
        </w:rPr>
        <w:commentReference w:id="5"/>
      </w:r>
    </w:p>
    <w:p w14:paraId="307F8A13" w14:textId="77777777" w:rsidR="007A60D7" w:rsidRPr="007A60D7" w:rsidRDefault="007A60D7" w:rsidP="00E46405">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7A60D7">
        <w:rPr>
          <w:rFonts w:ascii="Times New Roman" w:eastAsia="Times New Roman" w:hAnsi="Times New Roman" w:cs="Times New Roman"/>
          <w:b/>
          <w:bCs/>
          <w:sz w:val="36"/>
          <w:szCs w:val="36"/>
        </w:rPr>
        <w:t xml:space="preserve">References </w:t>
      </w:r>
    </w:p>
    <w:p w14:paraId="3F579D23" w14:textId="45EFA4D5" w:rsidR="0009585D" w:rsidRPr="008F3D8F" w:rsidRDefault="0009585D" w:rsidP="008F3D8F">
      <w:pPr>
        <w:spacing w:before="100" w:beforeAutospacing="1" w:after="100" w:afterAutospacing="1" w:line="240" w:lineRule="auto"/>
        <w:ind w:left="720"/>
        <w:jc w:val="both"/>
        <w:rPr>
          <w:rFonts w:ascii="Times New Roman" w:eastAsia="Times New Roman" w:hAnsi="Times New Roman" w:cs="Times New Roman"/>
          <w:sz w:val="24"/>
          <w:szCs w:val="24"/>
        </w:rPr>
      </w:pPr>
      <w:r w:rsidRPr="008F3D8F">
        <w:rPr>
          <w:rFonts w:ascii="Times New Roman" w:eastAsia="Times New Roman" w:hAnsi="Times New Roman" w:cs="Times New Roman"/>
          <w:sz w:val="24"/>
          <w:szCs w:val="24"/>
        </w:rPr>
        <w:t xml:space="preserve">Banerjee, A., Duflo, E., &amp; Qian, N. (2020). On the Road: Access to Transportation Infrastructure and Economic Growth in China. Journal of Development Economics, 145. </w:t>
      </w:r>
      <w:hyperlink r:id="rId14" w:history="1">
        <w:r w:rsidRPr="008F3D8F">
          <w:rPr>
            <w:rStyle w:val="Hyperlink"/>
            <w:rFonts w:ascii="Times New Roman" w:eastAsia="Times New Roman" w:hAnsi="Times New Roman" w:cs="Times New Roman"/>
            <w:sz w:val="24"/>
            <w:szCs w:val="24"/>
          </w:rPr>
          <w:t>https://doi.org/10.1016/j.jdeveco.2020.102442</w:t>
        </w:r>
      </w:hyperlink>
    </w:p>
    <w:p w14:paraId="76B5F58C" w14:textId="3FABDD5A" w:rsidR="00BE05CC" w:rsidRPr="008F3D8F" w:rsidRDefault="00BE05CC" w:rsidP="008F3D8F">
      <w:pPr>
        <w:spacing w:before="100" w:beforeAutospacing="1" w:after="100" w:afterAutospacing="1" w:line="240" w:lineRule="auto"/>
        <w:ind w:left="720"/>
        <w:jc w:val="both"/>
        <w:rPr>
          <w:rFonts w:ascii="Times New Roman" w:eastAsia="Times New Roman" w:hAnsi="Times New Roman" w:cs="Times New Roman"/>
          <w:sz w:val="24"/>
          <w:szCs w:val="24"/>
        </w:rPr>
      </w:pPr>
      <w:r w:rsidRPr="008F3D8F">
        <w:rPr>
          <w:rFonts w:ascii="Times New Roman" w:eastAsia="Times New Roman" w:hAnsi="Times New Roman" w:cs="Times New Roman"/>
          <w:sz w:val="24"/>
          <w:szCs w:val="24"/>
        </w:rPr>
        <w:t xml:space="preserve">Banerjee, S. (2015). Road Infrastructure and Growth: A Review. </w:t>
      </w:r>
      <w:r w:rsidRPr="008F3D8F">
        <w:rPr>
          <w:rFonts w:ascii="Times New Roman" w:eastAsia="Times New Roman" w:hAnsi="Times New Roman" w:cs="Times New Roman"/>
          <w:i/>
          <w:iCs/>
          <w:sz w:val="24"/>
          <w:szCs w:val="24"/>
        </w:rPr>
        <w:t>Transport Reviews</w:t>
      </w:r>
      <w:r w:rsidRPr="008F3D8F">
        <w:rPr>
          <w:rFonts w:ascii="Times New Roman" w:eastAsia="Times New Roman" w:hAnsi="Times New Roman" w:cs="Times New Roman"/>
          <w:sz w:val="24"/>
          <w:szCs w:val="24"/>
        </w:rPr>
        <w:t>, 35(4), 460–479.</w:t>
      </w:r>
    </w:p>
    <w:p w14:paraId="3D99EFD9" w14:textId="77777777" w:rsidR="00BE05CC" w:rsidRPr="008F3D8F" w:rsidRDefault="00BE05CC" w:rsidP="008F3D8F">
      <w:pPr>
        <w:spacing w:before="100" w:beforeAutospacing="1" w:after="100" w:afterAutospacing="1" w:line="240" w:lineRule="auto"/>
        <w:ind w:left="720"/>
        <w:jc w:val="both"/>
        <w:rPr>
          <w:rFonts w:ascii="Times New Roman" w:eastAsia="Times New Roman" w:hAnsi="Times New Roman" w:cs="Times New Roman"/>
          <w:sz w:val="24"/>
          <w:szCs w:val="24"/>
        </w:rPr>
      </w:pPr>
      <w:r w:rsidRPr="008F3D8F">
        <w:rPr>
          <w:rFonts w:ascii="Times New Roman" w:eastAsia="Times New Roman" w:hAnsi="Times New Roman" w:cs="Times New Roman"/>
          <w:sz w:val="24"/>
          <w:szCs w:val="24"/>
        </w:rPr>
        <w:t xml:space="preserve">Blomquist, W., &amp; de Leon, P. (2019). Polycentric Governance and the Management of Public Infrastructure. </w:t>
      </w:r>
      <w:r w:rsidRPr="008F3D8F">
        <w:rPr>
          <w:rFonts w:ascii="Times New Roman" w:eastAsia="Times New Roman" w:hAnsi="Times New Roman" w:cs="Times New Roman"/>
          <w:i/>
          <w:iCs/>
          <w:sz w:val="24"/>
          <w:szCs w:val="24"/>
        </w:rPr>
        <w:t>Public Administration Review</w:t>
      </w:r>
      <w:r w:rsidRPr="008F3D8F">
        <w:rPr>
          <w:rFonts w:ascii="Times New Roman" w:eastAsia="Times New Roman" w:hAnsi="Times New Roman" w:cs="Times New Roman"/>
          <w:sz w:val="24"/>
          <w:szCs w:val="24"/>
        </w:rPr>
        <w:t>, 79(6), 903–915.</w:t>
      </w:r>
    </w:p>
    <w:p w14:paraId="428CA934" w14:textId="1CA54CDB" w:rsidR="0009585D" w:rsidRPr="008F3D8F" w:rsidRDefault="0009585D" w:rsidP="008F3D8F">
      <w:pPr>
        <w:spacing w:before="100" w:beforeAutospacing="1" w:after="100" w:afterAutospacing="1" w:line="240" w:lineRule="auto"/>
        <w:ind w:left="720"/>
        <w:jc w:val="both"/>
        <w:rPr>
          <w:rFonts w:ascii="Times New Roman" w:eastAsia="Times New Roman" w:hAnsi="Times New Roman" w:cs="Times New Roman"/>
          <w:sz w:val="24"/>
          <w:szCs w:val="24"/>
        </w:rPr>
      </w:pPr>
      <w:r w:rsidRPr="008F3D8F">
        <w:rPr>
          <w:rFonts w:ascii="Times New Roman" w:eastAsia="Times New Roman" w:hAnsi="Times New Roman" w:cs="Times New Roman"/>
          <w:sz w:val="24"/>
          <w:szCs w:val="24"/>
        </w:rPr>
        <w:t xml:space="preserve">Calderón, C., &amp; </w:t>
      </w:r>
      <w:proofErr w:type="spellStart"/>
      <w:r w:rsidRPr="008F3D8F">
        <w:rPr>
          <w:rFonts w:ascii="Times New Roman" w:eastAsia="Times New Roman" w:hAnsi="Times New Roman" w:cs="Times New Roman"/>
          <w:sz w:val="24"/>
          <w:szCs w:val="24"/>
        </w:rPr>
        <w:t>Servén</w:t>
      </w:r>
      <w:proofErr w:type="spellEnd"/>
      <w:r w:rsidRPr="008F3D8F">
        <w:rPr>
          <w:rFonts w:ascii="Times New Roman" w:eastAsia="Times New Roman" w:hAnsi="Times New Roman" w:cs="Times New Roman"/>
          <w:sz w:val="24"/>
          <w:szCs w:val="24"/>
        </w:rPr>
        <w:t xml:space="preserve">, L. (2010). Infrastructure and Economic Development in Sub-Saharan Africa. Journal of African Economies, 19(Suppl 1), i13–i87. </w:t>
      </w:r>
      <w:hyperlink r:id="rId15" w:history="1">
        <w:r w:rsidRPr="008F3D8F">
          <w:rPr>
            <w:rStyle w:val="Hyperlink"/>
            <w:rFonts w:ascii="Times New Roman" w:eastAsia="Times New Roman" w:hAnsi="Times New Roman" w:cs="Times New Roman"/>
            <w:sz w:val="24"/>
            <w:szCs w:val="24"/>
          </w:rPr>
          <w:t>https://doi.org/10.1093/jae/ejp022</w:t>
        </w:r>
      </w:hyperlink>
    </w:p>
    <w:p w14:paraId="49A1E64A" w14:textId="7B8789ED" w:rsidR="0009585D" w:rsidRPr="008F3D8F" w:rsidRDefault="0009585D" w:rsidP="008F3D8F">
      <w:pPr>
        <w:spacing w:before="100" w:beforeAutospacing="1" w:after="100" w:afterAutospacing="1" w:line="240" w:lineRule="auto"/>
        <w:ind w:left="720"/>
        <w:jc w:val="both"/>
        <w:rPr>
          <w:rFonts w:ascii="Times New Roman" w:eastAsia="Times New Roman" w:hAnsi="Times New Roman" w:cs="Times New Roman"/>
          <w:sz w:val="24"/>
          <w:szCs w:val="24"/>
        </w:rPr>
      </w:pPr>
      <w:proofErr w:type="spellStart"/>
      <w:r w:rsidRPr="008F3D8F">
        <w:rPr>
          <w:rFonts w:ascii="Times New Roman" w:eastAsia="Times New Roman" w:hAnsi="Times New Roman" w:cs="Times New Roman"/>
          <w:sz w:val="24"/>
          <w:szCs w:val="24"/>
        </w:rPr>
        <w:t>Ciriacy-Wantrup</w:t>
      </w:r>
      <w:proofErr w:type="spellEnd"/>
      <w:r w:rsidRPr="008F3D8F">
        <w:rPr>
          <w:rFonts w:ascii="Times New Roman" w:eastAsia="Times New Roman" w:hAnsi="Times New Roman" w:cs="Times New Roman"/>
          <w:sz w:val="24"/>
          <w:szCs w:val="24"/>
        </w:rPr>
        <w:t xml:space="preserve">, S. V., &amp; Bishop, R. C. (1975). Common Property as a Concept in Natural Resources Policy. Natural Resources Journal, 15, 713–727. </w:t>
      </w:r>
      <w:hyperlink r:id="rId16" w:history="1">
        <w:r w:rsidRPr="008F3D8F">
          <w:rPr>
            <w:rStyle w:val="Hyperlink"/>
            <w:rFonts w:ascii="Times New Roman" w:eastAsia="Times New Roman" w:hAnsi="Times New Roman" w:cs="Times New Roman"/>
            <w:sz w:val="24"/>
            <w:szCs w:val="24"/>
          </w:rPr>
          <w:t>https://digitalrepository.unm.edu/nrj/vol15/iss4/7</w:t>
        </w:r>
      </w:hyperlink>
    </w:p>
    <w:p w14:paraId="3EB496DD" w14:textId="10E20336" w:rsidR="00BE05CC" w:rsidRPr="008F3D8F" w:rsidRDefault="00BE05CC" w:rsidP="008F3D8F">
      <w:pPr>
        <w:spacing w:before="100" w:beforeAutospacing="1" w:after="100" w:afterAutospacing="1" w:line="240" w:lineRule="auto"/>
        <w:ind w:left="720"/>
        <w:jc w:val="both"/>
        <w:rPr>
          <w:rFonts w:ascii="Times New Roman" w:eastAsia="Times New Roman" w:hAnsi="Times New Roman" w:cs="Times New Roman"/>
          <w:sz w:val="24"/>
          <w:szCs w:val="24"/>
        </w:rPr>
      </w:pPr>
      <w:proofErr w:type="spellStart"/>
      <w:r w:rsidRPr="008F3D8F">
        <w:rPr>
          <w:rFonts w:ascii="Times New Roman" w:eastAsia="Times New Roman" w:hAnsi="Times New Roman" w:cs="Times New Roman"/>
          <w:sz w:val="24"/>
          <w:szCs w:val="24"/>
        </w:rPr>
        <w:t>Estache</w:t>
      </w:r>
      <w:proofErr w:type="spellEnd"/>
      <w:r w:rsidRPr="008F3D8F">
        <w:rPr>
          <w:rFonts w:ascii="Times New Roman" w:eastAsia="Times New Roman" w:hAnsi="Times New Roman" w:cs="Times New Roman"/>
          <w:sz w:val="24"/>
          <w:szCs w:val="24"/>
        </w:rPr>
        <w:t xml:space="preserve">, A., &amp; Goicoechea, A. (2005). Procurement and Contracting for Infrastructure: Lessons from International Experience. </w:t>
      </w:r>
      <w:r w:rsidRPr="008F3D8F">
        <w:rPr>
          <w:rFonts w:ascii="Times New Roman" w:eastAsia="Times New Roman" w:hAnsi="Times New Roman" w:cs="Times New Roman"/>
          <w:i/>
          <w:iCs/>
          <w:sz w:val="24"/>
          <w:szCs w:val="24"/>
        </w:rPr>
        <w:t>World Bank Policy Research Working Paper</w:t>
      </w:r>
      <w:r w:rsidRPr="008F3D8F">
        <w:rPr>
          <w:rFonts w:ascii="Times New Roman" w:eastAsia="Times New Roman" w:hAnsi="Times New Roman" w:cs="Times New Roman"/>
          <w:sz w:val="24"/>
          <w:szCs w:val="24"/>
        </w:rPr>
        <w:t>.</w:t>
      </w:r>
    </w:p>
    <w:p w14:paraId="7806CE7A" w14:textId="44593E91" w:rsidR="0009585D" w:rsidRPr="008F3D8F" w:rsidRDefault="0009585D" w:rsidP="008F3D8F">
      <w:pPr>
        <w:spacing w:before="100" w:beforeAutospacing="1" w:after="100" w:afterAutospacing="1" w:line="240" w:lineRule="auto"/>
        <w:ind w:left="720"/>
        <w:jc w:val="both"/>
        <w:rPr>
          <w:rFonts w:ascii="Times New Roman" w:eastAsia="Times New Roman" w:hAnsi="Times New Roman" w:cs="Times New Roman"/>
          <w:sz w:val="24"/>
          <w:szCs w:val="24"/>
        </w:rPr>
      </w:pPr>
      <w:r w:rsidRPr="008F3D8F">
        <w:rPr>
          <w:rFonts w:ascii="Times New Roman" w:eastAsia="Times New Roman" w:hAnsi="Times New Roman" w:cs="Times New Roman"/>
          <w:sz w:val="24"/>
          <w:szCs w:val="24"/>
        </w:rPr>
        <w:t xml:space="preserve">Fay, M., &amp; Yepes, T. (2003). Investing in infrastructure: What is needed from 2000 to 2010? World Bank Policy Research Working Paper. </w:t>
      </w:r>
      <w:hyperlink r:id="rId17" w:history="1">
        <w:r w:rsidRPr="008F3D8F">
          <w:rPr>
            <w:rStyle w:val="Hyperlink"/>
            <w:rFonts w:ascii="Times New Roman" w:eastAsia="Times New Roman" w:hAnsi="Times New Roman" w:cs="Times New Roman"/>
            <w:sz w:val="24"/>
            <w:szCs w:val="24"/>
          </w:rPr>
          <w:t>https://doi.org/10.1596/1813-9450-3102</w:t>
        </w:r>
      </w:hyperlink>
    </w:p>
    <w:p w14:paraId="33923CB9" w14:textId="5188EC8D" w:rsidR="0009585D" w:rsidRPr="008F3D8F" w:rsidRDefault="0009585D" w:rsidP="008F3D8F">
      <w:pPr>
        <w:spacing w:before="100" w:beforeAutospacing="1" w:after="100" w:afterAutospacing="1" w:line="240" w:lineRule="auto"/>
        <w:ind w:left="720"/>
        <w:jc w:val="both"/>
        <w:rPr>
          <w:rFonts w:ascii="Times New Roman" w:eastAsia="Times New Roman" w:hAnsi="Times New Roman" w:cs="Times New Roman"/>
          <w:sz w:val="24"/>
          <w:szCs w:val="24"/>
        </w:rPr>
      </w:pPr>
      <w:r w:rsidRPr="008F3D8F">
        <w:rPr>
          <w:rFonts w:ascii="Times New Roman" w:eastAsia="Times New Roman" w:hAnsi="Times New Roman" w:cs="Times New Roman"/>
          <w:sz w:val="24"/>
          <w:szCs w:val="24"/>
        </w:rPr>
        <w:lastRenderedPageBreak/>
        <w:t xml:space="preserve">Grossman, G. M., &amp; Krueger, A. B. (1995). Economic Growth and the Environment. The Quarterly Journal of Economics, 110(2), 353–377. </w:t>
      </w:r>
      <w:hyperlink r:id="rId18" w:history="1">
        <w:r w:rsidRPr="008F3D8F">
          <w:rPr>
            <w:rStyle w:val="Hyperlink"/>
            <w:rFonts w:ascii="Times New Roman" w:eastAsia="Times New Roman" w:hAnsi="Times New Roman" w:cs="Times New Roman"/>
            <w:sz w:val="24"/>
            <w:szCs w:val="24"/>
          </w:rPr>
          <w:t>https://doi.org/10.2307/2118443</w:t>
        </w:r>
      </w:hyperlink>
    </w:p>
    <w:p w14:paraId="660C7286" w14:textId="099F4915" w:rsidR="0009585D" w:rsidRPr="008F3D8F" w:rsidRDefault="0009585D" w:rsidP="008F3D8F">
      <w:pPr>
        <w:spacing w:before="100" w:beforeAutospacing="1" w:after="100" w:afterAutospacing="1" w:line="240" w:lineRule="auto"/>
        <w:ind w:left="720"/>
        <w:jc w:val="both"/>
        <w:rPr>
          <w:rFonts w:ascii="Times New Roman" w:eastAsia="Times New Roman" w:hAnsi="Times New Roman" w:cs="Times New Roman"/>
          <w:sz w:val="24"/>
          <w:szCs w:val="24"/>
        </w:rPr>
      </w:pPr>
      <w:r w:rsidRPr="008F3D8F">
        <w:rPr>
          <w:rFonts w:ascii="Times New Roman" w:eastAsia="Times New Roman" w:hAnsi="Times New Roman" w:cs="Times New Roman"/>
          <w:sz w:val="24"/>
          <w:szCs w:val="24"/>
        </w:rPr>
        <w:t xml:space="preserve">Hardin, G. (1968). The tragedy of the commons. Science, 162, 1243–1248. </w:t>
      </w:r>
      <w:hyperlink r:id="rId19" w:history="1">
        <w:r w:rsidRPr="008F3D8F">
          <w:rPr>
            <w:rStyle w:val="Hyperlink"/>
            <w:rFonts w:ascii="Times New Roman" w:eastAsia="Times New Roman" w:hAnsi="Times New Roman" w:cs="Times New Roman"/>
            <w:sz w:val="24"/>
            <w:szCs w:val="24"/>
          </w:rPr>
          <w:t>https://doi.org/10.1126/science.162.3859.1243</w:t>
        </w:r>
      </w:hyperlink>
    </w:p>
    <w:p w14:paraId="395FB041" w14:textId="301D1070" w:rsidR="00BE05CC" w:rsidRPr="008F3D8F" w:rsidRDefault="00BE05CC" w:rsidP="008F3D8F">
      <w:pPr>
        <w:spacing w:before="100" w:beforeAutospacing="1" w:after="100" w:afterAutospacing="1" w:line="240" w:lineRule="auto"/>
        <w:ind w:left="720"/>
        <w:jc w:val="both"/>
        <w:rPr>
          <w:rFonts w:ascii="Times New Roman" w:eastAsia="Times New Roman" w:hAnsi="Times New Roman" w:cs="Times New Roman"/>
          <w:sz w:val="24"/>
          <w:szCs w:val="24"/>
        </w:rPr>
      </w:pPr>
      <w:r w:rsidRPr="008F3D8F">
        <w:rPr>
          <w:rFonts w:ascii="Times New Roman" w:eastAsia="Times New Roman" w:hAnsi="Times New Roman" w:cs="Times New Roman"/>
          <w:sz w:val="24"/>
          <w:szCs w:val="24"/>
        </w:rPr>
        <w:t xml:space="preserve">Horne, R., &amp; Haynes, K. (2017). Built Infrastructure as Common-Pool Resources. </w:t>
      </w:r>
      <w:r w:rsidRPr="008F3D8F">
        <w:rPr>
          <w:rFonts w:ascii="Times New Roman" w:eastAsia="Times New Roman" w:hAnsi="Times New Roman" w:cs="Times New Roman"/>
          <w:i/>
          <w:iCs/>
          <w:sz w:val="24"/>
          <w:szCs w:val="24"/>
        </w:rPr>
        <w:t>Infrastructure Journal</w:t>
      </w:r>
      <w:r w:rsidRPr="008F3D8F">
        <w:rPr>
          <w:rFonts w:ascii="Times New Roman" w:eastAsia="Times New Roman" w:hAnsi="Times New Roman" w:cs="Times New Roman"/>
          <w:sz w:val="24"/>
          <w:szCs w:val="24"/>
        </w:rPr>
        <w:t>, 12(3), 201–219.</w:t>
      </w:r>
    </w:p>
    <w:p w14:paraId="3DFD8792" w14:textId="250F7BBA" w:rsidR="0009585D" w:rsidRPr="008F3D8F" w:rsidRDefault="0009585D" w:rsidP="008F3D8F">
      <w:pPr>
        <w:spacing w:before="100" w:beforeAutospacing="1" w:after="100" w:afterAutospacing="1" w:line="240" w:lineRule="auto"/>
        <w:ind w:left="720"/>
        <w:jc w:val="both"/>
        <w:rPr>
          <w:rFonts w:ascii="Times New Roman" w:eastAsia="Times New Roman" w:hAnsi="Times New Roman" w:cs="Times New Roman"/>
          <w:sz w:val="24"/>
          <w:szCs w:val="24"/>
        </w:rPr>
      </w:pPr>
      <w:r w:rsidRPr="008F3D8F">
        <w:rPr>
          <w:rFonts w:ascii="Times New Roman" w:eastAsia="Times New Roman" w:hAnsi="Times New Roman" w:cs="Times New Roman"/>
          <w:sz w:val="24"/>
          <w:szCs w:val="24"/>
        </w:rPr>
        <w:t xml:space="preserve">Jacoby, H. G. (2000). Access to Markets and the Benefits of Rural Roads. The Economic Journal, 110(465), 713–737. </w:t>
      </w:r>
      <w:hyperlink r:id="rId20" w:history="1">
        <w:r w:rsidRPr="008F3D8F">
          <w:rPr>
            <w:rStyle w:val="Hyperlink"/>
            <w:rFonts w:ascii="Times New Roman" w:eastAsia="Times New Roman" w:hAnsi="Times New Roman" w:cs="Times New Roman"/>
            <w:sz w:val="24"/>
            <w:szCs w:val="24"/>
          </w:rPr>
          <w:t>https://doi.org/10.1111/1468-0297.00562</w:t>
        </w:r>
      </w:hyperlink>
    </w:p>
    <w:p w14:paraId="4BB4B6FF" w14:textId="579659BD" w:rsidR="00BE05CC" w:rsidRPr="008F3D8F" w:rsidRDefault="00BE05CC" w:rsidP="008F3D8F">
      <w:pPr>
        <w:spacing w:before="100" w:beforeAutospacing="1" w:after="100" w:afterAutospacing="1" w:line="240" w:lineRule="auto"/>
        <w:ind w:left="720"/>
        <w:jc w:val="both"/>
        <w:rPr>
          <w:rFonts w:ascii="Times New Roman" w:eastAsia="Times New Roman" w:hAnsi="Times New Roman" w:cs="Times New Roman"/>
          <w:sz w:val="24"/>
          <w:szCs w:val="24"/>
        </w:rPr>
      </w:pPr>
      <w:r w:rsidRPr="008F3D8F">
        <w:rPr>
          <w:rFonts w:ascii="Times New Roman" w:eastAsia="Times New Roman" w:hAnsi="Times New Roman" w:cs="Times New Roman"/>
          <w:sz w:val="24"/>
          <w:szCs w:val="24"/>
        </w:rPr>
        <w:t xml:space="preserve">Kerala State Planning Board. (2018). </w:t>
      </w:r>
      <w:r w:rsidRPr="008F3D8F">
        <w:rPr>
          <w:rFonts w:ascii="Times New Roman" w:eastAsia="Times New Roman" w:hAnsi="Times New Roman" w:cs="Times New Roman"/>
          <w:i/>
          <w:iCs/>
          <w:sz w:val="24"/>
          <w:szCs w:val="24"/>
        </w:rPr>
        <w:t>Kerala Infrastructure Report</w:t>
      </w:r>
      <w:r w:rsidRPr="008F3D8F">
        <w:rPr>
          <w:rFonts w:ascii="Times New Roman" w:eastAsia="Times New Roman" w:hAnsi="Times New Roman" w:cs="Times New Roman"/>
          <w:sz w:val="24"/>
          <w:szCs w:val="24"/>
        </w:rPr>
        <w:t>. Thiruvananthapuram: KSPB.</w:t>
      </w:r>
    </w:p>
    <w:p w14:paraId="65F9D81B" w14:textId="5B2D1806" w:rsidR="0009585D" w:rsidRPr="008F3D8F" w:rsidRDefault="0009585D" w:rsidP="008F3D8F">
      <w:pPr>
        <w:spacing w:before="100" w:beforeAutospacing="1" w:after="100" w:afterAutospacing="1" w:line="240" w:lineRule="auto"/>
        <w:ind w:left="720"/>
        <w:jc w:val="both"/>
        <w:rPr>
          <w:rFonts w:ascii="Times New Roman" w:eastAsia="Times New Roman" w:hAnsi="Times New Roman" w:cs="Times New Roman"/>
          <w:sz w:val="24"/>
          <w:szCs w:val="24"/>
        </w:rPr>
      </w:pPr>
      <w:r w:rsidRPr="008F3D8F">
        <w:rPr>
          <w:rFonts w:ascii="Times New Roman" w:eastAsia="Times New Roman" w:hAnsi="Times New Roman" w:cs="Times New Roman"/>
          <w:sz w:val="24"/>
          <w:szCs w:val="24"/>
        </w:rPr>
        <w:t xml:space="preserve">Kuznets, S. (1955). Economic growth and income inequality. American Economic Review, 45(1), 1–28. </w:t>
      </w:r>
      <w:hyperlink r:id="rId21" w:history="1">
        <w:r w:rsidRPr="008F3D8F">
          <w:rPr>
            <w:rStyle w:val="Hyperlink"/>
            <w:rFonts w:ascii="Times New Roman" w:eastAsia="Times New Roman" w:hAnsi="Times New Roman" w:cs="Times New Roman"/>
            <w:sz w:val="24"/>
            <w:szCs w:val="24"/>
          </w:rPr>
          <w:t>https://www.jstor.org/stable/1811817</w:t>
        </w:r>
      </w:hyperlink>
    </w:p>
    <w:p w14:paraId="5EACF384" w14:textId="73DB95BC" w:rsidR="0009585D" w:rsidRPr="008F3D8F" w:rsidRDefault="0009585D" w:rsidP="008F3D8F">
      <w:pPr>
        <w:spacing w:before="100" w:beforeAutospacing="1" w:after="100" w:afterAutospacing="1" w:line="240" w:lineRule="auto"/>
        <w:ind w:left="720"/>
        <w:jc w:val="both"/>
        <w:rPr>
          <w:rFonts w:ascii="Times New Roman" w:eastAsia="Times New Roman" w:hAnsi="Times New Roman" w:cs="Times New Roman"/>
          <w:sz w:val="24"/>
          <w:szCs w:val="24"/>
        </w:rPr>
      </w:pPr>
      <w:r w:rsidRPr="008F3D8F">
        <w:rPr>
          <w:rFonts w:ascii="Times New Roman" w:eastAsia="Times New Roman" w:hAnsi="Times New Roman" w:cs="Times New Roman"/>
          <w:sz w:val="24"/>
          <w:szCs w:val="24"/>
        </w:rPr>
        <w:t xml:space="preserve">Olson, M. (1965). The logic of collective action: Public goods and the theory of groups. Harvard University Press. </w:t>
      </w:r>
      <w:hyperlink r:id="rId22" w:history="1">
        <w:r w:rsidRPr="008F3D8F">
          <w:rPr>
            <w:rStyle w:val="Hyperlink"/>
            <w:rFonts w:ascii="Times New Roman" w:eastAsia="Times New Roman" w:hAnsi="Times New Roman" w:cs="Times New Roman"/>
            <w:sz w:val="24"/>
            <w:szCs w:val="24"/>
          </w:rPr>
          <w:t>https://www.hup.harvard.edu/catalog.php?isbn=9780674537514</w:t>
        </w:r>
      </w:hyperlink>
    </w:p>
    <w:p w14:paraId="42F95FB5" w14:textId="1268C756" w:rsidR="0009585D" w:rsidRPr="008F3D8F" w:rsidRDefault="0009585D" w:rsidP="008F3D8F">
      <w:pPr>
        <w:spacing w:before="100" w:beforeAutospacing="1" w:after="100" w:afterAutospacing="1" w:line="240" w:lineRule="auto"/>
        <w:ind w:left="720"/>
        <w:jc w:val="both"/>
        <w:rPr>
          <w:rFonts w:ascii="Times New Roman" w:eastAsia="Times New Roman" w:hAnsi="Times New Roman" w:cs="Times New Roman"/>
          <w:sz w:val="24"/>
          <w:szCs w:val="24"/>
        </w:rPr>
      </w:pPr>
      <w:r w:rsidRPr="008F3D8F">
        <w:rPr>
          <w:rFonts w:ascii="Times New Roman" w:eastAsia="Times New Roman" w:hAnsi="Times New Roman" w:cs="Times New Roman"/>
          <w:sz w:val="24"/>
          <w:szCs w:val="24"/>
        </w:rPr>
        <w:t xml:space="preserve">Ostrom, E. (1990). Governing the Commons: The Evolution of Institutions for Collective Action. Cambridge University Press. </w:t>
      </w:r>
      <w:hyperlink r:id="rId23" w:history="1">
        <w:r w:rsidRPr="008F3D8F">
          <w:rPr>
            <w:rStyle w:val="Hyperlink"/>
            <w:rFonts w:ascii="Times New Roman" w:eastAsia="Times New Roman" w:hAnsi="Times New Roman" w:cs="Times New Roman"/>
            <w:sz w:val="24"/>
            <w:szCs w:val="24"/>
          </w:rPr>
          <w:t>https://www.cambridge.org/core/books/governing-the-commons/F2C20000000000000000000000000000</w:t>
        </w:r>
      </w:hyperlink>
    </w:p>
    <w:p w14:paraId="19C40FC2" w14:textId="0A4C7170" w:rsidR="0009585D" w:rsidRPr="008F3D8F" w:rsidRDefault="0009585D" w:rsidP="008F3D8F">
      <w:pPr>
        <w:spacing w:before="100" w:beforeAutospacing="1" w:after="100" w:afterAutospacing="1" w:line="240" w:lineRule="auto"/>
        <w:ind w:left="720"/>
        <w:jc w:val="both"/>
        <w:rPr>
          <w:rFonts w:ascii="Times New Roman" w:eastAsia="Times New Roman" w:hAnsi="Times New Roman" w:cs="Times New Roman"/>
          <w:sz w:val="24"/>
          <w:szCs w:val="24"/>
        </w:rPr>
      </w:pPr>
      <w:r w:rsidRPr="008F3D8F">
        <w:rPr>
          <w:rFonts w:ascii="Times New Roman" w:eastAsia="Times New Roman" w:hAnsi="Times New Roman" w:cs="Times New Roman"/>
          <w:sz w:val="24"/>
          <w:szCs w:val="24"/>
        </w:rPr>
        <w:t xml:space="preserve">Ostrom, E. (2010). Polycentric Systems for Coping with Collective Action and Global Environmental Change. Global Environmental Change, 20(4), 550–557. </w:t>
      </w:r>
      <w:hyperlink r:id="rId24" w:history="1">
        <w:r w:rsidRPr="008F3D8F">
          <w:rPr>
            <w:rStyle w:val="Hyperlink"/>
            <w:rFonts w:ascii="Times New Roman" w:eastAsia="Times New Roman" w:hAnsi="Times New Roman" w:cs="Times New Roman"/>
            <w:sz w:val="24"/>
            <w:szCs w:val="24"/>
          </w:rPr>
          <w:t>https://doi.org/10.1016/j.gloenvcha.2010.07.004</w:t>
        </w:r>
      </w:hyperlink>
    </w:p>
    <w:p w14:paraId="0DA18F96" w14:textId="7FA28B39" w:rsidR="00BE05CC" w:rsidRPr="008F3D8F" w:rsidRDefault="00BE05CC" w:rsidP="008F3D8F">
      <w:pPr>
        <w:spacing w:before="100" w:beforeAutospacing="1" w:after="100" w:afterAutospacing="1" w:line="240" w:lineRule="auto"/>
        <w:ind w:left="720"/>
        <w:jc w:val="both"/>
        <w:rPr>
          <w:rFonts w:ascii="Times New Roman" w:eastAsia="Times New Roman" w:hAnsi="Times New Roman" w:cs="Times New Roman"/>
          <w:sz w:val="24"/>
          <w:szCs w:val="24"/>
        </w:rPr>
      </w:pPr>
      <w:proofErr w:type="spellStart"/>
      <w:r w:rsidRPr="008F3D8F">
        <w:rPr>
          <w:rFonts w:ascii="Times New Roman" w:eastAsia="Times New Roman" w:hAnsi="Times New Roman" w:cs="Times New Roman"/>
          <w:sz w:val="24"/>
          <w:szCs w:val="24"/>
        </w:rPr>
        <w:t>Rothengatter</w:t>
      </w:r>
      <w:proofErr w:type="spellEnd"/>
      <w:r w:rsidRPr="008F3D8F">
        <w:rPr>
          <w:rFonts w:ascii="Times New Roman" w:eastAsia="Times New Roman" w:hAnsi="Times New Roman" w:cs="Times New Roman"/>
          <w:sz w:val="24"/>
          <w:szCs w:val="24"/>
        </w:rPr>
        <w:t xml:space="preserve">, W., et al. (2018). Life-Cycle Management of Road Infrastructure. </w:t>
      </w:r>
      <w:r w:rsidRPr="008F3D8F">
        <w:rPr>
          <w:rFonts w:ascii="Times New Roman" w:eastAsia="Times New Roman" w:hAnsi="Times New Roman" w:cs="Times New Roman"/>
          <w:i/>
          <w:iCs/>
          <w:sz w:val="24"/>
          <w:szCs w:val="24"/>
        </w:rPr>
        <w:t>Transport Policy</w:t>
      </w:r>
      <w:r w:rsidRPr="008F3D8F">
        <w:rPr>
          <w:rFonts w:ascii="Times New Roman" w:eastAsia="Times New Roman" w:hAnsi="Times New Roman" w:cs="Times New Roman"/>
          <w:sz w:val="24"/>
          <w:szCs w:val="24"/>
        </w:rPr>
        <w:t>, 62, 120–130.</w:t>
      </w:r>
    </w:p>
    <w:p w14:paraId="29CFBFED" w14:textId="3DAA3F6C" w:rsidR="0009585D" w:rsidRPr="008F3D8F" w:rsidRDefault="0009585D" w:rsidP="008F3D8F">
      <w:pPr>
        <w:spacing w:before="100" w:beforeAutospacing="1" w:after="100" w:afterAutospacing="1" w:line="240" w:lineRule="auto"/>
        <w:ind w:left="720"/>
        <w:jc w:val="both"/>
        <w:rPr>
          <w:rFonts w:ascii="Times New Roman" w:eastAsia="Times New Roman" w:hAnsi="Times New Roman" w:cs="Times New Roman"/>
          <w:sz w:val="24"/>
          <w:szCs w:val="24"/>
        </w:rPr>
      </w:pPr>
      <w:r w:rsidRPr="008F3D8F">
        <w:rPr>
          <w:rFonts w:ascii="Times New Roman" w:eastAsia="Times New Roman" w:hAnsi="Times New Roman" w:cs="Times New Roman"/>
          <w:sz w:val="24"/>
          <w:szCs w:val="24"/>
        </w:rPr>
        <w:t xml:space="preserve">Samuelson, P. A. (1954). The Pure Theory of Public Expenditure. The Review of Economics and Statistics, 36(4), 387–389. </w:t>
      </w:r>
      <w:hyperlink r:id="rId25" w:history="1">
        <w:r w:rsidRPr="008F3D8F">
          <w:rPr>
            <w:rStyle w:val="Hyperlink"/>
            <w:rFonts w:ascii="Times New Roman" w:eastAsia="Times New Roman" w:hAnsi="Times New Roman" w:cs="Times New Roman"/>
            <w:sz w:val="24"/>
            <w:szCs w:val="24"/>
          </w:rPr>
          <w:t>https://doi.org/10.2307/1925895</w:t>
        </w:r>
      </w:hyperlink>
    </w:p>
    <w:p w14:paraId="595BCF8D" w14:textId="0B507CC8" w:rsidR="00BE05CC" w:rsidRPr="008F3D8F" w:rsidRDefault="00BE05CC" w:rsidP="008F3D8F">
      <w:pPr>
        <w:spacing w:before="100" w:beforeAutospacing="1" w:after="100" w:afterAutospacing="1" w:line="240" w:lineRule="auto"/>
        <w:ind w:left="720"/>
        <w:jc w:val="both"/>
        <w:rPr>
          <w:rFonts w:ascii="Times New Roman" w:eastAsia="Times New Roman" w:hAnsi="Times New Roman" w:cs="Times New Roman"/>
          <w:sz w:val="24"/>
          <w:szCs w:val="24"/>
        </w:rPr>
      </w:pPr>
      <w:r w:rsidRPr="008F3D8F">
        <w:rPr>
          <w:rFonts w:ascii="Times New Roman" w:eastAsia="Times New Roman" w:hAnsi="Times New Roman" w:cs="Times New Roman"/>
          <w:sz w:val="24"/>
          <w:szCs w:val="24"/>
        </w:rPr>
        <w:t xml:space="preserve">World Bank. (2019). </w:t>
      </w:r>
      <w:r w:rsidRPr="008F3D8F">
        <w:rPr>
          <w:rFonts w:ascii="Times New Roman" w:eastAsia="Times New Roman" w:hAnsi="Times New Roman" w:cs="Times New Roman"/>
          <w:i/>
          <w:iCs/>
          <w:sz w:val="24"/>
          <w:szCs w:val="24"/>
        </w:rPr>
        <w:t>Roads to Prosperity: Road Infrastructure and Economic Growth in Developing Economies</w:t>
      </w:r>
      <w:r w:rsidRPr="008F3D8F">
        <w:rPr>
          <w:rFonts w:ascii="Times New Roman" w:eastAsia="Times New Roman" w:hAnsi="Times New Roman" w:cs="Times New Roman"/>
          <w:sz w:val="24"/>
          <w:szCs w:val="24"/>
        </w:rPr>
        <w:t>. World Bank Publications.</w:t>
      </w:r>
    </w:p>
    <w:p w14:paraId="32363E53" w14:textId="02D4DD36" w:rsidR="00BE05CC" w:rsidRPr="008F3D8F" w:rsidRDefault="0009585D" w:rsidP="008F3D8F">
      <w:pPr>
        <w:spacing w:before="100" w:beforeAutospacing="1" w:after="100" w:afterAutospacing="1" w:line="240" w:lineRule="auto"/>
        <w:ind w:left="720"/>
        <w:jc w:val="both"/>
        <w:rPr>
          <w:rFonts w:ascii="Times New Roman" w:eastAsia="Times New Roman" w:hAnsi="Times New Roman" w:cs="Times New Roman"/>
          <w:sz w:val="24"/>
          <w:szCs w:val="24"/>
        </w:rPr>
      </w:pPr>
      <w:proofErr w:type="spellStart"/>
      <w:r w:rsidRPr="008F3D8F">
        <w:rPr>
          <w:rFonts w:ascii="Times New Roman" w:eastAsia="Times New Roman" w:hAnsi="Times New Roman" w:cs="Times New Roman"/>
          <w:sz w:val="24"/>
          <w:szCs w:val="24"/>
        </w:rPr>
        <w:t>Yescombe</w:t>
      </w:r>
      <w:proofErr w:type="spellEnd"/>
      <w:r w:rsidRPr="008F3D8F">
        <w:rPr>
          <w:rFonts w:ascii="Times New Roman" w:eastAsia="Times New Roman" w:hAnsi="Times New Roman" w:cs="Times New Roman"/>
          <w:sz w:val="24"/>
          <w:szCs w:val="24"/>
        </w:rPr>
        <w:t>, E. R. (2007). Public-Private Partnerships: Principles of Policy and Finance. Butterworth-Heinemann. https://doi.org/10.1016/B978-0-7506-8054-7.X5022-9</w:t>
      </w:r>
      <w:bookmarkStart w:id="6" w:name="_GoBack"/>
      <w:bookmarkEnd w:id="6"/>
    </w:p>
    <w:sectPr w:rsidR="00BE05CC" w:rsidRPr="008F3D8F" w:rsidSect="00087356">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dmin" w:date="2025-12-16T11:30:00Z" w:initials="A">
    <w:p w14:paraId="123988B0" w14:textId="26AF2CE9" w:rsidR="00C2428E" w:rsidRDefault="00C2428E">
      <w:pPr>
        <w:pStyle w:val="CommentText"/>
      </w:pPr>
      <w:r>
        <w:rPr>
          <w:rStyle w:val="CommentReference"/>
        </w:rPr>
        <w:annotationRef/>
      </w:r>
      <w:r>
        <w:t>Not needed</w:t>
      </w:r>
    </w:p>
  </w:comment>
  <w:comment w:id="1" w:author="Admin" w:date="2025-12-16T11:32:00Z" w:initials="A">
    <w:p w14:paraId="026BAF47" w14:textId="77777777" w:rsidR="00C2428E" w:rsidRDefault="00C2428E">
      <w:pPr>
        <w:pStyle w:val="CommentText"/>
      </w:pPr>
      <w:r>
        <w:rPr>
          <w:rStyle w:val="CommentReference"/>
        </w:rPr>
        <w:annotationRef/>
      </w:r>
      <w:r>
        <w:t>Once, it is better to highlight full form, then after short form.</w:t>
      </w:r>
    </w:p>
    <w:p w14:paraId="295AA1D7" w14:textId="3C91FF1F" w:rsidR="00C2428E" w:rsidRDefault="00C2428E" w:rsidP="00C2428E">
      <w:pPr>
        <w:pStyle w:val="CommentText"/>
        <w:jc w:val="both"/>
      </w:pPr>
      <w:r>
        <w:t xml:space="preserve">Ike; </w:t>
      </w:r>
      <w:r>
        <w:t>National Highway-66 (NH-66)</w:t>
      </w:r>
    </w:p>
  </w:comment>
  <w:comment w:id="2" w:author="Admin" w:date="2025-12-16T11:35:00Z" w:initials="A">
    <w:p w14:paraId="292B10A6" w14:textId="6A0BB76C" w:rsidR="00C2428E" w:rsidRDefault="00C2428E">
      <w:pPr>
        <w:pStyle w:val="CommentText"/>
      </w:pPr>
      <w:r>
        <w:rPr>
          <w:rStyle w:val="CommentReference"/>
        </w:rPr>
        <w:annotationRef/>
      </w:r>
      <w:r>
        <w:t>Full form</w:t>
      </w:r>
    </w:p>
  </w:comment>
  <w:comment w:id="3" w:author="Admin" w:date="2025-12-16T11:41:00Z" w:initials="A">
    <w:p w14:paraId="3561CC89" w14:textId="7F6FC887" w:rsidR="005D4BB3" w:rsidRDefault="005D4BB3" w:rsidP="005D4BB3">
      <w:pPr>
        <w:pStyle w:val="CommentText"/>
        <w:numPr>
          <w:ilvl w:val="0"/>
          <w:numId w:val="14"/>
        </w:numPr>
      </w:pPr>
      <w:r>
        <w:rPr>
          <w:rStyle w:val="CommentReference"/>
        </w:rPr>
        <w:annotationRef/>
      </w:r>
      <w:r>
        <w:t>In my opinion, conceptual framework is essential considering theories, measurement and variables.</w:t>
      </w:r>
    </w:p>
    <w:p w14:paraId="048CD80A" w14:textId="77777777" w:rsidR="005D4BB3" w:rsidRDefault="005D4BB3" w:rsidP="005D4BB3">
      <w:pPr>
        <w:pStyle w:val="CommentText"/>
        <w:numPr>
          <w:ilvl w:val="0"/>
          <w:numId w:val="14"/>
        </w:numPr>
      </w:pPr>
      <w:r>
        <w:t>Hypotheses based on objectives</w:t>
      </w:r>
    </w:p>
    <w:p w14:paraId="1A99C1EF" w14:textId="44A00A98" w:rsidR="005D4BB3" w:rsidRDefault="005D4BB3" w:rsidP="005D4BB3">
      <w:pPr>
        <w:pStyle w:val="CommentText"/>
        <w:numPr>
          <w:ilvl w:val="0"/>
          <w:numId w:val="14"/>
        </w:numPr>
      </w:pPr>
      <w:r>
        <w:t xml:space="preserve"> Is the 3</w:t>
      </w:r>
      <w:r w:rsidRPr="005D4BB3">
        <w:rPr>
          <w:vertAlign w:val="superscript"/>
        </w:rPr>
        <w:t>rd</w:t>
      </w:r>
      <w:r>
        <w:t xml:space="preserve"> objective doable/related to this research work? </w:t>
      </w:r>
    </w:p>
  </w:comment>
  <w:comment w:id="4" w:author="Admin" w:date="2025-12-16T11:52:00Z" w:initials="A">
    <w:p w14:paraId="0549704E" w14:textId="69068F10" w:rsidR="00D91836" w:rsidRDefault="00D91836">
      <w:pPr>
        <w:pStyle w:val="CommentText"/>
      </w:pPr>
      <w:r>
        <w:rPr>
          <w:rStyle w:val="CommentReference"/>
        </w:rPr>
        <w:annotationRef/>
      </w:r>
      <w:r>
        <w:t>It is better to add literatures for supporting the results.</w:t>
      </w:r>
    </w:p>
  </w:comment>
  <w:comment w:id="5" w:author="Admin" w:date="2025-12-16T11:53:00Z" w:initials="A">
    <w:p w14:paraId="3BAB4862" w14:textId="2261EC16" w:rsidR="00D91836" w:rsidRDefault="00D91836">
      <w:pPr>
        <w:pStyle w:val="CommentText"/>
      </w:pPr>
      <w:r>
        <w:rPr>
          <w:rStyle w:val="CommentReference"/>
        </w:rPr>
        <w:annotationRef/>
      </w:r>
      <w:r>
        <w:t>In my view, lessen the policy recommendations.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23988B0" w15:done="0"/>
  <w15:commentEx w15:paraId="295AA1D7" w15:done="0"/>
  <w15:commentEx w15:paraId="292B10A6" w15:done="0"/>
  <w15:commentEx w15:paraId="1A99C1EF" w15:done="0"/>
  <w15:commentEx w15:paraId="0549704E" w15:done="0"/>
  <w15:commentEx w15:paraId="3BAB486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3988B0" w16cid:durableId="2CEBC13A"/>
  <w16cid:commentId w16cid:paraId="295AA1D7" w16cid:durableId="2CEBC1E1"/>
  <w16cid:commentId w16cid:paraId="292B10A6" w16cid:durableId="2CEBC297"/>
  <w16cid:commentId w16cid:paraId="1A99C1EF" w16cid:durableId="2CEBC3D3"/>
  <w16cid:commentId w16cid:paraId="0549704E" w16cid:durableId="2CEBC676"/>
  <w16cid:commentId w16cid:paraId="3BAB4862" w16cid:durableId="2CEBC6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58356" w14:textId="77777777" w:rsidR="00735E47" w:rsidRDefault="00735E47" w:rsidP="002D6FEA">
      <w:pPr>
        <w:spacing w:after="0" w:line="240" w:lineRule="auto"/>
      </w:pPr>
      <w:r>
        <w:separator/>
      </w:r>
    </w:p>
  </w:endnote>
  <w:endnote w:type="continuationSeparator" w:id="0">
    <w:p w14:paraId="66E1FAAB" w14:textId="77777777" w:rsidR="00735E47" w:rsidRDefault="00735E47" w:rsidP="002D6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uncer">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auto"/>
    <w:pitch w:val="variable"/>
    <w:sig w:usb0="00008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51D3E" w14:textId="77777777" w:rsidR="00511A15" w:rsidRDefault="00511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4A4CE" w14:textId="77777777" w:rsidR="00511A15" w:rsidRDefault="00511A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97812" w14:textId="77777777" w:rsidR="00511A15" w:rsidRDefault="00511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288B4" w14:textId="77777777" w:rsidR="00735E47" w:rsidRDefault="00735E47" w:rsidP="002D6FEA">
      <w:pPr>
        <w:spacing w:after="0" w:line="240" w:lineRule="auto"/>
      </w:pPr>
      <w:r>
        <w:separator/>
      </w:r>
    </w:p>
  </w:footnote>
  <w:footnote w:type="continuationSeparator" w:id="0">
    <w:p w14:paraId="0228F5CD" w14:textId="77777777" w:rsidR="00735E47" w:rsidRDefault="00735E47" w:rsidP="002D6F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D3F29" w14:textId="76007E3E" w:rsidR="00511A15" w:rsidRDefault="00735E47">
    <w:pPr>
      <w:pStyle w:val="Header"/>
    </w:pPr>
    <w:r>
      <w:rPr>
        <w:noProof/>
      </w:rPr>
      <w:pict w14:anchorId="45F8D4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75659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launcer&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DC89C" w14:textId="16F53F96" w:rsidR="00511A15" w:rsidRDefault="00735E47">
    <w:pPr>
      <w:pStyle w:val="Header"/>
    </w:pPr>
    <w:r>
      <w:rPr>
        <w:noProof/>
      </w:rPr>
      <w:pict w14:anchorId="47B57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75659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launcer&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FF5EF" w14:textId="6651CE18" w:rsidR="00511A15" w:rsidRDefault="00735E47">
    <w:pPr>
      <w:pStyle w:val="Header"/>
    </w:pPr>
    <w:r>
      <w:rPr>
        <w:noProof/>
      </w:rPr>
      <w:pict w14:anchorId="664E56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75659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launcer&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70103"/>
    <w:multiLevelType w:val="multilevel"/>
    <w:tmpl w:val="EA0C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A804F2"/>
    <w:multiLevelType w:val="multilevel"/>
    <w:tmpl w:val="C820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4416FB"/>
    <w:multiLevelType w:val="hybridMultilevel"/>
    <w:tmpl w:val="A580C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3E3421"/>
    <w:multiLevelType w:val="multilevel"/>
    <w:tmpl w:val="1140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4D6F5B"/>
    <w:multiLevelType w:val="multilevel"/>
    <w:tmpl w:val="7472C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F079B1"/>
    <w:multiLevelType w:val="hybridMultilevel"/>
    <w:tmpl w:val="77C434FC"/>
    <w:lvl w:ilvl="0" w:tplc="29248F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5FA42BC"/>
    <w:multiLevelType w:val="multilevel"/>
    <w:tmpl w:val="E0DC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1F1DAA"/>
    <w:multiLevelType w:val="hybridMultilevel"/>
    <w:tmpl w:val="43AEF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253503"/>
    <w:multiLevelType w:val="multilevel"/>
    <w:tmpl w:val="DEF8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F365D3"/>
    <w:multiLevelType w:val="multilevel"/>
    <w:tmpl w:val="1FDCC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436EEB"/>
    <w:multiLevelType w:val="multilevel"/>
    <w:tmpl w:val="E4F08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B61566"/>
    <w:multiLevelType w:val="hybridMultilevel"/>
    <w:tmpl w:val="6324E4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60A2FA4"/>
    <w:multiLevelType w:val="multilevel"/>
    <w:tmpl w:val="B4CC89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F647531"/>
    <w:multiLevelType w:val="multilevel"/>
    <w:tmpl w:val="A16C3E8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3"/>
  </w:num>
  <w:num w:numId="3">
    <w:abstractNumId w:val="6"/>
  </w:num>
  <w:num w:numId="4">
    <w:abstractNumId w:val="1"/>
  </w:num>
  <w:num w:numId="5">
    <w:abstractNumId w:val="4"/>
  </w:num>
  <w:num w:numId="6">
    <w:abstractNumId w:val="0"/>
  </w:num>
  <w:num w:numId="7">
    <w:abstractNumId w:val="10"/>
  </w:num>
  <w:num w:numId="8">
    <w:abstractNumId w:val="8"/>
  </w:num>
  <w:num w:numId="9">
    <w:abstractNumId w:val="13"/>
  </w:num>
  <w:num w:numId="10">
    <w:abstractNumId w:val="12"/>
  </w:num>
  <w:num w:numId="11">
    <w:abstractNumId w:val="7"/>
  </w:num>
  <w:num w:numId="12">
    <w:abstractNumId w:val="5"/>
  </w:num>
  <w:num w:numId="13">
    <w:abstractNumId w:val="11"/>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60D7"/>
    <w:rsid w:val="00000D68"/>
    <w:rsid w:val="00001057"/>
    <w:rsid w:val="0000120D"/>
    <w:rsid w:val="00001690"/>
    <w:rsid w:val="00001693"/>
    <w:rsid w:val="000019EF"/>
    <w:rsid w:val="00001B09"/>
    <w:rsid w:val="00001DE3"/>
    <w:rsid w:val="000021E0"/>
    <w:rsid w:val="000029CC"/>
    <w:rsid w:val="00002A7F"/>
    <w:rsid w:val="00002AEB"/>
    <w:rsid w:val="00003058"/>
    <w:rsid w:val="0000368A"/>
    <w:rsid w:val="0000375A"/>
    <w:rsid w:val="00003A0F"/>
    <w:rsid w:val="00003D4A"/>
    <w:rsid w:val="000056AC"/>
    <w:rsid w:val="00005CBF"/>
    <w:rsid w:val="00006E40"/>
    <w:rsid w:val="00006E50"/>
    <w:rsid w:val="000071E2"/>
    <w:rsid w:val="00007364"/>
    <w:rsid w:val="000077BB"/>
    <w:rsid w:val="00007E28"/>
    <w:rsid w:val="000101CA"/>
    <w:rsid w:val="000102D4"/>
    <w:rsid w:val="00010C93"/>
    <w:rsid w:val="0001107C"/>
    <w:rsid w:val="000116B8"/>
    <w:rsid w:val="00011A91"/>
    <w:rsid w:val="00011B34"/>
    <w:rsid w:val="00011B6A"/>
    <w:rsid w:val="00012223"/>
    <w:rsid w:val="0001357B"/>
    <w:rsid w:val="00014627"/>
    <w:rsid w:val="00014856"/>
    <w:rsid w:val="00014ECA"/>
    <w:rsid w:val="00015E07"/>
    <w:rsid w:val="00016853"/>
    <w:rsid w:val="00016A31"/>
    <w:rsid w:val="00017AF2"/>
    <w:rsid w:val="00017E5A"/>
    <w:rsid w:val="00020450"/>
    <w:rsid w:val="00020C52"/>
    <w:rsid w:val="00022E3B"/>
    <w:rsid w:val="00023134"/>
    <w:rsid w:val="000234CA"/>
    <w:rsid w:val="00023AC2"/>
    <w:rsid w:val="00023C43"/>
    <w:rsid w:val="000243DB"/>
    <w:rsid w:val="000244D6"/>
    <w:rsid w:val="0002490A"/>
    <w:rsid w:val="00025DBF"/>
    <w:rsid w:val="00026160"/>
    <w:rsid w:val="000265BC"/>
    <w:rsid w:val="000265F4"/>
    <w:rsid w:val="000269DC"/>
    <w:rsid w:val="00027E88"/>
    <w:rsid w:val="000300F0"/>
    <w:rsid w:val="000305AC"/>
    <w:rsid w:val="00030670"/>
    <w:rsid w:val="0003128F"/>
    <w:rsid w:val="000317AA"/>
    <w:rsid w:val="00031D71"/>
    <w:rsid w:val="0003255E"/>
    <w:rsid w:val="0003263C"/>
    <w:rsid w:val="00033196"/>
    <w:rsid w:val="000332D4"/>
    <w:rsid w:val="00033418"/>
    <w:rsid w:val="0003374C"/>
    <w:rsid w:val="00033D6E"/>
    <w:rsid w:val="000347F7"/>
    <w:rsid w:val="00034FB4"/>
    <w:rsid w:val="000353D2"/>
    <w:rsid w:val="000358C3"/>
    <w:rsid w:val="00036353"/>
    <w:rsid w:val="00036A93"/>
    <w:rsid w:val="00037037"/>
    <w:rsid w:val="00037805"/>
    <w:rsid w:val="0003782A"/>
    <w:rsid w:val="00037F12"/>
    <w:rsid w:val="0004036A"/>
    <w:rsid w:val="00040782"/>
    <w:rsid w:val="0004099C"/>
    <w:rsid w:val="00040FC8"/>
    <w:rsid w:val="00041B55"/>
    <w:rsid w:val="00041CE1"/>
    <w:rsid w:val="000422AD"/>
    <w:rsid w:val="0004272E"/>
    <w:rsid w:val="00042FCB"/>
    <w:rsid w:val="0004343B"/>
    <w:rsid w:val="000434A3"/>
    <w:rsid w:val="0004385A"/>
    <w:rsid w:val="00044249"/>
    <w:rsid w:val="000446F3"/>
    <w:rsid w:val="000447AD"/>
    <w:rsid w:val="000451BA"/>
    <w:rsid w:val="000459EE"/>
    <w:rsid w:val="00045C8B"/>
    <w:rsid w:val="0004601B"/>
    <w:rsid w:val="0004633C"/>
    <w:rsid w:val="000468B7"/>
    <w:rsid w:val="000469DD"/>
    <w:rsid w:val="00046F36"/>
    <w:rsid w:val="0004773A"/>
    <w:rsid w:val="00047B7C"/>
    <w:rsid w:val="00050384"/>
    <w:rsid w:val="000516EC"/>
    <w:rsid w:val="000520EE"/>
    <w:rsid w:val="00052F39"/>
    <w:rsid w:val="00053499"/>
    <w:rsid w:val="000536BC"/>
    <w:rsid w:val="00053B0D"/>
    <w:rsid w:val="00053E74"/>
    <w:rsid w:val="000543BF"/>
    <w:rsid w:val="000544BF"/>
    <w:rsid w:val="000546DB"/>
    <w:rsid w:val="00054B97"/>
    <w:rsid w:val="00055046"/>
    <w:rsid w:val="000559BC"/>
    <w:rsid w:val="00055D42"/>
    <w:rsid w:val="00055DBF"/>
    <w:rsid w:val="00057888"/>
    <w:rsid w:val="0006022E"/>
    <w:rsid w:val="00060DDE"/>
    <w:rsid w:val="000619C4"/>
    <w:rsid w:val="00061A6F"/>
    <w:rsid w:val="00062940"/>
    <w:rsid w:val="00062DB3"/>
    <w:rsid w:val="00064422"/>
    <w:rsid w:val="00064825"/>
    <w:rsid w:val="00064A6F"/>
    <w:rsid w:val="0006512C"/>
    <w:rsid w:val="00065895"/>
    <w:rsid w:val="0006625E"/>
    <w:rsid w:val="00066387"/>
    <w:rsid w:val="00066A45"/>
    <w:rsid w:val="00066CC0"/>
    <w:rsid w:val="0006715D"/>
    <w:rsid w:val="000672C4"/>
    <w:rsid w:val="0006746E"/>
    <w:rsid w:val="0006750A"/>
    <w:rsid w:val="00067BB2"/>
    <w:rsid w:val="00067DEB"/>
    <w:rsid w:val="00071208"/>
    <w:rsid w:val="00071937"/>
    <w:rsid w:val="00071AE6"/>
    <w:rsid w:val="00072136"/>
    <w:rsid w:val="0007231C"/>
    <w:rsid w:val="00072643"/>
    <w:rsid w:val="00072995"/>
    <w:rsid w:val="00073261"/>
    <w:rsid w:val="00073610"/>
    <w:rsid w:val="00073C14"/>
    <w:rsid w:val="000742A6"/>
    <w:rsid w:val="000744C7"/>
    <w:rsid w:val="0007451C"/>
    <w:rsid w:val="00074CF6"/>
    <w:rsid w:val="00075A56"/>
    <w:rsid w:val="00076330"/>
    <w:rsid w:val="00076594"/>
    <w:rsid w:val="00077875"/>
    <w:rsid w:val="00077CBF"/>
    <w:rsid w:val="00080012"/>
    <w:rsid w:val="00080171"/>
    <w:rsid w:val="000805B5"/>
    <w:rsid w:val="00080631"/>
    <w:rsid w:val="00080906"/>
    <w:rsid w:val="000809F2"/>
    <w:rsid w:val="00082D77"/>
    <w:rsid w:val="0008337B"/>
    <w:rsid w:val="00083617"/>
    <w:rsid w:val="00083719"/>
    <w:rsid w:val="00083A5C"/>
    <w:rsid w:val="00083C89"/>
    <w:rsid w:val="00084250"/>
    <w:rsid w:val="000846B2"/>
    <w:rsid w:val="00084CB0"/>
    <w:rsid w:val="000856F4"/>
    <w:rsid w:val="0008599F"/>
    <w:rsid w:val="00085D4B"/>
    <w:rsid w:val="00086AD5"/>
    <w:rsid w:val="00086BFA"/>
    <w:rsid w:val="00087356"/>
    <w:rsid w:val="00087CE0"/>
    <w:rsid w:val="00090FC3"/>
    <w:rsid w:val="000912A7"/>
    <w:rsid w:val="000913C3"/>
    <w:rsid w:val="00091696"/>
    <w:rsid w:val="00091A5B"/>
    <w:rsid w:val="000925A3"/>
    <w:rsid w:val="00092D57"/>
    <w:rsid w:val="00092E2F"/>
    <w:rsid w:val="00093E30"/>
    <w:rsid w:val="000940BE"/>
    <w:rsid w:val="000940D6"/>
    <w:rsid w:val="0009486D"/>
    <w:rsid w:val="00094B62"/>
    <w:rsid w:val="000951D9"/>
    <w:rsid w:val="0009527F"/>
    <w:rsid w:val="0009585D"/>
    <w:rsid w:val="000960C1"/>
    <w:rsid w:val="0009614C"/>
    <w:rsid w:val="00096B90"/>
    <w:rsid w:val="00096D90"/>
    <w:rsid w:val="00096EDD"/>
    <w:rsid w:val="00096EE8"/>
    <w:rsid w:val="00097357"/>
    <w:rsid w:val="00097CF7"/>
    <w:rsid w:val="000A1122"/>
    <w:rsid w:val="000A12ED"/>
    <w:rsid w:val="000A147E"/>
    <w:rsid w:val="000A175A"/>
    <w:rsid w:val="000A1810"/>
    <w:rsid w:val="000A1E61"/>
    <w:rsid w:val="000A1F48"/>
    <w:rsid w:val="000A2314"/>
    <w:rsid w:val="000A28EC"/>
    <w:rsid w:val="000A3F29"/>
    <w:rsid w:val="000A4042"/>
    <w:rsid w:val="000A492A"/>
    <w:rsid w:val="000A49F4"/>
    <w:rsid w:val="000A4CDC"/>
    <w:rsid w:val="000A4DA0"/>
    <w:rsid w:val="000A5486"/>
    <w:rsid w:val="000A5EDF"/>
    <w:rsid w:val="000A7113"/>
    <w:rsid w:val="000A7914"/>
    <w:rsid w:val="000A7996"/>
    <w:rsid w:val="000B019C"/>
    <w:rsid w:val="000B0A8E"/>
    <w:rsid w:val="000B0BFB"/>
    <w:rsid w:val="000B169E"/>
    <w:rsid w:val="000B1735"/>
    <w:rsid w:val="000B2272"/>
    <w:rsid w:val="000B2454"/>
    <w:rsid w:val="000B24F8"/>
    <w:rsid w:val="000B2708"/>
    <w:rsid w:val="000B3395"/>
    <w:rsid w:val="000B34FF"/>
    <w:rsid w:val="000B3CE8"/>
    <w:rsid w:val="000B400E"/>
    <w:rsid w:val="000B44F7"/>
    <w:rsid w:val="000B46F0"/>
    <w:rsid w:val="000B4F30"/>
    <w:rsid w:val="000B54F2"/>
    <w:rsid w:val="000B6841"/>
    <w:rsid w:val="000B6F54"/>
    <w:rsid w:val="000B7511"/>
    <w:rsid w:val="000B7EF2"/>
    <w:rsid w:val="000C000C"/>
    <w:rsid w:val="000C01CE"/>
    <w:rsid w:val="000C0C15"/>
    <w:rsid w:val="000C0D91"/>
    <w:rsid w:val="000C1699"/>
    <w:rsid w:val="000C1847"/>
    <w:rsid w:val="000C1BB3"/>
    <w:rsid w:val="000C1E6A"/>
    <w:rsid w:val="000C2ABD"/>
    <w:rsid w:val="000C2D41"/>
    <w:rsid w:val="000C2FE0"/>
    <w:rsid w:val="000C3060"/>
    <w:rsid w:val="000C3288"/>
    <w:rsid w:val="000C3BC8"/>
    <w:rsid w:val="000C3D82"/>
    <w:rsid w:val="000C4735"/>
    <w:rsid w:val="000C4C87"/>
    <w:rsid w:val="000C54E6"/>
    <w:rsid w:val="000C560B"/>
    <w:rsid w:val="000C68B1"/>
    <w:rsid w:val="000C6A53"/>
    <w:rsid w:val="000C6CBF"/>
    <w:rsid w:val="000C6DD3"/>
    <w:rsid w:val="000C77AB"/>
    <w:rsid w:val="000D0393"/>
    <w:rsid w:val="000D2533"/>
    <w:rsid w:val="000D2CDC"/>
    <w:rsid w:val="000D3126"/>
    <w:rsid w:val="000D3E4B"/>
    <w:rsid w:val="000D4482"/>
    <w:rsid w:val="000D5313"/>
    <w:rsid w:val="000E03A8"/>
    <w:rsid w:val="000E06CD"/>
    <w:rsid w:val="000E0A74"/>
    <w:rsid w:val="000E188F"/>
    <w:rsid w:val="000E1BEF"/>
    <w:rsid w:val="000E1DB6"/>
    <w:rsid w:val="000E1FE9"/>
    <w:rsid w:val="000E2957"/>
    <w:rsid w:val="000E2B27"/>
    <w:rsid w:val="000E3622"/>
    <w:rsid w:val="000E3896"/>
    <w:rsid w:val="000E3968"/>
    <w:rsid w:val="000E3DBA"/>
    <w:rsid w:val="000E5680"/>
    <w:rsid w:val="000E581A"/>
    <w:rsid w:val="000E598B"/>
    <w:rsid w:val="000E5BE6"/>
    <w:rsid w:val="000E637C"/>
    <w:rsid w:val="000E675E"/>
    <w:rsid w:val="000F0490"/>
    <w:rsid w:val="000F057C"/>
    <w:rsid w:val="000F16B2"/>
    <w:rsid w:val="000F1749"/>
    <w:rsid w:val="000F1F44"/>
    <w:rsid w:val="000F1F6F"/>
    <w:rsid w:val="000F25BA"/>
    <w:rsid w:val="000F29E8"/>
    <w:rsid w:val="000F2C92"/>
    <w:rsid w:val="000F2ED5"/>
    <w:rsid w:val="000F37BE"/>
    <w:rsid w:val="000F3970"/>
    <w:rsid w:val="000F3D0F"/>
    <w:rsid w:val="000F3FA0"/>
    <w:rsid w:val="000F52DC"/>
    <w:rsid w:val="000F5873"/>
    <w:rsid w:val="000F587F"/>
    <w:rsid w:val="000F677E"/>
    <w:rsid w:val="000F68FD"/>
    <w:rsid w:val="000F7FE3"/>
    <w:rsid w:val="00100219"/>
    <w:rsid w:val="001004C8"/>
    <w:rsid w:val="0010128D"/>
    <w:rsid w:val="0010218C"/>
    <w:rsid w:val="00102E76"/>
    <w:rsid w:val="001034BB"/>
    <w:rsid w:val="0010380D"/>
    <w:rsid w:val="00103F6E"/>
    <w:rsid w:val="001052FD"/>
    <w:rsid w:val="0010539E"/>
    <w:rsid w:val="001055A7"/>
    <w:rsid w:val="001057DB"/>
    <w:rsid w:val="00105DE4"/>
    <w:rsid w:val="00105FF7"/>
    <w:rsid w:val="001067FF"/>
    <w:rsid w:val="00106C39"/>
    <w:rsid w:val="00106D48"/>
    <w:rsid w:val="00106E9A"/>
    <w:rsid w:val="001107F8"/>
    <w:rsid w:val="0011101F"/>
    <w:rsid w:val="00111102"/>
    <w:rsid w:val="00111204"/>
    <w:rsid w:val="0011168D"/>
    <w:rsid w:val="00112944"/>
    <w:rsid w:val="00112DC7"/>
    <w:rsid w:val="001132AD"/>
    <w:rsid w:val="00113D40"/>
    <w:rsid w:val="00113D55"/>
    <w:rsid w:val="00113F4A"/>
    <w:rsid w:val="001144CF"/>
    <w:rsid w:val="001145B1"/>
    <w:rsid w:val="00114A8B"/>
    <w:rsid w:val="00114C04"/>
    <w:rsid w:val="00114E8B"/>
    <w:rsid w:val="00115BCB"/>
    <w:rsid w:val="001162C9"/>
    <w:rsid w:val="00116776"/>
    <w:rsid w:val="00116C51"/>
    <w:rsid w:val="00117CFB"/>
    <w:rsid w:val="00117DC6"/>
    <w:rsid w:val="00120043"/>
    <w:rsid w:val="001212D1"/>
    <w:rsid w:val="00121886"/>
    <w:rsid w:val="00121E3C"/>
    <w:rsid w:val="00121E3F"/>
    <w:rsid w:val="0012212C"/>
    <w:rsid w:val="00122A57"/>
    <w:rsid w:val="0012366E"/>
    <w:rsid w:val="00123EAB"/>
    <w:rsid w:val="00123EED"/>
    <w:rsid w:val="00123F5E"/>
    <w:rsid w:val="00124A7C"/>
    <w:rsid w:val="00125395"/>
    <w:rsid w:val="00125C79"/>
    <w:rsid w:val="00126B80"/>
    <w:rsid w:val="00127712"/>
    <w:rsid w:val="0012778D"/>
    <w:rsid w:val="00127799"/>
    <w:rsid w:val="00127B1C"/>
    <w:rsid w:val="0013049C"/>
    <w:rsid w:val="001308D8"/>
    <w:rsid w:val="0013134D"/>
    <w:rsid w:val="001320BA"/>
    <w:rsid w:val="001324B5"/>
    <w:rsid w:val="001324D3"/>
    <w:rsid w:val="00134491"/>
    <w:rsid w:val="00134A15"/>
    <w:rsid w:val="00134BD5"/>
    <w:rsid w:val="00135074"/>
    <w:rsid w:val="00135736"/>
    <w:rsid w:val="00135770"/>
    <w:rsid w:val="001357C7"/>
    <w:rsid w:val="001361F5"/>
    <w:rsid w:val="00136273"/>
    <w:rsid w:val="0013674A"/>
    <w:rsid w:val="00136D72"/>
    <w:rsid w:val="001374B0"/>
    <w:rsid w:val="00140326"/>
    <w:rsid w:val="0014036D"/>
    <w:rsid w:val="00140FCD"/>
    <w:rsid w:val="00141940"/>
    <w:rsid w:val="00141BD8"/>
    <w:rsid w:val="00141C77"/>
    <w:rsid w:val="001427B1"/>
    <w:rsid w:val="00143306"/>
    <w:rsid w:val="001435BF"/>
    <w:rsid w:val="00144D84"/>
    <w:rsid w:val="00144ECB"/>
    <w:rsid w:val="00144F61"/>
    <w:rsid w:val="00144FC9"/>
    <w:rsid w:val="001456D7"/>
    <w:rsid w:val="00147514"/>
    <w:rsid w:val="00147708"/>
    <w:rsid w:val="00147A61"/>
    <w:rsid w:val="00147BF9"/>
    <w:rsid w:val="00147E38"/>
    <w:rsid w:val="001501D4"/>
    <w:rsid w:val="00150668"/>
    <w:rsid w:val="0015077A"/>
    <w:rsid w:val="00152275"/>
    <w:rsid w:val="00152E6E"/>
    <w:rsid w:val="001530F6"/>
    <w:rsid w:val="001530FC"/>
    <w:rsid w:val="00153BF0"/>
    <w:rsid w:val="00153E87"/>
    <w:rsid w:val="00154DDE"/>
    <w:rsid w:val="00155D69"/>
    <w:rsid w:val="0015628A"/>
    <w:rsid w:val="00156320"/>
    <w:rsid w:val="00156453"/>
    <w:rsid w:val="00156696"/>
    <w:rsid w:val="00156FA5"/>
    <w:rsid w:val="00157585"/>
    <w:rsid w:val="00157C60"/>
    <w:rsid w:val="001603B1"/>
    <w:rsid w:val="00160472"/>
    <w:rsid w:val="0016085D"/>
    <w:rsid w:val="00161A54"/>
    <w:rsid w:val="00161A7E"/>
    <w:rsid w:val="00162024"/>
    <w:rsid w:val="00162215"/>
    <w:rsid w:val="001627F7"/>
    <w:rsid w:val="00162A78"/>
    <w:rsid w:val="00162B38"/>
    <w:rsid w:val="00162C38"/>
    <w:rsid w:val="00162E77"/>
    <w:rsid w:val="00162F5F"/>
    <w:rsid w:val="001638A0"/>
    <w:rsid w:val="00163BCC"/>
    <w:rsid w:val="00163C8A"/>
    <w:rsid w:val="00165CFA"/>
    <w:rsid w:val="00167691"/>
    <w:rsid w:val="00167F9E"/>
    <w:rsid w:val="0017050C"/>
    <w:rsid w:val="00170D45"/>
    <w:rsid w:val="00170DF4"/>
    <w:rsid w:val="00170EF2"/>
    <w:rsid w:val="00171031"/>
    <w:rsid w:val="00171214"/>
    <w:rsid w:val="00171777"/>
    <w:rsid w:val="00172549"/>
    <w:rsid w:val="001736AA"/>
    <w:rsid w:val="00173F14"/>
    <w:rsid w:val="001745D7"/>
    <w:rsid w:val="00174765"/>
    <w:rsid w:val="00174B7F"/>
    <w:rsid w:val="00175FCC"/>
    <w:rsid w:val="001763A6"/>
    <w:rsid w:val="001763BF"/>
    <w:rsid w:val="001765A1"/>
    <w:rsid w:val="00176689"/>
    <w:rsid w:val="00177961"/>
    <w:rsid w:val="00177E82"/>
    <w:rsid w:val="001801FC"/>
    <w:rsid w:val="001802B6"/>
    <w:rsid w:val="00180F11"/>
    <w:rsid w:val="00182AC5"/>
    <w:rsid w:val="00183266"/>
    <w:rsid w:val="0018339D"/>
    <w:rsid w:val="00183568"/>
    <w:rsid w:val="00183C80"/>
    <w:rsid w:val="00183EDF"/>
    <w:rsid w:val="00184477"/>
    <w:rsid w:val="00184BDB"/>
    <w:rsid w:val="00185325"/>
    <w:rsid w:val="00186352"/>
    <w:rsid w:val="001865F8"/>
    <w:rsid w:val="00186658"/>
    <w:rsid w:val="00186EA0"/>
    <w:rsid w:val="00187AA6"/>
    <w:rsid w:val="00190068"/>
    <w:rsid w:val="0019019E"/>
    <w:rsid w:val="001907B9"/>
    <w:rsid w:val="00190EF0"/>
    <w:rsid w:val="00191EAD"/>
    <w:rsid w:val="001927FD"/>
    <w:rsid w:val="00192BDF"/>
    <w:rsid w:val="001933AF"/>
    <w:rsid w:val="001939FD"/>
    <w:rsid w:val="00194CE9"/>
    <w:rsid w:val="00194D51"/>
    <w:rsid w:val="00194F0B"/>
    <w:rsid w:val="0019503D"/>
    <w:rsid w:val="001953D2"/>
    <w:rsid w:val="001955A6"/>
    <w:rsid w:val="001956F7"/>
    <w:rsid w:val="00195D24"/>
    <w:rsid w:val="00195E7B"/>
    <w:rsid w:val="001963F7"/>
    <w:rsid w:val="00196903"/>
    <w:rsid w:val="00196BB0"/>
    <w:rsid w:val="0019754F"/>
    <w:rsid w:val="00197590"/>
    <w:rsid w:val="001A0F68"/>
    <w:rsid w:val="001A16C2"/>
    <w:rsid w:val="001A1BB9"/>
    <w:rsid w:val="001A2547"/>
    <w:rsid w:val="001A29E3"/>
    <w:rsid w:val="001A2CF6"/>
    <w:rsid w:val="001A3E63"/>
    <w:rsid w:val="001A3E67"/>
    <w:rsid w:val="001A4E21"/>
    <w:rsid w:val="001A5373"/>
    <w:rsid w:val="001A53F4"/>
    <w:rsid w:val="001A59FF"/>
    <w:rsid w:val="001A5A1F"/>
    <w:rsid w:val="001A5D05"/>
    <w:rsid w:val="001A5D4A"/>
    <w:rsid w:val="001A5E65"/>
    <w:rsid w:val="001A6203"/>
    <w:rsid w:val="001A65B5"/>
    <w:rsid w:val="001A6A34"/>
    <w:rsid w:val="001A6E1A"/>
    <w:rsid w:val="001A729C"/>
    <w:rsid w:val="001A743D"/>
    <w:rsid w:val="001A7E88"/>
    <w:rsid w:val="001B0110"/>
    <w:rsid w:val="001B039D"/>
    <w:rsid w:val="001B0E52"/>
    <w:rsid w:val="001B1061"/>
    <w:rsid w:val="001B1A8D"/>
    <w:rsid w:val="001B2175"/>
    <w:rsid w:val="001B239E"/>
    <w:rsid w:val="001B26CB"/>
    <w:rsid w:val="001B429F"/>
    <w:rsid w:val="001B4CC5"/>
    <w:rsid w:val="001B4F33"/>
    <w:rsid w:val="001B5723"/>
    <w:rsid w:val="001B58DF"/>
    <w:rsid w:val="001B5D13"/>
    <w:rsid w:val="001B5F94"/>
    <w:rsid w:val="001B61A8"/>
    <w:rsid w:val="001B716B"/>
    <w:rsid w:val="001B728C"/>
    <w:rsid w:val="001B7D80"/>
    <w:rsid w:val="001C05E7"/>
    <w:rsid w:val="001C07E0"/>
    <w:rsid w:val="001C0E57"/>
    <w:rsid w:val="001C0F6E"/>
    <w:rsid w:val="001C16A4"/>
    <w:rsid w:val="001C19DA"/>
    <w:rsid w:val="001C2769"/>
    <w:rsid w:val="001C2D2E"/>
    <w:rsid w:val="001C3630"/>
    <w:rsid w:val="001C3637"/>
    <w:rsid w:val="001C3DEC"/>
    <w:rsid w:val="001C3FF6"/>
    <w:rsid w:val="001C408B"/>
    <w:rsid w:val="001C48C1"/>
    <w:rsid w:val="001C48C9"/>
    <w:rsid w:val="001C52B3"/>
    <w:rsid w:val="001C58BA"/>
    <w:rsid w:val="001C5BBA"/>
    <w:rsid w:val="001C5DAC"/>
    <w:rsid w:val="001C6EF6"/>
    <w:rsid w:val="001C719C"/>
    <w:rsid w:val="001C7523"/>
    <w:rsid w:val="001C7D35"/>
    <w:rsid w:val="001C7DE1"/>
    <w:rsid w:val="001D0802"/>
    <w:rsid w:val="001D0EE6"/>
    <w:rsid w:val="001D1128"/>
    <w:rsid w:val="001D158B"/>
    <w:rsid w:val="001D1E49"/>
    <w:rsid w:val="001D339B"/>
    <w:rsid w:val="001D35C1"/>
    <w:rsid w:val="001D3B29"/>
    <w:rsid w:val="001D40BB"/>
    <w:rsid w:val="001D4B4F"/>
    <w:rsid w:val="001D4DAA"/>
    <w:rsid w:val="001D5C05"/>
    <w:rsid w:val="001D6272"/>
    <w:rsid w:val="001D6E42"/>
    <w:rsid w:val="001D7188"/>
    <w:rsid w:val="001D73B8"/>
    <w:rsid w:val="001E0282"/>
    <w:rsid w:val="001E065C"/>
    <w:rsid w:val="001E1136"/>
    <w:rsid w:val="001E16B2"/>
    <w:rsid w:val="001E1862"/>
    <w:rsid w:val="001E1A6B"/>
    <w:rsid w:val="001E28CD"/>
    <w:rsid w:val="001E2B07"/>
    <w:rsid w:val="001E2FE2"/>
    <w:rsid w:val="001E32DB"/>
    <w:rsid w:val="001E366C"/>
    <w:rsid w:val="001E3B5D"/>
    <w:rsid w:val="001E3E7B"/>
    <w:rsid w:val="001E4D8A"/>
    <w:rsid w:val="001E513B"/>
    <w:rsid w:val="001E531E"/>
    <w:rsid w:val="001E5989"/>
    <w:rsid w:val="001E5AB1"/>
    <w:rsid w:val="001E5DEF"/>
    <w:rsid w:val="001E64C3"/>
    <w:rsid w:val="001E6708"/>
    <w:rsid w:val="001E7119"/>
    <w:rsid w:val="001E7271"/>
    <w:rsid w:val="001E72CB"/>
    <w:rsid w:val="001E7326"/>
    <w:rsid w:val="001E79C9"/>
    <w:rsid w:val="001E7AFA"/>
    <w:rsid w:val="001E7C67"/>
    <w:rsid w:val="001F0060"/>
    <w:rsid w:val="001F00C3"/>
    <w:rsid w:val="001F1394"/>
    <w:rsid w:val="001F1582"/>
    <w:rsid w:val="001F20F6"/>
    <w:rsid w:val="001F2272"/>
    <w:rsid w:val="001F22C7"/>
    <w:rsid w:val="001F2544"/>
    <w:rsid w:val="001F27B1"/>
    <w:rsid w:val="001F2A51"/>
    <w:rsid w:val="001F2B5E"/>
    <w:rsid w:val="001F2C48"/>
    <w:rsid w:val="001F32CE"/>
    <w:rsid w:val="001F33EA"/>
    <w:rsid w:val="001F4C80"/>
    <w:rsid w:val="001F579A"/>
    <w:rsid w:val="001F5C72"/>
    <w:rsid w:val="001F63C1"/>
    <w:rsid w:val="001F6F79"/>
    <w:rsid w:val="001F7466"/>
    <w:rsid w:val="002003D3"/>
    <w:rsid w:val="00201468"/>
    <w:rsid w:val="00202951"/>
    <w:rsid w:val="00202A2E"/>
    <w:rsid w:val="00202E61"/>
    <w:rsid w:val="00203441"/>
    <w:rsid w:val="002037F2"/>
    <w:rsid w:val="00204659"/>
    <w:rsid w:val="0020469C"/>
    <w:rsid w:val="002046F5"/>
    <w:rsid w:val="00204B4E"/>
    <w:rsid w:val="00204BAE"/>
    <w:rsid w:val="00205295"/>
    <w:rsid w:val="00205627"/>
    <w:rsid w:val="00206080"/>
    <w:rsid w:val="002066F8"/>
    <w:rsid w:val="0020670C"/>
    <w:rsid w:val="00206B3B"/>
    <w:rsid w:val="002070C9"/>
    <w:rsid w:val="00210AB9"/>
    <w:rsid w:val="00210B51"/>
    <w:rsid w:val="00210D55"/>
    <w:rsid w:val="00211673"/>
    <w:rsid w:val="00211FF0"/>
    <w:rsid w:val="002121E6"/>
    <w:rsid w:val="00213BC0"/>
    <w:rsid w:val="0021420C"/>
    <w:rsid w:val="0021456E"/>
    <w:rsid w:val="00214629"/>
    <w:rsid w:val="0021491D"/>
    <w:rsid w:val="00214968"/>
    <w:rsid w:val="00214BCE"/>
    <w:rsid w:val="002150FC"/>
    <w:rsid w:val="00215131"/>
    <w:rsid w:val="002151F1"/>
    <w:rsid w:val="00215818"/>
    <w:rsid w:val="00216230"/>
    <w:rsid w:val="00216527"/>
    <w:rsid w:val="00216E4B"/>
    <w:rsid w:val="00217281"/>
    <w:rsid w:val="002177DF"/>
    <w:rsid w:val="00217FB7"/>
    <w:rsid w:val="00220861"/>
    <w:rsid w:val="00221314"/>
    <w:rsid w:val="0022135E"/>
    <w:rsid w:val="002214D4"/>
    <w:rsid w:val="00222AC2"/>
    <w:rsid w:val="00222C2E"/>
    <w:rsid w:val="00222F84"/>
    <w:rsid w:val="00223FF4"/>
    <w:rsid w:val="00225053"/>
    <w:rsid w:val="0022535F"/>
    <w:rsid w:val="002259C3"/>
    <w:rsid w:val="00225AAF"/>
    <w:rsid w:val="00225CEB"/>
    <w:rsid w:val="00225D76"/>
    <w:rsid w:val="00225F7C"/>
    <w:rsid w:val="002261E3"/>
    <w:rsid w:val="00227196"/>
    <w:rsid w:val="002277FE"/>
    <w:rsid w:val="00227B11"/>
    <w:rsid w:val="00227CF4"/>
    <w:rsid w:val="00230108"/>
    <w:rsid w:val="0023040E"/>
    <w:rsid w:val="0023052F"/>
    <w:rsid w:val="00230B9A"/>
    <w:rsid w:val="00231A05"/>
    <w:rsid w:val="002321DE"/>
    <w:rsid w:val="002322DE"/>
    <w:rsid w:val="0023253F"/>
    <w:rsid w:val="00232E7F"/>
    <w:rsid w:val="0023363F"/>
    <w:rsid w:val="002337E5"/>
    <w:rsid w:val="00234275"/>
    <w:rsid w:val="002343C9"/>
    <w:rsid w:val="00234620"/>
    <w:rsid w:val="002347EA"/>
    <w:rsid w:val="00234B4D"/>
    <w:rsid w:val="00234FFD"/>
    <w:rsid w:val="0023523B"/>
    <w:rsid w:val="0023531C"/>
    <w:rsid w:val="00235747"/>
    <w:rsid w:val="00235D30"/>
    <w:rsid w:val="002374E0"/>
    <w:rsid w:val="00240948"/>
    <w:rsid w:val="00241807"/>
    <w:rsid w:val="00241DA6"/>
    <w:rsid w:val="00242D4E"/>
    <w:rsid w:val="002434C5"/>
    <w:rsid w:val="00243BD9"/>
    <w:rsid w:val="00244268"/>
    <w:rsid w:val="00244D3B"/>
    <w:rsid w:val="00244DC5"/>
    <w:rsid w:val="0024554F"/>
    <w:rsid w:val="00245B46"/>
    <w:rsid w:val="00245C1C"/>
    <w:rsid w:val="00245C4F"/>
    <w:rsid w:val="00246550"/>
    <w:rsid w:val="0024658A"/>
    <w:rsid w:val="002469CD"/>
    <w:rsid w:val="00247A28"/>
    <w:rsid w:val="00250177"/>
    <w:rsid w:val="002501CD"/>
    <w:rsid w:val="0025105A"/>
    <w:rsid w:val="00251146"/>
    <w:rsid w:val="002513C5"/>
    <w:rsid w:val="0025168B"/>
    <w:rsid w:val="00251B95"/>
    <w:rsid w:val="00252816"/>
    <w:rsid w:val="002534EC"/>
    <w:rsid w:val="00253B0C"/>
    <w:rsid w:val="00253CF4"/>
    <w:rsid w:val="002546C1"/>
    <w:rsid w:val="00254D9B"/>
    <w:rsid w:val="002564E7"/>
    <w:rsid w:val="00257073"/>
    <w:rsid w:val="00257240"/>
    <w:rsid w:val="00257FBA"/>
    <w:rsid w:val="002602F4"/>
    <w:rsid w:val="00260626"/>
    <w:rsid w:val="00260948"/>
    <w:rsid w:val="00260EDA"/>
    <w:rsid w:val="002614A3"/>
    <w:rsid w:val="00261B4E"/>
    <w:rsid w:val="00261C66"/>
    <w:rsid w:val="002622FF"/>
    <w:rsid w:val="00262456"/>
    <w:rsid w:val="00262D47"/>
    <w:rsid w:val="00262E5C"/>
    <w:rsid w:val="00262E86"/>
    <w:rsid w:val="002644E2"/>
    <w:rsid w:val="00264A80"/>
    <w:rsid w:val="00265888"/>
    <w:rsid w:val="00265F3F"/>
    <w:rsid w:val="002664EA"/>
    <w:rsid w:val="00266EB4"/>
    <w:rsid w:val="00267488"/>
    <w:rsid w:val="002675AB"/>
    <w:rsid w:val="00267E61"/>
    <w:rsid w:val="002700CC"/>
    <w:rsid w:val="002707B1"/>
    <w:rsid w:val="00270D2F"/>
    <w:rsid w:val="00271028"/>
    <w:rsid w:val="0027143F"/>
    <w:rsid w:val="00272555"/>
    <w:rsid w:val="00272930"/>
    <w:rsid w:val="00272D61"/>
    <w:rsid w:val="0027380C"/>
    <w:rsid w:val="002738C3"/>
    <w:rsid w:val="00274632"/>
    <w:rsid w:val="00274DBF"/>
    <w:rsid w:val="00274E5D"/>
    <w:rsid w:val="00274F1A"/>
    <w:rsid w:val="00275277"/>
    <w:rsid w:val="0027546C"/>
    <w:rsid w:val="002757E7"/>
    <w:rsid w:val="00275CF0"/>
    <w:rsid w:val="00275F50"/>
    <w:rsid w:val="0027649F"/>
    <w:rsid w:val="00276CB2"/>
    <w:rsid w:val="0027745E"/>
    <w:rsid w:val="002779EF"/>
    <w:rsid w:val="00277B88"/>
    <w:rsid w:val="00277D5B"/>
    <w:rsid w:val="002801E9"/>
    <w:rsid w:val="00280910"/>
    <w:rsid w:val="002820D0"/>
    <w:rsid w:val="00282601"/>
    <w:rsid w:val="002826CA"/>
    <w:rsid w:val="00282878"/>
    <w:rsid w:val="002828EA"/>
    <w:rsid w:val="00282AED"/>
    <w:rsid w:val="0028346B"/>
    <w:rsid w:val="002834B4"/>
    <w:rsid w:val="00283C3F"/>
    <w:rsid w:val="00284AF1"/>
    <w:rsid w:val="00284BEE"/>
    <w:rsid w:val="00285234"/>
    <w:rsid w:val="002864FD"/>
    <w:rsid w:val="002866EA"/>
    <w:rsid w:val="00286A3A"/>
    <w:rsid w:val="00286BDE"/>
    <w:rsid w:val="00287F5B"/>
    <w:rsid w:val="002901D6"/>
    <w:rsid w:val="00290842"/>
    <w:rsid w:val="00290BD7"/>
    <w:rsid w:val="00291462"/>
    <w:rsid w:val="00291A41"/>
    <w:rsid w:val="00291A6A"/>
    <w:rsid w:val="00291B87"/>
    <w:rsid w:val="0029219C"/>
    <w:rsid w:val="002924AF"/>
    <w:rsid w:val="00292D44"/>
    <w:rsid w:val="00293112"/>
    <w:rsid w:val="0029323A"/>
    <w:rsid w:val="00294416"/>
    <w:rsid w:val="00294614"/>
    <w:rsid w:val="00295490"/>
    <w:rsid w:val="002A0559"/>
    <w:rsid w:val="002A0664"/>
    <w:rsid w:val="002A08AC"/>
    <w:rsid w:val="002A0938"/>
    <w:rsid w:val="002A0BE3"/>
    <w:rsid w:val="002A124C"/>
    <w:rsid w:val="002A22C2"/>
    <w:rsid w:val="002A242F"/>
    <w:rsid w:val="002A362D"/>
    <w:rsid w:val="002A3853"/>
    <w:rsid w:val="002A3B7A"/>
    <w:rsid w:val="002A4085"/>
    <w:rsid w:val="002A4604"/>
    <w:rsid w:val="002A4A94"/>
    <w:rsid w:val="002A4BC8"/>
    <w:rsid w:val="002A5BC9"/>
    <w:rsid w:val="002A62A0"/>
    <w:rsid w:val="002A6A8D"/>
    <w:rsid w:val="002A7379"/>
    <w:rsid w:val="002A79FE"/>
    <w:rsid w:val="002A7BC8"/>
    <w:rsid w:val="002A7C5C"/>
    <w:rsid w:val="002B1163"/>
    <w:rsid w:val="002B12C7"/>
    <w:rsid w:val="002B13BA"/>
    <w:rsid w:val="002B159A"/>
    <w:rsid w:val="002B1791"/>
    <w:rsid w:val="002B20D6"/>
    <w:rsid w:val="002B28E7"/>
    <w:rsid w:val="002B356F"/>
    <w:rsid w:val="002B35C2"/>
    <w:rsid w:val="002B38AF"/>
    <w:rsid w:val="002B40CD"/>
    <w:rsid w:val="002B4837"/>
    <w:rsid w:val="002B52D9"/>
    <w:rsid w:val="002B56CB"/>
    <w:rsid w:val="002B5D29"/>
    <w:rsid w:val="002B712D"/>
    <w:rsid w:val="002B74D0"/>
    <w:rsid w:val="002B7599"/>
    <w:rsid w:val="002B76C2"/>
    <w:rsid w:val="002B781B"/>
    <w:rsid w:val="002C087B"/>
    <w:rsid w:val="002C0B86"/>
    <w:rsid w:val="002C1325"/>
    <w:rsid w:val="002C1EB7"/>
    <w:rsid w:val="002C338E"/>
    <w:rsid w:val="002C3988"/>
    <w:rsid w:val="002C4D14"/>
    <w:rsid w:val="002C5315"/>
    <w:rsid w:val="002C563C"/>
    <w:rsid w:val="002C5F66"/>
    <w:rsid w:val="002C70A7"/>
    <w:rsid w:val="002D151A"/>
    <w:rsid w:val="002D17E2"/>
    <w:rsid w:val="002D2F3C"/>
    <w:rsid w:val="002D3D74"/>
    <w:rsid w:val="002D4439"/>
    <w:rsid w:val="002D4807"/>
    <w:rsid w:val="002D4CE4"/>
    <w:rsid w:val="002D574C"/>
    <w:rsid w:val="002D68ED"/>
    <w:rsid w:val="002D6A1B"/>
    <w:rsid w:val="002D6BBF"/>
    <w:rsid w:val="002D6FEA"/>
    <w:rsid w:val="002D7D26"/>
    <w:rsid w:val="002E0BB6"/>
    <w:rsid w:val="002E0C95"/>
    <w:rsid w:val="002E1210"/>
    <w:rsid w:val="002E181F"/>
    <w:rsid w:val="002E1FA7"/>
    <w:rsid w:val="002E2239"/>
    <w:rsid w:val="002E2803"/>
    <w:rsid w:val="002E28C8"/>
    <w:rsid w:val="002E2A83"/>
    <w:rsid w:val="002E2AE9"/>
    <w:rsid w:val="002E337E"/>
    <w:rsid w:val="002E33DC"/>
    <w:rsid w:val="002E3D58"/>
    <w:rsid w:val="002E4272"/>
    <w:rsid w:val="002E491C"/>
    <w:rsid w:val="002E4ADA"/>
    <w:rsid w:val="002E4B12"/>
    <w:rsid w:val="002E4B82"/>
    <w:rsid w:val="002E5254"/>
    <w:rsid w:val="002E54AB"/>
    <w:rsid w:val="002E5CBA"/>
    <w:rsid w:val="002E5E6B"/>
    <w:rsid w:val="002E604B"/>
    <w:rsid w:val="002E6FF8"/>
    <w:rsid w:val="002E7302"/>
    <w:rsid w:val="002E7CD3"/>
    <w:rsid w:val="002F0069"/>
    <w:rsid w:val="002F1047"/>
    <w:rsid w:val="002F2090"/>
    <w:rsid w:val="002F2548"/>
    <w:rsid w:val="002F3495"/>
    <w:rsid w:val="002F3AB6"/>
    <w:rsid w:val="002F3C0C"/>
    <w:rsid w:val="002F3C90"/>
    <w:rsid w:val="002F3E46"/>
    <w:rsid w:val="002F5150"/>
    <w:rsid w:val="002F5335"/>
    <w:rsid w:val="002F5545"/>
    <w:rsid w:val="002F5B11"/>
    <w:rsid w:val="002F6024"/>
    <w:rsid w:val="002F6BB1"/>
    <w:rsid w:val="002F6D3B"/>
    <w:rsid w:val="002F6EA7"/>
    <w:rsid w:val="002F7016"/>
    <w:rsid w:val="002F72EB"/>
    <w:rsid w:val="00300359"/>
    <w:rsid w:val="003011A3"/>
    <w:rsid w:val="003021B6"/>
    <w:rsid w:val="00302264"/>
    <w:rsid w:val="00302C32"/>
    <w:rsid w:val="00303257"/>
    <w:rsid w:val="003035C9"/>
    <w:rsid w:val="0030364C"/>
    <w:rsid w:val="00303BDC"/>
    <w:rsid w:val="00304062"/>
    <w:rsid w:val="00304121"/>
    <w:rsid w:val="003044B1"/>
    <w:rsid w:val="003045B2"/>
    <w:rsid w:val="0030518E"/>
    <w:rsid w:val="00305538"/>
    <w:rsid w:val="003069B6"/>
    <w:rsid w:val="00306C0C"/>
    <w:rsid w:val="00307E49"/>
    <w:rsid w:val="003101DA"/>
    <w:rsid w:val="0031025D"/>
    <w:rsid w:val="00310EF3"/>
    <w:rsid w:val="00310F93"/>
    <w:rsid w:val="00311187"/>
    <w:rsid w:val="00311E18"/>
    <w:rsid w:val="00311F1B"/>
    <w:rsid w:val="00312EE0"/>
    <w:rsid w:val="003138DA"/>
    <w:rsid w:val="00315A6A"/>
    <w:rsid w:val="00315F5F"/>
    <w:rsid w:val="0031620F"/>
    <w:rsid w:val="003163FF"/>
    <w:rsid w:val="0031715D"/>
    <w:rsid w:val="00317340"/>
    <w:rsid w:val="00317680"/>
    <w:rsid w:val="00317836"/>
    <w:rsid w:val="0032080B"/>
    <w:rsid w:val="00320B08"/>
    <w:rsid w:val="00321342"/>
    <w:rsid w:val="0032157E"/>
    <w:rsid w:val="00322AD9"/>
    <w:rsid w:val="00322CF4"/>
    <w:rsid w:val="00323556"/>
    <w:rsid w:val="00323956"/>
    <w:rsid w:val="00323EF3"/>
    <w:rsid w:val="00323F8A"/>
    <w:rsid w:val="003244FD"/>
    <w:rsid w:val="00325357"/>
    <w:rsid w:val="003257C7"/>
    <w:rsid w:val="003268EC"/>
    <w:rsid w:val="00327DFB"/>
    <w:rsid w:val="00330183"/>
    <w:rsid w:val="00331117"/>
    <w:rsid w:val="00331125"/>
    <w:rsid w:val="00331B79"/>
    <w:rsid w:val="00331C72"/>
    <w:rsid w:val="0033221F"/>
    <w:rsid w:val="0033292C"/>
    <w:rsid w:val="00332AC9"/>
    <w:rsid w:val="00332EF3"/>
    <w:rsid w:val="00333E23"/>
    <w:rsid w:val="003348C1"/>
    <w:rsid w:val="00336B8E"/>
    <w:rsid w:val="00337AAB"/>
    <w:rsid w:val="00337BC1"/>
    <w:rsid w:val="003405C6"/>
    <w:rsid w:val="003407F5"/>
    <w:rsid w:val="00340815"/>
    <w:rsid w:val="00340A53"/>
    <w:rsid w:val="00340AA0"/>
    <w:rsid w:val="00341010"/>
    <w:rsid w:val="00342882"/>
    <w:rsid w:val="00342BB3"/>
    <w:rsid w:val="00343B1B"/>
    <w:rsid w:val="0034559B"/>
    <w:rsid w:val="003457E0"/>
    <w:rsid w:val="00345AC8"/>
    <w:rsid w:val="00345CBC"/>
    <w:rsid w:val="00346646"/>
    <w:rsid w:val="00346985"/>
    <w:rsid w:val="003508DC"/>
    <w:rsid w:val="00350A82"/>
    <w:rsid w:val="00350F3F"/>
    <w:rsid w:val="00351069"/>
    <w:rsid w:val="00351DEC"/>
    <w:rsid w:val="003521C8"/>
    <w:rsid w:val="00355647"/>
    <w:rsid w:val="00355990"/>
    <w:rsid w:val="00355A23"/>
    <w:rsid w:val="00356319"/>
    <w:rsid w:val="00356498"/>
    <w:rsid w:val="00356C94"/>
    <w:rsid w:val="00356E24"/>
    <w:rsid w:val="00356F21"/>
    <w:rsid w:val="00356F47"/>
    <w:rsid w:val="0035718A"/>
    <w:rsid w:val="003573C2"/>
    <w:rsid w:val="003573CB"/>
    <w:rsid w:val="003574C2"/>
    <w:rsid w:val="00357BE2"/>
    <w:rsid w:val="00357D64"/>
    <w:rsid w:val="0036047F"/>
    <w:rsid w:val="0036051B"/>
    <w:rsid w:val="003608A6"/>
    <w:rsid w:val="00360916"/>
    <w:rsid w:val="00360E04"/>
    <w:rsid w:val="00360F13"/>
    <w:rsid w:val="0036187E"/>
    <w:rsid w:val="00361DD5"/>
    <w:rsid w:val="00362252"/>
    <w:rsid w:val="0036278C"/>
    <w:rsid w:val="00363432"/>
    <w:rsid w:val="00364291"/>
    <w:rsid w:val="00364350"/>
    <w:rsid w:val="00364AA1"/>
    <w:rsid w:val="00364C87"/>
    <w:rsid w:val="00366101"/>
    <w:rsid w:val="0036640B"/>
    <w:rsid w:val="00366B12"/>
    <w:rsid w:val="003670F8"/>
    <w:rsid w:val="00367BD8"/>
    <w:rsid w:val="003701AD"/>
    <w:rsid w:val="0037181E"/>
    <w:rsid w:val="00371986"/>
    <w:rsid w:val="003719D4"/>
    <w:rsid w:val="003722B5"/>
    <w:rsid w:val="00372C13"/>
    <w:rsid w:val="003734B9"/>
    <w:rsid w:val="00373D88"/>
    <w:rsid w:val="00374497"/>
    <w:rsid w:val="00374A7A"/>
    <w:rsid w:val="0037521B"/>
    <w:rsid w:val="00375C04"/>
    <w:rsid w:val="00375D6B"/>
    <w:rsid w:val="00375F44"/>
    <w:rsid w:val="00376BA0"/>
    <w:rsid w:val="00376CAE"/>
    <w:rsid w:val="00376F50"/>
    <w:rsid w:val="00377229"/>
    <w:rsid w:val="0037792F"/>
    <w:rsid w:val="00377E7C"/>
    <w:rsid w:val="00377EA8"/>
    <w:rsid w:val="0038079A"/>
    <w:rsid w:val="003807FD"/>
    <w:rsid w:val="003809D5"/>
    <w:rsid w:val="00381142"/>
    <w:rsid w:val="0038115D"/>
    <w:rsid w:val="003815B8"/>
    <w:rsid w:val="00381FAB"/>
    <w:rsid w:val="00382967"/>
    <w:rsid w:val="00382D97"/>
    <w:rsid w:val="00384343"/>
    <w:rsid w:val="00384526"/>
    <w:rsid w:val="0038474B"/>
    <w:rsid w:val="003855EA"/>
    <w:rsid w:val="00385E05"/>
    <w:rsid w:val="00386556"/>
    <w:rsid w:val="0038665A"/>
    <w:rsid w:val="00386897"/>
    <w:rsid w:val="00386FF0"/>
    <w:rsid w:val="00387CCD"/>
    <w:rsid w:val="00387D5D"/>
    <w:rsid w:val="003908F3"/>
    <w:rsid w:val="00390D0F"/>
    <w:rsid w:val="0039228E"/>
    <w:rsid w:val="003925C7"/>
    <w:rsid w:val="00392A28"/>
    <w:rsid w:val="00393667"/>
    <w:rsid w:val="00393AB9"/>
    <w:rsid w:val="00393D95"/>
    <w:rsid w:val="00393E0E"/>
    <w:rsid w:val="003942DF"/>
    <w:rsid w:val="0039437D"/>
    <w:rsid w:val="0039451B"/>
    <w:rsid w:val="00394B27"/>
    <w:rsid w:val="00394FE6"/>
    <w:rsid w:val="0039546C"/>
    <w:rsid w:val="0039578A"/>
    <w:rsid w:val="00395EC6"/>
    <w:rsid w:val="003963E5"/>
    <w:rsid w:val="00396668"/>
    <w:rsid w:val="00396914"/>
    <w:rsid w:val="0039695E"/>
    <w:rsid w:val="00397305"/>
    <w:rsid w:val="003976E3"/>
    <w:rsid w:val="00397D29"/>
    <w:rsid w:val="00397DC6"/>
    <w:rsid w:val="003A0535"/>
    <w:rsid w:val="003A0D53"/>
    <w:rsid w:val="003A191C"/>
    <w:rsid w:val="003A1F56"/>
    <w:rsid w:val="003A1FCD"/>
    <w:rsid w:val="003A1FFA"/>
    <w:rsid w:val="003A2AF5"/>
    <w:rsid w:val="003A2D47"/>
    <w:rsid w:val="003A3214"/>
    <w:rsid w:val="003A33DE"/>
    <w:rsid w:val="003A41FE"/>
    <w:rsid w:val="003A4C96"/>
    <w:rsid w:val="003A4FA5"/>
    <w:rsid w:val="003A526E"/>
    <w:rsid w:val="003A553B"/>
    <w:rsid w:val="003A5849"/>
    <w:rsid w:val="003A5C6B"/>
    <w:rsid w:val="003A6DA1"/>
    <w:rsid w:val="003A7852"/>
    <w:rsid w:val="003A7BAD"/>
    <w:rsid w:val="003B00CE"/>
    <w:rsid w:val="003B0C24"/>
    <w:rsid w:val="003B1158"/>
    <w:rsid w:val="003B11EF"/>
    <w:rsid w:val="003B122A"/>
    <w:rsid w:val="003B1491"/>
    <w:rsid w:val="003B17F7"/>
    <w:rsid w:val="003B3161"/>
    <w:rsid w:val="003B3866"/>
    <w:rsid w:val="003B3E6A"/>
    <w:rsid w:val="003B420F"/>
    <w:rsid w:val="003B45C4"/>
    <w:rsid w:val="003B53B5"/>
    <w:rsid w:val="003B601F"/>
    <w:rsid w:val="003B63F5"/>
    <w:rsid w:val="003B64B2"/>
    <w:rsid w:val="003B64D2"/>
    <w:rsid w:val="003B6782"/>
    <w:rsid w:val="003B69EF"/>
    <w:rsid w:val="003B6B2F"/>
    <w:rsid w:val="003B6DE1"/>
    <w:rsid w:val="003B6E84"/>
    <w:rsid w:val="003B7289"/>
    <w:rsid w:val="003B7A45"/>
    <w:rsid w:val="003B7D51"/>
    <w:rsid w:val="003C0451"/>
    <w:rsid w:val="003C054F"/>
    <w:rsid w:val="003C16B2"/>
    <w:rsid w:val="003C255D"/>
    <w:rsid w:val="003C26DC"/>
    <w:rsid w:val="003C2C76"/>
    <w:rsid w:val="003C3D77"/>
    <w:rsid w:val="003C42D6"/>
    <w:rsid w:val="003C432C"/>
    <w:rsid w:val="003C493A"/>
    <w:rsid w:val="003C4F23"/>
    <w:rsid w:val="003C527F"/>
    <w:rsid w:val="003C5A65"/>
    <w:rsid w:val="003C5B4A"/>
    <w:rsid w:val="003C60D1"/>
    <w:rsid w:val="003C6133"/>
    <w:rsid w:val="003C6802"/>
    <w:rsid w:val="003C6A42"/>
    <w:rsid w:val="003C7C4A"/>
    <w:rsid w:val="003D121E"/>
    <w:rsid w:val="003D15EE"/>
    <w:rsid w:val="003D19A6"/>
    <w:rsid w:val="003D2404"/>
    <w:rsid w:val="003D2A10"/>
    <w:rsid w:val="003D32FA"/>
    <w:rsid w:val="003D3A93"/>
    <w:rsid w:val="003D4C04"/>
    <w:rsid w:val="003D549F"/>
    <w:rsid w:val="003D550E"/>
    <w:rsid w:val="003D60B6"/>
    <w:rsid w:val="003D62D6"/>
    <w:rsid w:val="003D62D7"/>
    <w:rsid w:val="003D6805"/>
    <w:rsid w:val="003D6D95"/>
    <w:rsid w:val="003D70AC"/>
    <w:rsid w:val="003D73B2"/>
    <w:rsid w:val="003D74ED"/>
    <w:rsid w:val="003E0331"/>
    <w:rsid w:val="003E1132"/>
    <w:rsid w:val="003E1252"/>
    <w:rsid w:val="003E1951"/>
    <w:rsid w:val="003E20AA"/>
    <w:rsid w:val="003E22A6"/>
    <w:rsid w:val="003E2392"/>
    <w:rsid w:val="003E3211"/>
    <w:rsid w:val="003E3941"/>
    <w:rsid w:val="003E3C0D"/>
    <w:rsid w:val="003E3DEF"/>
    <w:rsid w:val="003E4DD0"/>
    <w:rsid w:val="003E507D"/>
    <w:rsid w:val="003E6816"/>
    <w:rsid w:val="003E74FF"/>
    <w:rsid w:val="003F0D78"/>
    <w:rsid w:val="003F1C17"/>
    <w:rsid w:val="003F2126"/>
    <w:rsid w:val="003F213F"/>
    <w:rsid w:val="003F2284"/>
    <w:rsid w:val="003F23BF"/>
    <w:rsid w:val="003F2690"/>
    <w:rsid w:val="003F29DE"/>
    <w:rsid w:val="003F2AAB"/>
    <w:rsid w:val="003F30C1"/>
    <w:rsid w:val="003F3D9D"/>
    <w:rsid w:val="003F479B"/>
    <w:rsid w:val="003F4C7F"/>
    <w:rsid w:val="003F5397"/>
    <w:rsid w:val="003F54AB"/>
    <w:rsid w:val="003F6E08"/>
    <w:rsid w:val="003F7197"/>
    <w:rsid w:val="003F7874"/>
    <w:rsid w:val="003F7A5D"/>
    <w:rsid w:val="00400111"/>
    <w:rsid w:val="00400147"/>
    <w:rsid w:val="00400516"/>
    <w:rsid w:val="00401757"/>
    <w:rsid w:val="00401939"/>
    <w:rsid w:val="00402256"/>
    <w:rsid w:val="0040250B"/>
    <w:rsid w:val="004026C4"/>
    <w:rsid w:val="0040347C"/>
    <w:rsid w:val="00404AB5"/>
    <w:rsid w:val="004056B9"/>
    <w:rsid w:val="00405961"/>
    <w:rsid w:val="00406A9C"/>
    <w:rsid w:val="00406D9B"/>
    <w:rsid w:val="00410638"/>
    <w:rsid w:val="0041096D"/>
    <w:rsid w:val="00410C2B"/>
    <w:rsid w:val="00410DE6"/>
    <w:rsid w:val="0041138B"/>
    <w:rsid w:val="004115ED"/>
    <w:rsid w:val="00411EB6"/>
    <w:rsid w:val="00412454"/>
    <w:rsid w:val="00412481"/>
    <w:rsid w:val="004125D8"/>
    <w:rsid w:val="00412F8A"/>
    <w:rsid w:val="00413175"/>
    <w:rsid w:val="00413F81"/>
    <w:rsid w:val="00414585"/>
    <w:rsid w:val="004146FE"/>
    <w:rsid w:val="00414EF8"/>
    <w:rsid w:val="00415E6A"/>
    <w:rsid w:val="00415E75"/>
    <w:rsid w:val="00415FD4"/>
    <w:rsid w:val="00416464"/>
    <w:rsid w:val="00416F6A"/>
    <w:rsid w:val="00417044"/>
    <w:rsid w:val="00417A5C"/>
    <w:rsid w:val="00417B46"/>
    <w:rsid w:val="0042040F"/>
    <w:rsid w:val="00420582"/>
    <w:rsid w:val="00420EFB"/>
    <w:rsid w:val="0042137B"/>
    <w:rsid w:val="0042198D"/>
    <w:rsid w:val="00421B6B"/>
    <w:rsid w:val="00421C6E"/>
    <w:rsid w:val="004227C2"/>
    <w:rsid w:val="00422D48"/>
    <w:rsid w:val="00422E8F"/>
    <w:rsid w:val="00422F2D"/>
    <w:rsid w:val="00422F45"/>
    <w:rsid w:val="00423771"/>
    <w:rsid w:val="0042447A"/>
    <w:rsid w:val="00424AEC"/>
    <w:rsid w:val="00424D66"/>
    <w:rsid w:val="004256A2"/>
    <w:rsid w:val="00425C5B"/>
    <w:rsid w:val="00426199"/>
    <w:rsid w:val="0042693D"/>
    <w:rsid w:val="00426A62"/>
    <w:rsid w:val="004275EC"/>
    <w:rsid w:val="00431083"/>
    <w:rsid w:val="004317CD"/>
    <w:rsid w:val="00431824"/>
    <w:rsid w:val="00431F35"/>
    <w:rsid w:val="0043222E"/>
    <w:rsid w:val="004331AC"/>
    <w:rsid w:val="004334AC"/>
    <w:rsid w:val="004336B8"/>
    <w:rsid w:val="00433797"/>
    <w:rsid w:val="00433977"/>
    <w:rsid w:val="00433DC6"/>
    <w:rsid w:val="004345D0"/>
    <w:rsid w:val="00434C38"/>
    <w:rsid w:val="00434DFD"/>
    <w:rsid w:val="0043525E"/>
    <w:rsid w:val="004352E1"/>
    <w:rsid w:val="0043573E"/>
    <w:rsid w:val="00435F96"/>
    <w:rsid w:val="004360B9"/>
    <w:rsid w:val="00436D18"/>
    <w:rsid w:val="00436F90"/>
    <w:rsid w:val="004374FF"/>
    <w:rsid w:val="004375CD"/>
    <w:rsid w:val="004377D5"/>
    <w:rsid w:val="00440450"/>
    <w:rsid w:val="00440522"/>
    <w:rsid w:val="004413A1"/>
    <w:rsid w:val="004415AF"/>
    <w:rsid w:val="0044177C"/>
    <w:rsid w:val="00441B77"/>
    <w:rsid w:val="0044289A"/>
    <w:rsid w:val="00443537"/>
    <w:rsid w:val="00443996"/>
    <w:rsid w:val="00443D35"/>
    <w:rsid w:val="004440DA"/>
    <w:rsid w:val="0044418A"/>
    <w:rsid w:val="00444498"/>
    <w:rsid w:val="00445792"/>
    <w:rsid w:val="0044623D"/>
    <w:rsid w:val="004462C7"/>
    <w:rsid w:val="00446816"/>
    <w:rsid w:val="00447277"/>
    <w:rsid w:val="00447AA5"/>
    <w:rsid w:val="00447DC8"/>
    <w:rsid w:val="00450B25"/>
    <w:rsid w:val="00451259"/>
    <w:rsid w:val="00451E10"/>
    <w:rsid w:val="00452189"/>
    <w:rsid w:val="004522E8"/>
    <w:rsid w:val="004525FC"/>
    <w:rsid w:val="0045274F"/>
    <w:rsid w:val="0045295F"/>
    <w:rsid w:val="00452C01"/>
    <w:rsid w:val="00452CF5"/>
    <w:rsid w:val="004535CF"/>
    <w:rsid w:val="00453A61"/>
    <w:rsid w:val="00453B8E"/>
    <w:rsid w:val="00453DA0"/>
    <w:rsid w:val="0045429A"/>
    <w:rsid w:val="00454B2A"/>
    <w:rsid w:val="00455013"/>
    <w:rsid w:val="004565EE"/>
    <w:rsid w:val="00456920"/>
    <w:rsid w:val="0045734A"/>
    <w:rsid w:val="004576A6"/>
    <w:rsid w:val="00457BE4"/>
    <w:rsid w:val="00457D26"/>
    <w:rsid w:val="0046098A"/>
    <w:rsid w:val="00460BFA"/>
    <w:rsid w:val="00461CBF"/>
    <w:rsid w:val="00462093"/>
    <w:rsid w:val="0046278A"/>
    <w:rsid w:val="00462B03"/>
    <w:rsid w:val="00462F01"/>
    <w:rsid w:val="00463A30"/>
    <w:rsid w:val="004640BB"/>
    <w:rsid w:val="00464352"/>
    <w:rsid w:val="004654BB"/>
    <w:rsid w:val="00465586"/>
    <w:rsid w:val="004657CF"/>
    <w:rsid w:val="004659AB"/>
    <w:rsid w:val="00465A18"/>
    <w:rsid w:val="004660BE"/>
    <w:rsid w:val="004661B7"/>
    <w:rsid w:val="00467247"/>
    <w:rsid w:val="00467497"/>
    <w:rsid w:val="0046750D"/>
    <w:rsid w:val="00467609"/>
    <w:rsid w:val="00467BA4"/>
    <w:rsid w:val="00470910"/>
    <w:rsid w:val="00470F29"/>
    <w:rsid w:val="004715A6"/>
    <w:rsid w:val="004716A4"/>
    <w:rsid w:val="00471AD5"/>
    <w:rsid w:val="00471D90"/>
    <w:rsid w:val="00472589"/>
    <w:rsid w:val="0047376B"/>
    <w:rsid w:val="00473BFE"/>
    <w:rsid w:val="00473E1D"/>
    <w:rsid w:val="00474FCC"/>
    <w:rsid w:val="00475ACA"/>
    <w:rsid w:val="00476472"/>
    <w:rsid w:val="0048111F"/>
    <w:rsid w:val="00481C78"/>
    <w:rsid w:val="0048231D"/>
    <w:rsid w:val="00482710"/>
    <w:rsid w:val="0048301A"/>
    <w:rsid w:val="00484030"/>
    <w:rsid w:val="00484F1A"/>
    <w:rsid w:val="004858B6"/>
    <w:rsid w:val="004859FE"/>
    <w:rsid w:val="00485C48"/>
    <w:rsid w:val="00485CC7"/>
    <w:rsid w:val="00485EB0"/>
    <w:rsid w:val="004864C4"/>
    <w:rsid w:val="00486A88"/>
    <w:rsid w:val="004902F2"/>
    <w:rsid w:val="0049077A"/>
    <w:rsid w:val="00490E16"/>
    <w:rsid w:val="004910AA"/>
    <w:rsid w:val="00491942"/>
    <w:rsid w:val="00491CE6"/>
    <w:rsid w:val="00492A47"/>
    <w:rsid w:val="00492C39"/>
    <w:rsid w:val="00492DE6"/>
    <w:rsid w:val="0049328C"/>
    <w:rsid w:val="00493C2B"/>
    <w:rsid w:val="00494639"/>
    <w:rsid w:val="00494CF9"/>
    <w:rsid w:val="00495732"/>
    <w:rsid w:val="00495EB5"/>
    <w:rsid w:val="0049663D"/>
    <w:rsid w:val="00496751"/>
    <w:rsid w:val="00497116"/>
    <w:rsid w:val="0049774C"/>
    <w:rsid w:val="004A0C66"/>
    <w:rsid w:val="004A0D34"/>
    <w:rsid w:val="004A0F9D"/>
    <w:rsid w:val="004A120E"/>
    <w:rsid w:val="004A126B"/>
    <w:rsid w:val="004A15E4"/>
    <w:rsid w:val="004A18C5"/>
    <w:rsid w:val="004A1BD8"/>
    <w:rsid w:val="004A1C7E"/>
    <w:rsid w:val="004A1ECC"/>
    <w:rsid w:val="004A206F"/>
    <w:rsid w:val="004A2616"/>
    <w:rsid w:val="004A3316"/>
    <w:rsid w:val="004A4824"/>
    <w:rsid w:val="004A5133"/>
    <w:rsid w:val="004A565F"/>
    <w:rsid w:val="004A580B"/>
    <w:rsid w:val="004A67E2"/>
    <w:rsid w:val="004A697F"/>
    <w:rsid w:val="004A6A08"/>
    <w:rsid w:val="004A6F77"/>
    <w:rsid w:val="004A72B9"/>
    <w:rsid w:val="004A78EF"/>
    <w:rsid w:val="004A7D92"/>
    <w:rsid w:val="004B046E"/>
    <w:rsid w:val="004B0617"/>
    <w:rsid w:val="004B07B2"/>
    <w:rsid w:val="004B0877"/>
    <w:rsid w:val="004B1D88"/>
    <w:rsid w:val="004B2C71"/>
    <w:rsid w:val="004B2DF7"/>
    <w:rsid w:val="004B2F89"/>
    <w:rsid w:val="004B32D5"/>
    <w:rsid w:val="004B3498"/>
    <w:rsid w:val="004B3A6C"/>
    <w:rsid w:val="004B409F"/>
    <w:rsid w:val="004B4270"/>
    <w:rsid w:val="004B45D5"/>
    <w:rsid w:val="004B490C"/>
    <w:rsid w:val="004B4BC4"/>
    <w:rsid w:val="004B4DF5"/>
    <w:rsid w:val="004B5232"/>
    <w:rsid w:val="004B541E"/>
    <w:rsid w:val="004B5A43"/>
    <w:rsid w:val="004B5B40"/>
    <w:rsid w:val="004B5B7D"/>
    <w:rsid w:val="004B5EDB"/>
    <w:rsid w:val="004B5FB8"/>
    <w:rsid w:val="004B640D"/>
    <w:rsid w:val="004B6CA6"/>
    <w:rsid w:val="004B6F07"/>
    <w:rsid w:val="004B6F8A"/>
    <w:rsid w:val="004B7B75"/>
    <w:rsid w:val="004B7BA8"/>
    <w:rsid w:val="004C0AFD"/>
    <w:rsid w:val="004C0B60"/>
    <w:rsid w:val="004C0E52"/>
    <w:rsid w:val="004C19D6"/>
    <w:rsid w:val="004C21C3"/>
    <w:rsid w:val="004C2243"/>
    <w:rsid w:val="004C2734"/>
    <w:rsid w:val="004C29D7"/>
    <w:rsid w:val="004C32E5"/>
    <w:rsid w:val="004C4094"/>
    <w:rsid w:val="004C44D1"/>
    <w:rsid w:val="004C4928"/>
    <w:rsid w:val="004C5876"/>
    <w:rsid w:val="004C58EB"/>
    <w:rsid w:val="004C5916"/>
    <w:rsid w:val="004C5975"/>
    <w:rsid w:val="004C5B68"/>
    <w:rsid w:val="004C5EF6"/>
    <w:rsid w:val="004C625B"/>
    <w:rsid w:val="004C65AA"/>
    <w:rsid w:val="004C6640"/>
    <w:rsid w:val="004C6826"/>
    <w:rsid w:val="004C7116"/>
    <w:rsid w:val="004C71DF"/>
    <w:rsid w:val="004C76D1"/>
    <w:rsid w:val="004C7987"/>
    <w:rsid w:val="004C7BB2"/>
    <w:rsid w:val="004C7BE7"/>
    <w:rsid w:val="004C7C79"/>
    <w:rsid w:val="004D0DEB"/>
    <w:rsid w:val="004D0F5D"/>
    <w:rsid w:val="004D17A7"/>
    <w:rsid w:val="004D1828"/>
    <w:rsid w:val="004D19C3"/>
    <w:rsid w:val="004D1C9F"/>
    <w:rsid w:val="004D1F64"/>
    <w:rsid w:val="004D2509"/>
    <w:rsid w:val="004D2A92"/>
    <w:rsid w:val="004D37A9"/>
    <w:rsid w:val="004D3AEC"/>
    <w:rsid w:val="004D3ED2"/>
    <w:rsid w:val="004D3EDE"/>
    <w:rsid w:val="004D57A7"/>
    <w:rsid w:val="004D5D1C"/>
    <w:rsid w:val="004D65A2"/>
    <w:rsid w:val="004D695A"/>
    <w:rsid w:val="004D6BA7"/>
    <w:rsid w:val="004D7500"/>
    <w:rsid w:val="004D7674"/>
    <w:rsid w:val="004D7ABA"/>
    <w:rsid w:val="004E04A7"/>
    <w:rsid w:val="004E0652"/>
    <w:rsid w:val="004E0AD1"/>
    <w:rsid w:val="004E0BCE"/>
    <w:rsid w:val="004E0EC5"/>
    <w:rsid w:val="004E0F71"/>
    <w:rsid w:val="004E0FED"/>
    <w:rsid w:val="004E122E"/>
    <w:rsid w:val="004E1453"/>
    <w:rsid w:val="004E1E0B"/>
    <w:rsid w:val="004E1E54"/>
    <w:rsid w:val="004E21A6"/>
    <w:rsid w:val="004E228A"/>
    <w:rsid w:val="004E2BE9"/>
    <w:rsid w:val="004E2D18"/>
    <w:rsid w:val="004E372B"/>
    <w:rsid w:val="004E3896"/>
    <w:rsid w:val="004E3DB4"/>
    <w:rsid w:val="004E4309"/>
    <w:rsid w:val="004E431E"/>
    <w:rsid w:val="004E463E"/>
    <w:rsid w:val="004E49C3"/>
    <w:rsid w:val="004E4FC3"/>
    <w:rsid w:val="004E5331"/>
    <w:rsid w:val="004E5484"/>
    <w:rsid w:val="004E5535"/>
    <w:rsid w:val="004E57E5"/>
    <w:rsid w:val="004E598D"/>
    <w:rsid w:val="004E6023"/>
    <w:rsid w:val="004E60BE"/>
    <w:rsid w:val="004E6A83"/>
    <w:rsid w:val="004E7ED3"/>
    <w:rsid w:val="004E7FD5"/>
    <w:rsid w:val="004F0557"/>
    <w:rsid w:val="004F0B53"/>
    <w:rsid w:val="004F0FF7"/>
    <w:rsid w:val="004F2032"/>
    <w:rsid w:val="004F203E"/>
    <w:rsid w:val="004F24BB"/>
    <w:rsid w:val="004F28AB"/>
    <w:rsid w:val="004F3F7C"/>
    <w:rsid w:val="004F3FF6"/>
    <w:rsid w:val="004F45D2"/>
    <w:rsid w:val="004F494E"/>
    <w:rsid w:val="004F49B3"/>
    <w:rsid w:val="004F4A7D"/>
    <w:rsid w:val="004F5728"/>
    <w:rsid w:val="004F59E8"/>
    <w:rsid w:val="004F5F55"/>
    <w:rsid w:val="004F6323"/>
    <w:rsid w:val="004F653E"/>
    <w:rsid w:val="005001DC"/>
    <w:rsid w:val="00500578"/>
    <w:rsid w:val="00501001"/>
    <w:rsid w:val="0050200B"/>
    <w:rsid w:val="00502059"/>
    <w:rsid w:val="005020F6"/>
    <w:rsid w:val="00502269"/>
    <w:rsid w:val="00502908"/>
    <w:rsid w:val="00502CEE"/>
    <w:rsid w:val="00502D7C"/>
    <w:rsid w:val="0050345E"/>
    <w:rsid w:val="0050355C"/>
    <w:rsid w:val="00504E48"/>
    <w:rsid w:val="00504F93"/>
    <w:rsid w:val="00505463"/>
    <w:rsid w:val="00505594"/>
    <w:rsid w:val="00505669"/>
    <w:rsid w:val="00505E02"/>
    <w:rsid w:val="005067B8"/>
    <w:rsid w:val="00506E5C"/>
    <w:rsid w:val="00506F11"/>
    <w:rsid w:val="0051018B"/>
    <w:rsid w:val="0051035E"/>
    <w:rsid w:val="0051120F"/>
    <w:rsid w:val="00511A15"/>
    <w:rsid w:val="0051229A"/>
    <w:rsid w:val="00512CB3"/>
    <w:rsid w:val="00512DAB"/>
    <w:rsid w:val="00512E9C"/>
    <w:rsid w:val="00513033"/>
    <w:rsid w:val="0051316A"/>
    <w:rsid w:val="00513710"/>
    <w:rsid w:val="00513940"/>
    <w:rsid w:val="00513F50"/>
    <w:rsid w:val="005146D5"/>
    <w:rsid w:val="00515009"/>
    <w:rsid w:val="00515823"/>
    <w:rsid w:val="005158D1"/>
    <w:rsid w:val="005160A7"/>
    <w:rsid w:val="00516113"/>
    <w:rsid w:val="0051627B"/>
    <w:rsid w:val="00516797"/>
    <w:rsid w:val="00516CBE"/>
    <w:rsid w:val="00517EB7"/>
    <w:rsid w:val="005208DA"/>
    <w:rsid w:val="00520F74"/>
    <w:rsid w:val="0052128B"/>
    <w:rsid w:val="00522111"/>
    <w:rsid w:val="00522193"/>
    <w:rsid w:val="00522DE7"/>
    <w:rsid w:val="00523737"/>
    <w:rsid w:val="00523DD4"/>
    <w:rsid w:val="00524245"/>
    <w:rsid w:val="005246CA"/>
    <w:rsid w:val="005247AB"/>
    <w:rsid w:val="00524C38"/>
    <w:rsid w:val="00524C63"/>
    <w:rsid w:val="005251EB"/>
    <w:rsid w:val="005272C2"/>
    <w:rsid w:val="005279F8"/>
    <w:rsid w:val="00527B91"/>
    <w:rsid w:val="005303FD"/>
    <w:rsid w:val="00530BA6"/>
    <w:rsid w:val="005318BB"/>
    <w:rsid w:val="0053450A"/>
    <w:rsid w:val="00535101"/>
    <w:rsid w:val="00535141"/>
    <w:rsid w:val="0053571C"/>
    <w:rsid w:val="00536486"/>
    <w:rsid w:val="00536BB9"/>
    <w:rsid w:val="005375AD"/>
    <w:rsid w:val="005376B7"/>
    <w:rsid w:val="00537796"/>
    <w:rsid w:val="00537AA2"/>
    <w:rsid w:val="00537BBA"/>
    <w:rsid w:val="00540178"/>
    <w:rsid w:val="005401E4"/>
    <w:rsid w:val="005402A1"/>
    <w:rsid w:val="0054068A"/>
    <w:rsid w:val="00540AB3"/>
    <w:rsid w:val="00540DEB"/>
    <w:rsid w:val="00541870"/>
    <w:rsid w:val="00541D70"/>
    <w:rsid w:val="00541F5E"/>
    <w:rsid w:val="0054207F"/>
    <w:rsid w:val="0054235C"/>
    <w:rsid w:val="00542524"/>
    <w:rsid w:val="0054279D"/>
    <w:rsid w:val="00542FC6"/>
    <w:rsid w:val="0054326E"/>
    <w:rsid w:val="005436CD"/>
    <w:rsid w:val="00543ABF"/>
    <w:rsid w:val="005443EF"/>
    <w:rsid w:val="00544ABA"/>
    <w:rsid w:val="0054549B"/>
    <w:rsid w:val="005456C2"/>
    <w:rsid w:val="00545EB2"/>
    <w:rsid w:val="00545F2B"/>
    <w:rsid w:val="00545F9D"/>
    <w:rsid w:val="005462C6"/>
    <w:rsid w:val="00546AAA"/>
    <w:rsid w:val="0054782D"/>
    <w:rsid w:val="005500FC"/>
    <w:rsid w:val="00550497"/>
    <w:rsid w:val="0055095E"/>
    <w:rsid w:val="00550C45"/>
    <w:rsid w:val="0055246D"/>
    <w:rsid w:val="00552921"/>
    <w:rsid w:val="00552E2F"/>
    <w:rsid w:val="00553566"/>
    <w:rsid w:val="00553815"/>
    <w:rsid w:val="00553DD1"/>
    <w:rsid w:val="00553F6B"/>
    <w:rsid w:val="00554DD7"/>
    <w:rsid w:val="00554E4D"/>
    <w:rsid w:val="00555A28"/>
    <w:rsid w:val="00556AB8"/>
    <w:rsid w:val="00556FFC"/>
    <w:rsid w:val="00557503"/>
    <w:rsid w:val="00557CDC"/>
    <w:rsid w:val="00560288"/>
    <w:rsid w:val="0056247D"/>
    <w:rsid w:val="00562D3D"/>
    <w:rsid w:val="005632A9"/>
    <w:rsid w:val="00563397"/>
    <w:rsid w:val="0056341B"/>
    <w:rsid w:val="005637D2"/>
    <w:rsid w:val="00563BFC"/>
    <w:rsid w:val="00563E32"/>
    <w:rsid w:val="00563EA1"/>
    <w:rsid w:val="00564814"/>
    <w:rsid w:val="005649A9"/>
    <w:rsid w:val="00564B82"/>
    <w:rsid w:val="00564C33"/>
    <w:rsid w:val="0056571D"/>
    <w:rsid w:val="00566618"/>
    <w:rsid w:val="00566BBD"/>
    <w:rsid w:val="00567BD9"/>
    <w:rsid w:val="00567D65"/>
    <w:rsid w:val="005700F0"/>
    <w:rsid w:val="00570508"/>
    <w:rsid w:val="00570A9A"/>
    <w:rsid w:val="00570B85"/>
    <w:rsid w:val="00571C56"/>
    <w:rsid w:val="00572163"/>
    <w:rsid w:val="00572352"/>
    <w:rsid w:val="00572445"/>
    <w:rsid w:val="005725ED"/>
    <w:rsid w:val="00572D40"/>
    <w:rsid w:val="00572FAE"/>
    <w:rsid w:val="00573FC3"/>
    <w:rsid w:val="005744C5"/>
    <w:rsid w:val="00574E5D"/>
    <w:rsid w:val="00574F8E"/>
    <w:rsid w:val="00575019"/>
    <w:rsid w:val="005760D4"/>
    <w:rsid w:val="00576137"/>
    <w:rsid w:val="00576C7B"/>
    <w:rsid w:val="00576C7F"/>
    <w:rsid w:val="00576E4D"/>
    <w:rsid w:val="00576E79"/>
    <w:rsid w:val="00580ED1"/>
    <w:rsid w:val="00581525"/>
    <w:rsid w:val="00581E85"/>
    <w:rsid w:val="0058257C"/>
    <w:rsid w:val="00583EA7"/>
    <w:rsid w:val="00584648"/>
    <w:rsid w:val="005848FB"/>
    <w:rsid w:val="0058493F"/>
    <w:rsid w:val="00585D2B"/>
    <w:rsid w:val="005860C8"/>
    <w:rsid w:val="00586EB6"/>
    <w:rsid w:val="005873D7"/>
    <w:rsid w:val="00587794"/>
    <w:rsid w:val="00587A45"/>
    <w:rsid w:val="00587AF4"/>
    <w:rsid w:val="00587F1C"/>
    <w:rsid w:val="00590E67"/>
    <w:rsid w:val="005913FA"/>
    <w:rsid w:val="005915F7"/>
    <w:rsid w:val="00593152"/>
    <w:rsid w:val="0059352F"/>
    <w:rsid w:val="005939C5"/>
    <w:rsid w:val="00593FCB"/>
    <w:rsid w:val="00594791"/>
    <w:rsid w:val="00594C71"/>
    <w:rsid w:val="0059609A"/>
    <w:rsid w:val="00596811"/>
    <w:rsid w:val="00596A41"/>
    <w:rsid w:val="00597429"/>
    <w:rsid w:val="00597F73"/>
    <w:rsid w:val="005A049D"/>
    <w:rsid w:val="005A04FB"/>
    <w:rsid w:val="005A058A"/>
    <w:rsid w:val="005A1D1E"/>
    <w:rsid w:val="005A22F1"/>
    <w:rsid w:val="005A24C3"/>
    <w:rsid w:val="005A2F69"/>
    <w:rsid w:val="005A3502"/>
    <w:rsid w:val="005A3B52"/>
    <w:rsid w:val="005A44B3"/>
    <w:rsid w:val="005A4F6B"/>
    <w:rsid w:val="005A4FE5"/>
    <w:rsid w:val="005A600C"/>
    <w:rsid w:val="005A6EF4"/>
    <w:rsid w:val="005A6F7E"/>
    <w:rsid w:val="005A70B4"/>
    <w:rsid w:val="005A761B"/>
    <w:rsid w:val="005A7C6C"/>
    <w:rsid w:val="005B01D5"/>
    <w:rsid w:val="005B0961"/>
    <w:rsid w:val="005B1EFB"/>
    <w:rsid w:val="005B23F6"/>
    <w:rsid w:val="005B2F8A"/>
    <w:rsid w:val="005B308C"/>
    <w:rsid w:val="005B33A6"/>
    <w:rsid w:val="005B35B2"/>
    <w:rsid w:val="005B3D06"/>
    <w:rsid w:val="005B4355"/>
    <w:rsid w:val="005B48A2"/>
    <w:rsid w:val="005B495B"/>
    <w:rsid w:val="005B49B2"/>
    <w:rsid w:val="005B4BE4"/>
    <w:rsid w:val="005B5748"/>
    <w:rsid w:val="005B58D4"/>
    <w:rsid w:val="005B5ABD"/>
    <w:rsid w:val="005B62A8"/>
    <w:rsid w:val="005B6884"/>
    <w:rsid w:val="005B68E6"/>
    <w:rsid w:val="005C043F"/>
    <w:rsid w:val="005C0CDB"/>
    <w:rsid w:val="005C0F27"/>
    <w:rsid w:val="005C153F"/>
    <w:rsid w:val="005C16E8"/>
    <w:rsid w:val="005C24D0"/>
    <w:rsid w:val="005C276C"/>
    <w:rsid w:val="005C2A19"/>
    <w:rsid w:val="005C323B"/>
    <w:rsid w:val="005C3646"/>
    <w:rsid w:val="005C3F63"/>
    <w:rsid w:val="005C5DD8"/>
    <w:rsid w:val="005C63FD"/>
    <w:rsid w:val="005C643A"/>
    <w:rsid w:val="005C7614"/>
    <w:rsid w:val="005C7936"/>
    <w:rsid w:val="005C7CC9"/>
    <w:rsid w:val="005D0232"/>
    <w:rsid w:val="005D0554"/>
    <w:rsid w:val="005D070D"/>
    <w:rsid w:val="005D0972"/>
    <w:rsid w:val="005D1206"/>
    <w:rsid w:val="005D150E"/>
    <w:rsid w:val="005D19B0"/>
    <w:rsid w:val="005D1FCB"/>
    <w:rsid w:val="005D1FE6"/>
    <w:rsid w:val="005D2599"/>
    <w:rsid w:val="005D31C4"/>
    <w:rsid w:val="005D342F"/>
    <w:rsid w:val="005D3819"/>
    <w:rsid w:val="005D3EDD"/>
    <w:rsid w:val="005D4BB3"/>
    <w:rsid w:val="005D4FD8"/>
    <w:rsid w:val="005D588B"/>
    <w:rsid w:val="005D5C8E"/>
    <w:rsid w:val="005D5D43"/>
    <w:rsid w:val="005D5F6C"/>
    <w:rsid w:val="005D7291"/>
    <w:rsid w:val="005D76DD"/>
    <w:rsid w:val="005D78D7"/>
    <w:rsid w:val="005D7EBA"/>
    <w:rsid w:val="005E27C7"/>
    <w:rsid w:val="005E33E6"/>
    <w:rsid w:val="005E3B6F"/>
    <w:rsid w:val="005E44B2"/>
    <w:rsid w:val="005E493B"/>
    <w:rsid w:val="005E536B"/>
    <w:rsid w:val="005E5B35"/>
    <w:rsid w:val="005E5DBF"/>
    <w:rsid w:val="005E5EF6"/>
    <w:rsid w:val="005E768D"/>
    <w:rsid w:val="005E776A"/>
    <w:rsid w:val="005E7AB7"/>
    <w:rsid w:val="005F0523"/>
    <w:rsid w:val="005F08F4"/>
    <w:rsid w:val="005F0C6E"/>
    <w:rsid w:val="005F14C2"/>
    <w:rsid w:val="005F194C"/>
    <w:rsid w:val="005F1EA1"/>
    <w:rsid w:val="005F260C"/>
    <w:rsid w:val="005F287D"/>
    <w:rsid w:val="005F302F"/>
    <w:rsid w:val="005F3465"/>
    <w:rsid w:val="005F347F"/>
    <w:rsid w:val="005F354B"/>
    <w:rsid w:val="005F37F0"/>
    <w:rsid w:val="005F384C"/>
    <w:rsid w:val="005F3ECC"/>
    <w:rsid w:val="005F4389"/>
    <w:rsid w:val="005F51F9"/>
    <w:rsid w:val="005F5583"/>
    <w:rsid w:val="005F5B16"/>
    <w:rsid w:val="005F6694"/>
    <w:rsid w:val="005F6D0A"/>
    <w:rsid w:val="006000E7"/>
    <w:rsid w:val="006005DE"/>
    <w:rsid w:val="00600777"/>
    <w:rsid w:val="00600B06"/>
    <w:rsid w:val="0060114C"/>
    <w:rsid w:val="00601479"/>
    <w:rsid w:val="006023B0"/>
    <w:rsid w:val="00602618"/>
    <w:rsid w:val="00602D0A"/>
    <w:rsid w:val="00602F15"/>
    <w:rsid w:val="0060391B"/>
    <w:rsid w:val="006043EC"/>
    <w:rsid w:val="00604926"/>
    <w:rsid w:val="00604B59"/>
    <w:rsid w:val="00604DBC"/>
    <w:rsid w:val="00604FA0"/>
    <w:rsid w:val="00605066"/>
    <w:rsid w:val="0060602B"/>
    <w:rsid w:val="0060642E"/>
    <w:rsid w:val="006076A4"/>
    <w:rsid w:val="006100EE"/>
    <w:rsid w:val="00610220"/>
    <w:rsid w:val="00610BE5"/>
    <w:rsid w:val="006118C5"/>
    <w:rsid w:val="00611DA8"/>
    <w:rsid w:val="00612624"/>
    <w:rsid w:val="006126EF"/>
    <w:rsid w:val="00613392"/>
    <w:rsid w:val="0061361C"/>
    <w:rsid w:val="006138A3"/>
    <w:rsid w:val="00614BAA"/>
    <w:rsid w:val="0061511C"/>
    <w:rsid w:val="00616092"/>
    <w:rsid w:val="00616166"/>
    <w:rsid w:val="006174B2"/>
    <w:rsid w:val="0062078C"/>
    <w:rsid w:val="006210E0"/>
    <w:rsid w:val="006217C8"/>
    <w:rsid w:val="006223F8"/>
    <w:rsid w:val="006227B8"/>
    <w:rsid w:val="00622A9D"/>
    <w:rsid w:val="00622F6E"/>
    <w:rsid w:val="00622FF8"/>
    <w:rsid w:val="0062311E"/>
    <w:rsid w:val="00623449"/>
    <w:rsid w:val="00624346"/>
    <w:rsid w:val="006257D9"/>
    <w:rsid w:val="00626017"/>
    <w:rsid w:val="00626AF7"/>
    <w:rsid w:val="00626DDA"/>
    <w:rsid w:val="00631515"/>
    <w:rsid w:val="0063222A"/>
    <w:rsid w:val="00632F1E"/>
    <w:rsid w:val="0063360E"/>
    <w:rsid w:val="006336CB"/>
    <w:rsid w:val="006337C2"/>
    <w:rsid w:val="0063408A"/>
    <w:rsid w:val="006343D1"/>
    <w:rsid w:val="0063480F"/>
    <w:rsid w:val="00635649"/>
    <w:rsid w:val="00635985"/>
    <w:rsid w:val="00636009"/>
    <w:rsid w:val="0063699E"/>
    <w:rsid w:val="00637F66"/>
    <w:rsid w:val="00640405"/>
    <w:rsid w:val="00641399"/>
    <w:rsid w:val="00641C9C"/>
    <w:rsid w:val="0064317B"/>
    <w:rsid w:val="00643369"/>
    <w:rsid w:val="006437A1"/>
    <w:rsid w:val="0064424D"/>
    <w:rsid w:val="00644327"/>
    <w:rsid w:val="00644D60"/>
    <w:rsid w:val="006450B7"/>
    <w:rsid w:val="00645278"/>
    <w:rsid w:val="00645B6B"/>
    <w:rsid w:val="00646348"/>
    <w:rsid w:val="00646510"/>
    <w:rsid w:val="00647A04"/>
    <w:rsid w:val="00650218"/>
    <w:rsid w:val="0065080B"/>
    <w:rsid w:val="00650CEF"/>
    <w:rsid w:val="00650D45"/>
    <w:rsid w:val="0065144E"/>
    <w:rsid w:val="00651BF9"/>
    <w:rsid w:val="00652234"/>
    <w:rsid w:val="0065258D"/>
    <w:rsid w:val="00652A41"/>
    <w:rsid w:val="00652BA9"/>
    <w:rsid w:val="006533B0"/>
    <w:rsid w:val="006540A5"/>
    <w:rsid w:val="00654837"/>
    <w:rsid w:val="00654ABB"/>
    <w:rsid w:val="00654D8A"/>
    <w:rsid w:val="00654DFB"/>
    <w:rsid w:val="00655002"/>
    <w:rsid w:val="00655054"/>
    <w:rsid w:val="006555BD"/>
    <w:rsid w:val="00656199"/>
    <w:rsid w:val="0065728B"/>
    <w:rsid w:val="00657506"/>
    <w:rsid w:val="0065774B"/>
    <w:rsid w:val="00657D26"/>
    <w:rsid w:val="006600CB"/>
    <w:rsid w:val="00660B87"/>
    <w:rsid w:val="00660CBF"/>
    <w:rsid w:val="00662840"/>
    <w:rsid w:val="006638C2"/>
    <w:rsid w:val="0066396B"/>
    <w:rsid w:val="00664108"/>
    <w:rsid w:val="00664406"/>
    <w:rsid w:val="00666103"/>
    <w:rsid w:val="006668B2"/>
    <w:rsid w:val="00666A46"/>
    <w:rsid w:val="00666DE4"/>
    <w:rsid w:val="00666F6C"/>
    <w:rsid w:val="006677D0"/>
    <w:rsid w:val="00667C1B"/>
    <w:rsid w:val="0067057B"/>
    <w:rsid w:val="0067089A"/>
    <w:rsid w:val="00671850"/>
    <w:rsid w:val="00674126"/>
    <w:rsid w:val="0067586B"/>
    <w:rsid w:val="00675B58"/>
    <w:rsid w:val="0067631D"/>
    <w:rsid w:val="00676648"/>
    <w:rsid w:val="006805CF"/>
    <w:rsid w:val="0068197D"/>
    <w:rsid w:val="00681D56"/>
    <w:rsid w:val="00681DA3"/>
    <w:rsid w:val="00682144"/>
    <w:rsid w:val="006827E0"/>
    <w:rsid w:val="00682EE5"/>
    <w:rsid w:val="0068492F"/>
    <w:rsid w:val="00684E6D"/>
    <w:rsid w:val="00684E80"/>
    <w:rsid w:val="00684F94"/>
    <w:rsid w:val="00685575"/>
    <w:rsid w:val="0068558D"/>
    <w:rsid w:val="00685622"/>
    <w:rsid w:val="00685CC0"/>
    <w:rsid w:val="00686465"/>
    <w:rsid w:val="00686CEE"/>
    <w:rsid w:val="006875F5"/>
    <w:rsid w:val="0068763B"/>
    <w:rsid w:val="0068789A"/>
    <w:rsid w:val="00687978"/>
    <w:rsid w:val="0069049A"/>
    <w:rsid w:val="00690AF2"/>
    <w:rsid w:val="00690E7C"/>
    <w:rsid w:val="0069131B"/>
    <w:rsid w:val="006915DC"/>
    <w:rsid w:val="00693674"/>
    <w:rsid w:val="0069369A"/>
    <w:rsid w:val="006936FF"/>
    <w:rsid w:val="00693957"/>
    <w:rsid w:val="00693B0C"/>
    <w:rsid w:val="00693E05"/>
    <w:rsid w:val="00693E59"/>
    <w:rsid w:val="00693FC6"/>
    <w:rsid w:val="00694052"/>
    <w:rsid w:val="00694183"/>
    <w:rsid w:val="006947F7"/>
    <w:rsid w:val="00695925"/>
    <w:rsid w:val="006967AB"/>
    <w:rsid w:val="00697A1D"/>
    <w:rsid w:val="00697A6F"/>
    <w:rsid w:val="00697EBE"/>
    <w:rsid w:val="006A038F"/>
    <w:rsid w:val="006A08D8"/>
    <w:rsid w:val="006A093C"/>
    <w:rsid w:val="006A1077"/>
    <w:rsid w:val="006A18A9"/>
    <w:rsid w:val="006A20C2"/>
    <w:rsid w:val="006A23AD"/>
    <w:rsid w:val="006A2937"/>
    <w:rsid w:val="006A41AA"/>
    <w:rsid w:val="006A642A"/>
    <w:rsid w:val="006A6A4F"/>
    <w:rsid w:val="006A73F5"/>
    <w:rsid w:val="006A7494"/>
    <w:rsid w:val="006B0134"/>
    <w:rsid w:val="006B0BD9"/>
    <w:rsid w:val="006B0BFF"/>
    <w:rsid w:val="006B1374"/>
    <w:rsid w:val="006B15EC"/>
    <w:rsid w:val="006B1E86"/>
    <w:rsid w:val="006B2B92"/>
    <w:rsid w:val="006B2BD1"/>
    <w:rsid w:val="006B33FB"/>
    <w:rsid w:val="006B3CDA"/>
    <w:rsid w:val="006B3D23"/>
    <w:rsid w:val="006B3DEA"/>
    <w:rsid w:val="006B3F7C"/>
    <w:rsid w:val="006B4A5B"/>
    <w:rsid w:val="006B5605"/>
    <w:rsid w:val="006B5E49"/>
    <w:rsid w:val="006B63EF"/>
    <w:rsid w:val="006C002B"/>
    <w:rsid w:val="006C0567"/>
    <w:rsid w:val="006C0EB8"/>
    <w:rsid w:val="006C1045"/>
    <w:rsid w:val="006C1538"/>
    <w:rsid w:val="006C1542"/>
    <w:rsid w:val="006C1CA3"/>
    <w:rsid w:val="006C210C"/>
    <w:rsid w:val="006C25F1"/>
    <w:rsid w:val="006C27EC"/>
    <w:rsid w:val="006C2FAA"/>
    <w:rsid w:val="006C329C"/>
    <w:rsid w:val="006C3B2A"/>
    <w:rsid w:val="006C3D3A"/>
    <w:rsid w:val="006C3F3A"/>
    <w:rsid w:val="006C426B"/>
    <w:rsid w:val="006C5A35"/>
    <w:rsid w:val="006C6324"/>
    <w:rsid w:val="006C6944"/>
    <w:rsid w:val="006C79A1"/>
    <w:rsid w:val="006C7CD4"/>
    <w:rsid w:val="006D029F"/>
    <w:rsid w:val="006D0448"/>
    <w:rsid w:val="006D0A98"/>
    <w:rsid w:val="006D1199"/>
    <w:rsid w:val="006D127F"/>
    <w:rsid w:val="006D1691"/>
    <w:rsid w:val="006D17A7"/>
    <w:rsid w:val="006D1B2D"/>
    <w:rsid w:val="006D2667"/>
    <w:rsid w:val="006D3C21"/>
    <w:rsid w:val="006D4143"/>
    <w:rsid w:val="006D41ED"/>
    <w:rsid w:val="006D4634"/>
    <w:rsid w:val="006D4774"/>
    <w:rsid w:val="006D531D"/>
    <w:rsid w:val="006D5947"/>
    <w:rsid w:val="006D5B50"/>
    <w:rsid w:val="006D5B5A"/>
    <w:rsid w:val="006D5FCD"/>
    <w:rsid w:val="006D6089"/>
    <w:rsid w:val="006D66DC"/>
    <w:rsid w:val="006D6F2A"/>
    <w:rsid w:val="006D717C"/>
    <w:rsid w:val="006D79E0"/>
    <w:rsid w:val="006E09B5"/>
    <w:rsid w:val="006E1362"/>
    <w:rsid w:val="006E16B7"/>
    <w:rsid w:val="006E1A6C"/>
    <w:rsid w:val="006E1AC6"/>
    <w:rsid w:val="006E1D93"/>
    <w:rsid w:val="006E1DD7"/>
    <w:rsid w:val="006E22CA"/>
    <w:rsid w:val="006E26C6"/>
    <w:rsid w:val="006E3208"/>
    <w:rsid w:val="006E34DA"/>
    <w:rsid w:val="006E4483"/>
    <w:rsid w:val="006E4785"/>
    <w:rsid w:val="006E49A3"/>
    <w:rsid w:val="006E4B80"/>
    <w:rsid w:val="006E5865"/>
    <w:rsid w:val="006E58B6"/>
    <w:rsid w:val="006E5A53"/>
    <w:rsid w:val="006E5FC9"/>
    <w:rsid w:val="006E61F6"/>
    <w:rsid w:val="006E65C1"/>
    <w:rsid w:val="006E6729"/>
    <w:rsid w:val="006E68B0"/>
    <w:rsid w:val="006E773F"/>
    <w:rsid w:val="006E7D98"/>
    <w:rsid w:val="006E7F60"/>
    <w:rsid w:val="006F1EB6"/>
    <w:rsid w:val="006F2ED9"/>
    <w:rsid w:val="006F2FB4"/>
    <w:rsid w:val="006F3233"/>
    <w:rsid w:val="006F351B"/>
    <w:rsid w:val="006F36E2"/>
    <w:rsid w:val="006F4F21"/>
    <w:rsid w:val="006F4F6A"/>
    <w:rsid w:val="006F52C9"/>
    <w:rsid w:val="006F55CF"/>
    <w:rsid w:val="006F576E"/>
    <w:rsid w:val="006F60D9"/>
    <w:rsid w:val="006F627B"/>
    <w:rsid w:val="006F65E1"/>
    <w:rsid w:val="006F7459"/>
    <w:rsid w:val="006F7921"/>
    <w:rsid w:val="006F7FB4"/>
    <w:rsid w:val="00700BB6"/>
    <w:rsid w:val="00701882"/>
    <w:rsid w:val="007018BB"/>
    <w:rsid w:val="00702042"/>
    <w:rsid w:val="007021CF"/>
    <w:rsid w:val="0070366F"/>
    <w:rsid w:val="0070378C"/>
    <w:rsid w:val="00704340"/>
    <w:rsid w:val="00704B31"/>
    <w:rsid w:val="00705125"/>
    <w:rsid w:val="00706265"/>
    <w:rsid w:val="0070627E"/>
    <w:rsid w:val="00706623"/>
    <w:rsid w:val="007073CD"/>
    <w:rsid w:val="007075B5"/>
    <w:rsid w:val="00707D39"/>
    <w:rsid w:val="00710DE6"/>
    <w:rsid w:val="0071115A"/>
    <w:rsid w:val="007111BB"/>
    <w:rsid w:val="007111D2"/>
    <w:rsid w:val="0071159B"/>
    <w:rsid w:val="00713250"/>
    <w:rsid w:val="007134BD"/>
    <w:rsid w:val="00713579"/>
    <w:rsid w:val="00713A36"/>
    <w:rsid w:val="00713B7C"/>
    <w:rsid w:val="00713EB7"/>
    <w:rsid w:val="007142BE"/>
    <w:rsid w:val="00714591"/>
    <w:rsid w:val="00714AB6"/>
    <w:rsid w:val="00714DC9"/>
    <w:rsid w:val="00714F83"/>
    <w:rsid w:val="0071584C"/>
    <w:rsid w:val="00716B3A"/>
    <w:rsid w:val="00716FA9"/>
    <w:rsid w:val="007179F7"/>
    <w:rsid w:val="00720CCA"/>
    <w:rsid w:val="0072223C"/>
    <w:rsid w:val="00722E84"/>
    <w:rsid w:val="00723770"/>
    <w:rsid w:val="00723946"/>
    <w:rsid w:val="007241A6"/>
    <w:rsid w:val="007242E4"/>
    <w:rsid w:val="007244A8"/>
    <w:rsid w:val="0072527A"/>
    <w:rsid w:val="007258AE"/>
    <w:rsid w:val="00725EDE"/>
    <w:rsid w:val="007275C1"/>
    <w:rsid w:val="00727715"/>
    <w:rsid w:val="007277B4"/>
    <w:rsid w:val="00727BCD"/>
    <w:rsid w:val="00727D42"/>
    <w:rsid w:val="00727E28"/>
    <w:rsid w:val="007301E8"/>
    <w:rsid w:val="00731566"/>
    <w:rsid w:val="0073175B"/>
    <w:rsid w:val="00731E7D"/>
    <w:rsid w:val="00731E99"/>
    <w:rsid w:val="00732910"/>
    <w:rsid w:val="00733A36"/>
    <w:rsid w:val="00733F72"/>
    <w:rsid w:val="0073454D"/>
    <w:rsid w:val="00734AEB"/>
    <w:rsid w:val="00735E47"/>
    <w:rsid w:val="00737361"/>
    <w:rsid w:val="00737819"/>
    <w:rsid w:val="0074077A"/>
    <w:rsid w:val="00740C50"/>
    <w:rsid w:val="00740DD6"/>
    <w:rsid w:val="0074101C"/>
    <w:rsid w:val="007412FF"/>
    <w:rsid w:val="00741539"/>
    <w:rsid w:val="0074172F"/>
    <w:rsid w:val="00742EB0"/>
    <w:rsid w:val="00743430"/>
    <w:rsid w:val="00743C8D"/>
    <w:rsid w:val="00743F91"/>
    <w:rsid w:val="0074407B"/>
    <w:rsid w:val="00744BC7"/>
    <w:rsid w:val="00744DD7"/>
    <w:rsid w:val="007459ED"/>
    <w:rsid w:val="00745CDC"/>
    <w:rsid w:val="00745FB6"/>
    <w:rsid w:val="00746045"/>
    <w:rsid w:val="007460C5"/>
    <w:rsid w:val="00746BE6"/>
    <w:rsid w:val="00750481"/>
    <w:rsid w:val="007507E3"/>
    <w:rsid w:val="00751068"/>
    <w:rsid w:val="00751C2F"/>
    <w:rsid w:val="00752371"/>
    <w:rsid w:val="00753724"/>
    <w:rsid w:val="0075372A"/>
    <w:rsid w:val="00753867"/>
    <w:rsid w:val="00753D29"/>
    <w:rsid w:val="0075535B"/>
    <w:rsid w:val="00755770"/>
    <w:rsid w:val="007565BB"/>
    <w:rsid w:val="0075780D"/>
    <w:rsid w:val="00757ACD"/>
    <w:rsid w:val="00757BB3"/>
    <w:rsid w:val="00757BB6"/>
    <w:rsid w:val="00760288"/>
    <w:rsid w:val="00760444"/>
    <w:rsid w:val="00760B42"/>
    <w:rsid w:val="00760C23"/>
    <w:rsid w:val="00760E18"/>
    <w:rsid w:val="00761025"/>
    <w:rsid w:val="00762052"/>
    <w:rsid w:val="00762583"/>
    <w:rsid w:val="00762A52"/>
    <w:rsid w:val="0076300A"/>
    <w:rsid w:val="0076411D"/>
    <w:rsid w:val="00764882"/>
    <w:rsid w:val="0076555A"/>
    <w:rsid w:val="007658D9"/>
    <w:rsid w:val="00765914"/>
    <w:rsid w:val="0076654E"/>
    <w:rsid w:val="00766637"/>
    <w:rsid w:val="00766791"/>
    <w:rsid w:val="007669E7"/>
    <w:rsid w:val="00766DD3"/>
    <w:rsid w:val="007676D6"/>
    <w:rsid w:val="00767AFF"/>
    <w:rsid w:val="00767C75"/>
    <w:rsid w:val="00770321"/>
    <w:rsid w:val="00770373"/>
    <w:rsid w:val="00770D37"/>
    <w:rsid w:val="0077119F"/>
    <w:rsid w:val="0077170E"/>
    <w:rsid w:val="00771E43"/>
    <w:rsid w:val="00771E57"/>
    <w:rsid w:val="0077307E"/>
    <w:rsid w:val="0077343F"/>
    <w:rsid w:val="00774798"/>
    <w:rsid w:val="007756A4"/>
    <w:rsid w:val="007766CF"/>
    <w:rsid w:val="00776A6C"/>
    <w:rsid w:val="00776A96"/>
    <w:rsid w:val="00777A6D"/>
    <w:rsid w:val="0078034A"/>
    <w:rsid w:val="00780683"/>
    <w:rsid w:val="00780C44"/>
    <w:rsid w:val="00780D6A"/>
    <w:rsid w:val="0078103F"/>
    <w:rsid w:val="007820DA"/>
    <w:rsid w:val="007821B2"/>
    <w:rsid w:val="007823AF"/>
    <w:rsid w:val="007827C9"/>
    <w:rsid w:val="00783749"/>
    <w:rsid w:val="00783CF6"/>
    <w:rsid w:val="00783D77"/>
    <w:rsid w:val="00786293"/>
    <w:rsid w:val="00786747"/>
    <w:rsid w:val="00786A26"/>
    <w:rsid w:val="00786B85"/>
    <w:rsid w:val="0078708D"/>
    <w:rsid w:val="0078720F"/>
    <w:rsid w:val="00787543"/>
    <w:rsid w:val="00790486"/>
    <w:rsid w:val="007908F4"/>
    <w:rsid w:val="007918B6"/>
    <w:rsid w:val="0079199D"/>
    <w:rsid w:val="00792196"/>
    <w:rsid w:val="007933FA"/>
    <w:rsid w:val="007938DA"/>
    <w:rsid w:val="00793F43"/>
    <w:rsid w:val="007955AF"/>
    <w:rsid w:val="00795E26"/>
    <w:rsid w:val="0079620F"/>
    <w:rsid w:val="007968E9"/>
    <w:rsid w:val="00796C95"/>
    <w:rsid w:val="007A0B88"/>
    <w:rsid w:val="007A113D"/>
    <w:rsid w:val="007A1383"/>
    <w:rsid w:val="007A147E"/>
    <w:rsid w:val="007A1F8D"/>
    <w:rsid w:val="007A2461"/>
    <w:rsid w:val="007A2CE9"/>
    <w:rsid w:val="007A3A4A"/>
    <w:rsid w:val="007A3C2B"/>
    <w:rsid w:val="007A40DC"/>
    <w:rsid w:val="007A416B"/>
    <w:rsid w:val="007A5315"/>
    <w:rsid w:val="007A5588"/>
    <w:rsid w:val="007A5B7D"/>
    <w:rsid w:val="007A5FE0"/>
    <w:rsid w:val="007A60D7"/>
    <w:rsid w:val="007A6107"/>
    <w:rsid w:val="007A6E45"/>
    <w:rsid w:val="007A7470"/>
    <w:rsid w:val="007A796B"/>
    <w:rsid w:val="007B0039"/>
    <w:rsid w:val="007B244C"/>
    <w:rsid w:val="007B257D"/>
    <w:rsid w:val="007B33BA"/>
    <w:rsid w:val="007B359B"/>
    <w:rsid w:val="007B3ADC"/>
    <w:rsid w:val="007B3B78"/>
    <w:rsid w:val="007B5D00"/>
    <w:rsid w:val="007B5FCA"/>
    <w:rsid w:val="007B609C"/>
    <w:rsid w:val="007B6156"/>
    <w:rsid w:val="007B6211"/>
    <w:rsid w:val="007B63CC"/>
    <w:rsid w:val="007B72C5"/>
    <w:rsid w:val="007B7606"/>
    <w:rsid w:val="007B7609"/>
    <w:rsid w:val="007B76F3"/>
    <w:rsid w:val="007C0137"/>
    <w:rsid w:val="007C1424"/>
    <w:rsid w:val="007C15D5"/>
    <w:rsid w:val="007C261F"/>
    <w:rsid w:val="007C2852"/>
    <w:rsid w:val="007C2865"/>
    <w:rsid w:val="007C28B9"/>
    <w:rsid w:val="007C39CB"/>
    <w:rsid w:val="007C435D"/>
    <w:rsid w:val="007C484E"/>
    <w:rsid w:val="007C4D89"/>
    <w:rsid w:val="007C532A"/>
    <w:rsid w:val="007C6BAD"/>
    <w:rsid w:val="007D08FD"/>
    <w:rsid w:val="007D0DF2"/>
    <w:rsid w:val="007D0E92"/>
    <w:rsid w:val="007D14D0"/>
    <w:rsid w:val="007D27DA"/>
    <w:rsid w:val="007D3C91"/>
    <w:rsid w:val="007D4F2A"/>
    <w:rsid w:val="007D5504"/>
    <w:rsid w:val="007D557C"/>
    <w:rsid w:val="007D6204"/>
    <w:rsid w:val="007D63FA"/>
    <w:rsid w:val="007D678B"/>
    <w:rsid w:val="007D68E0"/>
    <w:rsid w:val="007D713A"/>
    <w:rsid w:val="007D7203"/>
    <w:rsid w:val="007D737E"/>
    <w:rsid w:val="007E0D9D"/>
    <w:rsid w:val="007E0DD1"/>
    <w:rsid w:val="007E14DD"/>
    <w:rsid w:val="007E15A2"/>
    <w:rsid w:val="007E1A74"/>
    <w:rsid w:val="007E1C37"/>
    <w:rsid w:val="007E2084"/>
    <w:rsid w:val="007E221E"/>
    <w:rsid w:val="007E389D"/>
    <w:rsid w:val="007E41AA"/>
    <w:rsid w:val="007E487F"/>
    <w:rsid w:val="007E5C00"/>
    <w:rsid w:val="007E5E82"/>
    <w:rsid w:val="007E7275"/>
    <w:rsid w:val="007E7391"/>
    <w:rsid w:val="007E75ED"/>
    <w:rsid w:val="007E7953"/>
    <w:rsid w:val="007E7B17"/>
    <w:rsid w:val="007E7DA9"/>
    <w:rsid w:val="007E7E05"/>
    <w:rsid w:val="007F0026"/>
    <w:rsid w:val="007F0381"/>
    <w:rsid w:val="007F0504"/>
    <w:rsid w:val="007F08B8"/>
    <w:rsid w:val="007F0A10"/>
    <w:rsid w:val="007F1623"/>
    <w:rsid w:val="007F1660"/>
    <w:rsid w:val="007F185C"/>
    <w:rsid w:val="007F1AC6"/>
    <w:rsid w:val="007F1E1F"/>
    <w:rsid w:val="007F225B"/>
    <w:rsid w:val="007F250B"/>
    <w:rsid w:val="007F2601"/>
    <w:rsid w:val="007F2DF1"/>
    <w:rsid w:val="007F3425"/>
    <w:rsid w:val="007F34FC"/>
    <w:rsid w:val="007F39DE"/>
    <w:rsid w:val="007F4345"/>
    <w:rsid w:val="007F4A3D"/>
    <w:rsid w:val="007F4CBA"/>
    <w:rsid w:val="007F5438"/>
    <w:rsid w:val="007F6036"/>
    <w:rsid w:val="007F6A80"/>
    <w:rsid w:val="007F711E"/>
    <w:rsid w:val="00800C1E"/>
    <w:rsid w:val="00801A85"/>
    <w:rsid w:val="00801FA1"/>
    <w:rsid w:val="008022EF"/>
    <w:rsid w:val="00802BEC"/>
    <w:rsid w:val="008035BB"/>
    <w:rsid w:val="00803EF2"/>
    <w:rsid w:val="00804334"/>
    <w:rsid w:val="00804810"/>
    <w:rsid w:val="00804ED6"/>
    <w:rsid w:val="00806A43"/>
    <w:rsid w:val="00807B37"/>
    <w:rsid w:val="00807D0B"/>
    <w:rsid w:val="00810B8E"/>
    <w:rsid w:val="0081150A"/>
    <w:rsid w:val="00811AD0"/>
    <w:rsid w:val="008120A1"/>
    <w:rsid w:val="00812819"/>
    <w:rsid w:val="0081311E"/>
    <w:rsid w:val="00813180"/>
    <w:rsid w:val="00813675"/>
    <w:rsid w:val="00813A0A"/>
    <w:rsid w:val="00813B70"/>
    <w:rsid w:val="00814237"/>
    <w:rsid w:val="008143B1"/>
    <w:rsid w:val="00814B7C"/>
    <w:rsid w:val="00814D88"/>
    <w:rsid w:val="0081574C"/>
    <w:rsid w:val="00815D57"/>
    <w:rsid w:val="00816266"/>
    <w:rsid w:val="00816492"/>
    <w:rsid w:val="008167B3"/>
    <w:rsid w:val="00820132"/>
    <w:rsid w:val="008203FA"/>
    <w:rsid w:val="00820BCF"/>
    <w:rsid w:val="008216E4"/>
    <w:rsid w:val="008222A3"/>
    <w:rsid w:val="008232CB"/>
    <w:rsid w:val="00824A0F"/>
    <w:rsid w:val="00824B0A"/>
    <w:rsid w:val="00824C4B"/>
    <w:rsid w:val="00824EB4"/>
    <w:rsid w:val="00825A6D"/>
    <w:rsid w:val="00825D81"/>
    <w:rsid w:val="008265D3"/>
    <w:rsid w:val="00827AA8"/>
    <w:rsid w:val="008301E3"/>
    <w:rsid w:val="00830419"/>
    <w:rsid w:val="0083064B"/>
    <w:rsid w:val="0083126E"/>
    <w:rsid w:val="00831504"/>
    <w:rsid w:val="008316F6"/>
    <w:rsid w:val="008327C9"/>
    <w:rsid w:val="0083333B"/>
    <w:rsid w:val="0083352F"/>
    <w:rsid w:val="00833AC7"/>
    <w:rsid w:val="00834535"/>
    <w:rsid w:val="00834DD6"/>
    <w:rsid w:val="00834E37"/>
    <w:rsid w:val="00835A12"/>
    <w:rsid w:val="00835BEF"/>
    <w:rsid w:val="00835D6F"/>
    <w:rsid w:val="00836BD8"/>
    <w:rsid w:val="00840CBB"/>
    <w:rsid w:val="00840DB6"/>
    <w:rsid w:val="00840F91"/>
    <w:rsid w:val="0084114A"/>
    <w:rsid w:val="008415E9"/>
    <w:rsid w:val="00841BFF"/>
    <w:rsid w:val="0084203B"/>
    <w:rsid w:val="0084213B"/>
    <w:rsid w:val="00842434"/>
    <w:rsid w:val="0084276A"/>
    <w:rsid w:val="008448CE"/>
    <w:rsid w:val="0084514E"/>
    <w:rsid w:val="008454B3"/>
    <w:rsid w:val="008457AA"/>
    <w:rsid w:val="00845AEE"/>
    <w:rsid w:val="00846A22"/>
    <w:rsid w:val="008475EE"/>
    <w:rsid w:val="0084799B"/>
    <w:rsid w:val="00850B7A"/>
    <w:rsid w:val="00850C11"/>
    <w:rsid w:val="00851CA1"/>
    <w:rsid w:val="00852238"/>
    <w:rsid w:val="00852DBF"/>
    <w:rsid w:val="00852FA1"/>
    <w:rsid w:val="00852FC6"/>
    <w:rsid w:val="00853598"/>
    <w:rsid w:val="0085494A"/>
    <w:rsid w:val="00854CE8"/>
    <w:rsid w:val="008555FA"/>
    <w:rsid w:val="008559C4"/>
    <w:rsid w:val="00856214"/>
    <w:rsid w:val="008562C8"/>
    <w:rsid w:val="008566D9"/>
    <w:rsid w:val="008574A0"/>
    <w:rsid w:val="00857936"/>
    <w:rsid w:val="00857BCB"/>
    <w:rsid w:val="00857E9B"/>
    <w:rsid w:val="00857EB9"/>
    <w:rsid w:val="00860607"/>
    <w:rsid w:val="00860994"/>
    <w:rsid w:val="008609EF"/>
    <w:rsid w:val="00860AAD"/>
    <w:rsid w:val="00860BDC"/>
    <w:rsid w:val="00860FE9"/>
    <w:rsid w:val="0086148E"/>
    <w:rsid w:val="00861EDD"/>
    <w:rsid w:val="00861FD4"/>
    <w:rsid w:val="008627D0"/>
    <w:rsid w:val="00862F29"/>
    <w:rsid w:val="0086398D"/>
    <w:rsid w:val="00863A16"/>
    <w:rsid w:val="00863A1A"/>
    <w:rsid w:val="00863D07"/>
    <w:rsid w:val="00864C75"/>
    <w:rsid w:val="00864E7A"/>
    <w:rsid w:val="00865297"/>
    <w:rsid w:val="00865E08"/>
    <w:rsid w:val="008672FD"/>
    <w:rsid w:val="0087029D"/>
    <w:rsid w:val="0087060A"/>
    <w:rsid w:val="00870D9E"/>
    <w:rsid w:val="00870EBC"/>
    <w:rsid w:val="008714FA"/>
    <w:rsid w:val="00871D5D"/>
    <w:rsid w:val="00872299"/>
    <w:rsid w:val="00872878"/>
    <w:rsid w:val="00872B57"/>
    <w:rsid w:val="00873401"/>
    <w:rsid w:val="008743F7"/>
    <w:rsid w:val="00874BFC"/>
    <w:rsid w:val="00875053"/>
    <w:rsid w:val="008761FB"/>
    <w:rsid w:val="00876236"/>
    <w:rsid w:val="008768C3"/>
    <w:rsid w:val="00876BF5"/>
    <w:rsid w:val="00876CE8"/>
    <w:rsid w:val="00876E8B"/>
    <w:rsid w:val="00876F4B"/>
    <w:rsid w:val="008777FD"/>
    <w:rsid w:val="00877DEB"/>
    <w:rsid w:val="0088033E"/>
    <w:rsid w:val="00881DF7"/>
    <w:rsid w:val="00882141"/>
    <w:rsid w:val="008821A0"/>
    <w:rsid w:val="008827B4"/>
    <w:rsid w:val="00882B29"/>
    <w:rsid w:val="00883D34"/>
    <w:rsid w:val="00883E24"/>
    <w:rsid w:val="00883EF3"/>
    <w:rsid w:val="00884543"/>
    <w:rsid w:val="0088475F"/>
    <w:rsid w:val="008849D9"/>
    <w:rsid w:val="00884C2C"/>
    <w:rsid w:val="00885BF0"/>
    <w:rsid w:val="008868FE"/>
    <w:rsid w:val="00886A3C"/>
    <w:rsid w:val="00886FE5"/>
    <w:rsid w:val="0088708C"/>
    <w:rsid w:val="00887707"/>
    <w:rsid w:val="00890633"/>
    <w:rsid w:val="00890840"/>
    <w:rsid w:val="0089164A"/>
    <w:rsid w:val="008916DB"/>
    <w:rsid w:val="00891A20"/>
    <w:rsid w:val="00892462"/>
    <w:rsid w:val="00892735"/>
    <w:rsid w:val="008927D4"/>
    <w:rsid w:val="00892D3A"/>
    <w:rsid w:val="00892D53"/>
    <w:rsid w:val="00892EA0"/>
    <w:rsid w:val="00894858"/>
    <w:rsid w:val="00894B44"/>
    <w:rsid w:val="00895904"/>
    <w:rsid w:val="00895CD7"/>
    <w:rsid w:val="00896465"/>
    <w:rsid w:val="008966A4"/>
    <w:rsid w:val="00897009"/>
    <w:rsid w:val="00897C81"/>
    <w:rsid w:val="00897CC4"/>
    <w:rsid w:val="008A02A2"/>
    <w:rsid w:val="008A1174"/>
    <w:rsid w:val="008A154E"/>
    <w:rsid w:val="008A1D7D"/>
    <w:rsid w:val="008A25EE"/>
    <w:rsid w:val="008A31EF"/>
    <w:rsid w:val="008A3257"/>
    <w:rsid w:val="008A35C8"/>
    <w:rsid w:val="008A3877"/>
    <w:rsid w:val="008A3E36"/>
    <w:rsid w:val="008A405A"/>
    <w:rsid w:val="008A4887"/>
    <w:rsid w:val="008A505D"/>
    <w:rsid w:val="008A65C8"/>
    <w:rsid w:val="008A6CE7"/>
    <w:rsid w:val="008A6D8D"/>
    <w:rsid w:val="008A6F87"/>
    <w:rsid w:val="008A75C0"/>
    <w:rsid w:val="008B0225"/>
    <w:rsid w:val="008B0497"/>
    <w:rsid w:val="008B21B8"/>
    <w:rsid w:val="008B23DD"/>
    <w:rsid w:val="008B27C3"/>
    <w:rsid w:val="008B3AE0"/>
    <w:rsid w:val="008B3E44"/>
    <w:rsid w:val="008B4275"/>
    <w:rsid w:val="008B5133"/>
    <w:rsid w:val="008B52D3"/>
    <w:rsid w:val="008B530A"/>
    <w:rsid w:val="008B5399"/>
    <w:rsid w:val="008B56C9"/>
    <w:rsid w:val="008B5A4F"/>
    <w:rsid w:val="008B5FC3"/>
    <w:rsid w:val="008B65A3"/>
    <w:rsid w:val="008B7139"/>
    <w:rsid w:val="008B77BB"/>
    <w:rsid w:val="008B7956"/>
    <w:rsid w:val="008B79E0"/>
    <w:rsid w:val="008B7A9A"/>
    <w:rsid w:val="008C05E2"/>
    <w:rsid w:val="008C0D81"/>
    <w:rsid w:val="008C0EBA"/>
    <w:rsid w:val="008C1721"/>
    <w:rsid w:val="008C189F"/>
    <w:rsid w:val="008C1D1F"/>
    <w:rsid w:val="008C24B6"/>
    <w:rsid w:val="008C29D8"/>
    <w:rsid w:val="008C2C2D"/>
    <w:rsid w:val="008C2F66"/>
    <w:rsid w:val="008C327C"/>
    <w:rsid w:val="008C32E6"/>
    <w:rsid w:val="008C3F01"/>
    <w:rsid w:val="008C44EA"/>
    <w:rsid w:val="008C5339"/>
    <w:rsid w:val="008C6745"/>
    <w:rsid w:val="008C744D"/>
    <w:rsid w:val="008D0356"/>
    <w:rsid w:val="008D0926"/>
    <w:rsid w:val="008D0A74"/>
    <w:rsid w:val="008D1C50"/>
    <w:rsid w:val="008D1EC4"/>
    <w:rsid w:val="008D2182"/>
    <w:rsid w:val="008D2193"/>
    <w:rsid w:val="008D22F0"/>
    <w:rsid w:val="008D2525"/>
    <w:rsid w:val="008D2E9A"/>
    <w:rsid w:val="008D2FC7"/>
    <w:rsid w:val="008D3FC2"/>
    <w:rsid w:val="008D4070"/>
    <w:rsid w:val="008D4413"/>
    <w:rsid w:val="008D4573"/>
    <w:rsid w:val="008D493E"/>
    <w:rsid w:val="008D4C8A"/>
    <w:rsid w:val="008D4DF8"/>
    <w:rsid w:val="008D4F76"/>
    <w:rsid w:val="008D55DE"/>
    <w:rsid w:val="008D5795"/>
    <w:rsid w:val="008D5925"/>
    <w:rsid w:val="008D5CB9"/>
    <w:rsid w:val="008D66C4"/>
    <w:rsid w:val="008D67CC"/>
    <w:rsid w:val="008D6D4F"/>
    <w:rsid w:val="008D7560"/>
    <w:rsid w:val="008D7CCE"/>
    <w:rsid w:val="008D7DD5"/>
    <w:rsid w:val="008E0F3A"/>
    <w:rsid w:val="008E1277"/>
    <w:rsid w:val="008E15EA"/>
    <w:rsid w:val="008E170F"/>
    <w:rsid w:val="008E1F2F"/>
    <w:rsid w:val="008E20CF"/>
    <w:rsid w:val="008E2158"/>
    <w:rsid w:val="008E2903"/>
    <w:rsid w:val="008E2A78"/>
    <w:rsid w:val="008E2E93"/>
    <w:rsid w:val="008E30EC"/>
    <w:rsid w:val="008E3A92"/>
    <w:rsid w:val="008E3EF6"/>
    <w:rsid w:val="008E40FA"/>
    <w:rsid w:val="008E45C0"/>
    <w:rsid w:val="008E485B"/>
    <w:rsid w:val="008E4945"/>
    <w:rsid w:val="008E4B7E"/>
    <w:rsid w:val="008E4B88"/>
    <w:rsid w:val="008E5609"/>
    <w:rsid w:val="008E5618"/>
    <w:rsid w:val="008E5856"/>
    <w:rsid w:val="008E5929"/>
    <w:rsid w:val="008E62F0"/>
    <w:rsid w:val="008E6523"/>
    <w:rsid w:val="008E6B23"/>
    <w:rsid w:val="008E6B3A"/>
    <w:rsid w:val="008E6D90"/>
    <w:rsid w:val="008E6E74"/>
    <w:rsid w:val="008E6E7E"/>
    <w:rsid w:val="008E73D5"/>
    <w:rsid w:val="008E7520"/>
    <w:rsid w:val="008E775A"/>
    <w:rsid w:val="008F0328"/>
    <w:rsid w:val="008F0C82"/>
    <w:rsid w:val="008F0F61"/>
    <w:rsid w:val="008F113F"/>
    <w:rsid w:val="008F120F"/>
    <w:rsid w:val="008F1A3C"/>
    <w:rsid w:val="008F2473"/>
    <w:rsid w:val="008F24D7"/>
    <w:rsid w:val="008F290F"/>
    <w:rsid w:val="008F2E3F"/>
    <w:rsid w:val="008F3D8F"/>
    <w:rsid w:val="008F4C4C"/>
    <w:rsid w:val="008F4C88"/>
    <w:rsid w:val="008F5C47"/>
    <w:rsid w:val="008F60A8"/>
    <w:rsid w:val="008F630D"/>
    <w:rsid w:val="008F667E"/>
    <w:rsid w:val="008F6FC7"/>
    <w:rsid w:val="008F7A3F"/>
    <w:rsid w:val="008F7BD1"/>
    <w:rsid w:val="009004B8"/>
    <w:rsid w:val="009014DD"/>
    <w:rsid w:val="00901B8C"/>
    <w:rsid w:val="00901D27"/>
    <w:rsid w:val="0090256C"/>
    <w:rsid w:val="009028CF"/>
    <w:rsid w:val="00902E80"/>
    <w:rsid w:val="00903FAA"/>
    <w:rsid w:val="00904451"/>
    <w:rsid w:val="00904776"/>
    <w:rsid w:val="009054D9"/>
    <w:rsid w:val="00905BED"/>
    <w:rsid w:val="00905F75"/>
    <w:rsid w:val="00906757"/>
    <w:rsid w:val="00906D37"/>
    <w:rsid w:val="00907030"/>
    <w:rsid w:val="0090741D"/>
    <w:rsid w:val="00907D86"/>
    <w:rsid w:val="00910091"/>
    <w:rsid w:val="00910112"/>
    <w:rsid w:val="00910231"/>
    <w:rsid w:val="009107D7"/>
    <w:rsid w:val="00910813"/>
    <w:rsid w:val="0091179F"/>
    <w:rsid w:val="00911976"/>
    <w:rsid w:val="00911A81"/>
    <w:rsid w:val="00911DC7"/>
    <w:rsid w:val="00911E16"/>
    <w:rsid w:val="00911ECF"/>
    <w:rsid w:val="009123E4"/>
    <w:rsid w:val="00913090"/>
    <w:rsid w:val="009131B0"/>
    <w:rsid w:val="00913444"/>
    <w:rsid w:val="00913660"/>
    <w:rsid w:val="00913A4B"/>
    <w:rsid w:val="00913A72"/>
    <w:rsid w:val="00913F86"/>
    <w:rsid w:val="00914435"/>
    <w:rsid w:val="0091477A"/>
    <w:rsid w:val="00914C66"/>
    <w:rsid w:val="00914FE7"/>
    <w:rsid w:val="009153CE"/>
    <w:rsid w:val="009158B1"/>
    <w:rsid w:val="00915EB6"/>
    <w:rsid w:val="00916A95"/>
    <w:rsid w:val="00916D3E"/>
    <w:rsid w:val="00917A48"/>
    <w:rsid w:val="00917FFD"/>
    <w:rsid w:val="009213E5"/>
    <w:rsid w:val="00921474"/>
    <w:rsid w:val="00921D96"/>
    <w:rsid w:val="00921EC6"/>
    <w:rsid w:val="00922027"/>
    <w:rsid w:val="009220F8"/>
    <w:rsid w:val="0092309E"/>
    <w:rsid w:val="00923C80"/>
    <w:rsid w:val="00923F70"/>
    <w:rsid w:val="009243B7"/>
    <w:rsid w:val="0092474C"/>
    <w:rsid w:val="009248FB"/>
    <w:rsid w:val="00924A0D"/>
    <w:rsid w:val="00925074"/>
    <w:rsid w:val="00925339"/>
    <w:rsid w:val="009258B3"/>
    <w:rsid w:val="0092635F"/>
    <w:rsid w:val="0092732D"/>
    <w:rsid w:val="00930078"/>
    <w:rsid w:val="00930E68"/>
    <w:rsid w:val="0093112C"/>
    <w:rsid w:val="009317F7"/>
    <w:rsid w:val="0093186C"/>
    <w:rsid w:val="00931B8D"/>
    <w:rsid w:val="009320A2"/>
    <w:rsid w:val="00932EA5"/>
    <w:rsid w:val="0093372F"/>
    <w:rsid w:val="00934917"/>
    <w:rsid w:val="00934AEF"/>
    <w:rsid w:val="00935558"/>
    <w:rsid w:val="00935E17"/>
    <w:rsid w:val="009365EC"/>
    <w:rsid w:val="0093705B"/>
    <w:rsid w:val="00937A83"/>
    <w:rsid w:val="00937D1A"/>
    <w:rsid w:val="00937D6E"/>
    <w:rsid w:val="00940086"/>
    <w:rsid w:val="0094026E"/>
    <w:rsid w:val="009406D2"/>
    <w:rsid w:val="009407B9"/>
    <w:rsid w:val="00940FC9"/>
    <w:rsid w:val="0094115A"/>
    <w:rsid w:val="0094127A"/>
    <w:rsid w:val="00941829"/>
    <w:rsid w:val="00941E35"/>
    <w:rsid w:val="009426E2"/>
    <w:rsid w:val="00942952"/>
    <w:rsid w:val="009445D9"/>
    <w:rsid w:val="00944F2E"/>
    <w:rsid w:val="009454F0"/>
    <w:rsid w:val="00945568"/>
    <w:rsid w:val="0094583A"/>
    <w:rsid w:val="0094584F"/>
    <w:rsid w:val="0094592F"/>
    <w:rsid w:val="00945B5F"/>
    <w:rsid w:val="00946047"/>
    <w:rsid w:val="00946934"/>
    <w:rsid w:val="00947BB6"/>
    <w:rsid w:val="00950BD2"/>
    <w:rsid w:val="00950D0D"/>
    <w:rsid w:val="0095137C"/>
    <w:rsid w:val="00951809"/>
    <w:rsid w:val="00952135"/>
    <w:rsid w:val="0095277B"/>
    <w:rsid w:val="0095279A"/>
    <w:rsid w:val="009529E3"/>
    <w:rsid w:val="00953F6D"/>
    <w:rsid w:val="00954883"/>
    <w:rsid w:val="00954C7D"/>
    <w:rsid w:val="00954E1E"/>
    <w:rsid w:val="009563B1"/>
    <w:rsid w:val="009569E6"/>
    <w:rsid w:val="00956DB5"/>
    <w:rsid w:val="00956E8B"/>
    <w:rsid w:val="00957053"/>
    <w:rsid w:val="00957A33"/>
    <w:rsid w:val="00957EC4"/>
    <w:rsid w:val="00960066"/>
    <w:rsid w:val="0096033E"/>
    <w:rsid w:val="00960C23"/>
    <w:rsid w:val="009615B7"/>
    <w:rsid w:val="00961848"/>
    <w:rsid w:val="00961CA6"/>
    <w:rsid w:val="0096242F"/>
    <w:rsid w:val="00962F62"/>
    <w:rsid w:val="00963203"/>
    <w:rsid w:val="00963217"/>
    <w:rsid w:val="0096351E"/>
    <w:rsid w:val="00963AD7"/>
    <w:rsid w:val="009644A3"/>
    <w:rsid w:val="00964705"/>
    <w:rsid w:val="0096482A"/>
    <w:rsid w:val="009655B9"/>
    <w:rsid w:val="0096651E"/>
    <w:rsid w:val="00966679"/>
    <w:rsid w:val="00966B39"/>
    <w:rsid w:val="00967385"/>
    <w:rsid w:val="00967487"/>
    <w:rsid w:val="00967A1E"/>
    <w:rsid w:val="00970A73"/>
    <w:rsid w:val="00970B35"/>
    <w:rsid w:val="00971077"/>
    <w:rsid w:val="00971345"/>
    <w:rsid w:val="00971D6D"/>
    <w:rsid w:val="00972747"/>
    <w:rsid w:val="00972CEC"/>
    <w:rsid w:val="009731BC"/>
    <w:rsid w:val="009731CE"/>
    <w:rsid w:val="00974976"/>
    <w:rsid w:val="00974AA2"/>
    <w:rsid w:val="00974ECE"/>
    <w:rsid w:val="00974FDB"/>
    <w:rsid w:val="00975098"/>
    <w:rsid w:val="009750D8"/>
    <w:rsid w:val="0097590A"/>
    <w:rsid w:val="00977C0C"/>
    <w:rsid w:val="00980329"/>
    <w:rsid w:val="0098048B"/>
    <w:rsid w:val="00980D0E"/>
    <w:rsid w:val="009813B9"/>
    <w:rsid w:val="00981A7B"/>
    <w:rsid w:val="00981E30"/>
    <w:rsid w:val="0098230F"/>
    <w:rsid w:val="00982687"/>
    <w:rsid w:val="009828E9"/>
    <w:rsid w:val="00982C71"/>
    <w:rsid w:val="00983B19"/>
    <w:rsid w:val="00983D23"/>
    <w:rsid w:val="0098560B"/>
    <w:rsid w:val="00985856"/>
    <w:rsid w:val="009871F0"/>
    <w:rsid w:val="00987505"/>
    <w:rsid w:val="009906BD"/>
    <w:rsid w:val="00990938"/>
    <w:rsid w:val="00990B65"/>
    <w:rsid w:val="00991EAA"/>
    <w:rsid w:val="009920D2"/>
    <w:rsid w:val="00992C54"/>
    <w:rsid w:val="00992DF3"/>
    <w:rsid w:val="009935D3"/>
    <w:rsid w:val="00993645"/>
    <w:rsid w:val="00993D58"/>
    <w:rsid w:val="00995709"/>
    <w:rsid w:val="00995A20"/>
    <w:rsid w:val="00995B36"/>
    <w:rsid w:val="0099653B"/>
    <w:rsid w:val="009965B4"/>
    <w:rsid w:val="00996D64"/>
    <w:rsid w:val="00996E13"/>
    <w:rsid w:val="00996F67"/>
    <w:rsid w:val="009976CB"/>
    <w:rsid w:val="00997CE3"/>
    <w:rsid w:val="00997F90"/>
    <w:rsid w:val="009A06A0"/>
    <w:rsid w:val="009A111E"/>
    <w:rsid w:val="009A19BD"/>
    <w:rsid w:val="009A1ADB"/>
    <w:rsid w:val="009A1CFC"/>
    <w:rsid w:val="009A2139"/>
    <w:rsid w:val="009A31F5"/>
    <w:rsid w:val="009A3729"/>
    <w:rsid w:val="009A38C4"/>
    <w:rsid w:val="009A392C"/>
    <w:rsid w:val="009A41F9"/>
    <w:rsid w:val="009A4B85"/>
    <w:rsid w:val="009A6439"/>
    <w:rsid w:val="009A6E0E"/>
    <w:rsid w:val="009A7085"/>
    <w:rsid w:val="009A76F3"/>
    <w:rsid w:val="009A79B7"/>
    <w:rsid w:val="009A7DB3"/>
    <w:rsid w:val="009B0560"/>
    <w:rsid w:val="009B0905"/>
    <w:rsid w:val="009B09F0"/>
    <w:rsid w:val="009B0B57"/>
    <w:rsid w:val="009B0C9F"/>
    <w:rsid w:val="009B101C"/>
    <w:rsid w:val="009B11D8"/>
    <w:rsid w:val="009B1DBA"/>
    <w:rsid w:val="009B1F68"/>
    <w:rsid w:val="009B2097"/>
    <w:rsid w:val="009B2303"/>
    <w:rsid w:val="009B2536"/>
    <w:rsid w:val="009B26DD"/>
    <w:rsid w:val="009B2B2A"/>
    <w:rsid w:val="009B3289"/>
    <w:rsid w:val="009B3498"/>
    <w:rsid w:val="009B3736"/>
    <w:rsid w:val="009B3BF0"/>
    <w:rsid w:val="009B3DFD"/>
    <w:rsid w:val="009B45A7"/>
    <w:rsid w:val="009B530A"/>
    <w:rsid w:val="009B5D42"/>
    <w:rsid w:val="009B6504"/>
    <w:rsid w:val="009B66B7"/>
    <w:rsid w:val="009B6886"/>
    <w:rsid w:val="009B7421"/>
    <w:rsid w:val="009B753C"/>
    <w:rsid w:val="009B795F"/>
    <w:rsid w:val="009B7D2E"/>
    <w:rsid w:val="009C0712"/>
    <w:rsid w:val="009C0D2B"/>
    <w:rsid w:val="009C1AB9"/>
    <w:rsid w:val="009C24A3"/>
    <w:rsid w:val="009C258C"/>
    <w:rsid w:val="009C25EB"/>
    <w:rsid w:val="009C2D1A"/>
    <w:rsid w:val="009C2FA9"/>
    <w:rsid w:val="009C3496"/>
    <w:rsid w:val="009C49B6"/>
    <w:rsid w:val="009C4B46"/>
    <w:rsid w:val="009C5230"/>
    <w:rsid w:val="009C563F"/>
    <w:rsid w:val="009C5FBB"/>
    <w:rsid w:val="009C65D2"/>
    <w:rsid w:val="009C69C1"/>
    <w:rsid w:val="009C6FC8"/>
    <w:rsid w:val="009C7A52"/>
    <w:rsid w:val="009D0B13"/>
    <w:rsid w:val="009D0CCA"/>
    <w:rsid w:val="009D19BC"/>
    <w:rsid w:val="009D2671"/>
    <w:rsid w:val="009D288B"/>
    <w:rsid w:val="009D2DA2"/>
    <w:rsid w:val="009D2FCB"/>
    <w:rsid w:val="009D3872"/>
    <w:rsid w:val="009D5752"/>
    <w:rsid w:val="009D6A07"/>
    <w:rsid w:val="009D6A2D"/>
    <w:rsid w:val="009D72F4"/>
    <w:rsid w:val="009D76C1"/>
    <w:rsid w:val="009D7B4A"/>
    <w:rsid w:val="009E477C"/>
    <w:rsid w:val="009E530D"/>
    <w:rsid w:val="009E6348"/>
    <w:rsid w:val="009E735B"/>
    <w:rsid w:val="009F09A3"/>
    <w:rsid w:val="009F3311"/>
    <w:rsid w:val="009F352C"/>
    <w:rsid w:val="009F4154"/>
    <w:rsid w:val="009F4951"/>
    <w:rsid w:val="009F4E46"/>
    <w:rsid w:val="009F5945"/>
    <w:rsid w:val="009F5967"/>
    <w:rsid w:val="009F5A1A"/>
    <w:rsid w:val="009F5DB8"/>
    <w:rsid w:val="009F6349"/>
    <w:rsid w:val="009F7080"/>
    <w:rsid w:val="009F72CB"/>
    <w:rsid w:val="009F74F2"/>
    <w:rsid w:val="009F79AA"/>
    <w:rsid w:val="009F7A97"/>
    <w:rsid w:val="009F7E4A"/>
    <w:rsid w:val="009F7F1C"/>
    <w:rsid w:val="00A004D0"/>
    <w:rsid w:val="00A0062C"/>
    <w:rsid w:val="00A007FE"/>
    <w:rsid w:val="00A00844"/>
    <w:rsid w:val="00A00B4D"/>
    <w:rsid w:val="00A012D9"/>
    <w:rsid w:val="00A0143D"/>
    <w:rsid w:val="00A0165D"/>
    <w:rsid w:val="00A019A3"/>
    <w:rsid w:val="00A01B15"/>
    <w:rsid w:val="00A02612"/>
    <w:rsid w:val="00A02A02"/>
    <w:rsid w:val="00A02D4A"/>
    <w:rsid w:val="00A03BB2"/>
    <w:rsid w:val="00A03FC5"/>
    <w:rsid w:val="00A044B6"/>
    <w:rsid w:val="00A04918"/>
    <w:rsid w:val="00A04EAE"/>
    <w:rsid w:val="00A059C4"/>
    <w:rsid w:val="00A06F8E"/>
    <w:rsid w:val="00A0715A"/>
    <w:rsid w:val="00A07680"/>
    <w:rsid w:val="00A07BBA"/>
    <w:rsid w:val="00A07FD1"/>
    <w:rsid w:val="00A10967"/>
    <w:rsid w:val="00A10F73"/>
    <w:rsid w:val="00A1129D"/>
    <w:rsid w:val="00A112CC"/>
    <w:rsid w:val="00A11429"/>
    <w:rsid w:val="00A11581"/>
    <w:rsid w:val="00A11D72"/>
    <w:rsid w:val="00A12D14"/>
    <w:rsid w:val="00A136F4"/>
    <w:rsid w:val="00A148C0"/>
    <w:rsid w:val="00A16793"/>
    <w:rsid w:val="00A17053"/>
    <w:rsid w:val="00A170AA"/>
    <w:rsid w:val="00A17900"/>
    <w:rsid w:val="00A20510"/>
    <w:rsid w:val="00A20736"/>
    <w:rsid w:val="00A20E48"/>
    <w:rsid w:val="00A20F3B"/>
    <w:rsid w:val="00A21326"/>
    <w:rsid w:val="00A215BC"/>
    <w:rsid w:val="00A22413"/>
    <w:rsid w:val="00A228E7"/>
    <w:rsid w:val="00A23178"/>
    <w:rsid w:val="00A239A7"/>
    <w:rsid w:val="00A257EF"/>
    <w:rsid w:val="00A25EFE"/>
    <w:rsid w:val="00A25F0F"/>
    <w:rsid w:val="00A26392"/>
    <w:rsid w:val="00A27BB2"/>
    <w:rsid w:val="00A30873"/>
    <w:rsid w:val="00A30FC5"/>
    <w:rsid w:val="00A316DB"/>
    <w:rsid w:val="00A31D41"/>
    <w:rsid w:val="00A32908"/>
    <w:rsid w:val="00A330FF"/>
    <w:rsid w:val="00A341AF"/>
    <w:rsid w:val="00A34A51"/>
    <w:rsid w:val="00A34C02"/>
    <w:rsid w:val="00A34C36"/>
    <w:rsid w:val="00A350A4"/>
    <w:rsid w:val="00A35A8E"/>
    <w:rsid w:val="00A35ADD"/>
    <w:rsid w:val="00A36203"/>
    <w:rsid w:val="00A362D8"/>
    <w:rsid w:val="00A375FD"/>
    <w:rsid w:val="00A37A34"/>
    <w:rsid w:val="00A37CCC"/>
    <w:rsid w:val="00A40973"/>
    <w:rsid w:val="00A412AE"/>
    <w:rsid w:val="00A41591"/>
    <w:rsid w:val="00A41786"/>
    <w:rsid w:val="00A42AB4"/>
    <w:rsid w:val="00A441FF"/>
    <w:rsid w:val="00A4422D"/>
    <w:rsid w:val="00A449B5"/>
    <w:rsid w:val="00A44DA7"/>
    <w:rsid w:val="00A45493"/>
    <w:rsid w:val="00A4597D"/>
    <w:rsid w:val="00A45DD5"/>
    <w:rsid w:val="00A47213"/>
    <w:rsid w:val="00A477FA"/>
    <w:rsid w:val="00A47F04"/>
    <w:rsid w:val="00A508DC"/>
    <w:rsid w:val="00A50A33"/>
    <w:rsid w:val="00A5107A"/>
    <w:rsid w:val="00A51648"/>
    <w:rsid w:val="00A51689"/>
    <w:rsid w:val="00A5257D"/>
    <w:rsid w:val="00A52B2B"/>
    <w:rsid w:val="00A52C79"/>
    <w:rsid w:val="00A53CBE"/>
    <w:rsid w:val="00A53D48"/>
    <w:rsid w:val="00A55DCA"/>
    <w:rsid w:val="00A56120"/>
    <w:rsid w:val="00A564A2"/>
    <w:rsid w:val="00A56909"/>
    <w:rsid w:val="00A56BF8"/>
    <w:rsid w:val="00A573C3"/>
    <w:rsid w:val="00A5752B"/>
    <w:rsid w:val="00A57EE0"/>
    <w:rsid w:val="00A602CA"/>
    <w:rsid w:val="00A60428"/>
    <w:rsid w:val="00A604BB"/>
    <w:rsid w:val="00A6050D"/>
    <w:rsid w:val="00A608E0"/>
    <w:rsid w:val="00A616FA"/>
    <w:rsid w:val="00A61D62"/>
    <w:rsid w:val="00A620B3"/>
    <w:rsid w:val="00A6214B"/>
    <w:rsid w:val="00A627BB"/>
    <w:rsid w:val="00A62824"/>
    <w:rsid w:val="00A62F8D"/>
    <w:rsid w:val="00A6403D"/>
    <w:rsid w:val="00A64A86"/>
    <w:rsid w:val="00A65D6D"/>
    <w:rsid w:val="00A661C2"/>
    <w:rsid w:val="00A66531"/>
    <w:rsid w:val="00A66A75"/>
    <w:rsid w:val="00A67CF7"/>
    <w:rsid w:val="00A7047F"/>
    <w:rsid w:val="00A7060F"/>
    <w:rsid w:val="00A70BA9"/>
    <w:rsid w:val="00A70F6F"/>
    <w:rsid w:val="00A71693"/>
    <w:rsid w:val="00A725C1"/>
    <w:rsid w:val="00A72871"/>
    <w:rsid w:val="00A732D0"/>
    <w:rsid w:val="00A734F0"/>
    <w:rsid w:val="00A73E5D"/>
    <w:rsid w:val="00A74703"/>
    <w:rsid w:val="00A74929"/>
    <w:rsid w:val="00A754F9"/>
    <w:rsid w:val="00A75E2E"/>
    <w:rsid w:val="00A76105"/>
    <w:rsid w:val="00A76484"/>
    <w:rsid w:val="00A76830"/>
    <w:rsid w:val="00A76EA5"/>
    <w:rsid w:val="00A779EF"/>
    <w:rsid w:val="00A77DB9"/>
    <w:rsid w:val="00A77F67"/>
    <w:rsid w:val="00A804E3"/>
    <w:rsid w:val="00A8082E"/>
    <w:rsid w:val="00A80DCD"/>
    <w:rsid w:val="00A80E28"/>
    <w:rsid w:val="00A810F1"/>
    <w:rsid w:val="00A8124E"/>
    <w:rsid w:val="00A813F6"/>
    <w:rsid w:val="00A8156D"/>
    <w:rsid w:val="00A819D1"/>
    <w:rsid w:val="00A81BF4"/>
    <w:rsid w:val="00A82058"/>
    <w:rsid w:val="00A83202"/>
    <w:rsid w:val="00A8379D"/>
    <w:rsid w:val="00A8384E"/>
    <w:rsid w:val="00A84241"/>
    <w:rsid w:val="00A85480"/>
    <w:rsid w:val="00A86BF5"/>
    <w:rsid w:val="00A878D4"/>
    <w:rsid w:val="00A8793E"/>
    <w:rsid w:val="00A87E03"/>
    <w:rsid w:val="00A87E73"/>
    <w:rsid w:val="00A9030C"/>
    <w:rsid w:val="00A908DC"/>
    <w:rsid w:val="00A90A61"/>
    <w:rsid w:val="00A90D67"/>
    <w:rsid w:val="00A90F90"/>
    <w:rsid w:val="00A913F2"/>
    <w:rsid w:val="00A91428"/>
    <w:rsid w:val="00A91451"/>
    <w:rsid w:val="00A91D4E"/>
    <w:rsid w:val="00A92832"/>
    <w:rsid w:val="00A935C3"/>
    <w:rsid w:val="00A95B11"/>
    <w:rsid w:val="00A96EBB"/>
    <w:rsid w:val="00A971CB"/>
    <w:rsid w:val="00AA0032"/>
    <w:rsid w:val="00AA02CB"/>
    <w:rsid w:val="00AA1527"/>
    <w:rsid w:val="00AA1777"/>
    <w:rsid w:val="00AA1880"/>
    <w:rsid w:val="00AA18D1"/>
    <w:rsid w:val="00AA1C7D"/>
    <w:rsid w:val="00AA2350"/>
    <w:rsid w:val="00AA2C2C"/>
    <w:rsid w:val="00AA2FCA"/>
    <w:rsid w:val="00AA3AA6"/>
    <w:rsid w:val="00AA4A11"/>
    <w:rsid w:val="00AA4CB9"/>
    <w:rsid w:val="00AA508C"/>
    <w:rsid w:val="00AA5274"/>
    <w:rsid w:val="00AA5D26"/>
    <w:rsid w:val="00AA6BB8"/>
    <w:rsid w:val="00AB0108"/>
    <w:rsid w:val="00AB027A"/>
    <w:rsid w:val="00AB1D6F"/>
    <w:rsid w:val="00AB264A"/>
    <w:rsid w:val="00AB28CA"/>
    <w:rsid w:val="00AB2B1E"/>
    <w:rsid w:val="00AB3697"/>
    <w:rsid w:val="00AB3FC8"/>
    <w:rsid w:val="00AB4B24"/>
    <w:rsid w:val="00AB51E4"/>
    <w:rsid w:val="00AB573A"/>
    <w:rsid w:val="00AB5E0C"/>
    <w:rsid w:val="00AB5E4A"/>
    <w:rsid w:val="00AB63A8"/>
    <w:rsid w:val="00AB6636"/>
    <w:rsid w:val="00AB7722"/>
    <w:rsid w:val="00AB7B9F"/>
    <w:rsid w:val="00AC0157"/>
    <w:rsid w:val="00AC24CF"/>
    <w:rsid w:val="00AC2991"/>
    <w:rsid w:val="00AC2DEF"/>
    <w:rsid w:val="00AC3472"/>
    <w:rsid w:val="00AC34A4"/>
    <w:rsid w:val="00AC36DF"/>
    <w:rsid w:val="00AC3BFC"/>
    <w:rsid w:val="00AC3E25"/>
    <w:rsid w:val="00AC4211"/>
    <w:rsid w:val="00AC471A"/>
    <w:rsid w:val="00AC4ACF"/>
    <w:rsid w:val="00AC6098"/>
    <w:rsid w:val="00AC7438"/>
    <w:rsid w:val="00AC7B13"/>
    <w:rsid w:val="00AC7C5B"/>
    <w:rsid w:val="00AD045F"/>
    <w:rsid w:val="00AD06C7"/>
    <w:rsid w:val="00AD0802"/>
    <w:rsid w:val="00AD083C"/>
    <w:rsid w:val="00AD09AC"/>
    <w:rsid w:val="00AD0BD1"/>
    <w:rsid w:val="00AD1100"/>
    <w:rsid w:val="00AD1DA3"/>
    <w:rsid w:val="00AD2216"/>
    <w:rsid w:val="00AD3017"/>
    <w:rsid w:val="00AD39D4"/>
    <w:rsid w:val="00AD3C48"/>
    <w:rsid w:val="00AD4A6F"/>
    <w:rsid w:val="00AD4DE1"/>
    <w:rsid w:val="00AD4F2A"/>
    <w:rsid w:val="00AD4FAB"/>
    <w:rsid w:val="00AD5042"/>
    <w:rsid w:val="00AD50DD"/>
    <w:rsid w:val="00AD51F2"/>
    <w:rsid w:val="00AD5A4F"/>
    <w:rsid w:val="00AD5AF0"/>
    <w:rsid w:val="00AD5D7C"/>
    <w:rsid w:val="00AD5DC2"/>
    <w:rsid w:val="00AD642E"/>
    <w:rsid w:val="00AD64A8"/>
    <w:rsid w:val="00AD6722"/>
    <w:rsid w:val="00AD6A4B"/>
    <w:rsid w:val="00AD6E04"/>
    <w:rsid w:val="00AD70C6"/>
    <w:rsid w:val="00AD7104"/>
    <w:rsid w:val="00AD71B1"/>
    <w:rsid w:val="00AD74D4"/>
    <w:rsid w:val="00AD7629"/>
    <w:rsid w:val="00AD77E6"/>
    <w:rsid w:val="00AD7E0A"/>
    <w:rsid w:val="00AD7EAF"/>
    <w:rsid w:val="00AE13BD"/>
    <w:rsid w:val="00AE162D"/>
    <w:rsid w:val="00AE39DC"/>
    <w:rsid w:val="00AE4317"/>
    <w:rsid w:val="00AE48F9"/>
    <w:rsid w:val="00AE4983"/>
    <w:rsid w:val="00AE52F6"/>
    <w:rsid w:val="00AE6D15"/>
    <w:rsid w:val="00AF01DB"/>
    <w:rsid w:val="00AF03F1"/>
    <w:rsid w:val="00AF0FF5"/>
    <w:rsid w:val="00AF19C2"/>
    <w:rsid w:val="00AF37A3"/>
    <w:rsid w:val="00AF39C9"/>
    <w:rsid w:val="00AF3B17"/>
    <w:rsid w:val="00AF48C7"/>
    <w:rsid w:val="00AF4934"/>
    <w:rsid w:val="00AF49AB"/>
    <w:rsid w:val="00AF4E06"/>
    <w:rsid w:val="00AF572E"/>
    <w:rsid w:val="00AF5C89"/>
    <w:rsid w:val="00AF5D9F"/>
    <w:rsid w:val="00AF5F29"/>
    <w:rsid w:val="00AF6008"/>
    <w:rsid w:val="00AF7671"/>
    <w:rsid w:val="00AF79BC"/>
    <w:rsid w:val="00AF79C4"/>
    <w:rsid w:val="00AF7A04"/>
    <w:rsid w:val="00AF7DBA"/>
    <w:rsid w:val="00B00216"/>
    <w:rsid w:val="00B00484"/>
    <w:rsid w:val="00B005C1"/>
    <w:rsid w:val="00B00E0E"/>
    <w:rsid w:val="00B0112C"/>
    <w:rsid w:val="00B01538"/>
    <w:rsid w:val="00B01852"/>
    <w:rsid w:val="00B01987"/>
    <w:rsid w:val="00B01E99"/>
    <w:rsid w:val="00B029ED"/>
    <w:rsid w:val="00B02DF7"/>
    <w:rsid w:val="00B0429E"/>
    <w:rsid w:val="00B0485A"/>
    <w:rsid w:val="00B04AE5"/>
    <w:rsid w:val="00B053D1"/>
    <w:rsid w:val="00B054B4"/>
    <w:rsid w:val="00B05547"/>
    <w:rsid w:val="00B058B3"/>
    <w:rsid w:val="00B05DD1"/>
    <w:rsid w:val="00B07549"/>
    <w:rsid w:val="00B077A0"/>
    <w:rsid w:val="00B07D64"/>
    <w:rsid w:val="00B101F2"/>
    <w:rsid w:val="00B1066F"/>
    <w:rsid w:val="00B109CC"/>
    <w:rsid w:val="00B12943"/>
    <w:rsid w:val="00B1294D"/>
    <w:rsid w:val="00B12DBD"/>
    <w:rsid w:val="00B13A68"/>
    <w:rsid w:val="00B13F5D"/>
    <w:rsid w:val="00B1476A"/>
    <w:rsid w:val="00B15647"/>
    <w:rsid w:val="00B15AEF"/>
    <w:rsid w:val="00B1621D"/>
    <w:rsid w:val="00B16743"/>
    <w:rsid w:val="00B16E0C"/>
    <w:rsid w:val="00B2008E"/>
    <w:rsid w:val="00B210C2"/>
    <w:rsid w:val="00B21618"/>
    <w:rsid w:val="00B22133"/>
    <w:rsid w:val="00B2293E"/>
    <w:rsid w:val="00B22D9D"/>
    <w:rsid w:val="00B23344"/>
    <w:rsid w:val="00B23AD9"/>
    <w:rsid w:val="00B23CE6"/>
    <w:rsid w:val="00B23F2F"/>
    <w:rsid w:val="00B24994"/>
    <w:rsid w:val="00B24B88"/>
    <w:rsid w:val="00B24C06"/>
    <w:rsid w:val="00B25993"/>
    <w:rsid w:val="00B25A2A"/>
    <w:rsid w:val="00B25DF3"/>
    <w:rsid w:val="00B25F64"/>
    <w:rsid w:val="00B26591"/>
    <w:rsid w:val="00B268E0"/>
    <w:rsid w:val="00B26A39"/>
    <w:rsid w:val="00B27467"/>
    <w:rsid w:val="00B27B58"/>
    <w:rsid w:val="00B27B9E"/>
    <w:rsid w:val="00B27DD7"/>
    <w:rsid w:val="00B27FAD"/>
    <w:rsid w:val="00B30862"/>
    <w:rsid w:val="00B30900"/>
    <w:rsid w:val="00B3161E"/>
    <w:rsid w:val="00B31827"/>
    <w:rsid w:val="00B32471"/>
    <w:rsid w:val="00B328C8"/>
    <w:rsid w:val="00B32CB1"/>
    <w:rsid w:val="00B32E22"/>
    <w:rsid w:val="00B330A4"/>
    <w:rsid w:val="00B33810"/>
    <w:rsid w:val="00B34272"/>
    <w:rsid w:val="00B3437C"/>
    <w:rsid w:val="00B34C1C"/>
    <w:rsid w:val="00B35B06"/>
    <w:rsid w:val="00B36B8D"/>
    <w:rsid w:val="00B374DF"/>
    <w:rsid w:val="00B3757F"/>
    <w:rsid w:val="00B402B1"/>
    <w:rsid w:val="00B40F61"/>
    <w:rsid w:val="00B412D8"/>
    <w:rsid w:val="00B41AE7"/>
    <w:rsid w:val="00B425EC"/>
    <w:rsid w:val="00B42A07"/>
    <w:rsid w:val="00B4359D"/>
    <w:rsid w:val="00B44022"/>
    <w:rsid w:val="00B440A5"/>
    <w:rsid w:val="00B44512"/>
    <w:rsid w:val="00B44877"/>
    <w:rsid w:val="00B44C09"/>
    <w:rsid w:val="00B44DB5"/>
    <w:rsid w:val="00B45342"/>
    <w:rsid w:val="00B45485"/>
    <w:rsid w:val="00B457D9"/>
    <w:rsid w:val="00B4580C"/>
    <w:rsid w:val="00B45BBB"/>
    <w:rsid w:val="00B45C4E"/>
    <w:rsid w:val="00B4684C"/>
    <w:rsid w:val="00B46A6D"/>
    <w:rsid w:val="00B47304"/>
    <w:rsid w:val="00B47959"/>
    <w:rsid w:val="00B47AF6"/>
    <w:rsid w:val="00B502D2"/>
    <w:rsid w:val="00B50AE1"/>
    <w:rsid w:val="00B50DEE"/>
    <w:rsid w:val="00B50E79"/>
    <w:rsid w:val="00B50FAC"/>
    <w:rsid w:val="00B51053"/>
    <w:rsid w:val="00B51BB9"/>
    <w:rsid w:val="00B51C45"/>
    <w:rsid w:val="00B53A0A"/>
    <w:rsid w:val="00B542F7"/>
    <w:rsid w:val="00B54411"/>
    <w:rsid w:val="00B556AB"/>
    <w:rsid w:val="00B559D3"/>
    <w:rsid w:val="00B56303"/>
    <w:rsid w:val="00B56474"/>
    <w:rsid w:val="00B5687B"/>
    <w:rsid w:val="00B57423"/>
    <w:rsid w:val="00B576F8"/>
    <w:rsid w:val="00B5773F"/>
    <w:rsid w:val="00B57C01"/>
    <w:rsid w:val="00B60CB6"/>
    <w:rsid w:val="00B612A4"/>
    <w:rsid w:val="00B6186F"/>
    <w:rsid w:val="00B62F71"/>
    <w:rsid w:val="00B63576"/>
    <w:rsid w:val="00B64C4C"/>
    <w:rsid w:val="00B651CF"/>
    <w:rsid w:val="00B655CE"/>
    <w:rsid w:val="00B669B5"/>
    <w:rsid w:val="00B66BE0"/>
    <w:rsid w:val="00B66E6C"/>
    <w:rsid w:val="00B67F9B"/>
    <w:rsid w:val="00B70661"/>
    <w:rsid w:val="00B70667"/>
    <w:rsid w:val="00B709C3"/>
    <w:rsid w:val="00B71BCA"/>
    <w:rsid w:val="00B71BFC"/>
    <w:rsid w:val="00B71CD1"/>
    <w:rsid w:val="00B71E18"/>
    <w:rsid w:val="00B7266F"/>
    <w:rsid w:val="00B741E4"/>
    <w:rsid w:val="00B7512A"/>
    <w:rsid w:val="00B75982"/>
    <w:rsid w:val="00B75DD1"/>
    <w:rsid w:val="00B75FD3"/>
    <w:rsid w:val="00B760B4"/>
    <w:rsid w:val="00B76C0B"/>
    <w:rsid w:val="00B771C1"/>
    <w:rsid w:val="00B7730B"/>
    <w:rsid w:val="00B773D2"/>
    <w:rsid w:val="00B777D7"/>
    <w:rsid w:val="00B80115"/>
    <w:rsid w:val="00B806E4"/>
    <w:rsid w:val="00B807DE"/>
    <w:rsid w:val="00B80861"/>
    <w:rsid w:val="00B80C62"/>
    <w:rsid w:val="00B81029"/>
    <w:rsid w:val="00B816C7"/>
    <w:rsid w:val="00B826A4"/>
    <w:rsid w:val="00B8394F"/>
    <w:rsid w:val="00B83C84"/>
    <w:rsid w:val="00B83CCB"/>
    <w:rsid w:val="00B8475B"/>
    <w:rsid w:val="00B85059"/>
    <w:rsid w:val="00B85E2A"/>
    <w:rsid w:val="00B86C32"/>
    <w:rsid w:val="00B87188"/>
    <w:rsid w:val="00B904F1"/>
    <w:rsid w:val="00B90995"/>
    <w:rsid w:val="00B9294B"/>
    <w:rsid w:val="00B935E2"/>
    <w:rsid w:val="00B93A5B"/>
    <w:rsid w:val="00B93B9C"/>
    <w:rsid w:val="00B940A9"/>
    <w:rsid w:val="00B947B8"/>
    <w:rsid w:val="00B94875"/>
    <w:rsid w:val="00B94981"/>
    <w:rsid w:val="00B94E88"/>
    <w:rsid w:val="00B9515E"/>
    <w:rsid w:val="00B95DA4"/>
    <w:rsid w:val="00B95F26"/>
    <w:rsid w:val="00B9699D"/>
    <w:rsid w:val="00B96B25"/>
    <w:rsid w:val="00B96CCB"/>
    <w:rsid w:val="00B96F4E"/>
    <w:rsid w:val="00B972D4"/>
    <w:rsid w:val="00B97A2C"/>
    <w:rsid w:val="00BA0087"/>
    <w:rsid w:val="00BA0436"/>
    <w:rsid w:val="00BA04D9"/>
    <w:rsid w:val="00BA059B"/>
    <w:rsid w:val="00BA06D4"/>
    <w:rsid w:val="00BA09AE"/>
    <w:rsid w:val="00BA0BFE"/>
    <w:rsid w:val="00BA1A32"/>
    <w:rsid w:val="00BA1D5B"/>
    <w:rsid w:val="00BA22F7"/>
    <w:rsid w:val="00BA2E5B"/>
    <w:rsid w:val="00BA357E"/>
    <w:rsid w:val="00BA3C27"/>
    <w:rsid w:val="00BA4654"/>
    <w:rsid w:val="00BA46A9"/>
    <w:rsid w:val="00BA4AF8"/>
    <w:rsid w:val="00BA5110"/>
    <w:rsid w:val="00BA5445"/>
    <w:rsid w:val="00BA5492"/>
    <w:rsid w:val="00BA572D"/>
    <w:rsid w:val="00BA5873"/>
    <w:rsid w:val="00BA59E9"/>
    <w:rsid w:val="00BA5C06"/>
    <w:rsid w:val="00BA75FF"/>
    <w:rsid w:val="00BB0965"/>
    <w:rsid w:val="00BB1BED"/>
    <w:rsid w:val="00BB3372"/>
    <w:rsid w:val="00BB3675"/>
    <w:rsid w:val="00BB3E81"/>
    <w:rsid w:val="00BB414D"/>
    <w:rsid w:val="00BB42DE"/>
    <w:rsid w:val="00BB4456"/>
    <w:rsid w:val="00BB4500"/>
    <w:rsid w:val="00BB4669"/>
    <w:rsid w:val="00BB56F8"/>
    <w:rsid w:val="00BB7B06"/>
    <w:rsid w:val="00BC0412"/>
    <w:rsid w:val="00BC0735"/>
    <w:rsid w:val="00BC07F3"/>
    <w:rsid w:val="00BC08F9"/>
    <w:rsid w:val="00BC091E"/>
    <w:rsid w:val="00BC09CF"/>
    <w:rsid w:val="00BC1593"/>
    <w:rsid w:val="00BC161F"/>
    <w:rsid w:val="00BC19D9"/>
    <w:rsid w:val="00BC29CD"/>
    <w:rsid w:val="00BC2B2B"/>
    <w:rsid w:val="00BC3559"/>
    <w:rsid w:val="00BC35EF"/>
    <w:rsid w:val="00BC53CC"/>
    <w:rsid w:val="00BC543A"/>
    <w:rsid w:val="00BC5D11"/>
    <w:rsid w:val="00BC5FDD"/>
    <w:rsid w:val="00BC67F7"/>
    <w:rsid w:val="00BC69F9"/>
    <w:rsid w:val="00BC72C4"/>
    <w:rsid w:val="00BC7354"/>
    <w:rsid w:val="00BD066A"/>
    <w:rsid w:val="00BD0B87"/>
    <w:rsid w:val="00BD0C75"/>
    <w:rsid w:val="00BD126D"/>
    <w:rsid w:val="00BD1619"/>
    <w:rsid w:val="00BD177E"/>
    <w:rsid w:val="00BD1939"/>
    <w:rsid w:val="00BD1B7C"/>
    <w:rsid w:val="00BD2F11"/>
    <w:rsid w:val="00BD38F0"/>
    <w:rsid w:val="00BD4A64"/>
    <w:rsid w:val="00BD4FEC"/>
    <w:rsid w:val="00BD65C7"/>
    <w:rsid w:val="00BD6B0D"/>
    <w:rsid w:val="00BD7D01"/>
    <w:rsid w:val="00BE042F"/>
    <w:rsid w:val="00BE05CC"/>
    <w:rsid w:val="00BE1194"/>
    <w:rsid w:val="00BE154D"/>
    <w:rsid w:val="00BE17BE"/>
    <w:rsid w:val="00BE188A"/>
    <w:rsid w:val="00BE22F3"/>
    <w:rsid w:val="00BE2700"/>
    <w:rsid w:val="00BE2779"/>
    <w:rsid w:val="00BE34CB"/>
    <w:rsid w:val="00BE432D"/>
    <w:rsid w:val="00BE4628"/>
    <w:rsid w:val="00BE4DCA"/>
    <w:rsid w:val="00BE53FC"/>
    <w:rsid w:val="00BE5BC6"/>
    <w:rsid w:val="00BE63AF"/>
    <w:rsid w:val="00BE6685"/>
    <w:rsid w:val="00BE6F8B"/>
    <w:rsid w:val="00BE732F"/>
    <w:rsid w:val="00BF04E5"/>
    <w:rsid w:val="00BF0A48"/>
    <w:rsid w:val="00BF0D89"/>
    <w:rsid w:val="00BF1BC1"/>
    <w:rsid w:val="00BF1C9D"/>
    <w:rsid w:val="00BF2485"/>
    <w:rsid w:val="00BF2E36"/>
    <w:rsid w:val="00BF2E44"/>
    <w:rsid w:val="00BF2FBD"/>
    <w:rsid w:val="00BF4857"/>
    <w:rsid w:val="00BF48FA"/>
    <w:rsid w:val="00BF4ADC"/>
    <w:rsid w:val="00BF4F58"/>
    <w:rsid w:val="00BF60B4"/>
    <w:rsid w:val="00BF7A7B"/>
    <w:rsid w:val="00BF7C2E"/>
    <w:rsid w:val="00BF7DA4"/>
    <w:rsid w:val="00C005C2"/>
    <w:rsid w:val="00C01564"/>
    <w:rsid w:val="00C03178"/>
    <w:rsid w:val="00C036BC"/>
    <w:rsid w:val="00C03CBA"/>
    <w:rsid w:val="00C03E6C"/>
    <w:rsid w:val="00C03FB8"/>
    <w:rsid w:val="00C04727"/>
    <w:rsid w:val="00C04DFA"/>
    <w:rsid w:val="00C0547B"/>
    <w:rsid w:val="00C058BE"/>
    <w:rsid w:val="00C05E46"/>
    <w:rsid w:val="00C0609D"/>
    <w:rsid w:val="00C0619A"/>
    <w:rsid w:val="00C0624A"/>
    <w:rsid w:val="00C06EBD"/>
    <w:rsid w:val="00C0745D"/>
    <w:rsid w:val="00C07691"/>
    <w:rsid w:val="00C077F8"/>
    <w:rsid w:val="00C0799A"/>
    <w:rsid w:val="00C07DB9"/>
    <w:rsid w:val="00C1031C"/>
    <w:rsid w:val="00C10CEE"/>
    <w:rsid w:val="00C11237"/>
    <w:rsid w:val="00C12142"/>
    <w:rsid w:val="00C12BF9"/>
    <w:rsid w:val="00C1309D"/>
    <w:rsid w:val="00C131BD"/>
    <w:rsid w:val="00C1328F"/>
    <w:rsid w:val="00C139E1"/>
    <w:rsid w:val="00C13C06"/>
    <w:rsid w:val="00C1427C"/>
    <w:rsid w:val="00C14756"/>
    <w:rsid w:val="00C14F23"/>
    <w:rsid w:val="00C15325"/>
    <w:rsid w:val="00C1584B"/>
    <w:rsid w:val="00C16D02"/>
    <w:rsid w:val="00C17FFD"/>
    <w:rsid w:val="00C207C0"/>
    <w:rsid w:val="00C21215"/>
    <w:rsid w:val="00C217C8"/>
    <w:rsid w:val="00C21DBB"/>
    <w:rsid w:val="00C23357"/>
    <w:rsid w:val="00C23583"/>
    <w:rsid w:val="00C2358F"/>
    <w:rsid w:val="00C23F31"/>
    <w:rsid w:val="00C2428E"/>
    <w:rsid w:val="00C2469E"/>
    <w:rsid w:val="00C252FF"/>
    <w:rsid w:val="00C255E4"/>
    <w:rsid w:val="00C25F38"/>
    <w:rsid w:val="00C26BFC"/>
    <w:rsid w:val="00C27D51"/>
    <w:rsid w:val="00C30270"/>
    <w:rsid w:val="00C3068C"/>
    <w:rsid w:val="00C30F2D"/>
    <w:rsid w:val="00C30FEF"/>
    <w:rsid w:val="00C31703"/>
    <w:rsid w:val="00C3276C"/>
    <w:rsid w:val="00C32F24"/>
    <w:rsid w:val="00C33796"/>
    <w:rsid w:val="00C33FDB"/>
    <w:rsid w:val="00C37481"/>
    <w:rsid w:val="00C375E3"/>
    <w:rsid w:val="00C3766B"/>
    <w:rsid w:val="00C376FE"/>
    <w:rsid w:val="00C37ADE"/>
    <w:rsid w:val="00C37C23"/>
    <w:rsid w:val="00C37DE7"/>
    <w:rsid w:val="00C409B4"/>
    <w:rsid w:val="00C40C08"/>
    <w:rsid w:val="00C41586"/>
    <w:rsid w:val="00C41C0C"/>
    <w:rsid w:val="00C420B0"/>
    <w:rsid w:val="00C42611"/>
    <w:rsid w:val="00C42A2C"/>
    <w:rsid w:val="00C42B40"/>
    <w:rsid w:val="00C43942"/>
    <w:rsid w:val="00C43B30"/>
    <w:rsid w:val="00C44206"/>
    <w:rsid w:val="00C447C6"/>
    <w:rsid w:val="00C455D1"/>
    <w:rsid w:val="00C45603"/>
    <w:rsid w:val="00C456D3"/>
    <w:rsid w:val="00C4588A"/>
    <w:rsid w:val="00C45F37"/>
    <w:rsid w:val="00C45FC6"/>
    <w:rsid w:val="00C46B12"/>
    <w:rsid w:val="00C472E3"/>
    <w:rsid w:val="00C4735C"/>
    <w:rsid w:val="00C47644"/>
    <w:rsid w:val="00C479D0"/>
    <w:rsid w:val="00C50266"/>
    <w:rsid w:val="00C507FD"/>
    <w:rsid w:val="00C50AA0"/>
    <w:rsid w:val="00C50AC6"/>
    <w:rsid w:val="00C50B7B"/>
    <w:rsid w:val="00C517C5"/>
    <w:rsid w:val="00C51BA7"/>
    <w:rsid w:val="00C52AB9"/>
    <w:rsid w:val="00C52EA8"/>
    <w:rsid w:val="00C53386"/>
    <w:rsid w:val="00C53F70"/>
    <w:rsid w:val="00C55D08"/>
    <w:rsid w:val="00C55FE5"/>
    <w:rsid w:val="00C574C9"/>
    <w:rsid w:val="00C602FE"/>
    <w:rsid w:val="00C612DF"/>
    <w:rsid w:val="00C61384"/>
    <w:rsid w:val="00C61A7E"/>
    <w:rsid w:val="00C6220B"/>
    <w:rsid w:val="00C635CB"/>
    <w:rsid w:val="00C6390D"/>
    <w:rsid w:val="00C64822"/>
    <w:rsid w:val="00C653CE"/>
    <w:rsid w:val="00C65698"/>
    <w:rsid w:val="00C65B84"/>
    <w:rsid w:val="00C660A1"/>
    <w:rsid w:val="00C660C2"/>
    <w:rsid w:val="00C66A53"/>
    <w:rsid w:val="00C672C2"/>
    <w:rsid w:val="00C675F6"/>
    <w:rsid w:val="00C67DC6"/>
    <w:rsid w:val="00C67F88"/>
    <w:rsid w:val="00C700A0"/>
    <w:rsid w:val="00C7045D"/>
    <w:rsid w:val="00C706C4"/>
    <w:rsid w:val="00C71062"/>
    <w:rsid w:val="00C7129B"/>
    <w:rsid w:val="00C71315"/>
    <w:rsid w:val="00C71C36"/>
    <w:rsid w:val="00C721FA"/>
    <w:rsid w:val="00C723D0"/>
    <w:rsid w:val="00C72C01"/>
    <w:rsid w:val="00C731B7"/>
    <w:rsid w:val="00C73220"/>
    <w:rsid w:val="00C733B9"/>
    <w:rsid w:val="00C7357E"/>
    <w:rsid w:val="00C73B83"/>
    <w:rsid w:val="00C7592A"/>
    <w:rsid w:val="00C75B94"/>
    <w:rsid w:val="00C7619F"/>
    <w:rsid w:val="00C7624E"/>
    <w:rsid w:val="00C7653E"/>
    <w:rsid w:val="00C76B89"/>
    <w:rsid w:val="00C76F16"/>
    <w:rsid w:val="00C803C8"/>
    <w:rsid w:val="00C80CD7"/>
    <w:rsid w:val="00C812A9"/>
    <w:rsid w:val="00C8195D"/>
    <w:rsid w:val="00C82236"/>
    <w:rsid w:val="00C82448"/>
    <w:rsid w:val="00C83080"/>
    <w:rsid w:val="00C83386"/>
    <w:rsid w:val="00C83713"/>
    <w:rsid w:val="00C83ABF"/>
    <w:rsid w:val="00C83F53"/>
    <w:rsid w:val="00C842D5"/>
    <w:rsid w:val="00C850F7"/>
    <w:rsid w:val="00C8627E"/>
    <w:rsid w:val="00C865B5"/>
    <w:rsid w:val="00C86A86"/>
    <w:rsid w:val="00C87294"/>
    <w:rsid w:val="00C87CB0"/>
    <w:rsid w:val="00C87DC6"/>
    <w:rsid w:val="00C90181"/>
    <w:rsid w:val="00C90220"/>
    <w:rsid w:val="00C904B6"/>
    <w:rsid w:val="00C9051A"/>
    <w:rsid w:val="00C90528"/>
    <w:rsid w:val="00C90631"/>
    <w:rsid w:val="00C906A7"/>
    <w:rsid w:val="00C90EBB"/>
    <w:rsid w:val="00C921FB"/>
    <w:rsid w:val="00C92A9E"/>
    <w:rsid w:val="00C92E7F"/>
    <w:rsid w:val="00C93278"/>
    <w:rsid w:val="00C933B6"/>
    <w:rsid w:val="00C9348E"/>
    <w:rsid w:val="00C938DE"/>
    <w:rsid w:val="00C93AAF"/>
    <w:rsid w:val="00C93C01"/>
    <w:rsid w:val="00C93DA3"/>
    <w:rsid w:val="00C94B81"/>
    <w:rsid w:val="00C94C61"/>
    <w:rsid w:val="00C952FF"/>
    <w:rsid w:val="00C9546A"/>
    <w:rsid w:val="00C95D02"/>
    <w:rsid w:val="00C95FFA"/>
    <w:rsid w:val="00C965DC"/>
    <w:rsid w:val="00C96914"/>
    <w:rsid w:val="00C96AFE"/>
    <w:rsid w:val="00C97B2B"/>
    <w:rsid w:val="00CA0779"/>
    <w:rsid w:val="00CA0AA0"/>
    <w:rsid w:val="00CA0F42"/>
    <w:rsid w:val="00CA1C79"/>
    <w:rsid w:val="00CA44F2"/>
    <w:rsid w:val="00CA5207"/>
    <w:rsid w:val="00CA5BAC"/>
    <w:rsid w:val="00CA6A74"/>
    <w:rsid w:val="00CA702F"/>
    <w:rsid w:val="00CA7813"/>
    <w:rsid w:val="00CA788D"/>
    <w:rsid w:val="00CA7F23"/>
    <w:rsid w:val="00CB00D7"/>
    <w:rsid w:val="00CB01A8"/>
    <w:rsid w:val="00CB0231"/>
    <w:rsid w:val="00CB053F"/>
    <w:rsid w:val="00CB1EAC"/>
    <w:rsid w:val="00CB1EB0"/>
    <w:rsid w:val="00CB249A"/>
    <w:rsid w:val="00CB2501"/>
    <w:rsid w:val="00CB25F7"/>
    <w:rsid w:val="00CB27FD"/>
    <w:rsid w:val="00CB2A0F"/>
    <w:rsid w:val="00CB2CD4"/>
    <w:rsid w:val="00CB3EE4"/>
    <w:rsid w:val="00CB4773"/>
    <w:rsid w:val="00CB4BEB"/>
    <w:rsid w:val="00CB5047"/>
    <w:rsid w:val="00CB59DB"/>
    <w:rsid w:val="00CB61F3"/>
    <w:rsid w:val="00CB6E0B"/>
    <w:rsid w:val="00CC00A2"/>
    <w:rsid w:val="00CC0636"/>
    <w:rsid w:val="00CC06F9"/>
    <w:rsid w:val="00CC0BC5"/>
    <w:rsid w:val="00CC16D8"/>
    <w:rsid w:val="00CC1753"/>
    <w:rsid w:val="00CC24EC"/>
    <w:rsid w:val="00CC265E"/>
    <w:rsid w:val="00CC2BE4"/>
    <w:rsid w:val="00CC2D41"/>
    <w:rsid w:val="00CC33DF"/>
    <w:rsid w:val="00CC38B9"/>
    <w:rsid w:val="00CC3AC3"/>
    <w:rsid w:val="00CC3C1A"/>
    <w:rsid w:val="00CC3DFF"/>
    <w:rsid w:val="00CC417C"/>
    <w:rsid w:val="00CC4D3E"/>
    <w:rsid w:val="00CC50DD"/>
    <w:rsid w:val="00CC51CD"/>
    <w:rsid w:val="00CC558F"/>
    <w:rsid w:val="00CC6FB3"/>
    <w:rsid w:val="00CC7382"/>
    <w:rsid w:val="00CC7894"/>
    <w:rsid w:val="00CD078F"/>
    <w:rsid w:val="00CD0B0E"/>
    <w:rsid w:val="00CD1835"/>
    <w:rsid w:val="00CD1960"/>
    <w:rsid w:val="00CD1D4B"/>
    <w:rsid w:val="00CD1E36"/>
    <w:rsid w:val="00CD2319"/>
    <w:rsid w:val="00CD285D"/>
    <w:rsid w:val="00CD2B9A"/>
    <w:rsid w:val="00CD2BDB"/>
    <w:rsid w:val="00CD2BF2"/>
    <w:rsid w:val="00CD353C"/>
    <w:rsid w:val="00CD35C0"/>
    <w:rsid w:val="00CD3B64"/>
    <w:rsid w:val="00CD405B"/>
    <w:rsid w:val="00CD41C8"/>
    <w:rsid w:val="00CD4521"/>
    <w:rsid w:val="00CD485D"/>
    <w:rsid w:val="00CD486C"/>
    <w:rsid w:val="00CD5327"/>
    <w:rsid w:val="00CD5A4B"/>
    <w:rsid w:val="00CD5E93"/>
    <w:rsid w:val="00CD65EF"/>
    <w:rsid w:val="00CD6A89"/>
    <w:rsid w:val="00CD721C"/>
    <w:rsid w:val="00CD7766"/>
    <w:rsid w:val="00CD7B5A"/>
    <w:rsid w:val="00CD7FDD"/>
    <w:rsid w:val="00CE0E77"/>
    <w:rsid w:val="00CE0FE9"/>
    <w:rsid w:val="00CE1502"/>
    <w:rsid w:val="00CE170A"/>
    <w:rsid w:val="00CE1EAD"/>
    <w:rsid w:val="00CE200D"/>
    <w:rsid w:val="00CE2109"/>
    <w:rsid w:val="00CE21A0"/>
    <w:rsid w:val="00CE2436"/>
    <w:rsid w:val="00CE2AEC"/>
    <w:rsid w:val="00CE2D8B"/>
    <w:rsid w:val="00CE31AB"/>
    <w:rsid w:val="00CE3569"/>
    <w:rsid w:val="00CE3B6C"/>
    <w:rsid w:val="00CE4533"/>
    <w:rsid w:val="00CE4A68"/>
    <w:rsid w:val="00CE4C68"/>
    <w:rsid w:val="00CE4D12"/>
    <w:rsid w:val="00CE4DCA"/>
    <w:rsid w:val="00CE54C7"/>
    <w:rsid w:val="00CE5984"/>
    <w:rsid w:val="00CE5A11"/>
    <w:rsid w:val="00CE5A5A"/>
    <w:rsid w:val="00CE6A18"/>
    <w:rsid w:val="00CE6A7F"/>
    <w:rsid w:val="00CE6B1A"/>
    <w:rsid w:val="00CE6E5B"/>
    <w:rsid w:val="00CE705B"/>
    <w:rsid w:val="00CE7279"/>
    <w:rsid w:val="00CE779E"/>
    <w:rsid w:val="00CE791B"/>
    <w:rsid w:val="00CE7DFB"/>
    <w:rsid w:val="00CE7ED5"/>
    <w:rsid w:val="00CF0A2F"/>
    <w:rsid w:val="00CF0F4D"/>
    <w:rsid w:val="00CF1D92"/>
    <w:rsid w:val="00CF222F"/>
    <w:rsid w:val="00CF2B78"/>
    <w:rsid w:val="00CF2D05"/>
    <w:rsid w:val="00CF2DB8"/>
    <w:rsid w:val="00CF3150"/>
    <w:rsid w:val="00CF3333"/>
    <w:rsid w:val="00CF53E1"/>
    <w:rsid w:val="00CF555C"/>
    <w:rsid w:val="00CF56DC"/>
    <w:rsid w:val="00CF5BF8"/>
    <w:rsid w:val="00CF6675"/>
    <w:rsid w:val="00CF6F12"/>
    <w:rsid w:val="00CF792E"/>
    <w:rsid w:val="00CF7993"/>
    <w:rsid w:val="00CF7BAD"/>
    <w:rsid w:val="00CF7D7E"/>
    <w:rsid w:val="00D01349"/>
    <w:rsid w:val="00D01807"/>
    <w:rsid w:val="00D020FB"/>
    <w:rsid w:val="00D0270F"/>
    <w:rsid w:val="00D038AD"/>
    <w:rsid w:val="00D0417A"/>
    <w:rsid w:val="00D049E2"/>
    <w:rsid w:val="00D04C66"/>
    <w:rsid w:val="00D052FC"/>
    <w:rsid w:val="00D05A0C"/>
    <w:rsid w:val="00D06112"/>
    <w:rsid w:val="00D06582"/>
    <w:rsid w:val="00D06B9C"/>
    <w:rsid w:val="00D06DFD"/>
    <w:rsid w:val="00D075D0"/>
    <w:rsid w:val="00D0774D"/>
    <w:rsid w:val="00D07C83"/>
    <w:rsid w:val="00D10101"/>
    <w:rsid w:val="00D1084D"/>
    <w:rsid w:val="00D1091F"/>
    <w:rsid w:val="00D10DD9"/>
    <w:rsid w:val="00D11B53"/>
    <w:rsid w:val="00D11CA1"/>
    <w:rsid w:val="00D1222C"/>
    <w:rsid w:val="00D12587"/>
    <w:rsid w:val="00D12A7F"/>
    <w:rsid w:val="00D12BBD"/>
    <w:rsid w:val="00D12C3D"/>
    <w:rsid w:val="00D13108"/>
    <w:rsid w:val="00D136CD"/>
    <w:rsid w:val="00D139FC"/>
    <w:rsid w:val="00D13A27"/>
    <w:rsid w:val="00D1404C"/>
    <w:rsid w:val="00D14567"/>
    <w:rsid w:val="00D14F3C"/>
    <w:rsid w:val="00D1522A"/>
    <w:rsid w:val="00D15D9A"/>
    <w:rsid w:val="00D16008"/>
    <w:rsid w:val="00D16469"/>
    <w:rsid w:val="00D17936"/>
    <w:rsid w:val="00D17D3E"/>
    <w:rsid w:val="00D17ED5"/>
    <w:rsid w:val="00D22F70"/>
    <w:rsid w:val="00D22FE5"/>
    <w:rsid w:val="00D2315C"/>
    <w:rsid w:val="00D234FE"/>
    <w:rsid w:val="00D23A1A"/>
    <w:rsid w:val="00D23A28"/>
    <w:rsid w:val="00D23B17"/>
    <w:rsid w:val="00D25A5B"/>
    <w:rsid w:val="00D26F96"/>
    <w:rsid w:val="00D2788B"/>
    <w:rsid w:val="00D30E17"/>
    <w:rsid w:val="00D31210"/>
    <w:rsid w:val="00D31979"/>
    <w:rsid w:val="00D3208E"/>
    <w:rsid w:val="00D321D3"/>
    <w:rsid w:val="00D3299F"/>
    <w:rsid w:val="00D330FC"/>
    <w:rsid w:val="00D33108"/>
    <w:rsid w:val="00D34AB3"/>
    <w:rsid w:val="00D34E45"/>
    <w:rsid w:val="00D35334"/>
    <w:rsid w:val="00D35ED3"/>
    <w:rsid w:val="00D364EC"/>
    <w:rsid w:val="00D36781"/>
    <w:rsid w:val="00D40C58"/>
    <w:rsid w:val="00D420E0"/>
    <w:rsid w:val="00D42681"/>
    <w:rsid w:val="00D438E2"/>
    <w:rsid w:val="00D43C02"/>
    <w:rsid w:val="00D44405"/>
    <w:rsid w:val="00D4443D"/>
    <w:rsid w:val="00D446B4"/>
    <w:rsid w:val="00D44815"/>
    <w:rsid w:val="00D4493C"/>
    <w:rsid w:val="00D45045"/>
    <w:rsid w:val="00D456A9"/>
    <w:rsid w:val="00D4617C"/>
    <w:rsid w:val="00D466C4"/>
    <w:rsid w:val="00D4745D"/>
    <w:rsid w:val="00D503AF"/>
    <w:rsid w:val="00D5133D"/>
    <w:rsid w:val="00D513CA"/>
    <w:rsid w:val="00D5145E"/>
    <w:rsid w:val="00D51705"/>
    <w:rsid w:val="00D521FF"/>
    <w:rsid w:val="00D52AA7"/>
    <w:rsid w:val="00D5444C"/>
    <w:rsid w:val="00D54AAD"/>
    <w:rsid w:val="00D54E96"/>
    <w:rsid w:val="00D55016"/>
    <w:rsid w:val="00D55DC6"/>
    <w:rsid w:val="00D56C73"/>
    <w:rsid w:val="00D57191"/>
    <w:rsid w:val="00D6059C"/>
    <w:rsid w:val="00D60FA4"/>
    <w:rsid w:val="00D61075"/>
    <w:rsid w:val="00D61168"/>
    <w:rsid w:val="00D6157E"/>
    <w:rsid w:val="00D6174C"/>
    <w:rsid w:val="00D62329"/>
    <w:rsid w:val="00D63AB6"/>
    <w:rsid w:val="00D63E29"/>
    <w:rsid w:val="00D64797"/>
    <w:rsid w:val="00D649C1"/>
    <w:rsid w:val="00D64C82"/>
    <w:rsid w:val="00D64D6F"/>
    <w:rsid w:val="00D6528F"/>
    <w:rsid w:val="00D652B1"/>
    <w:rsid w:val="00D654EB"/>
    <w:rsid w:val="00D65923"/>
    <w:rsid w:val="00D65B68"/>
    <w:rsid w:val="00D6783F"/>
    <w:rsid w:val="00D70542"/>
    <w:rsid w:val="00D707A6"/>
    <w:rsid w:val="00D71523"/>
    <w:rsid w:val="00D72189"/>
    <w:rsid w:val="00D72C37"/>
    <w:rsid w:val="00D72F1F"/>
    <w:rsid w:val="00D73914"/>
    <w:rsid w:val="00D74EB9"/>
    <w:rsid w:val="00D753F2"/>
    <w:rsid w:val="00D75507"/>
    <w:rsid w:val="00D7556B"/>
    <w:rsid w:val="00D755A5"/>
    <w:rsid w:val="00D75B4C"/>
    <w:rsid w:val="00D769CF"/>
    <w:rsid w:val="00D76ADC"/>
    <w:rsid w:val="00D77070"/>
    <w:rsid w:val="00D77717"/>
    <w:rsid w:val="00D77AE7"/>
    <w:rsid w:val="00D77DB3"/>
    <w:rsid w:val="00D801C5"/>
    <w:rsid w:val="00D801CD"/>
    <w:rsid w:val="00D80566"/>
    <w:rsid w:val="00D81118"/>
    <w:rsid w:val="00D817D7"/>
    <w:rsid w:val="00D81A9C"/>
    <w:rsid w:val="00D81E68"/>
    <w:rsid w:val="00D821FC"/>
    <w:rsid w:val="00D82CC7"/>
    <w:rsid w:val="00D833B8"/>
    <w:rsid w:val="00D83486"/>
    <w:rsid w:val="00D83981"/>
    <w:rsid w:val="00D83D5F"/>
    <w:rsid w:val="00D8424C"/>
    <w:rsid w:val="00D850C7"/>
    <w:rsid w:val="00D85BFB"/>
    <w:rsid w:val="00D85DCE"/>
    <w:rsid w:val="00D8673F"/>
    <w:rsid w:val="00D8698E"/>
    <w:rsid w:val="00D87217"/>
    <w:rsid w:val="00D8740A"/>
    <w:rsid w:val="00D879D6"/>
    <w:rsid w:val="00D87B13"/>
    <w:rsid w:val="00D87C02"/>
    <w:rsid w:val="00D91836"/>
    <w:rsid w:val="00D91A85"/>
    <w:rsid w:val="00D91CCD"/>
    <w:rsid w:val="00D921FB"/>
    <w:rsid w:val="00D9291A"/>
    <w:rsid w:val="00D92CDB"/>
    <w:rsid w:val="00D9351D"/>
    <w:rsid w:val="00D937FA"/>
    <w:rsid w:val="00D93C37"/>
    <w:rsid w:val="00D93FE3"/>
    <w:rsid w:val="00D9447B"/>
    <w:rsid w:val="00D946C7"/>
    <w:rsid w:val="00D94DF4"/>
    <w:rsid w:val="00D95016"/>
    <w:rsid w:val="00D95063"/>
    <w:rsid w:val="00D95AEA"/>
    <w:rsid w:val="00D95F16"/>
    <w:rsid w:val="00D96C67"/>
    <w:rsid w:val="00D97D4B"/>
    <w:rsid w:val="00DA0EA7"/>
    <w:rsid w:val="00DA1ED9"/>
    <w:rsid w:val="00DA1FA5"/>
    <w:rsid w:val="00DA2849"/>
    <w:rsid w:val="00DA2D4D"/>
    <w:rsid w:val="00DA3AFC"/>
    <w:rsid w:val="00DA4139"/>
    <w:rsid w:val="00DA4A44"/>
    <w:rsid w:val="00DA4AD4"/>
    <w:rsid w:val="00DA4D0B"/>
    <w:rsid w:val="00DA5236"/>
    <w:rsid w:val="00DA5838"/>
    <w:rsid w:val="00DA63BF"/>
    <w:rsid w:val="00DA697C"/>
    <w:rsid w:val="00DA71A7"/>
    <w:rsid w:val="00DA7F91"/>
    <w:rsid w:val="00DA7FE9"/>
    <w:rsid w:val="00DB01A7"/>
    <w:rsid w:val="00DB059A"/>
    <w:rsid w:val="00DB1538"/>
    <w:rsid w:val="00DB1726"/>
    <w:rsid w:val="00DB186D"/>
    <w:rsid w:val="00DB191F"/>
    <w:rsid w:val="00DB193D"/>
    <w:rsid w:val="00DB1BF6"/>
    <w:rsid w:val="00DB21E2"/>
    <w:rsid w:val="00DB21EF"/>
    <w:rsid w:val="00DB2803"/>
    <w:rsid w:val="00DB495A"/>
    <w:rsid w:val="00DB59E7"/>
    <w:rsid w:val="00DB5EF7"/>
    <w:rsid w:val="00DB63B2"/>
    <w:rsid w:val="00DB7381"/>
    <w:rsid w:val="00DB79C5"/>
    <w:rsid w:val="00DC06A6"/>
    <w:rsid w:val="00DC09FC"/>
    <w:rsid w:val="00DC10E7"/>
    <w:rsid w:val="00DC1BE0"/>
    <w:rsid w:val="00DC1DDE"/>
    <w:rsid w:val="00DC1ED4"/>
    <w:rsid w:val="00DC25A4"/>
    <w:rsid w:val="00DC291C"/>
    <w:rsid w:val="00DC33CC"/>
    <w:rsid w:val="00DC3E86"/>
    <w:rsid w:val="00DC47A1"/>
    <w:rsid w:val="00DC49CE"/>
    <w:rsid w:val="00DC51BB"/>
    <w:rsid w:val="00DC51C2"/>
    <w:rsid w:val="00DC5A88"/>
    <w:rsid w:val="00DC5C69"/>
    <w:rsid w:val="00DC5C80"/>
    <w:rsid w:val="00DC5CB4"/>
    <w:rsid w:val="00DC5D8B"/>
    <w:rsid w:val="00DC5D93"/>
    <w:rsid w:val="00DC5EA8"/>
    <w:rsid w:val="00DC644A"/>
    <w:rsid w:val="00DC65F6"/>
    <w:rsid w:val="00DC68A6"/>
    <w:rsid w:val="00DC691A"/>
    <w:rsid w:val="00DC6977"/>
    <w:rsid w:val="00DC69C2"/>
    <w:rsid w:val="00DC6AC7"/>
    <w:rsid w:val="00DC71DC"/>
    <w:rsid w:val="00DC7265"/>
    <w:rsid w:val="00DD06DF"/>
    <w:rsid w:val="00DD0AEA"/>
    <w:rsid w:val="00DD0DFB"/>
    <w:rsid w:val="00DD1374"/>
    <w:rsid w:val="00DD1911"/>
    <w:rsid w:val="00DD33F9"/>
    <w:rsid w:val="00DD34BE"/>
    <w:rsid w:val="00DD3693"/>
    <w:rsid w:val="00DD4397"/>
    <w:rsid w:val="00DD4C14"/>
    <w:rsid w:val="00DD5409"/>
    <w:rsid w:val="00DD5E9E"/>
    <w:rsid w:val="00DD699F"/>
    <w:rsid w:val="00DD6E23"/>
    <w:rsid w:val="00DD74E2"/>
    <w:rsid w:val="00DD7B5C"/>
    <w:rsid w:val="00DD7CAF"/>
    <w:rsid w:val="00DE0FC1"/>
    <w:rsid w:val="00DE14AC"/>
    <w:rsid w:val="00DE18F5"/>
    <w:rsid w:val="00DE27F4"/>
    <w:rsid w:val="00DE2BC0"/>
    <w:rsid w:val="00DE343F"/>
    <w:rsid w:val="00DE378C"/>
    <w:rsid w:val="00DE3847"/>
    <w:rsid w:val="00DE3C91"/>
    <w:rsid w:val="00DE3DD4"/>
    <w:rsid w:val="00DE4A70"/>
    <w:rsid w:val="00DE4B7E"/>
    <w:rsid w:val="00DE52B5"/>
    <w:rsid w:val="00DE6182"/>
    <w:rsid w:val="00DE6B59"/>
    <w:rsid w:val="00DE76A5"/>
    <w:rsid w:val="00DF1B7A"/>
    <w:rsid w:val="00DF1D1B"/>
    <w:rsid w:val="00DF1E7D"/>
    <w:rsid w:val="00DF2155"/>
    <w:rsid w:val="00DF3811"/>
    <w:rsid w:val="00DF38AA"/>
    <w:rsid w:val="00DF3A02"/>
    <w:rsid w:val="00DF3B9C"/>
    <w:rsid w:val="00DF3DE6"/>
    <w:rsid w:val="00DF42E2"/>
    <w:rsid w:val="00DF4B65"/>
    <w:rsid w:val="00DF5FF9"/>
    <w:rsid w:val="00DF66B2"/>
    <w:rsid w:val="00DF6955"/>
    <w:rsid w:val="00DF6D55"/>
    <w:rsid w:val="00DF6EF5"/>
    <w:rsid w:val="00DF7DBC"/>
    <w:rsid w:val="00E001E5"/>
    <w:rsid w:val="00E00474"/>
    <w:rsid w:val="00E0056D"/>
    <w:rsid w:val="00E0137F"/>
    <w:rsid w:val="00E0140C"/>
    <w:rsid w:val="00E01539"/>
    <w:rsid w:val="00E01C37"/>
    <w:rsid w:val="00E0276F"/>
    <w:rsid w:val="00E039D1"/>
    <w:rsid w:val="00E03B17"/>
    <w:rsid w:val="00E0418B"/>
    <w:rsid w:val="00E058E2"/>
    <w:rsid w:val="00E05D15"/>
    <w:rsid w:val="00E05F26"/>
    <w:rsid w:val="00E066F5"/>
    <w:rsid w:val="00E06E0A"/>
    <w:rsid w:val="00E07573"/>
    <w:rsid w:val="00E107D0"/>
    <w:rsid w:val="00E118A3"/>
    <w:rsid w:val="00E11ACA"/>
    <w:rsid w:val="00E122A7"/>
    <w:rsid w:val="00E14D50"/>
    <w:rsid w:val="00E1517F"/>
    <w:rsid w:val="00E15751"/>
    <w:rsid w:val="00E16867"/>
    <w:rsid w:val="00E17412"/>
    <w:rsid w:val="00E17B62"/>
    <w:rsid w:val="00E20D04"/>
    <w:rsid w:val="00E218D7"/>
    <w:rsid w:val="00E21D3D"/>
    <w:rsid w:val="00E21D8B"/>
    <w:rsid w:val="00E226FB"/>
    <w:rsid w:val="00E2302E"/>
    <w:rsid w:val="00E23DBA"/>
    <w:rsid w:val="00E23DC0"/>
    <w:rsid w:val="00E2428D"/>
    <w:rsid w:val="00E2460A"/>
    <w:rsid w:val="00E24F9E"/>
    <w:rsid w:val="00E25793"/>
    <w:rsid w:val="00E257C3"/>
    <w:rsid w:val="00E25A16"/>
    <w:rsid w:val="00E2664F"/>
    <w:rsid w:val="00E26659"/>
    <w:rsid w:val="00E26A71"/>
    <w:rsid w:val="00E27F2A"/>
    <w:rsid w:val="00E27FEC"/>
    <w:rsid w:val="00E30398"/>
    <w:rsid w:val="00E30A69"/>
    <w:rsid w:val="00E31024"/>
    <w:rsid w:val="00E31B31"/>
    <w:rsid w:val="00E338AD"/>
    <w:rsid w:val="00E3516B"/>
    <w:rsid w:val="00E351DB"/>
    <w:rsid w:val="00E35788"/>
    <w:rsid w:val="00E36A63"/>
    <w:rsid w:val="00E36D78"/>
    <w:rsid w:val="00E36F62"/>
    <w:rsid w:val="00E40144"/>
    <w:rsid w:val="00E40187"/>
    <w:rsid w:val="00E40320"/>
    <w:rsid w:val="00E40497"/>
    <w:rsid w:val="00E41560"/>
    <w:rsid w:val="00E41799"/>
    <w:rsid w:val="00E41C60"/>
    <w:rsid w:val="00E41C92"/>
    <w:rsid w:val="00E42996"/>
    <w:rsid w:val="00E4325F"/>
    <w:rsid w:val="00E436D6"/>
    <w:rsid w:val="00E436F9"/>
    <w:rsid w:val="00E439D9"/>
    <w:rsid w:val="00E43B3F"/>
    <w:rsid w:val="00E444E2"/>
    <w:rsid w:val="00E44783"/>
    <w:rsid w:val="00E44B53"/>
    <w:rsid w:val="00E44EF4"/>
    <w:rsid w:val="00E46405"/>
    <w:rsid w:val="00E4667F"/>
    <w:rsid w:val="00E4676F"/>
    <w:rsid w:val="00E46BC6"/>
    <w:rsid w:val="00E47ABF"/>
    <w:rsid w:val="00E5022E"/>
    <w:rsid w:val="00E505AB"/>
    <w:rsid w:val="00E509D2"/>
    <w:rsid w:val="00E50CF8"/>
    <w:rsid w:val="00E5105E"/>
    <w:rsid w:val="00E51158"/>
    <w:rsid w:val="00E51C0B"/>
    <w:rsid w:val="00E52588"/>
    <w:rsid w:val="00E529D3"/>
    <w:rsid w:val="00E52CEF"/>
    <w:rsid w:val="00E53635"/>
    <w:rsid w:val="00E5366B"/>
    <w:rsid w:val="00E53C12"/>
    <w:rsid w:val="00E5496B"/>
    <w:rsid w:val="00E5528E"/>
    <w:rsid w:val="00E55AE0"/>
    <w:rsid w:val="00E55DF3"/>
    <w:rsid w:val="00E5636A"/>
    <w:rsid w:val="00E563FB"/>
    <w:rsid w:val="00E5688B"/>
    <w:rsid w:val="00E56C9B"/>
    <w:rsid w:val="00E56CB2"/>
    <w:rsid w:val="00E56FA1"/>
    <w:rsid w:val="00E57BA1"/>
    <w:rsid w:val="00E57C76"/>
    <w:rsid w:val="00E57E63"/>
    <w:rsid w:val="00E613D2"/>
    <w:rsid w:val="00E619A3"/>
    <w:rsid w:val="00E61FE9"/>
    <w:rsid w:val="00E62338"/>
    <w:rsid w:val="00E623D5"/>
    <w:rsid w:val="00E62839"/>
    <w:rsid w:val="00E62CE8"/>
    <w:rsid w:val="00E64A87"/>
    <w:rsid w:val="00E65BB2"/>
    <w:rsid w:val="00E66260"/>
    <w:rsid w:val="00E665FA"/>
    <w:rsid w:val="00E671D1"/>
    <w:rsid w:val="00E67402"/>
    <w:rsid w:val="00E67B2E"/>
    <w:rsid w:val="00E71956"/>
    <w:rsid w:val="00E71C9A"/>
    <w:rsid w:val="00E71C9B"/>
    <w:rsid w:val="00E71DB5"/>
    <w:rsid w:val="00E720C1"/>
    <w:rsid w:val="00E72353"/>
    <w:rsid w:val="00E72440"/>
    <w:rsid w:val="00E725C2"/>
    <w:rsid w:val="00E7273C"/>
    <w:rsid w:val="00E73124"/>
    <w:rsid w:val="00E7328A"/>
    <w:rsid w:val="00E7345E"/>
    <w:rsid w:val="00E73532"/>
    <w:rsid w:val="00E7357B"/>
    <w:rsid w:val="00E7392C"/>
    <w:rsid w:val="00E73CC2"/>
    <w:rsid w:val="00E73CFA"/>
    <w:rsid w:val="00E73E36"/>
    <w:rsid w:val="00E74456"/>
    <w:rsid w:val="00E74E8E"/>
    <w:rsid w:val="00E74EBB"/>
    <w:rsid w:val="00E7501A"/>
    <w:rsid w:val="00E7524C"/>
    <w:rsid w:val="00E7541C"/>
    <w:rsid w:val="00E754D6"/>
    <w:rsid w:val="00E765A6"/>
    <w:rsid w:val="00E76950"/>
    <w:rsid w:val="00E76991"/>
    <w:rsid w:val="00E80EDC"/>
    <w:rsid w:val="00E81DAD"/>
    <w:rsid w:val="00E8284D"/>
    <w:rsid w:val="00E8464E"/>
    <w:rsid w:val="00E84A41"/>
    <w:rsid w:val="00E84E9D"/>
    <w:rsid w:val="00E84F90"/>
    <w:rsid w:val="00E85935"/>
    <w:rsid w:val="00E8680A"/>
    <w:rsid w:val="00E86B98"/>
    <w:rsid w:val="00E86EC2"/>
    <w:rsid w:val="00E878C8"/>
    <w:rsid w:val="00E87958"/>
    <w:rsid w:val="00E87AA0"/>
    <w:rsid w:val="00E91248"/>
    <w:rsid w:val="00E921CE"/>
    <w:rsid w:val="00E92233"/>
    <w:rsid w:val="00E92C37"/>
    <w:rsid w:val="00E93FE3"/>
    <w:rsid w:val="00E95B09"/>
    <w:rsid w:val="00E95ECB"/>
    <w:rsid w:val="00E96601"/>
    <w:rsid w:val="00E967DE"/>
    <w:rsid w:val="00E969E8"/>
    <w:rsid w:val="00E96E23"/>
    <w:rsid w:val="00EA0092"/>
    <w:rsid w:val="00EA03A0"/>
    <w:rsid w:val="00EA0DA3"/>
    <w:rsid w:val="00EA15B2"/>
    <w:rsid w:val="00EA18A9"/>
    <w:rsid w:val="00EA1A8D"/>
    <w:rsid w:val="00EA2478"/>
    <w:rsid w:val="00EA2923"/>
    <w:rsid w:val="00EA32A8"/>
    <w:rsid w:val="00EA3485"/>
    <w:rsid w:val="00EA3821"/>
    <w:rsid w:val="00EA3EAB"/>
    <w:rsid w:val="00EA3F2B"/>
    <w:rsid w:val="00EA40C8"/>
    <w:rsid w:val="00EA4227"/>
    <w:rsid w:val="00EA4447"/>
    <w:rsid w:val="00EA4866"/>
    <w:rsid w:val="00EA494F"/>
    <w:rsid w:val="00EA4FCF"/>
    <w:rsid w:val="00EA64B1"/>
    <w:rsid w:val="00EA66CC"/>
    <w:rsid w:val="00EA6AF5"/>
    <w:rsid w:val="00EA74D2"/>
    <w:rsid w:val="00EA76B8"/>
    <w:rsid w:val="00EA790F"/>
    <w:rsid w:val="00EB0B03"/>
    <w:rsid w:val="00EB0DF9"/>
    <w:rsid w:val="00EB1CB1"/>
    <w:rsid w:val="00EB28F7"/>
    <w:rsid w:val="00EB2C54"/>
    <w:rsid w:val="00EB2D33"/>
    <w:rsid w:val="00EB32D5"/>
    <w:rsid w:val="00EB3A86"/>
    <w:rsid w:val="00EB4418"/>
    <w:rsid w:val="00EB47D3"/>
    <w:rsid w:val="00EB4E55"/>
    <w:rsid w:val="00EB59BB"/>
    <w:rsid w:val="00EB5A63"/>
    <w:rsid w:val="00EB5BA2"/>
    <w:rsid w:val="00EB5BC2"/>
    <w:rsid w:val="00EB5FCE"/>
    <w:rsid w:val="00EB6533"/>
    <w:rsid w:val="00EB6BD0"/>
    <w:rsid w:val="00EB6C5A"/>
    <w:rsid w:val="00EB6C7E"/>
    <w:rsid w:val="00EB71DB"/>
    <w:rsid w:val="00EB7305"/>
    <w:rsid w:val="00EB78C5"/>
    <w:rsid w:val="00EC00AC"/>
    <w:rsid w:val="00EC0757"/>
    <w:rsid w:val="00EC07F4"/>
    <w:rsid w:val="00EC0865"/>
    <w:rsid w:val="00EC0D75"/>
    <w:rsid w:val="00EC0F05"/>
    <w:rsid w:val="00EC0F0E"/>
    <w:rsid w:val="00EC1077"/>
    <w:rsid w:val="00EC182B"/>
    <w:rsid w:val="00EC19B2"/>
    <w:rsid w:val="00EC24C6"/>
    <w:rsid w:val="00EC299F"/>
    <w:rsid w:val="00EC2C79"/>
    <w:rsid w:val="00EC2F61"/>
    <w:rsid w:val="00EC31E5"/>
    <w:rsid w:val="00EC3586"/>
    <w:rsid w:val="00EC3595"/>
    <w:rsid w:val="00EC392D"/>
    <w:rsid w:val="00EC422A"/>
    <w:rsid w:val="00EC50CF"/>
    <w:rsid w:val="00EC54D3"/>
    <w:rsid w:val="00EC5CB6"/>
    <w:rsid w:val="00EC601C"/>
    <w:rsid w:val="00EC6054"/>
    <w:rsid w:val="00EC6930"/>
    <w:rsid w:val="00EC6F30"/>
    <w:rsid w:val="00EC7199"/>
    <w:rsid w:val="00EC7A2F"/>
    <w:rsid w:val="00ED07BF"/>
    <w:rsid w:val="00ED1026"/>
    <w:rsid w:val="00ED1A86"/>
    <w:rsid w:val="00ED24A5"/>
    <w:rsid w:val="00ED2542"/>
    <w:rsid w:val="00ED273C"/>
    <w:rsid w:val="00ED28BC"/>
    <w:rsid w:val="00ED2A60"/>
    <w:rsid w:val="00ED2F5A"/>
    <w:rsid w:val="00ED340A"/>
    <w:rsid w:val="00ED37C0"/>
    <w:rsid w:val="00ED3905"/>
    <w:rsid w:val="00ED3D20"/>
    <w:rsid w:val="00ED4AAB"/>
    <w:rsid w:val="00ED4B1C"/>
    <w:rsid w:val="00ED4E8E"/>
    <w:rsid w:val="00ED5044"/>
    <w:rsid w:val="00ED506F"/>
    <w:rsid w:val="00ED6A9C"/>
    <w:rsid w:val="00ED6CEB"/>
    <w:rsid w:val="00ED750A"/>
    <w:rsid w:val="00ED7DAF"/>
    <w:rsid w:val="00EE0675"/>
    <w:rsid w:val="00EE0BC7"/>
    <w:rsid w:val="00EE0C6E"/>
    <w:rsid w:val="00EE0D4A"/>
    <w:rsid w:val="00EE1232"/>
    <w:rsid w:val="00EE1714"/>
    <w:rsid w:val="00EE190A"/>
    <w:rsid w:val="00EE3866"/>
    <w:rsid w:val="00EE3C80"/>
    <w:rsid w:val="00EE41BA"/>
    <w:rsid w:val="00EE4901"/>
    <w:rsid w:val="00EE5284"/>
    <w:rsid w:val="00EE576A"/>
    <w:rsid w:val="00EE6064"/>
    <w:rsid w:val="00EE6AB2"/>
    <w:rsid w:val="00EE6C5B"/>
    <w:rsid w:val="00EE72B5"/>
    <w:rsid w:val="00EE72B6"/>
    <w:rsid w:val="00EE7AB7"/>
    <w:rsid w:val="00EE7EFA"/>
    <w:rsid w:val="00EE7F92"/>
    <w:rsid w:val="00EF03F5"/>
    <w:rsid w:val="00EF0FD1"/>
    <w:rsid w:val="00EF2452"/>
    <w:rsid w:val="00EF2CAE"/>
    <w:rsid w:val="00EF34B9"/>
    <w:rsid w:val="00EF365F"/>
    <w:rsid w:val="00EF36A7"/>
    <w:rsid w:val="00EF3AF6"/>
    <w:rsid w:val="00EF427E"/>
    <w:rsid w:val="00EF48EA"/>
    <w:rsid w:val="00EF587B"/>
    <w:rsid w:val="00EF6094"/>
    <w:rsid w:val="00EF67A9"/>
    <w:rsid w:val="00EF6EAC"/>
    <w:rsid w:val="00EF6FA2"/>
    <w:rsid w:val="00EF7363"/>
    <w:rsid w:val="00EF7687"/>
    <w:rsid w:val="00F00263"/>
    <w:rsid w:val="00F00E78"/>
    <w:rsid w:val="00F01146"/>
    <w:rsid w:val="00F01250"/>
    <w:rsid w:val="00F01FB3"/>
    <w:rsid w:val="00F0238F"/>
    <w:rsid w:val="00F027E4"/>
    <w:rsid w:val="00F03B63"/>
    <w:rsid w:val="00F03D79"/>
    <w:rsid w:val="00F0419A"/>
    <w:rsid w:val="00F043DA"/>
    <w:rsid w:val="00F0460D"/>
    <w:rsid w:val="00F04F3A"/>
    <w:rsid w:val="00F058BF"/>
    <w:rsid w:val="00F05FA6"/>
    <w:rsid w:val="00F065CC"/>
    <w:rsid w:val="00F06674"/>
    <w:rsid w:val="00F06769"/>
    <w:rsid w:val="00F07A8B"/>
    <w:rsid w:val="00F07C15"/>
    <w:rsid w:val="00F10CFA"/>
    <w:rsid w:val="00F10EA2"/>
    <w:rsid w:val="00F111DF"/>
    <w:rsid w:val="00F11231"/>
    <w:rsid w:val="00F11772"/>
    <w:rsid w:val="00F11CBF"/>
    <w:rsid w:val="00F11F59"/>
    <w:rsid w:val="00F1207F"/>
    <w:rsid w:val="00F1262E"/>
    <w:rsid w:val="00F12AE3"/>
    <w:rsid w:val="00F136BB"/>
    <w:rsid w:val="00F142B2"/>
    <w:rsid w:val="00F15148"/>
    <w:rsid w:val="00F15905"/>
    <w:rsid w:val="00F15BB0"/>
    <w:rsid w:val="00F173FF"/>
    <w:rsid w:val="00F20232"/>
    <w:rsid w:val="00F21E9D"/>
    <w:rsid w:val="00F22812"/>
    <w:rsid w:val="00F229A2"/>
    <w:rsid w:val="00F23886"/>
    <w:rsid w:val="00F23DC8"/>
    <w:rsid w:val="00F24728"/>
    <w:rsid w:val="00F2570D"/>
    <w:rsid w:val="00F2575A"/>
    <w:rsid w:val="00F25829"/>
    <w:rsid w:val="00F25C5A"/>
    <w:rsid w:val="00F26184"/>
    <w:rsid w:val="00F26502"/>
    <w:rsid w:val="00F276EA"/>
    <w:rsid w:val="00F27C61"/>
    <w:rsid w:val="00F305DC"/>
    <w:rsid w:val="00F309E8"/>
    <w:rsid w:val="00F30D38"/>
    <w:rsid w:val="00F31362"/>
    <w:rsid w:val="00F3136D"/>
    <w:rsid w:val="00F315CD"/>
    <w:rsid w:val="00F31BF6"/>
    <w:rsid w:val="00F31EFB"/>
    <w:rsid w:val="00F33613"/>
    <w:rsid w:val="00F3379E"/>
    <w:rsid w:val="00F34767"/>
    <w:rsid w:val="00F34AF9"/>
    <w:rsid w:val="00F35928"/>
    <w:rsid w:val="00F36AC3"/>
    <w:rsid w:val="00F36C7A"/>
    <w:rsid w:val="00F36D8C"/>
    <w:rsid w:val="00F4002A"/>
    <w:rsid w:val="00F400CE"/>
    <w:rsid w:val="00F404D2"/>
    <w:rsid w:val="00F40E52"/>
    <w:rsid w:val="00F41004"/>
    <w:rsid w:val="00F41444"/>
    <w:rsid w:val="00F4157F"/>
    <w:rsid w:val="00F4179C"/>
    <w:rsid w:val="00F418E9"/>
    <w:rsid w:val="00F419A4"/>
    <w:rsid w:val="00F428CA"/>
    <w:rsid w:val="00F433DB"/>
    <w:rsid w:val="00F437EA"/>
    <w:rsid w:val="00F438A8"/>
    <w:rsid w:val="00F438C5"/>
    <w:rsid w:val="00F43FAE"/>
    <w:rsid w:val="00F43FC6"/>
    <w:rsid w:val="00F441D2"/>
    <w:rsid w:val="00F44FC6"/>
    <w:rsid w:val="00F45C7D"/>
    <w:rsid w:val="00F462A8"/>
    <w:rsid w:val="00F47165"/>
    <w:rsid w:val="00F47807"/>
    <w:rsid w:val="00F47C6F"/>
    <w:rsid w:val="00F47D2A"/>
    <w:rsid w:val="00F50376"/>
    <w:rsid w:val="00F50699"/>
    <w:rsid w:val="00F51F0D"/>
    <w:rsid w:val="00F52006"/>
    <w:rsid w:val="00F520BA"/>
    <w:rsid w:val="00F530D0"/>
    <w:rsid w:val="00F5395F"/>
    <w:rsid w:val="00F53C63"/>
    <w:rsid w:val="00F54BB5"/>
    <w:rsid w:val="00F54DB6"/>
    <w:rsid w:val="00F555F5"/>
    <w:rsid w:val="00F55984"/>
    <w:rsid w:val="00F56642"/>
    <w:rsid w:val="00F57278"/>
    <w:rsid w:val="00F572BF"/>
    <w:rsid w:val="00F5786B"/>
    <w:rsid w:val="00F602A3"/>
    <w:rsid w:val="00F60796"/>
    <w:rsid w:val="00F608FC"/>
    <w:rsid w:val="00F60D84"/>
    <w:rsid w:val="00F61079"/>
    <w:rsid w:val="00F62EEF"/>
    <w:rsid w:val="00F63E55"/>
    <w:rsid w:val="00F648A4"/>
    <w:rsid w:val="00F64CB7"/>
    <w:rsid w:val="00F65023"/>
    <w:rsid w:val="00F65571"/>
    <w:rsid w:val="00F674ED"/>
    <w:rsid w:val="00F67C11"/>
    <w:rsid w:val="00F67DD9"/>
    <w:rsid w:val="00F70A07"/>
    <w:rsid w:val="00F71CD9"/>
    <w:rsid w:val="00F724AD"/>
    <w:rsid w:val="00F728AB"/>
    <w:rsid w:val="00F729D1"/>
    <w:rsid w:val="00F73592"/>
    <w:rsid w:val="00F73BF7"/>
    <w:rsid w:val="00F74028"/>
    <w:rsid w:val="00F743FA"/>
    <w:rsid w:val="00F74533"/>
    <w:rsid w:val="00F749D6"/>
    <w:rsid w:val="00F75071"/>
    <w:rsid w:val="00F75481"/>
    <w:rsid w:val="00F75ECF"/>
    <w:rsid w:val="00F7614A"/>
    <w:rsid w:val="00F76AD7"/>
    <w:rsid w:val="00F76CBE"/>
    <w:rsid w:val="00F76D00"/>
    <w:rsid w:val="00F778BD"/>
    <w:rsid w:val="00F779DA"/>
    <w:rsid w:val="00F77E51"/>
    <w:rsid w:val="00F8017C"/>
    <w:rsid w:val="00F801E7"/>
    <w:rsid w:val="00F80848"/>
    <w:rsid w:val="00F8116F"/>
    <w:rsid w:val="00F8129A"/>
    <w:rsid w:val="00F81BA9"/>
    <w:rsid w:val="00F82AAF"/>
    <w:rsid w:val="00F8303B"/>
    <w:rsid w:val="00F831C7"/>
    <w:rsid w:val="00F83B14"/>
    <w:rsid w:val="00F83B41"/>
    <w:rsid w:val="00F843AF"/>
    <w:rsid w:val="00F84895"/>
    <w:rsid w:val="00F85318"/>
    <w:rsid w:val="00F85D6D"/>
    <w:rsid w:val="00F86202"/>
    <w:rsid w:val="00F8630D"/>
    <w:rsid w:val="00F87014"/>
    <w:rsid w:val="00F87451"/>
    <w:rsid w:val="00F87B2A"/>
    <w:rsid w:val="00F90046"/>
    <w:rsid w:val="00F91331"/>
    <w:rsid w:val="00F91760"/>
    <w:rsid w:val="00F91856"/>
    <w:rsid w:val="00F91989"/>
    <w:rsid w:val="00F91EF8"/>
    <w:rsid w:val="00F927B3"/>
    <w:rsid w:val="00F92C6F"/>
    <w:rsid w:val="00F932F7"/>
    <w:rsid w:val="00F93C44"/>
    <w:rsid w:val="00F94206"/>
    <w:rsid w:val="00F9448B"/>
    <w:rsid w:val="00F94828"/>
    <w:rsid w:val="00F94AA9"/>
    <w:rsid w:val="00F94FFB"/>
    <w:rsid w:val="00F959D3"/>
    <w:rsid w:val="00F95C3A"/>
    <w:rsid w:val="00F95CB2"/>
    <w:rsid w:val="00F96B98"/>
    <w:rsid w:val="00F96BEF"/>
    <w:rsid w:val="00F96DC9"/>
    <w:rsid w:val="00FA016A"/>
    <w:rsid w:val="00FA02A7"/>
    <w:rsid w:val="00FA134D"/>
    <w:rsid w:val="00FA159A"/>
    <w:rsid w:val="00FA17CA"/>
    <w:rsid w:val="00FA1AFD"/>
    <w:rsid w:val="00FA1FA5"/>
    <w:rsid w:val="00FA280C"/>
    <w:rsid w:val="00FA2D8D"/>
    <w:rsid w:val="00FA302B"/>
    <w:rsid w:val="00FA31F4"/>
    <w:rsid w:val="00FA338F"/>
    <w:rsid w:val="00FA3E03"/>
    <w:rsid w:val="00FA404C"/>
    <w:rsid w:val="00FA4273"/>
    <w:rsid w:val="00FA44B7"/>
    <w:rsid w:val="00FA5CA1"/>
    <w:rsid w:val="00FA5EE5"/>
    <w:rsid w:val="00FA5F87"/>
    <w:rsid w:val="00FA63C7"/>
    <w:rsid w:val="00FA6CA7"/>
    <w:rsid w:val="00FA73CB"/>
    <w:rsid w:val="00FA79DE"/>
    <w:rsid w:val="00FA7F47"/>
    <w:rsid w:val="00FB01C3"/>
    <w:rsid w:val="00FB0233"/>
    <w:rsid w:val="00FB026B"/>
    <w:rsid w:val="00FB050E"/>
    <w:rsid w:val="00FB0758"/>
    <w:rsid w:val="00FB0B34"/>
    <w:rsid w:val="00FB0E83"/>
    <w:rsid w:val="00FB10F6"/>
    <w:rsid w:val="00FB1375"/>
    <w:rsid w:val="00FB1A53"/>
    <w:rsid w:val="00FB217C"/>
    <w:rsid w:val="00FB2535"/>
    <w:rsid w:val="00FB279C"/>
    <w:rsid w:val="00FB2997"/>
    <w:rsid w:val="00FB2ED0"/>
    <w:rsid w:val="00FB2EDE"/>
    <w:rsid w:val="00FB333B"/>
    <w:rsid w:val="00FB39F1"/>
    <w:rsid w:val="00FB4131"/>
    <w:rsid w:val="00FB4E51"/>
    <w:rsid w:val="00FB6F3C"/>
    <w:rsid w:val="00FB714F"/>
    <w:rsid w:val="00FB7978"/>
    <w:rsid w:val="00FC0E02"/>
    <w:rsid w:val="00FC0F0B"/>
    <w:rsid w:val="00FC23F0"/>
    <w:rsid w:val="00FC24A4"/>
    <w:rsid w:val="00FC3648"/>
    <w:rsid w:val="00FC407D"/>
    <w:rsid w:val="00FC5442"/>
    <w:rsid w:val="00FC567E"/>
    <w:rsid w:val="00FC5B3E"/>
    <w:rsid w:val="00FC5BF7"/>
    <w:rsid w:val="00FC6F7B"/>
    <w:rsid w:val="00FC7810"/>
    <w:rsid w:val="00FD0086"/>
    <w:rsid w:val="00FD0162"/>
    <w:rsid w:val="00FD020F"/>
    <w:rsid w:val="00FD034A"/>
    <w:rsid w:val="00FD0FC8"/>
    <w:rsid w:val="00FD1D98"/>
    <w:rsid w:val="00FD2AFD"/>
    <w:rsid w:val="00FD397F"/>
    <w:rsid w:val="00FD4037"/>
    <w:rsid w:val="00FD40EF"/>
    <w:rsid w:val="00FD4220"/>
    <w:rsid w:val="00FD4278"/>
    <w:rsid w:val="00FD48F1"/>
    <w:rsid w:val="00FD4BDA"/>
    <w:rsid w:val="00FD50E4"/>
    <w:rsid w:val="00FD583D"/>
    <w:rsid w:val="00FD5C3C"/>
    <w:rsid w:val="00FD6454"/>
    <w:rsid w:val="00FD68F3"/>
    <w:rsid w:val="00FD7C0B"/>
    <w:rsid w:val="00FE0048"/>
    <w:rsid w:val="00FE087E"/>
    <w:rsid w:val="00FE09CC"/>
    <w:rsid w:val="00FE1227"/>
    <w:rsid w:val="00FE13B8"/>
    <w:rsid w:val="00FE1CD6"/>
    <w:rsid w:val="00FE2269"/>
    <w:rsid w:val="00FE24BB"/>
    <w:rsid w:val="00FE26C0"/>
    <w:rsid w:val="00FE2AD0"/>
    <w:rsid w:val="00FE31D1"/>
    <w:rsid w:val="00FE35D8"/>
    <w:rsid w:val="00FE37CC"/>
    <w:rsid w:val="00FE3DEB"/>
    <w:rsid w:val="00FE5251"/>
    <w:rsid w:val="00FE5C82"/>
    <w:rsid w:val="00FE6B8A"/>
    <w:rsid w:val="00FE79CF"/>
    <w:rsid w:val="00FF0086"/>
    <w:rsid w:val="00FF06DE"/>
    <w:rsid w:val="00FF15DC"/>
    <w:rsid w:val="00FF1B2A"/>
    <w:rsid w:val="00FF1EE3"/>
    <w:rsid w:val="00FF1F89"/>
    <w:rsid w:val="00FF1FD8"/>
    <w:rsid w:val="00FF2F1A"/>
    <w:rsid w:val="00FF3553"/>
    <w:rsid w:val="00FF3554"/>
    <w:rsid w:val="00FF35C6"/>
    <w:rsid w:val="00FF3B80"/>
    <w:rsid w:val="00FF4627"/>
    <w:rsid w:val="00FF4DCA"/>
    <w:rsid w:val="00FF54BA"/>
    <w:rsid w:val="00FF5812"/>
    <w:rsid w:val="00FF58CC"/>
    <w:rsid w:val="00FF6953"/>
    <w:rsid w:val="00FF7414"/>
    <w:rsid w:val="00FF7692"/>
    <w:rsid w:val="00FF781F"/>
    <w:rsid w:val="00FF79B9"/>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838092"/>
  <w15:docId w15:val="{95FB41CD-008C-43C5-AEA2-367F12C89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auncer" w:eastAsiaTheme="minorHAnsi" w:hAnsi="launcer" w:cs="Palatino Linotype"/>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7356"/>
  </w:style>
  <w:style w:type="paragraph" w:styleId="Heading1">
    <w:name w:val="heading 1"/>
    <w:basedOn w:val="Normal"/>
    <w:link w:val="Heading1Char"/>
    <w:uiPriority w:val="9"/>
    <w:qFormat/>
    <w:rsid w:val="007A60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A60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A60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0D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A60D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A60D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A60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60D7"/>
    <w:rPr>
      <w:b/>
      <w:bCs/>
    </w:rPr>
  </w:style>
  <w:style w:type="character" w:styleId="Emphasis">
    <w:name w:val="Emphasis"/>
    <w:basedOn w:val="DefaultParagraphFont"/>
    <w:uiPriority w:val="20"/>
    <w:qFormat/>
    <w:rsid w:val="007A60D7"/>
    <w:rPr>
      <w:i/>
      <w:iCs/>
    </w:rPr>
  </w:style>
  <w:style w:type="paragraph" w:styleId="ListParagraph">
    <w:name w:val="List Paragraph"/>
    <w:basedOn w:val="Normal"/>
    <w:uiPriority w:val="34"/>
    <w:qFormat/>
    <w:rsid w:val="00DB193D"/>
    <w:pPr>
      <w:ind w:left="720"/>
      <w:contextualSpacing/>
    </w:pPr>
  </w:style>
  <w:style w:type="paragraph" w:customStyle="1" w:styleId="IOPAff">
    <w:name w:val="IOPAff"/>
    <w:basedOn w:val="Normal"/>
    <w:link w:val="IOPAffChar"/>
    <w:qFormat/>
    <w:rsid w:val="008C24B6"/>
    <w:pPr>
      <w:spacing w:after="0" w:line="259" w:lineRule="auto"/>
      <w:ind w:right="2552"/>
    </w:pPr>
    <w:rPr>
      <w:rFonts w:ascii="Times New Roman" w:hAnsi="Times New Roman" w:cs="Times New Roman"/>
      <w:sz w:val="18"/>
      <w:szCs w:val="18"/>
      <w:lang w:val="en-GB"/>
    </w:rPr>
  </w:style>
  <w:style w:type="character" w:customStyle="1" w:styleId="IOPAffChar">
    <w:name w:val="IOPAff Char"/>
    <w:basedOn w:val="DefaultParagraphFont"/>
    <w:link w:val="IOPAff"/>
    <w:rsid w:val="008C24B6"/>
    <w:rPr>
      <w:rFonts w:ascii="Times New Roman" w:hAnsi="Times New Roman" w:cs="Times New Roman"/>
      <w:sz w:val="18"/>
      <w:szCs w:val="18"/>
      <w:lang w:val="en-GB"/>
    </w:rPr>
  </w:style>
  <w:style w:type="character" w:styleId="Hyperlink">
    <w:name w:val="Hyperlink"/>
    <w:basedOn w:val="DefaultParagraphFont"/>
    <w:uiPriority w:val="99"/>
    <w:unhideWhenUsed/>
    <w:rsid w:val="00163BCC"/>
    <w:rPr>
      <w:color w:val="0000FF" w:themeColor="hyperlink"/>
      <w:u w:val="single"/>
    </w:rPr>
  </w:style>
  <w:style w:type="paragraph" w:styleId="BalloonText">
    <w:name w:val="Balloon Text"/>
    <w:basedOn w:val="Normal"/>
    <w:link w:val="BalloonTextChar"/>
    <w:uiPriority w:val="99"/>
    <w:semiHidden/>
    <w:unhideWhenUsed/>
    <w:rsid w:val="00CE6E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E5B"/>
    <w:rPr>
      <w:rFonts w:ascii="Tahoma" w:hAnsi="Tahoma" w:cs="Tahoma"/>
      <w:sz w:val="16"/>
      <w:szCs w:val="16"/>
    </w:rPr>
  </w:style>
  <w:style w:type="paragraph" w:styleId="Header">
    <w:name w:val="header"/>
    <w:basedOn w:val="Normal"/>
    <w:link w:val="HeaderChar"/>
    <w:uiPriority w:val="99"/>
    <w:unhideWhenUsed/>
    <w:rsid w:val="002D6F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FEA"/>
  </w:style>
  <w:style w:type="paragraph" w:styleId="Footer">
    <w:name w:val="footer"/>
    <w:basedOn w:val="Normal"/>
    <w:link w:val="FooterChar"/>
    <w:uiPriority w:val="99"/>
    <w:unhideWhenUsed/>
    <w:rsid w:val="002D6F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FEA"/>
  </w:style>
  <w:style w:type="character" w:styleId="UnresolvedMention">
    <w:name w:val="Unresolved Mention"/>
    <w:basedOn w:val="DefaultParagraphFont"/>
    <w:uiPriority w:val="99"/>
    <w:semiHidden/>
    <w:unhideWhenUsed/>
    <w:rsid w:val="0009585D"/>
    <w:rPr>
      <w:color w:val="605E5C"/>
      <w:shd w:val="clear" w:color="auto" w:fill="E1DFDD"/>
    </w:rPr>
  </w:style>
  <w:style w:type="character" w:styleId="CommentReference">
    <w:name w:val="annotation reference"/>
    <w:basedOn w:val="DefaultParagraphFont"/>
    <w:uiPriority w:val="99"/>
    <w:semiHidden/>
    <w:unhideWhenUsed/>
    <w:rsid w:val="00C2428E"/>
    <w:rPr>
      <w:sz w:val="16"/>
      <w:szCs w:val="16"/>
    </w:rPr>
  </w:style>
  <w:style w:type="paragraph" w:styleId="CommentText">
    <w:name w:val="annotation text"/>
    <w:basedOn w:val="Normal"/>
    <w:link w:val="CommentTextChar"/>
    <w:uiPriority w:val="99"/>
    <w:semiHidden/>
    <w:unhideWhenUsed/>
    <w:rsid w:val="00C2428E"/>
    <w:pPr>
      <w:spacing w:line="240" w:lineRule="auto"/>
    </w:pPr>
    <w:rPr>
      <w:sz w:val="20"/>
      <w:szCs w:val="20"/>
    </w:rPr>
  </w:style>
  <w:style w:type="character" w:customStyle="1" w:styleId="CommentTextChar">
    <w:name w:val="Comment Text Char"/>
    <w:basedOn w:val="DefaultParagraphFont"/>
    <w:link w:val="CommentText"/>
    <w:uiPriority w:val="99"/>
    <w:semiHidden/>
    <w:rsid w:val="00C2428E"/>
    <w:rPr>
      <w:sz w:val="20"/>
      <w:szCs w:val="20"/>
    </w:rPr>
  </w:style>
  <w:style w:type="paragraph" w:styleId="CommentSubject">
    <w:name w:val="annotation subject"/>
    <w:basedOn w:val="CommentText"/>
    <w:next w:val="CommentText"/>
    <w:link w:val="CommentSubjectChar"/>
    <w:uiPriority w:val="99"/>
    <w:semiHidden/>
    <w:unhideWhenUsed/>
    <w:rsid w:val="00C2428E"/>
    <w:rPr>
      <w:b/>
      <w:bCs/>
    </w:rPr>
  </w:style>
  <w:style w:type="character" w:customStyle="1" w:styleId="CommentSubjectChar">
    <w:name w:val="Comment Subject Char"/>
    <w:basedOn w:val="CommentTextChar"/>
    <w:link w:val="CommentSubject"/>
    <w:uiPriority w:val="99"/>
    <w:semiHidden/>
    <w:rsid w:val="00C242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226789">
      <w:bodyDiv w:val="1"/>
      <w:marLeft w:val="0"/>
      <w:marRight w:val="0"/>
      <w:marTop w:val="0"/>
      <w:marBottom w:val="0"/>
      <w:divBdr>
        <w:top w:val="none" w:sz="0" w:space="0" w:color="auto"/>
        <w:left w:val="none" w:sz="0" w:space="0" w:color="auto"/>
        <w:bottom w:val="none" w:sz="0" w:space="0" w:color="auto"/>
        <w:right w:val="none" w:sz="0" w:space="0" w:color="auto"/>
      </w:divBdr>
    </w:div>
    <w:div w:id="511143738">
      <w:bodyDiv w:val="1"/>
      <w:marLeft w:val="0"/>
      <w:marRight w:val="0"/>
      <w:marTop w:val="0"/>
      <w:marBottom w:val="0"/>
      <w:divBdr>
        <w:top w:val="none" w:sz="0" w:space="0" w:color="auto"/>
        <w:left w:val="none" w:sz="0" w:space="0" w:color="auto"/>
        <w:bottom w:val="none" w:sz="0" w:space="0" w:color="auto"/>
        <w:right w:val="none" w:sz="0" w:space="0" w:color="auto"/>
      </w:divBdr>
    </w:div>
    <w:div w:id="749623589">
      <w:bodyDiv w:val="1"/>
      <w:marLeft w:val="0"/>
      <w:marRight w:val="0"/>
      <w:marTop w:val="0"/>
      <w:marBottom w:val="0"/>
      <w:divBdr>
        <w:top w:val="none" w:sz="0" w:space="0" w:color="auto"/>
        <w:left w:val="none" w:sz="0" w:space="0" w:color="auto"/>
        <w:bottom w:val="none" w:sz="0" w:space="0" w:color="auto"/>
        <w:right w:val="none" w:sz="0" w:space="0" w:color="auto"/>
      </w:divBdr>
    </w:div>
    <w:div w:id="751053246">
      <w:bodyDiv w:val="1"/>
      <w:marLeft w:val="0"/>
      <w:marRight w:val="0"/>
      <w:marTop w:val="0"/>
      <w:marBottom w:val="0"/>
      <w:divBdr>
        <w:top w:val="none" w:sz="0" w:space="0" w:color="auto"/>
        <w:left w:val="none" w:sz="0" w:space="0" w:color="auto"/>
        <w:bottom w:val="none" w:sz="0" w:space="0" w:color="auto"/>
        <w:right w:val="none" w:sz="0" w:space="0" w:color="auto"/>
      </w:divBdr>
    </w:div>
    <w:div w:id="819080410">
      <w:bodyDiv w:val="1"/>
      <w:marLeft w:val="0"/>
      <w:marRight w:val="0"/>
      <w:marTop w:val="0"/>
      <w:marBottom w:val="0"/>
      <w:divBdr>
        <w:top w:val="none" w:sz="0" w:space="0" w:color="auto"/>
        <w:left w:val="none" w:sz="0" w:space="0" w:color="auto"/>
        <w:bottom w:val="none" w:sz="0" w:space="0" w:color="auto"/>
        <w:right w:val="none" w:sz="0" w:space="0" w:color="auto"/>
      </w:divBdr>
      <w:divsChild>
        <w:div w:id="1742943828">
          <w:marLeft w:val="0"/>
          <w:marRight w:val="0"/>
          <w:marTop w:val="0"/>
          <w:marBottom w:val="0"/>
          <w:divBdr>
            <w:top w:val="none" w:sz="0" w:space="0" w:color="auto"/>
            <w:left w:val="none" w:sz="0" w:space="0" w:color="auto"/>
            <w:bottom w:val="none" w:sz="0" w:space="0" w:color="auto"/>
            <w:right w:val="none" w:sz="0" w:space="0" w:color="auto"/>
          </w:divBdr>
        </w:div>
        <w:div w:id="384332955">
          <w:marLeft w:val="0"/>
          <w:marRight w:val="0"/>
          <w:marTop w:val="0"/>
          <w:marBottom w:val="0"/>
          <w:divBdr>
            <w:top w:val="none" w:sz="0" w:space="0" w:color="auto"/>
            <w:left w:val="none" w:sz="0" w:space="0" w:color="auto"/>
            <w:bottom w:val="none" w:sz="0" w:space="0" w:color="auto"/>
            <w:right w:val="none" w:sz="0" w:space="0" w:color="auto"/>
          </w:divBdr>
        </w:div>
        <w:div w:id="90666734">
          <w:marLeft w:val="0"/>
          <w:marRight w:val="0"/>
          <w:marTop w:val="0"/>
          <w:marBottom w:val="0"/>
          <w:divBdr>
            <w:top w:val="none" w:sz="0" w:space="0" w:color="auto"/>
            <w:left w:val="none" w:sz="0" w:space="0" w:color="auto"/>
            <w:bottom w:val="none" w:sz="0" w:space="0" w:color="auto"/>
            <w:right w:val="none" w:sz="0" w:space="0" w:color="auto"/>
          </w:divBdr>
        </w:div>
        <w:div w:id="1653488768">
          <w:marLeft w:val="0"/>
          <w:marRight w:val="0"/>
          <w:marTop w:val="0"/>
          <w:marBottom w:val="0"/>
          <w:divBdr>
            <w:top w:val="none" w:sz="0" w:space="0" w:color="auto"/>
            <w:left w:val="none" w:sz="0" w:space="0" w:color="auto"/>
            <w:bottom w:val="none" w:sz="0" w:space="0" w:color="auto"/>
            <w:right w:val="none" w:sz="0" w:space="0" w:color="auto"/>
          </w:divBdr>
        </w:div>
        <w:div w:id="678460193">
          <w:marLeft w:val="0"/>
          <w:marRight w:val="0"/>
          <w:marTop w:val="0"/>
          <w:marBottom w:val="0"/>
          <w:divBdr>
            <w:top w:val="none" w:sz="0" w:space="0" w:color="auto"/>
            <w:left w:val="none" w:sz="0" w:space="0" w:color="auto"/>
            <w:bottom w:val="none" w:sz="0" w:space="0" w:color="auto"/>
            <w:right w:val="none" w:sz="0" w:space="0" w:color="auto"/>
          </w:divBdr>
        </w:div>
        <w:div w:id="771168995">
          <w:marLeft w:val="0"/>
          <w:marRight w:val="0"/>
          <w:marTop w:val="0"/>
          <w:marBottom w:val="0"/>
          <w:divBdr>
            <w:top w:val="none" w:sz="0" w:space="0" w:color="auto"/>
            <w:left w:val="none" w:sz="0" w:space="0" w:color="auto"/>
            <w:bottom w:val="none" w:sz="0" w:space="0" w:color="auto"/>
            <w:right w:val="none" w:sz="0" w:space="0" w:color="auto"/>
          </w:divBdr>
        </w:div>
        <w:div w:id="550581585">
          <w:marLeft w:val="0"/>
          <w:marRight w:val="0"/>
          <w:marTop w:val="0"/>
          <w:marBottom w:val="0"/>
          <w:divBdr>
            <w:top w:val="none" w:sz="0" w:space="0" w:color="auto"/>
            <w:left w:val="none" w:sz="0" w:space="0" w:color="auto"/>
            <w:bottom w:val="none" w:sz="0" w:space="0" w:color="auto"/>
            <w:right w:val="none" w:sz="0" w:space="0" w:color="auto"/>
          </w:divBdr>
        </w:div>
        <w:div w:id="1999381268">
          <w:marLeft w:val="0"/>
          <w:marRight w:val="0"/>
          <w:marTop w:val="0"/>
          <w:marBottom w:val="0"/>
          <w:divBdr>
            <w:top w:val="none" w:sz="0" w:space="0" w:color="auto"/>
            <w:left w:val="none" w:sz="0" w:space="0" w:color="auto"/>
            <w:bottom w:val="none" w:sz="0" w:space="0" w:color="auto"/>
            <w:right w:val="none" w:sz="0" w:space="0" w:color="auto"/>
          </w:divBdr>
        </w:div>
        <w:div w:id="1407679248">
          <w:marLeft w:val="0"/>
          <w:marRight w:val="0"/>
          <w:marTop w:val="0"/>
          <w:marBottom w:val="0"/>
          <w:divBdr>
            <w:top w:val="none" w:sz="0" w:space="0" w:color="auto"/>
            <w:left w:val="none" w:sz="0" w:space="0" w:color="auto"/>
            <w:bottom w:val="none" w:sz="0" w:space="0" w:color="auto"/>
            <w:right w:val="none" w:sz="0" w:space="0" w:color="auto"/>
          </w:divBdr>
        </w:div>
        <w:div w:id="1308128018">
          <w:marLeft w:val="0"/>
          <w:marRight w:val="0"/>
          <w:marTop w:val="0"/>
          <w:marBottom w:val="0"/>
          <w:divBdr>
            <w:top w:val="none" w:sz="0" w:space="0" w:color="auto"/>
            <w:left w:val="none" w:sz="0" w:space="0" w:color="auto"/>
            <w:bottom w:val="none" w:sz="0" w:space="0" w:color="auto"/>
            <w:right w:val="none" w:sz="0" w:space="0" w:color="auto"/>
          </w:divBdr>
        </w:div>
      </w:divsChild>
    </w:div>
    <w:div w:id="846793300">
      <w:bodyDiv w:val="1"/>
      <w:marLeft w:val="0"/>
      <w:marRight w:val="0"/>
      <w:marTop w:val="0"/>
      <w:marBottom w:val="0"/>
      <w:divBdr>
        <w:top w:val="none" w:sz="0" w:space="0" w:color="auto"/>
        <w:left w:val="none" w:sz="0" w:space="0" w:color="auto"/>
        <w:bottom w:val="none" w:sz="0" w:space="0" w:color="auto"/>
        <w:right w:val="none" w:sz="0" w:space="0" w:color="auto"/>
      </w:divBdr>
      <w:divsChild>
        <w:div w:id="312414010">
          <w:marLeft w:val="0"/>
          <w:marRight w:val="0"/>
          <w:marTop w:val="0"/>
          <w:marBottom w:val="0"/>
          <w:divBdr>
            <w:top w:val="none" w:sz="0" w:space="0" w:color="auto"/>
            <w:left w:val="none" w:sz="0" w:space="0" w:color="auto"/>
            <w:bottom w:val="none" w:sz="0" w:space="0" w:color="auto"/>
            <w:right w:val="none" w:sz="0" w:space="0" w:color="auto"/>
          </w:divBdr>
        </w:div>
      </w:divsChild>
    </w:div>
    <w:div w:id="981077326">
      <w:bodyDiv w:val="1"/>
      <w:marLeft w:val="0"/>
      <w:marRight w:val="0"/>
      <w:marTop w:val="0"/>
      <w:marBottom w:val="0"/>
      <w:divBdr>
        <w:top w:val="none" w:sz="0" w:space="0" w:color="auto"/>
        <w:left w:val="none" w:sz="0" w:space="0" w:color="auto"/>
        <w:bottom w:val="none" w:sz="0" w:space="0" w:color="auto"/>
        <w:right w:val="none" w:sz="0" w:space="0" w:color="auto"/>
      </w:divBdr>
    </w:div>
    <w:div w:id="200936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doi.org/10.2307/2118443"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jstor.org/stable/1811817" TargetMode="External"/><Relationship Id="rId34"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3.png"/><Relationship Id="rId17" Type="http://schemas.openxmlformats.org/officeDocument/2006/relationships/hyperlink" Target="https://doi.org/10.1596/1813-9450-3102" TargetMode="External"/><Relationship Id="rId25" Type="http://schemas.openxmlformats.org/officeDocument/2006/relationships/hyperlink" Target="https://doi.org/10.2307/1925895" TargetMode="External"/><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digitalrepository.unm.edu/nrj/vol15/iss4/7" TargetMode="External"/><Relationship Id="rId20" Type="http://schemas.openxmlformats.org/officeDocument/2006/relationships/hyperlink" Target="https://doi.org/10.1111/1468-0297.00562"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doi.org/10.1016/j.gloenvcha.2010.07.004"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93/jae/ejp022" TargetMode="External"/><Relationship Id="rId23" Type="http://schemas.openxmlformats.org/officeDocument/2006/relationships/hyperlink" Target="https://www.cambridge.org/core/books/governing-the-commons/F2C20000000000000000000000000000"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doi.org/10.1126/science.162.3859.1243" TargetMode="External"/><Relationship Id="rId31"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16/j.jdeveco.2020.102442" TargetMode="External"/><Relationship Id="rId22" Type="http://schemas.openxmlformats.org/officeDocument/2006/relationships/hyperlink" Target="https://www.hup.harvard.edu/catalog.php?isbn=9780674537514" TargetMode="External"/><Relationship Id="rId27" Type="http://schemas.openxmlformats.org/officeDocument/2006/relationships/header" Target="header2.xml"/><Relationship Id="rId30" Type="http://schemas.openxmlformats.org/officeDocument/2006/relationships/header" Target="header3.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13</Pages>
  <Words>4143</Words>
  <Characters>23617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dc:creator>
  <cp:lastModifiedBy>Admin</cp:lastModifiedBy>
  <cp:revision>7</cp:revision>
  <dcterms:created xsi:type="dcterms:W3CDTF">2025-12-14T09:57:00Z</dcterms:created>
  <dcterms:modified xsi:type="dcterms:W3CDTF">2025-12-16T06:10:00Z</dcterms:modified>
</cp:coreProperties>
</file>