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B1714" w14:textId="77777777" w:rsidR="009D0BC5" w:rsidRPr="009D0BC5" w:rsidRDefault="009D0BC5" w:rsidP="009D0BC5">
      <w:pPr>
        <w:autoSpaceDE w:val="0"/>
        <w:autoSpaceDN w:val="0"/>
        <w:adjustRightInd w:val="0"/>
        <w:spacing w:after="0" w:line="240" w:lineRule="auto"/>
        <w:jc w:val="center"/>
        <w:rPr>
          <w:b/>
          <w:bCs/>
          <w:i/>
          <w:iCs/>
          <w:sz w:val="32"/>
          <w:szCs w:val="32"/>
          <w:u w:val="single"/>
          <w:lang w:val="en-US"/>
        </w:rPr>
      </w:pPr>
      <w:r w:rsidRPr="009D0BC5">
        <w:rPr>
          <w:b/>
          <w:bCs/>
          <w:i/>
          <w:iCs/>
          <w:sz w:val="32"/>
          <w:szCs w:val="32"/>
          <w:u w:val="single"/>
          <w:lang w:val="en-US"/>
        </w:rPr>
        <w:t xml:space="preserve">Case report </w:t>
      </w:r>
    </w:p>
    <w:p w14:paraId="4DF23748" w14:textId="77777777" w:rsidR="001B2FE1" w:rsidRDefault="001B2FE1" w:rsidP="001B2FE1">
      <w:pPr>
        <w:autoSpaceDE w:val="0"/>
        <w:autoSpaceDN w:val="0"/>
        <w:adjustRightInd w:val="0"/>
        <w:spacing w:after="0" w:line="240" w:lineRule="auto"/>
        <w:jc w:val="center"/>
        <w:rPr>
          <w:b/>
          <w:bCs/>
          <w:sz w:val="32"/>
          <w:szCs w:val="32"/>
          <w:u w:val="single"/>
          <w:lang w:val="en-US"/>
        </w:rPr>
      </w:pPr>
      <w:r w:rsidRPr="001B2FE1">
        <w:rPr>
          <w:b/>
          <w:bCs/>
          <w:sz w:val="32"/>
          <w:szCs w:val="32"/>
          <w:u w:val="single"/>
          <w:lang w:val="en-US"/>
        </w:rPr>
        <w:t>Surgical Management of an Abdominal Wall Desmoid Tumor in a Young Woman: The Role of Dual-Mesh Reconstruction</w:t>
      </w:r>
    </w:p>
    <w:p w14:paraId="603FA942" w14:textId="77777777" w:rsidR="001B2FE1" w:rsidRDefault="001B2FE1" w:rsidP="001B2FE1">
      <w:pPr>
        <w:autoSpaceDE w:val="0"/>
        <w:autoSpaceDN w:val="0"/>
        <w:adjustRightInd w:val="0"/>
        <w:spacing w:after="0" w:line="240" w:lineRule="auto"/>
        <w:jc w:val="center"/>
        <w:rPr>
          <w:b/>
          <w:bCs/>
          <w:sz w:val="32"/>
          <w:szCs w:val="32"/>
          <w:u w:val="single"/>
          <w:lang w:val="en-US"/>
        </w:rPr>
      </w:pPr>
    </w:p>
    <w:p w14:paraId="054D3C98" w14:textId="77777777" w:rsidR="001B2FE1" w:rsidRPr="001B2FE1" w:rsidRDefault="001B2FE1" w:rsidP="001B2FE1">
      <w:pPr>
        <w:autoSpaceDE w:val="0"/>
        <w:autoSpaceDN w:val="0"/>
        <w:adjustRightInd w:val="0"/>
        <w:spacing w:after="0" w:line="240" w:lineRule="auto"/>
        <w:jc w:val="center"/>
        <w:rPr>
          <w:rFonts w:asciiTheme="majorBidi" w:hAnsiTheme="majorBidi" w:cstheme="majorBidi"/>
          <w:b/>
          <w:bCs/>
          <w:sz w:val="32"/>
          <w:szCs w:val="32"/>
          <w:u w:val="single"/>
          <w:lang w:val="en-US"/>
        </w:rPr>
      </w:pPr>
    </w:p>
    <w:p w14:paraId="47D20F3A" w14:textId="77777777" w:rsidR="001B2FE1" w:rsidRPr="001B2FE1" w:rsidRDefault="001B2FE1" w:rsidP="001B2FE1">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1B2FE1">
        <w:rPr>
          <w:rFonts w:ascii="Times New Roman" w:eastAsia="Times New Roman" w:hAnsi="Times New Roman" w:cs="Times New Roman"/>
          <w:b/>
          <w:bCs/>
          <w:sz w:val="36"/>
          <w:szCs w:val="36"/>
          <w:lang w:val="en-US" w:eastAsia="fr-FR"/>
        </w:rPr>
        <w:t>Abstract</w:t>
      </w:r>
    </w:p>
    <w:p w14:paraId="609EF06C" w14:textId="77777777" w:rsidR="001B2FE1" w:rsidRPr="001B2FE1" w:rsidRDefault="001B2FE1" w:rsidP="001B2FE1">
      <w:pPr>
        <w:spacing w:before="100" w:beforeAutospacing="1" w:after="100" w:afterAutospacing="1" w:line="240" w:lineRule="auto"/>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Background:</w:t>
      </w:r>
      <w:r w:rsidRPr="001B2FE1">
        <w:rPr>
          <w:rFonts w:ascii="Times New Roman" w:eastAsia="Times New Roman" w:hAnsi="Times New Roman" w:cs="Times New Roman"/>
          <w:sz w:val="24"/>
          <w:szCs w:val="24"/>
          <w:lang w:val="en-US" w:eastAsia="fr-FR"/>
        </w:rPr>
        <w:br/>
        <w:t>Desmoid tumors, also known as aggressive fibromatosis, are rare benign fibroblastic neoplasms characterized by locally aggressive behavior and a high risk of recurrence. Involvement of the abdominal wall is uncommon and may present significant reconstructive challenges following wide surgical excision.</w:t>
      </w:r>
    </w:p>
    <w:p w14:paraId="4C7A3C98" w14:textId="77777777" w:rsidR="001B2FE1" w:rsidRPr="001B2FE1" w:rsidRDefault="001B2FE1" w:rsidP="001B2FE1">
      <w:pPr>
        <w:spacing w:before="100" w:beforeAutospacing="1" w:after="100" w:afterAutospacing="1" w:line="240" w:lineRule="auto"/>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Case Presentation:</w:t>
      </w:r>
      <w:r w:rsidRPr="001B2FE1">
        <w:rPr>
          <w:rFonts w:ascii="Times New Roman" w:eastAsia="Times New Roman" w:hAnsi="Times New Roman" w:cs="Times New Roman"/>
          <w:sz w:val="24"/>
          <w:szCs w:val="24"/>
          <w:lang w:val="en-US" w:eastAsia="fr-FR"/>
        </w:rPr>
        <w:br/>
        <w:t>We report the case of a 22-year-old woman with no significant medical history who presented with a one-year history of constipation associated with right lower quadrant and lumbar pain. Physical examination revealed a large, mobile parietal mass in the right iliac fossa. Abdominal magnetic resonance imaging demonstrated a large right-sided mass arising from the right rectus abdominis muscle. An ultrasound-guided core needle biopsy confirmed the diagnosis of a desmoid tumor. The patient underwent complete surgical resection with wide margins, including total excision of the infraumbilical portion of the right rectus abdominis muscle. Abdominal wall reconstruction was performed using a dual-face prosthetic mesh fixed to the peritoneum and covered by the remaining aponeurosis. Postoperative recovery was uneventful, and the patient was discharged on postoperative day three. Histopathological examination of the surgical specimen confirmed the diagnosis. Follow-up at 15 days was satisfactory.</w:t>
      </w:r>
    </w:p>
    <w:p w14:paraId="08737980" w14:textId="77777777" w:rsidR="001B2FE1" w:rsidRPr="001B2FE1" w:rsidRDefault="001B2FE1" w:rsidP="001B2FE1">
      <w:pPr>
        <w:spacing w:before="100" w:beforeAutospacing="1" w:after="100" w:afterAutospacing="1" w:line="240" w:lineRule="auto"/>
        <w:rPr>
          <w:rFonts w:ascii="Times New Roman" w:eastAsia="Times New Roman" w:hAnsi="Times New Roman" w:cs="Times New Roman"/>
          <w:sz w:val="24"/>
          <w:szCs w:val="24"/>
          <w:lang w:val="en-US" w:eastAsia="fr-FR"/>
        </w:rPr>
      </w:pPr>
      <w:r w:rsidRPr="001B2FE1">
        <w:rPr>
          <w:rFonts w:ascii="Times New Roman" w:eastAsia="Times New Roman" w:hAnsi="Times New Roman" w:cs="Times New Roman"/>
          <w:b/>
          <w:bCs/>
          <w:sz w:val="24"/>
          <w:szCs w:val="24"/>
          <w:lang w:val="en-US" w:eastAsia="fr-FR"/>
        </w:rPr>
        <w:t>Conclusion</w:t>
      </w:r>
      <w:proofErr w:type="gramStart"/>
      <w:r w:rsidRPr="001B2FE1">
        <w:rPr>
          <w:rFonts w:ascii="Times New Roman" w:eastAsia="Times New Roman" w:hAnsi="Times New Roman" w:cs="Times New Roman"/>
          <w:b/>
          <w:bCs/>
          <w:sz w:val="24"/>
          <w:szCs w:val="24"/>
          <w:lang w:val="en-US" w:eastAsia="fr-FR"/>
        </w:rPr>
        <w:t>:</w:t>
      </w:r>
      <w:proofErr w:type="gramEnd"/>
      <w:r w:rsidRPr="001B2FE1">
        <w:rPr>
          <w:rFonts w:ascii="Times New Roman" w:eastAsia="Times New Roman" w:hAnsi="Times New Roman" w:cs="Times New Roman"/>
          <w:sz w:val="24"/>
          <w:szCs w:val="24"/>
          <w:lang w:val="en-US" w:eastAsia="fr-FR"/>
        </w:rPr>
        <w:br/>
        <w:t xml:space="preserve">This case underscores the value of dual-mesh prostheses in abdominal wall reconstruction after extensive resection of desmoid tumors, enabling safe coverage of large parietal defects with favorable short-term </w:t>
      </w:r>
      <w:commentRangeStart w:id="0"/>
      <w:r w:rsidRPr="001B2FE1">
        <w:rPr>
          <w:rFonts w:ascii="Times New Roman" w:eastAsia="Times New Roman" w:hAnsi="Times New Roman" w:cs="Times New Roman"/>
          <w:sz w:val="24"/>
          <w:szCs w:val="24"/>
          <w:lang w:val="en-US" w:eastAsia="fr-FR"/>
        </w:rPr>
        <w:t>outcomes</w:t>
      </w:r>
      <w:commentRangeEnd w:id="0"/>
      <w:r w:rsidR="00F146F4">
        <w:rPr>
          <w:rStyle w:val="CommentReference"/>
        </w:rPr>
        <w:commentReference w:id="0"/>
      </w:r>
      <w:r w:rsidRPr="001B2FE1">
        <w:rPr>
          <w:rFonts w:ascii="Times New Roman" w:eastAsia="Times New Roman" w:hAnsi="Times New Roman" w:cs="Times New Roman"/>
          <w:sz w:val="24"/>
          <w:szCs w:val="24"/>
          <w:lang w:val="en-US" w:eastAsia="fr-FR"/>
        </w:rPr>
        <w:t>.</w:t>
      </w:r>
    </w:p>
    <w:p w14:paraId="5108D4A7" w14:textId="77777777" w:rsidR="009C0EF7" w:rsidRPr="009C0EF7" w:rsidRDefault="009C0EF7" w:rsidP="009C0EF7">
      <w:pPr>
        <w:pStyle w:val="NormalWeb"/>
        <w:rPr>
          <w:lang w:val="en-US"/>
        </w:rPr>
      </w:pPr>
    </w:p>
    <w:p w14:paraId="5AD2EA80" w14:textId="77777777" w:rsidR="009C0EF7" w:rsidRPr="009C0EF7" w:rsidRDefault="009C0EF7" w:rsidP="009C0EF7">
      <w:pPr>
        <w:pStyle w:val="NormalWeb"/>
        <w:rPr>
          <w:lang w:val="en-US"/>
        </w:rPr>
      </w:pPr>
      <w:r w:rsidRPr="009C0EF7">
        <w:rPr>
          <w:rStyle w:val="Strong"/>
          <w:lang w:val="en-US"/>
        </w:rPr>
        <w:t>Keywords:</w:t>
      </w:r>
      <w:r w:rsidRPr="009C0EF7">
        <w:rPr>
          <w:lang w:val="en-US"/>
        </w:rPr>
        <w:t xml:space="preserve"> Desmoid tumor; Aggressive fibromatosis; Abdominal wall; Rectus abdominis; Dual-mesh; Surgical reconstruction.</w:t>
      </w:r>
    </w:p>
    <w:p w14:paraId="687B168D" w14:textId="77777777" w:rsidR="001B2FE1" w:rsidRDefault="001B2FE1" w:rsidP="009C0EF7">
      <w:pPr>
        <w:pStyle w:val="Heading2"/>
        <w:rPr>
          <w:rStyle w:val="Strong"/>
          <w:b/>
          <w:bCs/>
          <w:lang w:val="en-US"/>
        </w:rPr>
      </w:pPr>
    </w:p>
    <w:p w14:paraId="551D0832"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Introduction</w:t>
      </w:r>
    </w:p>
    <w:p w14:paraId="55D0525C"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Desmoid tumors, also referred to as aggressive fibromatosis, are rare soft tissue neoplasms arising from musculoaponeurotic structures. Although histologically benign and devoid of metastatic potential, these tumors are characterized by infiltrative growth and a high propensity for local recurrence. Abdominal wall desmoid tumors predominantly affect young women and may occur sporadically or in association with familial adenomatous polyposis [1].</w:t>
      </w:r>
    </w:p>
    <w:p w14:paraId="33F4785A"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lastRenderedPageBreak/>
        <w:t xml:space="preserve">The optimal management of desmoid tumors remains a subject of ongoing debate, with treatment strategies ranging from active surveillance and medical therapy to surgical intervention. When surgery is indicated, wide excision with negative margins can result in substantial abdominal wall defects, posing significant reconstructive challenges. In this report, we describe a case of a large abdominal wall desmoid tumor managed surgically, with particular emphasis on the role of dual-mesh prosthetic reconstruction in addressing extensive parietal tissue loss </w:t>
      </w:r>
      <w:commentRangeStart w:id="1"/>
      <w:r w:rsidRPr="00BD139B">
        <w:rPr>
          <w:rFonts w:ascii="Times New Roman" w:eastAsia="Times New Roman" w:hAnsi="Times New Roman" w:cs="Times New Roman"/>
          <w:sz w:val="24"/>
          <w:szCs w:val="24"/>
          <w:lang w:val="en-US" w:eastAsia="fr-FR"/>
        </w:rPr>
        <w:t>[1</w:t>
      </w:r>
      <w:proofErr w:type="gramStart"/>
      <w:r w:rsidRPr="00BD139B">
        <w:rPr>
          <w:rFonts w:ascii="Times New Roman" w:eastAsia="Times New Roman" w:hAnsi="Times New Roman" w:cs="Times New Roman"/>
          <w:sz w:val="24"/>
          <w:szCs w:val="24"/>
          <w:lang w:val="en-US" w:eastAsia="fr-FR"/>
        </w:rPr>
        <w:t>,2</w:t>
      </w:r>
      <w:proofErr w:type="gramEnd"/>
      <w:r w:rsidRPr="00BD139B">
        <w:rPr>
          <w:rFonts w:ascii="Times New Roman" w:eastAsia="Times New Roman" w:hAnsi="Times New Roman" w:cs="Times New Roman"/>
          <w:sz w:val="24"/>
          <w:szCs w:val="24"/>
          <w:lang w:val="en-US" w:eastAsia="fr-FR"/>
        </w:rPr>
        <w:t>]</w:t>
      </w:r>
      <w:commentRangeEnd w:id="1"/>
      <w:r w:rsidR="00F146F4">
        <w:rPr>
          <w:rStyle w:val="CommentReference"/>
        </w:rPr>
        <w:commentReference w:id="1"/>
      </w:r>
      <w:r w:rsidRPr="00BD139B">
        <w:rPr>
          <w:rFonts w:ascii="Times New Roman" w:eastAsia="Times New Roman" w:hAnsi="Times New Roman" w:cs="Times New Roman"/>
          <w:sz w:val="24"/>
          <w:szCs w:val="24"/>
          <w:lang w:val="en-US" w:eastAsia="fr-FR"/>
        </w:rPr>
        <w:t>.</w:t>
      </w:r>
    </w:p>
    <w:p w14:paraId="44B9E1DF"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Case Presentation</w:t>
      </w:r>
    </w:p>
    <w:p w14:paraId="2A1B054D"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 22-year-old woman with no significant past medical history was admitted to the visceral and digestive surgery department for evaluation of an abdominal mass. Her symptoms had begun approximately one year prior to admission and were characterized by progressive constipation associated with localized pain in the right iliac fossa and right lumbar region.</w:t>
      </w:r>
    </w:p>
    <w:p w14:paraId="69A713EA"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Physical examination was unremarkable except for the presence of a large, palpable, mobile parietal mass in the right iliac fossa. There were no signs of intestinal obstruction or systemic illness (Figure 1).</w:t>
      </w:r>
    </w:p>
    <w:p w14:paraId="49B3FA02"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Abdominal magnetic resonance imaging demonstrated a well-defined right-sided pelvic mass adherent to the abdominal wall and arising from the right rectus abdominis muscle. The lesion had irregular margins, intermediate signal intensity on T1-weighted images, heterogeneous hyperintensity on T2-weighted images, and heterogeneous contrast enhancement. The mass measured 9 × 11 cm on axial sections and 16 cm in craniocaudal dimension (Figure 2).</w:t>
      </w:r>
    </w:p>
    <w:p w14:paraId="188AFE30"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An ultrasound-guided core needle biopsy was subsequently performed. Histological and immunohistochemical analyses were consistent with a diagnosis of desmoid tumor.</w:t>
      </w:r>
    </w:p>
    <w:p w14:paraId="27463AA6"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Following </w:t>
      </w:r>
      <w:commentRangeStart w:id="2"/>
      <w:r w:rsidRPr="00BD139B">
        <w:rPr>
          <w:rFonts w:ascii="Times New Roman" w:eastAsia="Times New Roman" w:hAnsi="Times New Roman" w:cs="Times New Roman"/>
          <w:sz w:val="24"/>
          <w:szCs w:val="24"/>
          <w:lang w:val="en-US" w:eastAsia="fr-FR"/>
        </w:rPr>
        <w:t>multidisciplinary team discussion</w:t>
      </w:r>
      <w:commentRangeEnd w:id="2"/>
      <w:r w:rsidR="0060065A">
        <w:rPr>
          <w:rStyle w:val="CommentReference"/>
        </w:rPr>
        <w:commentReference w:id="2"/>
      </w:r>
      <w:r w:rsidRPr="00BD139B">
        <w:rPr>
          <w:rFonts w:ascii="Times New Roman" w:eastAsia="Times New Roman" w:hAnsi="Times New Roman" w:cs="Times New Roman"/>
          <w:sz w:val="24"/>
          <w:szCs w:val="24"/>
          <w:lang w:val="en-US" w:eastAsia="fr-FR"/>
        </w:rPr>
        <w:t>, surgical management was recommended. The patient underwent complete tumor resection with oncological safety margins, including total excision of the infraumbilical portion of the right rectus abdominis muscle (Figure 3). Reconstruction of the resulting abdominal wall defect was achieved using a dual-face prosthetic mesh fixed to the peritoneum and covered by the remaining rectus sheath aponeurosis. Subcutaneous tissues and skin were closed in layers (Figure 4).</w:t>
      </w:r>
    </w:p>
    <w:p w14:paraId="4C44C985"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Postoperative recovery was uneventful, and the patient was discharged on postoperative day three. At 15-day follow-up, clinical examination showed good wound healing with no early complications. Final histopathological examination of the surgical specimen confirmed the diagnosis of desmoid tumor with clear surgical margins.</w:t>
      </w:r>
    </w:p>
    <w:p w14:paraId="05F3DDA5"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Discussion</w:t>
      </w:r>
    </w:p>
    <w:p w14:paraId="778AACC0"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Desmoid tumors, also referred to as desmoid-type fibromatosis, are rare benign fibroblastic neoplasms arising from musculoaponeurotic structures. They represent less than 3% of all soft tissue tumors and predominantly affect young adults, with a clear female predominance, particularly when the abdominal wall is involved [1–3]. Despite their benign histology and absence of metastatic potential, these tumors are characterized by locally aggressive and infiltrative growth, which accounts for their associated morbidity and relatively high rates of local recurrence [3].</w:t>
      </w:r>
    </w:p>
    <w:p w14:paraId="1E12293A"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lastRenderedPageBreak/>
        <w:t xml:space="preserve">Several factors have been implicated in the pathogenesis of desmoid tumors, including hormonal influences, </w:t>
      </w:r>
      <w:commentRangeStart w:id="3"/>
      <w:r w:rsidRPr="00BD139B">
        <w:rPr>
          <w:rFonts w:ascii="Times New Roman" w:eastAsia="Times New Roman" w:hAnsi="Times New Roman" w:cs="Times New Roman"/>
          <w:sz w:val="24"/>
          <w:szCs w:val="24"/>
          <w:lang w:val="en-US" w:eastAsia="fr-FR"/>
        </w:rPr>
        <w:t xml:space="preserve">previous surgery </w:t>
      </w:r>
      <w:commentRangeEnd w:id="3"/>
      <w:r w:rsidR="00E172F4">
        <w:rPr>
          <w:rStyle w:val="CommentReference"/>
        </w:rPr>
        <w:commentReference w:id="3"/>
      </w:r>
      <w:r w:rsidRPr="00BD139B">
        <w:rPr>
          <w:rFonts w:ascii="Times New Roman" w:eastAsia="Times New Roman" w:hAnsi="Times New Roman" w:cs="Times New Roman"/>
          <w:sz w:val="24"/>
          <w:szCs w:val="24"/>
          <w:lang w:val="en-US" w:eastAsia="fr-FR"/>
        </w:rPr>
        <w:t xml:space="preserve">or trauma, and genetic alterations. Most sporadic cases harbor activating mutations of the </w:t>
      </w:r>
      <w:r w:rsidRPr="00BD139B">
        <w:rPr>
          <w:rFonts w:ascii="Times New Roman" w:eastAsia="Times New Roman" w:hAnsi="Times New Roman" w:cs="Times New Roman"/>
          <w:b/>
          <w:bCs/>
          <w:sz w:val="24"/>
          <w:szCs w:val="24"/>
          <w:lang w:val="en-US" w:eastAsia="fr-FR"/>
        </w:rPr>
        <w:t>CTNNB1</w:t>
      </w:r>
      <w:r w:rsidRPr="00BD139B">
        <w:rPr>
          <w:rFonts w:ascii="Times New Roman" w:eastAsia="Times New Roman" w:hAnsi="Times New Roman" w:cs="Times New Roman"/>
          <w:sz w:val="24"/>
          <w:szCs w:val="24"/>
          <w:lang w:val="en-US" w:eastAsia="fr-FR"/>
        </w:rPr>
        <w:t xml:space="preserve"> gene, resulting in </w:t>
      </w:r>
      <w:r w:rsidRPr="00BD139B">
        <w:rPr>
          <w:rFonts w:ascii="Times New Roman" w:eastAsia="Times New Roman" w:hAnsi="Times New Roman" w:cs="Times New Roman"/>
          <w:sz w:val="24"/>
          <w:szCs w:val="24"/>
          <w:lang w:eastAsia="fr-FR"/>
        </w:rPr>
        <w:t>β</w:t>
      </w:r>
      <w:r w:rsidRPr="00BD139B">
        <w:rPr>
          <w:rFonts w:ascii="Times New Roman" w:eastAsia="Times New Roman" w:hAnsi="Times New Roman" w:cs="Times New Roman"/>
          <w:sz w:val="24"/>
          <w:szCs w:val="24"/>
          <w:lang w:val="en-US" w:eastAsia="fr-FR"/>
        </w:rPr>
        <w:t>-catenin accumulation and dysregulated fibroblastic proliferation. Certain mutations, especially the S45F variant, have been associated with an increased risk of recurrence [3]. In the present case, no identifiable predisposing factor was found, which is consistent with many reported sporadic presentations.</w:t>
      </w:r>
    </w:p>
    <w:p w14:paraId="39C46A11"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Clinically, abdominal wall desmoid tumors often present with slowly progressive symptoms related to mass effect, such as localized pain, discomfort, or digestive complaints. Magnetic resonance imaging remains the reference modality for diagnosis and preoperative evaluation, typically demonstrating iso- to hypointense signal on T1-weighted images and heterogeneous hyperintensity on T2-weighted images, with variable contrast enhancement [4]. Histological confirmation by core needle biopsy is essential to establish the diagnosis and guide therapeutic decision-making [1–4].</w:t>
      </w:r>
    </w:p>
    <w:p w14:paraId="3F25D967"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Over recent years, the management of desmoid tumors has shifted toward a more conservative approach, with active surveillance increasingly recommended for asymptomatic or stable lesions </w:t>
      </w:r>
      <w:commentRangeStart w:id="4"/>
      <w:r w:rsidRPr="00BD139B">
        <w:rPr>
          <w:rFonts w:ascii="Times New Roman" w:eastAsia="Times New Roman" w:hAnsi="Times New Roman" w:cs="Times New Roman"/>
          <w:sz w:val="24"/>
          <w:szCs w:val="24"/>
          <w:lang w:val="en-US" w:eastAsia="fr-FR"/>
        </w:rPr>
        <w:t>[5]</w:t>
      </w:r>
      <w:commentRangeEnd w:id="4"/>
      <w:r w:rsidR="000D4AE2">
        <w:rPr>
          <w:rStyle w:val="CommentReference"/>
        </w:rPr>
        <w:commentReference w:id="4"/>
      </w:r>
      <w:r w:rsidRPr="00BD139B">
        <w:rPr>
          <w:rFonts w:ascii="Times New Roman" w:eastAsia="Times New Roman" w:hAnsi="Times New Roman" w:cs="Times New Roman"/>
          <w:sz w:val="24"/>
          <w:szCs w:val="24"/>
          <w:lang w:val="en-US" w:eastAsia="fr-FR"/>
        </w:rPr>
        <w:t>. Nevertheless, surgical resection remains indicated for symptomatic, progressive, or functionally limiting tumors, particularly those arising from the abdominal wall, where complete excision is often technically feasible and associated with favorable local control [4</w:t>
      </w:r>
      <w:proofErr w:type="gramStart"/>
      <w:r w:rsidRPr="00BD139B">
        <w:rPr>
          <w:rFonts w:ascii="Times New Roman" w:eastAsia="Times New Roman" w:hAnsi="Times New Roman" w:cs="Times New Roman"/>
          <w:sz w:val="24"/>
          <w:szCs w:val="24"/>
          <w:lang w:val="en-US" w:eastAsia="fr-FR"/>
        </w:rPr>
        <w:t>,</w:t>
      </w:r>
      <w:commentRangeStart w:id="5"/>
      <w:r w:rsidRPr="00BD139B">
        <w:rPr>
          <w:rFonts w:ascii="Times New Roman" w:eastAsia="Times New Roman" w:hAnsi="Times New Roman" w:cs="Times New Roman"/>
          <w:sz w:val="24"/>
          <w:szCs w:val="24"/>
          <w:lang w:val="en-US" w:eastAsia="fr-FR"/>
        </w:rPr>
        <w:t>5</w:t>
      </w:r>
      <w:commentRangeEnd w:id="5"/>
      <w:proofErr w:type="gramEnd"/>
      <w:r w:rsidR="000D4AE2">
        <w:rPr>
          <w:rStyle w:val="CommentReference"/>
        </w:rPr>
        <w:commentReference w:id="5"/>
      </w:r>
      <w:r w:rsidRPr="00BD139B">
        <w:rPr>
          <w:rFonts w:ascii="Times New Roman" w:eastAsia="Times New Roman" w:hAnsi="Times New Roman" w:cs="Times New Roman"/>
          <w:sz w:val="24"/>
          <w:szCs w:val="24"/>
          <w:lang w:val="en-US" w:eastAsia="fr-FR"/>
        </w:rPr>
        <w:t>]. Although the prognostic impact of margin status remains debated, wide resection is still commonly pursued in young patients with large and symptomatic tumors.</w:t>
      </w:r>
    </w:p>
    <w:p w14:paraId="2A122C58"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Extensive surgical excision frequently results in significant abdominal wall defects, necessitating complex reconstruction. Dual-face prosthetic meshes offer effective parietal reinforcement while reducing the risk of visceral adhesions through their anti-adhesive surface [5]. In the present case, the use of a bifacial mesh enabled secure reconstruction following complete resection of the infraumbilical portion of the rectus abdominis muscle, providing adequate coverage of a large tissue defect with satisfactory early postoperative outcomes </w:t>
      </w:r>
      <w:commentRangeStart w:id="6"/>
      <w:r w:rsidRPr="00BD139B">
        <w:rPr>
          <w:rFonts w:ascii="Times New Roman" w:eastAsia="Times New Roman" w:hAnsi="Times New Roman" w:cs="Times New Roman"/>
          <w:sz w:val="24"/>
          <w:szCs w:val="24"/>
          <w:lang w:val="en-US" w:eastAsia="fr-FR"/>
        </w:rPr>
        <w:t>[6</w:t>
      </w:r>
      <w:proofErr w:type="gramStart"/>
      <w:r w:rsidRPr="00BD139B">
        <w:rPr>
          <w:rFonts w:ascii="Times New Roman" w:eastAsia="Times New Roman" w:hAnsi="Times New Roman" w:cs="Times New Roman"/>
          <w:sz w:val="24"/>
          <w:szCs w:val="24"/>
          <w:lang w:val="en-US" w:eastAsia="fr-FR"/>
        </w:rPr>
        <w:t>,7</w:t>
      </w:r>
      <w:proofErr w:type="gramEnd"/>
      <w:r w:rsidRPr="00BD139B">
        <w:rPr>
          <w:rFonts w:ascii="Times New Roman" w:eastAsia="Times New Roman" w:hAnsi="Times New Roman" w:cs="Times New Roman"/>
          <w:sz w:val="24"/>
          <w:szCs w:val="24"/>
          <w:lang w:val="en-US" w:eastAsia="fr-FR"/>
        </w:rPr>
        <w:t>]</w:t>
      </w:r>
      <w:commentRangeEnd w:id="6"/>
      <w:r w:rsidR="009C72EF">
        <w:rPr>
          <w:rStyle w:val="CommentReference"/>
        </w:rPr>
        <w:commentReference w:id="6"/>
      </w:r>
      <w:r w:rsidRPr="00BD139B">
        <w:rPr>
          <w:rFonts w:ascii="Times New Roman" w:eastAsia="Times New Roman" w:hAnsi="Times New Roman" w:cs="Times New Roman"/>
          <w:sz w:val="24"/>
          <w:szCs w:val="24"/>
          <w:lang w:val="en-US" w:eastAsia="fr-FR"/>
        </w:rPr>
        <w:t>.</w:t>
      </w:r>
    </w:p>
    <w:p w14:paraId="163C0357"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 xml:space="preserve">Local recurrence remains the principal long-term concern following surgical treatment, with recurrence rates varying according to tumor location and biological behavior. Abdominal wall desmoid tumors generally exhibit lower recurrence rates than intra-abdominal or extra-abdominal lesions; however, </w:t>
      </w:r>
      <w:commentRangeStart w:id="7"/>
      <w:r w:rsidRPr="00BD139B">
        <w:rPr>
          <w:rFonts w:ascii="Times New Roman" w:eastAsia="Times New Roman" w:hAnsi="Times New Roman" w:cs="Times New Roman"/>
          <w:sz w:val="24"/>
          <w:szCs w:val="24"/>
          <w:lang w:val="en-US" w:eastAsia="fr-FR"/>
        </w:rPr>
        <w:t>long-term clinical and radiological follow-up remains essential due to the unpredictable natural history of the disease [7].</w:t>
      </w:r>
      <w:commentRangeEnd w:id="7"/>
      <w:r w:rsidR="005A6112">
        <w:rPr>
          <w:rStyle w:val="CommentReference"/>
        </w:rPr>
        <w:commentReference w:id="7"/>
      </w:r>
    </w:p>
    <w:p w14:paraId="1758CC24" w14:textId="77777777" w:rsidR="00BD139B" w:rsidRPr="00BD139B" w:rsidRDefault="00BD139B" w:rsidP="00BD139B">
      <w:pPr>
        <w:spacing w:before="100" w:beforeAutospacing="1" w:after="100" w:afterAutospacing="1" w:line="240" w:lineRule="auto"/>
        <w:rPr>
          <w:rFonts w:ascii="Times New Roman" w:eastAsia="Times New Roman" w:hAnsi="Times New Roman" w:cs="Times New Roman"/>
          <w:sz w:val="24"/>
          <w:szCs w:val="24"/>
          <w:lang w:val="en-US" w:eastAsia="fr-FR"/>
        </w:rPr>
      </w:pPr>
      <w:r w:rsidRPr="00BD139B">
        <w:rPr>
          <w:rFonts w:ascii="Times New Roman" w:eastAsia="Times New Roman" w:hAnsi="Times New Roman" w:cs="Times New Roman"/>
          <w:sz w:val="24"/>
          <w:szCs w:val="24"/>
          <w:lang w:val="en-US" w:eastAsia="fr-FR"/>
        </w:rPr>
        <w:t>This case is noteworthy for several reasons. It illustrates the presentation of a large abdominal wall desmoid tumor in a young woman without identifiable risk factors, supports the role of complete surgical resection in selected symptomatic cases, and highlights the effectiveness of dual-mesh prosthetic reconstruction in managing extensive abdominal wall defects while preserving parietal integrity and achieving favorable early outcomes.</w:t>
      </w:r>
    </w:p>
    <w:p w14:paraId="449C4902" w14:textId="77777777" w:rsidR="00BD139B" w:rsidRPr="00BD139B" w:rsidRDefault="00BD139B" w:rsidP="00BD139B">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BD139B">
        <w:rPr>
          <w:rFonts w:ascii="Times New Roman" w:eastAsia="Times New Roman" w:hAnsi="Times New Roman" w:cs="Times New Roman"/>
          <w:b/>
          <w:bCs/>
          <w:sz w:val="36"/>
          <w:szCs w:val="36"/>
          <w:lang w:val="en-US" w:eastAsia="fr-FR"/>
        </w:rPr>
        <w:t>Conclusion</w:t>
      </w:r>
    </w:p>
    <w:p w14:paraId="3AA9B9F4" w14:textId="77777777" w:rsidR="005F3B27" w:rsidRPr="00BD139B" w:rsidRDefault="00BD139B" w:rsidP="00BD139B">
      <w:pPr>
        <w:spacing w:before="100" w:beforeAutospacing="1" w:after="100" w:afterAutospacing="1" w:line="240" w:lineRule="auto"/>
        <w:rPr>
          <w:rStyle w:val="Strong"/>
          <w:rFonts w:ascii="Times New Roman" w:eastAsia="Times New Roman" w:hAnsi="Times New Roman" w:cs="Times New Roman"/>
          <w:b w:val="0"/>
          <w:bCs w:val="0"/>
          <w:sz w:val="24"/>
          <w:szCs w:val="24"/>
          <w:lang w:val="en-US" w:eastAsia="fr-FR"/>
        </w:rPr>
      </w:pPr>
      <w:r w:rsidRPr="00BD139B">
        <w:rPr>
          <w:rFonts w:ascii="Times New Roman" w:eastAsia="Times New Roman" w:hAnsi="Times New Roman" w:cs="Times New Roman"/>
          <w:sz w:val="24"/>
          <w:szCs w:val="24"/>
          <w:lang w:val="en-US" w:eastAsia="fr-FR"/>
        </w:rPr>
        <w:t xml:space="preserve">Abdominal wall desmoid tumors in young patients present both diagnostic and therapeutic challenges. </w:t>
      </w:r>
      <w:commentRangeStart w:id="8"/>
      <w:r w:rsidRPr="00BD139B">
        <w:rPr>
          <w:rFonts w:ascii="Times New Roman" w:eastAsia="Times New Roman" w:hAnsi="Times New Roman" w:cs="Times New Roman"/>
          <w:sz w:val="24"/>
          <w:szCs w:val="24"/>
          <w:lang w:val="en-US" w:eastAsia="fr-FR"/>
        </w:rPr>
        <w:t>In carefully selected cases, complete surgical resection remains an appropriate and effective treatment option</w:t>
      </w:r>
      <w:commentRangeEnd w:id="8"/>
      <w:r w:rsidR="00565D62">
        <w:rPr>
          <w:rStyle w:val="CommentReference"/>
        </w:rPr>
        <w:commentReference w:id="8"/>
      </w:r>
      <w:r w:rsidRPr="00BD139B">
        <w:rPr>
          <w:rFonts w:ascii="Times New Roman" w:eastAsia="Times New Roman" w:hAnsi="Times New Roman" w:cs="Times New Roman"/>
          <w:sz w:val="24"/>
          <w:szCs w:val="24"/>
          <w:lang w:val="en-US" w:eastAsia="fr-FR"/>
        </w:rPr>
        <w:t>. Dual-mesh prosthetic reconstruction represents a safe and reliable technique for the management of large abdominal wall defects, allowing restoration of abdominal wall integrity with favorable postoperative outcomes.</w:t>
      </w:r>
    </w:p>
    <w:p w14:paraId="00AE7449" w14:textId="77777777" w:rsidR="009C0EF7" w:rsidRPr="009C0EF7" w:rsidRDefault="009C0EF7" w:rsidP="009C0EF7">
      <w:pPr>
        <w:pStyle w:val="Heading2"/>
        <w:rPr>
          <w:lang w:val="en-US"/>
        </w:rPr>
      </w:pPr>
      <w:r w:rsidRPr="009C0EF7">
        <w:rPr>
          <w:rStyle w:val="Strong"/>
          <w:b/>
          <w:bCs/>
          <w:lang w:val="en-US"/>
        </w:rPr>
        <w:lastRenderedPageBreak/>
        <w:t>References</w:t>
      </w:r>
    </w:p>
    <w:p w14:paraId="65B60220" w14:textId="57570570" w:rsidR="000D7D63" w:rsidRPr="000D7D63" w:rsidRDefault="000D7D63" w:rsidP="009C0EF7">
      <w:pPr>
        <w:pStyle w:val="NormalWeb"/>
        <w:numPr>
          <w:ilvl w:val="0"/>
          <w:numId w:val="1"/>
        </w:numPr>
      </w:pPr>
      <w:commentRangeStart w:id="9"/>
      <w:r w:rsidRPr="000D7D63">
        <w:rPr>
          <w:lang w:val="en-US"/>
        </w:rPr>
        <w:t xml:space="preserve">Kasper, B., Baumgarten, C., Garcia, J., </w:t>
      </w:r>
      <w:proofErr w:type="spellStart"/>
      <w:r w:rsidRPr="000D7D63">
        <w:rPr>
          <w:lang w:val="en-US"/>
        </w:rPr>
        <w:t>Bonvalot</w:t>
      </w:r>
      <w:proofErr w:type="spellEnd"/>
      <w:r w:rsidRPr="000D7D63">
        <w:rPr>
          <w:lang w:val="en-US"/>
        </w:rPr>
        <w:t xml:space="preserve">, S., Haas, R., Haller, F., </w:t>
      </w:r>
      <w:proofErr w:type="spellStart"/>
      <w:r w:rsidRPr="000D7D63">
        <w:rPr>
          <w:lang w:val="en-US"/>
        </w:rPr>
        <w:t>Hohenberger</w:t>
      </w:r>
      <w:proofErr w:type="spellEnd"/>
      <w:r w:rsidRPr="000D7D63">
        <w:rPr>
          <w:lang w:val="en-US"/>
        </w:rPr>
        <w:t xml:space="preserve">, P., </w:t>
      </w:r>
      <w:proofErr w:type="spellStart"/>
      <w:r w:rsidRPr="000D7D63">
        <w:rPr>
          <w:lang w:val="en-US"/>
        </w:rPr>
        <w:t>Penel</w:t>
      </w:r>
      <w:proofErr w:type="spellEnd"/>
      <w:r w:rsidRPr="000D7D63">
        <w:rPr>
          <w:lang w:val="en-US"/>
        </w:rPr>
        <w:t xml:space="preserve">, N., </w:t>
      </w:r>
      <w:proofErr w:type="spellStart"/>
      <w:r w:rsidRPr="000D7D63">
        <w:rPr>
          <w:lang w:val="en-US"/>
        </w:rPr>
        <w:t>Messiou</w:t>
      </w:r>
      <w:proofErr w:type="spellEnd"/>
      <w:r w:rsidRPr="000D7D63">
        <w:rPr>
          <w:lang w:val="en-US"/>
        </w:rPr>
        <w:t xml:space="preserve">, C., van der Graaf, W. T., </w:t>
      </w:r>
      <w:proofErr w:type="spellStart"/>
      <w:r w:rsidRPr="000D7D63">
        <w:rPr>
          <w:lang w:val="en-US"/>
        </w:rPr>
        <w:t>Gronchi</w:t>
      </w:r>
      <w:proofErr w:type="spellEnd"/>
      <w:r w:rsidRPr="000D7D63">
        <w:rPr>
          <w:lang w:val="en-US"/>
        </w:rPr>
        <w:t xml:space="preserve">, A., Bauer, S., </w:t>
      </w:r>
      <w:proofErr w:type="spellStart"/>
      <w:r w:rsidRPr="000D7D63">
        <w:rPr>
          <w:lang w:val="en-US"/>
        </w:rPr>
        <w:t>Blay</w:t>
      </w:r>
      <w:proofErr w:type="spellEnd"/>
      <w:r w:rsidRPr="000D7D63">
        <w:rPr>
          <w:lang w:val="en-US"/>
        </w:rPr>
        <w:t xml:space="preserve">, J. Y., van </w:t>
      </w:r>
      <w:proofErr w:type="spellStart"/>
      <w:r w:rsidRPr="000D7D63">
        <w:rPr>
          <w:lang w:val="en-US"/>
        </w:rPr>
        <w:t>Coevorden</w:t>
      </w:r>
      <w:proofErr w:type="spellEnd"/>
      <w:r w:rsidRPr="000D7D63">
        <w:rPr>
          <w:lang w:val="en-US"/>
        </w:rPr>
        <w:t xml:space="preserve">, F., </w:t>
      </w:r>
      <w:proofErr w:type="spellStart"/>
      <w:r w:rsidRPr="000D7D63">
        <w:rPr>
          <w:lang w:val="en-US"/>
        </w:rPr>
        <w:t>Dileo</w:t>
      </w:r>
      <w:proofErr w:type="spellEnd"/>
      <w:r w:rsidRPr="000D7D63">
        <w:rPr>
          <w:lang w:val="en-US"/>
        </w:rPr>
        <w:t xml:space="preserve">, P., </w:t>
      </w:r>
      <w:proofErr w:type="spellStart"/>
      <w:r w:rsidRPr="000D7D63">
        <w:rPr>
          <w:lang w:val="en-US"/>
        </w:rPr>
        <w:t>Dürr</w:t>
      </w:r>
      <w:proofErr w:type="spellEnd"/>
      <w:r w:rsidRPr="000D7D63">
        <w:rPr>
          <w:lang w:val="en-US"/>
        </w:rPr>
        <w:t xml:space="preserve">, H. R., Fiore, M., </w:t>
      </w:r>
      <w:proofErr w:type="spellStart"/>
      <w:r w:rsidRPr="000D7D63">
        <w:rPr>
          <w:lang w:val="en-US"/>
        </w:rPr>
        <w:t>Grünwald</w:t>
      </w:r>
      <w:proofErr w:type="spellEnd"/>
      <w:r w:rsidRPr="000D7D63">
        <w:rPr>
          <w:lang w:val="en-US"/>
        </w:rPr>
        <w:t xml:space="preserve">, V., Jones, R., ... </w:t>
      </w:r>
      <w:proofErr w:type="spellStart"/>
      <w:r w:rsidRPr="000D7D63">
        <w:rPr>
          <w:lang w:val="en-IN"/>
        </w:rPr>
        <w:t>Wartenberg</w:t>
      </w:r>
      <w:proofErr w:type="spellEnd"/>
      <w:r w:rsidRPr="000D7D63">
        <w:rPr>
          <w:lang w:val="en-IN"/>
        </w:rPr>
        <w:t>, M</w:t>
      </w:r>
      <w:commentRangeEnd w:id="9"/>
      <w:r w:rsidR="00565D62">
        <w:rPr>
          <w:rStyle w:val="CommentReference"/>
          <w:rFonts w:asciiTheme="minorHAnsi" w:eastAsiaTheme="minorHAnsi" w:hAnsiTheme="minorHAnsi" w:cstheme="minorBidi"/>
          <w:lang w:eastAsia="en-US"/>
        </w:rPr>
        <w:commentReference w:id="9"/>
      </w:r>
      <w:r w:rsidRPr="000D7D63">
        <w:rPr>
          <w:lang w:val="en-IN"/>
        </w:rPr>
        <w:t xml:space="preserve">. (2017). An update on the management of sporadic desmoid-type fibromatosis: a European Consensus Initiative between Sarcoma </w:t>
      </w:r>
      <w:proofErr w:type="spellStart"/>
      <w:r w:rsidRPr="000D7D63">
        <w:rPr>
          <w:lang w:val="en-IN"/>
        </w:rPr>
        <w:t>PAtients</w:t>
      </w:r>
      <w:proofErr w:type="spellEnd"/>
      <w:r w:rsidRPr="000D7D63">
        <w:rPr>
          <w:lang w:val="en-IN"/>
        </w:rPr>
        <w:t xml:space="preserve"> </w:t>
      </w:r>
      <w:proofErr w:type="spellStart"/>
      <w:r w:rsidRPr="000D7D63">
        <w:rPr>
          <w:lang w:val="en-IN"/>
        </w:rPr>
        <w:t>EuroNet</w:t>
      </w:r>
      <w:proofErr w:type="spellEnd"/>
      <w:r w:rsidRPr="000D7D63">
        <w:rPr>
          <w:lang w:val="en-IN"/>
        </w:rPr>
        <w:t xml:space="preserve"> (SPAEN) and European Organization for Research and Treatment of Cancer (EORTC)/Soft Tissue and Bone Sarcoma Group (STBSG). *Annals of Oncology*, *28*(10), 2399–2408. </w:t>
      </w:r>
      <w:hyperlink r:id="rId9" w:history="1">
        <w:r w:rsidRPr="009A7BA8">
          <w:rPr>
            <w:rStyle w:val="Hyperlink"/>
            <w:lang w:val="en-IN"/>
          </w:rPr>
          <w:t>https://doi.org/10.1093/annonc/mdx323</w:t>
        </w:r>
      </w:hyperlink>
    </w:p>
    <w:p w14:paraId="18E8572F" w14:textId="2F3041DA" w:rsidR="000D7D63" w:rsidRPr="000D7D63" w:rsidRDefault="000D7D63" w:rsidP="009C0EF7">
      <w:pPr>
        <w:pStyle w:val="NormalWeb"/>
        <w:numPr>
          <w:ilvl w:val="0"/>
          <w:numId w:val="1"/>
        </w:numPr>
      </w:pPr>
      <w:r w:rsidRPr="000D7D63">
        <w:rPr>
          <w:lang w:val="en-US"/>
        </w:rPr>
        <w:t xml:space="preserve">Desmoid Tumor Working Group. (2020). The management of </w:t>
      </w:r>
      <w:proofErr w:type="spellStart"/>
      <w:r w:rsidRPr="000D7D63">
        <w:rPr>
          <w:lang w:val="en-US"/>
        </w:rPr>
        <w:t>desmoid</w:t>
      </w:r>
      <w:proofErr w:type="spellEnd"/>
      <w:r w:rsidRPr="000D7D63">
        <w:rPr>
          <w:lang w:val="en-US"/>
        </w:rPr>
        <w:t xml:space="preserve"> </w:t>
      </w:r>
      <w:proofErr w:type="spellStart"/>
      <w:r w:rsidRPr="000D7D63">
        <w:rPr>
          <w:lang w:val="en-US"/>
        </w:rPr>
        <w:t>tumours</w:t>
      </w:r>
      <w:proofErr w:type="spellEnd"/>
      <w:r w:rsidRPr="000D7D63">
        <w:rPr>
          <w:lang w:val="en-US"/>
        </w:rPr>
        <w:t xml:space="preserve">: A joint global consensus-based guideline approach for adult and </w:t>
      </w:r>
      <w:proofErr w:type="spellStart"/>
      <w:r w:rsidRPr="000D7D63">
        <w:rPr>
          <w:lang w:val="en-US"/>
        </w:rPr>
        <w:t>paediatric</w:t>
      </w:r>
      <w:proofErr w:type="spellEnd"/>
      <w:r w:rsidRPr="000D7D63">
        <w:rPr>
          <w:lang w:val="en-US"/>
        </w:rPr>
        <w:t xml:space="preserve"> patients. European Journal of Cancer, 127, 96–107. </w:t>
      </w:r>
      <w:hyperlink r:id="rId10" w:history="1">
        <w:r w:rsidRPr="009A7BA8">
          <w:rPr>
            <w:rStyle w:val="Hyperlink"/>
            <w:lang w:val="en-US"/>
          </w:rPr>
          <w:t>https://doi.org/10.1016/j.ejca.2019.11.013</w:t>
        </w:r>
      </w:hyperlink>
    </w:p>
    <w:p w14:paraId="2EF2CE20" w14:textId="527D3C26" w:rsidR="000D7D63" w:rsidRDefault="000D7D63" w:rsidP="009C0EF7">
      <w:pPr>
        <w:pStyle w:val="NormalWeb"/>
        <w:numPr>
          <w:ilvl w:val="0"/>
          <w:numId w:val="1"/>
        </w:numPr>
      </w:pPr>
      <w:commentRangeStart w:id="10"/>
      <w:r w:rsidRPr="000D7D63">
        <w:rPr>
          <w:lang w:val="en-US"/>
        </w:rPr>
        <w:t xml:space="preserve">Mullen, J. T., DeLaney, T. F., Kobayashi, W. K., </w:t>
      </w:r>
      <w:proofErr w:type="spellStart"/>
      <w:r w:rsidRPr="000D7D63">
        <w:rPr>
          <w:lang w:val="en-US"/>
        </w:rPr>
        <w:t>Szymonifka</w:t>
      </w:r>
      <w:proofErr w:type="spellEnd"/>
      <w:r w:rsidRPr="000D7D63">
        <w:rPr>
          <w:lang w:val="en-US"/>
        </w:rPr>
        <w:t xml:space="preserve">, J., </w:t>
      </w:r>
      <w:proofErr w:type="spellStart"/>
      <w:r w:rsidRPr="000D7D63">
        <w:rPr>
          <w:lang w:val="en-US"/>
        </w:rPr>
        <w:t>Yeap</w:t>
      </w:r>
      <w:proofErr w:type="spellEnd"/>
      <w:r w:rsidRPr="000D7D63">
        <w:rPr>
          <w:lang w:val="en-US"/>
        </w:rPr>
        <w:t xml:space="preserve">, B. Y., Chen, Y. L., Rosenberg, A. E., Harmon, D. C., Choy, E., Yoon, S. S., </w:t>
      </w:r>
      <w:proofErr w:type="spellStart"/>
      <w:r w:rsidRPr="000D7D63">
        <w:rPr>
          <w:lang w:val="en-US"/>
        </w:rPr>
        <w:t>Raskin</w:t>
      </w:r>
      <w:proofErr w:type="spellEnd"/>
      <w:r w:rsidRPr="000D7D63">
        <w:rPr>
          <w:lang w:val="en-US"/>
        </w:rPr>
        <w:t xml:space="preserve">, K. A., Nielsen, G. P., &amp; </w:t>
      </w:r>
      <w:proofErr w:type="spellStart"/>
      <w:r w:rsidRPr="000D7D63">
        <w:rPr>
          <w:lang w:val="en-US"/>
        </w:rPr>
        <w:t>Hornicek</w:t>
      </w:r>
      <w:proofErr w:type="spellEnd"/>
      <w:r w:rsidRPr="000D7D63">
        <w:rPr>
          <w:lang w:val="en-US"/>
        </w:rPr>
        <w:t xml:space="preserve">, F. J. </w:t>
      </w:r>
      <w:commentRangeEnd w:id="10"/>
      <w:r w:rsidR="00565D62">
        <w:rPr>
          <w:rStyle w:val="CommentReference"/>
          <w:rFonts w:asciiTheme="minorHAnsi" w:eastAsiaTheme="minorHAnsi" w:hAnsiTheme="minorHAnsi" w:cstheme="minorBidi"/>
          <w:lang w:eastAsia="en-US"/>
        </w:rPr>
        <w:commentReference w:id="10"/>
      </w:r>
      <w:r w:rsidRPr="000D7D63">
        <w:rPr>
          <w:lang w:val="en-US"/>
        </w:rPr>
        <w:t xml:space="preserve">(2012). Desmoid Tumor: Analysis of Prognostic Factors and Outcomes in a Surgical Series. </w:t>
      </w:r>
      <w:proofErr w:type="spellStart"/>
      <w:r w:rsidRPr="000D7D63">
        <w:t>Annals</w:t>
      </w:r>
      <w:proofErr w:type="spellEnd"/>
      <w:r w:rsidRPr="000D7D63">
        <w:t xml:space="preserve"> of </w:t>
      </w:r>
      <w:proofErr w:type="spellStart"/>
      <w:r w:rsidRPr="000D7D63">
        <w:t>Surgical</w:t>
      </w:r>
      <w:proofErr w:type="spellEnd"/>
      <w:r w:rsidRPr="000D7D63">
        <w:t xml:space="preserve"> </w:t>
      </w:r>
      <w:proofErr w:type="spellStart"/>
      <w:r w:rsidRPr="000D7D63">
        <w:t>Oncology</w:t>
      </w:r>
      <w:proofErr w:type="spellEnd"/>
      <w:r w:rsidRPr="000D7D63">
        <w:t xml:space="preserve">, 19(13), 4028–4035. </w:t>
      </w:r>
      <w:hyperlink r:id="rId11" w:history="1">
        <w:r w:rsidRPr="009A7BA8">
          <w:rPr>
            <w:rStyle w:val="Hyperlink"/>
          </w:rPr>
          <w:t>https://doi.org/10.1245/s10434-012-2638-2</w:t>
        </w:r>
      </w:hyperlink>
    </w:p>
    <w:p w14:paraId="41AC5876" w14:textId="5FEC8FDF" w:rsidR="000D7D63" w:rsidRDefault="000D7D63" w:rsidP="009C0EF7">
      <w:pPr>
        <w:pStyle w:val="NormalWeb"/>
        <w:numPr>
          <w:ilvl w:val="0"/>
          <w:numId w:val="1"/>
        </w:numPr>
      </w:pPr>
      <w:r w:rsidRPr="000D7D63">
        <w:t xml:space="preserve">Colombo, C., </w:t>
      </w:r>
      <w:proofErr w:type="spellStart"/>
      <w:r w:rsidRPr="000D7D63">
        <w:t>Miceli</w:t>
      </w:r>
      <w:proofErr w:type="spellEnd"/>
      <w:r w:rsidRPr="000D7D63">
        <w:t xml:space="preserve">, R., Le </w:t>
      </w:r>
      <w:proofErr w:type="spellStart"/>
      <w:r w:rsidRPr="000D7D63">
        <w:t>Péchoux</w:t>
      </w:r>
      <w:proofErr w:type="spellEnd"/>
      <w:r w:rsidRPr="000D7D63">
        <w:t xml:space="preserve">, C., </w:t>
      </w:r>
      <w:proofErr w:type="spellStart"/>
      <w:r w:rsidRPr="000D7D63">
        <w:t>Palassini</w:t>
      </w:r>
      <w:proofErr w:type="spellEnd"/>
      <w:r w:rsidRPr="000D7D63">
        <w:t xml:space="preserve">, E., Honoré, C., </w:t>
      </w:r>
      <w:proofErr w:type="spellStart"/>
      <w:r w:rsidRPr="000D7D63">
        <w:t>Stacchiotti</w:t>
      </w:r>
      <w:proofErr w:type="spellEnd"/>
      <w:r w:rsidRPr="000D7D63">
        <w:t xml:space="preserve">, S., Mir, O., </w:t>
      </w:r>
      <w:proofErr w:type="spellStart"/>
      <w:r w:rsidRPr="000D7D63">
        <w:t>Casali</w:t>
      </w:r>
      <w:proofErr w:type="spellEnd"/>
      <w:r w:rsidRPr="000D7D63">
        <w:t xml:space="preserve">, P. G., </w:t>
      </w:r>
      <w:proofErr w:type="spellStart"/>
      <w:r w:rsidRPr="000D7D63">
        <w:t>Dômont</w:t>
      </w:r>
      <w:proofErr w:type="spellEnd"/>
      <w:r w:rsidRPr="000D7D63">
        <w:t xml:space="preserve">, J., Fiore, M., Le Cesne, A., Gronchi, A., &amp; </w:t>
      </w:r>
      <w:proofErr w:type="spellStart"/>
      <w:r w:rsidRPr="000D7D63">
        <w:t>Bonvalot</w:t>
      </w:r>
      <w:proofErr w:type="spellEnd"/>
      <w:r w:rsidRPr="000D7D63">
        <w:t xml:space="preserve">, S. (2015). </w:t>
      </w:r>
      <w:r w:rsidRPr="000D7D63">
        <w:rPr>
          <w:lang w:val="en-IN"/>
        </w:rPr>
        <w:t xml:space="preserve">Sporadic extra-abdominal wall desmoid-type fibromatosis: surgical resection can be safely limited to a minority of patients. </w:t>
      </w:r>
      <w:proofErr w:type="spellStart"/>
      <w:r w:rsidRPr="000D7D63">
        <w:t>European</w:t>
      </w:r>
      <w:proofErr w:type="spellEnd"/>
      <w:r w:rsidRPr="000D7D63">
        <w:t xml:space="preserve"> Journal of Cancer, 51(2), 186–192. </w:t>
      </w:r>
      <w:hyperlink r:id="rId12" w:history="1">
        <w:r w:rsidRPr="009A7BA8">
          <w:rPr>
            <w:rStyle w:val="Hyperlink"/>
          </w:rPr>
          <w:t>https://doi.org/10.1016/j.ejca.2014.11.019</w:t>
        </w:r>
      </w:hyperlink>
    </w:p>
    <w:p w14:paraId="1E20425B" w14:textId="09F429DE" w:rsidR="000D7D63" w:rsidRPr="000D7D63" w:rsidRDefault="000D7D63" w:rsidP="009C0EF7">
      <w:pPr>
        <w:pStyle w:val="NormalWeb"/>
        <w:numPr>
          <w:ilvl w:val="0"/>
          <w:numId w:val="1"/>
        </w:numPr>
      </w:pPr>
      <w:proofErr w:type="spellStart"/>
      <w:r w:rsidRPr="000D7D63">
        <w:t>Atema</w:t>
      </w:r>
      <w:proofErr w:type="spellEnd"/>
      <w:r w:rsidRPr="000D7D63">
        <w:t xml:space="preserve">, J. J., </w:t>
      </w:r>
      <w:proofErr w:type="spellStart"/>
      <w:r w:rsidRPr="000D7D63">
        <w:t>Furnée</w:t>
      </w:r>
      <w:proofErr w:type="spellEnd"/>
      <w:r w:rsidRPr="000D7D63">
        <w:t xml:space="preserve">, E. J., Maeda, Y., </w:t>
      </w:r>
      <w:proofErr w:type="spellStart"/>
      <w:r w:rsidRPr="000D7D63">
        <w:t>Warusavitarne</w:t>
      </w:r>
      <w:proofErr w:type="spellEnd"/>
      <w:r w:rsidRPr="000D7D63">
        <w:t xml:space="preserve">, J., Tanis, P. J., </w:t>
      </w:r>
      <w:proofErr w:type="spellStart"/>
      <w:r w:rsidRPr="000D7D63">
        <w:t>Bemelman</w:t>
      </w:r>
      <w:proofErr w:type="spellEnd"/>
      <w:r w:rsidRPr="000D7D63">
        <w:t xml:space="preserve">, W. A., </w:t>
      </w:r>
      <w:proofErr w:type="spellStart"/>
      <w:r w:rsidRPr="000D7D63">
        <w:t>Vaizey</w:t>
      </w:r>
      <w:proofErr w:type="spellEnd"/>
      <w:r w:rsidRPr="000D7D63">
        <w:t xml:space="preserve">, C. J., &amp; </w:t>
      </w:r>
      <w:proofErr w:type="spellStart"/>
      <w:r w:rsidRPr="000D7D63">
        <w:t>Boermeester</w:t>
      </w:r>
      <w:proofErr w:type="spellEnd"/>
      <w:r w:rsidRPr="000D7D63">
        <w:t xml:space="preserve">, M. A. (2017). </w:t>
      </w:r>
      <w:r w:rsidRPr="000D7D63">
        <w:rPr>
          <w:lang w:val="en-IN"/>
        </w:rPr>
        <w:t xml:space="preserve">Major complex abdominal wall repair in contaminated fields with use of a non-cross-linked biologic mesh: A dual-institutional experience. World Journal of Surgery, 41(8), 1993–1999. </w:t>
      </w:r>
      <w:hyperlink r:id="rId13" w:history="1">
        <w:r w:rsidRPr="009A7BA8">
          <w:rPr>
            <w:rStyle w:val="Hyperlink"/>
            <w:lang w:val="en-IN"/>
          </w:rPr>
          <w:t>https://doi.org/10.100</w:t>
        </w:r>
        <w:r w:rsidRPr="009A7BA8">
          <w:rPr>
            <w:rStyle w:val="Hyperlink"/>
            <w:lang w:val="en-IN"/>
          </w:rPr>
          <w:t>7</w:t>
        </w:r>
        <w:r w:rsidRPr="009A7BA8">
          <w:rPr>
            <w:rStyle w:val="Hyperlink"/>
            <w:lang w:val="en-IN"/>
          </w:rPr>
          <w:t>/s00268-017-3962-2</w:t>
        </w:r>
      </w:hyperlink>
    </w:p>
    <w:p w14:paraId="26A11E1E" w14:textId="117AF67D" w:rsidR="00B33363" w:rsidRDefault="00B33363" w:rsidP="009C0EF7">
      <w:pPr>
        <w:pStyle w:val="NormalWeb"/>
        <w:numPr>
          <w:ilvl w:val="0"/>
          <w:numId w:val="1"/>
        </w:numPr>
      </w:pPr>
      <w:r w:rsidRPr="00B33363">
        <w:rPr>
          <w:lang w:val="en-US"/>
        </w:rPr>
        <w:t xml:space="preserve">Wilkinson MJ, Chan KE, Hayes AJ, Strauss DC. </w:t>
      </w:r>
      <w:commentRangeStart w:id="11"/>
      <w:r w:rsidRPr="00B33363">
        <w:rPr>
          <w:rStyle w:val="Emphasis"/>
          <w:lang w:val="en-US"/>
        </w:rPr>
        <w:t>Surgical outcomes following resection for sporadic abdominal wall fibromatosis.</w:t>
      </w:r>
      <w:r w:rsidRPr="00B33363">
        <w:rPr>
          <w:lang w:val="en-US"/>
        </w:rPr>
        <w:t xml:space="preserve"> </w:t>
      </w:r>
      <w:commentRangeEnd w:id="11"/>
      <w:r w:rsidR="000D4AE2">
        <w:rPr>
          <w:rStyle w:val="CommentReference"/>
          <w:rFonts w:asciiTheme="minorHAnsi" w:eastAsiaTheme="minorHAnsi" w:hAnsiTheme="minorHAnsi" w:cstheme="minorBidi"/>
          <w:lang w:eastAsia="en-US"/>
        </w:rPr>
        <w:commentReference w:id="11"/>
      </w:r>
      <w:r>
        <w:t xml:space="preserve">Ann </w:t>
      </w:r>
      <w:proofErr w:type="spellStart"/>
      <w:r>
        <w:t>Surg</w:t>
      </w:r>
      <w:proofErr w:type="spellEnd"/>
      <w:r>
        <w:t xml:space="preserve"> </w:t>
      </w:r>
      <w:proofErr w:type="spellStart"/>
      <w:r>
        <w:t>Oncol</w:t>
      </w:r>
      <w:proofErr w:type="spellEnd"/>
      <w:r>
        <w:t xml:space="preserve">. 2014;21(7):2144–2149. </w:t>
      </w:r>
      <w:hyperlink r:id="rId14" w:history="1">
        <w:r w:rsidR="000D7D63" w:rsidRPr="009A7BA8">
          <w:rPr>
            <w:rStyle w:val="Hyperlink"/>
          </w:rPr>
          <w:t>https://link.springer.com/article/10.1245/s10434-014-3618-5</w:t>
        </w:r>
      </w:hyperlink>
      <w:r w:rsidR="000D7D63">
        <w:t xml:space="preserve"> </w:t>
      </w:r>
    </w:p>
    <w:p w14:paraId="2D26EA98" w14:textId="41ED65FF" w:rsidR="00FE4111" w:rsidRDefault="000D7D63" w:rsidP="008F4848">
      <w:pPr>
        <w:pStyle w:val="NormalWeb"/>
        <w:numPr>
          <w:ilvl w:val="0"/>
          <w:numId w:val="1"/>
        </w:numPr>
      </w:pPr>
      <w:r w:rsidRPr="000D7D63">
        <w:rPr>
          <w:lang w:val="pt-BR"/>
        </w:rPr>
        <w:t xml:space="preserve">Catania, G., Ruggeri, L., Iuppa, G., Di Stefano, C., Cardì, F., &amp; Iuppa, A. (2012). </w:t>
      </w:r>
      <w:r w:rsidRPr="000D7D63">
        <w:rPr>
          <w:lang w:val="en-IN"/>
        </w:rPr>
        <w:t xml:space="preserve">Abdominal wall reconstruction with intraperitoneal prosthesis in </w:t>
      </w:r>
      <w:proofErr w:type="spellStart"/>
      <w:r w:rsidRPr="000D7D63">
        <w:rPr>
          <w:lang w:val="en-IN"/>
        </w:rPr>
        <w:t>desmoid</w:t>
      </w:r>
      <w:proofErr w:type="spellEnd"/>
      <w:r w:rsidRPr="000D7D63">
        <w:rPr>
          <w:lang w:val="en-IN"/>
        </w:rPr>
        <w:t xml:space="preserve"> </w:t>
      </w:r>
      <w:proofErr w:type="spellStart"/>
      <w:r w:rsidRPr="000D7D63">
        <w:rPr>
          <w:lang w:val="en-IN"/>
        </w:rPr>
        <w:t>tumors</w:t>
      </w:r>
      <w:proofErr w:type="spellEnd"/>
      <w:r w:rsidRPr="000D7D63">
        <w:rPr>
          <w:lang w:val="en-IN"/>
        </w:rPr>
        <w:t xml:space="preserve"> surgery. </w:t>
      </w:r>
      <w:r w:rsidRPr="000D7D63">
        <w:t xml:space="preserve">Updates in </w:t>
      </w:r>
      <w:proofErr w:type="spellStart"/>
      <w:r w:rsidRPr="000D7D63">
        <w:t>Surgery</w:t>
      </w:r>
      <w:proofErr w:type="spellEnd"/>
      <w:r w:rsidRPr="000D7D63">
        <w:t xml:space="preserve">, 64(1), 43–48. </w:t>
      </w:r>
      <w:hyperlink r:id="rId15" w:history="1">
        <w:r w:rsidRPr="009A7BA8">
          <w:rPr>
            <w:rStyle w:val="Hyperlink"/>
          </w:rPr>
          <w:t>https://doi.org/10.1007/s13304-011-0109-0</w:t>
        </w:r>
      </w:hyperlink>
      <w:r>
        <w:t xml:space="preserve"> </w:t>
      </w:r>
    </w:p>
    <w:p w14:paraId="4902847D" w14:textId="77777777" w:rsidR="00FE4111" w:rsidRDefault="00FE4111" w:rsidP="00FE4111">
      <w:pPr>
        <w:pStyle w:val="NormalWeb"/>
        <w:ind w:left="720"/>
      </w:pPr>
    </w:p>
    <w:p w14:paraId="00A17CE4" w14:textId="77777777" w:rsidR="00FE4111" w:rsidRDefault="00FE4111" w:rsidP="00BD139B">
      <w:pPr>
        <w:pStyle w:val="NormalWeb"/>
      </w:pPr>
    </w:p>
    <w:p w14:paraId="4E40E343" w14:textId="77777777" w:rsidR="00FE4111" w:rsidRDefault="00FE4111" w:rsidP="00FE4111">
      <w:pPr>
        <w:pStyle w:val="NormalWeb"/>
        <w:ind w:left="720"/>
      </w:pPr>
      <w:r>
        <w:rPr>
          <w:noProof/>
          <w:lang w:val="en-GB" w:eastAsia="en-GB"/>
        </w:rPr>
        <w:lastRenderedPageBreak/>
        <w:drawing>
          <wp:inline distT="0" distB="0" distL="0" distR="0" wp14:anchorId="1B362BBC" wp14:editId="08388F43">
            <wp:extent cx="4552950" cy="3255308"/>
            <wp:effectExtent l="19050" t="0" r="0" b="0"/>
            <wp:docPr id="1" name="Image 1" descr="C:\Users\hp\Downloads\WhatsApp Image 2025-10-13 at 12.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jpeg"/>
                    <pic:cNvPicPr>
                      <a:picLocks noChangeAspect="1" noChangeArrowheads="1"/>
                    </pic:cNvPicPr>
                  </pic:nvPicPr>
                  <pic:blipFill>
                    <a:blip r:embed="rId16" cstate="print"/>
                    <a:srcRect/>
                    <a:stretch>
                      <a:fillRect/>
                    </a:stretch>
                  </pic:blipFill>
                  <pic:spPr bwMode="auto">
                    <a:xfrm>
                      <a:off x="0" y="0"/>
                      <a:ext cx="4552950" cy="3255308"/>
                    </a:xfrm>
                    <a:prstGeom prst="rect">
                      <a:avLst/>
                    </a:prstGeom>
                    <a:noFill/>
                    <a:ln w="9525">
                      <a:noFill/>
                      <a:miter lim="800000"/>
                      <a:headEnd/>
                      <a:tailEnd/>
                    </a:ln>
                  </pic:spPr>
                </pic:pic>
              </a:graphicData>
            </a:graphic>
          </wp:inline>
        </w:drawing>
      </w:r>
    </w:p>
    <w:p w14:paraId="2A5B502B" w14:textId="77777777" w:rsidR="00FE4111" w:rsidRDefault="00371DAE" w:rsidP="00FE4111">
      <w:pPr>
        <w:pStyle w:val="NormalWeb"/>
        <w:ind w:left="720"/>
      </w:pPr>
      <w:r>
        <w:rPr>
          <w:noProof/>
          <w:lang w:val="en-GB" w:eastAsia="en-GB"/>
        </w:rPr>
        <w:drawing>
          <wp:inline distT="0" distB="0" distL="0" distR="0" wp14:anchorId="7CDCA725" wp14:editId="38054448">
            <wp:extent cx="2744028" cy="4331389"/>
            <wp:effectExtent l="19050" t="0" r="0" b="0"/>
            <wp:docPr id="2" name="Image 2" descr="C:\Users\hp\Downloads\WhatsApp Image 2025-09-10 at 07.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9-10 at 07.45.09.jpeg"/>
                    <pic:cNvPicPr>
                      <a:picLocks noChangeAspect="1" noChangeArrowheads="1"/>
                    </pic:cNvPicPr>
                  </pic:nvPicPr>
                  <pic:blipFill>
                    <a:blip r:embed="rId17" cstate="print"/>
                    <a:srcRect/>
                    <a:stretch>
                      <a:fillRect/>
                    </a:stretch>
                  </pic:blipFill>
                  <pic:spPr bwMode="auto">
                    <a:xfrm>
                      <a:off x="0" y="0"/>
                      <a:ext cx="2744168" cy="4331610"/>
                    </a:xfrm>
                    <a:prstGeom prst="rect">
                      <a:avLst/>
                    </a:prstGeom>
                    <a:noFill/>
                    <a:ln w="9525">
                      <a:noFill/>
                      <a:miter lim="800000"/>
                      <a:headEnd/>
                      <a:tailEnd/>
                    </a:ln>
                  </pic:spPr>
                </pic:pic>
              </a:graphicData>
            </a:graphic>
          </wp:inline>
        </w:drawing>
      </w:r>
    </w:p>
    <w:p w14:paraId="0C1F43DC" w14:textId="655CDADE" w:rsidR="009C0EF7" w:rsidRDefault="00F5693F" w:rsidP="00A15414">
      <w:pPr>
        <w:rPr>
          <w:lang w:val="en-US"/>
        </w:rPr>
      </w:pPr>
      <w:commentRangeStart w:id="12"/>
      <w:proofErr w:type="gramStart"/>
      <w:r>
        <w:rPr>
          <w:b/>
          <w:bCs/>
          <w:sz w:val="24"/>
          <w:szCs w:val="24"/>
          <w:lang w:val="en-US"/>
        </w:rPr>
        <w:t>Figure</w:t>
      </w:r>
      <w:r w:rsidR="001B325B">
        <w:rPr>
          <w:b/>
          <w:bCs/>
          <w:sz w:val="24"/>
          <w:szCs w:val="24"/>
          <w:lang w:val="en-US"/>
        </w:rPr>
        <w:t>1</w:t>
      </w:r>
      <w:r w:rsidR="008D2F41">
        <w:rPr>
          <w:b/>
          <w:bCs/>
          <w:sz w:val="24"/>
          <w:szCs w:val="24"/>
          <w:lang w:val="en-US"/>
        </w:rPr>
        <w:t>(</w:t>
      </w:r>
      <w:proofErr w:type="spellStart"/>
      <w:proofErr w:type="gramEnd"/>
      <w:r w:rsidR="008D2F41">
        <w:rPr>
          <w:b/>
          <w:bCs/>
          <w:sz w:val="24"/>
          <w:szCs w:val="24"/>
          <w:lang w:val="en-US"/>
        </w:rPr>
        <w:t>a,b</w:t>
      </w:r>
      <w:proofErr w:type="spellEnd"/>
      <w:r w:rsidR="008D2F41">
        <w:rPr>
          <w:b/>
          <w:bCs/>
          <w:sz w:val="24"/>
          <w:szCs w:val="24"/>
          <w:lang w:val="en-US"/>
        </w:rPr>
        <w:t>)</w:t>
      </w:r>
      <w:r w:rsidR="006003FE">
        <w:rPr>
          <w:b/>
          <w:bCs/>
          <w:sz w:val="24"/>
          <w:szCs w:val="24"/>
          <w:lang w:val="en-US"/>
        </w:rPr>
        <w:t xml:space="preserve">: </w:t>
      </w:r>
      <w:r w:rsidR="00A15414">
        <w:t xml:space="preserve">A right </w:t>
      </w:r>
      <w:proofErr w:type="spellStart"/>
      <w:r w:rsidR="00A15414">
        <w:t>iliac</w:t>
      </w:r>
      <w:proofErr w:type="spellEnd"/>
      <w:r w:rsidR="00A15414">
        <w:t xml:space="preserve"> </w:t>
      </w:r>
      <w:proofErr w:type="spellStart"/>
      <w:r w:rsidR="00A15414">
        <w:t>fossa</w:t>
      </w:r>
      <w:proofErr w:type="spellEnd"/>
      <w:r w:rsidR="00A15414">
        <w:t xml:space="preserve"> mass</w:t>
      </w:r>
      <w:commentRangeEnd w:id="12"/>
      <w:r w:rsidR="00F146F4">
        <w:rPr>
          <w:rStyle w:val="CommentReference"/>
        </w:rPr>
        <w:commentReference w:id="12"/>
      </w:r>
      <w:r w:rsidR="001B325B">
        <w:rPr>
          <w:lang w:val="en-US"/>
        </w:rPr>
        <w:t>.</w:t>
      </w:r>
    </w:p>
    <w:p w14:paraId="267B1847" w14:textId="77777777" w:rsidR="001B325B" w:rsidRDefault="001B325B" w:rsidP="009C0EF7">
      <w:pPr>
        <w:rPr>
          <w:lang w:val="en-US"/>
        </w:rPr>
      </w:pPr>
    </w:p>
    <w:p w14:paraId="5B5F2EF6" w14:textId="77777777" w:rsidR="001B325B" w:rsidRDefault="001B325B" w:rsidP="009C0EF7">
      <w:pPr>
        <w:rPr>
          <w:lang w:val="en-US"/>
        </w:rPr>
      </w:pPr>
    </w:p>
    <w:p w14:paraId="6D998508" w14:textId="77777777" w:rsidR="001B325B" w:rsidRDefault="001B325B" w:rsidP="009C0EF7">
      <w:pPr>
        <w:rPr>
          <w:b/>
          <w:bCs/>
          <w:sz w:val="24"/>
          <w:szCs w:val="24"/>
          <w:lang w:val="en-US"/>
        </w:rPr>
      </w:pPr>
      <w:r>
        <w:rPr>
          <w:b/>
          <w:bCs/>
          <w:noProof/>
          <w:sz w:val="24"/>
          <w:szCs w:val="24"/>
          <w:lang w:val="en-GB" w:eastAsia="en-GB"/>
        </w:rPr>
        <w:lastRenderedPageBreak/>
        <w:drawing>
          <wp:inline distT="0" distB="0" distL="0" distR="0" wp14:anchorId="3D195227" wp14:editId="0F716D66">
            <wp:extent cx="3677538" cy="4214191"/>
            <wp:effectExtent l="19050" t="0" r="0" b="0"/>
            <wp:docPr id="3" name="Image 3" descr="C:\Users\hp\Downloads\WhatsApp Image 2025-09-22 at 11.3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9-22 at 11.33.54 (1).jpeg"/>
                    <pic:cNvPicPr>
                      <a:picLocks noChangeAspect="1" noChangeArrowheads="1"/>
                    </pic:cNvPicPr>
                  </pic:nvPicPr>
                  <pic:blipFill>
                    <a:blip r:embed="rId18" cstate="print"/>
                    <a:srcRect/>
                    <a:stretch>
                      <a:fillRect/>
                    </a:stretch>
                  </pic:blipFill>
                  <pic:spPr bwMode="auto">
                    <a:xfrm>
                      <a:off x="0" y="0"/>
                      <a:ext cx="3680228" cy="4217274"/>
                    </a:xfrm>
                    <a:prstGeom prst="rect">
                      <a:avLst/>
                    </a:prstGeom>
                    <a:noFill/>
                    <a:ln w="9525">
                      <a:noFill/>
                      <a:miter lim="800000"/>
                      <a:headEnd/>
                      <a:tailEnd/>
                    </a:ln>
                  </pic:spPr>
                </pic:pic>
              </a:graphicData>
            </a:graphic>
          </wp:inline>
        </w:drawing>
      </w:r>
    </w:p>
    <w:p w14:paraId="359172CD" w14:textId="77777777" w:rsidR="001B325B" w:rsidRDefault="001B325B" w:rsidP="009C0EF7">
      <w:pPr>
        <w:rPr>
          <w:b/>
          <w:bCs/>
          <w:sz w:val="24"/>
          <w:szCs w:val="24"/>
          <w:lang w:val="en-US"/>
        </w:rPr>
      </w:pPr>
      <w:r>
        <w:rPr>
          <w:b/>
          <w:bCs/>
          <w:noProof/>
          <w:sz w:val="24"/>
          <w:szCs w:val="24"/>
          <w:lang w:val="en-GB" w:eastAsia="en-GB"/>
        </w:rPr>
        <w:drawing>
          <wp:inline distT="0" distB="0" distL="0" distR="0" wp14:anchorId="0D7EA39F" wp14:editId="4E57BBC4">
            <wp:extent cx="2992506" cy="3203954"/>
            <wp:effectExtent l="19050" t="0" r="0" b="0"/>
            <wp:docPr id="4" name="Image 4" descr="C:\Users\hp\Downloads\WhatsApp Image 2025-09-22 at 11.33.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09-22 at 11.33.54 (2).jpeg"/>
                    <pic:cNvPicPr>
                      <a:picLocks noChangeAspect="1" noChangeArrowheads="1"/>
                    </pic:cNvPicPr>
                  </pic:nvPicPr>
                  <pic:blipFill>
                    <a:blip r:embed="rId19" cstate="print"/>
                    <a:srcRect/>
                    <a:stretch>
                      <a:fillRect/>
                    </a:stretch>
                  </pic:blipFill>
                  <pic:spPr bwMode="auto">
                    <a:xfrm>
                      <a:off x="0" y="0"/>
                      <a:ext cx="2987717" cy="3198826"/>
                    </a:xfrm>
                    <a:prstGeom prst="rect">
                      <a:avLst/>
                    </a:prstGeom>
                    <a:noFill/>
                    <a:ln w="9525">
                      <a:noFill/>
                      <a:miter lim="800000"/>
                      <a:headEnd/>
                      <a:tailEnd/>
                    </a:ln>
                  </pic:spPr>
                </pic:pic>
              </a:graphicData>
            </a:graphic>
          </wp:inline>
        </w:drawing>
      </w:r>
    </w:p>
    <w:p w14:paraId="27EDF5B8" w14:textId="2500DAE9" w:rsidR="00D16634" w:rsidRDefault="00D16634" w:rsidP="00A15414">
      <w:pPr>
        <w:rPr>
          <w:rFonts w:asciiTheme="majorBidi" w:hAnsiTheme="majorBidi" w:cstheme="majorBidi"/>
          <w:sz w:val="24"/>
          <w:szCs w:val="24"/>
          <w:shd w:val="clear" w:color="auto" w:fill="FFFFFF"/>
          <w:lang w:val="en-US"/>
        </w:rPr>
      </w:pPr>
      <w:r>
        <w:rPr>
          <w:b/>
          <w:bCs/>
          <w:sz w:val="24"/>
          <w:szCs w:val="24"/>
          <w:lang w:val="en-US"/>
        </w:rPr>
        <w:t>Figure</w:t>
      </w:r>
      <w:r w:rsidR="00811CCF">
        <w:rPr>
          <w:b/>
          <w:bCs/>
          <w:sz w:val="24"/>
          <w:szCs w:val="24"/>
          <w:lang w:val="en-US"/>
        </w:rPr>
        <w:t xml:space="preserve"> 2</w:t>
      </w:r>
      <w:r w:rsidR="008D2F41">
        <w:rPr>
          <w:b/>
          <w:bCs/>
          <w:sz w:val="24"/>
          <w:szCs w:val="24"/>
          <w:lang w:val="en-US"/>
        </w:rPr>
        <w:t>(</w:t>
      </w:r>
      <w:proofErr w:type="spellStart"/>
      <w:r w:rsidR="008D2F41">
        <w:rPr>
          <w:b/>
          <w:bCs/>
          <w:sz w:val="24"/>
          <w:szCs w:val="24"/>
          <w:lang w:val="en-US"/>
        </w:rPr>
        <w:t>a</w:t>
      </w:r>
      <w:proofErr w:type="gramStart"/>
      <w:r w:rsidR="008D2F41">
        <w:rPr>
          <w:b/>
          <w:bCs/>
          <w:sz w:val="24"/>
          <w:szCs w:val="24"/>
          <w:lang w:val="en-US"/>
        </w:rPr>
        <w:t>,b</w:t>
      </w:r>
      <w:proofErr w:type="spellEnd"/>
      <w:proofErr w:type="gramEnd"/>
      <w:r w:rsidR="008D2F41">
        <w:rPr>
          <w:b/>
          <w:bCs/>
          <w:sz w:val="24"/>
          <w:szCs w:val="24"/>
          <w:lang w:val="en-US"/>
        </w:rPr>
        <w:t>)</w:t>
      </w:r>
      <w:r>
        <w:rPr>
          <w:b/>
          <w:bCs/>
          <w:sz w:val="24"/>
          <w:szCs w:val="24"/>
          <w:lang w:val="en-US"/>
        </w:rPr>
        <w:t xml:space="preserve">: </w:t>
      </w:r>
      <w:r w:rsidR="00A15414">
        <w:t xml:space="preserve">Abdominal MRI </w:t>
      </w:r>
      <w:proofErr w:type="spellStart"/>
      <w:r w:rsidR="00A15414">
        <w:t>demonstrating</w:t>
      </w:r>
      <w:proofErr w:type="spellEnd"/>
      <w:r w:rsidR="00A15414">
        <w:t xml:space="preserve"> a large abdominal mass</w:t>
      </w:r>
    </w:p>
    <w:p w14:paraId="6EF8661D" w14:textId="77777777" w:rsidR="00A15414" w:rsidRDefault="00A15414" w:rsidP="003F5CDD">
      <w:pPr>
        <w:rPr>
          <w:rFonts w:asciiTheme="majorBidi" w:hAnsiTheme="majorBidi" w:cstheme="majorBidi"/>
          <w:sz w:val="24"/>
          <w:szCs w:val="24"/>
          <w:shd w:val="clear" w:color="auto" w:fill="FFFFFF"/>
          <w:lang w:val="en-US"/>
        </w:rPr>
      </w:pPr>
    </w:p>
    <w:p w14:paraId="4A72514F" w14:textId="77777777" w:rsidR="00A15414" w:rsidRDefault="00A15414" w:rsidP="003F5CDD">
      <w:pPr>
        <w:rPr>
          <w:rFonts w:asciiTheme="majorBidi" w:hAnsiTheme="majorBidi" w:cstheme="majorBidi"/>
          <w:sz w:val="24"/>
          <w:szCs w:val="24"/>
          <w:shd w:val="clear" w:color="auto" w:fill="FFFFFF"/>
          <w:lang w:val="en-US"/>
        </w:rPr>
      </w:pPr>
    </w:p>
    <w:p w14:paraId="1EA61765" w14:textId="77777777" w:rsidR="00A15414" w:rsidRDefault="00A15414" w:rsidP="003F5CDD">
      <w:pPr>
        <w:rPr>
          <w:b/>
          <w:bCs/>
          <w:sz w:val="24"/>
          <w:szCs w:val="24"/>
          <w:lang w:val="en-US"/>
        </w:rPr>
      </w:pPr>
      <w:r>
        <w:rPr>
          <w:b/>
          <w:bCs/>
          <w:noProof/>
          <w:sz w:val="24"/>
          <w:szCs w:val="24"/>
          <w:lang w:val="en-GB" w:eastAsia="en-GB"/>
        </w:rPr>
        <w:lastRenderedPageBreak/>
        <w:drawing>
          <wp:inline distT="0" distB="0" distL="0" distR="0" wp14:anchorId="16CB201A" wp14:editId="099B4D61">
            <wp:extent cx="2972628" cy="3684792"/>
            <wp:effectExtent l="19050" t="0" r="0" b="0"/>
            <wp:docPr id="5" name="Image 1" descr="C:\Users\hp\Downloads\WhatsApp Image 2025-10-13 at 12.59.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13 at 12.59.14 (2).jpeg"/>
                    <pic:cNvPicPr>
                      <a:picLocks noChangeAspect="1" noChangeArrowheads="1"/>
                    </pic:cNvPicPr>
                  </pic:nvPicPr>
                  <pic:blipFill>
                    <a:blip r:embed="rId20" cstate="print"/>
                    <a:srcRect/>
                    <a:stretch>
                      <a:fillRect/>
                    </a:stretch>
                  </pic:blipFill>
                  <pic:spPr bwMode="auto">
                    <a:xfrm>
                      <a:off x="0" y="0"/>
                      <a:ext cx="2974882" cy="3687585"/>
                    </a:xfrm>
                    <a:prstGeom prst="rect">
                      <a:avLst/>
                    </a:prstGeom>
                    <a:noFill/>
                    <a:ln w="9525">
                      <a:noFill/>
                      <a:miter lim="800000"/>
                      <a:headEnd/>
                      <a:tailEnd/>
                    </a:ln>
                  </pic:spPr>
                </pic:pic>
              </a:graphicData>
            </a:graphic>
          </wp:inline>
        </w:drawing>
      </w:r>
    </w:p>
    <w:p w14:paraId="64DC5368" w14:textId="77777777" w:rsidR="00A15414" w:rsidRDefault="00A15414" w:rsidP="003F5CDD">
      <w:pPr>
        <w:rPr>
          <w:b/>
          <w:bCs/>
          <w:sz w:val="24"/>
          <w:szCs w:val="24"/>
          <w:lang w:val="en-US"/>
        </w:rPr>
      </w:pPr>
      <w:r>
        <w:rPr>
          <w:b/>
          <w:bCs/>
          <w:noProof/>
          <w:sz w:val="24"/>
          <w:szCs w:val="24"/>
          <w:lang w:val="en-GB" w:eastAsia="en-GB"/>
        </w:rPr>
        <w:drawing>
          <wp:inline distT="0" distB="0" distL="0" distR="0" wp14:anchorId="25F4441A" wp14:editId="26E56653">
            <wp:extent cx="2982567" cy="3911773"/>
            <wp:effectExtent l="19050" t="0" r="8283" b="0"/>
            <wp:docPr id="6" name="Image 2" descr="C:\Users\hp\Downloads\WhatsApp Image 2025-10-13 at 12.5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10-13 at 12.59.14 (1).jpeg"/>
                    <pic:cNvPicPr>
                      <a:picLocks noChangeAspect="1" noChangeArrowheads="1"/>
                    </pic:cNvPicPr>
                  </pic:nvPicPr>
                  <pic:blipFill>
                    <a:blip r:embed="rId21" cstate="print"/>
                    <a:srcRect/>
                    <a:stretch>
                      <a:fillRect/>
                    </a:stretch>
                  </pic:blipFill>
                  <pic:spPr bwMode="auto">
                    <a:xfrm>
                      <a:off x="0" y="0"/>
                      <a:ext cx="2984328" cy="3914082"/>
                    </a:xfrm>
                    <a:prstGeom prst="rect">
                      <a:avLst/>
                    </a:prstGeom>
                    <a:noFill/>
                    <a:ln w="9525">
                      <a:noFill/>
                      <a:miter lim="800000"/>
                      <a:headEnd/>
                      <a:tailEnd/>
                    </a:ln>
                  </pic:spPr>
                </pic:pic>
              </a:graphicData>
            </a:graphic>
          </wp:inline>
        </w:drawing>
      </w:r>
    </w:p>
    <w:p w14:paraId="7378B530" w14:textId="11030D24" w:rsidR="00A15414" w:rsidRDefault="00A15414" w:rsidP="00A15414">
      <w:pPr>
        <w:rPr>
          <w:lang w:val="en-US"/>
        </w:rPr>
      </w:pPr>
      <w:r>
        <w:rPr>
          <w:b/>
          <w:bCs/>
          <w:sz w:val="24"/>
          <w:szCs w:val="24"/>
          <w:lang w:val="en-US"/>
        </w:rPr>
        <w:t>Figure 3</w:t>
      </w:r>
      <w:r w:rsidR="008D2F41">
        <w:rPr>
          <w:b/>
          <w:bCs/>
          <w:sz w:val="24"/>
          <w:szCs w:val="24"/>
          <w:lang w:val="en-US"/>
        </w:rPr>
        <w:t>(</w:t>
      </w:r>
      <w:proofErr w:type="spellStart"/>
      <w:r w:rsidR="008D2F41">
        <w:rPr>
          <w:b/>
          <w:bCs/>
          <w:sz w:val="24"/>
          <w:szCs w:val="24"/>
          <w:lang w:val="en-US"/>
        </w:rPr>
        <w:t>a</w:t>
      </w:r>
      <w:proofErr w:type="gramStart"/>
      <w:r w:rsidR="008D2F41">
        <w:rPr>
          <w:b/>
          <w:bCs/>
          <w:sz w:val="24"/>
          <w:szCs w:val="24"/>
          <w:lang w:val="en-US"/>
        </w:rPr>
        <w:t>,b</w:t>
      </w:r>
      <w:proofErr w:type="spellEnd"/>
      <w:proofErr w:type="gramEnd"/>
      <w:r w:rsidR="008D2F41">
        <w:rPr>
          <w:b/>
          <w:bCs/>
          <w:sz w:val="24"/>
          <w:szCs w:val="24"/>
          <w:lang w:val="en-US"/>
        </w:rPr>
        <w:t>)</w:t>
      </w:r>
      <w:r>
        <w:rPr>
          <w:b/>
          <w:bCs/>
          <w:sz w:val="24"/>
          <w:szCs w:val="24"/>
          <w:lang w:val="en-US"/>
        </w:rPr>
        <w:t xml:space="preserve">: </w:t>
      </w:r>
      <w:r w:rsidRPr="00A15414">
        <w:rPr>
          <w:lang w:val="en-US"/>
        </w:rPr>
        <w:t>Gross specimen of the totally excised mass</w:t>
      </w:r>
    </w:p>
    <w:p w14:paraId="78CBEEAA" w14:textId="77777777" w:rsidR="006003FE" w:rsidRDefault="006003FE" w:rsidP="00A15414">
      <w:pPr>
        <w:rPr>
          <w:lang w:val="en-US"/>
        </w:rPr>
      </w:pPr>
    </w:p>
    <w:p w14:paraId="428FF641" w14:textId="77777777" w:rsidR="006003FE" w:rsidRDefault="006003FE" w:rsidP="00A15414">
      <w:pPr>
        <w:rPr>
          <w:lang w:val="en-US"/>
        </w:rPr>
      </w:pPr>
    </w:p>
    <w:p w14:paraId="27E6F741" w14:textId="77777777" w:rsidR="006003FE" w:rsidRDefault="006003FE" w:rsidP="00A15414">
      <w:pPr>
        <w:rPr>
          <w:b/>
          <w:bCs/>
          <w:sz w:val="24"/>
          <w:szCs w:val="24"/>
          <w:lang w:val="en-US"/>
        </w:rPr>
      </w:pPr>
      <w:r>
        <w:rPr>
          <w:b/>
          <w:bCs/>
          <w:noProof/>
          <w:sz w:val="24"/>
          <w:szCs w:val="24"/>
          <w:lang w:val="en-GB" w:eastAsia="en-GB"/>
        </w:rPr>
        <w:lastRenderedPageBreak/>
        <w:drawing>
          <wp:inline distT="0" distB="0" distL="0" distR="0" wp14:anchorId="49933F91" wp14:editId="30FA671B">
            <wp:extent cx="2952750" cy="3979804"/>
            <wp:effectExtent l="19050" t="0" r="0" b="0"/>
            <wp:docPr id="7" name="Image 3" descr="C:\Users\hp\Downloads\WhatsApp Image 2025-10-13 at 12.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10-13 at 12.58.51.jpeg"/>
                    <pic:cNvPicPr>
                      <a:picLocks noChangeAspect="1" noChangeArrowheads="1"/>
                    </pic:cNvPicPr>
                  </pic:nvPicPr>
                  <pic:blipFill>
                    <a:blip r:embed="rId22" cstate="print"/>
                    <a:srcRect/>
                    <a:stretch>
                      <a:fillRect/>
                    </a:stretch>
                  </pic:blipFill>
                  <pic:spPr bwMode="auto">
                    <a:xfrm>
                      <a:off x="0" y="0"/>
                      <a:ext cx="2952468" cy="3979424"/>
                    </a:xfrm>
                    <a:prstGeom prst="rect">
                      <a:avLst/>
                    </a:prstGeom>
                    <a:noFill/>
                    <a:ln w="9525">
                      <a:noFill/>
                      <a:miter lim="800000"/>
                      <a:headEnd/>
                      <a:tailEnd/>
                    </a:ln>
                  </pic:spPr>
                </pic:pic>
              </a:graphicData>
            </a:graphic>
          </wp:inline>
        </w:drawing>
      </w:r>
    </w:p>
    <w:p w14:paraId="62A831B5" w14:textId="77777777" w:rsidR="006003FE" w:rsidRDefault="006003FE" w:rsidP="00A15414">
      <w:pPr>
        <w:rPr>
          <w:b/>
          <w:bCs/>
          <w:sz w:val="24"/>
          <w:szCs w:val="24"/>
          <w:lang w:val="en-US"/>
        </w:rPr>
      </w:pPr>
      <w:r>
        <w:rPr>
          <w:b/>
          <w:bCs/>
          <w:noProof/>
          <w:sz w:val="24"/>
          <w:szCs w:val="24"/>
          <w:lang w:val="en-GB" w:eastAsia="en-GB"/>
        </w:rPr>
        <w:drawing>
          <wp:inline distT="0" distB="0" distL="0" distR="0" wp14:anchorId="115250F3" wp14:editId="1DF84176">
            <wp:extent cx="5159237" cy="3664287"/>
            <wp:effectExtent l="19050" t="0" r="3313" b="0"/>
            <wp:docPr id="8" name="Image 4" descr="C:\Users\hp\Downloads\WhatsApp Image 2025-10-13 at 12.5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5-10-13 at 12.58.52.jpeg"/>
                    <pic:cNvPicPr>
                      <a:picLocks noChangeAspect="1" noChangeArrowheads="1"/>
                    </pic:cNvPicPr>
                  </pic:nvPicPr>
                  <pic:blipFill>
                    <a:blip r:embed="rId23" cstate="print"/>
                    <a:srcRect/>
                    <a:stretch>
                      <a:fillRect/>
                    </a:stretch>
                  </pic:blipFill>
                  <pic:spPr bwMode="auto">
                    <a:xfrm>
                      <a:off x="0" y="0"/>
                      <a:ext cx="5154938" cy="3661234"/>
                    </a:xfrm>
                    <a:prstGeom prst="rect">
                      <a:avLst/>
                    </a:prstGeom>
                    <a:noFill/>
                    <a:ln w="9525">
                      <a:noFill/>
                      <a:miter lim="800000"/>
                      <a:headEnd/>
                      <a:tailEnd/>
                    </a:ln>
                  </pic:spPr>
                </pic:pic>
              </a:graphicData>
            </a:graphic>
          </wp:inline>
        </w:drawing>
      </w:r>
    </w:p>
    <w:p w14:paraId="6987D653" w14:textId="51A8B80E" w:rsidR="006003FE" w:rsidRPr="009436E6" w:rsidRDefault="006003FE" w:rsidP="009436E6">
      <w:pPr>
        <w:rPr>
          <w:b/>
          <w:bCs/>
          <w:sz w:val="24"/>
          <w:szCs w:val="24"/>
          <w:lang w:val="en-US"/>
        </w:rPr>
      </w:pPr>
      <w:r>
        <w:rPr>
          <w:b/>
          <w:bCs/>
          <w:sz w:val="24"/>
          <w:szCs w:val="24"/>
          <w:lang w:val="en-US"/>
        </w:rPr>
        <w:t>Figure 4</w:t>
      </w:r>
      <w:r w:rsidR="008D2F41">
        <w:rPr>
          <w:b/>
          <w:bCs/>
          <w:sz w:val="24"/>
          <w:szCs w:val="24"/>
          <w:lang w:val="en-US"/>
        </w:rPr>
        <w:t>(</w:t>
      </w:r>
      <w:proofErr w:type="spellStart"/>
      <w:r w:rsidR="008D2F41">
        <w:rPr>
          <w:b/>
          <w:bCs/>
          <w:sz w:val="24"/>
          <w:szCs w:val="24"/>
          <w:lang w:val="en-US"/>
        </w:rPr>
        <w:t>a</w:t>
      </w:r>
      <w:proofErr w:type="gramStart"/>
      <w:r w:rsidR="008D2F41">
        <w:rPr>
          <w:b/>
          <w:bCs/>
          <w:sz w:val="24"/>
          <w:szCs w:val="24"/>
          <w:lang w:val="en-US"/>
        </w:rPr>
        <w:t>,b</w:t>
      </w:r>
      <w:proofErr w:type="spellEnd"/>
      <w:proofErr w:type="gramEnd"/>
      <w:r w:rsidR="008D2F41">
        <w:rPr>
          <w:b/>
          <w:bCs/>
          <w:sz w:val="24"/>
          <w:szCs w:val="24"/>
          <w:lang w:val="en-US"/>
        </w:rPr>
        <w:t>)</w:t>
      </w:r>
      <w:r>
        <w:rPr>
          <w:b/>
          <w:bCs/>
          <w:sz w:val="24"/>
          <w:szCs w:val="24"/>
          <w:lang w:val="en-US"/>
        </w:rPr>
        <w:t>:</w:t>
      </w:r>
      <w:r w:rsidR="0088757C">
        <w:rPr>
          <w:b/>
          <w:bCs/>
          <w:sz w:val="24"/>
          <w:szCs w:val="24"/>
          <w:lang w:val="en-US"/>
        </w:rPr>
        <w:t xml:space="preserve"> </w:t>
      </w:r>
      <w:r w:rsidR="009436E6" w:rsidRPr="009436E6">
        <w:rPr>
          <w:lang w:val="en-US"/>
        </w:rPr>
        <w:t>Intraoperative image showing reconstruction of the abdominal wall defect with a dual-face prosthetic mesh</w:t>
      </w:r>
      <w:bookmarkStart w:id="13" w:name="_GoBack"/>
      <w:bookmarkEnd w:id="13"/>
    </w:p>
    <w:sectPr w:rsidR="006003FE" w:rsidRPr="009436E6" w:rsidSect="0041477D">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erg" w:date="2026-01-03T14:23:00Z" w:initials="S">
    <w:p w14:paraId="6F3E6846" w14:textId="4D1FD5D9" w:rsidR="00F146F4" w:rsidRDefault="00F146F4">
      <w:pPr>
        <w:pStyle w:val="CommentText"/>
      </w:pPr>
      <w:r>
        <w:rPr>
          <w:rStyle w:val="CommentReference"/>
        </w:rPr>
        <w:annotationRef/>
      </w:r>
      <w:proofErr w:type="spellStart"/>
      <w:proofErr w:type="gramStart"/>
      <w:r>
        <w:t>outcome</w:t>
      </w:r>
      <w:proofErr w:type="spellEnd"/>
      <w:proofErr w:type="gramEnd"/>
    </w:p>
  </w:comment>
  <w:comment w:id="1" w:author="Serg" w:date="2026-01-03T17:27:00Z" w:initials="S">
    <w:p w14:paraId="45536315" w14:textId="58463A50" w:rsidR="00F146F4" w:rsidRDefault="00F146F4">
      <w:pPr>
        <w:pStyle w:val="CommentText"/>
      </w:pPr>
      <w:r>
        <w:rPr>
          <w:rStyle w:val="CommentReference"/>
        </w:rPr>
        <w:annotationRef/>
      </w:r>
      <w:proofErr w:type="spellStart"/>
      <w:r>
        <w:t>These</w:t>
      </w:r>
      <w:proofErr w:type="spellEnd"/>
      <w:r>
        <w:t xml:space="preserve"> citations, I </w:t>
      </w:r>
      <w:proofErr w:type="spellStart"/>
      <w:r>
        <w:t>think</w:t>
      </w:r>
      <w:proofErr w:type="spellEnd"/>
      <w:r>
        <w:t xml:space="preserve">, </w:t>
      </w:r>
      <w:proofErr w:type="spellStart"/>
      <w:r>
        <w:t>refer</w:t>
      </w:r>
      <w:proofErr w:type="spellEnd"/>
      <w:r>
        <w:t xml:space="preserve"> to the sentences</w:t>
      </w:r>
      <w:r w:rsidR="0060065A">
        <w:t xml:space="preserve"> </w:t>
      </w:r>
      <w:proofErr w:type="spellStart"/>
      <w:r w:rsidR="0060065A">
        <w:t>written</w:t>
      </w:r>
      <w:proofErr w:type="spellEnd"/>
      <w:r>
        <w:t xml:space="preserve"> </w:t>
      </w:r>
      <w:proofErr w:type="spellStart"/>
      <w:r>
        <w:t>just</w:t>
      </w:r>
      <w:proofErr w:type="spellEnd"/>
      <w:r>
        <w:t xml:space="preserve"> </w:t>
      </w:r>
      <w:proofErr w:type="spellStart"/>
      <w:r>
        <w:t>above</w:t>
      </w:r>
      <w:proofErr w:type="spellEnd"/>
      <w:r>
        <w:t xml:space="preserve">, but not to the case </w:t>
      </w:r>
      <w:proofErr w:type="spellStart"/>
      <w:r>
        <w:t>reported</w:t>
      </w:r>
      <w:proofErr w:type="spellEnd"/>
      <w:r>
        <w:t xml:space="preserve">. </w:t>
      </w:r>
    </w:p>
  </w:comment>
  <w:comment w:id="2" w:author="Serg" w:date="2026-01-03T17:36:00Z" w:initials="S">
    <w:p w14:paraId="1937F2F2" w14:textId="1267CACE" w:rsidR="0060065A" w:rsidRDefault="0060065A">
      <w:pPr>
        <w:pStyle w:val="CommentText"/>
      </w:pPr>
      <w:r>
        <w:rPr>
          <w:rStyle w:val="CommentReference"/>
        </w:rPr>
        <w:annotationRef/>
      </w:r>
      <w:proofErr w:type="spellStart"/>
      <w:r>
        <w:t>Apart</w:t>
      </w:r>
      <w:proofErr w:type="spellEnd"/>
      <w:r>
        <w:t xml:space="preserve"> </w:t>
      </w:r>
      <w:proofErr w:type="spellStart"/>
      <w:r>
        <w:t>from</w:t>
      </w:r>
      <w:proofErr w:type="spellEnd"/>
      <w:r>
        <w:t xml:space="preserve"> surgeons, </w:t>
      </w:r>
      <w:proofErr w:type="spellStart"/>
      <w:r>
        <w:t>which</w:t>
      </w:r>
      <w:proofErr w:type="spellEnd"/>
      <w:r>
        <w:t xml:space="preserve"> </w:t>
      </w:r>
      <w:proofErr w:type="spellStart"/>
      <w:r>
        <w:t>specialists</w:t>
      </w:r>
      <w:proofErr w:type="spellEnd"/>
      <w:r>
        <w:t xml:space="preserve"> </w:t>
      </w:r>
      <w:proofErr w:type="spellStart"/>
      <w:r>
        <w:t>took</w:t>
      </w:r>
      <w:proofErr w:type="spellEnd"/>
      <w:r>
        <w:t xml:space="preserve"> part in «</w:t>
      </w:r>
      <w:proofErr w:type="spellStart"/>
      <w:r>
        <w:t>multidisciplinary</w:t>
      </w:r>
      <w:proofErr w:type="spellEnd"/>
      <w:r>
        <w:t xml:space="preserve"> team discussion» and </w:t>
      </w:r>
      <w:proofErr w:type="spellStart"/>
      <w:r>
        <w:t>what</w:t>
      </w:r>
      <w:proofErr w:type="spellEnd"/>
      <w:r>
        <w:t xml:space="preserve"> </w:t>
      </w:r>
      <w:proofErr w:type="spellStart"/>
      <w:r>
        <w:t>is</w:t>
      </w:r>
      <w:proofErr w:type="spellEnd"/>
      <w:r>
        <w:t xml:space="preserve"> </w:t>
      </w:r>
      <w:proofErr w:type="spellStart"/>
      <w:r>
        <w:t>their</w:t>
      </w:r>
      <w:proofErr w:type="spellEnd"/>
      <w:r>
        <w:t xml:space="preserve"> </w:t>
      </w:r>
      <w:proofErr w:type="spellStart"/>
      <w:r>
        <w:t>role</w:t>
      </w:r>
      <w:proofErr w:type="spellEnd"/>
      <w:r>
        <w:t xml:space="preserve"> in the management, </w:t>
      </w:r>
      <w:proofErr w:type="spellStart"/>
      <w:r>
        <w:t>please</w:t>
      </w:r>
      <w:proofErr w:type="spellEnd"/>
      <w:r>
        <w:t xml:space="preserve">? Or </w:t>
      </w:r>
      <w:proofErr w:type="spellStart"/>
      <w:r>
        <w:t>this</w:t>
      </w:r>
      <w:proofErr w:type="spellEnd"/>
      <w:r>
        <w:t xml:space="preserve"> </w:t>
      </w:r>
      <w:proofErr w:type="spellStart"/>
      <w:r>
        <w:t>is</w:t>
      </w:r>
      <w:proofErr w:type="spellEnd"/>
      <w:r>
        <w:t xml:space="preserve"> </w:t>
      </w:r>
      <w:proofErr w:type="spellStart"/>
      <w:r>
        <w:t>just</w:t>
      </w:r>
      <w:proofErr w:type="spellEnd"/>
      <w:r>
        <w:t xml:space="preserve"> </w:t>
      </w:r>
      <w:proofErr w:type="gramStart"/>
      <w:r>
        <w:t>a</w:t>
      </w:r>
      <w:proofErr w:type="gramEnd"/>
      <w:r>
        <w:t xml:space="preserve"> modern </w:t>
      </w:r>
      <w:proofErr w:type="spellStart"/>
      <w:r>
        <w:t>word</w:t>
      </w:r>
      <w:proofErr w:type="spellEnd"/>
      <w:r>
        <w:t xml:space="preserve"> to </w:t>
      </w:r>
      <w:proofErr w:type="spellStart"/>
      <w:r>
        <w:t>present</w:t>
      </w:r>
      <w:proofErr w:type="spellEnd"/>
      <w:r>
        <w:t xml:space="preserve"> the case. </w:t>
      </w:r>
      <w:proofErr w:type="spellStart"/>
      <w:r>
        <w:t>Generally</w:t>
      </w:r>
      <w:proofErr w:type="spellEnd"/>
      <w:r>
        <w:t xml:space="preserve"> </w:t>
      </w:r>
      <w:proofErr w:type="spellStart"/>
      <w:r>
        <w:t>speaking</w:t>
      </w:r>
      <w:proofErr w:type="spellEnd"/>
      <w:r>
        <w:t xml:space="preserve">, </w:t>
      </w:r>
      <w:proofErr w:type="spellStart"/>
      <w:r>
        <w:t>we</w:t>
      </w:r>
      <w:proofErr w:type="spellEnd"/>
      <w:r>
        <w:t xml:space="preserve"> surgeons have been </w:t>
      </w:r>
      <w:proofErr w:type="spellStart"/>
      <w:r>
        <w:t>always</w:t>
      </w:r>
      <w:proofErr w:type="spellEnd"/>
      <w:r>
        <w:t xml:space="preserve"> the </w:t>
      </w:r>
      <w:proofErr w:type="spellStart"/>
      <w:r>
        <w:t>member</w:t>
      </w:r>
      <w:r w:rsidR="001153BF">
        <w:t>s</w:t>
      </w:r>
      <w:proofErr w:type="spellEnd"/>
      <w:r>
        <w:t xml:space="preserve"> of the </w:t>
      </w:r>
      <w:proofErr w:type="spellStart"/>
      <w:r>
        <w:t>multidisciplinary</w:t>
      </w:r>
      <w:proofErr w:type="spellEnd"/>
      <w:r>
        <w:t xml:space="preserve"> team (</w:t>
      </w:r>
      <w:proofErr w:type="spellStart"/>
      <w:r>
        <w:t>consisting</w:t>
      </w:r>
      <w:proofErr w:type="spellEnd"/>
      <w:r>
        <w:t xml:space="preserve"> of </w:t>
      </w:r>
      <w:proofErr w:type="spellStart"/>
      <w:r>
        <w:t>GPs</w:t>
      </w:r>
      <w:proofErr w:type="spellEnd"/>
      <w:r>
        <w:t xml:space="preserve">, </w:t>
      </w:r>
      <w:proofErr w:type="spellStart"/>
      <w:r>
        <w:t>radiologists</w:t>
      </w:r>
      <w:proofErr w:type="spellEnd"/>
      <w:r>
        <w:t xml:space="preserve">, nurses, </w:t>
      </w:r>
      <w:proofErr w:type="spellStart"/>
      <w:r>
        <w:t>maids</w:t>
      </w:r>
      <w:proofErr w:type="spellEnd"/>
      <w:r>
        <w:t xml:space="preserve">, </w:t>
      </w:r>
      <w:proofErr w:type="spellStart"/>
      <w:r>
        <w:t>etc</w:t>
      </w:r>
      <w:proofErr w:type="spellEnd"/>
      <w:r>
        <w:t xml:space="preserve">), </w:t>
      </w:r>
      <w:proofErr w:type="spellStart"/>
      <w:r>
        <w:t>so</w:t>
      </w:r>
      <w:proofErr w:type="spellEnd"/>
      <w:r>
        <w:t xml:space="preserve"> I </w:t>
      </w:r>
      <w:proofErr w:type="spellStart"/>
      <w:r>
        <w:t>think</w:t>
      </w:r>
      <w:proofErr w:type="spellEnd"/>
      <w:r>
        <w:t xml:space="preserve"> no </w:t>
      </w:r>
      <w:proofErr w:type="spellStart"/>
      <w:r>
        <w:t>need</w:t>
      </w:r>
      <w:proofErr w:type="spellEnd"/>
      <w:r>
        <w:t xml:space="preserve"> to mention </w:t>
      </w:r>
      <w:proofErr w:type="spellStart"/>
      <w:r>
        <w:t>this</w:t>
      </w:r>
      <w:proofErr w:type="spellEnd"/>
      <w:r>
        <w:t>. </w:t>
      </w:r>
    </w:p>
  </w:comment>
  <w:comment w:id="3" w:author="Serg" w:date="2026-01-03T14:43:00Z" w:initials="S">
    <w:p w14:paraId="295011D1" w14:textId="50ADCD10" w:rsidR="00E172F4" w:rsidRDefault="00E172F4">
      <w:pPr>
        <w:pStyle w:val="CommentText"/>
      </w:pPr>
      <w:r>
        <w:rPr>
          <w:rStyle w:val="CommentReference"/>
        </w:rPr>
        <w:annotationRef/>
      </w:r>
      <w:r>
        <w:t xml:space="preserve">It </w:t>
      </w:r>
      <w:proofErr w:type="spellStart"/>
      <w:r>
        <w:t>is</w:t>
      </w:r>
      <w:proofErr w:type="spellEnd"/>
      <w:r>
        <w:t xml:space="preserve"> </w:t>
      </w:r>
      <w:proofErr w:type="spellStart"/>
      <w:r>
        <w:t>seen</w:t>
      </w:r>
      <w:proofErr w:type="spellEnd"/>
      <w:r>
        <w:t xml:space="preserve"> on the </w:t>
      </w:r>
      <w:proofErr w:type="spellStart"/>
      <w:r>
        <w:t>picture</w:t>
      </w:r>
      <w:proofErr w:type="spellEnd"/>
      <w:r>
        <w:t xml:space="preserve"> 1 the oblique McBurney-</w:t>
      </w:r>
      <w:proofErr w:type="spellStart"/>
      <w:r>
        <w:t>like</w:t>
      </w:r>
      <w:proofErr w:type="spellEnd"/>
      <w:r>
        <w:t xml:space="preserve"> </w:t>
      </w:r>
      <w:proofErr w:type="spellStart"/>
      <w:r>
        <w:t>scar</w:t>
      </w:r>
      <w:proofErr w:type="spellEnd"/>
      <w:r>
        <w:t xml:space="preserve">. Can </w:t>
      </w:r>
      <w:proofErr w:type="spellStart"/>
      <w:r>
        <w:t>we</w:t>
      </w:r>
      <w:proofErr w:type="spellEnd"/>
      <w:r>
        <w:t xml:space="preserve"> have </w:t>
      </w:r>
      <w:proofErr w:type="spellStart"/>
      <w:r>
        <w:t>some</w:t>
      </w:r>
      <w:proofErr w:type="spellEnd"/>
      <w:r>
        <w:t xml:space="preserve"> </w:t>
      </w:r>
      <w:proofErr w:type="spellStart"/>
      <w:r>
        <w:t>details</w:t>
      </w:r>
      <w:proofErr w:type="spellEnd"/>
      <w:r>
        <w:t xml:space="preserve"> of </w:t>
      </w:r>
      <w:proofErr w:type="spellStart"/>
      <w:r>
        <w:t>this</w:t>
      </w:r>
      <w:proofErr w:type="spellEnd"/>
      <w:r>
        <w:t xml:space="preserve">? </w:t>
      </w:r>
    </w:p>
  </w:comment>
  <w:comment w:id="4" w:author="Serg" w:date="2026-01-03T16:43:00Z" w:initials="S">
    <w:p w14:paraId="07DAF730" w14:textId="17E1E419" w:rsidR="000D4AE2" w:rsidRDefault="000D4AE2">
      <w:pPr>
        <w:pStyle w:val="CommentText"/>
      </w:pPr>
      <w:r>
        <w:rPr>
          <w:rStyle w:val="CommentReference"/>
        </w:rPr>
        <w:annotationRef/>
      </w:r>
      <w:r>
        <w:t xml:space="preserve">The </w:t>
      </w:r>
      <w:proofErr w:type="spellStart"/>
      <w:r>
        <w:t>work</w:t>
      </w:r>
      <w:proofErr w:type="spellEnd"/>
      <w:r>
        <w:t xml:space="preserve"> </w:t>
      </w:r>
      <w:proofErr w:type="spellStart"/>
      <w:r>
        <w:t>cited</w:t>
      </w:r>
      <w:proofErr w:type="spellEnd"/>
      <w:r>
        <w:t xml:space="preserve"> has </w:t>
      </w:r>
      <w:proofErr w:type="spellStart"/>
      <w:r>
        <w:t>nothing</w:t>
      </w:r>
      <w:proofErr w:type="spellEnd"/>
      <w:r>
        <w:t xml:space="preserve"> to do </w:t>
      </w:r>
      <w:proofErr w:type="spellStart"/>
      <w:r>
        <w:t>with</w:t>
      </w:r>
      <w:proofErr w:type="spellEnd"/>
      <w:r>
        <w:t xml:space="preserve"> the management of </w:t>
      </w:r>
      <w:proofErr w:type="spellStart"/>
      <w:r>
        <w:t>desmoid</w:t>
      </w:r>
      <w:proofErr w:type="spellEnd"/>
      <w:r>
        <w:t xml:space="preserve"> </w:t>
      </w:r>
      <w:proofErr w:type="spellStart"/>
      <w:r>
        <w:t>tumours</w:t>
      </w:r>
      <w:proofErr w:type="spellEnd"/>
      <w:r>
        <w:t xml:space="preserve">, </w:t>
      </w:r>
      <w:proofErr w:type="spellStart"/>
      <w:r>
        <w:t>rather</w:t>
      </w:r>
      <w:proofErr w:type="spellEnd"/>
      <w:r>
        <w:t xml:space="preserve"> </w:t>
      </w:r>
      <w:proofErr w:type="spellStart"/>
      <w:r>
        <w:t>it</w:t>
      </w:r>
      <w:proofErr w:type="spellEnd"/>
      <w:r>
        <w:t xml:space="preserve"> analyses the abdominal </w:t>
      </w:r>
      <w:proofErr w:type="spellStart"/>
      <w:r>
        <w:t>wall</w:t>
      </w:r>
      <w:proofErr w:type="spellEnd"/>
      <w:r>
        <w:t xml:space="preserve"> reconstruction </w:t>
      </w:r>
      <w:proofErr w:type="spellStart"/>
      <w:r>
        <w:t>after</w:t>
      </w:r>
      <w:proofErr w:type="spellEnd"/>
      <w:r>
        <w:t xml:space="preserve"> </w:t>
      </w:r>
      <w:proofErr w:type="spellStart"/>
      <w:r>
        <w:t>stomas</w:t>
      </w:r>
      <w:proofErr w:type="spellEnd"/>
      <w:r>
        <w:t xml:space="preserve">, </w:t>
      </w:r>
      <w:proofErr w:type="spellStart"/>
      <w:r>
        <w:t>enterocutaneous</w:t>
      </w:r>
      <w:proofErr w:type="spellEnd"/>
      <w:r>
        <w:t xml:space="preserve"> </w:t>
      </w:r>
      <w:proofErr w:type="spellStart"/>
      <w:r>
        <w:t>fistulas</w:t>
      </w:r>
      <w:proofErr w:type="spellEnd"/>
      <w:r>
        <w:t xml:space="preserve">, </w:t>
      </w:r>
      <w:proofErr w:type="spellStart"/>
      <w:r>
        <w:t>complicated</w:t>
      </w:r>
      <w:proofErr w:type="spellEnd"/>
      <w:r>
        <w:t xml:space="preserve"> </w:t>
      </w:r>
      <w:proofErr w:type="spellStart"/>
      <w:r>
        <w:t>hernia</w:t>
      </w:r>
      <w:proofErr w:type="spellEnd"/>
      <w:r>
        <w:t xml:space="preserve"> </w:t>
      </w:r>
      <w:proofErr w:type="spellStart"/>
      <w:r>
        <w:t>mesh</w:t>
      </w:r>
      <w:proofErr w:type="spellEnd"/>
      <w:r>
        <w:t xml:space="preserve"> </w:t>
      </w:r>
      <w:proofErr w:type="spellStart"/>
      <w:r>
        <w:t>repair</w:t>
      </w:r>
      <w:proofErr w:type="spellEnd"/>
      <w:r>
        <w:t xml:space="preserve">. I </w:t>
      </w:r>
      <w:proofErr w:type="spellStart"/>
      <w:r>
        <w:t>ask</w:t>
      </w:r>
      <w:proofErr w:type="spellEnd"/>
      <w:r>
        <w:t xml:space="preserve"> the </w:t>
      </w:r>
      <w:proofErr w:type="spellStart"/>
      <w:r>
        <w:t>authors</w:t>
      </w:r>
      <w:proofErr w:type="spellEnd"/>
      <w:r>
        <w:t xml:space="preserve"> to </w:t>
      </w:r>
      <w:proofErr w:type="spellStart"/>
      <w:r>
        <w:t>be</w:t>
      </w:r>
      <w:proofErr w:type="spellEnd"/>
      <w:r>
        <w:t xml:space="preserve"> more </w:t>
      </w:r>
      <w:proofErr w:type="spellStart"/>
      <w:r>
        <w:t>careful</w:t>
      </w:r>
      <w:proofErr w:type="spellEnd"/>
      <w:r>
        <w:t xml:space="preserve"> in </w:t>
      </w:r>
      <w:proofErr w:type="spellStart"/>
      <w:r>
        <w:t>selecting</w:t>
      </w:r>
      <w:proofErr w:type="spellEnd"/>
      <w:r>
        <w:t xml:space="preserve"> the </w:t>
      </w:r>
      <w:proofErr w:type="spellStart"/>
      <w:r>
        <w:t>references</w:t>
      </w:r>
      <w:proofErr w:type="spellEnd"/>
      <w:r>
        <w:t xml:space="preserve">. </w:t>
      </w:r>
    </w:p>
  </w:comment>
  <w:comment w:id="5" w:author="Serg" w:date="2026-01-03T16:45:00Z" w:initials="S">
    <w:p w14:paraId="4FF8577E" w14:textId="22622238" w:rsidR="000D4AE2" w:rsidRDefault="000D4AE2">
      <w:pPr>
        <w:pStyle w:val="CommentText"/>
      </w:pPr>
      <w:r>
        <w:rPr>
          <w:rStyle w:val="CommentReference"/>
        </w:rPr>
        <w:annotationRef/>
      </w:r>
      <w:proofErr w:type="spellStart"/>
      <w:r>
        <w:t>See</w:t>
      </w:r>
      <w:proofErr w:type="spellEnd"/>
      <w:r>
        <w:t xml:space="preserve"> the </w:t>
      </w:r>
      <w:proofErr w:type="spellStart"/>
      <w:r>
        <w:t>previous</w:t>
      </w:r>
      <w:proofErr w:type="spellEnd"/>
      <w:r>
        <w:t xml:space="preserve"> comment, </w:t>
      </w:r>
      <w:proofErr w:type="spellStart"/>
      <w:r>
        <w:t>please</w:t>
      </w:r>
      <w:proofErr w:type="spellEnd"/>
    </w:p>
  </w:comment>
  <w:comment w:id="6" w:author="Serg" w:date="2026-01-03T16:52:00Z" w:initials="S">
    <w:p w14:paraId="0727E77B" w14:textId="7896F981" w:rsidR="009C72EF" w:rsidRDefault="009C72EF">
      <w:pPr>
        <w:pStyle w:val="CommentText"/>
      </w:pPr>
      <w:r>
        <w:rPr>
          <w:rStyle w:val="CommentReference"/>
        </w:rPr>
        <w:annotationRef/>
      </w:r>
      <w:proofErr w:type="spellStart"/>
      <w:r>
        <w:t>These</w:t>
      </w:r>
      <w:proofErr w:type="spellEnd"/>
      <w:r>
        <w:t xml:space="preserve"> </w:t>
      </w:r>
      <w:proofErr w:type="spellStart"/>
      <w:r>
        <w:t>references</w:t>
      </w:r>
      <w:proofErr w:type="spellEnd"/>
      <w:r>
        <w:t xml:space="preserve"> have no </w:t>
      </w:r>
      <w:proofErr w:type="spellStart"/>
      <w:r>
        <w:t>connection</w:t>
      </w:r>
      <w:proofErr w:type="spellEnd"/>
      <w:r>
        <w:t xml:space="preserve"> to the </w:t>
      </w:r>
      <w:proofErr w:type="spellStart"/>
      <w:r>
        <w:t>present</w:t>
      </w:r>
      <w:proofErr w:type="spellEnd"/>
      <w:r>
        <w:t xml:space="preserve"> case, sot hey </w:t>
      </w:r>
      <w:proofErr w:type="spellStart"/>
      <w:r>
        <w:t>cannot</w:t>
      </w:r>
      <w:proofErr w:type="spellEnd"/>
      <w:r>
        <w:t xml:space="preserve"> </w:t>
      </w:r>
      <w:proofErr w:type="spellStart"/>
      <w:r>
        <w:t>be</w:t>
      </w:r>
      <w:proofErr w:type="spellEnd"/>
      <w:r>
        <w:t xml:space="preserve"> </w:t>
      </w:r>
      <w:proofErr w:type="spellStart"/>
      <w:r>
        <w:t>used</w:t>
      </w:r>
      <w:proofErr w:type="spellEnd"/>
      <w:r>
        <w:t xml:space="preserve"> </w:t>
      </w:r>
      <w:proofErr w:type="spellStart"/>
      <w:r>
        <w:t>here</w:t>
      </w:r>
      <w:proofErr w:type="spellEnd"/>
      <w:r>
        <w:t>.</w:t>
      </w:r>
    </w:p>
  </w:comment>
  <w:comment w:id="7" w:author="Serg" w:date="2026-01-03T17:18:00Z" w:initials="S">
    <w:p w14:paraId="3F860D98" w14:textId="0811364E" w:rsidR="005A6112" w:rsidRPr="005A6112" w:rsidRDefault="005A6112">
      <w:pPr>
        <w:pStyle w:val="CommentText"/>
        <w:rPr>
          <w:lang w:val="en-GB"/>
        </w:rPr>
      </w:pPr>
      <w:r>
        <w:rPr>
          <w:rStyle w:val="CommentReference"/>
        </w:rPr>
        <w:annotationRef/>
      </w:r>
      <w:r>
        <w:t xml:space="preserve">I have </w:t>
      </w:r>
      <w:proofErr w:type="spellStart"/>
      <w:r>
        <w:t>two</w:t>
      </w:r>
      <w:proofErr w:type="spellEnd"/>
      <w:r>
        <w:t xml:space="preserve"> questions about </w:t>
      </w:r>
      <w:proofErr w:type="spellStart"/>
      <w:r>
        <w:t>this</w:t>
      </w:r>
      <w:proofErr w:type="spellEnd"/>
      <w:r>
        <w:t xml:space="preserve"> </w:t>
      </w:r>
      <w:proofErr w:type="spellStart"/>
      <w:r>
        <w:t>statement</w:t>
      </w:r>
      <w:proofErr w:type="spellEnd"/>
      <w:r>
        <w:t xml:space="preserve">. First, if the </w:t>
      </w:r>
      <w:proofErr w:type="spellStart"/>
      <w:r>
        <w:t>authors</w:t>
      </w:r>
      <w:proofErr w:type="spellEnd"/>
      <w:r>
        <w:t xml:space="preserve"> </w:t>
      </w:r>
      <w:proofErr w:type="spellStart"/>
      <w:r>
        <w:t>appreciate</w:t>
      </w:r>
      <w:proofErr w:type="spellEnd"/>
      <w:r>
        <w:t xml:space="preserve"> the </w:t>
      </w:r>
      <w:proofErr w:type="spellStart"/>
      <w:r>
        <w:t>necessity</w:t>
      </w:r>
      <w:proofErr w:type="spellEnd"/>
      <w:r>
        <w:t xml:space="preserve"> of the long-</w:t>
      </w:r>
      <w:proofErr w:type="spellStart"/>
      <w:r>
        <w:t>term</w:t>
      </w:r>
      <w:proofErr w:type="spellEnd"/>
      <w:r>
        <w:t xml:space="preserve"> </w:t>
      </w:r>
      <w:proofErr w:type="spellStart"/>
      <w:r>
        <w:t>follow</w:t>
      </w:r>
      <w:proofErr w:type="spellEnd"/>
      <w:r>
        <w:t xml:space="preserve">-up, </w:t>
      </w:r>
      <w:proofErr w:type="spellStart"/>
      <w:r>
        <w:t>why</w:t>
      </w:r>
      <w:proofErr w:type="spellEnd"/>
      <w:r>
        <w:t xml:space="preserve"> not </w:t>
      </w:r>
      <w:proofErr w:type="spellStart"/>
      <w:r>
        <w:t>present</w:t>
      </w:r>
      <w:proofErr w:type="spellEnd"/>
      <w:r>
        <w:t xml:space="preserve"> the case </w:t>
      </w:r>
      <w:proofErr w:type="spellStart"/>
      <w:r>
        <w:t>with</w:t>
      </w:r>
      <w:proofErr w:type="spellEnd"/>
      <w:r>
        <w:t xml:space="preserve"> the long-</w:t>
      </w:r>
      <w:proofErr w:type="spellStart"/>
      <w:r>
        <w:t>term</w:t>
      </w:r>
      <w:proofErr w:type="spellEnd"/>
      <w:r>
        <w:t xml:space="preserve"> </w:t>
      </w:r>
      <w:proofErr w:type="spellStart"/>
      <w:r>
        <w:t>follow</w:t>
      </w:r>
      <w:proofErr w:type="spellEnd"/>
      <w:r>
        <w:t xml:space="preserve">-up, </w:t>
      </w:r>
      <w:proofErr w:type="spellStart"/>
      <w:r>
        <w:t>instead</w:t>
      </w:r>
      <w:proofErr w:type="spellEnd"/>
      <w:r>
        <w:t xml:space="preserve"> of </w:t>
      </w:r>
      <w:proofErr w:type="spellStart"/>
      <w:r>
        <w:t>just</w:t>
      </w:r>
      <w:proofErr w:type="spellEnd"/>
      <w:r>
        <w:t xml:space="preserve"> </w:t>
      </w:r>
      <w:proofErr w:type="spellStart"/>
      <w:r>
        <w:t>two-weeks</w:t>
      </w:r>
      <w:proofErr w:type="spellEnd"/>
      <w:r>
        <w:t xml:space="preserve"> observation? Second, </w:t>
      </w:r>
      <w:r>
        <w:rPr>
          <w:lang w:val="en-GB"/>
        </w:rPr>
        <w:t>“</w:t>
      </w:r>
      <w:proofErr w:type="spellStart"/>
      <w:r>
        <w:t>unpredictable</w:t>
      </w:r>
      <w:proofErr w:type="spellEnd"/>
      <w:r>
        <w:t xml:space="preserve"> </w:t>
      </w:r>
      <w:proofErr w:type="spellStart"/>
      <w:r>
        <w:t>natural</w:t>
      </w:r>
      <w:proofErr w:type="spellEnd"/>
      <w:r>
        <w:t xml:space="preserve"> </w:t>
      </w:r>
      <w:proofErr w:type="spellStart"/>
      <w:r>
        <w:t>history</w:t>
      </w:r>
      <w:proofErr w:type="spellEnd"/>
      <w:r>
        <w:rPr>
          <w:lang w:val="en-GB"/>
        </w:rPr>
        <w:t xml:space="preserve">” </w:t>
      </w:r>
      <w:r w:rsidR="00565D62">
        <w:rPr>
          <w:lang w:val="en-GB"/>
        </w:rPr>
        <w:t>doe</w:t>
      </w:r>
      <w:r>
        <w:rPr>
          <w:lang w:val="en-GB"/>
        </w:rPr>
        <w:t xml:space="preserve">s not </w:t>
      </w:r>
      <w:r w:rsidR="00565D62">
        <w:rPr>
          <w:lang w:val="en-GB"/>
        </w:rPr>
        <w:t>correspond to</w:t>
      </w:r>
      <w:r>
        <w:rPr>
          <w:lang w:val="en-GB"/>
        </w:rPr>
        <w:t xml:space="preserve"> the results of the cited [7]</w:t>
      </w:r>
      <w:r>
        <w:t> </w:t>
      </w:r>
      <w:proofErr w:type="spellStart"/>
      <w:r>
        <w:t>reference</w:t>
      </w:r>
      <w:proofErr w:type="spellEnd"/>
      <w:r>
        <w:t xml:space="preserve">, as all the patients </w:t>
      </w:r>
      <w:r w:rsidR="00565D62">
        <w:t xml:space="preserve">(6) </w:t>
      </w:r>
      <w:proofErr w:type="spellStart"/>
      <w:r w:rsidR="00565D62">
        <w:t>presented</w:t>
      </w:r>
      <w:proofErr w:type="spellEnd"/>
      <w:r w:rsidR="00565D62">
        <w:t xml:space="preserve"> in </w:t>
      </w:r>
      <w:proofErr w:type="spellStart"/>
      <w:r w:rsidR="00565D62">
        <w:t>this</w:t>
      </w:r>
      <w:proofErr w:type="spellEnd"/>
      <w:r w:rsidR="00565D62">
        <w:t xml:space="preserve"> article </w:t>
      </w:r>
      <w:proofErr w:type="spellStart"/>
      <w:r w:rsidR="00565D62">
        <w:t>had</w:t>
      </w:r>
      <w:proofErr w:type="spellEnd"/>
      <w:r w:rsidR="00565D62">
        <w:t xml:space="preserve"> no </w:t>
      </w:r>
      <w:proofErr w:type="spellStart"/>
      <w:r w:rsidR="00565D62">
        <w:t>recurrence</w:t>
      </w:r>
      <w:proofErr w:type="spellEnd"/>
      <w:r w:rsidR="00565D62">
        <w:t xml:space="preserve"> </w:t>
      </w:r>
      <w:proofErr w:type="spellStart"/>
      <w:r w:rsidR="00565D62">
        <w:t>during</w:t>
      </w:r>
      <w:proofErr w:type="spellEnd"/>
      <w:r w:rsidR="00565D62">
        <w:t xml:space="preserve"> the </w:t>
      </w:r>
      <w:proofErr w:type="spellStart"/>
      <w:r w:rsidR="00565D62">
        <w:t>follow</w:t>
      </w:r>
      <w:proofErr w:type="spellEnd"/>
      <w:r w:rsidR="00565D62">
        <w:t>-up (</w:t>
      </w:r>
      <w:proofErr w:type="spellStart"/>
      <w:r w:rsidR="00565D62">
        <w:t>mean</w:t>
      </w:r>
      <w:proofErr w:type="spellEnd"/>
      <w:r w:rsidR="00565D62">
        <w:t xml:space="preserve"> 2 </w:t>
      </w:r>
      <w:proofErr w:type="spellStart"/>
      <w:r w:rsidR="00565D62">
        <w:t>years</w:t>
      </w:r>
      <w:proofErr w:type="spellEnd"/>
      <w:r w:rsidR="00565D62">
        <w:t xml:space="preserve">, maximum 12 </w:t>
      </w:r>
      <w:proofErr w:type="spellStart"/>
      <w:r w:rsidR="00565D62">
        <w:t>years</w:t>
      </w:r>
      <w:proofErr w:type="spellEnd"/>
      <w:r w:rsidR="00565D62">
        <w:t xml:space="preserve">). </w:t>
      </w:r>
    </w:p>
  </w:comment>
  <w:comment w:id="8" w:author="Serg" w:date="2026-01-03T17:21:00Z" w:initials="S">
    <w:p w14:paraId="175D0C9B" w14:textId="1EA1AB20" w:rsidR="00565D62" w:rsidRDefault="00565D62">
      <w:pPr>
        <w:pStyle w:val="CommentText"/>
      </w:pPr>
      <w:r>
        <w:rPr>
          <w:rStyle w:val="CommentReference"/>
        </w:rPr>
        <w:annotationRef/>
      </w:r>
      <w:proofErr w:type="spellStart"/>
      <w:r>
        <w:t>We</w:t>
      </w:r>
      <w:proofErr w:type="spellEnd"/>
      <w:r>
        <w:t xml:space="preserve"> </w:t>
      </w:r>
      <w:proofErr w:type="spellStart"/>
      <w:r>
        <w:t>should</w:t>
      </w:r>
      <w:proofErr w:type="spellEnd"/>
      <w:r>
        <w:t xml:space="preserve"> </w:t>
      </w:r>
      <w:proofErr w:type="spellStart"/>
      <w:r>
        <w:t>be</w:t>
      </w:r>
      <w:proofErr w:type="spellEnd"/>
      <w:r>
        <w:t xml:space="preserve"> </w:t>
      </w:r>
      <w:proofErr w:type="spellStart"/>
      <w:r>
        <w:t>very</w:t>
      </w:r>
      <w:proofErr w:type="spellEnd"/>
      <w:r>
        <w:t xml:space="preserve"> </w:t>
      </w:r>
      <w:proofErr w:type="spellStart"/>
      <w:r>
        <w:t>careful</w:t>
      </w:r>
      <w:proofErr w:type="spellEnd"/>
      <w:r>
        <w:t xml:space="preserve"> </w:t>
      </w:r>
      <w:proofErr w:type="spellStart"/>
      <w:r>
        <w:t>with</w:t>
      </w:r>
      <w:proofErr w:type="spellEnd"/>
      <w:r>
        <w:t xml:space="preserve"> </w:t>
      </w:r>
      <w:proofErr w:type="spellStart"/>
      <w:r>
        <w:t>categorical</w:t>
      </w:r>
      <w:proofErr w:type="spellEnd"/>
      <w:r>
        <w:t xml:space="preserve"> </w:t>
      </w:r>
      <w:proofErr w:type="spellStart"/>
      <w:r>
        <w:t>recommendations</w:t>
      </w:r>
      <w:proofErr w:type="spellEnd"/>
      <w:r>
        <w:t xml:space="preserve">, </w:t>
      </w:r>
      <w:proofErr w:type="spellStart"/>
      <w:r>
        <w:t>especially</w:t>
      </w:r>
      <w:proofErr w:type="spellEnd"/>
      <w:r>
        <w:t xml:space="preserve"> in the </w:t>
      </w:r>
      <w:proofErr w:type="spellStart"/>
      <w:r>
        <w:t>works</w:t>
      </w:r>
      <w:proofErr w:type="spellEnd"/>
      <w:r>
        <w:t xml:space="preserve"> </w:t>
      </w:r>
      <w:proofErr w:type="spellStart"/>
      <w:r>
        <w:t>with</w:t>
      </w:r>
      <w:proofErr w:type="spellEnd"/>
      <w:r>
        <w:t xml:space="preserve"> a </w:t>
      </w:r>
      <w:proofErr w:type="spellStart"/>
      <w:r>
        <w:t>rather</w:t>
      </w:r>
      <w:proofErr w:type="spellEnd"/>
      <w:r>
        <w:t xml:space="preserve"> </w:t>
      </w:r>
      <w:proofErr w:type="spellStart"/>
      <w:r>
        <w:t>low</w:t>
      </w:r>
      <w:proofErr w:type="spellEnd"/>
      <w:r>
        <w:t xml:space="preserve"> power (due to </w:t>
      </w:r>
      <w:proofErr w:type="spellStart"/>
      <w:r>
        <w:t>small</w:t>
      </w:r>
      <w:proofErr w:type="spellEnd"/>
      <w:r>
        <w:t xml:space="preserve"> </w:t>
      </w:r>
      <w:proofErr w:type="spellStart"/>
      <w:r>
        <w:t>sample</w:t>
      </w:r>
      <w:proofErr w:type="spellEnd"/>
      <w:r>
        <w:t xml:space="preserve"> size)</w:t>
      </w:r>
    </w:p>
  </w:comment>
  <w:comment w:id="9" w:author="Serg" w:date="2026-01-03T17:22:00Z" w:initials="S">
    <w:p w14:paraId="3B2EBBB3" w14:textId="2D05336E" w:rsidR="00565D62" w:rsidRDefault="00565D62">
      <w:pPr>
        <w:pStyle w:val="CommentText"/>
      </w:pPr>
      <w:r>
        <w:rPr>
          <w:rStyle w:val="CommentReference"/>
        </w:rPr>
        <w:annotationRef/>
      </w:r>
      <w:r>
        <w:t xml:space="preserve">It </w:t>
      </w:r>
      <w:proofErr w:type="spellStart"/>
      <w:r>
        <w:t>is</w:t>
      </w:r>
      <w:proofErr w:type="spellEnd"/>
      <w:r>
        <w:t xml:space="preserve"> acceptable to </w:t>
      </w:r>
      <w:proofErr w:type="spellStart"/>
      <w:r>
        <w:t>limit</w:t>
      </w:r>
      <w:proofErr w:type="spellEnd"/>
      <w:r>
        <w:t xml:space="preserve"> the </w:t>
      </w:r>
      <w:proofErr w:type="spellStart"/>
      <w:r>
        <w:t>authors</w:t>
      </w:r>
      <w:proofErr w:type="spellEnd"/>
      <w:r>
        <w:t xml:space="preserve"> of the </w:t>
      </w:r>
      <w:proofErr w:type="spellStart"/>
      <w:r>
        <w:t>cited</w:t>
      </w:r>
      <w:proofErr w:type="spellEnd"/>
      <w:r>
        <w:t xml:space="preserve"> </w:t>
      </w:r>
      <w:proofErr w:type="spellStart"/>
      <w:r>
        <w:t>work</w:t>
      </w:r>
      <w:proofErr w:type="spellEnd"/>
      <w:r>
        <w:t xml:space="preserve"> to 5</w:t>
      </w:r>
    </w:p>
  </w:comment>
  <w:comment w:id="10" w:author="Serg" w:date="2026-01-03T17:23:00Z" w:initials="S">
    <w:p w14:paraId="3B92DAED" w14:textId="030EDE8A" w:rsidR="00565D62" w:rsidRDefault="00565D62">
      <w:pPr>
        <w:pStyle w:val="CommentText"/>
      </w:pPr>
      <w:r>
        <w:rPr>
          <w:rStyle w:val="CommentReference"/>
        </w:rPr>
        <w:annotationRef/>
      </w:r>
      <w:proofErr w:type="spellStart"/>
      <w:r>
        <w:t>See</w:t>
      </w:r>
      <w:proofErr w:type="spellEnd"/>
      <w:r>
        <w:t xml:space="preserve"> the </w:t>
      </w:r>
      <w:proofErr w:type="spellStart"/>
      <w:r>
        <w:t>previous</w:t>
      </w:r>
      <w:proofErr w:type="spellEnd"/>
      <w:r>
        <w:t xml:space="preserve"> comment</w:t>
      </w:r>
    </w:p>
  </w:comment>
  <w:comment w:id="11" w:author="Serg" w:date="2026-01-03T16:46:00Z" w:initials="S">
    <w:p w14:paraId="29C793D7" w14:textId="0DB16BC0" w:rsidR="000D4AE2" w:rsidRDefault="000D4AE2">
      <w:pPr>
        <w:pStyle w:val="CommentText"/>
      </w:pPr>
      <w:r>
        <w:rPr>
          <w:rStyle w:val="CommentReference"/>
        </w:rPr>
        <w:annotationRef/>
      </w:r>
      <w:proofErr w:type="spellStart"/>
      <w:r>
        <w:t>Why</w:t>
      </w:r>
      <w:proofErr w:type="spellEnd"/>
      <w:r>
        <w:t xml:space="preserve"> in </w:t>
      </w:r>
      <w:proofErr w:type="spellStart"/>
      <w:r w:rsidRPr="000D4AE2">
        <w:rPr>
          <w:i/>
        </w:rPr>
        <w:t>italics</w:t>
      </w:r>
      <w:proofErr w:type="spellEnd"/>
      <w:r>
        <w:t>?</w:t>
      </w:r>
    </w:p>
  </w:comment>
  <w:comment w:id="12" w:author="Serg" w:date="2026-01-03T14:36:00Z" w:initials="S">
    <w:p w14:paraId="0ADB3C17" w14:textId="459CBEC9" w:rsidR="00F146F4" w:rsidRDefault="00F146F4">
      <w:pPr>
        <w:pStyle w:val="CommentText"/>
      </w:pPr>
      <w:r>
        <w:rPr>
          <w:rStyle w:val="CommentReference"/>
        </w:rPr>
        <w:annotationRef/>
      </w:r>
      <w:r>
        <w:t xml:space="preserve">Is the </w:t>
      </w:r>
      <w:proofErr w:type="spellStart"/>
      <w:r>
        <w:t>scar</w:t>
      </w:r>
      <w:proofErr w:type="spellEnd"/>
      <w:r>
        <w:t xml:space="preserve"> I </w:t>
      </w:r>
      <w:proofErr w:type="spellStart"/>
      <w:r>
        <w:t>see</w:t>
      </w:r>
      <w:proofErr w:type="spellEnd"/>
      <w:r>
        <w:t xml:space="preserve"> on the </w:t>
      </w:r>
      <w:proofErr w:type="spellStart"/>
      <w:r>
        <w:t>picture</w:t>
      </w:r>
      <w:proofErr w:type="spellEnd"/>
      <w:r>
        <w:t xml:space="preserve"> </w:t>
      </w:r>
      <w:proofErr w:type="spellStart"/>
      <w:r>
        <w:t>from</w:t>
      </w:r>
      <w:proofErr w:type="spellEnd"/>
      <w:r>
        <w:t xml:space="preserve"> the </w:t>
      </w:r>
      <w:proofErr w:type="spellStart"/>
      <w:r>
        <w:t>previous</w:t>
      </w:r>
      <w:proofErr w:type="spellEnd"/>
      <w:r>
        <w:t xml:space="preserve"> open </w:t>
      </w:r>
      <w:proofErr w:type="spellStart"/>
      <w:r>
        <w:t>appendicectomy</w:t>
      </w:r>
      <w:proofErr w:type="spellEnd"/>
      <w:r>
        <w:t xml:space="preserve">? If </w:t>
      </w:r>
      <w:proofErr w:type="spellStart"/>
      <w:r>
        <w:t>so</w:t>
      </w:r>
      <w:proofErr w:type="spellEnd"/>
      <w:r>
        <w:t xml:space="preserve">, </w:t>
      </w:r>
      <w:proofErr w:type="spellStart"/>
      <w:r>
        <w:t>this</w:t>
      </w:r>
      <w:proofErr w:type="spellEnd"/>
      <w:r>
        <w:t xml:space="preserve"> </w:t>
      </w:r>
      <w:proofErr w:type="spellStart"/>
      <w:r>
        <w:t>fact</w:t>
      </w:r>
      <w:proofErr w:type="spellEnd"/>
      <w:r>
        <w:t xml:space="preserve"> </w:t>
      </w:r>
      <w:proofErr w:type="spellStart"/>
      <w:r>
        <w:t>should</w:t>
      </w:r>
      <w:proofErr w:type="spellEnd"/>
      <w:r>
        <w:t xml:space="preserve"> </w:t>
      </w:r>
      <w:proofErr w:type="spellStart"/>
      <w:r>
        <w:t>be</w:t>
      </w:r>
      <w:proofErr w:type="spellEnd"/>
      <w:r>
        <w:t xml:space="preserve"> </w:t>
      </w:r>
      <w:proofErr w:type="spellStart"/>
      <w:r>
        <w:t>reported</w:t>
      </w:r>
      <w:proofErr w:type="spellEnd"/>
      <w:r>
        <w:t xml:space="preserve"> in the </w:t>
      </w:r>
      <w:proofErr w:type="spellStart"/>
      <w:r>
        <w:t>history</w:t>
      </w:r>
      <w:proofErr w:type="spellEnd"/>
      <w:r>
        <w:t xml:space="preserve">, as for </w:t>
      </w:r>
      <w:proofErr w:type="spellStart"/>
      <w:r w:rsidR="00E172F4">
        <w:t>general</w:t>
      </w:r>
      <w:proofErr w:type="spellEnd"/>
      <w:r w:rsidR="00E172F4">
        <w:t xml:space="preserve"> </w:t>
      </w:r>
      <w:r>
        <w:t xml:space="preserve">surgeon the first of the </w:t>
      </w:r>
      <w:proofErr w:type="spellStart"/>
      <w:r>
        <w:t>differential</w:t>
      </w:r>
      <w:proofErr w:type="spellEnd"/>
      <w:r>
        <w:t xml:space="preserve"> of </w:t>
      </w:r>
      <w:proofErr w:type="gramStart"/>
      <w:r>
        <w:t>a</w:t>
      </w:r>
      <w:proofErr w:type="gramEnd"/>
      <w:r>
        <w:t xml:space="preserve"> right </w:t>
      </w:r>
      <w:proofErr w:type="spellStart"/>
      <w:r>
        <w:t>iliac</w:t>
      </w:r>
      <w:proofErr w:type="spellEnd"/>
      <w:r>
        <w:t xml:space="preserve"> </w:t>
      </w:r>
      <w:proofErr w:type="spellStart"/>
      <w:r>
        <w:t>fossa</w:t>
      </w:r>
      <w:proofErr w:type="spellEnd"/>
      <w:r>
        <w:t xml:space="preserve"> mass </w:t>
      </w:r>
      <w:proofErr w:type="spellStart"/>
      <w:r>
        <w:t>is</w:t>
      </w:r>
      <w:proofErr w:type="spellEnd"/>
      <w:r>
        <w:t xml:space="preserve"> an </w:t>
      </w:r>
      <w:proofErr w:type="spellStart"/>
      <w:r>
        <w:t>appendix</w:t>
      </w:r>
      <w:proofErr w:type="spellEnd"/>
      <w:r>
        <w:t xml:space="preserve"> mass</w:t>
      </w:r>
      <w:r w:rsidR="00E172F4">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ED930" w14:textId="77777777" w:rsidR="008A4D3C" w:rsidRDefault="008A4D3C" w:rsidP="00371DAE">
      <w:pPr>
        <w:spacing w:after="0" w:line="240" w:lineRule="auto"/>
      </w:pPr>
      <w:r>
        <w:separator/>
      </w:r>
    </w:p>
  </w:endnote>
  <w:endnote w:type="continuationSeparator" w:id="0">
    <w:p w14:paraId="6ECDE71B" w14:textId="77777777" w:rsidR="008A4D3C" w:rsidRDefault="008A4D3C" w:rsidP="0037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C774" w14:textId="77777777" w:rsidR="00A50A0A" w:rsidRDefault="00A50A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C5E0A" w14:textId="77777777" w:rsidR="00A50A0A" w:rsidRDefault="00A50A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8688" w14:textId="77777777" w:rsidR="00A50A0A" w:rsidRDefault="00A50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4D8FB" w14:textId="77777777" w:rsidR="008A4D3C" w:rsidRDefault="008A4D3C" w:rsidP="00371DAE">
      <w:pPr>
        <w:spacing w:after="0" w:line="240" w:lineRule="auto"/>
      </w:pPr>
      <w:r>
        <w:separator/>
      </w:r>
    </w:p>
  </w:footnote>
  <w:footnote w:type="continuationSeparator" w:id="0">
    <w:p w14:paraId="72FEDDBB" w14:textId="77777777" w:rsidR="008A4D3C" w:rsidRDefault="008A4D3C" w:rsidP="00371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71B32" w14:textId="0FD1E550" w:rsidR="00A50A0A" w:rsidRDefault="008A4D3C">
    <w:pPr>
      <w:pStyle w:val="Header"/>
    </w:pPr>
    <w:r>
      <w:rPr>
        <w:noProof/>
      </w:rPr>
      <w:pict w14:anchorId="3E459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2B84D" w14:textId="18AC6204" w:rsidR="00A50A0A" w:rsidRDefault="008A4D3C">
    <w:pPr>
      <w:pStyle w:val="Header"/>
    </w:pPr>
    <w:r>
      <w:rPr>
        <w:noProof/>
      </w:rPr>
      <w:pict w14:anchorId="57CAC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5104F" w14:textId="199419C0" w:rsidR="00A50A0A" w:rsidRDefault="008A4D3C">
    <w:pPr>
      <w:pStyle w:val="Header"/>
    </w:pPr>
    <w:r>
      <w:rPr>
        <w:noProof/>
      </w:rPr>
      <w:pict w14:anchorId="6EADB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41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01E5C"/>
    <w:multiLevelType w:val="multilevel"/>
    <w:tmpl w:val="EE8E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0EF7"/>
    <w:rsid w:val="000431F0"/>
    <w:rsid w:val="00076D25"/>
    <w:rsid w:val="000921F3"/>
    <w:rsid w:val="000D2ACC"/>
    <w:rsid w:val="000D4AE2"/>
    <w:rsid w:val="000D7D63"/>
    <w:rsid w:val="000F5B85"/>
    <w:rsid w:val="001153BF"/>
    <w:rsid w:val="001214DA"/>
    <w:rsid w:val="00157804"/>
    <w:rsid w:val="001B2FE1"/>
    <w:rsid w:val="001B325B"/>
    <w:rsid w:val="00300B97"/>
    <w:rsid w:val="00342BBB"/>
    <w:rsid w:val="00371DAE"/>
    <w:rsid w:val="003F4E0A"/>
    <w:rsid w:val="003F5CDD"/>
    <w:rsid w:val="004144E9"/>
    <w:rsid w:val="0041477D"/>
    <w:rsid w:val="00511408"/>
    <w:rsid w:val="00562381"/>
    <w:rsid w:val="00565D62"/>
    <w:rsid w:val="0056755E"/>
    <w:rsid w:val="005A6112"/>
    <w:rsid w:val="005A7731"/>
    <w:rsid w:val="005F3B27"/>
    <w:rsid w:val="006003FE"/>
    <w:rsid w:val="0060065A"/>
    <w:rsid w:val="006E35EB"/>
    <w:rsid w:val="007A038F"/>
    <w:rsid w:val="00811CCF"/>
    <w:rsid w:val="00883DC2"/>
    <w:rsid w:val="0088757C"/>
    <w:rsid w:val="008A4D3C"/>
    <w:rsid w:val="008D2F41"/>
    <w:rsid w:val="008E4559"/>
    <w:rsid w:val="008F5365"/>
    <w:rsid w:val="009436E6"/>
    <w:rsid w:val="009767A1"/>
    <w:rsid w:val="009C0EF7"/>
    <w:rsid w:val="009C72EF"/>
    <w:rsid w:val="009D0BC5"/>
    <w:rsid w:val="00A15414"/>
    <w:rsid w:val="00A50A0A"/>
    <w:rsid w:val="00AC1CB4"/>
    <w:rsid w:val="00B33363"/>
    <w:rsid w:val="00BD139B"/>
    <w:rsid w:val="00C92879"/>
    <w:rsid w:val="00D16634"/>
    <w:rsid w:val="00E172F4"/>
    <w:rsid w:val="00F146F4"/>
    <w:rsid w:val="00F5693F"/>
    <w:rsid w:val="00F80086"/>
    <w:rsid w:val="00FE41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A93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7D"/>
  </w:style>
  <w:style w:type="paragraph" w:styleId="Heading2">
    <w:name w:val="heading 2"/>
    <w:basedOn w:val="Normal"/>
    <w:link w:val="Heading2Char"/>
    <w:uiPriority w:val="9"/>
    <w:qFormat/>
    <w:rsid w:val="009C0EF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0EF7"/>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9C0EF7"/>
    <w:rPr>
      <w:b/>
      <w:bCs/>
    </w:rPr>
  </w:style>
  <w:style w:type="paragraph" w:styleId="NormalWeb">
    <w:name w:val="Normal (Web)"/>
    <w:basedOn w:val="Normal"/>
    <w:uiPriority w:val="99"/>
    <w:semiHidden/>
    <w:unhideWhenUsed/>
    <w:rsid w:val="009C0EF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9C0EF7"/>
    <w:rPr>
      <w:i/>
      <w:iCs/>
    </w:rPr>
  </w:style>
  <w:style w:type="paragraph" w:styleId="BalloonText">
    <w:name w:val="Balloon Text"/>
    <w:basedOn w:val="Normal"/>
    <w:link w:val="BalloonTextChar"/>
    <w:uiPriority w:val="99"/>
    <w:semiHidden/>
    <w:unhideWhenUsed/>
    <w:rsid w:val="00FE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11"/>
    <w:rPr>
      <w:rFonts w:ascii="Tahoma" w:hAnsi="Tahoma" w:cs="Tahoma"/>
      <w:sz w:val="16"/>
      <w:szCs w:val="16"/>
    </w:rPr>
  </w:style>
  <w:style w:type="paragraph" w:styleId="Header">
    <w:name w:val="header"/>
    <w:basedOn w:val="Normal"/>
    <w:link w:val="HeaderChar"/>
    <w:uiPriority w:val="99"/>
    <w:unhideWhenUsed/>
    <w:rsid w:val="00371D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1DAE"/>
  </w:style>
  <w:style w:type="paragraph" w:styleId="Footer">
    <w:name w:val="footer"/>
    <w:basedOn w:val="Normal"/>
    <w:link w:val="FooterChar"/>
    <w:uiPriority w:val="99"/>
    <w:unhideWhenUsed/>
    <w:rsid w:val="00371D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1DAE"/>
  </w:style>
  <w:style w:type="character" w:customStyle="1" w:styleId="A0">
    <w:name w:val="A0"/>
    <w:uiPriority w:val="99"/>
    <w:rsid w:val="009436E6"/>
    <w:rPr>
      <w:rFonts w:cs="Calibri"/>
      <w:i/>
      <w:iCs/>
      <w:color w:val="000000"/>
      <w:sz w:val="20"/>
      <w:szCs w:val="20"/>
    </w:rPr>
  </w:style>
  <w:style w:type="character" w:styleId="Hyperlink">
    <w:name w:val="Hyperlink"/>
    <w:basedOn w:val="DefaultParagraphFont"/>
    <w:uiPriority w:val="99"/>
    <w:unhideWhenUsed/>
    <w:rsid w:val="005A7731"/>
    <w:rPr>
      <w:color w:val="0000FF" w:themeColor="hyperlink"/>
      <w:u w:val="single"/>
    </w:rPr>
  </w:style>
  <w:style w:type="character" w:customStyle="1" w:styleId="UnresolvedMention">
    <w:name w:val="Unresolved Mention"/>
    <w:basedOn w:val="DefaultParagraphFont"/>
    <w:uiPriority w:val="99"/>
    <w:semiHidden/>
    <w:unhideWhenUsed/>
    <w:rsid w:val="005A7731"/>
    <w:rPr>
      <w:color w:val="605E5C"/>
      <w:shd w:val="clear" w:color="auto" w:fill="E1DFDD"/>
    </w:rPr>
  </w:style>
  <w:style w:type="character" w:styleId="CommentReference">
    <w:name w:val="annotation reference"/>
    <w:basedOn w:val="DefaultParagraphFont"/>
    <w:uiPriority w:val="99"/>
    <w:semiHidden/>
    <w:unhideWhenUsed/>
    <w:rsid w:val="00F146F4"/>
    <w:rPr>
      <w:sz w:val="16"/>
      <w:szCs w:val="16"/>
    </w:rPr>
  </w:style>
  <w:style w:type="paragraph" w:styleId="CommentText">
    <w:name w:val="annotation text"/>
    <w:basedOn w:val="Normal"/>
    <w:link w:val="CommentTextChar"/>
    <w:uiPriority w:val="99"/>
    <w:semiHidden/>
    <w:unhideWhenUsed/>
    <w:rsid w:val="00F146F4"/>
    <w:pPr>
      <w:spacing w:line="240" w:lineRule="auto"/>
    </w:pPr>
    <w:rPr>
      <w:sz w:val="20"/>
      <w:szCs w:val="20"/>
    </w:rPr>
  </w:style>
  <w:style w:type="character" w:customStyle="1" w:styleId="CommentTextChar">
    <w:name w:val="Comment Text Char"/>
    <w:basedOn w:val="DefaultParagraphFont"/>
    <w:link w:val="CommentText"/>
    <w:uiPriority w:val="99"/>
    <w:semiHidden/>
    <w:rsid w:val="00F146F4"/>
    <w:rPr>
      <w:sz w:val="20"/>
      <w:szCs w:val="20"/>
    </w:rPr>
  </w:style>
  <w:style w:type="paragraph" w:styleId="CommentSubject">
    <w:name w:val="annotation subject"/>
    <w:basedOn w:val="CommentText"/>
    <w:next w:val="CommentText"/>
    <w:link w:val="CommentSubjectChar"/>
    <w:uiPriority w:val="99"/>
    <w:semiHidden/>
    <w:unhideWhenUsed/>
    <w:rsid w:val="00F146F4"/>
    <w:rPr>
      <w:b/>
      <w:bCs/>
    </w:rPr>
  </w:style>
  <w:style w:type="character" w:customStyle="1" w:styleId="CommentSubjectChar">
    <w:name w:val="Comment Subject Char"/>
    <w:basedOn w:val="CommentTextChar"/>
    <w:link w:val="CommentSubject"/>
    <w:uiPriority w:val="99"/>
    <w:semiHidden/>
    <w:rsid w:val="00F146F4"/>
    <w:rPr>
      <w:b/>
      <w:bCs/>
      <w:sz w:val="20"/>
      <w:szCs w:val="20"/>
    </w:rPr>
  </w:style>
  <w:style w:type="character" w:styleId="FollowedHyperlink">
    <w:name w:val="FollowedHyperlink"/>
    <w:basedOn w:val="DefaultParagraphFont"/>
    <w:uiPriority w:val="99"/>
    <w:semiHidden/>
    <w:unhideWhenUsed/>
    <w:rsid w:val="00C928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20905">
      <w:bodyDiv w:val="1"/>
      <w:marLeft w:val="0"/>
      <w:marRight w:val="0"/>
      <w:marTop w:val="0"/>
      <w:marBottom w:val="0"/>
      <w:divBdr>
        <w:top w:val="none" w:sz="0" w:space="0" w:color="auto"/>
        <w:left w:val="none" w:sz="0" w:space="0" w:color="auto"/>
        <w:bottom w:val="none" w:sz="0" w:space="0" w:color="auto"/>
        <w:right w:val="none" w:sz="0" w:space="0" w:color="auto"/>
      </w:divBdr>
    </w:div>
    <w:div w:id="180096167">
      <w:bodyDiv w:val="1"/>
      <w:marLeft w:val="0"/>
      <w:marRight w:val="0"/>
      <w:marTop w:val="0"/>
      <w:marBottom w:val="0"/>
      <w:divBdr>
        <w:top w:val="none" w:sz="0" w:space="0" w:color="auto"/>
        <w:left w:val="none" w:sz="0" w:space="0" w:color="auto"/>
        <w:bottom w:val="none" w:sz="0" w:space="0" w:color="auto"/>
        <w:right w:val="none" w:sz="0" w:space="0" w:color="auto"/>
      </w:divBdr>
    </w:div>
    <w:div w:id="272522176">
      <w:bodyDiv w:val="1"/>
      <w:marLeft w:val="0"/>
      <w:marRight w:val="0"/>
      <w:marTop w:val="0"/>
      <w:marBottom w:val="0"/>
      <w:divBdr>
        <w:top w:val="none" w:sz="0" w:space="0" w:color="auto"/>
        <w:left w:val="none" w:sz="0" w:space="0" w:color="auto"/>
        <w:bottom w:val="none" w:sz="0" w:space="0" w:color="auto"/>
        <w:right w:val="none" w:sz="0" w:space="0" w:color="auto"/>
      </w:divBdr>
    </w:div>
    <w:div w:id="283387163">
      <w:bodyDiv w:val="1"/>
      <w:marLeft w:val="0"/>
      <w:marRight w:val="0"/>
      <w:marTop w:val="0"/>
      <w:marBottom w:val="0"/>
      <w:divBdr>
        <w:top w:val="none" w:sz="0" w:space="0" w:color="auto"/>
        <w:left w:val="none" w:sz="0" w:space="0" w:color="auto"/>
        <w:bottom w:val="none" w:sz="0" w:space="0" w:color="auto"/>
        <w:right w:val="none" w:sz="0" w:space="0" w:color="auto"/>
      </w:divBdr>
    </w:div>
    <w:div w:id="358354089">
      <w:bodyDiv w:val="1"/>
      <w:marLeft w:val="0"/>
      <w:marRight w:val="0"/>
      <w:marTop w:val="0"/>
      <w:marBottom w:val="0"/>
      <w:divBdr>
        <w:top w:val="none" w:sz="0" w:space="0" w:color="auto"/>
        <w:left w:val="none" w:sz="0" w:space="0" w:color="auto"/>
        <w:bottom w:val="none" w:sz="0" w:space="0" w:color="auto"/>
        <w:right w:val="none" w:sz="0" w:space="0" w:color="auto"/>
      </w:divBdr>
    </w:div>
    <w:div w:id="615908159">
      <w:bodyDiv w:val="1"/>
      <w:marLeft w:val="0"/>
      <w:marRight w:val="0"/>
      <w:marTop w:val="0"/>
      <w:marBottom w:val="0"/>
      <w:divBdr>
        <w:top w:val="none" w:sz="0" w:space="0" w:color="auto"/>
        <w:left w:val="none" w:sz="0" w:space="0" w:color="auto"/>
        <w:bottom w:val="none" w:sz="0" w:space="0" w:color="auto"/>
        <w:right w:val="none" w:sz="0" w:space="0" w:color="auto"/>
      </w:divBdr>
    </w:div>
    <w:div w:id="630087580">
      <w:bodyDiv w:val="1"/>
      <w:marLeft w:val="0"/>
      <w:marRight w:val="0"/>
      <w:marTop w:val="0"/>
      <w:marBottom w:val="0"/>
      <w:divBdr>
        <w:top w:val="none" w:sz="0" w:space="0" w:color="auto"/>
        <w:left w:val="none" w:sz="0" w:space="0" w:color="auto"/>
        <w:bottom w:val="none" w:sz="0" w:space="0" w:color="auto"/>
        <w:right w:val="none" w:sz="0" w:space="0" w:color="auto"/>
      </w:divBdr>
    </w:div>
    <w:div w:id="636181421">
      <w:bodyDiv w:val="1"/>
      <w:marLeft w:val="0"/>
      <w:marRight w:val="0"/>
      <w:marTop w:val="0"/>
      <w:marBottom w:val="0"/>
      <w:divBdr>
        <w:top w:val="none" w:sz="0" w:space="0" w:color="auto"/>
        <w:left w:val="none" w:sz="0" w:space="0" w:color="auto"/>
        <w:bottom w:val="none" w:sz="0" w:space="0" w:color="auto"/>
        <w:right w:val="none" w:sz="0" w:space="0" w:color="auto"/>
      </w:divBdr>
    </w:div>
    <w:div w:id="1489008915">
      <w:bodyDiv w:val="1"/>
      <w:marLeft w:val="0"/>
      <w:marRight w:val="0"/>
      <w:marTop w:val="0"/>
      <w:marBottom w:val="0"/>
      <w:divBdr>
        <w:top w:val="none" w:sz="0" w:space="0" w:color="auto"/>
        <w:left w:val="none" w:sz="0" w:space="0" w:color="auto"/>
        <w:bottom w:val="none" w:sz="0" w:space="0" w:color="auto"/>
        <w:right w:val="none" w:sz="0" w:space="0" w:color="auto"/>
      </w:divBdr>
    </w:div>
    <w:div w:id="1556231610">
      <w:bodyDiv w:val="1"/>
      <w:marLeft w:val="0"/>
      <w:marRight w:val="0"/>
      <w:marTop w:val="0"/>
      <w:marBottom w:val="0"/>
      <w:divBdr>
        <w:top w:val="none" w:sz="0" w:space="0" w:color="auto"/>
        <w:left w:val="none" w:sz="0" w:space="0" w:color="auto"/>
        <w:bottom w:val="none" w:sz="0" w:space="0" w:color="auto"/>
        <w:right w:val="none" w:sz="0" w:space="0" w:color="auto"/>
      </w:divBdr>
    </w:div>
    <w:div w:id="1595824043">
      <w:bodyDiv w:val="1"/>
      <w:marLeft w:val="0"/>
      <w:marRight w:val="0"/>
      <w:marTop w:val="0"/>
      <w:marBottom w:val="0"/>
      <w:divBdr>
        <w:top w:val="none" w:sz="0" w:space="0" w:color="auto"/>
        <w:left w:val="none" w:sz="0" w:space="0" w:color="auto"/>
        <w:bottom w:val="none" w:sz="0" w:space="0" w:color="auto"/>
        <w:right w:val="none" w:sz="0" w:space="0" w:color="auto"/>
      </w:divBdr>
    </w:div>
    <w:div w:id="1655986813">
      <w:bodyDiv w:val="1"/>
      <w:marLeft w:val="0"/>
      <w:marRight w:val="0"/>
      <w:marTop w:val="0"/>
      <w:marBottom w:val="0"/>
      <w:divBdr>
        <w:top w:val="none" w:sz="0" w:space="0" w:color="auto"/>
        <w:left w:val="none" w:sz="0" w:space="0" w:color="auto"/>
        <w:bottom w:val="none" w:sz="0" w:space="0" w:color="auto"/>
        <w:right w:val="none" w:sz="0" w:space="0" w:color="auto"/>
      </w:divBdr>
    </w:div>
    <w:div w:id="2065369276">
      <w:bodyDiv w:val="1"/>
      <w:marLeft w:val="0"/>
      <w:marRight w:val="0"/>
      <w:marTop w:val="0"/>
      <w:marBottom w:val="0"/>
      <w:divBdr>
        <w:top w:val="none" w:sz="0" w:space="0" w:color="auto"/>
        <w:left w:val="none" w:sz="0" w:space="0" w:color="auto"/>
        <w:bottom w:val="none" w:sz="0" w:space="0" w:color="auto"/>
        <w:right w:val="none" w:sz="0" w:space="0" w:color="auto"/>
      </w:divBdr>
    </w:div>
    <w:div w:id="2091542423">
      <w:bodyDiv w:val="1"/>
      <w:marLeft w:val="0"/>
      <w:marRight w:val="0"/>
      <w:marTop w:val="0"/>
      <w:marBottom w:val="0"/>
      <w:divBdr>
        <w:top w:val="none" w:sz="0" w:space="0" w:color="auto"/>
        <w:left w:val="none" w:sz="0" w:space="0" w:color="auto"/>
        <w:bottom w:val="none" w:sz="0" w:space="0" w:color="auto"/>
        <w:right w:val="none" w:sz="0" w:space="0" w:color="auto"/>
      </w:divBdr>
    </w:div>
    <w:div w:id="212083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s00268-017-3962-2" TargetMode="External"/><Relationship Id="rId18" Type="http://schemas.openxmlformats.org/officeDocument/2006/relationships/image" Target="media/image3.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doi.org/10.1016/j.ejca.2014.11.019"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245/s10434-012-2638-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7/s13304-011-0109-0"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https://doi.org/10.1016/j.ejca.2019.11.013"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93/annonc/mdx323" TargetMode="External"/><Relationship Id="rId14" Type="http://schemas.openxmlformats.org/officeDocument/2006/relationships/hyperlink" Target="https://link.springer.com/article/10.1245/s10434-014-3618-5"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880</TotalTime>
  <Pages>1</Pages>
  <Words>1834</Words>
  <Characters>10456</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Rahali Anwar</dc:creator>
  <cp:lastModifiedBy>Serg</cp:lastModifiedBy>
  <cp:revision>24</cp:revision>
  <dcterms:created xsi:type="dcterms:W3CDTF">2025-12-29T18:29:00Z</dcterms:created>
  <dcterms:modified xsi:type="dcterms:W3CDTF">2026-01-03T17:04:00Z</dcterms:modified>
</cp:coreProperties>
</file>