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BA2" w:rsidRPr="007B467C" w:rsidRDefault="005152FE" w:rsidP="007B467C">
      <w:pPr>
        <w:spacing w:line="276" w:lineRule="auto"/>
        <w:jc w:val="center"/>
        <w:rPr>
          <w:rFonts w:ascii="Times New Roman" w:hAnsi="Times New Roman" w:cs="Times New Roman"/>
          <w:b/>
          <w:bCs/>
          <w:sz w:val="32"/>
          <w:szCs w:val="32"/>
        </w:rPr>
      </w:pPr>
      <w:r w:rsidRPr="007B467C">
        <w:rPr>
          <w:rFonts w:ascii="Times New Roman" w:hAnsi="Times New Roman" w:cs="Times New Roman"/>
          <w:b/>
          <w:bCs/>
          <w:sz w:val="32"/>
          <w:szCs w:val="32"/>
        </w:rPr>
        <w:t>Culture</w:t>
      </w:r>
      <w:r w:rsidR="00941272" w:rsidRPr="007B467C">
        <w:rPr>
          <w:rFonts w:ascii="Times New Roman" w:hAnsi="Times New Roman" w:cs="Times New Roman"/>
          <w:b/>
          <w:bCs/>
          <w:sz w:val="32"/>
          <w:szCs w:val="32"/>
        </w:rPr>
        <w:t>-</w:t>
      </w:r>
      <w:r w:rsidR="00A34794" w:rsidRPr="007B467C">
        <w:rPr>
          <w:rFonts w:ascii="Times New Roman" w:hAnsi="Times New Roman" w:cs="Times New Roman"/>
          <w:b/>
          <w:bCs/>
          <w:sz w:val="32"/>
          <w:szCs w:val="32"/>
        </w:rPr>
        <w:t>D</w:t>
      </w:r>
      <w:r w:rsidRPr="007B467C">
        <w:rPr>
          <w:rFonts w:ascii="Times New Roman" w:hAnsi="Times New Roman" w:cs="Times New Roman"/>
          <w:b/>
          <w:bCs/>
          <w:sz w:val="32"/>
          <w:szCs w:val="32"/>
        </w:rPr>
        <w:t xml:space="preserve">ependent </w:t>
      </w:r>
      <w:r w:rsidR="00941272" w:rsidRPr="007B467C">
        <w:rPr>
          <w:rFonts w:ascii="Times New Roman" w:hAnsi="Times New Roman" w:cs="Times New Roman"/>
          <w:b/>
          <w:bCs/>
          <w:sz w:val="32"/>
          <w:szCs w:val="32"/>
        </w:rPr>
        <w:t>Isolation and Characterization of</w:t>
      </w:r>
      <w:r w:rsidRPr="007B467C">
        <w:rPr>
          <w:rFonts w:ascii="Times New Roman" w:hAnsi="Times New Roman" w:cs="Times New Roman"/>
          <w:b/>
          <w:bCs/>
          <w:sz w:val="32"/>
          <w:szCs w:val="32"/>
        </w:rPr>
        <w:t xml:space="preserve"> </w:t>
      </w:r>
      <w:r w:rsidR="00A34794" w:rsidRPr="007B467C">
        <w:rPr>
          <w:rFonts w:ascii="Times New Roman" w:hAnsi="Times New Roman" w:cs="Times New Roman"/>
          <w:b/>
          <w:bCs/>
          <w:sz w:val="32"/>
          <w:szCs w:val="32"/>
        </w:rPr>
        <w:t>L</w:t>
      </w:r>
      <w:r w:rsidRPr="007B467C">
        <w:rPr>
          <w:rFonts w:ascii="Times New Roman" w:hAnsi="Times New Roman" w:cs="Times New Roman"/>
          <w:b/>
          <w:bCs/>
          <w:sz w:val="32"/>
          <w:szCs w:val="32"/>
        </w:rPr>
        <w:t xml:space="preserve">ignocellulose </w:t>
      </w:r>
      <w:r w:rsidR="00A34794" w:rsidRPr="007B467C">
        <w:rPr>
          <w:rFonts w:ascii="Times New Roman" w:hAnsi="Times New Roman" w:cs="Times New Roman"/>
          <w:b/>
          <w:bCs/>
          <w:sz w:val="32"/>
          <w:szCs w:val="32"/>
        </w:rPr>
        <w:t>D</w:t>
      </w:r>
      <w:r w:rsidRPr="007B467C">
        <w:rPr>
          <w:rFonts w:ascii="Times New Roman" w:hAnsi="Times New Roman" w:cs="Times New Roman"/>
          <w:b/>
          <w:bCs/>
          <w:sz w:val="32"/>
          <w:szCs w:val="32"/>
        </w:rPr>
        <w:t xml:space="preserve">egrading </w:t>
      </w:r>
      <w:r w:rsidR="00A34794" w:rsidRPr="007B467C">
        <w:rPr>
          <w:rFonts w:ascii="Times New Roman" w:hAnsi="Times New Roman" w:cs="Times New Roman"/>
          <w:b/>
          <w:bCs/>
          <w:sz w:val="32"/>
          <w:szCs w:val="32"/>
        </w:rPr>
        <w:t>B</w:t>
      </w:r>
      <w:r w:rsidRPr="007B467C">
        <w:rPr>
          <w:rFonts w:ascii="Times New Roman" w:hAnsi="Times New Roman" w:cs="Times New Roman"/>
          <w:b/>
          <w:bCs/>
          <w:sz w:val="32"/>
          <w:szCs w:val="32"/>
        </w:rPr>
        <w:t xml:space="preserve">acteria from the </w:t>
      </w:r>
      <w:r w:rsidR="00A34794" w:rsidRPr="007B467C">
        <w:rPr>
          <w:rFonts w:ascii="Times New Roman" w:hAnsi="Times New Roman" w:cs="Times New Roman"/>
          <w:b/>
          <w:bCs/>
          <w:sz w:val="32"/>
          <w:szCs w:val="32"/>
        </w:rPr>
        <w:t>G</w:t>
      </w:r>
      <w:r w:rsidRPr="007B467C">
        <w:rPr>
          <w:rFonts w:ascii="Times New Roman" w:hAnsi="Times New Roman" w:cs="Times New Roman"/>
          <w:b/>
          <w:bCs/>
          <w:sz w:val="32"/>
          <w:szCs w:val="32"/>
        </w:rPr>
        <w:t xml:space="preserve">ut of </w:t>
      </w:r>
      <w:r w:rsidR="00A34794" w:rsidRPr="007B467C">
        <w:rPr>
          <w:rFonts w:ascii="Times New Roman" w:hAnsi="Times New Roman" w:cs="Times New Roman"/>
          <w:b/>
          <w:bCs/>
          <w:sz w:val="32"/>
          <w:szCs w:val="32"/>
        </w:rPr>
        <w:t>M</w:t>
      </w:r>
      <w:r w:rsidRPr="007B467C">
        <w:rPr>
          <w:rFonts w:ascii="Times New Roman" w:hAnsi="Times New Roman" w:cs="Times New Roman"/>
          <w:b/>
          <w:bCs/>
          <w:sz w:val="32"/>
          <w:szCs w:val="32"/>
        </w:rPr>
        <w:t xml:space="preserve">ole </w:t>
      </w:r>
      <w:r w:rsidR="00A34794" w:rsidRPr="007B467C">
        <w:rPr>
          <w:rFonts w:ascii="Times New Roman" w:hAnsi="Times New Roman" w:cs="Times New Roman"/>
          <w:b/>
          <w:bCs/>
          <w:sz w:val="32"/>
          <w:szCs w:val="32"/>
        </w:rPr>
        <w:t>C</w:t>
      </w:r>
      <w:r w:rsidRPr="007B467C">
        <w:rPr>
          <w:rFonts w:ascii="Times New Roman" w:hAnsi="Times New Roman" w:cs="Times New Roman"/>
          <w:b/>
          <w:bCs/>
          <w:sz w:val="32"/>
          <w:szCs w:val="32"/>
        </w:rPr>
        <w:t>rickets</w:t>
      </w:r>
    </w:p>
    <w:p w:rsidR="00F41AAE" w:rsidRPr="0049222A" w:rsidRDefault="00F41AAE" w:rsidP="00E3763F">
      <w:pPr>
        <w:spacing w:line="276" w:lineRule="auto"/>
        <w:rPr>
          <w:rFonts w:ascii="Times New Roman" w:hAnsi="Times New Roman" w:cs="Times New Roman"/>
          <w:sz w:val="20"/>
          <w:szCs w:val="20"/>
        </w:rPr>
      </w:pPr>
    </w:p>
    <w:p w:rsidR="006105A6" w:rsidRPr="00672A22" w:rsidRDefault="006105A6" w:rsidP="00E3763F">
      <w:pPr>
        <w:spacing w:line="276" w:lineRule="auto"/>
        <w:rPr>
          <w:rFonts w:ascii="Times New Roman" w:hAnsi="Times New Roman" w:cs="Times New Roman"/>
          <w:b/>
          <w:bCs/>
          <w:sz w:val="22"/>
          <w:szCs w:val="22"/>
        </w:rPr>
      </w:pPr>
      <w:bookmarkStart w:id="0" w:name="_Hlk212507669"/>
      <w:r w:rsidRPr="00672A22">
        <w:rPr>
          <w:rFonts w:ascii="Times New Roman" w:hAnsi="Times New Roman" w:cs="Times New Roman"/>
          <w:b/>
          <w:bCs/>
          <w:sz w:val="22"/>
          <w:szCs w:val="22"/>
        </w:rPr>
        <w:t>ABSTRACT</w:t>
      </w:r>
    </w:p>
    <w:p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Background:</w:t>
      </w:r>
      <w:r w:rsidRPr="00672A22">
        <w:rPr>
          <w:rFonts w:ascii="Times New Roman" w:hAnsi="Times New Roman" w:cs="Times New Roman"/>
          <w:sz w:val="20"/>
          <w:szCs w:val="20"/>
        </w:rPr>
        <w:br/>
        <w:t>Lignocellulose, composed of cellulose, hemicellulose, and lignin, forms the main structural component of plant biomass and represents a major renewable resource for bioenergy and bio-based products. Its biodegradation is mediated by diverse microbial communities possessing carbohydrate-active enzymes (CAZymes). The gut microbiota of soil-dwelling insects such as mole crickets (Gryllotalpidae) offers a specialized environment rich in lignocellulolytic microorganisms with potential applications in biotechnology and sustainable agriculture.</w:t>
      </w:r>
    </w:p>
    <w:p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Objective:</w:t>
      </w:r>
      <w:r w:rsidRPr="00672A22">
        <w:rPr>
          <w:rFonts w:ascii="Times New Roman" w:hAnsi="Times New Roman" w:cs="Times New Roman"/>
          <w:sz w:val="20"/>
          <w:szCs w:val="20"/>
        </w:rPr>
        <w:br/>
        <w:t>This study aimed to isolate and characterize lignocellulose-degrading bacteria from the gut of mole crickets.</w:t>
      </w:r>
    </w:p>
    <w:p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Materials and Methods:</w:t>
      </w:r>
      <w:r w:rsidRPr="00672A22">
        <w:rPr>
          <w:rFonts w:ascii="Times New Roman" w:hAnsi="Times New Roman" w:cs="Times New Roman"/>
          <w:sz w:val="20"/>
          <w:szCs w:val="20"/>
        </w:rPr>
        <w:br/>
        <w:t>Male and female grass- and mushroom-feeding mole crickets were manually collected from a farm in Major Porter (Leng) village, Barkin Ladi Local Government Area, Plateau State, Nigeria. The insects were surface sterilized, dissected aseptically, and the gut contents homogenized and serially diluted. Bacteriological and biochemical analyses were carried out to identify lignocellulose-degrading bacteria. Molecular characterization was performed using PCR amplification of 16S rRNA and gyrB genes, followed by sequencing and phylogenetic analysis to determine bacterial identity and relatedness.</w:t>
      </w:r>
    </w:p>
    <w:p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Results:</w:t>
      </w:r>
      <w:r w:rsidRPr="00672A22">
        <w:rPr>
          <w:rFonts w:ascii="Times New Roman" w:hAnsi="Times New Roman" w:cs="Times New Roman"/>
          <w:sz w:val="20"/>
          <w:szCs w:val="20"/>
        </w:rPr>
        <w:br/>
        <w:t>Five lignocellulose-degrading bacterial isolates were successfully obtained from male and female mole crickets. The isolates exhibited significant enzymatic potential for lignocellulose breakdown. Molecular and phylogenetic analyses confirmed the distinct identities and relationships among the isolates, demonstrating diverse lignocellulolytic capacities.</w:t>
      </w:r>
    </w:p>
    <w:p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Conclusion:</w:t>
      </w:r>
      <w:r w:rsidRPr="00672A22">
        <w:rPr>
          <w:rFonts w:ascii="Times New Roman" w:hAnsi="Times New Roman" w:cs="Times New Roman"/>
          <w:sz w:val="20"/>
          <w:szCs w:val="20"/>
        </w:rPr>
        <w:br/>
        <w:t>The gut bacteria of mole crickets possess strong lignocellulose-degrading abilities and can serve as effective bioinoculants to enhance soil organic matter decomposition, improve fertility, and reduce fertilizer dependency. These findings highlight their potential in biotechnological and sustainable agricultural applications.</w:t>
      </w:r>
    </w:p>
    <w:p w:rsidR="006105A6" w:rsidRPr="00E3763F" w:rsidRDefault="006105A6" w:rsidP="00E3763F">
      <w:pPr>
        <w:spacing w:after="0" w:line="276" w:lineRule="auto"/>
        <w:rPr>
          <w:rFonts w:ascii="Times New Roman" w:hAnsi="Times New Roman" w:cs="Times New Roman"/>
          <w:sz w:val="20"/>
          <w:szCs w:val="20"/>
        </w:rPr>
      </w:pPr>
    </w:p>
    <w:p w:rsidR="006105A6" w:rsidRPr="00763D48" w:rsidRDefault="006105A6" w:rsidP="00E3763F">
      <w:pPr>
        <w:spacing w:after="0" w:line="276" w:lineRule="auto"/>
        <w:rPr>
          <w:rFonts w:ascii="Times New Roman" w:hAnsi="Times New Roman" w:cs="Times New Roman"/>
          <w:color w:val="FF0000"/>
          <w:sz w:val="20"/>
          <w:szCs w:val="20"/>
        </w:rPr>
      </w:pPr>
      <w:r w:rsidRPr="00E3763F">
        <w:rPr>
          <w:rFonts w:ascii="Times New Roman" w:hAnsi="Times New Roman" w:cs="Times New Roman"/>
          <w:b/>
          <w:bCs/>
          <w:sz w:val="20"/>
          <w:szCs w:val="20"/>
        </w:rPr>
        <w:t xml:space="preserve">Keywords: </w:t>
      </w:r>
      <w:r w:rsidR="00EC2717" w:rsidRPr="00E3763F">
        <w:rPr>
          <w:rFonts w:ascii="Times New Roman" w:hAnsi="Times New Roman" w:cs="Times New Roman"/>
          <w:sz w:val="20"/>
          <w:szCs w:val="20"/>
        </w:rPr>
        <w:t xml:space="preserve"> Mole </w:t>
      </w:r>
      <w:r w:rsidR="001D6FF1" w:rsidRPr="00E3763F">
        <w:rPr>
          <w:rFonts w:ascii="Times New Roman" w:hAnsi="Times New Roman" w:cs="Times New Roman"/>
          <w:sz w:val="20"/>
          <w:szCs w:val="20"/>
        </w:rPr>
        <w:t>crickets; Lignocellulose</w:t>
      </w:r>
      <w:r w:rsidRPr="00E3763F">
        <w:rPr>
          <w:rFonts w:ascii="Times New Roman" w:hAnsi="Times New Roman" w:cs="Times New Roman"/>
          <w:sz w:val="20"/>
          <w:szCs w:val="20"/>
        </w:rPr>
        <w:t xml:space="preserve">; Polymerase chain </w:t>
      </w:r>
      <w:r w:rsidR="001D6FF1" w:rsidRPr="00E3763F">
        <w:rPr>
          <w:rFonts w:ascii="Times New Roman" w:hAnsi="Times New Roman" w:cs="Times New Roman"/>
          <w:sz w:val="20"/>
          <w:szCs w:val="20"/>
        </w:rPr>
        <w:t xml:space="preserve">reaction; </w:t>
      </w:r>
      <w:r w:rsidR="00EC2717" w:rsidRPr="00E3763F">
        <w:rPr>
          <w:rFonts w:ascii="Times New Roman" w:hAnsi="Times New Roman" w:cs="Times New Roman"/>
          <w:sz w:val="20"/>
          <w:szCs w:val="20"/>
        </w:rPr>
        <w:t>culture dependent;16S gene; Gyrase B gene.</w:t>
      </w:r>
      <w:r w:rsidR="00763D48">
        <w:rPr>
          <w:rFonts w:ascii="Times New Roman" w:hAnsi="Times New Roman" w:cs="Times New Roman"/>
          <w:sz w:val="20"/>
          <w:szCs w:val="20"/>
        </w:rPr>
        <w:t xml:space="preserve"> </w:t>
      </w:r>
    </w:p>
    <w:p w:rsidR="00E3763F" w:rsidRPr="00E3763F" w:rsidRDefault="00E3763F" w:rsidP="00E3763F">
      <w:pPr>
        <w:spacing w:line="276" w:lineRule="auto"/>
        <w:rPr>
          <w:rFonts w:ascii="Times New Roman" w:hAnsi="Times New Roman" w:cs="Times New Roman"/>
          <w:b/>
          <w:bCs/>
          <w:sz w:val="20"/>
          <w:szCs w:val="20"/>
        </w:rPr>
      </w:pPr>
    </w:p>
    <w:p w:rsidR="00296875" w:rsidRPr="00672A22" w:rsidRDefault="00763D48" w:rsidP="00E3763F">
      <w:pPr>
        <w:spacing w:line="276" w:lineRule="auto"/>
        <w:rPr>
          <w:rFonts w:ascii="Times New Roman" w:hAnsi="Times New Roman" w:cs="Times New Roman"/>
          <w:b/>
          <w:bCs/>
          <w:sz w:val="22"/>
          <w:szCs w:val="22"/>
        </w:rPr>
      </w:pPr>
      <w:r>
        <w:rPr>
          <w:rFonts w:ascii="Times New Roman" w:hAnsi="Times New Roman" w:cs="Times New Roman"/>
          <w:b/>
          <w:bCs/>
          <w:sz w:val="20"/>
          <w:szCs w:val="20"/>
        </w:rPr>
        <w:t xml:space="preserve"> </w:t>
      </w:r>
      <w:r w:rsidR="00672A22" w:rsidRPr="00672A22">
        <w:rPr>
          <w:rFonts w:ascii="Times New Roman" w:hAnsi="Times New Roman" w:cs="Times New Roman"/>
          <w:b/>
          <w:bCs/>
          <w:sz w:val="22"/>
          <w:szCs w:val="22"/>
        </w:rPr>
        <w:t xml:space="preserve">1.0 </w:t>
      </w:r>
      <w:r w:rsidR="00E31ACB" w:rsidRPr="00672A22">
        <w:rPr>
          <w:rFonts w:ascii="Times New Roman" w:hAnsi="Times New Roman" w:cs="Times New Roman"/>
          <w:b/>
          <w:bCs/>
          <w:sz w:val="22"/>
          <w:szCs w:val="22"/>
        </w:rPr>
        <w:t>INTRODUCTION</w:t>
      </w:r>
    </w:p>
    <w:p w:rsidR="00903620" w:rsidRPr="00E3763F" w:rsidRDefault="00903620"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Lignocellulose is the plant cell-wall complex composed of cellulose, hemicellulos</w:t>
      </w:r>
      <w:r w:rsidR="00763D48">
        <w:rPr>
          <w:rFonts w:ascii="Times New Roman" w:hAnsi="Times New Roman" w:cs="Times New Roman"/>
          <w:sz w:val="20"/>
          <w:szCs w:val="20"/>
        </w:rPr>
        <w:t xml:space="preserve">e, and lignin. Today, cellulose </w:t>
      </w:r>
      <w:r w:rsidRPr="00E3763F">
        <w:rPr>
          <w:rFonts w:ascii="Times New Roman" w:hAnsi="Times New Roman" w:cs="Times New Roman"/>
          <w:sz w:val="20"/>
          <w:szCs w:val="20"/>
        </w:rPr>
        <w:t>E</w:t>
      </w:r>
      <w:r w:rsidR="00763D48">
        <w:rPr>
          <w:rFonts w:ascii="Times New Roman" w:hAnsi="Times New Roman" w:cs="Times New Roman"/>
          <w:sz w:val="20"/>
          <w:szCs w:val="20"/>
        </w:rPr>
        <w:t xml:space="preserve">arth’s most abundant biopolymer </w:t>
      </w:r>
      <w:r w:rsidRPr="00E3763F">
        <w:rPr>
          <w:rFonts w:ascii="Times New Roman" w:hAnsi="Times New Roman" w:cs="Times New Roman"/>
          <w:sz w:val="20"/>
          <w:szCs w:val="20"/>
        </w:rPr>
        <w:t>is a central feedstock for the circular bioeconomy, underpinning bio-based materials (e.g., nanocellulose), chemicals, and advanced biofuels. Rapid progress in biorefinery science and pretreatment (including ionic liquids and deep-eutectic solvents) is improving fractionation and valorization of all three lignocellulosic polymers, expanding applications from energy to sensors, water treatment, and regenerative medicine (Sulis et al., 2025; Verdía et al., 2025; Kamdem et al., 2025; Madhushree et al., 2024; Woźniak et al., 2025).</w:t>
      </w:r>
    </w:p>
    <w:p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Lignocellulose biodegradation remains governed by both environmental factors (e.g., oxygen, pH, temperature) and the composition, functional potential and interactions of the microbial community: which taxa are present, their enzyme repertoires, and community organization largely determine degradation rates and pathways. </w:t>
      </w:r>
      <w:r w:rsidR="00296875" w:rsidRPr="00E3763F">
        <w:rPr>
          <w:rFonts w:ascii="Times New Roman" w:hAnsi="Times New Roman" w:cs="Times New Roman"/>
          <w:sz w:val="20"/>
          <w:szCs w:val="20"/>
        </w:rPr>
        <w:t>(Chen et al., 2025)</w:t>
      </w:r>
    </w:p>
    <w:p w:rsidR="00BE76F5" w:rsidRPr="00E3763F" w:rsidRDefault="00BE76F5"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lastRenderedPageBreak/>
        <w:t>Historically fungi (especially white-rot basidiomycetes) dominated lignin depolymerization studies, and bacterial lignin degradation was considered slow and limited. Recent metagenomic, biochemical and cultivation work, however, shows bacteria (Proteobacteria, Actinobacteria, certain Firmicutes, etc.) encode diverse lignin-acting enzymes (dye-decolorizing peroxidases, laccases, and β-etherases) and can both depolymerize lignin fragments and funnel the resulting aromatics in</w:t>
      </w:r>
      <w:r w:rsidR="00763D48">
        <w:rPr>
          <w:rFonts w:ascii="Times New Roman" w:hAnsi="Times New Roman" w:cs="Times New Roman"/>
          <w:sz w:val="20"/>
          <w:szCs w:val="20"/>
        </w:rPr>
        <w:t xml:space="preserve">to central catabolic </w:t>
      </w:r>
      <w:r w:rsidR="005142D1">
        <w:rPr>
          <w:rFonts w:ascii="Times New Roman" w:hAnsi="Times New Roman" w:cs="Times New Roman"/>
          <w:sz w:val="20"/>
          <w:szCs w:val="20"/>
        </w:rPr>
        <w:t>pathways narrowing</w:t>
      </w:r>
      <w:r w:rsidRPr="00E3763F">
        <w:rPr>
          <w:rFonts w:ascii="Times New Roman" w:hAnsi="Times New Roman" w:cs="Times New Roman"/>
          <w:sz w:val="20"/>
          <w:szCs w:val="20"/>
        </w:rPr>
        <w:t xml:space="preserve"> the functional gap between fungi and bacteria. </w:t>
      </w:r>
      <w:r w:rsidR="00167851" w:rsidRPr="00E3763F">
        <w:rPr>
          <w:rFonts w:ascii="Times New Roman" w:hAnsi="Times New Roman" w:cs="Times New Roman"/>
          <w:sz w:val="20"/>
          <w:szCs w:val="20"/>
        </w:rPr>
        <w:t>(Gu et al.,2024)</w:t>
      </w:r>
    </w:p>
    <w:p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New classes of bacterial enzymes that cleave key lignin linkages (n</w:t>
      </w:r>
      <w:r w:rsidR="00763D48">
        <w:rPr>
          <w:rFonts w:ascii="Times New Roman" w:hAnsi="Times New Roman" w:cs="Times New Roman"/>
          <w:sz w:val="20"/>
          <w:szCs w:val="20"/>
        </w:rPr>
        <w:t xml:space="preserve">otably β-O-4 aryl-ether </w:t>
      </w:r>
      <w:r w:rsidR="005142D1">
        <w:rPr>
          <w:rFonts w:ascii="Times New Roman" w:hAnsi="Times New Roman" w:cs="Times New Roman"/>
          <w:sz w:val="20"/>
          <w:szCs w:val="20"/>
        </w:rPr>
        <w:t xml:space="preserve">bonds) </w:t>
      </w:r>
      <w:r w:rsidR="005142D1" w:rsidRPr="00E3763F">
        <w:rPr>
          <w:rFonts w:ascii="Times New Roman" w:hAnsi="Times New Roman" w:cs="Times New Roman"/>
          <w:sz w:val="20"/>
          <w:szCs w:val="20"/>
        </w:rPr>
        <w:t>e.g.</w:t>
      </w:r>
      <w:r w:rsidRPr="00E3763F">
        <w:rPr>
          <w:rFonts w:ascii="Times New Roman" w:hAnsi="Times New Roman" w:cs="Times New Roman"/>
          <w:sz w:val="20"/>
          <w:szCs w:val="20"/>
        </w:rPr>
        <w:t xml:space="preserve">, LigE/LigF family β-etherases and other stereospecific etherases — have been cloned, biochemically characterized, and shown to be active under mesophilic, engineered conditions. These findings explain how some bacteria can attack oligomeric/monomeric lignin fragments produced by fungal or abiotic depolymerization. </w:t>
      </w:r>
      <w:r w:rsidR="00167851" w:rsidRPr="00E3763F">
        <w:rPr>
          <w:rFonts w:ascii="Times New Roman" w:hAnsi="Times New Roman" w:cs="Times New Roman"/>
          <w:sz w:val="20"/>
          <w:szCs w:val="20"/>
        </w:rPr>
        <w:t>(Robles-machuca et al., 2023)</w:t>
      </w:r>
    </w:p>
    <w:p w:rsidR="00BE76F5" w:rsidRPr="00E3763F" w:rsidRDefault="00BE76F5"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Actinobacteria (including Streptomyces and other actinomycetes) remain important bacterial lignocellulose degraders; they can attack both grass and woody substrates, and several studies confirm substantial lignin and carbohydrate losses under actinomycete </w:t>
      </w:r>
      <w:r w:rsidR="005142D1" w:rsidRPr="00E3763F">
        <w:rPr>
          <w:rFonts w:ascii="Times New Roman" w:hAnsi="Times New Roman" w:cs="Times New Roman"/>
          <w:sz w:val="20"/>
          <w:szCs w:val="20"/>
        </w:rPr>
        <w:t>activity</w:t>
      </w:r>
      <w:r w:rsidR="005142D1">
        <w:rPr>
          <w:rFonts w:ascii="Times New Roman" w:hAnsi="Times New Roman" w:cs="Times New Roman"/>
          <w:sz w:val="20"/>
          <w:szCs w:val="20"/>
        </w:rPr>
        <w:t xml:space="preserve"> </w:t>
      </w:r>
      <w:r w:rsidR="005142D1" w:rsidRPr="00E3763F">
        <w:rPr>
          <w:rFonts w:ascii="Times New Roman" w:hAnsi="Times New Roman" w:cs="Times New Roman"/>
          <w:sz w:val="20"/>
          <w:szCs w:val="20"/>
        </w:rPr>
        <w:t>consistent</w:t>
      </w:r>
      <w:r w:rsidRPr="00E3763F">
        <w:rPr>
          <w:rFonts w:ascii="Times New Roman" w:hAnsi="Times New Roman" w:cs="Times New Roman"/>
          <w:sz w:val="20"/>
          <w:szCs w:val="20"/>
        </w:rPr>
        <w:t xml:space="preserve"> with earlier observations that grasses can be more readily attacked but also showing actinomycetes can degrade wood components under the right conditions.</w:t>
      </w:r>
      <w:r w:rsidR="00307423" w:rsidRPr="00E3763F">
        <w:rPr>
          <w:rFonts w:ascii="Times New Roman" w:hAnsi="Times New Roman" w:cs="Times New Roman"/>
          <w:sz w:val="20"/>
          <w:szCs w:val="20"/>
        </w:rPr>
        <w:t xml:space="preserve"> </w:t>
      </w:r>
      <w:r w:rsidR="00064E25" w:rsidRPr="00E3763F">
        <w:rPr>
          <w:rFonts w:ascii="Times New Roman" w:hAnsi="Times New Roman" w:cs="Times New Roman"/>
          <w:sz w:val="20"/>
          <w:szCs w:val="20"/>
        </w:rPr>
        <w:t>(Gu et al.,2024)</w:t>
      </w:r>
    </w:p>
    <w:p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Lignocellulose refers to plant biomass predominantly composed of the cell wall, which is a heterogeneous matrix of cellulose, hemicellulose, and lignin. In addition to these major polymers, plant cell walls also contain minor structural components such as pectins, proteins, extractives (e.g., waxes, lipids), and inorganic minerals that influence biomass recalcitrance and processing efficiency. This structural complexity makes lignocellulose both a promising renewable feedstock for bioenergy and biomaterials, and a challenging substrate for bioconversion (Madhushree et al., 2024; Woźniak et al., 2025; Sulis et al., 2025).</w:t>
      </w:r>
    </w:p>
    <w:p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Lignocellulosic biomass is widely utilized across industries as a renewable raw material for the production of pulp, paper, bio-based chemicals, bioplastics, and advanced biofuels. Its industrial use is particularly advantageous because it is derived mainly from agricultural residues, forestry by-products, and dedicated energy crops, which are not primary human food sources. This minimizes competition with food production and enhances its role as a sustainable feedstock in the emerging circular bioeconomy (Madhushree et al., 2024; Woźniak et al., 2025; Sulis et al., 2025).</w:t>
      </w:r>
    </w:p>
    <w:p w:rsidR="00307423" w:rsidRPr="00E3763F" w:rsidRDefault="007248C1" w:rsidP="00E3763F">
      <w:pPr>
        <w:spacing w:line="276" w:lineRule="auto"/>
        <w:rPr>
          <w:rFonts w:ascii="Times New Roman" w:hAnsi="Times New Roman" w:cs="Times New Roman"/>
          <w:sz w:val="20"/>
          <w:szCs w:val="20"/>
        </w:rPr>
      </w:pPr>
      <w:r w:rsidRPr="00E3763F">
        <w:rPr>
          <w:rFonts w:ascii="Times New Roman" w:hAnsi="Times New Roman" w:cs="Times New Roman"/>
          <w:color w:val="000000" w:themeColor="text1"/>
          <w:sz w:val="20"/>
          <w:szCs w:val="20"/>
        </w:rPr>
        <w:t xml:space="preserve">Lignocellulose can be converted into biofuels, platform chemicals, and renewable biomaterials through diverse processing </w:t>
      </w:r>
      <w:commentRangeStart w:id="1"/>
      <w:r w:rsidRPr="00E3763F">
        <w:rPr>
          <w:rFonts w:ascii="Times New Roman" w:hAnsi="Times New Roman" w:cs="Times New Roman"/>
          <w:color w:val="000000" w:themeColor="text1"/>
          <w:sz w:val="20"/>
          <w:szCs w:val="20"/>
        </w:rPr>
        <w:t>strategies</w:t>
      </w:r>
      <w:commentRangeEnd w:id="1"/>
      <w:r w:rsidR="00BF28D7">
        <w:rPr>
          <w:rStyle w:val="CommentReference"/>
        </w:rPr>
        <w:commentReference w:id="1"/>
      </w:r>
      <w:r w:rsidRPr="00E3763F">
        <w:rPr>
          <w:rFonts w:ascii="Times New Roman" w:hAnsi="Times New Roman" w:cs="Times New Roman"/>
          <w:color w:val="000000" w:themeColor="text1"/>
          <w:sz w:val="20"/>
          <w:szCs w:val="20"/>
        </w:rPr>
        <w:t>. Current lignocellulosic biorefineries employ thermal (e.g., pyrolysis, gasification), mechanical (e.g., milling, extrusion), chemical (e.g., acid/alkali pretreatment, organosolv, ionic liquids), and biological (enzymatic hydrolysis and microbial fermentation) methods, often in integrated cascades to improve efficiency. Recent advances highlight the use of green solvents such as deep eutectic solvents and ionic liquids, alongside consolidated bioprocessing and engineered microbial consortia, to enhance delignification, saccharification, and product yields. These integrated and sustainable conversion pathways are central to the transition toward a circular bioeconomy (Woźniak et al., 2025; Verdía et al., 2025; Madhushree et al., 2024).</w:t>
      </w:r>
      <w:r w:rsidR="00822432" w:rsidRPr="00E3763F">
        <w:rPr>
          <w:rFonts w:ascii="Times New Roman" w:hAnsi="Times New Roman" w:cs="Times New Roman"/>
          <w:color w:val="000000" w:themeColor="text1"/>
          <w:sz w:val="20"/>
          <w:szCs w:val="20"/>
        </w:rPr>
        <w:t xml:space="preserve"> </w:t>
      </w:r>
      <w:r w:rsidR="00822432" w:rsidRPr="00E3763F">
        <w:rPr>
          <w:rFonts w:ascii="Times New Roman" w:hAnsi="Times New Roman" w:cs="Times New Roman"/>
          <w:sz w:val="20"/>
          <w:szCs w:val="20"/>
        </w:rPr>
        <w:t>Biological treatment uses microorganisms for the degradation and conversion of a material. This study is focus on biological conversion of lignocellulose streams because it offers a method by which specific products can be produced with minimal energy input.</w:t>
      </w:r>
    </w:p>
    <w:p w:rsidR="00307423" w:rsidRPr="00E3763F" w:rsidRDefault="006F665F" w:rsidP="008F7856">
      <w:pPr>
        <w:spacing w:line="276" w:lineRule="auto"/>
        <w:rPr>
          <w:rFonts w:ascii="Times New Roman" w:hAnsi="Times New Roman" w:cs="Times New Roman"/>
          <w:sz w:val="20"/>
          <w:szCs w:val="20"/>
        </w:rPr>
      </w:pPr>
      <w:commentRangeStart w:id="2"/>
      <w:commentRangeStart w:id="3"/>
      <w:r w:rsidRPr="00E3763F">
        <w:rPr>
          <w:rFonts w:ascii="Times New Roman" w:hAnsi="Times New Roman" w:cs="Times New Roman"/>
          <w:sz w:val="20"/>
          <w:szCs w:val="20"/>
        </w:rPr>
        <w:t xml:space="preserve"> </w:t>
      </w:r>
      <w:r w:rsidR="00BC215D" w:rsidRPr="00E3763F">
        <w:rPr>
          <w:rFonts w:ascii="Times New Roman" w:hAnsi="Times New Roman" w:cs="Times New Roman"/>
          <w:sz w:val="20"/>
          <w:szCs w:val="20"/>
        </w:rPr>
        <w:t xml:space="preserve">Lignin is a complex, heterogeneous aromatic polymer that constitutes about 20–30% of terrestrial plant biomass and represents the most abundant renewable source of aromatics on Earth. It is primarily deposited in secondary cell walls of vascular plants, where it provides mechanical strength, structural integrity, and hydrophobicity to xylem tissues. Beyond its structural role, lignin is increasingly recognized as a multifunctional biopolymer involved in plant defense against pathogens, wound response, water transport regulation, and the formation of apoplastic diffusion barriers in roots. Owing to its recalcitrance and abundance, lignin is now viewed not only as a challenge in </w:t>
      </w:r>
      <w:commentRangeEnd w:id="2"/>
      <w:r w:rsidR="00BF28D7">
        <w:rPr>
          <w:rStyle w:val="CommentReference"/>
        </w:rPr>
        <w:lastRenderedPageBreak/>
        <w:commentReference w:id="2"/>
      </w:r>
      <w:commentRangeEnd w:id="3"/>
      <w:r w:rsidR="00BF28D7">
        <w:rPr>
          <w:rStyle w:val="CommentReference"/>
        </w:rPr>
        <w:commentReference w:id="3"/>
      </w:r>
      <w:r w:rsidR="00BC215D" w:rsidRPr="00E3763F">
        <w:rPr>
          <w:rFonts w:ascii="Times New Roman" w:hAnsi="Times New Roman" w:cs="Times New Roman"/>
          <w:sz w:val="20"/>
          <w:szCs w:val="20"/>
        </w:rPr>
        <w:t>biorefining but also as a valuable feedstock for renewable chemicals, biomaterials, and carbon-based products (Sulis et al., 2025; Liu et al., 2025; Woźniak et al., 2025).</w:t>
      </w:r>
    </w:p>
    <w:p w:rsidR="00BC215D" w:rsidRPr="00E3763F" w:rsidRDefault="00BC215D" w:rsidP="008F7856">
      <w:pPr>
        <w:spacing w:line="276" w:lineRule="auto"/>
        <w:rPr>
          <w:rFonts w:ascii="Times New Roman" w:hAnsi="Times New Roman" w:cs="Times New Roman"/>
          <w:sz w:val="20"/>
          <w:szCs w:val="20"/>
        </w:rPr>
      </w:pPr>
      <w:commentRangeStart w:id="4"/>
      <w:r w:rsidRPr="00E3763F">
        <w:rPr>
          <w:rFonts w:ascii="Times New Roman" w:hAnsi="Times New Roman" w:cs="Times New Roman"/>
          <w:color w:val="000000" w:themeColor="text1"/>
          <w:sz w:val="20"/>
          <w:szCs w:val="20"/>
        </w:rPr>
        <w:t xml:space="preserve">Lignin, a </w:t>
      </w:r>
      <w:commentRangeEnd w:id="4"/>
      <w:r w:rsidR="00BF28D7">
        <w:rPr>
          <w:rStyle w:val="CommentReference"/>
        </w:rPr>
        <w:commentReference w:id="4"/>
      </w:r>
      <w:r w:rsidRPr="00E3763F">
        <w:rPr>
          <w:rFonts w:ascii="Times New Roman" w:hAnsi="Times New Roman" w:cs="Times New Roman"/>
          <w:color w:val="000000" w:themeColor="text1"/>
          <w:sz w:val="20"/>
          <w:szCs w:val="20"/>
        </w:rPr>
        <w:t>recalcitrant aromatic polymer, is notoriously resistant to microbial degradation due to its irregular structure, high molecular weight, and the abundance of stable C–C and C–O linkages. While fungi, particularly white-rot and brown-rot basidiomycetes, have long been considered the primary lignin degraders, recent research shows that bacteria also play important and often leading roles in lignin turnover, especially in aquatic and soil ecosystems. Bacterial taxa such as Actinobacteria and Proteobacteria employ diverse oxidative enzymes, including dye-decolorizing peroxidases (DyPs), multicopper oxidases (bacterial laccases), and β-etherases, to depolymerize lignin and funnel released aromatic monomers into central metabolic pathways. These discoveries highlight bacteria not only as auxiliary degraders but also as key contributors to global carbon cycling and promising candidates for lignin valorization in biorefineries (Gu et al., 2024; Ding et al., 2025; Liu et al., 2025).</w:t>
      </w:r>
    </w:p>
    <w:p w:rsidR="00023DA0" w:rsidRPr="00E3763F" w:rsidRDefault="00023DA0" w:rsidP="00E3763F">
      <w:pPr>
        <w:spacing w:after="0" w:line="276" w:lineRule="auto"/>
        <w:ind w:firstLine="720"/>
        <w:jc w:val="both"/>
        <w:rPr>
          <w:rFonts w:ascii="Times New Roman" w:hAnsi="Times New Roman" w:cs="Times New Roman"/>
          <w:color w:val="000000" w:themeColor="text1"/>
          <w:sz w:val="20"/>
          <w:szCs w:val="20"/>
        </w:rPr>
      </w:pPr>
    </w:p>
    <w:p w:rsidR="00A97EC0" w:rsidRDefault="00BC215D" w:rsidP="008F7856">
      <w:pPr>
        <w:spacing w:after="0" w:line="276" w:lineRule="auto"/>
        <w:jc w:val="both"/>
        <w:rPr>
          <w:rFonts w:ascii="Times New Roman" w:hAnsi="Times New Roman" w:cs="Times New Roman"/>
          <w:color w:val="000000" w:themeColor="text1"/>
          <w:sz w:val="20"/>
          <w:szCs w:val="20"/>
        </w:rPr>
      </w:pPr>
      <w:commentRangeStart w:id="5"/>
      <w:r w:rsidRPr="00E3763F">
        <w:rPr>
          <w:rFonts w:ascii="Times New Roman" w:hAnsi="Times New Roman" w:cs="Times New Roman"/>
          <w:color w:val="000000" w:themeColor="text1"/>
          <w:sz w:val="20"/>
          <w:szCs w:val="20"/>
        </w:rPr>
        <w:t xml:space="preserve">Lignin is a heterogeneous, water-insoluble, and chemically stable aromatic biopolymer that covalently links with cellulose and hemicellulose in the plant cell wall, thereby contributing to structural integrity and recalcitrance. It is formed through the oxidative combinatorial polymerization of three primary monolignols—p-coumaryl, coniferyl, and sinapyl alcohols—giving rise to hydroxyphenyl (H), guaiacyl (G), and syringyl (S) units in varying proportions </w:t>
      </w:r>
      <w:r w:rsidRPr="00425767">
        <w:rPr>
          <w:rFonts w:ascii="Times New Roman" w:hAnsi="Times New Roman" w:cs="Times New Roman"/>
          <w:color w:val="000000" w:themeColor="text1"/>
          <w:sz w:val="20"/>
          <w:szCs w:val="20"/>
        </w:rPr>
        <w:t>depending on plant species and tissue type</w:t>
      </w:r>
      <w:r w:rsidR="00A97EC0" w:rsidRPr="00425767">
        <w:rPr>
          <w:rFonts w:ascii="Times New Roman" w:hAnsi="Times New Roman" w:cs="Times New Roman"/>
          <w:color w:val="000000" w:themeColor="text1"/>
          <w:sz w:val="20"/>
          <w:szCs w:val="20"/>
        </w:rPr>
        <w:t xml:space="preserve"> (Liu et al., 2025; Sulis et al., 2025; Zhao et al., 2024).</w:t>
      </w:r>
      <w:commentRangeEnd w:id="5"/>
      <w:r w:rsidR="00BF28D7">
        <w:rPr>
          <w:rStyle w:val="CommentReference"/>
        </w:rPr>
        <w:commentReference w:id="5"/>
      </w:r>
    </w:p>
    <w:p w:rsidR="008F7856" w:rsidRPr="00425767" w:rsidRDefault="008F7856" w:rsidP="008F7856">
      <w:pPr>
        <w:spacing w:after="0" w:line="276" w:lineRule="auto"/>
        <w:jc w:val="both"/>
        <w:rPr>
          <w:rFonts w:ascii="Times New Roman" w:hAnsi="Times New Roman" w:cs="Times New Roman"/>
          <w:color w:val="000000" w:themeColor="text1"/>
          <w:sz w:val="20"/>
          <w:szCs w:val="20"/>
        </w:rPr>
      </w:pPr>
    </w:p>
    <w:p w:rsidR="00BC215D" w:rsidRPr="00425767" w:rsidRDefault="00BC215D" w:rsidP="00E3763F">
      <w:pPr>
        <w:spacing w:after="0" w:line="276" w:lineRule="auto"/>
        <w:jc w:val="both"/>
        <w:rPr>
          <w:rFonts w:ascii="Times New Roman" w:hAnsi="Times New Roman" w:cs="Times New Roman"/>
          <w:color w:val="000000" w:themeColor="text1"/>
          <w:sz w:val="20"/>
          <w:szCs w:val="20"/>
        </w:rPr>
      </w:pPr>
      <w:r w:rsidRPr="00E3763F">
        <w:rPr>
          <w:rFonts w:ascii="Times New Roman" w:hAnsi="Times New Roman" w:cs="Times New Roman"/>
          <w:color w:val="000000" w:themeColor="text1"/>
          <w:sz w:val="20"/>
          <w:szCs w:val="20"/>
        </w:rPr>
        <w:t xml:space="preserve"> Lignin is predominantly deposited in secondary thickened cell walls of vascular plants, particularly in wood and bark, where it provides rigidity, hydrophobicity, and resistance against microbial and enzymatic degradation. Beyond mechanical strength, lignin plays key roles in water transport regulation, pathogen defense, and stress adaptation. Its structural complexity and abundance make it both a barrier to efficient lignocellulose utilization and a valuable renewable source of aromatic compounds for sustainable biomaterials, chemicals, and bioenergy (Liu et al., 2025; Sulis et al., 2025; Zhao et al., 2024</w:t>
      </w:r>
      <w:r w:rsidRPr="00425767">
        <w:rPr>
          <w:rFonts w:ascii="Times New Roman" w:hAnsi="Times New Roman" w:cs="Times New Roman"/>
          <w:color w:val="000000" w:themeColor="text1"/>
          <w:sz w:val="20"/>
          <w:szCs w:val="20"/>
        </w:rPr>
        <w:t>).</w:t>
      </w:r>
    </w:p>
    <w:p w:rsidR="00763D48" w:rsidRPr="00425767" w:rsidRDefault="00763D48" w:rsidP="00E3763F">
      <w:pPr>
        <w:spacing w:after="0" w:line="276" w:lineRule="auto"/>
        <w:jc w:val="both"/>
        <w:rPr>
          <w:rFonts w:ascii="Times New Roman" w:hAnsi="Times New Roman" w:cs="Times New Roman"/>
          <w:color w:val="000000" w:themeColor="text1"/>
          <w:sz w:val="20"/>
          <w:szCs w:val="20"/>
        </w:rPr>
      </w:pPr>
    </w:p>
    <w:p w:rsidR="005C2D25" w:rsidRPr="008F7856" w:rsidRDefault="00E31ACB" w:rsidP="00E3763F">
      <w:pPr>
        <w:spacing w:line="276" w:lineRule="auto"/>
        <w:rPr>
          <w:rFonts w:ascii="Times New Roman" w:hAnsi="Times New Roman" w:cs="Times New Roman"/>
          <w:b/>
          <w:bCs/>
          <w:sz w:val="22"/>
          <w:szCs w:val="22"/>
        </w:rPr>
      </w:pPr>
      <w:r w:rsidRPr="008F7856">
        <w:rPr>
          <w:rFonts w:ascii="Times New Roman" w:hAnsi="Times New Roman" w:cs="Times New Roman"/>
          <w:b/>
          <w:bCs/>
          <w:sz w:val="22"/>
          <w:szCs w:val="22"/>
        </w:rPr>
        <w:t xml:space="preserve">2.0 </w:t>
      </w:r>
      <w:r w:rsidRPr="008F7856">
        <w:rPr>
          <w:rFonts w:ascii="Times New Roman" w:eastAsia="SimSun" w:hAnsi="Times New Roman" w:cs="Times New Roman"/>
          <w:b/>
          <w:bCs/>
          <w:sz w:val="22"/>
          <w:szCs w:val="22"/>
          <w:lang w:eastAsia="zh-CN"/>
        </w:rPr>
        <w:t>MATERIALS AND METHODS</w:t>
      </w:r>
    </w:p>
    <w:p w:rsidR="00AD2FE8" w:rsidRPr="00747C47" w:rsidRDefault="00E31ACB" w:rsidP="00E3763F">
      <w:pPr>
        <w:spacing w:line="276" w:lineRule="auto"/>
        <w:rPr>
          <w:rFonts w:ascii="Times New Roman" w:hAnsi="Times New Roman" w:cs="Times New Roman"/>
          <w:b/>
          <w:bCs/>
          <w:sz w:val="20"/>
          <w:szCs w:val="20"/>
        </w:rPr>
      </w:pPr>
      <w:r w:rsidRPr="00747C47">
        <w:rPr>
          <w:rFonts w:ascii="Times New Roman" w:hAnsi="Times New Roman" w:cs="Times New Roman"/>
          <w:b/>
          <w:bCs/>
          <w:sz w:val="20"/>
          <w:szCs w:val="20"/>
        </w:rPr>
        <w:t xml:space="preserve">2.1 </w:t>
      </w:r>
      <w:r w:rsidR="00AD2FE8" w:rsidRPr="00747C47">
        <w:rPr>
          <w:rFonts w:ascii="Times New Roman" w:hAnsi="Times New Roman" w:cs="Times New Roman"/>
          <w:b/>
          <w:bCs/>
          <w:sz w:val="20"/>
          <w:szCs w:val="20"/>
        </w:rPr>
        <w:t>Sample collection and preparation</w:t>
      </w:r>
    </w:p>
    <w:p w:rsidR="00AD2FE8" w:rsidRPr="00E3763F" w:rsidRDefault="00AD2FE8"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Male and female grass and mushroom feeding crickets were collected</w:t>
      </w:r>
      <w:r w:rsidR="00425767">
        <w:rPr>
          <w:rFonts w:ascii="Times New Roman" w:hAnsi="Times New Roman" w:cs="Times New Roman"/>
          <w:sz w:val="20"/>
          <w:szCs w:val="20"/>
        </w:rPr>
        <w:t xml:space="preserve"> by manual digging</w:t>
      </w:r>
      <w:r w:rsidRPr="00E3763F">
        <w:rPr>
          <w:rFonts w:ascii="Times New Roman" w:hAnsi="Times New Roman" w:cs="Times New Roman"/>
          <w:sz w:val="20"/>
          <w:szCs w:val="20"/>
        </w:rPr>
        <w:t xml:space="preserve"> for isolation of lignin degrading bacteria from a farm in major porter (leng) village in Barkin Ladi Local Government of plateau state, Nigeria.</w:t>
      </w:r>
      <w:r w:rsidR="00425767">
        <w:rPr>
          <w:rFonts w:ascii="Times New Roman" w:hAnsi="Times New Roman" w:cs="Times New Roman"/>
          <w:sz w:val="20"/>
          <w:szCs w:val="20"/>
        </w:rPr>
        <w:t xml:space="preserve"> </w:t>
      </w:r>
      <w:r w:rsidR="00425767" w:rsidRPr="00D055FD">
        <w:rPr>
          <w:rFonts w:ascii="Times New Roman" w:hAnsi="Times New Roman" w:cs="Times New Roman"/>
          <w:sz w:val="20"/>
          <w:szCs w:val="20"/>
        </w:rPr>
        <w:t>Samples w</w:t>
      </w:r>
      <w:r w:rsidR="00425767">
        <w:rPr>
          <w:rFonts w:ascii="Times New Roman" w:hAnsi="Times New Roman" w:cs="Times New Roman"/>
          <w:sz w:val="20"/>
          <w:szCs w:val="20"/>
        </w:rPr>
        <w:t>ere</w:t>
      </w:r>
      <w:r w:rsidR="00425767" w:rsidRPr="00D055FD">
        <w:rPr>
          <w:rFonts w:ascii="Times New Roman" w:hAnsi="Times New Roman" w:cs="Times New Roman"/>
          <w:sz w:val="20"/>
          <w:szCs w:val="20"/>
        </w:rPr>
        <w:t xml:space="preserve"> transported to the lab in sterile containers</w:t>
      </w:r>
      <w:r w:rsidR="00425767">
        <w:rPr>
          <w:rFonts w:ascii="Times New Roman" w:hAnsi="Times New Roman" w:cs="Times New Roman"/>
          <w:sz w:val="20"/>
          <w:szCs w:val="20"/>
        </w:rPr>
        <w:t>.</w:t>
      </w:r>
      <w:r w:rsidR="00425767" w:rsidRPr="00E3763F">
        <w:rPr>
          <w:rFonts w:ascii="Times New Roman" w:hAnsi="Times New Roman" w:cs="Times New Roman"/>
          <w:sz w:val="20"/>
          <w:szCs w:val="20"/>
        </w:rPr>
        <w:t xml:space="preserve"> The</w:t>
      </w:r>
      <w:r w:rsidRPr="00E3763F">
        <w:rPr>
          <w:rFonts w:ascii="Times New Roman" w:hAnsi="Times New Roman" w:cs="Times New Roman"/>
          <w:sz w:val="20"/>
          <w:szCs w:val="20"/>
        </w:rPr>
        <w:t xml:space="preserve"> crickets were cooled in refrigerator prior to </w:t>
      </w:r>
      <w:r w:rsidR="00A34794" w:rsidRPr="00E3763F">
        <w:rPr>
          <w:rFonts w:ascii="Times New Roman" w:hAnsi="Times New Roman" w:cs="Times New Roman"/>
          <w:sz w:val="20"/>
          <w:szCs w:val="20"/>
        </w:rPr>
        <w:t>dissection. The</w:t>
      </w:r>
      <w:r w:rsidRPr="00E3763F">
        <w:rPr>
          <w:rFonts w:ascii="Times New Roman" w:hAnsi="Times New Roman" w:cs="Times New Roman"/>
          <w:sz w:val="20"/>
          <w:szCs w:val="20"/>
        </w:rPr>
        <w:t xml:space="preserve"> guts were collected by dissecting the crickets in a PBS at pH 7.4 in a sterile condition.</w:t>
      </w:r>
    </w:p>
    <w:p w:rsidR="00BB0990" w:rsidRPr="00747C47" w:rsidRDefault="005142D1" w:rsidP="00E3763F">
      <w:pPr>
        <w:spacing w:after="0" w:line="276" w:lineRule="auto"/>
        <w:jc w:val="both"/>
        <w:rPr>
          <w:rFonts w:ascii="Times New Roman" w:hAnsi="Times New Roman" w:cs="Times New Roman"/>
          <w:sz w:val="20"/>
          <w:szCs w:val="20"/>
        </w:rPr>
      </w:pPr>
      <w:r w:rsidRPr="00747C47">
        <w:rPr>
          <w:rFonts w:ascii="Times New Roman" w:hAnsi="Times New Roman" w:cs="Times New Roman"/>
          <w:b/>
          <w:bCs/>
          <w:sz w:val="20"/>
          <w:szCs w:val="20"/>
        </w:rPr>
        <w:t>2.2 Sample</w:t>
      </w:r>
      <w:r w:rsidR="00BB0990" w:rsidRPr="00747C47">
        <w:rPr>
          <w:rFonts w:ascii="Times New Roman" w:hAnsi="Times New Roman" w:cs="Times New Roman"/>
          <w:b/>
          <w:bCs/>
          <w:sz w:val="20"/>
          <w:szCs w:val="20"/>
        </w:rPr>
        <w:t xml:space="preserve"> culture</w:t>
      </w:r>
      <w:r w:rsidR="00BB0990" w:rsidRPr="00747C47">
        <w:rPr>
          <w:rFonts w:ascii="Times New Roman" w:hAnsi="Times New Roman" w:cs="Times New Roman"/>
          <w:sz w:val="20"/>
          <w:szCs w:val="20"/>
        </w:rPr>
        <w:t xml:space="preserve"> </w:t>
      </w:r>
    </w:p>
    <w:p w:rsidR="00BB0990" w:rsidRPr="00E3763F" w:rsidRDefault="00291D06" w:rsidP="00E3763F">
      <w:pPr>
        <w:spacing w:after="0" w:line="276" w:lineRule="auto"/>
        <w:jc w:val="both"/>
        <w:rPr>
          <w:rFonts w:ascii="Times New Roman" w:hAnsi="Times New Roman" w:cs="Times New Roman"/>
          <w:sz w:val="20"/>
          <w:szCs w:val="20"/>
        </w:rPr>
      </w:pPr>
      <w:commentRangeStart w:id="6"/>
      <w:r w:rsidRPr="00E3763F">
        <w:rPr>
          <w:rFonts w:ascii="Times New Roman" w:hAnsi="Times New Roman" w:cs="Times New Roman"/>
          <w:sz w:val="20"/>
          <w:szCs w:val="20"/>
        </w:rPr>
        <w:t>Two ml of the crushed cricket gut was poured into 6 Petri dishes (F</w:t>
      </w:r>
      <w:r w:rsidRPr="00E3763F">
        <w:rPr>
          <w:rFonts w:ascii="Times New Roman" w:hAnsi="Times New Roman" w:cs="Times New Roman"/>
          <w:sz w:val="20"/>
          <w:szCs w:val="20"/>
          <w:vertAlign w:val="subscript"/>
        </w:rPr>
        <w:t>1</w:t>
      </w:r>
      <w:r w:rsidRPr="00E3763F">
        <w:rPr>
          <w:rFonts w:ascii="Times New Roman" w:hAnsi="Times New Roman" w:cs="Times New Roman"/>
          <w:sz w:val="20"/>
          <w:szCs w:val="20"/>
        </w:rPr>
        <w:t>,F</w:t>
      </w:r>
      <w:r w:rsidRPr="00E3763F">
        <w:rPr>
          <w:rFonts w:ascii="Times New Roman" w:hAnsi="Times New Roman" w:cs="Times New Roman"/>
          <w:sz w:val="20"/>
          <w:szCs w:val="20"/>
          <w:vertAlign w:val="subscript"/>
        </w:rPr>
        <w:t>2</w:t>
      </w:r>
      <w:r w:rsidRPr="00E3763F">
        <w:rPr>
          <w:rFonts w:ascii="Times New Roman" w:hAnsi="Times New Roman" w:cs="Times New Roman"/>
          <w:sz w:val="20"/>
          <w:szCs w:val="20"/>
        </w:rPr>
        <w:t>,F</w:t>
      </w:r>
      <w:r w:rsidRPr="00E3763F">
        <w:rPr>
          <w:rFonts w:ascii="Times New Roman" w:hAnsi="Times New Roman" w:cs="Times New Roman"/>
          <w:sz w:val="20"/>
          <w:szCs w:val="20"/>
          <w:vertAlign w:val="subscript"/>
        </w:rPr>
        <w:t>3</w:t>
      </w:r>
      <w:r w:rsidRPr="00E3763F">
        <w:rPr>
          <w:rFonts w:ascii="Times New Roman" w:hAnsi="Times New Roman" w:cs="Times New Roman"/>
          <w:sz w:val="20"/>
          <w:szCs w:val="20"/>
        </w:rPr>
        <w:t xml:space="preserve"> –for female cricket and M</w:t>
      </w:r>
      <w:r w:rsidRPr="00E3763F">
        <w:rPr>
          <w:rFonts w:ascii="Times New Roman" w:hAnsi="Times New Roman" w:cs="Times New Roman"/>
          <w:sz w:val="20"/>
          <w:szCs w:val="20"/>
          <w:vertAlign w:val="subscript"/>
        </w:rPr>
        <w:t>1</w:t>
      </w:r>
      <w:r w:rsidRPr="00E3763F">
        <w:rPr>
          <w:rFonts w:ascii="Times New Roman" w:hAnsi="Times New Roman" w:cs="Times New Roman"/>
          <w:sz w:val="20"/>
          <w:szCs w:val="20"/>
        </w:rPr>
        <w:t>,M</w:t>
      </w:r>
      <w:r w:rsidRPr="00E3763F">
        <w:rPr>
          <w:rFonts w:ascii="Times New Roman" w:hAnsi="Times New Roman" w:cs="Times New Roman"/>
          <w:sz w:val="20"/>
          <w:szCs w:val="20"/>
          <w:vertAlign w:val="subscript"/>
        </w:rPr>
        <w:t>2</w:t>
      </w:r>
      <w:r w:rsidRPr="00E3763F">
        <w:rPr>
          <w:rFonts w:ascii="Times New Roman" w:hAnsi="Times New Roman" w:cs="Times New Roman"/>
          <w:sz w:val="20"/>
          <w:szCs w:val="20"/>
        </w:rPr>
        <w:t>,M</w:t>
      </w:r>
      <w:r w:rsidRPr="00E3763F">
        <w:rPr>
          <w:rFonts w:ascii="Times New Roman" w:hAnsi="Times New Roman" w:cs="Times New Roman"/>
          <w:sz w:val="20"/>
          <w:szCs w:val="20"/>
          <w:vertAlign w:val="subscript"/>
        </w:rPr>
        <w:t>3</w:t>
      </w:r>
      <w:r w:rsidRPr="00E3763F">
        <w:rPr>
          <w:rFonts w:ascii="Times New Roman" w:hAnsi="Times New Roman" w:cs="Times New Roman"/>
          <w:sz w:val="20"/>
          <w:szCs w:val="20"/>
        </w:rPr>
        <w:t xml:space="preserve"> –for male cricket),20ml of the prepared nutrient agar was poured into the crushed guts. The guts were cultured into 20ml nutrient Agar (NA) and incubated at 37</w:t>
      </w:r>
      <w:r w:rsidRPr="00E3763F">
        <w:rPr>
          <w:rFonts w:ascii="Times New Roman" w:hAnsi="Times New Roman" w:cs="Times New Roman"/>
          <w:sz w:val="20"/>
          <w:szCs w:val="20"/>
          <w:vertAlign w:val="superscript"/>
        </w:rPr>
        <w:t>o</w:t>
      </w:r>
      <w:r w:rsidRPr="00E3763F">
        <w:rPr>
          <w:rFonts w:ascii="Times New Roman" w:hAnsi="Times New Roman" w:cs="Times New Roman"/>
          <w:sz w:val="20"/>
          <w:szCs w:val="20"/>
        </w:rPr>
        <w:t xml:space="preserve">c for 24 hours. </w:t>
      </w:r>
      <w:r w:rsidR="00193EDB" w:rsidRPr="00E3763F">
        <w:rPr>
          <w:rFonts w:ascii="Times New Roman" w:hAnsi="Times New Roman" w:cs="Times New Roman"/>
          <w:sz w:val="20"/>
          <w:szCs w:val="20"/>
        </w:rPr>
        <w:t xml:space="preserve">Serial dilution was carried out in order to reduce the concentration of the bacterial growth and to avoid over flooded growth of the isolates. Samples were collected from the groups assigned and carboxymethylcellulose was poured on the </w:t>
      </w:r>
      <w:r w:rsidR="000F13A4" w:rsidRPr="00E3763F">
        <w:rPr>
          <w:rFonts w:ascii="Times New Roman" w:hAnsi="Times New Roman" w:cs="Times New Roman"/>
          <w:sz w:val="20"/>
          <w:szCs w:val="20"/>
        </w:rPr>
        <w:t>plates</w:t>
      </w:r>
      <w:r w:rsidR="00193EDB" w:rsidRPr="00E3763F">
        <w:rPr>
          <w:rFonts w:ascii="Times New Roman" w:hAnsi="Times New Roman" w:cs="Times New Roman"/>
          <w:sz w:val="20"/>
          <w:szCs w:val="20"/>
        </w:rPr>
        <w:t xml:space="preserve"> containing</w:t>
      </w:r>
      <w:r w:rsidR="000F13A4" w:rsidRPr="00E3763F">
        <w:rPr>
          <w:rFonts w:ascii="Times New Roman" w:hAnsi="Times New Roman" w:cs="Times New Roman"/>
          <w:sz w:val="20"/>
          <w:szCs w:val="20"/>
        </w:rPr>
        <w:t xml:space="preserve"> 1ml of</w:t>
      </w:r>
      <w:r w:rsidR="00193EDB" w:rsidRPr="00E3763F">
        <w:rPr>
          <w:rFonts w:ascii="Times New Roman" w:hAnsi="Times New Roman" w:cs="Times New Roman"/>
          <w:sz w:val="20"/>
          <w:szCs w:val="20"/>
        </w:rPr>
        <w:t xml:space="preserve"> the cricket’s </w:t>
      </w:r>
      <w:r w:rsidR="000F13A4" w:rsidRPr="00E3763F">
        <w:rPr>
          <w:rFonts w:ascii="Times New Roman" w:hAnsi="Times New Roman" w:cs="Times New Roman"/>
          <w:sz w:val="20"/>
          <w:szCs w:val="20"/>
        </w:rPr>
        <w:t xml:space="preserve">guts, </w:t>
      </w:r>
      <w:r w:rsidR="005F4C79" w:rsidRPr="00E3763F">
        <w:rPr>
          <w:rFonts w:ascii="Times New Roman" w:hAnsi="Times New Roman" w:cs="Times New Roman"/>
          <w:sz w:val="20"/>
          <w:szCs w:val="20"/>
        </w:rPr>
        <w:t>it</w:t>
      </w:r>
      <w:r w:rsidR="000F13A4" w:rsidRPr="00E3763F">
        <w:rPr>
          <w:rFonts w:ascii="Times New Roman" w:hAnsi="Times New Roman" w:cs="Times New Roman"/>
          <w:sz w:val="20"/>
          <w:szCs w:val="20"/>
        </w:rPr>
        <w:t xml:space="preserve"> was incubated at 30</w:t>
      </w:r>
      <w:r w:rsidR="000F13A4" w:rsidRPr="00E3763F">
        <w:rPr>
          <w:rFonts w:ascii="Times New Roman" w:hAnsi="Times New Roman" w:cs="Times New Roman"/>
          <w:sz w:val="20"/>
          <w:szCs w:val="20"/>
          <w:vertAlign w:val="superscript"/>
        </w:rPr>
        <w:t>o</w:t>
      </w:r>
      <w:r w:rsidR="000F13A4" w:rsidRPr="00E3763F">
        <w:rPr>
          <w:rFonts w:ascii="Times New Roman" w:hAnsi="Times New Roman" w:cs="Times New Roman"/>
          <w:sz w:val="20"/>
          <w:szCs w:val="20"/>
        </w:rPr>
        <w:t>c for 48 hours.</w:t>
      </w:r>
      <w:r w:rsidR="00596492" w:rsidRPr="00E3763F">
        <w:rPr>
          <w:rFonts w:ascii="Times New Roman" w:hAnsi="Times New Roman" w:cs="Times New Roman"/>
          <w:sz w:val="20"/>
          <w:szCs w:val="20"/>
        </w:rPr>
        <w:t xml:space="preserve"> </w:t>
      </w:r>
      <w:commentRangeEnd w:id="6"/>
      <w:r w:rsidR="00BF28D7">
        <w:rPr>
          <w:rStyle w:val="CommentReference"/>
        </w:rPr>
        <w:commentReference w:id="6"/>
      </w:r>
    </w:p>
    <w:p w:rsidR="00BB0990" w:rsidRPr="00747C47" w:rsidRDefault="00E31ACB" w:rsidP="00E3763F">
      <w:pPr>
        <w:spacing w:after="0" w:line="276" w:lineRule="auto"/>
        <w:jc w:val="both"/>
        <w:rPr>
          <w:rFonts w:ascii="Times New Roman" w:hAnsi="Times New Roman" w:cs="Times New Roman"/>
          <w:sz w:val="20"/>
          <w:szCs w:val="20"/>
        </w:rPr>
      </w:pPr>
      <w:r w:rsidRPr="00747C47">
        <w:rPr>
          <w:rFonts w:ascii="Times New Roman" w:hAnsi="Times New Roman" w:cs="Times New Roman"/>
          <w:b/>
          <w:bCs/>
          <w:sz w:val="20"/>
          <w:szCs w:val="20"/>
        </w:rPr>
        <w:t xml:space="preserve">2.2. 1 </w:t>
      </w:r>
      <w:r w:rsidR="00596492" w:rsidRPr="00747C47">
        <w:rPr>
          <w:rFonts w:ascii="Times New Roman" w:hAnsi="Times New Roman" w:cs="Times New Roman"/>
          <w:b/>
          <w:bCs/>
          <w:sz w:val="20"/>
          <w:szCs w:val="20"/>
        </w:rPr>
        <w:t>Biochemical analysis</w:t>
      </w:r>
      <w:r w:rsidR="00596492" w:rsidRPr="00747C47">
        <w:rPr>
          <w:rFonts w:ascii="Times New Roman" w:hAnsi="Times New Roman" w:cs="Times New Roman"/>
          <w:sz w:val="20"/>
          <w:szCs w:val="20"/>
        </w:rPr>
        <w:t xml:space="preserve"> </w:t>
      </w:r>
    </w:p>
    <w:p w:rsidR="00BB0990" w:rsidRPr="00E3763F" w:rsidRDefault="00BB0990"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All bacterial isolates were identified using conventional</w:t>
      </w:r>
    </w:p>
    <w:p w:rsidR="00596492" w:rsidRPr="00E3763F" w:rsidRDefault="00BB0990"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cultural, phenotypic characters </w:t>
      </w:r>
      <w:commentRangeStart w:id="7"/>
      <w:r w:rsidRPr="00E3763F">
        <w:rPr>
          <w:rFonts w:ascii="Times New Roman" w:hAnsi="Times New Roman" w:cs="Times New Roman"/>
          <w:sz w:val="20"/>
          <w:szCs w:val="20"/>
        </w:rPr>
        <w:t>(Gram staining,</w:t>
      </w:r>
      <w:r w:rsidR="00596492" w:rsidRPr="00E3763F">
        <w:rPr>
          <w:rFonts w:ascii="Times New Roman" w:hAnsi="Times New Roman" w:cs="Times New Roman"/>
          <w:sz w:val="20"/>
          <w:szCs w:val="20"/>
        </w:rPr>
        <w:t xml:space="preserve"> citrate, urease, catalase, oxidase and indole tests</w:t>
      </w:r>
      <w:r w:rsidRPr="00E3763F">
        <w:rPr>
          <w:rFonts w:ascii="Times New Roman" w:hAnsi="Times New Roman" w:cs="Times New Roman"/>
          <w:sz w:val="20"/>
          <w:szCs w:val="20"/>
        </w:rPr>
        <w:t>)</w:t>
      </w:r>
      <w:r w:rsidR="00596492" w:rsidRPr="00E3763F">
        <w:rPr>
          <w:rFonts w:ascii="Times New Roman" w:hAnsi="Times New Roman" w:cs="Times New Roman"/>
          <w:sz w:val="20"/>
          <w:szCs w:val="20"/>
        </w:rPr>
        <w:t xml:space="preserve"> to confirm the presence of the microorganisms.</w:t>
      </w:r>
      <w:commentRangeEnd w:id="7"/>
      <w:r w:rsidR="00BF28D7">
        <w:rPr>
          <w:rStyle w:val="CommentReference"/>
        </w:rPr>
        <w:commentReference w:id="7"/>
      </w:r>
    </w:p>
    <w:p w:rsidR="002573E7" w:rsidRPr="00E3763F" w:rsidRDefault="00246DD1" w:rsidP="00E3763F">
      <w:pPr>
        <w:spacing w:line="276" w:lineRule="auto"/>
        <w:jc w:val="both"/>
        <w:rPr>
          <w:rFonts w:ascii="Times New Roman" w:hAnsi="Times New Roman" w:cs="Times New Roman"/>
          <w:bCs/>
          <w:sz w:val="20"/>
          <w:szCs w:val="20"/>
        </w:rPr>
      </w:pPr>
      <w:r w:rsidRPr="00E3763F">
        <w:rPr>
          <w:rFonts w:ascii="Times New Roman" w:hAnsi="Times New Roman" w:cs="Times New Roman"/>
          <w:b/>
          <w:bCs/>
          <w:sz w:val="20"/>
          <w:szCs w:val="20"/>
        </w:rPr>
        <w:t>DNA extraction</w:t>
      </w:r>
      <w:r w:rsidRPr="00E3763F">
        <w:rPr>
          <w:rFonts w:ascii="Times New Roman" w:hAnsi="Times New Roman" w:cs="Times New Roman"/>
          <w:sz w:val="20"/>
          <w:szCs w:val="20"/>
        </w:rPr>
        <w:t xml:space="preserve"> was carried out using </w:t>
      </w:r>
      <w:r w:rsidR="002573E7" w:rsidRPr="00E3763F">
        <w:rPr>
          <w:rFonts w:ascii="Times New Roman" w:hAnsi="Times New Roman" w:cs="Times New Roman"/>
          <w:bCs/>
          <w:sz w:val="20"/>
          <w:szCs w:val="20"/>
        </w:rPr>
        <w:t>zymoBeadTm DNA extraction kit.</w:t>
      </w:r>
    </w:p>
    <w:p w:rsidR="00901675" w:rsidRPr="00685538" w:rsidRDefault="004A1771"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b/>
          <w:bCs/>
          <w:sz w:val="20"/>
          <w:szCs w:val="20"/>
        </w:rPr>
        <w:t xml:space="preserve">PCR Analysis. </w:t>
      </w:r>
      <w:commentRangeStart w:id="8"/>
      <w:r w:rsidRPr="00E3763F">
        <w:rPr>
          <w:rFonts w:ascii="Times New Roman" w:hAnsi="Times New Roman" w:cs="Times New Roman"/>
          <w:sz w:val="20"/>
          <w:szCs w:val="20"/>
        </w:rPr>
        <w:t>The reaction</w:t>
      </w:r>
      <w:r w:rsidR="00C65CDE" w:rsidRPr="00E3763F">
        <w:rPr>
          <w:rFonts w:ascii="Times New Roman" w:hAnsi="Times New Roman" w:cs="Times New Roman"/>
          <w:sz w:val="20"/>
          <w:szCs w:val="20"/>
        </w:rPr>
        <w:t xml:space="preserve"> was carried out</w:t>
      </w:r>
      <w:r w:rsidRPr="00E3763F">
        <w:rPr>
          <w:rFonts w:ascii="Times New Roman" w:hAnsi="Times New Roman" w:cs="Times New Roman"/>
          <w:sz w:val="20"/>
          <w:szCs w:val="20"/>
        </w:rPr>
        <w:t xml:space="preserve"> through 22.5µl of the mixture including 2.5µl </w:t>
      </w:r>
      <w:r w:rsidR="0016286E" w:rsidRPr="00E3763F">
        <w:rPr>
          <w:rFonts w:ascii="Times New Roman" w:hAnsi="Times New Roman" w:cs="Times New Roman"/>
          <w:sz w:val="20"/>
          <w:szCs w:val="20"/>
        </w:rPr>
        <w:t>deoxyribonucleic</w:t>
      </w:r>
      <w:r w:rsidRPr="00E3763F">
        <w:rPr>
          <w:rFonts w:ascii="Times New Roman" w:hAnsi="Times New Roman" w:cs="Times New Roman"/>
          <w:sz w:val="20"/>
          <w:szCs w:val="20"/>
        </w:rPr>
        <w:t xml:space="preserve"> acid</w:t>
      </w:r>
      <w:r w:rsidR="007661B7" w:rsidRPr="00E3763F">
        <w:rPr>
          <w:rFonts w:ascii="Times New Roman" w:hAnsi="Times New Roman" w:cs="Times New Roman"/>
          <w:sz w:val="20"/>
          <w:szCs w:val="20"/>
        </w:rPr>
        <w:t>,12.5 µl of the master mix</w:t>
      </w:r>
      <w:r w:rsidR="00BE4854" w:rsidRPr="00E3763F">
        <w:rPr>
          <w:rFonts w:ascii="Times New Roman" w:hAnsi="Times New Roman" w:cs="Times New Roman"/>
          <w:sz w:val="20"/>
          <w:szCs w:val="20"/>
        </w:rPr>
        <w:t>`</w:t>
      </w:r>
      <w:r w:rsidRPr="00E3763F">
        <w:rPr>
          <w:rFonts w:ascii="Times New Roman" w:hAnsi="Times New Roman" w:cs="Times New Roman"/>
          <w:sz w:val="20"/>
          <w:szCs w:val="20"/>
        </w:rPr>
        <w:t xml:space="preserve"> was dispensed into each of the mixture (nucleus free water,2x master mix, forward </w:t>
      </w:r>
      <w:r w:rsidRPr="00E3763F">
        <w:rPr>
          <w:rFonts w:ascii="Times New Roman" w:hAnsi="Times New Roman" w:cs="Times New Roman"/>
          <w:sz w:val="20"/>
          <w:szCs w:val="20"/>
        </w:rPr>
        <w:lastRenderedPageBreak/>
        <w:t xml:space="preserve">and reverse primer) and the PCR for 16S rRNA was performed </w:t>
      </w:r>
      <w:r w:rsidR="00C65CDE" w:rsidRPr="00E3763F">
        <w:rPr>
          <w:rFonts w:ascii="Times New Roman" w:hAnsi="Times New Roman" w:cs="Times New Roman"/>
          <w:sz w:val="20"/>
          <w:szCs w:val="20"/>
        </w:rPr>
        <w:t>by</w:t>
      </w:r>
      <w:r w:rsidR="00034C94" w:rsidRPr="00E3763F">
        <w:rPr>
          <w:rFonts w:ascii="Times New Roman" w:hAnsi="Times New Roman" w:cs="Times New Roman"/>
          <w:sz w:val="20"/>
          <w:szCs w:val="20"/>
        </w:rPr>
        <w:t xml:space="preserve"> forward and reverse primers</w:t>
      </w:r>
      <w:r w:rsidR="00C65CDE" w:rsidRPr="00E3763F">
        <w:rPr>
          <w:rFonts w:ascii="Times New Roman" w:hAnsi="Times New Roman" w:cs="Times New Roman"/>
          <w:sz w:val="20"/>
          <w:szCs w:val="20"/>
        </w:rPr>
        <w:t xml:space="preserve"> which</w:t>
      </w:r>
      <w:r w:rsidR="00034C94" w:rsidRPr="00E3763F">
        <w:rPr>
          <w:rFonts w:ascii="Times New Roman" w:hAnsi="Times New Roman" w:cs="Times New Roman"/>
          <w:sz w:val="20"/>
          <w:szCs w:val="20"/>
        </w:rPr>
        <w:t xml:space="preserve"> were constituted by dispensing 48µl of the stock into 20µl DNA.</w:t>
      </w:r>
      <w:r w:rsidR="002573E7" w:rsidRPr="00E3763F">
        <w:rPr>
          <w:rFonts w:ascii="Times New Roman" w:hAnsi="Times New Roman" w:cs="Times New Roman"/>
          <w:sz w:val="20"/>
          <w:szCs w:val="20"/>
        </w:rPr>
        <w:t xml:space="preserve"> </w:t>
      </w:r>
      <w:r w:rsidR="007871D2" w:rsidRPr="00E3763F">
        <w:rPr>
          <w:rFonts w:ascii="Times New Roman" w:hAnsi="Times New Roman" w:cs="Times New Roman"/>
          <w:sz w:val="20"/>
          <w:szCs w:val="20"/>
        </w:rPr>
        <w:t>The amplification was performed in a thermocycling system</w:t>
      </w:r>
      <w:r w:rsidR="00B22BB3" w:rsidRPr="00E3763F">
        <w:rPr>
          <w:rFonts w:ascii="Times New Roman" w:hAnsi="Times New Roman" w:cs="Times New Roman"/>
          <w:sz w:val="20"/>
          <w:szCs w:val="20"/>
        </w:rPr>
        <w:t xml:space="preserve"> (Eppendorf master cycler, Germany)</w:t>
      </w:r>
      <w:r w:rsidR="007871D2" w:rsidRPr="00E3763F">
        <w:rPr>
          <w:rFonts w:ascii="Times New Roman" w:hAnsi="Times New Roman" w:cs="Times New Roman"/>
          <w:sz w:val="20"/>
          <w:szCs w:val="20"/>
        </w:rPr>
        <w:t xml:space="preserve"> </w:t>
      </w:r>
      <w:r w:rsidR="002573E7" w:rsidRPr="00E3763F">
        <w:rPr>
          <w:rFonts w:ascii="Times New Roman" w:hAnsi="Times New Roman" w:cs="Times New Roman"/>
          <w:sz w:val="20"/>
          <w:szCs w:val="20"/>
        </w:rPr>
        <w:t>T</w:t>
      </w:r>
      <w:r w:rsidR="00034C94" w:rsidRPr="00E3763F">
        <w:rPr>
          <w:rFonts w:ascii="Times New Roman" w:hAnsi="Times New Roman" w:cs="Times New Roman"/>
          <w:sz w:val="20"/>
          <w:szCs w:val="20"/>
        </w:rPr>
        <w:t>he ampl</w:t>
      </w:r>
      <w:r w:rsidR="00975970" w:rsidRPr="00E3763F">
        <w:rPr>
          <w:rFonts w:ascii="Times New Roman" w:hAnsi="Times New Roman" w:cs="Times New Roman"/>
          <w:sz w:val="20"/>
          <w:szCs w:val="20"/>
        </w:rPr>
        <w:t>if</w:t>
      </w:r>
      <w:r w:rsidR="00034C94" w:rsidRPr="00E3763F">
        <w:rPr>
          <w:rFonts w:ascii="Times New Roman" w:hAnsi="Times New Roman" w:cs="Times New Roman"/>
          <w:sz w:val="20"/>
          <w:szCs w:val="20"/>
        </w:rPr>
        <w:t>ication of 16S rRNA and Gyrase B gene was performed using PCR.</w:t>
      </w:r>
      <w:r w:rsidR="005F48CC" w:rsidRPr="00E3763F">
        <w:rPr>
          <w:rFonts w:ascii="Times New Roman" w:hAnsi="Times New Roman" w:cs="Times New Roman"/>
          <w:sz w:val="20"/>
          <w:szCs w:val="20"/>
        </w:rPr>
        <w:t xml:space="preserve"> </w:t>
      </w:r>
      <w:r w:rsidR="00B22BB3" w:rsidRPr="00E3763F">
        <w:rPr>
          <w:rFonts w:ascii="Times New Roman" w:hAnsi="Times New Roman" w:cs="Times New Roman"/>
          <w:sz w:val="20"/>
          <w:szCs w:val="20"/>
        </w:rPr>
        <w:t xml:space="preserve"> The amplification conditions are as follows; </w:t>
      </w:r>
      <w:r w:rsidR="00EE283B" w:rsidRPr="00E3763F">
        <w:rPr>
          <w:rFonts w:ascii="Times New Roman" w:hAnsi="Times New Roman" w:cs="Times New Roman"/>
          <w:sz w:val="20"/>
          <w:szCs w:val="20"/>
        </w:rPr>
        <w:t>Stage 1:94</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3 minutes; Stage 2: 35 cycles of 94</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,1 minute; 55</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,30 minutes; 72</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2 minutes and Stage 3: 72</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,10 minutes.</w:t>
      </w:r>
      <w:r w:rsidR="005F48CC" w:rsidRPr="00E3763F">
        <w:rPr>
          <w:rFonts w:ascii="Times New Roman" w:hAnsi="Times New Roman" w:cs="Times New Roman"/>
          <w:sz w:val="20"/>
          <w:szCs w:val="20"/>
        </w:rPr>
        <w:t>The PCR products were el</w:t>
      </w:r>
      <w:r w:rsidR="00975970" w:rsidRPr="00E3763F">
        <w:rPr>
          <w:rFonts w:ascii="Times New Roman" w:hAnsi="Times New Roman" w:cs="Times New Roman"/>
          <w:sz w:val="20"/>
          <w:szCs w:val="20"/>
        </w:rPr>
        <w:t>e</w:t>
      </w:r>
      <w:r w:rsidR="005F48CC" w:rsidRPr="00E3763F">
        <w:rPr>
          <w:rFonts w:ascii="Times New Roman" w:hAnsi="Times New Roman" w:cs="Times New Roman"/>
          <w:sz w:val="20"/>
          <w:szCs w:val="20"/>
        </w:rPr>
        <w:t>ctrophoresed</w:t>
      </w:r>
      <w:r w:rsidR="00EE283B" w:rsidRPr="00E3763F">
        <w:rPr>
          <w:rFonts w:ascii="Times New Roman" w:hAnsi="Times New Roman" w:cs="Times New Roman"/>
          <w:sz w:val="20"/>
          <w:szCs w:val="20"/>
        </w:rPr>
        <w:t xml:space="preserve"> (Cleaver scientific Ltd., Taiwan)</w:t>
      </w:r>
      <w:r w:rsidR="00361869" w:rsidRPr="00E3763F">
        <w:rPr>
          <w:rFonts w:ascii="Times New Roman" w:hAnsi="Times New Roman" w:cs="Times New Roman"/>
          <w:sz w:val="20"/>
          <w:szCs w:val="20"/>
        </w:rPr>
        <w:t xml:space="preserve"> through a 1.5% agarose gel pre-exposed to ethidium bromide. Then products of PCR were visualized under a UV </w:t>
      </w:r>
      <w:r w:rsidR="00361869" w:rsidRPr="00685538">
        <w:rPr>
          <w:rFonts w:ascii="Times New Roman" w:hAnsi="Times New Roman" w:cs="Times New Roman"/>
          <w:sz w:val="20"/>
          <w:szCs w:val="20"/>
        </w:rPr>
        <w:t>imager</w:t>
      </w:r>
      <w:r w:rsidR="005F48CC" w:rsidRPr="00685538">
        <w:rPr>
          <w:rFonts w:ascii="Times New Roman" w:hAnsi="Times New Roman" w:cs="Times New Roman"/>
          <w:sz w:val="20"/>
          <w:szCs w:val="20"/>
        </w:rPr>
        <w:t xml:space="preserve"> </w:t>
      </w:r>
      <w:r w:rsidR="00361869" w:rsidRPr="00685538">
        <w:rPr>
          <w:rFonts w:ascii="Times New Roman" w:hAnsi="Times New Roman" w:cs="Times New Roman"/>
          <w:sz w:val="20"/>
          <w:szCs w:val="20"/>
        </w:rPr>
        <w:t>(Vilber, France).</w:t>
      </w:r>
      <w:commentRangeEnd w:id="8"/>
      <w:r w:rsidR="00BF28D7">
        <w:rPr>
          <w:rStyle w:val="CommentReference"/>
        </w:rPr>
        <w:commentReference w:id="8"/>
      </w:r>
    </w:p>
    <w:p w:rsidR="005206F3" w:rsidRPr="00E3763F" w:rsidRDefault="005206F3" w:rsidP="00E3763F">
      <w:pPr>
        <w:spacing w:after="0" w:line="276" w:lineRule="auto"/>
        <w:ind w:firstLine="720"/>
        <w:jc w:val="both"/>
        <w:rPr>
          <w:rFonts w:ascii="Times New Roman" w:hAnsi="Times New Roman" w:cs="Times New Roman"/>
          <w:b/>
          <w:bCs/>
          <w:sz w:val="20"/>
          <w:szCs w:val="20"/>
        </w:rPr>
      </w:pPr>
    </w:p>
    <w:p w:rsidR="00901675" w:rsidRPr="008F7856" w:rsidRDefault="00747C47" w:rsidP="00747C47">
      <w:pPr>
        <w:spacing w:after="0" w:line="276" w:lineRule="auto"/>
        <w:jc w:val="both"/>
        <w:rPr>
          <w:rFonts w:ascii="Times New Roman" w:hAnsi="Times New Roman" w:cs="Times New Roman"/>
          <w:b/>
          <w:bCs/>
          <w:sz w:val="22"/>
          <w:szCs w:val="22"/>
        </w:rPr>
      </w:pPr>
      <w:r w:rsidRPr="008F7856">
        <w:rPr>
          <w:rFonts w:ascii="Times New Roman" w:hAnsi="Times New Roman" w:cs="Times New Roman"/>
          <w:b/>
          <w:bCs/>
          <w:sz w:val="22"/>
          <w:szCs w:val="22"/>
        </w:rPr>
        <w:t>3.0 RESULTS</w:t>
      </w:r>
      <w:r w:rsidR="00A05E17" w:rsidRPr="008F7856">
        <w:rPr>
          <w:rFonts w:eastAsia="Times New Roman"/>
          <w:sz w:val="22"/>
          <w:szCs w:val="22"/>
        </w:rPr>
        <w:t xml:space="preserve"> </w:t>
      </w:r>
      <w:r w:rsidR="00A05E17" w:rsidRPr="008F7856">
        <w:rPr>
          <w:rFonts w:ascii="Times New Roman" w:eastAsia="Times New Roman" w:hAnsi="Times New Roman" w:cs="Times New Roman"/>
          <w:b/>
          <w:bCs/>
          <w:sz w:val="22"/>
          <w:szCs w:val="22"/>
        </w:rPr>
        <w:t>AND DISCUSSION</w:t>
      </w:r>
    </w:p>
    <w:p w:rsidR="00DA2417" w:rsidRPr="00E3763F" w:rsidRDefault="00DA2417"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The present study aims to identify lignocellulose degrading bacteria from the guts of mole crickets</w:t>
      </w:r>
    </w:p>
    <w:p w:rsidR="00901675" w:rsidRPr="00E3763F" w:rsidRDefault="00901675" w:rsidP="00E3763F">
      <w:pPr>
        <w:spacing w:line="276" w:lineRule="auto"/>
        <w:jc w:val="both"/>
        <w:rPr>
          <w:rFonts w:ascii="Times New Roman" w:hAnsi="Times New Roman" w:cs="Times New Roman"/>
          <w:noProof/>
          <w:sz w:val="20"/>
          <w:szCs w:val="20"/>
        </w:rPr>
      </w:pPr>
      <w:r w:rsidRPr="00E3763F">
        <w:rPr>
          <w:rFonts w:ascii="Times New Roman" w:hAnsi="Times New Roman" w:cs="Times New Roman"/>
          <w:sz w:val="20"/>
          <w:szCs w:val="20"/>
        </w:rPr>
        <w:t>Bacterial colonies capable of utilizing lignocellulose as sole source of carbon were isolated and pour plate into fresh CMC media to obtain pure culture.</w:t>
      </w:r>
      <w:r w:rsidR="005F48CC" w:rsidRPr="00E3763F">
        <w:rPr>
          <w:rFonts w:ascii="Times New Roman" w:hAnsi="Times New Roman" w:cs="Times New Roman"/>
          <w:sz w:val="20"/>
          <w:szCs w:val="20"/>
        </w:rPr>
        <w:t xml:space="preserve"> </w:t>
      </w:r>
      <w:r w:rsidRPr="00E3763F">
        <w:rPr>
          <w:rFonts w:ascii="Times New Roman" w:hAnsi="Times New Roman" w:cs="Times New Roman"/>
          <w:sz w:val="20"/>
          <w:szCs w:val="20"/>
        </w:rPr>
        <w:t xml:space="preserve"> </w:t>
      </w:r>
      <w:r w:rsidRPr="00E3763F">
        <w:rPr>
          <w:rFonts w:ascii="Times New Roman" w:hAnsi="Times New Roman" w:cs="Times New Roman"/>
          <w:noProof/>
          <w:sz w:val="20"/>
          <w:szCs w:val="20"/>
        </w:rPr>
        <w:t xml:space="preserve">The use of CMC specialized media as an indicator for lignocellulose degradation in an agar medium provides the basis for a rapid and sensitive screening test for lignocellulosic  bacteria. </w:t>
      </w:r>
    </w:p>
    <w:p w:rsidR="00246DD1" w:rsidRPr="00E3763F" w:rsidRDefault="00901675"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noProof/>
          <w:sz w:val="20"/>
          <w:szCs w:val="20"/>
        </w:rPr>
        <w:t>Colonies showing discoloration on CMC media are taken as positive lignocellulose-degrading bacterial colonies.</w:t>
      </w:r>
      <w:r w:rsidR="005F48CC" w:rsidRPr="00E3763F">
        <w:rPr>
          <w:rFonts w:ascii="Times New Roman" w:hAnsi="Times New Roman" w:cs="Times New Roman"/>
          <w:sz w:val="20"/>
          <w:szCs w:val="20"/>
        </w:rPr>
        <w:t xml:space="preserve">                                                                                 </w:t>
      </w:r>
    </w:p>
    <w:p w:rsidR="00246DD1" w:rsidRPr="00E3763F" w:rsidRDefault="00E648DF" w:rsidP="00E3763F">
      <w:pPr>
        <w:spacing w:after="0" w:line="276" w:lineRule="auto"/>
        <w:ind w:firstLine="720"/>
        <w:jc w:val="both"/>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Text Box 3" o:spid="_x0000_s1026" type="#_x0000_t202" style="position:absolute;left:0;text-align:left;margin-left:291.75pt;margin-top:93.25pt;width:22.55pt;height:24.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" fillcolor="white [3201]" strokeweight=".5pt">
            <v:textbox>
              <w:txbxContent>
                <w:p w:rsidR="004E0B06" w:rsidRDefault="004E0B06">
                  <w:r>
                    <w:t>b</w:t>
                  </w:r>
                </w:p>
              </w:txbxContent>
            </v:textbox>
          </v:shape>
        </w:pict>
      </w:r>
      <w:r>
        <w:rPr>
          <w:rFonts w:ascii="Times New Roman" w:hAnsi="Times New Roman" w:cs="Times New Roman"/>
          <w:noProof/>
          <w:sz w:val="20"/>
          <w:szCs w:val="20"/>
        </w:rPr>
        <w:pict>
          <v:shape id="Text Box 1" o:spid="_x0000_s1027" type="#_x0000_t202" style="position:absolute;left:0;text-align:left;margin-left:39.4pt;margin-top:93.8pt;width:1in;height:21.9pt;z-index:2516592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" fillcolor="white [3201]" stroked="f" strokeweight=".5pt">
            <v:textbox>
              <w:txbxContent>
                <w:p w:rsidR="00901675" w:rsidRPr="00C04CDC" w:rsidRDefault="00C04CDC">
                  <w:pPr>
                    <w:rPr>
                      <w:color w:val="000000" w:themeColor="text1"/>
                    </w:rPr>
                  </w:pPr>
                  <w:r>
                    <w:t>a</w:t>
                  </w:r>
                </w:p>
              </w:txbxContent>
            </v:textbox>
          </v:shape>
        </w:pict>
      </w:r>
      <w:r w:rsidR="00901675" w:rsidRPr="00E3763F">
        <w:rPr>
          <w:rFonts w:ascii="Times New Roman" w:hAnsi="Times New Roman" w:cs="Times New Roman"/>
          <w:noProof/>
          <w:sz w:val="20"/>
          <w:szCs w:val="20"/>
        </w:rPr>
        <w:drawing>
          <wp:inline distT="0" distB="0" distL="0" distR="0">
            <wp:extent cx="2413400" cy="1742440"/>
            <wp:effectExtent l="0" t="0" r="6350" b="0"/>
            <wp:docPr id="21" name="Picture 10" descr="E:\BlackBerry\pictures\20160802_11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lackBerry\pictures\20160802_11561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3943" cy="1786151"/>
                    </a:xfrm>
                    <a:prstGeom prst="rect">
                      <a:avLst/>
                    </a:prstGeom>
                    <a:noFill/>
                    <a:ln w="9525">
                      <a:noFill/>
                      <a:miter lim="800000"/>
                      <a:headEnd/>
                      <a:tailEnd/>
                    </a:ln>
                  </pic:spPr>
                </pic:pic>
              </a:graphicData>
            </a:graphic>
          </wp:inline>
        </w:drawing>
      </w:r>
      <w:r w:rsidR="00A572AC" w:rsidRPr="00E3763F">
        <w:rPr>
          <w:rFonts w:ascii="Times New Roman" w:hAnsi="Times New Roman" w:cs="Times New Roman"/>
          <w:sz w:val="20"/>
          <w:szCs w:val="20"/>
        </w:rPr>
        <w:t xml:space="preserve">                            </w:t>
      </w:r>
      <w:r w:rsidR="00A572AC" w:rsidRPr="00E3763F">
        <w:rPr>
          <w:rFonts w:ascii="Times New Roman" w:hAnsi="Times New Roman" w:cs="Times New Roman"/>
          <w:noProof/>
          <w:sz w:val="20"/>
          <w:szCs w:val="20"/>
        </w:rPr>
        <w:drawing>
          <wp:inline distT="0" distB="0" distL="0" distR="0">
            <wp:extent cx="2327082" cy="1699743"/>
            <wp:effectExtent l="0" t="0" r="0" b="0"/>
            <wp:docPr id="36" name="Picture 9" descr="E:\BlackBerry\pictures\20160802_11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lackBerry\pictures\20160802_115708.jpg"/>
                    <pic:cNvPicPr>
                      <a:picLocks noChangeAspect="1" noChangeArrowheads="1"/>
                    </pic:cNvPicPr>
                  </pic:nvPicPr>
                  <pic:blipFill>
                    <a:blip r:embed="rId9" cstate="print"/>
                    <a:srcRect/>
                    <a:stretch>
                      <a:fillRect/>
                    </a:stretch>
                  </pic:blipFill>
                  <pic:spPr bwMode="auto">
                    <a:xfrm>
                      <a:off x="0" y="0"/>
                      <a:ext cx="2334748" cy="1705343"/>
                    </a:xfrm>
                    <a:prstGeom prst="rect">
                      <a:avLst/>
                    </a:prstGeom>
                    <a:noFill/>
                    <a:ln w="9525">
                      <a:noFill/>
                      <a:miter lim="800000"/>
                      <a:headEnd/>
                      <a:tailEnd/>
                    </a:ln>
                  </pic:spPr>
                </pic:pic>
              </a:graphicData>
            </a:graphic>
          </wp:inline>
        </w:drawing>
      </w:r>
    </w:p>
    <w:p w:rsidR="00193EDB" w:rsidRPr="00E3763F" w:rsidRDefault="00DA2417" w:rsidP="00FD1B45">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        Figure 1 a; female</w:t>
      </w:r>
      <w:r w:rsidR="004E0B06" w:rsidRPr="00E3763F">
        <w:rPr>
          <w:rFonts w:ascii="Times New Roman" w:hAnsi="Times New Roman" w:cs="Times New Roman"/>
          <w:sz w:val="20"/>
          <w:szCs w:val="20"/>
        </w:rPr>
        <w:t xml:space="preserve">, b; male Isolates of female </w:t>
      </w:r>
      <w:r w:rsidR="006D6FB3" w:rsidRPr="00E3763F">
        <w:rPr>
          <w:rFonts w:ascii="Times New Roman" w:hAnsi="Times New Roman" w:cs="Times New Roman"/>
          <w:sz w:val="20"/>
          <w:szCs w:val="20"/>
        </w:rPr>
        <w:t xml:space="preserve">and male </w:t>
      </w:r>
      <w:r w:rsidR="004E0B06" w:rsidRPr="00E3763F">
        <w:rPr>
          <w:rFonts w:ascii="Times New Roman" w:hAnsi="Times New Roman" w:cs="Times New Roman"/>
          <w:sz w:val="20"/>
          <w:szCs w:val="20"/>
        </w:rPr>
        <w:t>cricket</w:t>
      </w:r>
      <w:r w:rsidR="006D6FB3" w:rsidRPr="00E3763F">
        <w:rPr>
          <w:rFonts w:ascii="Times New Roman" w:hAnsi="Times New Roman" w:cs="Times New Roman"/>
          <w:sz w:val="20"/>
          <w:szCs w:val="20"/>
        </w:rPr>
        <w:t>s</w:t>
      </w:r>
      <w:r w:rsidR="004E0B06" w:rsidRPr="00E3763F">
        <w:rPr>
          <w:rFonts w:ascii="Times New Roman" w:hAnsi="Times New Roman" w:cs="Times New Roman"/>
          <w:sz w:val="20"/>
          <w:szCs w:val="20"/>
        </w:rPr>
        <w:t xml:space="preserve"> gut sub cultured on CMC media-</w:t>
      </w:r>
      <w:r w:rsidR="004E0B06" w:rsidRPr="00E3763F">
        <w:rPr>
          <w:rFonts w:ascii="Times New Roman" w:hAnsi="Times New Roman" w:cs="Times New Roman"/>
          <w:noProof/>
          <w:sz w:val="20"/>
          <w:szCs w:val="20"/>
        </w:rPr>
        <w:t xml:space="preserve"> isolates </w:t>
      </w:r>
      <w:r w:rsidRPr="00E3763F">
        <w:rPr>
          <w:rFonts w:ascii="Times New Roman" w:hAnsi="Times New Roman" w:cs="Times New Roman"/>
          <w:noProof/>
          <w:sz w:val="20"/>
          <w:szCs w:val="20"/>
        </w:rPr>
        <w:t xml:space="preserve">   </w:t>
      </w:r>
      <w:r w:rsidR="004E0B06" w:rsidRPr="00E3763F">
        <w:rPr>
          <w:rFonts w:ascii="Times New Roman" w:hAnsi="Times New Roman" w:cs="Times New Roman"/>
          <w:noProof/>
          <w:sz w:val="20"/>
          <w:szCs w:val="20"/>
        </w:rPr>
        <w:t>show</w:t>
      </w:r>
      <w:r w:rsidRPr="00E3763F">
        <w:rPr>
          <w:rFonts w:ascii="Times New Roman" w:hAnsi="Times New Roman" w:cs="Times New Roman"/>
          <w:noProof/>
          <w:sz w:val="20"/>
          <w:szCs w:val="20"/>
        </w:rPr>
        <w:t>ed</w:t>
      </w:r>
      <w:r w:rsidR="004E0B06" w:rsidRPr="00E3763F">
        <w:rPr>
          <w:rFonts w:ascii="Times New Roman" w:hAnsi="Times New Roman" w:cs="Times New Roman"/>
          <w:noProof/>
          <w:sz w:val="20"/>
          <w:szCs w:val="20"/>
        </w:rPr>
        <w:t xml:space="preserve"> </w:t>
      </w:r>
      <w:commentRangeStart w:id="9"/>
      <w:r w:rsidR="004E0B06" w:rsidRPr="00E3763F">
        <w:rPr>
          <w:rFonts w:ascii="Times New Roman" w:hAnsi="Times New Roman" w:cs="Times New Roman"/>
          <w:noProof/>
          <w:sz w:val="20"/>
          <w:szCs w:val="20"/>
        </w:rPr>
        <w:t xml:space="preserve">discoloration </w:t>
      </w:r>
      <w:commentRangeEnd w:id="9"/>
      <w:r w:rsidR="002D2A32">
        <w:rPr>
          <w:rStyle w:val="CommentReference"/>
        </w:rPr>
        <w:commentReference w:id="9"/>
      </w:r>
      <w:r w:rsidR="004E0B06" w:rsidRPr="00E3763F">
        <w:rPr>
          <w:rFonts w:ascii="Times New Roman" w:hAnsi="Times New Roman" w:cs="Times New Roman"/>
          <w:noProof/>
          <w:sz w:val="20"/>
          <w:szCs w:val="20"/>
        </w:rPr>
        <w:t>indicating that</w:t>
      </w:r>
      <w:r w:rsidRPr="00E3763F">
        <w:rPr>
          <w:rFonts w:ascii="Times New Roman" w:hAnsi="Times New Roman" w:cs="Times New Roman"/>
          <w:noProof/>
          <w:sz w:val="20"/>
          <w:szCs w:val="20"/>
        </w:rPr>
        <w:t xml:space="preserve"> the</w:t>
      </w:r>
      <w:r w:rsidR="004E0B06" w:rsidRPr="00E3763F">
        <w:rPr>
          <w:rFonts w:ascii="Times New Roman" w:hAnsi="Times New Roman" w:cs="Times New Roman"/>
          <w:noProof/>
          <w:sz w:val="20"/>
          <w:szCs w:val="20"/>
        </w:rPr>
        <w:t xml:space="preserve"> bacteria use</w:t>
      </w:r>
      <w:r w:rsidRPr="00E3763F">
        <w:rPr>
          <w:rFonts w:ascii="Times New Roman" w:hAnsi="Times New Roman" w:cs="Times New Roman"/>
          <w:noProof/>
          <w:sz w:val="20"/>
          <w:szCs w:val="20"/>
        </w:rPr>
        <w:t>d</w:t>
      </w:r>
      <w:r w:rsidR="004E0B06" w:rsidRPr="00E3763F">
        <w:rPr>
          <w:rFonts w:ascii="Times New Roman" w:hAnsi="Times New Roman" w:cs="Times New Roman"/>
          <w:noProof/>
          <w:sz w:val="20"/>
          <w:szCs w:val="20"/>
        </w:rPr>
        <w:t xml:space="preserve"> cellulose as the only source of carbon.</w:t>
      </w:r>
      <w:r w:rsidR="004E0B06" w:rsidRPr="00E3763F">
        <w:rPr>
          <w:rFonts w:ascii="Times New Roman" w:hAnsi="Times New Roman" w:cs="Times New Roman"/>
          <w:sz w:val="20"/>
          <w:szCs w:val="20"/>
        </w:rPr>
        <w:t xml:space="preserve"> </w:t>
      </w:r>
    </w:p>
    <w:p w:rsidR="00FD1B45" w:rsidRDefault="00FD1B45" w:rsidP="00E3763F">
      <w:pPr>
        <w:spacing w:line="276" w:lineRule="auto"/>
        <w:ind w:left="720"/>
        <w:jc w:val="both"/>
        <w:rPr>
          <w:rFonts w:ascii="Times New Roman" w:hAnsi="Times New Roman" w:cs="Times New Roman"/>
          <w:sz w:val="20"/>
          <w:szCs w:val="20"/>
        </w:rPr>
      </w:pPr>
    </w:p>
    <w:p w:rsidR="00042BA9" w:rsidRPr="00E3763F" w:rsidRDefault="00DA2417" w:rsidP="00E3763F">
      <w:pPr>
        <w:spacing w:line="276" w:lineRule="auto"/>
        <w:ind w:left="720"/>
        <w:jc w:val="both"/>
        <w:rPr>
          <w:rFonts w:ascii="Times New Roman" w:hAnsi="Times New Roman" w:cs="Times New Roman"/>
          <w:sz w:val="20"/>
          <w:szCs w:val="20"/>
        </w:rPr>
      </w:pPr>
      <w:r w:rsidRPr="00E3763F">
        <w:rPr>
          <w:rFonts w:ascii="Times New Roman" w:hAnsi="Times New Roman" w:cs="Times New Roman"/>
          <w:sz w:val="20"/>
          <w:szCs w:val="20"/>
        </w:rPr>
        <w:t xml:space="preserve">Biochemical analysis carried out indicated that the bacterial isolates contain </w:t>
      </w:r>
      <w:r w:rsidR="00465706" w:rsidRPr="00E3763F">
        <w:rPr>
          <w:rFonts w:ascii="Times New Roman" w:hAnsi="Times New Roman" w:cs="Times New Roman"/>
          <w:sz w:val="20"/>
          <w:szCs w:val="20"/>
        </w:rPr>
        <w:t>certain enzymes</w:t>
      </w:r>
      <w:r w:rsidRPr="00E3763F">
        <w:rPr>
          <w:rFonts w:ascii="Times New Roman" w:hAnsi="Times New Roman" w:cs="Times New Roman"/>
          <w:sz w:val="20"/>
          <w:szCs w:val="20"/>
        </w:rPr>
        <w:t xml:space="preserve"> that aid in the degradation of lignocellulose biomass. Blue turbid medium indicated the presence of enterobacter species and other bacteria (citrate test) because citrate is the only source of carbon that produces an alkaline reaction with a color change as seen in figure </w:t>
      </w:r>
      <w:r w:rsidR="00BA1FDD" w:rsidRPr="00E3763F">
        <w:rPr>
          <w:rFonts w:ascii="Times New Roman" w:hAnsi="Times New Roman" w:cs="Times New Roman"/>
          <w:sz w:val="20"/>
          <w:szCs w:val="20"/>
        </w:rPr>
        <w:t>2.</w:t>
      </w:r>
      <w:r w:rsidRPr="00E3763F">
        <w:rPr>
          <w:rFonts w:ascii="Times New Roman" w:hAnsi="Times New Roman" w:cs="Times New Roman"/>
          <w:sz w:val="20"/>
          <w:szCs w:val="20"/>
        </w:rPr>
        <w:t xml:space="preserve"> Deep purple color on reagent paper showed the presence of oxidase enzyme and </w:t>
      </w:r>
      <w:r w:rsidRPr="00E3763F">
        <w:rPr>
          <w:rFonts w:ascii="Times New Roman" w:hAnsi="Times New Roman" w:cs="Times New Roman"/>
          <w:i/>
          <w:sz w:val="20"/>
          <w:szCs w:val="20"/>
        </w:rPr>
        <w:t>pseudomonas species,</w:t>
      </w:r>
      <w:r w:rsidRPr="00E3763F">
        <w:rPr>
          <w:rFonts w:ascii="Times New Roman" w:hAnsi="Times New Roman" w:cs="Times New Roman"/>
          <w:sz w:val="20"/>
          <w:szCs w:val="20"/>
        </w:rPr>
        <w:t xml:space="preserve"> </w:t>
      </w:r>
      <w:r w:rsidRPr="00E3763F">
        <w:rPr>
          <w:rFonts w:ascii="Times New Roman" w:hAnsi="Times New Roman" w:cs="Times New Roman"/>
          <w:i/>
          <w:sz w:val="20"/>
          <w:szCs w:val="20"/>
        </w:rPr>
        <w:t>Neisseria pasteurella sp</w:t>
      </w:r>
      <w:r w:rsidRPr="00E3763F">
        <w:rPr>
          <w:rFonts w:ascii="Times New Roman" w:hAnsi="Times New Roman" w:cs="Times New Roman"/>
          <w:sz w:val="20"/>
          <w:szCs w:val="20"/>
        </w:rPr>
        <w:t>.</w:t>
      </w:r>
    </w:p>
    <w:p w:rsidR="00042BA9" w:rsidRPr="00E3763F" w:rsidRDefault="00042BA9" w:rsidP="00E3763F">
      <w:pPr>
        <w:spacing w:line="276" w:lineRule="auto"/>
        <w:ind w:left="720"/>
        <w:jc w:val="both"/>
        <w:rPr>
          <w:rFonts w:ascii="Times New Roman" w:hAnsi="Times New Roman" w:cs="Times New Roman"/>
          <w:noProof/>
          <w:sz w:val="20"/>
          <w:szCs w:val="20"/>
        </w:rPr>
      </w:pPr>
      <w:r w:rsidRPr="00E3763F">
        <w:rPr>
          <w:rFonts w:ascii="Times New Roman" w:hAnsi="Times New Roman" w:cs="Times New Roman"/>
          <w:sz w:val="20"/>
          <w:szCs w:val="20"/>
        </w:rPr>
        <w:t>The representation of the bacterial isolates showed migration band at different distance from the well during agarose gel electrophoresis as seen in figure 4</w:t>
      </w:r>
    </w:p>
    <w:p w:rsidR="00DA2417" w:rsidRPr="00E3763F" w:rsidRDefault="00DA2417" w:rsidP="00E3763F">
      <w:pPr>
        <w:spacing w:line="276" w:lineRule="auto"/>
        <w:ind w:left="720"/>
        <w:jc w:val="both"/>
        <w:rPr>
          <w:rFonts w:ascii="Times New Roman" w:hAnsi="Times New Roman" w:cs="Times New Roman"/>
          <w:sz w:val="20"/>
          <w:szCs w:val="20"/>
        </w:rPr>
      </w:pPr>
      <w:r w:rsidRPr="00E3763F">
        <w:rPr>
          <w:rFonts w:ascii="Times New Roman" w:hAnsi="Times New Roman" w:cs="Times New Roman"/>
          <w:sz w:val="20"/>
          <w:szCs w:val="20"/>
        </w:rPr>
        <w:lastRenderedPageBreak/>
        <w:t xml:space="preserve"> </w:t>
      </w:r>
    </w:p>
    <w:p w:rsidR="002D42FF" w:rsidRPr="00E3763F" w:rsidRDefault="002D42FF" w:rsidP="00E3763F">
      <w:pPr>
        <w:spacing w:line="276" w:lineRule="auto"/>
        <w:ind w:left="720"/>
        <w:jc w:val="both"/>
        <w:rPr>
          <w:rFonts w:ascii="Times New Roman" w:hAnsi="Times New Roman" w:cs="Times New Roman"/>
          <w:sz w:val="20"/>
          <w:szCs w:val="20"/>
        </w:rPr>
      </w:pPr>
    </w:p>
    <w:p w:rsidR="002D42FF" w:rsidRPr="00E3763F" w:rsidRDefault="002D42FF" w:rsidP="00E3763F">
      <w:pPr>
        <w:spacing w:line="276" w:lineRule="auto"/>
        <w:jc w:val="both"/>
        <w:rPr>
          <w:rFonts w:ascii="Times New Roman" w:hAnsi="Times New Roman" w:cs="Times New Roman"/>
          <w:sz w:val="20"/>
          <w:szCs w:val="20"/>
        </w:rPr>
      </w:pPr>
      <w:r w:rsidRPr="00E3763F">
        <w:rPr>
          <w:rFonts w:ascii="Times New Roman" w:hAnsi="Times New Roman" w:cs="Times New Roman"/>
          <w:noProof/>
          <w:sz w:val="20"/>
          <w:szCs w:val="20"/>
        </w:rPr>
        <w:drawing>
          <wp:inline distT="0" distB="0" distL="0" distR="0">
            <wp:extent cx="4818490" cy="2726690"/>
            <wp:effectExtent l="0" t="0" r="1270" b="0"/>
            <wp:docPr id="13" name="Picture 7" descr="E:\BlackBerry\pictures\20160816_1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lackBerry\pictures\20160816_114014.jpg"/>
                    <pic:cNvPicPr>
                      <a:picLocks noChangeAspect="1" noChangeArrowheads="1"/>
                    </pic:cNvPicPr>
                  </pic:nvPicPr>
                  <pic:blipFill>
                    <a:blip r:embed="rId10" cstate="print"/>
                    <a:srcRect/>
                    <a:stretch>
                      <a:fillRect/>
                    </a:stretch>
                  </pic:blipFill>
                  <pic:spPr bwMode="auto">
                    <a:xfrm>
                      <a:off x="0" y="0"/>
                      <a:ext cx="4830303" cy="2733375"/>
                    </a:xfrm>
                    <a:prstGeom prst="rect">
                      <a:avLst/>
                    </a:prstGeom>
                    <a:noFill/>
                    <a:ln w="9525">
                      <a:noFill/>
                      <a:miter lim="800000"/>
                      <a:headEnd/>
                      <a:tailEnd/>
                    </a:ln>
                  </pic:spPr>
                </pic:pic>
              </a:graphicData>
            </a:graphic>
          </wp:inline>
        </w:drawing>
      </w:r>
    </w:p>
    <w:p w:rsidR="002D42FF" w:rsidRPr="00E3763F" w:rsidRDefault="002D42FF" w:rsidP="00FD1B45">
      <w:pPr>
        <w:spacing w:line="276" w:lineRule="auto"/>
        <w:ind w:firstLine="720"/>
        <w:jc w:val="both"/>
        <w:rPr>
          <w:rFonts w:ascii="Times New Roman" w:hAnsi="Times New Roman" w:cs="Times New Roman"/>
          <w:noProof/>
          <w:sz w:val="20"/>
          <w:szCs w:val="20"/>
        </w:rPr>
      </w:pPr>
      <w:r w:rsidRPr="00E3763F">
        <w:rPr>
          <w:rFonts w:ascii="Times New Roman" w:hAnsi="Times New Roman" w:cs="Times New Roman"/>
          <w:noProof/>
          <w:sz w:val="20"/>
          <w:szCs w:val="20"/>
        </w:rPr>
        <w:t>Figure 2</w:t>
      </w:r>
      <w:r w:rsidR="00FD1B45">
        <w:rPr>
          <w:rFonts w:ascii="Times New Roman" w:hAnsi="Times New Roman" w:cs="Times New Roman"/>
          <w:noProof/>
          <w:sz w:val="20"/>
          <w:szCs w:val="20"/>
        </w:rPr>
        <w:t xml:space="preserve"> .</w:t>
      </w:r>
      <w:r w:rsidRPr="00E3763F">
        <w:rPr>
          <w:rFonts w:ascii="Times New Roman" w:hAnsi="Times New Roman" w:cs="Times New Roman"/>
          <w:noProof/>
          <w:sz w:val="20"/>
          <w:szCs w:val="20"/>
        </w:rPr>
        <w:t xml:space="preserve">pink </w:t>
      </w:r>
      <w:commentRangeStart w:id="10"/>
      <w:r w:rsidRPr="00E3763F">
        <w:rPr>
          <w:rFonts w:ascii="Times New Roman" w:hAnsi="Times New Roman" w:cs="Times New Roman"/>
          <w:noProof/>
          <w:sz w:val="20"/>
          <w:szCs w:val="20"/>
        </w:rPr>
        <w:t xml:space="preserve">color </w:t>
      </w:r>
      <w:commentRangeEnd w:id="10"/>
      <w:r w:rsidR="002D2A32">
        <w:rPr>
          <w:rStyle w:val="CommentReference"/>
        </w:rPr>
        <w:commentReference w:id="10"/>
      </w:r>
      <w:r w:rsidRPr="00E3763F">
        <w:rPr>
          <w:rFonts w:ascii="Times New Roman" w:hAnsi="Times New Roman" w:cs="Times New Roman"/>
          <w:noProof/>
          <w:sz w:val="20"/>
          <w:szCs w:val="20"/>
        </w:rPr>
        <w:t>change:urease positive, 2b blue and turbid color: citrate posive.</w:t>
      </w:r>
    </w:p>
    <w:p w:rsidR="002D42FF" w:rsidRPr="00E3763F" w:rsidRDefault="002D42FF" w:rsidP="00E3763F">
      <w:pPr>
        <w:spacing w:line="276" w:lineRule="auto"/>
        <w:ind w:firstLine="720"/>
        <w:jc w:val="both"/>
        <w:rPr>
          <w:rFonts w:ascii="Times New Roman" w:hAnsi="Times New Roman" w:cs="Times New Roman"/>
          <w:noProof/>
          <w:sz w:val="20"/>
          <w:szCs w:val="20"/>
        </w:rPr>
      </w:pPr>
    </w:p>
    <w:p w:rsidR="002D42FF" w:rsidRPr="00E3763F" w:rsidRDefault="002D42FF" w:rsidP="00E3763F">
      <w:pPr>
        <w:spacing w:line="276" w:lineRule="auto"/>
        <w:ind w:firstLine="720"/>
        <w:jc w:val="both"/>
        <w:rPr>
          <w:rFonts w:ascii="Times New Roman" w:hAnsi="Times New Roman" w:cs="Times New Roman"/>
          <w:noProof/>
          <w:sz w:val="20"/>
          <w:szCs w:val="20"/>
        </w:rPr>
      </w:pPr>
      <w:r w:rsidRPr="00E3763F">
        <w:rPr>
          <w:rFonts w:ascii="Times New Roman" w:hAnsi="Times New Roman" w:cs="Times New Roman"/>
          <w:noProof/>
          <w:sz w:val="20"/>
          <w:szCs w:val="20"/>
        </w:rPr>
        <w:drawing>
          <wp:inline distT="0" distB="0" distL="0" distR="0">
            <wp:extent cx="5009853" cy="2819789"/>
            <wp:effectExtent l="0" t="0" r="635" b="0"/>
            <wp:docPr id="18" name="Picture 12" descr="E:\BlackBerry\pictures\20160818_12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lackBerry\pictures\20160818_122114.jpg"/>
                    <pic:cNvPicPr>
                      <a:picLocks noChangeAspect="1" noChangeArrowheads="1"/>
                    </pic:cNvPicPr>
                  </pic:nvPicPr>
                  <pic:blipFill>
                    <a:blip r:embed="rId11" cstate="print"/>
                    <a:srcRect/>
                    <a:stretch>
                      <a:fillRect/>
                    </a:stretch>
                  </pic:blipFill>
                  <pic:spPr bwMode="auto">
                    <a:xfrm>
                      <a:off x="0" y="0"/>
                      <a:ext cx="5017870" cy="2824302"/>
                    </a:xfrm>
                    <a:prstGeom prst="rect">
                      <a:avLst/>
                    </a:prstGeom>
                    <a:noFill/>
                    <a:ln w="9525">
                      <a:noFill/>
                      <a:miter lim="800000"/>
                      <a:headEnd/>
                      <a:tailEnd/>
                    </a:ln>
                  </pic:spPr>
                </pic:pic>
              </a:graphicData>
            </a:graphic>
          </wp:inline>
        </w:drawing>
      </w:r>
    </w:p>
    <w:p w:rsidR="002D42FF" w:rsidRPr="00E3763F" w:rsidRDefault="002D42FF"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      Figure 3 Urase positive</w:t>
      </w:r>
    </w:p>
    <w:p w:rsidR="002D42FF" w:rsidRPr="00E3763F" w:rsidRDefault="002D42FF" w:rsidP="00E3763F">
      <w:pPr>
        <w:spacing w:after="0" w:line="276" w:lineRule="auto"/>
        <w:jc w:val="both"/>
        <w:rPr>
          <w:rFonts w:ascii="Times New Roman" w:hAnsi="Times New Roman" w:cs="Times New Roman"/>
          <w:b/>
          <w:bCs/>
          <w:sz w:val="20"/>
          <w:szCs w:val="20"/>
        </w:rPr>
      </w:pPr>
    </w:p>
    <w:p w:rsidR="002D42FF" w:rsidRPr="00E3763F" w:rsidRDefault="00254D12" w:rsidP="00E3763F">
      <w:pPr>
        <w:spacing w:after="0" w:line="276" w:lineRule="auto"/>
        <w:jc w:val="both"/>
        <w:rPr>
          <w:rFonts w:ascii="Times New Roman" w:hAnsi="Times New Roman" w:cs="Times New Roman"/>
          <w:b/>
          <w:bCs/>
          <w:sz w:val="20"/>
          <w:szCs w:val="20"/>
        </w:rPr>
      </w:pPr>
      <w:r w:rsidRPr="00E3763F">
        <w:rPr>
          <w:rFonts w:ascii="Times New Roman" w:hAnsi="Times New Roman" w:cs="Times New Roman"/>
          <w:sz w:val="20"/>
          <w:szCs w:val="20"/>
        </w:rPr>
        <w:object w:dxaOrig="11747" w:dyaOrig="6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pt;height:244.25pt" o:ole="">
            <v:imagedata r:id="rId12" o:title=""/>
          </v:shape>
          <o:OLEObject Type="Embed" ProgID="CorelDRAW.Graphic.11" ShapeID="_x0000_i1025" DrawAspect="Content" ObjectID="_1824533729" r:id="rId13"/>
        </w:object>
      </w:r>
    </w:p>
    <w:p w:rsidR="002D42FF" w:rsidRDefault="002D42FF"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Figure 4</w:t>
      </w:r>
      <w:r w:rsidR="00F57E97" w:rsidRPr="00E3763F">
        <w:rPr>
          <w:rFonts w:ascii="Times New Roman" w:hAnsi="Times New Roman" w:cs="Times New Roman"/>
          <w:sz w:val="20"/>
          <w:szCs w:val="20"/>
        </w:rPr>
        <w:t xml:space="preserve"> </w:t>
      </w:r>
      <w:commentRangeStart w:id="11"/>
      <w:r w:rsidR="00F57E97" w:rsidRPr="00E3763F">
        <w:rPr>
          <w:rFonts w:ascii="Times New Roman" w:hAnsi="Times New Roman" w:cs="Times New Roman"/>
          <w:sz w:val="20"/>
          <w:szCs w:val="20"/>
        </w:rPr>
        <w:t xml:space="preserve">16S rRNA </w:t>
      </w:r>
      <w:commentRangeEnd w:id="11"/>
      <w:r w:rsidR="002D2A32">
        <w:rPr>
          <w:rStyle w:val="CommentReference"/>
        </w:rPr>
        <w:commentReference w:id="11"/>
      </w:r>
      <w:r w:rsidR="00F57E97" w:rsidRPr="00E3763F">
        <w:rPr>
          <w:rFonts w:ascii="Times New Roman" w:hAnsi="Times New Roman" w:cs="Times New Roman"/>
          <w:sz w:val="20"/>
          <w:szCs w:val="20"/>
        </w:rPr>
        <w:t>gene for selected samples of bacterial isolates</w:t>
      </w:r>
    </w:p>
    <w:p w:rsidR="00587428" w:rsidRPr="00E3763F" w:rsidRDefault="00587428" w:rsidP="00E3763F">
      <w:pPr>
        <w:spacing w:after="0" w:line="276" w:lineRule="auto"/>
        <w:jc w:val="both"/>
        <w:rPr>
          <w:rFonts w:ascii="Times New Roman" w:hAnsi="Times New Roman" w:cs="Times New Roman"/>
          <w:sz w:val="20"/>
          <w:szCs w:val="20"/>
        </w:rPr>
      </w:pPr>
    </w:p>
    <w:p w:rsidR="00FB3F20" w:rsidRPr="00E3763F" w:rsidRDefault="00FB3F20"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The representation of the bacterial isolates showed migration band at different distance from the well during agarose gel electrophoresis.</w:t>
      </w:r>
      <w:r w:rsidR="00F57E97" w:rsidRPr="00E3763F">
        <w:rPr>
          <w:rFonts w:ascii="Times New Roman" w:hAnsi="Times New Roman" w:cs="Times New Roman"/>
          <w:sz w:val="20"/>
          <w:szCs w:val="20"/>
        </w:rPr>
        <w:t xml:space="preserve"> T</w:t>
      </w:r>
      <w:r w:rsidRPr="00E3763F">
        <w:rPr>
          <w:rFonts w:ascii="Times New Roman" w:hAnsi="Times New Roman" w:cs="Times New Roman"/>
          <w:sz w:val="20"/>
          <w:szCs w:val="20"/>
        </w:rPr>
        <w:t xml:space="preserve">he horizontal bands represent isolates migration band while the vertical bands represent DNA ladder at 50kb each. </w:t>
      </w:r>
    </w:p>
    <w:p w:rsidR="00B62E70" w:rsidRDefault="00FB3F20" w:rsidP="00B62E70">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M3a------bacteria </w:t>
      </w:r>
      <w:r w:rsidR="005C2D25" w:rsidRPr="00E3763F">
        <w:rPr>
          <w:rFonts w:ascii="Times New Roman" w:hAnsi="Times New Roman" w:cs="Times New Roman"/>
          <w:sz w:val="20"/>
          <w:szCs w:val="20"/>
        </w:rPr>
        <w:t>isolate</w:t>
      </w:r>
      <w:r w:rsidRPr="00E3763F">
        <w:rPr>
          <w:rFonts w:ascii="Times New Roman" w:hAnsi="Times New Roman" w:cs="Times New Roman"/>
          <w:sz w:val="20"/>
          <w:szCs w:val="20"/>
        </w:rPr>
        <w:t xml:space="preserve"> from male cricket gut (group 3</w:t>
      </w:r>
      <w:r w:rsidR="00F57E97" w:rsidRPr="00E3763F">
        <w:rPr>
          <w:rFonts w:ascii="Times New Roman" w:hAnsi="Times New Roman" w:cs="Times New Roman"/>
          <w:sz w:val="20"/>
          <w:szCs w:val="20"/>
        </w:rPr>
        <w:t>), F</w:t>
      </w:r>
      <w:r w:rsidRPr="00E3763F">
        <w:rPr>
          <w:rFonts w:ascii="Times New Roman" w:hAnsi="Times New Roman" w:cs="Times New Roman"/>
          <w:sz w:val="20"/>
          <w:szCs w:val="20"/>
        </w:rPr>
        <w:t xml:space="preserve">1e------bacteria </w:t>
      </w:r>
      <w:r w:rsidR="005C2D25" w:rsidRPr="00E3763F">
        <w:rPr>
          <w:rFonts w:ascii="Times New Roman" w:hAnsi="Times New Roman" w:cs="Times New Roman"/>
          <w:sz w:val="20"/>
          <w:szCs w:val="20"/>
        </w:rPr>
        <w:t>isolate</w:t>
      </w:r>
      <w:r w:rsidRPr="00E3763F">
        <w:rPr>
          <w:rFonts w:ascii="Times New Roman" w:hAnsi="Times New Roman" w:cs="Times New Roman"/>
          <w:sz w:val="20"/>
          <w:szCs w:val="20"/>
        </w:rPr>
        <w:t xml:space="preserve"> from female cricket gut (group 1</w:t>
      </w:r>
      <w:r w:rsidR="00F57E97" w:rsidRPr="00E3763F">
        <w:rPr>
          <w:rFonts w:ascii="Times New Roman" w:hAnsi="Times New Roman" w:cs="Times New Roman"/>
          <w:sz w:val="20"/>
          <w:szCs w:val="20"/>
        </w:rPr>
        <w:t>), M</w:t>
      </w:r>
      <w:r w:rsidRPr="00E3763F">
        <w:rPr>
          <w:rFonts w:ascii="Times New Roman" w:hAnsi="Times New Roman" w:cs="Times New Roman"/>
          <w:sz w:val="20"/>
          <w:szCs w:val="20"/>
        </w:rPr>
        <w:t>1a-----bacteria isolate</w:t>
      </w:r>
      <w:r w:rsidR="00F57E97" w:rsidRPr="00E3763F">
        <w:rPr>
          <w:rFonts w:ascii="Times New Roman" w:hAnsi="Times New Roman" w:cs="Times New Roman"/>
          <w:sz w:val="20"/>
          <w:szCs w:val="20"/>
        </w:rPr>
        <w:t>s</w:t>
      </w:r>
      <w:r w:rsidRPr="00E3763F">
        <w:rPr>
          <w:rFonts w:ascii="Times New Roman" w:hAnsi="Times New Roman" w:cs="Times New Roman"/>
          <w:sz w:val="20"/>
          <w:szCs w:val="20"/>
        </w:rPr>
        <w:t xml:space="preserve"> from male cricket gut (group 1</w:t>
      </w:r>
      <w:r w:rsidR="00F57E97" w:rsidRPr="00E3763F">
        <w:rPr>
          <w:rFonts w:ascii="Times New Roman" w:hAnsi="Times New Roman" w:cs="Times New Roman"/>
          <w:sz w:val="20"/>
          <w:szCs w:val="20"/>
        </w:rPr>
        <w:t>), M</w:t>
      </w:r>
      <w:r w:rsidRPr="00E3763F">
        <w:rPr>
          <w:rFonts w:ascii="Times New Roman" w:hAnsi="Times New Roman" w:cs="Times New Roman"/>
          <w:sz w:val="20"/>
          <w:szCs w:val="20"/>
        </w:rPr>
        <w:t>3e-----bacteria isolates from male cricket gut (group 3</w:t>
      </w:r>
      <w:r w:rsidR="00F57E97" w:rsidRPr="00E3763F">
        <w:rPr>
          <w:rFonts w:ascii="Times New Roman" w:hAnsi="Times New Roman" w:cs="Times New Roman"/>
          <w:sz w:val="20"/>
          <w:szCs w:val="20"/>
        </w:rPr>
        <w:t>), F</w:t>
      </w:r>
      <w:r w:rsidRPr="00E3763F">
        <w:rPr>
          <w:rFonts w:ascii="Times New Roman" w:hAnsi="Times New Roman" w:cs="Times New Roman"/>
          <w:sz w:val="20"/>
          <w:szCs w:val="20"/>
        </w:rPr>
        <w:t>2a-----bacteria isolates from female cricket gut (group 2</w:t>
      </w: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B62E70">
      <w:pPr>
        <w:spacing w:after="0" w:line="276" w:lineRule="auto"/>
        <w:jc w:val="both"/>
        <w:rPr>
          <w:rFonts w:ascii="Times New Roman" w:hAnsi="Times New Roman" w:cs="Times New Roman"/>
          <w:sz w:val="20"/>
          <w:szCs w:val="20"/>
        </w:rPr>
      </w:pPr>
    </w:p>
    <w:p w:rsidR="00B62E70" w:rsidRDefault="00B62E70" w:rsidP="00E3763F">
      <w:pPr>
        <w:spacing w:after="0" w:line="276" w:lineRule="auto"/>
        <w:jc w:val="both"/>
        <w:rPr>
          <w:rFonts w:ascii="Times New Roman" w:hAnsi="Times New Roman" w:cs="Times New Roman"/>
          <w:b/>
          <w:bCs/>
          <w:sz w:val="20"/>
          <w:szCs w:val="20"/>
        </w:rPr>
      </w:pPr>
      <w:r w:rsidRPr="00E3763F">
        <w:rPr>
          <w:rFonts w:ascii="Times New Roman" w:hAnsi="Times New Roman" w:cs="Times New Roman"/>
          <w:noProof/>
          <w:sz w:val="20"/>
          <w:szCs w:val="20"/>
        </w:rPr>
        <w:lastRenderedPageBreak/>
        <w:drawing>
          <wp:anchor distT="0" distB="0" distL="114300" distR="114300" simplePos="0" relativeHeight="251661312" behindDoc="0" locked="0" layoutInCell="1" allowOverlap="1">
            <wp:simplePos x="0" y="0"/>
            <wp:positionH relativeFrom="column">
              <wp:posOffset>-149860</wp:posOffset>
            </wp:positionH>
            <wp:positionV relativeFrom="paragraph">
              <wp:posOffset>8255</wp:posOffset>
            </wp:positionV>
            <wp:extent cx="5227320" cy="3147060"/>
            <wp:effectExtent l="0" t="0" r="11430" b="15240"/>
            <wp:wrapSquare wrapText="bothSides"/>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FE1ED3" w:rsidRPr="00E3763F">
        <w:rPr>
          <w:rFonts w:ascii="Times New Roman" w:hAnsi="Times New Roman" w:cs="Times New Roman"/>
          <w:b/>
          <w:bCs/>
          <w:sz w:val="20"/>
          <w:szCs w:val="20"/>
        </w:rPr>
        <w:t xml:space="preserve"> </w:t>
      </w: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254D12" w:rsidRPr="00E3763F" w:rsidRDefault="00254D12"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Figure 5</w:t>
      </w:r>
      <w:r w:rsidR="00B62E70">
        <w:rPr>
          <w:rFonts w:ascii="Times New Roman" w:hAnsi="Times New Roman" w:cs="Times New Roman"/>
          <w:sz w:val="20"/>
          <w:szCs w:val="20"/>
        </w:rPr>
        <w:t xml:space="preserve"> Graphical representation of the amplicons</w:t>
      </w:r>
    </w:p>
    <w:p w:rsidR="002D42FF" w:rsidRPr="00E3763F" w:rsidRDefault="002D42FF" w:rsidP="00E3763F">
      <w:pPr>
        <w:spacing w:after="0" w:line="276" w:lineRule="auto"/>
        <w:jc w:val="both"/>
        <w:rPr>
          <w:rFonts w:ascii="Times New Roman" w:hAnsi="Times New Roman" w:cs="Times New Roman"/>
          <w:b/>
          <w:bCs/>
          <w:sz w:val="20"/>
          <w:szCs w:val="20"/>
        </w:rPr>
      </w:pPr>
    </w:p>
    <w:p w:rsidR="00DB2BEC" w:rsidRPr="00E3763F" w:rsidRDefault="00DB2BEC" w:rsidP="00E3763F">
      <w:pPr>
        <w:spacing w:after="0" w:line="276" w:lineRule="auto"/>
        <w:jc w:val="both"/>
        <w:rPr>
          <w:rFonts w:ascii="Times New Roman" w:hAnsi="Times New Roman" w:cs="Times New Roman"/>
          <w:b/>
          <w:bCs/>
          <w:sz w:val="20"/>
          <w:szCs w:val="20"/>
        </w:rPr>
      </w:pPr>
    </w:p>
    <w:p w:rsidR="00DB2BEC" w:rsidRPr="00E3763F" w:rsidRDefault="00DB2BEC"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sz w:val="20"/>
          <w:szCs w:val="20"/>
        </w:rPr>
      </w:pPr>
    </w:p>
    <w:p w:rsidR="00B62E70" w:rsidRDefault="00B62E70" w:rsidP="00E3763F">
      <w:pPr>
        <w:spacing w:after="0" w:line="276" w:lineRule="auto"/>
        <w:jc w:val="both"/>
        <w:rPr>
          <w:rFonts w:ascii="Times New Roman" w:hAnsi="Times New Roman" w:cs="Times New Roman"/>
          <w:sz w:val="20"/>
          <w:szCs w:val="20"/>
        </w:rPr>
      </w:pPr>
    </w:p>
    <w:p w:rsidR="00B62E70" w:rsidRDefault="00B62E70"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3568C4" w:rsidRDefault="003568C4" w:rsidP="00E3763F">
      <w:pPr>
        <w:spacing w:after="0" w:line="276" w:lineRule="auto"/>
        <w:jc w:val="both"/>
        <w:rPr>
          <w:rFonts w:ascii="Times New Roman" w:hAnsi="Times New Roman" w:cs="Times New Roman"/>
          <w:sz w:val="20"/>
          <w:szCs w:val="20"/>
        </w:rPr>
      </w:pPr>
    </w:p>
    <w:p w:rsidR="00B62E70" w:rsidRDefault="00B62E70" w:rsidP="00E3763F">
      <w:pPr>
        <w:spacing w:after="0" w:line="276" w:lineRule="auto"/>
        <w:jc w:val="both"/>
        <w:rPr>
          <w:rFonts w:ascii="Times New Roman" w:hAnsi="Times New Roman" w:cs="Times New Roman"/>
          <w:sz w:val="20"/>
          <w:szCs w:val="20"/>
        </w:rPr>
      </w:pPr>
    </w:p>
    <w:p w:rsidR="00B62E70" w:rsidRDefault="00B62E70" w:rsidP="00E3763F">
      <w:pPr>
        <w:spacing w:after="0" w:line="276" w:lineRule="auto"/>
        <w:jc w:val="both"/>
        <w:rPr>
          <w:rFonts w:ascii="Times New Roman" w:hAnsi="Times New Roman" w:cs="Times New Roman"/>
          <w:sz w:val="20"/>
          <w:szCs w:val="20"/>
        </w:rPr>
      </w:pPr>
    </w:p>
    <w:p w:rsidR="00B62E70" w:rsidRDefault="00B62E70" w:rsidP="00E3763F">
      <w:pPr>
        <w:spacing w:after="0" w:line="276" w:lineRule="auto"/>
        <w:jc w:val="both"/>
        <w:rPr>
          <w:rFonts w:ascii="Times New Roman" w:hAnsi="Times New Roman" w:cs="Times New Roman"/>
          <w:sz w:val="20"/>
          <w:szCs w:val="20"/>
        </w:rPr>
      </w:pPr>
    </w:p>
    <w:p w:rsidR="00B62E70" w:rsidRDefault="00B62E70" w:rsidP="00E3763F">
      <w:pPr>
        <w:spacing w:after="0" w:line="276" w:lineRule="auto"/>
        <w:jc w:val="both"/>
        <w:rPr>
          <w:rFonts w:ascii="Times New Roman" w:hAnsi="Times New Roman" w:cs="Times New Roman"/>
          <w:sz w:val="20"/>
          <w:szCs w:val="20"/>
        </w:rPr>
      </w:pPr>
    </w:p>
    <w:p w:rsidR="00B62E70" w:rsidRDefault="00B62E70" w:rsidP="00E3763F">
      <w:pPr>
        <w:spacing w:after="0" w:line="276" w:lineRule="auto"/>
        <w:jc w:val="both"/>
        <w:rPr>
          <w:rFonts w:ascii="Times New Roman" w:hAnsi="Times New Roman" w:cs="Times New Roman"/>
          <w:sz w:val="20"/>
          <w:szCs w:val="20"/>
        </w:rPr>
      </w:pPr>
    </w:p>
    <w:p w:rsidR="00DB2BEC" w:rsidRPr="00E3763F" w:rsidRDefault="00254D12"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object w:dxaOrig="12995" w:dyaOrig="9725">
          <v:shape id="_x0000_i1026" type="#_x0000_t75" style="width:362.1pt;height:233.65pt" o:ole="">
            <v:imagedata r:id="rId15" o:title=""/>
          </v:shape>
          <o:OLEObject Type="Embed" ProgID="CorelDRAW.Graphic.11" ShapeID="_x0000_i1026" DrawAspect="Content" ObjectID="_1824533730" r:id="rId16"/>
        </w:object>
      </w:r>
    </w:p>
    <w:p w:rsidR="00254D12" w:rsidRPr="00E3763F" w:rsidRDefault="00254D12" w:rsidP="00B62E70">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Figure 6 </w:t>
      </w:r>
      <w:r w:rsidR="00B62E70">
        <w:rPr>
          <w:rFonts w:ascii="Times New Roman" w:hAnsi="Times New Roman" w:cs="Times New Roman"/>
          <w:sz w:val="20"/>
          <w:szCs w:val="20"/>
        </w:rPr>
        <w:t xml:space="preserve">: </w:t>
      </w:r>
      <w:commentRangeStart w:id="12"/>
      <w:r w:rsidRPr="00E3763F">
        <w:rPr>
          <w:rFonts w:ascii="Times New Roman" w:hAnsi="Times New Roman" w:cs="Times New Roman"/>
          <w:sz w:val="20"/>
          <w:szCs w:val="20"/>
        </w:rPr>
        <w:t xml:space="preserve">Gyrase B gel </w:t>
      </w:r>
      <w:commentRangeEnd w:id="12"/>
      <w:r w:rsidR="002D2A32">
        <w:rPr>
          <w:rStyle w:val="CommentReference"/>
        </w:rPr>
        <w:commentReference w:id="12"/>
      </w:r>
      <w:r w:rsidRPr="00E3763F">
        <w:rPr>
          <w:rFonts w:ascii="Times New Roman" w:hAnsi="Times New Roman" w:cs="Times New Roman"/>
          <w:sz w:val="20"/>
          <w:szCs w:val="20"/>
        </w:rPr>
        <w:t xml:space="preserve">electrophoresis for selected bacteria isolates. </w:t>
      </w:r>
    </w:p>
    <w:p w:rsidR="00254D12" w:rsidRPr="00E3763F" w:rsidRDefault="00254D12" w:rsidP="00E3763F">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The bacterial isolates showed migration bands at different distance from the well during agarose gel electrophoresis. The size of the DNA ladder used was 50kb. </w:t>
      </w: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B62E70" w:rsidRDefault="00B62E70" w:rsidP="00E3763F">
      <w:pPr>
        <w:spacing w:after="0" w:line="276" w:lineRule="auto"/>
        <w:jc w:val="both"/>
        <w:rPr>
          <w:rFonts w:ascii="Times New Roman" w:hAnsi="Times New Roman" w:cs="Times New Roman"/>
          <w:b/>
          <w:bCs/>
          <w:sz w:val="20"/>
          <w:szCs w:val="20"/>
        </w:rPr>
      </w:pPr>
    </w:p>
    <w:p w:rsidR="003568C4" w:rsidRDefault="003568C4" w:rsidP="00E3763F">
      <w:pPr>
        <w:spacing w:after="0" w:line="276" w:lineRule="auto"/>
        <w:jc w:val="both"/>
        <w:rPr>
          <w:rFonts w:ascii="Times New Roman" w:hAnsi="Times New Roman" w:cs="Times New Roman"/>
          <w:b/>
          <w:bCs/>
          <w:sz w:val="20"/>
          <w:szCs w:val="20"/>
        </w:rPr>
      </w:pPr>
    </w:p>
    <w:p w:rsidR="00773AB7" w:rsidRPr="00E3763F" w:rsidRDefault="00773AB7" w:rsidP="003568C4">
      <w:pPr>
        <w:spacing w:line="276" w:lineRule="auto"/>
        <w:jc w:val="both"/>
        <w:rPr>
          <w:rFonts w:ascii="Times New Roman" w:hAnsi="Times New Roman" w:cs="Times New Roman"/>
          <w:sz w:val="20"/>
          <w:szCs w:val="20"/>
        </w:rPr>
      </w:pPr>
      <w:commentRangeStart w:id="13"/>
      <w:r w:rsidRPr="00E3763F">
        <w:rPr>
          <w:rFonts w:ascii="Times New Roman" w:hAnsi="Times New Roman" w:cs="Times New Roman"/>
          <w:bCs/>
          <w:sz w:val="20"/>
          <w:szCs w:val="20"/>
        </w:rPr>
        <w:lastRenderedPageBreak/>
        <w:t>Lignocellulose degrading bacteria were isolated from the gut of mole crickets obtained from a farm in leng (major porter) village of Barkin Ladi</w:t>
      </w:r>
      <w:r w:rsidR="005C2D25" w:rsidRPr="00E3763F">
        <w:rPr>
          <w:rFonts w:ascii="Times New Roman" w:hAnsi="Times New Roman" w:cs="Times New Roman"/>
          <w:bCs/>
          <w:sz w:val="20"/>
          <w:szCs w:val="20"/>
        </w:rPr>
        <w:t xml:space="preserve"> local government</w:t>
      </w:r>
      <w:r w:rsidRPr="00E3763F">
        <w:rPr>
          <w:rFonts w:ascii="Times New Roman" w:hAnsi="Times New Roman" w:cs="Times New Roman"/>
          <w:bCs/>
          <w:sz w:val="20"/>
          <w:szCs w:val="20"/>
        </w:rPr>
        <w:t xml:space="preserve">, </w:t>
      </w:r>
      <w:r w:rsidR="005C2D25" w:rsidRPr="00E3763F">
        <w:rPr>
          <w:rFonts w:ascii="Times New Roman" w:hAnsi="Times New Roman" w:cs="Times New Roman"/>
          <w:bCs/>
          <w:sz w:val="20"/>
          <w:szCs w:val="20"/>
        </w:rPr>
        <w:t>P</w:t>
      </w:r>
      <w:r w:rsidRPr="00E3763F">
        <w:rPr>
          <w:rFonts w:ascii="Times New Roman" w:hAnsi="Times New Roman" w:cs="Times New Roman"/>
          <w:bCs/>
          <w:sz w:val="20"/>
          <w:szCs w:val="20"/>
        </w:rPr>
        <w:t xml:space="preserve">lateau </w:t>
      </w:r>
      <w:r w:rsidR="005C2D25" w:rsidRPr="00E3763F">
        <w:rPr>
          <w:rFonts w:ascii="Times New Roman" w:hAnsi="Times New Roman" w:cs="Times New Roman"/>
          <w:bCs/>
          <w:sz w:val="20"/>
          <w:szCs w:val="20"/>
        </w:rPr>
        <w:t>S</w:t>
      </w:r>
      <w:r w:rsidRPr="00E3763F">
        <w:rPr>
          <w:rFonts w:ascii="Times New Roman" w:hAnsi="Times New Roman" w:cs="Times New Roman"/>
          <w:bCs/>
          <w:sz w:val="20"/>
          <w:szCs w:val="20"/>
        </w:rPr>
        <w:t>tate, Nigeria using nutrient agar (NA) media and carboxymethylcellulose (CMC) media for confirmation as shown in figure 1 and 2 respectively. Two morphologically distinct bacterial isolates were selected and named as F1e and F2a lignocellulose degrading bacteria.</w:t>
      </w:r>
      <w:commentRangeEnd w:id="13"/>
      <w:r w:rsidR="00027290">
        <w:rPr>
          <w:rStyle w:val="CommentReference"/>
        </w:rPr>
        <w:commentReference w:id="13"/>
      </w:r>
    </w:p>
    <w:p w:rsidR="00D73CAD" w:rsidRPr="00E3763F" w:rsidRDefault="00773AB7" w:rsidP="003568C4">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 xml:space="preserve">Microbial analysis of the isolates showed that certain bacteria species utilized </w:t>
      </w:r>
      <w:commentRangeStart w:id="14"/>
      <w:r w:rsidRPr="00E3763F">
        <w:rPr>
          <w:rFonts w:ascii="Times New Roman" w:hAnsi="Times New Roman" w:cs="Times New Roman"/>
          <w:bCs/>
          <w:sz w:val="20"/>
          <w:szCs w:val="20"/>
        </w:rPr>
        <w:t>carboxymethylcellulose</w:t>
      </w:r>
      <w:commentRangeEnd w:id="14"/>
      <w:r w:rsidR="00027290">
        <w:rPr>
          <w:rStyle w:val="CommentReference"/>
        </w:rPr>
        <w:commentReference w:id="14"/>
      </w:r>
      <w:r w:rsidRPr="00E3763F">
        <w:rPr>
          <w:rFonts w:ascii="Times New Roman" w:hAnsi="Times New Roman" w:cs="Times New Roman"/>
          <w:bCs/>
          <w:sz w:val="20"/>
          <w:szCs w:val="20"/>
        </w:rPr>
        <w:t xml:space="preserve"> as their carbon source.</w:t>
      </w:r>
      <w:r w:rsidR="002573E7" w:rsidRPr="00E3763F">
        <w:rPr>
          <w:rFonts w:ascii="Times New Roman" w:hAnsi="Times New Roman" w:cs="Times New Roman"/>
          <w:bCs/>
          <w:sz w:val="20"/>
          <w:szCs w:val="20"/>
        </w:rPr>
        <w:t xml:space="preserve"> Biochemical analysis of these isolates showed that certain enzymes are responsible for lignocellulose degradation by bacteria in the guts of mole crickets.</w:t>
      </w:r>
      <w:r w:rsidR="00D73CAD" w:rsidRPr="00E3763F">
        <w:rPr>
          <w:rFonts w:ascii="Times New Roman" w:hAnsi="Times New Roman" w:cs="Times New Roman"/>
          <w:bCs/>
          <w:sz w:val="20"/>
          <w:szCs w:val="20"/>
        </w:rPr>
        <w:t xml:space="preserve"> In the study, it showed that both male and female mole crickets contain the lignocellulose bacteria</w:t>
      </w:r>
      <w:r w:rsidR="00364ED8" w:rsidRPr="00E3763F">
        <w:rPr>
          <w:rFonts w:ascii="Times New Roman" w:hAnsi="Times New Roman" w:cs="Times New Roman"/>
          <w:bCs/>
          <w:sz w:val="20"/>
          <w:szCs w:val="20"/>
        </w:rPr>
        <w:t xml:space="preserve"> capable of degrading lignocellulose</w:t>
      </w:r>
      <w:r w:rsidR="00D73CAD" w:rsidRPr="00E3763F">
        <w:rPr>
          <w:rFonts w:ascii="Times New Roman" w:hAnsi="Times New Roman" w:cs="Times New Roman"/>
          <w:bCs/>
          <w:sz w:val="20"/>
          <w:szCs w:val="20"/>
        </w:rPr>
        <w:t>. The different discoloration demonstrates that all the isolates</w:t>
      </w:r>
      <w:r w:rsidR="008C284B" w:rsidRPr="00E3763F">
        <w:rPr>
          <w:rFonts w:ascii="Times New Roman" w:hAnsi="Times New Roman" w:cs="Times New Roman"/>
          <w:bCs/>
          <w:sz w:val="20"/>
          <w:szCs w:val="20"/>
        </w:rPr>
        <w:t xml:space="preserve"> contain certain bacteria </w:t>
      </w:r>
      <w:r w:rsidR="001A3E9F" w:rsidRPr="00E3763F">
        <w:rPr>
          <w:rFonts w:ascii="Times New Roman" w:hAnsi="Times New Roman" w:cs="Times New Roman"/>
          <w:bCs/>
          <w:sz w:val="20"/>
          <w:szCs w:val="20"/>
        </w:rPr>
        <w:t>with the</w:t>
      </w:r>
      <w:r w:rsidR="00D73CAD" w:rsidRPr="00E3763F">
        <w:rPr>
          <w:rFonts w:ascii="Times New Roman" w:hAnsi="Times New Roman" w:cs="Times New Roman"/>
          <w:bCs/>
          <w:sz w:val="20"/>
          <w:szCs w:val="20"/>
        </w:rPr>
        <w:t xml:space="preserve"> ability to degrade carboxymethylcellulose as their only source of carbon.</w:t>
      </w:r>
    </w:p>
    <w:p w:rsidR="00D73CAD" w:rsidRPr="00E3763F" w:rsidRDefault="00D73CAD" w:rsidP="003568C4">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 xml:space="preserve">This study is similar to the findings of Bugg </w:t>
      </w:r>
      <w:r w:rsidRPr="00E3763F">
        <w:rPr>
          <w:rFonts w:ascii="Times New Roman" w:hAnsi="Times New Roman" w:cs="Times New Roman"/>
          <w:bCs/>
          <w:i/>
          <w:sz w:val="20"/>
          <w:szCs w:val="20"/>
        </w:rPr>
        <w:t xml:space="preserve">et al., </w:t>
      </w:r>
      <w:r w:rsidRPr="00E3763F">
        <w:rPr>
          <w:rFonts w:ascii="Times New Roman" w:hAnsi="Times New Roman" w:cs="Times New Roman"/>
          <w:bCs/>
          <w:sz w:val="20"/>
          <w:szCs w:val="20"/>
        </w:rPr>
        <w:t xml:space="preserve">2011 who also observed that certain bacteria </w:t>
      </w:r>
      <w:r w:rsidR="0036748E" w:rsidRPr="00E3763F">
        <w:rPr>
          <w:rFonts w:ascii="Times New Roman" w:hAnsi="Times New Roman" w:cs="Times New Roman"/>
          <w:bCs/>
          <w:sz w:val="20"/>
          <w:szCs w:val="20"/>
        </w:rPr>
        <w:t>have</w:t>
      </w:r>
      <w:r w:rsidRPr="00E3763F">
        <w:rPr>
          <w:rFonts w:ascii="Times New Roman" w:hAnsi="Times New Roman" w:cs="Times New Roman"/>
          <w:bCs/>
          <w:sz w:val="20"/>
          <w:szCs w:val="20"/>
        </w:rPr>
        <w:t xml:space="preserve"> the ability to utilize</w:t>
      </w:r>
      <w:r w:rsidR="005C2D25" w:rsidRPr="00E3763F">
        <w:rPr>
          <w:rFonts w:ascii="Times New Roman" w:hAnsi="Times New Roman" w:cs="Times New Roman"/>
          <w:bCs/>
          <w:sz w:val="20"/>
          <w:szCs w:val="20"/>
        </w:rPr>
        <w:t xml:space="preserve"> carboxymethylcellulose.</w:t>
      </w:r>
    </w:p>
    <w:p w:rsidR="00773AB7" w:rsidRPr="00E3763F" w:rsidRDefault="00D73CAD" w:rsidP="00E3763F">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In the past studies, most of the bacterial isolate has been from soil with less lignocellulose degrading bacteria observed in comparison to the findings of Ramanathan </w:t>
      </w:r>
      <w:r w:rsidRPr="00E3763F">
        <w:rPr>
          <w:rFonts w:ascii="Times New Roman" w:hAnsi="Times New Roman" w:cs="Times New Roman"/>
          <w:i/>
          <w:sz w:val="20"/>
          <w:szCs w:val="20"/>
        </w:rPr>
        <w:t>et al</w:t>
      </w:r>
      <w:r w:rsidRPr="00E3763F">
        <w:rPr>
          <w:rFonts w:ascii="Times New Roman" w:hAnsi="Times New Roman" w:cs="Times New Roman"/>
          <w:sz w:val="20"/>
          <w:szCs w:val="20"/>
        </w:rPr>
        <w:t>, who observed comparatively large number of lignocellulose d</w:t>
      </w:r>
      <w:r w:rsidR="006F3D54" w:rsidRPr="00E3763F">
        <w:rPr>
          <w:rFonts w:ascii="Times New Roman" w:hAnsi="Times New Roman" w:cs="Times New Roman"/>
          <w:sz w:val="20"/>
          <w:szCs w:val="20"/>
        </w:rPr>
        <w:t>egra</w:t>
      </w:r>
      <w:r w:rsidRPr="00E3763F">
        <w:rPr>
          <w:rFonts w:ascii="Times New Roman" w:hAnsi="Times New Roman" w:cs="Times New Roman"/>
          <w:sz w:val="20"/>
          <w:szCs w:val="20"/>
        </w:rPr>
        <w:t xml:space="preserve">ding bacteria from sundarban mangroves of west Bengal, india. Behera </w:t>
      </w:r>
      <w:r w:rsidRPr="00E3763F">
        <w:rPr>
          <w:rFonts w:ascii="Times New Roman" w:hAnsi="Times New Roman" w:cs="Times New Roman"/>
          <w:i/>
          <w:sz w:val="20"/>
          <w:szCs w:val="20"/>
        </w:rPr>
        <w:t>et al</w:t>
      </w:r>
      <w:r w:rsidRPr="00E3763F">
        <w:rPr>
          <w:rFonts w:ascii="Times New Roman" w:hAnsi="Times New Roman" w:cs="Times New Roman"/>
          <w:sz w:val="20"/>
          <w:szCs w:val="20"/>
        </w:rPr>
        <w:t>, 2013.</w:t>
      </w:r>
    </w:p>
    <w:p w:rsidR="003568C4" w:rsidRDefault="00D73CAD" w:rsidP="003568C4">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This study is also similar to that of Behera </w:t>
      </w:r>
      <w:r w:rsidRPr="00E3763F">
        <w:rPr>
          <w:rFonts w:ascii="Times New Roman" w:hAnsi="Times New Roman" w:cs="Times New Roman"/>
          <w:i/>
          <w:sz w:val="20"/>
          <w:szCs w:val="20"/>
        </w:rPr>
        <w:t>et al</w:t>
      </w:r>
      <w:r w:rsidRPr="00E3763F">
        <w:rPr>
          <w:rFonts w:ascii="Times New Roman" w:hAnsi="Times New Roman" w:cs="Times New Roman"/>
          <w:sz w:val="20"/>
          <w:szCs w:val="20"/>
        </w:rPr>
        <w:t xml:space="preserve"> </w:t>
      </w:r>
      <w:r w:rsidR="008C284B" w:rsidRPr="00E3763F">
        <w:rPr>
          <w:rFonts w:ascii="Times New Roman" w:hAnsi="Times New Roman" w:cs="Times New Roman"/>
          <w:sz w:val="20"/>
          <w:szCs w:val="20"/>
        </w:rPr>
        <w:t xml:space="preserve">2013 </w:t>
      </w:r>
      <w:r w:rsidRPr="00E3763F">
        <w:rPr>
          <w:rFonts w:ascii="Times New Roman" w:hAnsi="Times New Roman" w:cs="Times New Roman"/>
          <w:sz w:val="20"/>
          <w:szCs w:val="20"/>
        </w:rPr>
        <w:t>who isolated 15 distinct cellulose degrading bacteria from mangrove soil of Mahanadi River delta and their cellulase production capacity using CMC agar medium, in the study, they observed that the clearing zone size and colony diameter of the isolates were measured when incubated aerobically at 37</w:t>
      </w:r>
      <w:r w:rsidRPr="00E3763F">
        <w:rPr>
          <w:rFonts w:ascii="Times New Roman" w:hAnsi="Times New Roman" w:cs="Times New Roman"/>
          <w:sz w:val="20"/>
          <w:szCs w:val="20"/>
          <w:vertAlign w:val="superscript"/>
        </w:rPr>
        <w:t>o</w:t>
      </w:r>
      <w:r w:rsidRPr="00E3763F">
        <w:rPr>
          <w:rFonts w:ascii="Times New Roman" w:hAnsi="Times New Roman" w:cs="Times New Roman"/>
          <w:sz w:val="20"/>
          <w:szCs w:val="20"/>
        </w:rPr>
        <w:t xml:space="preserve"> C, demonstrating that all the isolates have the ability to degrade carboxymethylcellulose.</w:t>
      </w:r>
    </w:p>
    <w:p w:rsidR="003568C4" w:rsidRDefault="003568C4" w:rsidP="003568C4">
      <w:pPr>
        <w:spacing w:after="0" w:line="276" w:lineRule="auto"/>
        <w:jc w:val="both"/>
        <w:rPr>
          <w:rFonts w:ascii="Times New Roman" w:hAnsi="Times New Roman" w:cs="Times New Roman"/>
          <w:sz w:val="20"/>
          <w:szCs w:val="20"/>
        </w:rPr>
      </w:pPr>
    </w:p>
    <w:p w:rsidR="00D73CAD" w:rsidRPr="003568C4" w:rsidRDefault="003568C4" w:rsidP="003568C4">
      <w:pPr>
        <w:spacing w:after="0" w:line="276" w:lineRule="auto"/>
        <w:jc w:val="both"/>
        <w:rPr>
          <w:rFonts w:ascii="Times New Roman" w:hAnsi="Times New Roman" w:cs="Times New Roman"/>
          <w:sz w:val="20"/>
          <w:szCs w:val="20"/>
        </w:rPr>
      </w:pPr>
      <w:r w:rsidRPr="003568C4">
        <w:rPr>
          <w:rFonts w:ascii="Times New Roman" w:hAnsi="Times New Roman" w:cs="Times New Roman"/>
          <w:b/>
          <w:bCs/>
          <w:sz w:val="20"/>
          <w:szCs w:val="20"/>
        </w:rPr>
        <w:t>5.0</w:t>
      </w:r>
      <w:r>
        <w:rPr>
          <w:rFonts w:ascii="Times New Roman" w:hAnsi="Times New Roman" w:cs="Times New Roman"/>
          <w:sz w:val="20"/>
          <w:szCs w:val="20"/>
        </w:rPr>
        <w:t xml:space="preserve"> </w:t>
      </w:r>
      <w:r w:rsidR="001A4F12" w:rsidRPr="00E3763F">
        <w:rPr>
          <w:rFonts w:ascii="Times New Roman" w:hAnsi="Times New Roman" w:cs="Times New Roman"/>
          <w:b/>
          <w:sz w:val="20"/>
          <w:szCs w:val="20"/>
        </w:rPr>
        <w:t>CONCLUSION</w:t>
      </w:r>
    </w:p>
    <w:p w:rsidR="001A4F12" w:rsidRPr="00E3763F" w:rsidRDefault="00CC68C9" w:rsidP="00E3763F">
      <w:pPr>
        <w:spacing w:line="276" w:lineRule="auto"/>
        <w:jc w:val="both"/>
        <w:rPr>
          <w:rFonts w:ascii="Times New Roman" w:hAnsi="Times New Roman" w:cs="Times New Roman"/>
          <w:b/>
          <w:sz w:val="20"/>
          <w:szCs w:val="20"/>
        </w:rPr>
      </w:pPr>
      <w:r w:rsidRPr="00E3763F">
        <w:rPr>
          <w:rFonts w:ascii="Times New Roman" w:hAnsi="Times New Roman" w:cs="Times New Roman"/>
          <w:bCs/>
          <w:sz w:val="20"/>
          <w:szCs w:val="20"/>
        </w:rPr>
        <w:t>From the study, it can be concluded that</w:t>
      </w:r>
      <w:r w:rsidR="00A4375B" w:rsidRPr="00E3763F">
        <w:rPr>
          <w:rFonts w:ascii="Times New Roman" w:hAnsi="Times New Roman" w:cs="Times New Roman"/>
          <w:bCs/>
          <w:sz w:val="20"/>
          <w:szCs w:val="20"/>
        </w:rPr>
        <w:t xml:space="preserve"> all </w:t>
      </w:r>
      <w:r w:rsidR="001A4F12" w:rsidRPr="00E3763F">
        <w:rPr>
          <w:rFonts w:ascii="Times New Roman" w:hAnsi="Times New Roman" w:cs="Times New Roman"/>
          <w:bCs/>
          <w:sz w:val="20"/>
          <w:szCs w:val="20"/>
        </w:rPr>
        <w:t>the lignocellulose degrading bacteria isolated from the gut of mole cricket could effectively degrade lignocellulose biomass which could probably help some molecular biologists and enzymologists study the potential of these bacteria in producing enzymes that are responsible for lignocellulose degradation.</w:t>
      </w:r>
    </w:p>
    <w:p w:rsidR="001A4F12" w:rsidRDefault="00D73CAD" w:rsidP="00E3763F">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The u</w:t>
      </w:r>
      <w:r w:rsidR="001A4F12" w:rsidRPr="00E3763F">
        <w:rPr>
          <w:rFonts w:ascii="Times New Roman" w:hAnsi="Times New Roman" w:cs="Times New Roman"/>
          <w:bCs/>
          <w:sz w:val="20"/>
          <w:szCs w:val="20"/>
        </w:rPr>
        <w:t>se of these lignocellulose degrading bacteria as bioinoculants can be incorporated to enhance organic matter decomposition in soil to increase fertili</w:t>
      </w:r>
      <w:r w:rsidR="005206F3" w:rsidRPr="00E3763F">
        <w:rPr>
          <w:rFonts w:ascii="Times New Roman" w:hAnsi="Times New Roman" w:cs="Times New Roman"/>
          <w:bCs/>
          <w:sz w:val="20"/>
          <w:szCs w:val="20"/>
        </w:rPr>
        <w:t>ty</w:t>
      </w:r>
      <w:r w:rsidR="001A4F12" w:rsidRPr="00E3763F">
        <w:rPr>
          <w:rFonts w:ascii="Times New Roman" w:hAnsi="Times New Roman" w:cs="Times New Roman"/>
          <w:bCs/>
          <w:sz w:val="20"/>
          <w:szCs w:val="20"/>
        </w:rPr>
        <w:t xml:space="preserve"> and minimize fertili</w:t>
      </w:r>
      <w:r w:rsidR="005206F3" w:rsidRPr="00E3763F">
        <w:rPr>
          <w:rFonts w:ascii="Times New Roman" w:hAnsi="Times New Roman" w:cs="Times New Roman"/>
          <w:bCs/>
          <w:sz w:val="20"/>
          <w:szCs w:val="20"/>
        </w:rPr>
        <w:t>zer</w:t>
      </w:r>
      <w:r w:rsidR="001A4F12" w:rsidRPr="00E3763F">
        <w:rPr>
          <w:rFonts w:ascii="Times New Roman" w:hAnsi="Times New Roman" w:cs="Times New Roman"/>
          <w:bCs/>
          <w:sz w:val="20"/>
          <w:szCs w:val="20"/>
        </w:rPr>
        <w:t xml:space="preserve"> application. They can also be applied to reduce environmental pollution and promotes sustainable agriculture.</w:t>
      </w:r>
    </w:p>
    <w:p w:rsidR="00ED0039" w:rsidRPr="00ED0039" w:rsidRDefault="00ED0039" w:rsidP="00ED0039">
      <w:pPr>
        <w:spacing w:line="276" w:lineRule="auto"/>
        <w:jc w:val="both"/>
        <w:rPr>
          <w:rFonts w:ascii="Times New Roman" w:hAnsi="Times New Roman" w:cs="Times New Roman"/>
          <w:b/>
          <w:sz w:val="20"/>
          <w:szCs w:val="20"/>
        </w:rPr>
      </w:pPr>
      <w:r w:rsidRPr="00ED0039">
        <w:rPr>
          <w:rFonts w:ascii="Times New Roman" w:hAnsi="Times New Roman" w:cs="Times New Roman"/>
          <w:b/>
          <w:sz w:val="20"/>
          <w:szCs w:val="20"/>
        </w:rPr>
        <w:t>ETHICAL CLEARANCE</w:t>
      </w:r>
    </w:p>
    <w:p w:rsidR="00ED0039" w:rsidRPr="003C2A76" w:rsidRDefault="00ED0039" w:rsidP="00ED0039">
      <w:pPr>
        <w:spacing w:after="0" w:line="240" w:lineRule="auto"/>
        <w:jc w:val="both"/>
        <w:rPr>
          <w:rFonts w:ascii="Arial" w:eastAsia="Times New Roman" w:hAnsi="Arial" w:cs="Arial"/>
          <w:color w:val="000000" w:themeColor="text1"/>
          <w:sz w:val="20"/>
          <w:szCs w:val="20"/>
        </w:rPr>
      </w:pPr>
      <w:r w:rsidRPr="003C2A76">
        <w:rPr>
          <w:rFonts w:ascii="Arial" w:eastAsia="DengXian" w:hAnsi="Arial" w:cs="Arial"/>
          <w:color w:val="000000" w:themeColor="text1"/>
          <w:sz w:val="20"/>
          <w:szCs w:val="20"/>
          <w:lang w:eastAsia="zh-CN"/>
        </w:rPr>
        <w:t>The experimental design was conducted by the guidelines approved by the Institutional Animal Ethics Committee of the University of Jos, Nigeria.</w:t>
      </w:r>
    </w:p>
    <w:p w:rsidR="00ED0039" w:rsidRDefault="00ED0039" w:rsidP="00E3763F">
      <w:pPr>
        <w:spacing w:line="276" w:lineRule="auto"/>
        <w:jc w:val="both"/>
        <w:rPr>
          <w:rFonts w:ascii="Times New Roman" w:hAnsi="Times New Roman" w:cs="Times New Roman"/>
          <w:bCs/>
          <w:sz w:val="20"/>
          <w:szCs w:val="20"/>
        </w:rPr>
      </w:pPr>
    </w:p>
    <w:p w:rsidR="004E7CA9" w:rsidRPr="00E3763F" w:rsidRDefault="004E7CA9" w:rsidP="00E3763F">
      <w:pPr>
        <w:spacing w:line="276" w:lineRule="auto"/>
        <w:rPr>
          <w:rFonts w:ascii="Times New Roman" w:hAnsi="Times New Roman" w:cs="Times New Roman"/>
          <w:sz w:val="20"/>
          <w:szCs w:val="20"/>
        </w:rPr>
      </w:pPr>
    </w:p>
    <w:p w:rsidR="004E7CA9" w:rsidRPr="00E3763F" w:rsidRDefault="004E7CA9" w:rsidP="00E3763F">
      <w:pPr>
        <w:spacing w:line="276" w:lineRule="auto"/>
        <w:rPr>
          <w:rFonts w:ascii="Times New Roman" w:hAnsi="Times New Roman" w:cs="Times New Roman"/>
          <w:sz w:val="20"/>
          <w:szCs w:val="20"/>
        </w:rPr>
      </w:pPr>
    </w:p>
    <w:p w:rsidR="00587428" w:rsidRPr="00587428" w:rsidRDefault="00587428" w:rsidP="00587428">
      <w:pPr>
        <w:spacing w:line="276" w:lineRule="auto"/>
        <w:rPr>
          <w:rFonts w:ascii="Times New Roman" w:hAnsi="Times New Roman" w:cs="Times New Roman"/>
          <w:sz w:val="20"/>
          <w:szCs w:val="20"/>
        </w:rPr>
      </w:pPr>
      <w:r w:rsidRPr="00587428">
        <w:rPr>
          <w:rFonts w:ascii="Times New Roman" w:hAnsi="Times New Roman" w:cs="Times New Roman"/>
          <w:sz w:val="20"/>
          <w:szCs w:val="20"/>
        </w:rPr>
        <w:t>COMPETING INTERESTS DISCLAIMER:</w:t>
      </w:r>
    </w:p>
    <w:p w:rsidR="004E7CA9" w:rsidRPr="00E3763F" w:rsidRDefault="00587428" w:rsidP="00587428">
      <w:pPr>
        <w:spacing w:line="276" w:lineRule="auto"/>
        <w:rPr>
          <w:rFonts w:ascii="Times New Roman" w:hAnsi="Times New Roman" w:cs="Times New Roman"/>
          <w:sz w:val="20"/>
          <w:szCs w:val="20"/>
        </w:rPr>
      </w:pPr>
      <w:r w:rsidRPr="00587428">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rsidR="004E7CA9" w:rsidRPr="00E3763F" w:rsidRDefault="004E7CA9" w:rsidP="00E3763F">
      <w:pPr>
        <w:spacing w:line="276" w:lineRule="auto"/>
        <w:rPr>
          <w:rFonts w:ascii="Times New Roman" w:hAnsi="Times New Roman" w:cs="Times New Roman"/>
          <w:sz w:val="20"/>
          <w:szCs w:val="20"/>
        </w:rPr>
      </w:pPr>
    </w:p>
    <w:p w:rsidR="004E7CA9" w:rsidRPr="00E3763F" w:rsidRDefault="004E7CA9" w:rsidP="00E3763F">
      <w:pPr>
        <w:spacing w:line="276" w:lineRule="auto"/>
        <w:rPr>
          <w:rFonts w:ascii="Times New Roman" w:hAnsi="Times New Roman" w:cs="Times New Roman"/>
          <w:sz w:val="20"/>
          <w:szCs w:val="20"/>
        </w:rPr>
      </w:pPr>
    </w:p>
    <w:p w:rsidR="004E7CA9" w:rsidRDefault="004E7CA9" w:rsidP="00E3763F">
      <w:pPr>
        <w:spacing w:line="276" w:lineRule="auto"/>
        <w:rPr>
          <w:rFonts w:ascii="Times New Roman" w:hAnsi="Times New Roman" w:cs="Times New Roman"/>
          <w:sz w:val="20"/>
          <w:szCs w:val="20"/>
        </w:rPr>
      </w:pPr>
    </w:p>
    <w:p w:rsidR="007B467C" w:rsidRDefault="007B467C" w:rsidP="00E3763F">
      <w:pPr>
        <w:spacing w:line="276" w:lineRule="auto"/>
        <w:rPr>
          <w:rFonts w:ascii="Times New Roman" w:hAnsi="Times New Roman" w:cs="Times New Roman"/>
          <w:sz w:val="20"/>
          <w:szCs w:val="20"/>
        </w:rPr>
      </w:pPr>
    </w:p>
    <w:p w:rsidR="007B467C" w:rsidRDefault="007B467C" w:rsidP="00E3763F">
      <w:pPr>
        <w:spacing w:line="276" w:lineRule="auto"/>
        <w:rPr>
          <w:rFonts w:ascii="Times New Roman" w:hAnsi="Times New Roman" w:cs="Times New Roman"/>
          <w:sz w:val="20"/>
          <w:szCs w:val="20"/>
        </w:rPr>
      </w:pPr>
    </w:p>
    <w:p w:rsidR="00903620" w:rsidRDefault="00903620" w:rsidP="00E3763F">
      <w:pPr>
        <w:spacing w:line="276" w:lineRule="auto"/>
        <w:rPr>
          <w:rFonts w:ascii="Times New Roman" w:hAnsi="Times New Roman" w:cs="Times New Roman"/>
          <w:b/>
          <w:bCs/>
          <w:sz w:val="20"/>
          <w:szCs w:val="20"/>
        </w:rPr>
      </w:pPr>
      <w:bookmarkStart w:id="15" w:name="_GoBack"/>
      <w:bookmarkEnd w:id="15"/>
      <w:r w:rsidRPr="00E3763F">
        <w:rPr>
          <w:rFonts w:ascii="Times New Roman" w:hAnsi="Times New Roman" w:cs="Times New Roman"/>
          <w:b/>
          <w:bCs/>
          <w:sz w:val="20"/>
          <w:szCs w:val="20"/>
        </w:rPr>
        <w:t>REFERENCES</w:t>
      </w:r>
    </w:p>
    <w:bookmarkEnd w:id="0"/>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Antai, S. P., &amp; Crawford, D. L. (1981). Susceptibility of grasses and woods to actinomycete attack. </w:t>
      </w:r>
      <w:r w:rsidRPr="000B3E69">
        <w:rPr>
          <w:rFonts w:ascii="Times New Roman" w:hAnsi="Times New Roman" w:cs="Times New Roman"/>
          <w:i/>
          <w:iCs/>
          <w:color w:val="000000" w:themeColor="text1"/>
          <w:sz w:val="20"/>
          <w:szCs w:val="20"/>
        </w:rPr>
        <w:t>Applied and Environmental Microbiology, 41</w:t>
      </w:r>
      <w:r w:rsidRPr="000B3E69">
        <w:rPr>
          <w:rFonts w:ascii="Times New Roman" w:hAnsi="Times New Roman" w:cs="Times New Roman"/>
          <w:color w:val="000000" w:themeColor="text1"/>
          <w:sz w:val="20"/>
          <w:szCs w:val="20"/>
        </w:rPr>
        <w:t>(4), 1007–1010.</w:t>
      </w:r>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Behera, B. C., Parida, S., Dulta, S. K., &amp; Thatoi, H. N. (2014). Isolation and identification of cellulose degrading bacteria from mangrove soil of Mahanadi River Delta and their cellulose production ability. </w:t>
      </w:r>
      <w:r w:rsidRPr="000B3E69">
        <w:rPr>
          <w:rFonts w:ascii="Times New Roman" w:hAnsi="Times New Roman" w:cs="Times New Roman"/>
          <w:i/>
          <w:iCs/>
          <w:color w:val="000000" w:themeColor="text1"/>
          <w:sz w:val="20"/>
          <w:szCs w:val="20"/>
        </w:rPr>
        <w:t>American Journal of Microbiology Research, 2</w:t>
      </w:r>
      <w:r w:rsidRPr="000B3E69">
        <w:rPr>
          <w:rFonts w:ascii="Times New Roman" w:hAnsi="Times New Roman" w:cs="Times New Roman"/>
          <w:color w:val="000000" w:themeColor="text1"/>
          <w:sz w:val="20"/>
          <w:szCs w:val="20"/>
        </w:rPr>
        <w:t>(2), 41–46.</w:t>
      </w:r>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Bugg, T. D. H. (2024). The chemical logic of enzymatic lignin degradation. </w:t>
      </w:r>
      <w:r w:rsidRPr="000B3E69">
        <w:rPr>
          <w:rFonts w:ascii="Times New Roman" w:hAnsi="Times New Roman" w:cs="Times New Roman"/>
          <w:i/>
          <w:iCs/>
          <w:color w:val="000000" w:themeColor="text1"/>
          <w:sz w:val="20"/>
          <w:szCs w:val="20"/>
        </w:rPr>
        <w:t>Chemical Communications, 60</w:t>
      </w:r>
      <w:r w:rsidRPr="000B3E69">
        <w:rPr>
          <w:rFonts w:ascii="Times New Roman" w:hAnsi="Times New Roman" w:cs="Times New Roman"/>
          <w:color w:val="000000" w:themeColor="text1"/>
          <w:sz w:val="20"/>
          <w:szCs w:val="20"/>
        </w:rPr>
        <w:t xml:space="preserve">(7), 804–814. </w:t>
      </w:r>
      <w:hyperlink r:id="rId17" w:history="1">
        <w:r w:rsidRPr="000B3E69">
          <w:rPr>
            <w:rStyle w:val="Hyperlink"/>
            <w:rFonts w:ascii="Times New Roman" w:hAnsi="Times New Roman" w:cs="Times New Roman"/>
            <w:color w:val="000000" w:themeColor="text1"/>
            <w:sz w:val="20"/>
            <w:szCs w:val="20"/>
            <w:u w:val="none"/>
          </w:rPr>
          <w:t>https://doi.org/10.1039/D3CC05298B</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Bugg, T. D. H., Ahmad, M., Hardiman, E. M., &amp; Singh, R. (2011). The emerging role for bacteria in lignocellulose degradation and bioproduct formation. </w:t>
      </w:r>
      <w:r w:rsidRPr="000B3E69">
        <w:rPr>
          <w:rFonts w:ascii="Times New Roman" w:hAnsi="Times New Roman" w:cs="Times New Roman"/>
          <w:i/>
          <w:iCs/>
          <w:color w:val="000000" w:themeColor="text1"/>
          <w:sz w:val="20"/>
          <w:szCs w:val="20"/>
        </w:rPr>
        <w:t>Current Opinion in Biotechnology, 22</w:t>
      </w:r>
      <w:r w:rsidRPr="000B3E69">
        <w:rPr>
          <w:rFonts w:ascii="Times New Roman" w:hAnsi="Times New Roman" w:cs="Times New Roman"/>
          <w:color w:val="000000" w:themeColor="text1"/>
          <w:sz w:val="20"/>
          <w:szCs w:val="20"/>
        </w:rPr>
        <w:t>(3), 394–400.</w:t>
      </w:r>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Chen, M., Li, Q., Liu, C., Meng, E., &amp; Zhang, B. (2025). Microbial degradation of lignocellulose for sustainable biomass utilization and future research perspectives. </w:t>
      </w:r>
      <w:r w:rsidRPr="000B3E69">
        <w:rPr>
          <w:rFonts w:ascii="Times New Roman" w:hAnsi="Times New Roman" w:cs="Times New Roman"/>
          <w:i/>
          <w:iCs/>
          <w:color w:val="000000" w:themeColor="text1"/>
          <w:sz w:val="20"/>
          <w:szCs w:val="20"/>
        </w:rPr>
        <w:t>Sustainability, 17</w:t>
      </w:r>
      <w:r w:rsidRPr="000B3E69">
        <w:rPr>
          <w:rFonts w:ascii="Times New Roman" w:hAnsi="Times New Roman" w:cs="Times New Roman"/>
          <w:color w:val="000000" w:themeColor="text1"/>
          <w:sz w:val="20"/>
          <w:szCs w:val="20"/>
        </w:rPr>
        <w:t xml:space="preserve">(9), 4223. </w:t>
      </w:r>
      <w:hyperlink r:id="rId18" w:history="1">
        <w:r w:rsidRPr="000B3E69">
          <w:rPr>
            <w:rStyle w:val="Hyperlink"/>
            <w:rFonts w:ascii="Times New Roman" w:hAnsi="Times New Roman" w:cs="Times New Roman"/>
            <w:color w:val="000000" w:themeColor="text1"/>
            <w:sz w:val="20"/>
            <w:szCs w:val="20"/>
            <w:u w:val="none"/>
          </w:rPr>
          <w:t>https://doi.org/10.3390/su17094223</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Coelho, C. (2025). Isolation of lignocellulosic biomass-degrading bacteria from soil invertebrate guts. </w:t>
      </w:r>
      <w:r w:rsidRPr="000B3E69">
        <w:rPr>
          <w:rFonts w:ascii="Times New Roman" w:hAnsi="Times New Roman" w:cs="Times New Roman"/>
          <w:i/>
          <w:iCs/>
          <w:color w:val="000000" w:themeColor="text1"/>
          <w:sz w:val="20"/>
          <w:szCs w:val="20"/>
        </w:rPr>
        <w:t>Applied Microbiology and Biotechnology.</w:t>
      </w:r>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Ding, J., Liu, F., Zeng, J., Gu, H., Huang, J., Wu, B., Shu, L., Yan, Q., He, Z., &amp; Wang, C. (2025). Depth heterogeneity of lignin-degrading microbiome and organic carbon processing in mangrove sediments. </w:t>
      </w:r>
      <w:r w:rsidRPr="000B3E69">
        <w:rPr>
          <w:rFonts w:ascii="Times New Roman" w:hAnsi="Times New Roman" w:cs="Times New Roman"/>
          <w:i/>
          <w:iCs/>
          <w:color w:val="000000" w:themeColor="text1"/>
          <w:sz w:val="20"/>
          <w:szCs w:val="20"/>
        </w:rPr>
        <w:t>npj Biofilms and Microbiomes, 11</w:t>
      </w:r>
      <w:r w:rsidRPr="000B3E69">
        <w:rPr>
          <w:rFonts w:ascii="Times New Roman" w:hAnsi="Times New Roman" w:cs="Times New Roman"/>
          <w:color w:val="000000" w:themeColor="text1"/>
          <w:sz w:val="20"/>
          <w:szCs w:val="20"/>
        </w:rPr>
        <w:t xml:space="preserve">(5). </w:t>
      </w:r>
      <w:hyperlink r:id="rId19" w:history="1">
        <w:r w:rsidRPr="000B3E69">
          <w:rPr>
            <w:rStyle w:val="Hyperlink"/>
            <w:rFonts w:ascii="Times New Roman" w:hAnsi="Times New Roman" w:cs="Times New Roman"/>
            <w:color w:val="000000" w:themeColor="text1"/>
            <w:sz w:val="20"/>
            <w:szCs w:val="20"/>
            <w:u w:val="none"/>
          </w:rPr>
          <w:t>https://doi.org/10.1038/s41522-024-00638-x</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Fu, R., Han, L., Li, Q., Li, Z., Dai, Y., &amp; Leng, J. (2025). Studies on the concerted interaction of microbes in the gastrointestinal tract of ruminants on lignocellulose and its degradation mechanism. </w:t>
      </w:r>
      <w:r w:rsidRPr="000B3E69">
        <w:rPr>
          <w:rFonts w:ascii="Times New Roman" w:hAnsi="Times New Roman" w:cs="Times New Roman"/>
          <w:i/>
          <w:iCs/>
          <w:color w:val="000000" w:themeColor="text1"/>
          <w:sz w:val="20"/>
          <w:szCs w:val="20"/>
        </w:rPr>
        <w:t>Frontiers in Microbiology, 16,</w:t>
      </w:r>
      <w:r w:rsidRPr="000B3E69">
        <w:rPr>
          <w:rFonts w:ascii="Times New Roman" w:hAnsi="Times New Roman" w:cs="Times New Roman"/>
          <w:color w:val="000000" w:themeColor="text1"/>
          <w:sz w:val="20"/>
          <w:szCs w:val="20"/>
        </w:rPr>
        <w:t xml:space="preserve"> 1554271. </w:t>
      </w:r>
      <w:hyperlink r:id="rId20" w:history="1">
        <w:r w:rsidRPr="000B3E69">
          <w:rPr>
            <w:rStyle w:val="Hyperlink"/>
            <w:rFonts w:ascii="Times New Roman" w:hAnsi="Times New Roman" w:cs="Times New Roman"/>
            <w:color w:val="000000" w:themeColor="text1"/>
            <w:sz w:val="20"/>
            <w:szCs w:val="20"/>
            <w:u w:val="none"/>
          </w:rPr>
          <w:t>https://doi.org/10.3389/fmicb.2025.1554271</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Gu, J., Qiu, Q., Yu, Y., Sun, X., Tian, K., Chang, M., Wang, Y., Zhang, F., &amp; Huo, H. (2024). Bacterial transformation of lignin: Key enzymes and high-value products. </w:t>
      </w:r>
      <w:r w:rsidRPr="000B3E69">
        <w:rPr>
          <w:rFonts w:ascii="Times New Roman" w:hAnsi="Times New Roman" w:cs="Times New Roman"/>
          <w:i/>
          <w:iCs/>
          <w:color w:val="000000" w:themeColor="text1"/>
          <w:sz w:val="20"/>
          <w:szCs w:val="20"/>
        </w:rPr>
        <w:t>Biotechnology for Biofuels and Bioproducts, 17,</w:t>
      </w:r>
      <w:r w:rsidRPr="000B3E69">
        <w:rPr>
          <w:rFonts w:ascii="Times New Roman" w:hAnsi="Times New Roman" w:cs="Times New Roman"/>
          <w:color w:val="000000" w:themeColor="text1"/>
          <w:sz w:val="20"/>
          <w:szCs w:val="20"/>
        </w:rPr>
        <w:t xml:space="preserve"> Article 2. </w:t>
      </w:r>
      <w:hyperlink r:id="rId21" w:history="1">
        <w:r w:rsidRPr="000B3E69">
          <w:rPr>
            <w:rStyle w:val="Hyperlink"/>
            <w:rFonts w:ascii="Times New Roman" w:hAnsi="Times New Roman" w:cs="Times New Roman"/>
            <w:color w:val="000000" w:themeColor="text1"/>
            <w:sz w:val="20"/>
            <w:szCs w:val="20"/>
            <w:u w:val="none"/>
          </w:rPr>
          <w:t>https://doi.org/10.1186/s13068-023-02447-4</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Hsin, K.-T., Lee, H., Huang, Y.-C., Lin, G.-J., Lin, P.-Y., Lin, Y.-C. J., &amp; Chen, P.-Y. (2025). Lignocellulose degradation in bacteria and fungi: Cellulosomes and industrial relevance. </w:t>
      </w:r>
      <w:r w:rsidRPr="000B3E69">
        <w:rPr>
          <w:rFonts w:ascii="Times New Roman" w:hAnsi="Times New Roman" w:cs="Times New Roman"/>
          <w:i/>
          <w:iCs/>
          <w:color w:val="000000" w:themeColor="text1"/>
          <w:sz w:val="20"/>
          <w:szCs w:val="20"/>
        </w:rPr>
        <w:t>Frontiers in Microbiology, 16,</w:t>
      </w:r>
      <w:r w:rsidRPr="000B3E69">
        <w:rPr>
          <w:rFonts w:ascii="Times New Roman" w:hAnsi="Times New Roman" w:cs="Times New Roman"/>
          <w:color w:val="000000" w:themeColor="text1"/>
          <w:sz w:val="20"/>
          <w:szCs w:val="20"/>
        </w:rPr>
        <w:t xml:space="preserve"> 1583746. </w:t>
      </w:r>
      <w:hyperlink r:id="rId22" w:history="1">
        <w:r w:rsidRPr="000B3E69">
          <w:rPr>
            <w:rStyle w:val="Hyperlink"/>
            <w:rFonts w:ascii="Times New Roman" w:hAnsi="Times New Roman" w:cs="Times New Roman"/>
            <w:color w:val="000000" w:themeColor="text1"/>
            <w:sz w:val="20"/>
            <w:szCs w:val="20"/>
            <w:u w:val="none"/>
          </w:rPr>
          <w:t>https://doi.org/10.3389/fmicb.2025.1583746</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Kamdem Tamo, A., Doench, I., Deffo, G., Zambou Jiokeng, S. L., Doungmo, G., Fotsop, C. G., &amp; Osorio-Madrazo, A. (2025). Lignocellulosic biomass and its main structural polymers as sustainable materials for (bio)sensing applications. </w:t>
      </w:r>
      <w:r w:rsidRPr="000B3E69">
        <w:rPr>
          <w:rFonts w:ascii="Times New Roman" w:hAnsi="Times New Roman" w:cs="Times New Roman"/>
          <w:i/>
          <w:iCs/>
          <w:color w:val="000000" w:themeColor="text1"/>
          <w:sz w:val="20"/>
          <w:szCs w:val="20"/>
        </w:rPr>
        <w:t>Journal of Materials Chemistry A, 13,</w:t>
      </w:r>
      <w:r w:rsidRPr="000B3E69">
        <w:rPr>
          <w:rFonts w:ascii="Times New Roman" w:hAnsi="Times New Roman" w:cs="Times New Roman"/>
          <w:color w:val="000000" w:themeColor="text1"/>
          <w:sz w:val="20"/>
          <w:szCs w:val="20"/>
        </w:rPr>
        <w:t xml:space="preserve"> 24185–24253. </w:t>
      </w:r>
      <w:hyperlink r:id="rId23" w:history="1">
        <w:r w:rsidRPr="000B3E69">
          <w:rPr>
            <w:rStyle w:val="Hyperlink"/>
            <w:rFonts w:ascii="Times New Roman" w:hAnsi="Times New Roman" w:cs="Times New Roman"/>
            <w:color w:val="000000" w:themeColor="text1"/>
            <w:sz w:val="20"/>
            <w:szCs w:val="20"/>
            <w:u w:val="none"/>
          </w:rPr>
          <w:t>https://doi.org/10.1039/D5TA02900G</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Li, W., Zhang, M., &amp; Lee, H. J. (2009). Cellulose as a renewable resource for sustainable materials and energy. </w:t>
      </w:r>
      <w:r w:rsidRPr="000B3E69">
        <w:rPr>
          <w:rFonts w:ascii="Times New Roman" w:hAnsi="Times New Roman" w:cs="Times New Roman"/>
          <w:i/>
          <w:iCs/>
          <w:color w:val="000000" w:themeColor="text1"/>
          <w:sz w:val="20"/>
          <w:szCs w:val="20"/>
        </w:rPr>
        <w:t>Renewable Energy Reviews, 13</w:t>
      </w:r>
      <w:r w:rsidRPr="000B3E69">
        <w:rPr>
          <w:rFonts w:ascii="Times New Roman" w:hAnsi="Times New Roman" w:cs="Times New Roman"/>
          <w:color w:val="000000" w:themeColor="text1"/>
          <w:sz w:val="20"/>
          <w:szCs w:val="20"/>
        </w:rPr>
        <w:t>(6–7), 1321–1334.</w:t>
      </w:r>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Liu, J., Liu, X., Xu, W., Zhang, Y., Wang, J., &amp; Yuan, T. (2025). Advances in lignin structure, biosynthesis, and valorization for a sustainable future. </w:t>
      </w:r>
      <w:r w:rsidRPr="000B3E69">
        <w:rPr>
          <w:rFonts w:ascii="Times New Roman" w:hAnsi="Times New Roman" w:cs="Times New Roman"/>
          <w:i/>
          <w:iCs/>
          <w:color w:val="000000" w:themeColor="text1"/>
          <w:sz w:val="20"/>
          <w:szCs w:val="20"/>
        </w:rPr>
        <w:t>Biotechnology for Biofuels and Bioproducts, 18</w:t>
      </w:r>
      <w:r w:rsidRPr="000B3E69">
        <w:rPr>
          <w:rFonts w:ascii="Times New Roman" w:hAnsi="Times New Roman" w:cs="Times New Roman"/>
          <w:color w:val="000000" w:themeColor="text1"/>
          <w:sz w:val="20"/>
          <w:szCs w:val="20"/>
        </w:rPr>
        <w:t xml:space="preserve">(1), 14. </w:t>
      </w:r>
      <w:hyperlink r:id="rId24" w:history="1">
        <w:r w:rsidRPr="000B3E69">
          <w:rPr>
            <w:rStyle w:val="Hyperlink"/>
            <w:rFonts w:ascii="Times New Roman" w:hAnsi="Times New Roman" w:cs="Times New Roman"/>
            <w:color w:val="000000" w:themeColor="text1"/>
            <w:sz w:val="20"/>
            <w:szCs w:val="20"/>
            <w:u w:val="none"/>
          </w:rPr>
          <w:t>https://doi.org/10.1186/s13068-025-02531-1</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lastRenderedPageBreak/>
        <w:t xml:space="preserve">Madhushree, M., Vairavel, P., Mahesha, G. T., &amp; Bhat, K. S. (2024). A comprehensive review of cellulose and cellulose-based materials: Extraction, modification, and sustainable applications. </w:t>
      </w:r>
      <w:r w:rsidRPr="000B3E69">
        <w:rPr>
          <w:rFonts w:ascii="Times New Roman" w:hAnsi="Times New Roman" w:cs="Times New Roman"/>
          <w:i/>
          <w:iCs/>
          <w:color w:val="000000" w:themeColor="text1"/>
          <w:sz w:val="20"/>
          <w:szCs w:val="20"/>
        </w:rPr>
        <w:t>Journal of Natural Fibers, 21</w:t>
      </w:r>
      <w:r w:rsidRPr="000B3E69">
        <w:rPr>
          <w:rFonts w:ascii="Times New Roman" w:hAnsi="Times New Roman" w:cs="Times New Roman"/>
          <w:color w:val="000000" w:themeColor="text1"/>
          <w:sz w:val="20"/>
          <w:szCs w:val="20"/>
        </w:rPr>
        <w:t xml:space="preserve">(1), 2418357. </w:t>
      </w:r>
      <w:hyperlink r:id="rId25" w:history="1">
        <w:r w:rsidRPr="000B3E69">
          <w:rPr>
            <w:rStyle w:val="Hyperlink"/>
            <w:rFonts w:ascii="Times New Roman" w:hAnsi="Times New Roman" w:cs="Times New Roman"/>
            <w:color w:val="000000" w:themeColor="text1"/>
            <w:sz w:val="20"/>
            <w:szCs w:val="20"/>
            <w:u w:val="none"/>
          </w:rPr>
          <w:t>https://doi.org/10.1080/15440478.2024.2418357</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Nargotra, P., Sharma, V., Lee, Y.-C., Tsai, Y.-H., Liu, Y.-C., Shieh, C.-J., Tsai, M.-L., Dong, C.-D., &amp; Kuo, C.-H. (2023). Microbial lignocellulolytic enzymes for the effective valorization of lignocellulosic biomass: A review. </w:t>
      </w:r>
      <w:r w:rsidRPr="000B3E69">
        <w:rPr>
          <w:rFonts w:ascii="Times New Roman" w:hAnsi="Times New Roman" w:cs="Times New Roman"/>
          <w:i/>
          <w:iCs/>
          <w:color w:val="000000" w:themeColor="text1"/>
          <w:sz w:val="20"/>
          <w:szCs w:val="20"/>
        </w:rPr>
        <w:t>Catalysts, 13</w:t>
      </w:r>
      <w:r w:rsidRPr="000B3E69">
        <w:rPr>
          <w:rFonts w:ascii="Times New Roman" w:hAnsi="Times New Roman" w:cs="Times New Roman"/>
          <w:color w:val="000000" w:themeColor="text1"/>
          <w:sz w:val="20"/>
          <w:szCs w:val="20"/>
        </w:rPr>
        <w:t xml:space="preserve">(1), 83. </w:t>
      </w:r>
      <w:hyperlink r:id="rId26" w:history="1">
        <w:r w:rsidRPr="000B3E69">
          <w:rPr>
            <w:rStyle w:val="Hyperlink"/>
            <w:rFonts w:ascii="Times New Roman" w:hAnsi="Times New Roman" w:cs="Times New Roman"/>
            <w:color w:val="000000" w:themeColor="text1"/>
            <w:sz w:val="20"/>
            <w:szCs w:val="20"/>
            <w:u w:val="none"/>
          </w:rPr>
          <w:t>https://doi.org/10.3390/catal13010083</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Robles-Machuca, M., Avilés-Mejía, L., Romero-Soto, I. C., Rodríguez-González, J. A., Armenta-Pérez, V. P., &amp; Camacho-Ruiz, M. A. (2023). Cloning, expression, and biochemical characterization of β-etherase LigF from </w:t>
      </w:r>
      <w:r w:rsidRPr="000B3E69">
        <w:rPr>
          <w:rFonts w:ascii="Times New Roman" w:hAnsi="Times New Roman" w:cs="Times New Roman"/>
          <w:i/>
          <w:iCs/>
          <w:color w:val="000000" w:themeColor="text1"/>
          <w:sz w:val="20"/>
          <w:szCs w:val="20"/>
        </w:rPr>
        <w:t>Altererythrobacter</w:t>
      </w:r>
      <w:r w:rsidRPr="000B3E69">
        <w:rPr>
          <w:rFonts w:ascii="Times New Roman" w:hAnsi="Times New Roman" w:cs="Times New Roman"/>
          <w:color w:val="000000" w:themeColor="text1"/>
          <w:sz w:val="20"/>
          <w:szCs w:val="20"/>
        </w:rPr>
        <w:t xml:space="preserve"> sp. B11. </w:t>
      </w:r>
      <w:r w:rsidRPr="000B3E69">
        <w:rPr>
          <w:rFonts w:ascii="Times New Roman" w:hAnsi="Times New Roman" w:cs="Times New Roman"/>
          <w:i/>
          <w:iCs/>
          <w:color w:val="000000" w:themeColor="text1"/>
          <w:sz w:val="20"/>
          <w:szCs w:val="20"/>
        </w:rPr>
        <w:t>Heliyon, 9</w:t>
      </w:r>
      <w:r w:rsidRPr="000B3E69">
        <w:rPr>
          <w:rFonts w:ascii="Times New Roman" w:hAnsi="Times New Roman" w:cs="Times New Roman"/>
          <w:color w:val="000000" w:themeColor="text1"/>
          <w:sz w:val="20"/>
          <w:szCs w:val="20"/>
        </w:rPr>
        <w:t xml:space="preserve">(10), e21006. </w:t>
      </w:r>
      <w:hyperlink r:id="rId27" w:history="1">
        <w:r w:rsidRPr="000B3E69">
          <w:rPr>
            <w:rStyle w:val="Hyperlink"/>
            <w:rFonts w:ascii="Times New Roman" w:hAnsi="Times New Roman" w:cs="Times New Roman"/>
            <w:color w:val="000000" w:themeColor="text1"/>
            <w:sz w:val="20"/>
            <w:szCs w:val="20"/>
            <w:u w:val="none"/>
          </w:rPr>
          <w:t>https://doi.org/10.1016/j.heliyon.2023.e21006</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Salgado, J. F. M., Hervé, V., Vera, M. A. G., et al. (2024). Unveiling lignocellulolytic potential: A genomic exploration of bacterial lineages within the termite gut. </w:t>
      </w:r>
      <w:r w:rsidRPr="000B3E69">
        <w:rPr>
          <w:rFonts w:ascii="Times New Roman" w:hAnsi="Times New Roman" w:cs="Times New Roman"/>
          <w:i/>
          <w:iCs/>
          <w:color w:val="000000" w:themeColor="text1"/>
          <w:sz w:val="20"/>
          <w:szCs w:val="20"/>
        </w:rPr>
        <w:t>Microbiome, 12,</w:t>
      </w:r>
      <w:r w:rsidRPr="000B3E69">
        <w:rPr>
          <w:rFonts w:ascii="Times New Roman" w:hAnsi="Times New Roman" w:cs="Times New Roman"/>
          <w:color w:val="000000" w:themeColor="text1"/>
          <w:sz w:val="20"/>
          <w:szCs w:val="20"/>
        </w:rPr>
        <w:t xml:space="preserve"> 201. </w:t>
      </w:r>
      <w:hyperlink r:id="rId28" w:history="1">
        <w:r w:rsidRPr="000B3E69">
          <w:rPr>
            <w:rStyle w:val="Hyperlink"/>
            <w:rFonts w:ascii="Times New Roman" w:hAnsi="Times New Roman" w:cs="Times New Roman"/>
            <w:color w:val="000000" w:themeColor="text1"/>
            <w:sz w:val="20"/>
            <w:szCs w:val="20"/>
            <w:u w:val="none"/>
          </w:rPr>
          <w:t>https://doi.org/10.1186/s40168-024-01917-7</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Sulis, D. B., Lavoine, N., Sederoff, H., Jiang, X., Marques, B. M., Lan, K., Cofre-Vega, C., Barrangou, R., &amp; Wang, J. P. (2025). Reprogramming secondary cell wall biosynthesis in plants and microbes for sustainable biomaterials and fuels. </w:t>
      </w:r>
      <w:r w:rsidRPr="000B3E69">
        <w:rPr>
          <w:rFonts w:ascii="Times New Roman" w:hAnsi="Times New Roman" w:cs="Times New Roman"/>
          <w:i/>
          <w:iCs/>
          <w:color w:val="000000" w:themeColor="text1"/>
          <w:sz w:val="20"/>
          <w:szCs w:val="20"/>
        </w:rPr>
        <w:t>Nature Communications.</w:t>
      </w:r>
      <w:r w:rsidRPr="000B3E69">
        <w:rPr>
          <w:rFonts w:ascii="Times New Roman" w:hAnsi="Times New Roman" w:cs="Times New Roman"/>
          <w:color w:val="000000" w:themeColor="text1"/>
          <w:sz w:val="20"/>
          <w:szCs w:val="20"/>
        </w:rPr>
        <w:t xml:space="preserve"> </w:t>
      </w:r>
      <w:hyperlink r:id="rId29" w:history="1">
        <w:r w:rsidRPr="000B3E69">
          <w:rPr>
            <w:rStyle w:val="Hyperlink"/>
            <w:rFonts w:ascii="Times New Roman" w:hAnsi="Times New Roman" w:cs="Times New Roman"/>
            <w:color w:val="000000" w:themeColor="text1"/>
            <w:sz w:val="20"/>
            <w:szCs w:val="20"/>
            <w:u w:val="none"/>
          </w:rPr>
          <w:t>https://www.nature.com/collections/hdabccacfa</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Verdía, B. P., Choudhary, H., Nakasu, P. S., Al-Ghatta, A., Han, Y., Hopson, C., Aravena, R. I., Mishra, D. K., Ovejero-Pérez, A., Simmons, B. A., &amp; Hallett, J. P. (2025). Ionic liquids and deep eutectic solvents for a sustainable future: A modern perspective on historical alchemy. </w:t>
      </w:r>
      <w:r w:rsidRPr="000B3E69">
        <w:rPr>
          <w:rFonts w:ascii="Times New Roman" w:hAnsi="Times New Roman" w:cs="Times New Roman"/>
          <w:i/>
          <w:iCs/>
          <w:color w:val="000000" w:themeColor="text1"/>
          <w:sz w:val="20"/>
          <w:szCs w:val="20"/>
        </w:rPr>
        <w:t>Chemical Reviews, 125</w:t>
      </w:r>
      <w:r w:rsidRPr="000B3E69">
        <w:rPr>
          <w:rFonts w:ascii="Times New Roman" w:hAnsi="Times New Roman" w:cs="Times New Roman"/>
          <w:color w:val="000000" w:themeColor="text1"/>
          <w:sz w:val="20"/>
          <w:szCs w:val="20"/>
        </w:rPr>
        <w:t xml:space="preserve">(9), 5461–5524. </w:t>
      </w:r>
      <w:hyperlink r:id="rId30" w:history="1">
        <w:r w:rsidRPr="000B3E69">
          <w:rPr>
            <w:rStyle w:val="Hyperlink"/>
            <w:rFonts w:ascii="Times New Roman" w:hAnsi="Times New Roman" w:cs="Times New Roman"/>
            <w:color w:val="000000" w:themeColor="text1"/>
            <w:sz w:val="20"/>
            <w:szCs w:val="20"/>
            <w:u w:val="none"/>
          </w:rPr>
          <w:t>https://doi.org/10.1021/acs.chemrev.4c00754</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Vicuna, R. (2000). Bacterial degradation of lignin. </w:t>
      </w:r>
      <w:r w:rsidRPr="000B3E69">
        <w:rPr>
          <w:rFonts w:ascii="Times New Roman" w:hAnsi="Times New Roman" w:cs="Times New Roman"/>
          <w:i/>
          <w:iCs/>
          <w:color w:val="000000" w:themeColor="text1"/>
          <w:sz w:val="20"/>
          <w:szCs w:val="20"/>
        </w:rPr>
        <w:t>Enzyme and Microbial Technology, 26</w:t>
      </w:r>
      <w:r w:rsidRPr="000B3E69">
        <w:rPr>
          <w:rFonts w:ascii="Times New Roman" w:hAnsi="Times New Roman" w:cs="Times New Roman"/>
          <w:color w:val="000000" w:themeColor="text1"/>
          <w:sz w:val="20"/>
          <w:szCs w:val="20"/>
        </w:rPr>
        <w:t xml:space="preserve">(3–4), 178–188. </w:t>
      </w:r>
      <w:hyperlink r:id="rId31" w:history="1">
        <w:r w:rsidRPr="000B3E69">
          <w:rPr>
            <w:rStyle w:val="Hyperlink"/>
            <w:rFonts w:ascii="Times New Roman" w:hAnsi="Times New Roman" w:cs="Times New Roman"/>
            <w:color w:val="000000" w:themeColor="text1"/>
            <w:sz w:val="20"/>
            <w:szCs w:val="20"/>
            <w:u w:val="none"/>
          </w:rPr>
          <w:t>https://doi.org/10.1016/S0141-0229(99)00138-7</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Waldrop, M. P., Balser, T. C., &amp; Firestone, M. K. (2000). Linking microbial community composition to function in a tropical soil. </w:t>
      </w:r>
      <w:r w:rsidRPr="000B3E69">
        <w:rPr>
          <w:rFonts w:ascii="Times New Roman" w:hAnsi="Times New Roman" w:cs="Times New Roman"/>
          <w:i/>
          <w:iCs/>
          <w:color w:val="000000" w:themeColor="text1"/>
          <w:sz w:val="20"/>
          <w:szCs w:val="20"/>
        </w:rPr>
        <w:t>Soil Biology and Biochemistry, 32</w:t>
      </w:r>
      <w:r w:rsidRPr="000B3E69">
        <w:rPr>
          <w:rFonts w:ascii="Times New Roman" w:hAnsi="Times New Roman" w:cs="Times New Roman"/>
          <w:color w:val="000000" w:themeColor="text1"/>
          <w:sz w:val="20"/>
          <w:szCs w:val="20"/>
        </w:rPr>
        <w:t xml:space="preserve">(13), 1837–1846. </w:t>
      </w:r>
      <w:hyperlink r:id="rId32" w:history="1">
        <w:r w:rsidRPr="000B3E69">
          <w:rPr>
            <w:rStyle w:val="Hyperlink"/>
            <w:rFonts w:ascii="Times New Roman" w:hAnsi="Times New Roman" w:cs="Times New Roman"/>
            <w:color w:val="000000" w:themeColor="text1"/>
            <w:sz w:val="20"/>
            <w:szCs w:val="20"/>
            <w:u w:val="none"/>
          </w:rPr>
          <w:t>https://doi.org/10.1016/S0038-0717(00)00157-7</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Wiley Review. (2024). </w:t>
      </w:r>
      <w:r w:rsidRPr="000B3E69">
        <w:rPr>
          <w:rFonts w:ascii="Times New Roman" w:hAnsi="Times New Roman" w:cs="Times New Roman"/>
          <w:i/>
          <w:iCs/>
          <w:color w:val="000000" w:themeColor="text1"/>
          <w:sz w:val="20"/>
          <w:szCs w:val="20"/>
        </w:rPr>
        <w:t>Exploring the potential of insect gut microbes for advancing renewable energy production.</w:t>
      </w:r>
      <w:r w:rsidRPr="000B3E69">
        <w:rPr>
          <w:rFonts w:ascii="Times New Roman" w:hAnsi="Times New Roman" w:cs="Times New Roman"/>
          <w:color w:val="000000" w:themeColor="text1"/>
          <w:sz w:val="20"/>
          <w:szCs w:val="20"/>
        </w:rPr>
        <w:t xml:space="preserve"> Wiley Online Library.</w:t>
      </w:r>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Woźniak, A., Kuligowski, K., Świerczek, L., &amp; Cenian, A. (2025). Review of lignocellulosic biomass pretreatment using physical, thermal and chemical methods for higher yields in bioethanol production. </w:t>
      </w:r>
      <w:r w:rsidRPr="000B3E69">
        <w:rPr>
          <w:rFonts w:ascii="Times New Roman" w:hAnsi="Times New Roman" w:cs="Times New Roman"/>
          <w:i/>
          <w:iCs/>
          <w:color w:val="000000" w:themeColor="text1"/>
          <w:sz w:val="20"/>
          <w:szCs w:val="20"/>
        </w:rPr>
        <w:t>Sustainability, 17</w:t>
      </w:r>
      <w:r w:rsidRPr="000B3E69">
        <w:rPr>
          <w:rFonts w:ascii="Times New Roman" w:hAnsi="Times New Roman" w:cs="Times New Roman"/>
          <w:color w:val="000000" w:themeColor="text1"/>
          <w:sz w:val="20"/>
          <w:szCs w:val="20"/>
        </w:rPr>
        <w:t xml:space="preserve">(1), 287. </w:t>
      </w:r>
      <w:hyperlink r:id="rId33" w:history="1">
        <w:r w:rsidRPr="000B3E69">
          <w:rPr>
            <w:rStyle w:val="Hyperlink"/>
            <w:rFonts w:ascii="Times New Roman" w:hAnsi="Times New Roman" w:cs="Times New Roman"/>
            <w:color w:val="000000" w:themeColor="text1"/>
            <w:sz w:val="20"/>
            <w:szCs w:val="20"/>
            <w:u w:val="none"/>
          </w:rPr>
          <w:t>https://doi.org/10.3390/su17010287</w:t>
        </w:r>
      </w:hyperlink>
    </w:p>
    <w:p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Zhao, C., Chen, L., Li, W., &amp; Liu, Z. (2024). Recent advances in lignin biosynthesis, structure, and industrial applications. </w:t>
      </w:r>
      <w:r w:rsidRPr="000B3E69">
        <w:rPr>
          <w:rFonts w:ascii="Times New Roman" w:hAnsi="Times New Roman" w:cs="Times New Roman"/>
          <w:i/>
          <w:iCs/>
          <w:color w:val="000000" w:themeColor="text1"/>
          <w:sz w:val="20"/>
          <w:szCs w:val="20"/>
        </w:rPr>
        <w:t>Industrial Crops and Products, 210,</w:t>
      </w:r>
      <w:r w:rsidRPr="000B3E69">
        <w:rPr>
          <w:rFonts w:ascii="Times New Roman" w:hAnsi="Times New Roman" w:cs="Times New Roman"/>
          <w:color w:val="000000" w:themeColor="text1"/>
          <w:sz w:val="20"/>
          <w:szCs w:val="20"/>
        </w:rPr>
        <w:t xml:space="preserve"> 117291. </w:t>
      </w:r>
      <w:hyperlink r:id="rId34" w:history="1">
        <w:r w:rsidRPr="000B3E69">
          <w:rPr>
            <w:rStyle w:val="Hyperlink"/>
            <w:rFonts w:ascii="Times New Roman" w:hAnsi="Times New Roman" w:cs="Times New Roman"/>
            <w:color w:val="000000" w:themeColor="text1"/>
            <w:sz w:val="20"/>
            <w:szCs w:val="20"/>
            <w:u w:val="none"/>
          </w:rPr>
          <w:t>https://doi.org/10.1016/j.indcrop.2024.117291</w:t>
        </w:r>
      </w:hyperlink>
    </w:p>
    <w:p w:rsidR="000B3E69" w:rsidRPr="000B3E69" w:rsidRDefault="000B3E69" w:rsidP="000B3E69">
      <w:pPr>
        <w:spacing w:line="276" w:lineRule="auto"/>
        <w:rPr>
          <w:rFonts w:ascii="Times New Roman" w:hAnsi="Times New Roman" w:cs="Times New Roman"/>
          <w:sz w:val="20"/>
          <w:szCs w:val="20"/>
        </w:rPr>
      </w:pPr>
    </w:p>
    <w:p w:rsidR="002E256C" w:rsidRPr="00E3763F" w:rsidRDefault="002E256C" w:rsidP="000B3E69">
      <w:pPr>
        <w:spacing w:line="276" w:lineRule="auto"/>
        <w:rPr>
          <w:sz w:val="20"/>
          <w:szCs w:val="20"/>
        </w:rPr>
      </w:pPr>
    </w:p>
    <w:sectPr w:rsidR="002E256C" w:rsidRPr="00E3763F" w:rsidSect="00E648DF">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amily System" w:date="2025-11-13T09:54:00Z" w:initials="FS">
    <w:p w:rsidR="00BF28D7" w:rsidRDefault="00BF28D7">
      <w:pPr>
        <w:pStyle w:val="CommentText"/>
      </w:pPr>
      <w:r>
        <w:rPr>
          <w:rStyle w:val="CommentReference"/>
        </w:rPr>
        <w:annotationRef/>
      </w:r>
      <w:r>
        <w:t>Give an example</w:t>
      </w:r>
    </w:p>
  </w:comment>
  <w:comment w:id="2" w:author="Family System" w:date="2025-11-13T09:55:00Z" w:initials="FS">
    <w:p w:rsidR="00BF28D7" w:rsidRDefault="00BF28D7">
      <w:pPr>
        <w:pStyle w:val="CommentText"/>
      </w:pPr>
      <w:r>
        <w:rPr>
          <w:rStyle w:val="CommentReference"/>
        </w:rPr>
        <w:annotationRef/>
      </w:r>
    </w:p>
  </w:comment>
  <w:comment w:id="3" w:author="Family System" w:date="2025-11-13T09:56:00Z" w:initials="FS">
    <w:p w:rsidR="00BF28D7" w:rsidRDefault="00BF28D7">
      <w:pPr>
        <w:pStyle w:val="CommentText"/>
      </w:pPr>
      <w:r>
        <w:rPr>
          <w:rStyle w:val="CommentReference"/>
        </w:rPr>
        <w:annotationRef/>
      </w:r>
      <w:r>
        <w:t>Repeated sentense</w:t>
      </w:r>
    </w:p>
  </w:comment>
  <w:comment w:id="4" w:author="Family System" w:date="2025-11-13T09:57:00Z" w:initials="FS">
    <w:p w:rsidR="00BF28D7" w:rsidRDefault="00BF28D7">
      <w:pPr>
        <w:pStyle w:val="CommentText"/>
      </w:pPr>
      <w:r>
        <w:rPr>
          <w:rStyle w:val="CommentReference"/>
        </w:rPr>
        <w:annotationRef/>
      </w:r>
      <w:r>
        <w:t>The discripition of lignin is scattered through the introduction, please no need for elongation</w:t>
      </w:r>
    </w:p>
  </w:comment>
  <w:comment w:id="5" w:author="Family System" w:date="2025-11-13T09:57:00Z" w:initials="FS">
    <w:p w:rsidR="00BF28D7" w:rsidRDefault="00BF28D7">
      <w:pPr>
        <w:pStyle w:val="CommentText"/>
      </w:pPr>
      <w:r>
        <w:rPr>
          <w:rStyle w:val="CommentReference"/>
        </w:rPr>
        <w:annotationRef/>
      </w:r>
      <w:r>
        <w:t>Repeated sentense</w:t>
      </w:r>
    </w:p>
  </w:comment>
  <w:comment w:id="6" w:author="Family System" w:date="2025-11-13T09:59:00Z" w:initials="FS">
    <w:p w:rsidR="00BF28D7" w:rsidRDefault="00BF28D7">
      <w:pPr>
        <w:pStyle w:val="CommentText"/>
      </w:pPr>
      <w:r>
        <w:rPr>
          <w:rStyle w:val="CommentReference"/>
        </w:rPr>
        <w:annotationRef/>
      </w:r>
      <w:r>
        <w:t>The procedure is not clear, how did you made dilution from agar plate?</w:t>
      </w:r>
    </w:p>
  </w:comment>
  <w:comment w:id="7" w:author="Family System" w:date="2025-11-13T10:00:00Z" w:initials="FS">
    <w:p w:rsidR="00BF28D7" w:rsidRDefault="00BF28D7">
      <w:pPr>
        <w:pStyle w:val="CommentText"/>
      </w:pPr>
      <w:r>
        <w:rPr>
          <w:rStyle w:val="CommentReference"/>
        </w:rPr>
        <w:annotationRef/>
      </w:r>
      <w:r>
        <w:t>Biochemical tests are used to identify the bacterium not to confirm its presence!</w:t>
      </w:r>
    </w:p>
  </w:comment>
  <w:comment w:id="8" w:author="Family System" w:date="2025-11-13T10:04:00Z" w:initials="FS">
    <w:p w:rsidR="00BF28D7" w:rsidRDefault="00BF28D7">
      <w:pPr>
        <w:pStyle w:val="CommentText"/>
      </w:pPr>
      <w:r>
        <w:rPr>
          <w:rStyle w:val="CommentReference"/>
        </w:rPr>
        <w:annotationRef/>
      </w:r>
      <w:r>
        <w:t>This part need to be written again showing the source of DNA, the sequence of primers, conditions of PCR amplification, and exact volumes of amplification tubes.</w:t>
      </w:r>
    </w:p>
  </w:comment>
  <w:comment w:id="9" w:author="Family System" w:date="2025-11-13T10:05:00Z" w:initials="FS">
    <w:p w:rsidR="002D2A32" w:rsidRDefault="002D2A32">
      <w:pPr>
        <w:pStyle w:val="CommentText"/>
      </w:pPr>
      <w:r>
        <w:rPr>
          <w:rStyle w:val="CommentReference"/>
        </w:rPr>
        <w:annotationRef/>
      </w:r>
      <w:r>
        <w:t>Coloration not discoloration, and figure legend need to be more elaborate.</w:t>
      </w:r>
    </w:p>
  </w:comment>
  <w:comment w:id="10" w:author="Family System" w:date="2025-11-13T10:06:00Z" w:initials="FS">
    <w:p w:rsidR="002D2A32" w:rsidRDefault="002D2A32">
      <w:pPr>
        <w:pStyle w:val="CommentText"/>
      </w:pPr>
      <w:r>
        <w:rPr>
          <w:rStyle w:val="CommentReference"/>
        </w:rPr>
        <w:annotationRef/>
      </w:r>
      <w:r>
        <w:t>Please change the figure to better one, it is not clear</w:t>
      </w:r>
    </w:p>
  </w:comment>
  <w:comment w:id="11" w:author="Family System" w:date="2025-11-13T10:07:00Z" w:initials="FS">
    <w:p w:rsidR="002D2A32" w:rsidRDefault="002D2A32">
      <w:pPr>
        <w:pStyle w:val="CommentText"/>
      </w:pPr>
      <w:r>
        <w:rPr>
          <w:rStyle w:val="CommentReference"/>
        </w:rPr>
        <w:annotationRef/>
      </w:r>
      <w:r>
        <w:t>16sRNA of what????</w:t>
      </w:r>
    </w:p>
  </w:comment>
  <w:comment w:id="12" w:author="Family System" w:date="2025-11-13T10:08:00Z" w:initials="FS">
    <w:p w:rsidR="002D2A32" w:rsidRDefault="002D2A32">
      <w:pPr>
        <w:pStyle w:val="CommentText"/>
      </w:pPr>
      <w:r>
        <w:rPr>
          <w:rStyle w:val="CommentReference"/>
        </w:rPr>
        <w:annotationRef/>
      </w:r>
      <w:r>
        <w:t>gyraseB of what?????</w:t>
      </w:r>
    </w:p>
  </w:comment>
  <w:comment w:id="13" w:author="Family System" w:date="2025-11-13T10:08:00Z" w:initials="FS">
    <w:p w:rsidR="00027290" w:rsidRDefault="00027290">
      <w:pPr>
        <w:pStyle w:val="CommentText"/>
      </w:pPr>
      <w:r>
        <w:rPr>
          <w:rStyle w:val="CommentReference"/>
        </w:rPr>
        <w:annotationRef/>
      </w:r>
      <w:r>
        <w:t>Repeated sentense</w:t>
      </w:r>
    </w:p>
  </w:comment>
  <w:comment w:id="14" w:author="Family System" w:date="2025-11-13T10:09:00Z" w:initials="FS">
    <w:p w:rsidR="00027290" w:rsidRDefault="00027290">
      <w:pPr>
        <w:pStyle w:val="CommentText"/>
      </w:pPr>
      <w:r>
        <w:rPr>
          <w:rStyle w:val="CommentReference"/>
        </w:rPr>
        <w:annotationRef/>
      </w:r>
      <w:r>
        <w:t>No section of discussion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178" w:rsidRDefault="00C97178" w:rsidP="00BB0990">
      <w:pPr>
        <w:spacing w:after="0" w:line="240" w:lineRule="auto"/>
      </w:pPr>
      <w:r>
        <w:separator/>
      </w:r>
    </w:p>
  </w:endnote>
  <w:endnote w:type="continuationSeparator" w:id="0">
    <w:p w:rsidR="00C97178" w:rsidRDefault="00C97178" w:rsidP="00BB09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CD" w:rsidRDefault="00580F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CD" w:rsidRDefault="00580F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CD" w:rsidRDefault="00580F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178" w:rsidRDefault="00C97178" w:rsidP="00BB0990">
      <w:pPr>
        <w:spacing w:after="0" w:line="240" w:lineRule="auto"/>
      </w:pPr>
      <w:r>
        <w:separator/>
      </w:r>
    </w:p>
  </w:footnote>
  <w:footnote w:type="continuationSeparator" w:id="0">
    <w:p w:rsidR="00C97178" w:rsidRDefault="00C97178" w:rsidP="00BB09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CD" w:rsidRDefault="00E648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CD" w:rsidRDefault="00E648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FCD" w:rsidRDefault="00E648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45EE"/>
    <w:multiLevelType w:val="multilevel"/>
    <w:tmpl w:val="0908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BF47CA"/>
    <w:multiLevelType w:val="multilevel"/>
    <w:tmpl w:val="B66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D25A87"/>
    <w:multiLevelType w:val="multilevel"/>
    <w:tmpl w:val="5E82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A6E9A"/>
    <w:multiLevelType w:val="hybridMultilevel"/>
    <w:tmpl w:val="0772F39A"/>
    <w:lvl w:ilvl="0" w:tplc="FA04F166">
      <w:start w:val="1"/>
      <w:numFmt w:val="lowerRoman"/>
      <w:lvlText w:val="%1."/>
      <w:lvlJc w:val="left"/>
      <w:pPr>
        <w:ind w:left="810" w:hanging="360"/>
      </w:pPr>
      <w:rPr>
        <w:rFonts w:ascii="Times New Roman" w:eastAsiaTheme="minorHAnsi" w:hAnsi="Times New Roman" w:cs="Times New Roman"/>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
    <w:nsid w:val="310079D1"/>
    <w:multiLevelType w:val="multilevel"/>
    <w:tmpl w:val="5016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A67834"/>
    <w:multiLevelType w:val="multilevel"/>
    <w:tmpl w:val="5EF0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F55845"/>
    <w:multiLevelType w:val="multilevel"/>
    <w:tmpl w:val="4420D34E"/>
    <w:lvl w:ilvl="0">
      <w:start w:val="1"/>
      <w:numFmt w:val="lowerRoman"/>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4964E1A"/>
    <w:multiLevelType w:val="multilevel"/>
    <w:tmpl w:val="FC40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8410EE"/>
    <w:multiLevelType w:val="hybridMultilevel"/>
    <w:tmpl w:val="4F1A0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C529FA"/>
    <w:multiLevelType w:val="multilevel"/>
    <w:tmpl w:val="1DD6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426CFA"/>
    <w:multiLevelType w:val="multilevel"/>
    <w:tmpl w:val="0558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E62645"/>
    <w:multiLevelType w:val="multilevel"/>
    <w:tmpl w:val="C3AA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744972"/>
    <w:multiLevelType w:val="multilevel"/>
    <w:tmpl w:val="9E12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DC7EA3"/>
    <w:multiLevelType w:val="hybridMultilevel"/>
    <w:tmpl w:val="8EE68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3"/>
  </w:num>
  <w:num w:numId="4">
    <w:abstractNumId w:val="0"/>
  </w:num>
  <w:num w:numId="5">
    <w:abstractNumId w:val="1"/>
  </w:num>
  <w:num w:numId="6">
    <w:abstractNumId w:val="7"/>
  </w:num>
  <w:num w:numId="7">
    <w:abstractNumId w:val="5"/>
  </w:num>
  <w:num w:numId="8">
    <w:abstractNumId w:val="12"/>
  </w:num>
  <w:num w:numId="9">
    <w:abstractNumId w:val="11"/>
  </w:num>
  <w:num w:numId="10">
    <w:abstractNumId w:val="9"/>
  </w:num>
  <w:num w:numId="11">
    <w:abstractNumId w:val="10"/>
  </w:num>
  <w:num w:numId="12">
    <w:abstractNumId w:val="2"/>
  </w:num>
  <w:num w:numId="13">
    <w:abstractNumId w:val="4"/>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105A6"/>
    <w:rsid w:val="00012A5C"/>
    <w:rsid w:val="00023DA0"/>
    <w:rsid w:val="00027290"/>
    <w:rsid w:val="00034C94"/>
    <w:rsid w:val="00042BA9"/>
    <w:rsid w:val="00064E25"/>
    <w:rsid w:val="000A4F9D"/>
    <w:rsid w:val="000B3E69"/>
    <w:rsid w:val="000C0ACC"/>
    <w:rsid w:val="000D2E54"/>
    <w:rsid w:val="000D63E9"/>
    <w:rsid w:val="000E39E6"/>
    <w:rsid w:val="000E4E2F"/>
    <w:rsid w:val="000F0EB3"/>
    <w:rsid w:val="000F13A4"/>
    <w:rsid w:val="001608FA"/>
    <w:rsid w:val="0016286E"/>
    <w:rsid w:val="00166178"/>
    <w:rsid w:val="00167851"/>
    <w:rsid w:val="00193EDB"/>
    <w:rsid w:val="001A1F36"/>
    <w:rsid w:val="001A3E9F"/>
    <w:rsid w:val="001A4F12"/>
    <w:rsid w:val="001A6EC2"/>
    <w:rsid w:val="001B62F2"/>
    <w:rsid w:val="001D6FF1"/>
    <w:rsid w:val="001E327B"/>
    <w:rsid w:val="00200758"/>
    <w:rsid w:val="00241119"/>
    <w:rsid w:val="00246DD1"/>
    <w:rsid w:val="00254D12"/>
    <w:rsid w:val="002573E7"/>
    <w:rsid w:val="00291D06"/>
    <w:rsid w:val="00296875"/>
    <w:rsid w:val="002B46E8"/>
    <w:rsid w:val="002D2A32"/>
    <w:rsid w:val="002D42FF"/>
    <w:rsid w:val="002E256C"/>
    <w:rsid w:val="00307423"/>
    <w:rsid w:val="003102B3"/>
    <w:rsid w:val="003568C4"/>
    <w:rsid w:val="00361869"/>
    <w:rsid w:val="00364ED8"/>
    <w:rsid w:val="0036748E"/>
    <w:rsid w:val="00396B17"/>
    <w:rsid w:val="003B1F5D"/>
    <w:rsid w:val="003C6FD8"/>
    <w:rsid w:val="0041123E"/>
    <w:rsid w:val="00415F41"/>
    <w:rsid w:val="00425767"/>
    <w:rsid w:val="00436DEF"/>
    <w:rsid w:val="00444619"/>
    <w:rsid w:val="00446D0C"/>
    <w:rsid w:val="00465706"/>
    <w:rsid w:val="00467C18"/>
    <w:rsid w:val="0047087A"/>
    <w:rsid w:val="00474D46"/>
    <w:rsid w:val="0049222A"/>
    <w:rsid w:val="004A1771"/>
    <w:rsid w:val="004E0B06"/>
    <w:rsid w:val="004E7CA9"/>
    <w:rsid w:val="0051090F"/>
    <w:rsid w:val="005142D1"/>
    <w:rsid w:val="005152FE"/>
    <w:rsid w:val="005206F3"/>
    <w:rsid w:val="0053147F"/>
    <w:rsid w:val="00541D4F"/>
    <w:rsid w:val="00551041"/>
    <w:rsid w:val="0055254A"/>
    <w:rsid w:val="00555E63"/>
    <w:rsid w:val="0058049A"/>
    <w:rsid w:val="00580FCD"/>
    <w:rsid w:val="00587428"/>
    <w:rsid w:val="0059255D"/>
    <w:rsid w:val="00596492"/>
    <w:rsid w:val="005B571B"/>
    <w:rsid w:val="005C2D25"/>
    <w:rsid w:val="005D7BA2"/>
    <w:rsid w:val="005F48CC"/>
    <w:rsid w:val="005F4C79"/>
    <w:rsid w:val="005F6114"/>
    <w:rsid w:val="006105A6"/>
    <w:rsid w:val="00634497"/>
    <w:rsid w:val="00672A22"/>
    <w:rsid w:val="00685538"/>
    <w:rsid w:val="006D6FB3"/>
    <w:rsid w:val="006E162F"/>
    <w:rsid w:val="006E365A"/>
    <w:rsid w:val="006F0ADB"/>
    <w:rsid w:val="006F3D54"/>
    <w:rsid w:val="006F665F"/>
    <w:rsid w:val="007227BA"/>
    <w:rsid w:val="007248C1"/>
    <w:rsid w:val="00725F49"/>
    <w:rsid w:val="00747C47"/>
    <w:rsid w:val="00763D48"/>
    <w:rsid w:val="007661B7"/>
    <w:rsid w:val="00773AB7"/>
    <w:rsid w:val="007871D2"/>
    <w:rsid w:val="007B467C"/>
    <w:rsid w:val="007B5562"/>
    <w:rsid w:val="007C302D"/>
    <w:rsid w:val="007F6D08"/>
    <w:rsid w:val="00816173"/>
    <w:rsid w:val="00822432"/>
    <w:rsid w:val="008937AC"/>
    <w:rsid w:val="008A3516"/>
    <w:rsid w:val="008B5F75"/>
    <w:rsid w:val="008C284B"/>
    <w:rsid w:val="008C5F33"/>
    <w:rsid w:val="008F7856"/>
    <w:rsid w:val="00901675"/>
    <w:rsid w:val="00903620"/>
    <w:rsid w:val="00921C7C"/>
    <w:rsid w:val="00941272"/>
    <w:rsid w:val="0095739F"/>
    <w:rsid w:val="00975970"/>
    <w:rsid w:val="00983F36"/>
    <w:rsid w:val="009C7ADD"/>
    <w:rsid w:val="009D077D"/>
    <w:rsid w:val="009F6395"/>
    <w:rsid w:val="00A05E17"/>
    <w:rsid w:val="00A34794"/>
    <w:rsid w:val="00A36AE3"/>
    <w:rsid w:val="00A4375B"/>
    <w:rsid w:val="00A572AC"/>
    <w:rsid w:val="00A90C50"/>
    <w:rsid w:val="00A97EC0"/>
    <w:rsid w:val="00AA7E36"/>
    <w:rsid w:val="00AD2FE8"/>
    <w:rsid w:val="00AE57D2"/>
    <w:rsid w:val="00AE583A"/>
    <w:rsid w:val="00B22BB3"/>
    <w:rsid w:val="00B510D2"/>
    <w:rsid w:val="00B54044"/>
    <w:rsid w:val="00B62E70"/>
    <w:rsid w:val="00B6504D"/>
    <w:rsid w:val="00B81808"/>
    <w:rsid w:val="00BA1FDD"/>
    <w:rsid w:val="00BB0990"/>
    <w:rsid w:val="00BB135C"/>
    <w:rsid w:val="00BC215D"/>
    <w:rsid w:val="00BE4854"/>
    <w:rsid w:val="00BE76F5"/>
    <w:rsid w:val="00BF28D7"/>
    <w:rsid w:val="00C04CDC"/>
    <w:rsid w:val="00C2222E"/>
    <w:rsid w:val="00C35099"/>
    <w:rsid w:val="00C475D1"/>
    <w:rsid w:val="00C52D36"/>
    <w:rsid w:val="00C63C3B"/>
    <w:rsid w:val="00C65CDE"/>
    <w:rsid w:val="00C71D68"/>
    <w:rsid w:val="00C97178"/>
    <w:rsid w:val="00CA17C7"/>
    <w:rsid w:val="00CC68C9"/>
    <w:rsid w:val="00D055FD"/>
    <w:rsid w:val="00D56E5F"/>
    <w:rsid w:val="00D73CAD"/>
    <w:rsid w:val="00D76FA9"/>
    <w:rsid w:val="00D86564"/>
    <w:rsid w:val="00D86A1F"/>
    <w:rsid w:val="00DA2417"/>
    <w:rsid w:val="00DB2BEC"/>
    <w:rsid w:val="00DF441D"/>
    <w:rsid w:val="00E16DDC"/>
    <w:rsid w:val="00E31ACB"/>
    <w:rsid w:val="00E3763F"/>
    <w:rsid w:val="00E43EE2"/>
    <w:rsid w:val="00E4438C"/>
    <w:rsid w:val="00E4689A"/>
    <w:rsid w:val="00E648DF"/>
    <w:rsid w:val="00E82D2B"/>
    <w:rsid w:val="00E83E02"/>
    <w:rsid w:val="00EC2717"/>
    <w:rsid w:val="00ED0039"/>
    <w:rsid w:val="00ED0691"/>
    <w:rsid w:val="00EE283B"/>
    <w:rsid w:val="00F040FB"/>
    <w:rsid w:val="00F27EB8"/>
    <w:rsid w:val="00F41AAE"/>
    <w:rsid w:val="00F57E97"/>
    <w:rsid w:val="00F639BF"/>
    <w:rsid w:val="00F70D1B"/>
    <w:rsid w:val="00F76250"/>
    <w:rsid w:val="00FB3F20"/>
    <w:rsid w:val="00FC701B"/>
    <w:rsid w:val="00FD0C0A"/>
    <w:rsid w:val="00FD1B45"/>
    <w:rsid w:val="00FE1ED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5A6"/>
  </w:style>
  <w:style w:type="paragraph" w:styleId="Heading1">
    <w:name w:val="heading 1"/>
    <w:basedOn w:val="Normal"/>
    <w:next w:val="Normal"/>
    <w:link w:val="Heading1Char"/>
    <w:uiPriority w:val="9"/>
    <w:qFormat/>
    <w:rsid w:val="006105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105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105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05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05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05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05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05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05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5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105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05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05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05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05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5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5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5A6"/>
    <w:rPr>
      <w:rFonts w:eastAsiaTheme="majorEastAsia" w:cstheme="majorBidi"/>
      <w:color w:val="272727" w:themeColor="text1" w:themeTint="D8"/>
    </w:rPr>
  </w:style>
  <w:style w:type="paragraph" w:styleId="Title">
    <w:name w:val="Title"/>
    <w:basedOn w:val="Normal"/>
    <w:next w:val="Normal"/>
    <w:link w:val="TitleChar"/>
    <w:uiPriority w:val="10"/>
    <w:qFormat/>
    <w:rsid w:val="006105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5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5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05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5A6"/>
    <w:pPr>
      <w:spacing w:before="160"/>
      <w:jc w:val="center"/>
    </w:pPr>
    <w:rPr>
      <w:i/>
      <w:iCs/>
      <w:color w:val="404040" w:themeColor="text1" w:themeTint="BF"/>
    </w:rPr>
  </w:style>
  <w:style w:type="character" w:customStyle="1" w:styleId="QuoteChar">
    <w:name w:val="Quote Char"/>
    <w:basedOn w:val="DefaultParagraphFont"/>
    <w:link w:val="Quote"/>
    <w:uiPriority w:val="29"/>
    <w:rsid w:val="006105A6"/>
    <w:rPr>
      <w:i/>
      <w:iCs/>
      <w:color w:val="404040" w:themeColor="text1" w:themeTint="BF"/>
    </w:rPr>
  </w:style>
  <w:style w:type="paragraph" w:styleId="ListParagraph">
    <w:name w:val="List Paragraph"/>
    <w:basedOn w:val="Normal"/>
    <w:uiPriority w:val="34"/>
    <w:qFormat/>
    <w:rsid w:val="006105A6"/>
    <w:pPr>
      <w:ind w:left="720"/>
      <w:contextualSpacing/>
    </w:pPr>
  </w:style>
  <w:style w:type="character" w:styleId="IntenseEmphasis">
    <w:name w:val="Intense Emphasis"/>
    <w:basedOn w:val="DefaultParagraphFont"/>
    <w:uiPriority w:val="21"/>
    <w:qFormat/>
    <w:rsid w:val="006105A6"/>
    <w:rPr>
      <w:i/>
      <w:iCs/>
      <w:color w:val="2F5496" w:themeColor="accent1" w:themeShade="BF"/>
    </w:rPr>
  </w:style>
  <w:style w:type="paragraph" w:styleId="IntenseQuote">
    <w:name w:val="Intense Quote"/>
    <w:basedOn w:val="Normal"/>
    <w:next w:val="Normal"/>
    <w:link w:val="IntenseQuoteChar"/>
    <w:uiPriority w:val="30"/>
    <w:qFormat/>
    <w:rsid w:val="006105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05A6"/>
    <w:rPr>
      <w:i/>
      <w:iCs/>
      <w:color w:val="2F5496" w:themeColor="accent1" w:themeShade="BF"/>
    </w:rPr>
  </w:style>
  <w:style w:type="character" w:styleId="IntenseReference">
    <w:name w:val="Intense Reference"/>
    <w:basedOn w:val="DefaultParagraphFont"/>
    <w:uiPriority w:val="32"/>
    <w:qFormat/>
    <w:rsid w:val="006105A6"/>
    <w:rPr>
      <w:b/>
      <w:bCs/>
      <w:smallCaps/>
      <w:color w:val="2F5496" w:themeColor="accent1" w:themeShade="BF"/>
      <w:spacing w:val="5"/>
    </w:rPr>
  </w:style>
  <w:style w:type="paragraph" w:styleId="Header">
    <w:name w:val="header"/>
    <w:basedOn w:val="Normal"/>
    <w:link w:val="HeaderChar"/>
    <w:uiPriority w:val="99"/>
    <w:unhideWhenUsed/>
    <w:rsid w:val="00BB0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990"/>
  </w:style>
  <w:style w:type="paragraph" w:styleId="Footer">
    <w:name w:val="footer"/>
    <w:basedOn w:val="Normal"/>
    <w:link w:val="FooterChar"/>
    <w:uiPriority w:val="99"/>
    <w:unhideWhenUsed/>
    <w:rsid w:val="00BB0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990"/>
  </w:style>
  <w:style w:type="character" w:styleId="Hyperlink">
    <w:name w:val="Hyperlink"/>
    <w:basedOn w:val="DefaultParagraphFont"/>
    <w:uiPriority w:val="99"/>
    <w:unhideWhenUsed/>
    <w:rsid w:val="00903620"/>
    <w:rPr>
      <w:color w:val="0563C1" w:themeColor="hyperlink"/>
      <w:u w:val="single"/>
    </w:rPr>
  </w:style>
  <w:style w:type="character" w:customStyle="1" w:styleId="UnresolvedMention1">
    <w:name w:val="Unresolved Mention1"/>
    <w:basedOn w:val="DefaultParagraphFont"/>
    <w:uiPriority w:val="99"/>
    <w:semiHidden/>
    <w:unhideWhenUsed/>
    <w:rsid w:val="00903620"/>
    <w:rPr>
      <w:color w:val="605E5C"/>
      <w:shd w:val="clear" w:color="auto" w:fill="E1DFDD"/>
    </w:rPr>
  </w:style>
  <w:style w:type="paragraph" w:styleId="NormalWeb">
    <w:name w:val="Normal (Web)"/>
    <w:basedOn w:val="Normal"/>
    <w:uiPriority w:val="99"/>
    <w:unhideWhenUsed/>
    <w:rsid w:val="00BE76F5"/>
    <w:pPr>
      <w:spacing w:before="100" w:beforeAutospacing="1" w:after="100" w:afterAutospacing="1" w:line="240" w:lineRule="auto"/>
    </w:pPr>
    <w:rPr>
      <w:rFonts w:ascii="Times New Roman" w:eastAsia="Times New Roman" w:hAnsi="Times New Roman" w:cs="Times New Roman"/>
      <w:kern w:val="0"/>
    </w:rPr>
  </w:style>
  <w:style w:type="character" w:styleId="Emphasis">
    <w:name w:val="Emphasis"/>
    <w:basedOn w:val="DefaultParagraphFont"/>
    <w:uiPriority w:val="20"/>
    <w:qFormat/>
    <w:rsid w:val="00BE76F5"/>
    <w:rPr>
      <w:i/>
      <w:iCs/>
    </w:rPr>
  </w:style>
  <w:style w:type="paragraph" w:customStyle="1" w:styleId="Default">
    <w:name w:val="Default"/>
    <w:rsid w:val="00983F36"/>
    <w:pPr>
      <w:autoSpaceDE w:val="0"/>
      <w:autoSpaceDN w:val="0"/>
      <w:adjustRightInd w:val="0"/>
      <w:spacing w:after="0" w:line="240" w:lineRule="auto"/>
    </w:pPr>
    <w:rPr>
      <w:rFonts w:ascii="Times New Roman" w:hAnsi="Times New Roman" w:cs="Times New Roman"/>
      <w:color w:val="000000"/>
      <w:kern w:val="0"/>
    </w:rPr>
  </w:style>
  <w:style w:type="character" w:customStyle="1" w:styleId="UnresolvedMention">
    <w:name w:val="Unresolved Mention"/>
    <w:basedOn w:val="DefaultParagraphFont"/>
    <w:uiPriority w:val="99"/>
    <w:semiHidden/>
    <w:unhideWhenUsed/>
    <w:rsid w:val="002E256C"/>
    <w:rPr>
      <w:color w:val="605E5C"/>
      <w:shd w:val="clear" w:color="auto" w:fill="E1DFDD"/>
    </w:rPr>
  </w:style>
  <w:style w:type="paragraph" w:customStyle="1" w:styleId="ReferHead">
    <w:name w:val="Refer Head"/>
    <w:basedOn w:val="Normal"/>
    <w:rsid w:val="00B6504D"/>
    <w:pPr>
      <w:keepNext/>
      <w:spacing w:after="240" w:line="240" w:lineRule="auto"/>
    </w:pPr>
    <w:rPr>
      <w:rFonts w:ascii="Helvetica" w:eastAsia="Times New Roman" w:hAnsi="Helvetica" w:cs="Times New Roman"/>
      <w:b/>
      <w:caps/>
      <w:kern w:val="0"/>
      <w:sz w:val="22"/>
      <w:szCs w:val="20"/>
    </w:rPr>
  </w:style>
  <w:style w:type="paragraph" w:styleId="NoSpacing">
    <w:name w:val="No Spacing"/>
    <w:uiPriority w:val="1"/>
    <w:qFormat/>
    <w:rsid w:val="003568C4"/>
    <w:pPr>
      <w:spacing w:after="0" w:line="240" w:lineRule="auto"/>
    </w:pPr>
  </w:style>
  <w:style w:type="paragraph" w:styleId="BalloonText">
    <w:name w:val="Balloon Text"/>
    <w:basedOn w:val="Normal"/>
    <w:link w:val="BalloonTextChar"/>
    <w:uiPriority w:val="99"/>
    <w:semiHidden/>
    <w:unhideWhenUsed/>
    <w:rsid w:val="00BF2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8D7"/>
    <w:rPr>
      <w:rFonts w:ascii="Tahoma" w:hAnsi="Tahoma" w:cs="Tahoma"/>
      <w:sz w:val="16"/>
      <w:szCs w:val="16"/>
    </w:rPr>
  </w:style>
  <w:style w:type="character" w:styleId="CommentReference">
    <w:name w:val="annotation reference"/>
    <w:basedOn w:val="DefaultParagraphFont"/>
    <w:uiPriority w:val="99"/>
    <w:semiHidden/>
    <w:unhideWhenUsed/>
    <w:rsid w:val="00BF28D7"/>
    <w:rPr>
      <w:sz w:val="16"/>
      <w:szCs w:val="16"/>
    </w:rPr>
  </w:style>
  <w:style w:type="paragraph" w:styleId="CommentText">
    <w:name w:val="annotation text"/>
    <w:basedOn w:val="Normal"/>
    <w:link w:val="CommentTextChar"/>
    <w:uiPriority w:val="99"/>
    <w:semiHidden/>
    <w:unhideWhenUsed/>
    <w:rsid w:val="00BF28D7"/>
    <w:pPr>
      <w:spacing w:line="240" w:lineRule="auto"/>
    </w:pPr>
    <w:rPr>
      <w:sz w:val="20"/>
      <w:szCs w:val="20"/>
    </w:rPr>
  </w:style>
  <w:style w:type="character" w:customStyle="1" w:styleId="CommentTextChar">
    <w:name w:val="Comment Text Char"/>
    <w:basedOn w:val="DefaultParagraphFont"/>
    <w:link w:val="CommentText"/>
    <w:uiPriority w:val="99"/>
    <w:semiHidden/>
    <w:rsid w:val="00BF28D7"/>
    <w:rPr>
      <w:sz w:val="20"/>
      <w:szCs w:val="20"/>
    </w:rPr>
  </w:style>
  <w:style w:type="paragraph" w:styleId="CommentSubject">
    <w:name w:val="annotation subject"/>
    <w:basedOn w:val="CommentText"/>
    <w:next w:val="CommentText"/>
    <w:link w:val="CommentSubjectChar"/>
    <w:uiPriority w:val="99"/>
    <w:semiHidden/>
    <w:unhideWhenUsed/>
    <w:rsid w:val="00BF28D7"/>
    <w:rPr>
      <w:b/>
      <w:bCs/>
    </w:rPr>
  </w:style>
  <w:style w:type="character" w:customStyle="1" w:styleId="CommentSubjectChar">
    <w:name w:val="Comment Subject Char"/>
    <w:basedOn w:val="CommentTextChar"/>
    <w:link w:val="CommentSubject"/>
    <w:uiPriority w:val="99"/>
    <w:semiHidden/>
    <w:rsid w:val="00BF28D7"/>
    <w:rPr>
      <w:b/>
      <w:bCs/>
    </w:rPr>
  </w:style>
</w:styles>
</file>

<file path=word/webSettings.xml><?xml version="1.0" encoding="utf-8"?>
<w:webSettings xmlns:r="http://schemas.openxmlformats.org/officeDocument/2006/relationships" xmlns:w="http://schemas.openxmlformats.org/wordprocessingml/2006/main">
  <w:divs>
    <w:div w:id="796606518">
      <w:bodyDiv w:val="1"/>
      <w:marLeft w:val="0"/>
      <w:marRight w:val="0"/>
      <w:marTop w:val="0"/>
      <w:marBottom w:val="0"/>
      <w:divBdr>
        <w:top w:val="none" w:sz="0" w:space="0" w:color="auto"/>
        <w:left w:val="none" w:sz="0" w:space="0" w:color="auto"/>
        <w:bottom w:val="none" w:sz="0" w:space="0" w:color="auto"/>
        <w:right w:val="none" w:sz="0" w:space="0" w:color="auto"/>
      </w:divBdr>
    </w:div>
    <w:div w:id="848058629">
      <w:bodyDiv w:val="1"/>
      <w:marLeft w:val="0"/>
      <w:marRight w:val="0"/>
      <w:marTop w:val="0"/>
      <w:marBottom w:val="0"/>
      <w:divBdr>
        <w:top w:val="none" w:sz="0" w:space="0" w:color="auto"/>
        <w:left w:val="none" w:sz="0" w:space="0" w:color="auto"/>
        <w:bottom w:val="none" w:sz="0" w:space="0" w:color="auto"/>
        <w:right w:val="none" w:sz="0" w:space="0" w:color="auto"/>
      </w:divBdr>
    </w:div>
    <w:div w:id="1065957546">
      <w:bodyDiv w:val="1"/>
      <w:marLeft w:val="0"/>
      <w:marRight w:val="0"/>
      <w:marTop w:val="0"/>
      <w:marBottom w:val="0"/>
      <w:divBdr>
        <w:top w:val="none" w:sz="0" w:space="0" w:color="auto"/>
        <w:left w:val="none" w:sz="0" w:space="0" w:color="auto"/>
        <w:bottom w:val="none" w:sz="0" w:space="0" w:color="auto"/>
        <w:right w:val="none" w:sz="0" w:space="0" w:color="auto"/>
      </w:divBdr>
    </w:div>
    <w:div w:id="107192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s://doi.org/10.3390/su17094223" TargetMode="External"/><Relationship Id="rId26" Type="http://schemas.openxmlformats.org/officeDocument/2006/relationships/hyperlink" Target="https://doi.org/10.3390/catal13010083"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186/s13068-023-02447-4" TargetMode="External"/><Relationship Id="rId34" Type="http://schemas.openxmlformats.org/officeDocument/2006/relationships/hyperlink" Target="https://doi.org/10.1016/j.indcrop.2024.117291" TargetMode="External"/><Relationship Id="rId42"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5.emf"/><Relationship Id="rId17" Type="http://schemas.openxmlformats.org/officeDocument/2006/relationships/hyperlink" Target="https://doi.org/10.1039/D3CC05298B" TargetMode="External"/><Relationship Id="rId25" Type="http://schemas.openxmlformats.org/officeDocument/2006/relationships/hyperlink" Target="https://doi.org/10.1080/15440478.2024.2418357" TargetMode="External"/><Relationship Id="rId33" Type="http://schemas.openxmlformats.org/officeDocument/2006/relationships/hyperlink" Target="https://doi.org/10.3390/su17010287"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s://doi.org/10.3389/fmicb.2025.1554271" TargetMode="External"/><Relationship Id="rId29" Type="http://schemas.openxmlformats.org/officeDocument/2006/relationships/hyperlink" Target="https://www.nature.com/collections/hdabccacf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186/s13068-025-02531-1" TargetMode="External"/><Relationship Id="rId32" Type="http://schemas.openxmlformats.org/officeDocument/2006/relationships/hyperlink" Target="https://doi.org/10.1016/S0038-0717(00)00157-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doi.org/10.1039/D5TA02900G" TargetMode="External"/><Relationship Id="rId28" Type="http://schemas.openxmlformats.org/officeDocument/2006/relationships/hyperlink" Target="https://doi.org/10.1186/s40168-024-01917-7"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doi.org/10.1038/s41522-024-00638-x" TargetMode="External"/><Relationship Id="rId31" Type="http://schemas.openxmlformats.org/officeDocument/2006/relationships/hyperlink" Target="https://doi.org/10.1016/S0141-0229(99)00138-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https://doi.org/10.3389/fmicb.2025.1583746" TargetMode="External"/><Relationship Id="rId27" Type="http://schemas.openxmlformats.org/officeDocument/2006/relationships/hyperlink" Target="https://doi.org/10.1016/j.heliyon.2023.e21006" TargetMode="External"/><Relationship Id="rId30" Type="http://schemas.openxmlformats.org/officeDocument/2006/relationships/hyperlink" Target="https://doi.org/10.1021/acs.chemrev.4c00754"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Software%20for%20Gel%20Calibration%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Sheet1!$B$1:$B$2</c:f>
              <c:strCache>
                <c:ptCount val="1"/>
                <c:pt idx="0">
                  <c:v>Molecular Size bp</c:v>
                </c:pt>
              </c:strCache>
            </c:strRef>
          </c:tx>
          <c:trendline>
            <c:trendlineType val="power"/>
            <c:forward val="1"/>
            <c:backward val="0.2"/>
            <c:dispRSqr val="1"/>
            <c:dispEq val="1"/>
            <c:trendlineLbl>
              <c:layout>
                <c:manualLayout>
                  <c:x val="0.44190813648293975"/>
                  <c:y val="0.39169327792359332"/>
                </c:manualLayout>
              </c:layout>
              <c:numFmt formatCode="General" sourceLinked="0"/>
            </c:trendlineLbl>
          </c:trendline>
          <c:xVal>
            <c:numRef>
              <c:f>Sheet1!$A$3:$A$32</c:f>
              <c:numCache>
                <c:formatCode>General</c:formatCode>
                <c:ptCount val="30"/>
                <c:pt idx="0">
                  <c:v>1.6</c:v>
                </c:pt>
                <c:pt idx="1">
                  <c:v>1.8</c:v>
                </c:pt>
                <c:pt idx="2">
                  <c:v>2</c:v>
                </c:pt>
                <c:pt idx="3">
                  <c:v>2.2999999999999998</c:v>
                </c:pt>
                <c:pt idx="4">
                  <c:v>2.4</c:v>
                </c:pt>
                <c:pt idx="5">
                  <c:v>2.5499999999999998</c:v>
                </c:pt>
                <c:pt idx="6">
                  <c:v>2.75</c:v>
                </c:pt>
                <c:pt idx="7">
                  <c:v>3</c:v>
                </c:pt>
                <c:pt idx="8">
                  <c:v>3.4</c:v>
                </c:pt>
              </c:numCache>
            </c:numRef>
          </c:xVal>
          <c:yVal>
            <c:numRef>
              <c:f>Sheet1!$B$3:$B$32</c:f>
              <c:numCache>
                <c:formatCode>General</c:formatCode>
                <c:ptCount val="30"/>
                <c:pt idx="0">
                  <c:v>1350</c:v>
                </c:pt>
                <c:pt idx="1">
                  <c:v>916</c:v>
                </c:pt>
                <c:pt idx="2">
                  <c:v>766</c:v>
                </c:pt>
                <c:pt idx="3">
                  <c:v>500</c:v>
                </c:pt>
                <c:pt idx="4">
                  <c:v>450</c:v>
                </c:pt>
                <c:pt idx="5">
                  <c:v>400</c:v>
                </c:pt>
                <c:pt idx="6">
                  <c:v>300</c:v>
                </c:pt>
                <c:pt idx="7">
                  <c:v>200</c:v>
                </c:pt>
                <c:pt idx="8">
                  <c:v>100</c:v>
                </c:pt>
              </c:numCache>
            </c:numRef>
          </c:yVal>
          <c:extLst xmlns:c16r2="http://schemas.microsoft.com/office/drawing/2015/06/chart">
            <c:ext xmlns:c16="http://schemas.microsoft.com/office/drawing/2014/chart" uri="{C3380CC4-5D6E-409C-BE32-E72D297353CC}">
              <c16:uniqueId val="{00000001-0892-46FD-BA9B-89066D537147}"/>
            </c:ext>
          </c:extLst>
        </c:ser>
        <c:axId val="189870848"/>
        <c:axId val="48862720"/>
      </c:scatterChart>
      <c:valAx>
        <c:axId val="189870848"/>
        <c:scaling>
          <c:orientation val="minMax"/>
        </c:scaling>
        <c:axPos val="b"/>
        <c:majorGridlines/>
        <c:minorGridlines/>
        <c:title>
          <c:tx>
            <c:rich>
              <a:bodyPr/>
              <a:lstStyle/>
              <a:p>
                <a:pPr>
                  <a:defRPr/>
                </a:pPr>
                <a:r>
                  <a:rPr lang="en-US"/>
                  <a:t>Migration Distance cm</a:t>
                </a:r>
              </a:p>
            </c:rich>
          </c:tx>
        </c:title>
        <c:numFmt formatCode="General" sourceLinked="1"/>
        <c:tickLblPos val="nextTo"/>
        <c:crossAx val="48862720"/>
        <c:crosses val="autoZero"/>
        <c:crossBetween val="midCat"/>
        <c:majorUnit val="1"/>
      </c:valAx>
      <c:valAx>
        <c:axId val="48862720"/>
        <c:scaling>
          <c:logBase val="10"/>
          <c:orientation val="minMax"/>
          <c:min val="100"/>
        </c:scaling>
        <c:axPos val="l"/>
        <c:majorGridlines/>
        <c:minorGridlines/>
        <c:title>
          <c:tx>
            <c:rich>
              <a:bodyPr/>
              <a:lstStyle/>
              <a:p>
                <a:pPr>
                  <a:defRPr/>
                </a:pPr>
                <a:r>
                  <a:rPr lang="en-US"/>
                  <a:t>Marker Size</a:t>
                </a:r>
              </a:p>
            </c:rich>
          </c:tx>
        </c:title>
        <c:numFmt formatCode="General" sourceLinked="1"/>
        <c:tickLblPos val="nextTo"/>
        <c:crossAx val="189870848"/>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11</Pages>
  <Words>3741</Words>
  <Characters>21324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Family System</cp:lastModifiedBy>
  <cp:revision>51</cp:revision>
  <dcterms:created xsi:type="dcterms:W3CDTF">2025-09-05T13:17:00Z</dcterms:created>
  <dcterms:modified xsi:type="dcterms:W3CDTF">2025-11-13T07:09:00Z</dcterms:modified>
</cp:coreProperties>
</file>