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DEE66" w14:textId="77777777" w:rsidR="00903CA7" w:rsidRPr="009F6F44" w:rsidRDefault="00903CA7" w:rsidP="009F6F44">
      <w:pPr>
        <w:spacing w:after="0" w:line="240" w:lineRule="auto"/>
        <w:jc w:val="right"/>
        <w:rPr>
          <w:rFonts w:ascii="Arial" w:hAnsi="Arial" w:cs="Arial"/>
          <w:b/>
          <w:sz w:val="36"/>
          <w:szCs w:val="36"/>
        </w:rPr>
      </w:pPr>
    </w:p>
    <w:p w14:paraId="0A834735" w14:textId="1FE0825D" w:rsidR="00903CA7" w:rsidRPr="00A878EA" w:rsidRDefault="00A878EA" w:rsidP="00903CA7">
      <w:pPr>
        <w:spacing w:after="0" w:line="240" w:lineRule="auto"/>
        <w:jc w:val="right"/>
        <w:rPr>
          <w:rFonts w:ascii="Arial" w:hAnsi="Arial" w:cs="Arial"/>
          <w:b/>
          <w:sz w:val="36"/>
          <w:szCs w:val="36"/>
        </w:rPr>
      </w:pPr>
      <w:r w:rsidRPr="00A878EA">
        <w:rPr>
          <w:rFonts w:ascii="Arial" w:hAnsi="Arial" w:cs="Arial"/>
          <w:b/>
          <w:sz w:val="36"/>
          <w:szCs w:val="36"/>
        </w:rPr>
        <w:t>Optimum Dos</w:t>
      </w:r>
      <w:r w:rsidR="00882B10">
        <w:rPr>
          <w:rFonts w:ascii="Arial" w:hAnsi="Arial" w:cs="Arial"/>
          <w:b/>
          <w:sz w:val="36"/>
          <w:szCs w:val="36"/>
        </w:rPr>
        <w:t>age</w:t>
      </w:r>
      <w:r w:rsidRPr="00A878EA">
        <w:rPr>
          <w:rFonts w:ascii="Arial" w:hAnsi="Arial" w:cs="Arial"/>
          <w:b/>
          <w:sz w:val="36"/>
          <w:szCs w:val="36"/>
        </w:rPr>
        <w:t xml:space="preserve"> of Thyroxine Hormone</w:t>
      </w:r>
      <w:r w:rsidR="00C365D3" w:rsidRPr="00C365D3">
        <w:rPr>
          <w:rFonts w:ascii="Arial" w:hAnsi="Arial" w:cs="Arial"/>
          <w:b/>
          <w:sz w:val="36"/>
          <w:szCs w:val="36"/>
        </w:rPr>
        <w:t xml:space="preserve"> </w:t>
      </w:r>
      <w:r w:rsidR="00C365D3">
        <w:rPr>
          <w:rFonts w:ascii="Arial" w:hAnsi="Arial" w:cs="Arial"/>
          <w:b/>
          <w:sz w:val="36"/>
          <w:szCs w:val="36"/>
        </w:rPr>
        <w:t>Immersion</w:t>
      </w:r>
      <w:r w:rsidRPr="00A878EA">
        <w:rPr>
          <w:rFonts w:ascii="Arial" w:hAnsi="Arial" w:cs="Arial"/>
          <w:b/>
          <w:sz w:val="36"/>
          <w:szCs w:val="36"/>
        </w:rPr>
        <w:t xml:space="preserve"> on the Growth and Survival of Giant Gourami (</w:t>
      </w:r>
      <w:r w:rsidRPr="00A878EA">
        <w:rPr>
          <w:rFonts w:ascii="Arial" w:hAnsi="Arial" w:cs="Arial"/>
          <w:b/>
          <w:i/>
          <w:iCs/>
          <w:sz w:val="36"/>
          <w:szCs w:val="36"/>
        </w:rPr>
        <w:t>Osphronemus goramy</w:t>
      </w:r>
      <w:r>
        <w:rPr>
          <w:rFonts w:ascii="Arial" w:hAnsi="Arial" w:cs="Arial"/>
          <w:b/>
          <w:sz w:val="36"/>
          <w:szCs w:val="36"/>
        </w:rPr>
        <w:t xml:space="preserve"> Lacepede</w:t>
      </w:r>
      <w:r w:rsidRPr="00A878EA">
        <w:rPr>
          <w:rFonts w:ascii="Arial" w:hAnsi="Arial" w:cs="Arial"/>
          <w:b/>
          <w:sz w:val="36"/>
          <w:szCs w:val="36"/>
        </w:rPr>
        <w:t>) Fry</w:t>
      </w:r>
      <w:r w:rsidR="00903CA7" w:rsidRPr="00A878EA">
        <w:rPr>
          <w:rFonts w:ascii="Arial" w:hAnsi="Arial" w:cs="Arial"/>
          <w:b/>
          <w:sz w:val="36"/>
          <w:szCs w:val="36"/>
        </w:rPr>
        <w:t xml:space="preserve"> </w:t>
      </w:r>
    </w:p>
    <w:p w14:paraId="693DFF62" w14:textId="694F7007" w:rsidR="00501F6C" w:rsidRDefault="00903CA7" w:rsidP="007A5DC6">
      <w:pPr>
        <w:pStyle w:val="Author"/>
        <w:spacing w:line="240" w:lineRule="auto"/>
        <w:rPr>
          <w:rFonts w:ascii="Arial" w:hAnsi="Arial" w:cs="Arial"/>
          <w:bCs/>
          <w:iCs/>
          <w:kern w:val="28"/>
          <w:sz w:val="36"/>
        </w:rPr>
      </w:pPr>
      <w:r>
        <w:rPr>
          <w:rFonts w:ascii="Arial" w:hAnsi="Arial" w:cs="Arial"/>
          <w:bCs/>
          <w:iCs/>
          <w:kern w:val="28"/>
          <w:sz w:val="36"/>
        </w:rPr>
        <w:t xml:space="preserve"> </w:t>
      </w:r>
      <w:r w:rsidR="00501F6C">
        <w:rPr>
          <w:rFonts w:ascii="Arial" w:hAnsi="Arial" w:cs="Arial"/>
          <w:bCs/>
          <w:iCs/>
          <w:kern w:val="28"/>
          <w:sz w:val="36"/>
        </w:rPr>
        <w:t xml:space="preserve"> </w:t>
      </w:r>
    </w:p>
    <w:p w14:paraId="3B955E9D" w14:textId="389AE208" w:rsidR="00501F6C" w:rsidRDefault="00501F6C" w:rsidP="00501F6C">
      <w:pPr>
        <w:pStyle w:val="Author"/>
        <w:spacing w:line="240" w:lineRule="auto"/>
        <w:rPr>
          <w:rFonts w:ascii="Arial" w:hAnsi="Arial" w:cs="Arial"/>
          <w:bCs/>
          <w:iCs/>
          <w:color w:val="EE0000"/>
          <w:kern w:val="28"/>
          <w:sz w:val="36"/>
          <w:lang w:val="en-ID"/>
        </w:rPr>
      </w:pPr>
    </w:p>
    <w:p w14:paraId="28DE0EC5" w14:textId="77777777" w:rsidR="00F67D34" w:rsidRPr="00F63056" w:rsidRDefault="00F67D34" w:rsidP="00501F6C">
      <w:pPr>
        <w:pStyle w:val="Author"/>
        <w:spacing w:line="240" w:lineRule="auto"/>
        <w:rPr>
          <w:rFonts w:ascii="Arial" w:hAnsi="Arial" w:cs="Arial"/>
          <w:bCs/>
          <w:iCs/>
          <w:color w:val="EE0000"/>
          <w:kern w:val="28"/>
          <w:sz w:val="36"/>
          <w:lang w:val="en-ID"/>
        </w:rPr>
      </w:pPr>
    </w:p>
    <w:p w14:paraId="1A40B24B" w14:textId="17A7D847" w:rsidR="00501F6C" w:rsidRPr="000F57D2" w:rsidRDefault="00501F6C" w:rsidP="00501F6C">
      <w:pPr>
        <w:pStyle w:val="Author"/>
        <w:spacing w:line="240" w:lineRule="auto"/>
        <w:jc w:val="left"/>
        <w:rPr>
          <w:rFonts w:ascii="Arial" w:hAnsi="Arial" w:cs="Arial"/>
          <w:bCs/>
          <w:iCs/>
          <w:kern w:val="28"/>
          <w:sz w:val="22"/>
          <w:szCs w:val="22"/>
          <w:lang w:val="en-ID"/>
        </w:rPr>
      </w:pPr>
      <w:r w:rsidRPr="000F57D2">
        <w:rPr>
          <w:rFonts w:ascii="Arial" w:hAnsi="Arial" w:cs="Arial"/>
          <w:bCs/>
          <w:iCs/>
          <w:kern w:val="28"/>
          <w:sz w:val="22"/>
          <w:szCs w:val="22"/>
          <w:lang w:val="en-ID"/>
        </w:rPr>
        <w:t>ABSTRACT</w:t>
      </w:r>
    </w:p>
    <w:p w14:paraId="735D6BC3" w14:textId="77777777" w:rsidR="00501F6C" w:rsidRDefault="00501F6C" w:rsidP="00501F6C">
      <w:pPr>
        <w:pStyle w:val="Author"/>
        <w:spacing w:line="240" w:lineRule="auto"/>
        <w:jc w:val="left"/>
        <w:rPr>
          <w:rFonts w:ascii="Arial" w:hAnsi="Arial" w:cs="Arial"/>
          <w:bCs/>
          <w:iCs/>
          <w:kern w:val="28"/>
          <w:sz w:val="22"/>
          <w:szCs w:val="22"/>
          <w:lang w:val="en-ID"/>
        </w:rPr>
      </w:pPr>
    </w:p>
    <w:tbl>
      <w:tblPr>
        <w:tblStyle w:val="TableGrid"/>
        <w:tblW w:w="0" w:type="auto"/>
        <w:tblLook w:val="04A0" w:firstRow="1" w:lastRow="0" w:firstColumn="1" w:lastColumn="0" w:noHBand="0" w:noVBand="1"/>
      </w:tblPr>
      <w:tblGrid>
        <w:gridCol w:w="9016"/>
      </w:tblGrid>
      <w:tr w:rsidR="00501F6C" w14:paraId="1D42F397" w14:textId="77777777" w:rsidTr="00501F6C">
        <w:tc>
          <w:tcPr>
            <w:tcW w:w="9016" w:type="dxa"/>
          </w:tcPr>
          <w:p w14:paraId="734E4892" w14:textId="75D56957" w:rsidR="00501F6C" w:rsidRPr="00024045" w:rsidRDefault="000204ED" w:rsidP="00AB47A1">
            <w:pPr>
              <w:jc w:val="both"/>
              <w:rPr>
                <w:rFonts w:ascii="Arial" w:hAnsi="Arial" w:cs="Arial"/>
                <w:sz w:val="20"/>
                <w:szCs w:val="20"/>
              </w:rPr>
            </w:pPr>
            <w:r w:rsidRPr="00786F38">
              <w:rPr>
                <w:rFonts w:ascii="Arial" w:hAnsi="Arial" w:cs="Arial"/>
                <w:bCs/>
                <w:sz w:val="20"/>
              </w:rPr>
              <w:t xml:space="preserve">Although gourami fish is a significant economic commodity in Indonesia, slow fish growth and fry mortality rates hinder </w:t>
            </w:r>
            <w:r w:rsidRPr="000F57D2">
              <w:rPr>
                <w:rFonts w:ascii="Arial" w:hAnsi="Arial" w:cs="Arial"/>
                <w:sz w:val="20"/>
              </w:rPr>
              <w:t>fingerlings</w:t>
            </w:r>
            <w:r w:rsidRPr="00786F38">
              <w:rPr>
                <w:rFonts w:ascii="Arial" w:hAnsi="Arial" w:cs="Arial"/>
                <w:bCs/>
                <w:sz w:val="20"/>
              </w:rPr>
              <w:t xml:space="preserve"> production. Finding the ideal thyroxine hormone dosage to promote gourami fry growth and survival (15 days after hatching) was the goal of this study. Six thyroxine dos</w:t>
            </w:r>
            <w:r w:rsidR="000F57D2">
              <w:rPr>
                <w:rFonts w:ascii="Arial" w:hAnsi="Arial" w:cs="Arial"/>
                <w:bCs/>
                <w:sz w:val="20"/>
              </w:rPr>
              <w:t>age</w:t>
            </w:r>
            <w:r w:rsidRPr="00786F38">
              <w:rPr>
                <w:rFonts w:ascii="Arial" w:hAnsi="Arial" w:cs="Arial"/>
                <w:bCs/>
                <w:sz w:val="20"/>
              </w:rPr>
              <w:t xml:space="preserve"> treatments (A: 0.00 mg/L; B: 0.25 mg/L; C: 0.5 mg/L; D: 0.75 mg/L; E: 1.00 mg/L; and F: 1.25 mg/L) and four replications were used in this completely randomized design.</w:t>
            </w:r>
            <w:r w:rsidR="007624A0">
              <w:rPr>
                <w:rFonts w:ascii="Arial" w:hAnsi="Arial" w:cs="Arial"/>
                <w:iCs/>
                <w:color w:val="EE0000"/>
                <w:kern w:val="28"/>
                <w:sz w:val="20"/>
              </w:rPr>
              <w:t xml:space="preserve"> </w:t>
            </w:r>
            <w:r w:rsidRPr="000204ED">
              <w:rPr>
                <w:rFonts w:ascii="Arial" w:hAnsi="Arial" w:cs="Arial"/>
                <w:iCs/>
                <w:kern w:val="28"/>
                <w:sz w:val="20"/>
              </w:rPr>
              <w:t xml:space="preserve">The study was conducted at Padjadjaran University's </w:t>
            </w:r>
            <w:r w:rsidR="000F57D2" w:rsidRPr="000204ED">
              <w:rPr>
                <w:rFonts w:ascii="Arial" w:hAnsi="Arial" w:cs="Arial"/>
                <w:iCs/>
                <w:kern w:val="28"/>
                <w:sz w:val="20"/>
              </w:rPr>
              <w:t>Faculty of Agriculture</w:t>
            </w:r>
            <w:r w:rsidR="000F57D2">
              <w:rPr>
                <w:rFonts w:ascii="Arial" w:hAnsi="Arial" w:cs="Arial"/>
                <w:iCs/>
                <w:kern w:val="28"/>
                <w:sz w:val="20"/>
              </w:rPr>
              <w:t>,</w:t>
            </w:r>
            <w:r w:rsidR="000F57D2" w:rsidRPr="000204ED">
              <w:rPr>
                <w:rFonts w:ascii="Arial" w:hAnsi="Arial" w:cs="Arial"/>
                <w:iCs/>
                <w:kern w:val="28"/>
                <w:sz w:val="20"/>
              </w:rPr>
              <w:t xml:space="preserve"> </w:t>
            </w:r>
            <w:r w:rsidRPr="000204ED">
              <w:rPr>
                <w:rFonts w:ascii="Arial" w:hAnsi="Arial" w:cs="Arial"/>
                <w:iCs/>
                <w:kern w:val="28"/>
                <w:sz w:val="20"/>
              </w:rPr>
              <w:t xml:space="preserve">Pedca Fisheries Laboratory. The gourami fry's weight, length, and survival over the course of </w:t>
            </w:r>
            <w:r w:rsidRPr="003A1ABE">
              <w:rPr>
                <w:rFonts w:ascii="Arial" w:hAnsi="Arial" w:cs="Arial"/>
                <w:iCs/>
                <w:kern w:val="28"/>
                <w:sz w:val="20"/>
                <w:highlight w:val="yellow"/>
              </w:rPr>
              <w:t>60 days of maintenance</w:t>
            </w:r>
            <w:r w:rsidRPr="000204ED">
              <w:rPr>
                <w:rFonts w:ascii="Arial" w:hAnsi="Arial" w:cs="Arial"/>
                <w:iCs/>
                <w:kern w:val="28"/>
                <w:sz w:val="20"/>
              </w:rPr>
              <w:t xml:space="preserve"> (March–May 2025) are test parameters. </w:t>
            </w:r>
            <w:r w:rsidR="004B0BD7" w:rsidRPr="004B0BD7">
              <w:rPr>
                <w:rFonts w:ascii="Arial" w:hAnsi="Arial" w:cs="Arial"/>
                <w:iCs/>
                <w:kern w:val="28"/>
                <w:sz w:val="20"/>
              </w:rPr>
              <w:t xml:space="preserve">The results of the analysis of variance test revealed that </w:t>
            </w:r>
            <w:r w:rsidR="004B0BD7">
              <w:rPr>
                <w:rFonts w:ascii="Arial" w:hAnsi="Arial" w:cs="Arial"/>
                <w:iCs/>
                <w:kern w:val="28"/>
                <w:sz w:val="20"/>
              </w:rPr>
              <w:t>immersion</w:t>
            </w:r>
            <w:r w:rsidR="004B0BD7" w:rsidRPr="004B0BD7">
              <w:rPr>
                <w:rFonts w:ascii="Arial" w:hAnsi="Arial" w:cs="Arial"/>
                <w:iCs/>
                <w:kern w:val="28"/>
                <w:sz w:val="20"/>
              </w:rPr>
              <w:t xml:space="preserve"> gourami fry with thyroxine considerably improved their growth and survival when compared to not </w:t>
            </w:r>
            <w:r w:rsidR="004B0BD7">
              <w:rPr>
                <w:rFonts w:ascii="Arial" w:hAnsi="Arial" w:cs="Arial"/>
                <w:iCs/>
                <w:kern w:val="28"/>
                <w:sz w:val="20"/>
              </w:rPr>
              <w:t>immersion</w:t>
            </w:r>
            <w:r w:rsidR="004B0BD7" w:rsidRPr="004B0BD7">
              <w:rPr>
                <w:rFonts w:ascii="Arial" w:hAnsi="Arial" w:cs="Arial"/>
                <w:iCs/>
                <w:kern w:val="28"/>
                <w:sz w:val="20"/>
              </w:rPr>
              <w:t xml:space="preserve"> them. The Duncan's Multiple Range test </w:t>
            </w:r>
            <w:r w:rsidR="004B0BD7">
              <w:rPr>
                <w:rFonts w:ascii="Arial" w:hAnsi="Arial" w:cs="Arial"/>
                <w:iCs/>
                <w:kern w:val="28"/>
                <w:sz w:val="20"/>
              </w:rPr>
              <w:t>showed</w:t>
            </w:r>
            <w:r w:rsidR="004B0BD7" w:rsidRPr="004B0BD7">
              <w:rPr>
                <w:rFonts w:ascii="Arial" w:hAnsi="Arial" w:cs="Arial"/>
                <w:iCs/>
                <w:kern w:val="28"/>
                <w:sz w:val="20"/>
              </w:rPr>
              <w:t xml:space="preserve"> that a thyroxine hormone dosage of 1.00 mg/L produced an optimal survival rate of 91% and growth body length and weight of 8.04 cm and 9.2 g. </w:t>
            </w:r>
          </w:p>
        </w:tc>
      </w:tr>
    </w:tbl>
    <w:p w14:paraId="27C94C8B" w14:textId="77777777" w:rsidR="00501F6C" w:rsidRDefault="00501F6C" w:rsidP="00501F6C">
      <w:pPr>
        <w:pStyle w:val="Author"/>
        <w:spacing w:line="240" w:lineRule="auto"/>
        <w:jc w:val="left"/>
        <w:rPr>
          <w:rFonts w:ascii="Arial" w:hAnsi="Arial" w:cs="Arial"/>
          <w:bCs/>
          <w:iCs/>
          <w:kern w:val="28"/>
          <w:sz w:val="22"/>
          <w:szCs w:val="22"/>
          <w:lang w:val="en-ID"/>
        </w:rPr>
      </w:pPr>
    </w:p>
    <w:p w14:paraId="005E21FF" w14:textId="3B3641F2" w:rsidR="00704DC8" w:rsidRPr="00704DC8" w:rsidRDefault="00501F6C" w:rsidP="00704DC8">
      <w:pPr>
        <w:widowControl w:val="0"/>
        <w:pBdr>
          <w:top w:val="nil"/>
          <w:left w:val="nil"/>
          <w:bottom w:val="nil"/>
          <w:right w:val="nil"/>
          <w:between w:val="nil"/>
        </w:pBdr>
        <w:spacing w:line="230" w:lineRule="auto"/>
        <w:ind w:left="14" w:right="-2" w:firstLine="1"/>
        <w:jc w:val="both"/>
        <w:rPr>
          <w:rFonts w:ascii="Arial" w:eastAsia="Times New Roman" w:hAnsi="Arial" w:cs="Arial"/>
          <w:i/>
          <w:color w:val="000000"/>
          <w:sz w:val="20"/>
          <w:szCs w:val="20"/>
        </w:rPr>
      </w:pPr>
      <w:r w:rsidRPr="00704DC8">
        <w:rPr>
          <w:rFonts w:ascii="Arial" w:hAnsi="Arial" w:cs="Arial"/>
          <w:b/>
          <w:i/>
          <w:kern w:val="28"/>
          <w:sz w:val="20"/>
          <w:szCs w:val="20"/>
        </w:rPr>
        <w:t>Keywords:</w:t>
      </w:r>
      <w:r w:rsidR="00704DC8" w:rsidRPr="00704DC8">
        <w:rPr>
          <w:rFonts w:ascii="Arial" w:hAnsi="Arial" w:cs="Arial"/>
          <w:b/>
          <w:i/>
          <w:kern w:val="28"/>
          <w:sz w:val="20"/>
        </w:rPr>
        <w:t xml:space="preserve"> </w:t>
      </w:r>
      <w:r w:rsidR="00171C4A">
        <w:rPr>
          <w:rFonts w:ascii="Arial" w:eastAsia="Times New Roman" w:hAnsi="Arial" w:cs="Arial"/>
          <w:i/>
          <w:color w:val="000000"/>
          <w:sz w:val="20"/>
          <w:szCs w:val="20"/>
        </w:rPr>
        <w:t>giant goramy</w:t>
      </w:r>
      <w:r w:rsidR="00704DC8" w:rsidRPr="00704DC8">
        <w:rPr>
          <w:rFonts w:ascii="Arial" w:eastAsia="Times New Roman" w:hAnsi="Arial" w:cs="Arial"/>
          <w:i/>
          <w:color w:val="000000"/>
          <w:sz w:val="20"/>
          <w:szCs w:val="20"/>
        </w:rPr>
        <w:t xml:space="preserve">, </w:t>
      </w:r>
      <w:r w:rsidR="00171C4A">
        <w:rPr>
          <w:rFonts w:ascii="Arial" w:eastAsia="Times New Roman" w:hAnsi="Arial" w:cs="Arial"/>
          <w:i/>
          <w:color w:val="000000"/>
          <w:sz w:val="20"/>
          <w:szCs w:val="20"/>
        </w:rPr>
        <w:t>thyroxine</w:t>
      </w:r>
      <w:r w:rsidR="00704DC8" w:rsidRPr="00704DC8">
        <w:rPr>
          <w:rFonts w:ascii="Arial" w:eastAsia="Times New Roman" w:hAnsi="Arial" w:cs="Arial"/>
          <w:i/>
          <w:color w:val="000000"/>
          <w:sz w:val="20"/>
          <w:szCs w:val="20"/>
        </w:rPr>
        <w:t xml:space="preserve">; </w:t>
      </w:r>
      <w:r w:rsidR="00171C4A">
        <w:rPr>
          <w:rFonts w:ascii="Arial" w:eastAsia="Times New Roman" w:hAnsi="Arial" w:cs="Arial"/>
          <w:i/>
          <w:color w:val="000000"/>
          <w:sz w:val="20"/>
          <w:szCs w:val="20"/>
        </w:rPr>
        <w:t>weight</w:t>
      </w:r>
      <w:r w:rsidR="00704DC8" w:rsidRPr="00704DC8">
        <w:rPr>
          <w:rFonts w:ascii="Arial" w:eastAsia="Times New Roman" w:hAnsi="Arial" w:cs="Arial"/>
          <w:i/>
          <w:color w:val="000000"/>
          <w:sz w:val="20"/>
          <w:szCs w:val="20"/>
        </w:rPr>
        <w:t xml:space="preserve"> growth; </w:t>
      </w:r>
      <w:r w:rsidR="00C53095">
        <w:rPr>
          <w:rFonts w:ascii="Arial" w:eastAsia="Times New Roman" w:hAnsi="Arial" w:cs="Arial"/>
          <w:i/>
          <w:color w:val="000000"/>
          <w:sz w:val="20"/>
          <w:szCs w:val="20"/>
        </w:rPr>
        <w:t>body</w:t>
      </w:r>
      <w:r w:rsidR="00171C4A">
        <w:rPr>
          <w:rFonts w:ascii="Arial" w:eastAsia="Times New Roman" w:hAnsi="Arial" w:cs="Arial"/>
          <w:i/>
          <w:color w:val="000000"/>
          <w:sz w:val="20"/>
          <w:szCs w:val="20"/>
        </w:rPr>
        <w:t>l length growth</w:t>
      </w:r>
      <w:r w:rsidR="00704DC8" w:rsidRPr="00704DC8">
        <w:rPr>
          <w:rFonts w:ascii="Arial" w:eastAsia="Times New Roman" w:hAnsi="Arial" w:cs="Arial"/>
          <w:i/>
          <w:color w:val="000000"/>
          <w:sz w:val="20"/>
          <w:szCs w:val="20"/>
        </w:rPr>
        <w:t xml:space="preserve">; </w:t>
      </w:r>
      <w:r w:rsidR="00171C4A">
        <w:rPr>
          <w:rFonts w:ascii="Arial" w:eastAsia="Times New Roman" w:hAnsi="Arial" w:cs="Arial"/>
          <w:i/>
          <w:color w:val="000000"/>
          <w:sz w:val="20"/>
          <w:szCs w:val="20"/>
        </w:rPr>
        <w:t>fry</w:t>
      </w:r>
      <w:r w:rsidR="00704DC8" w:rsidRPr="00704DC8">
        <w:rPr>
          <w:rFonts w:ascii="Arial" w:eastAsia="Times New Roman" w:hAnsi="Arial" w:cs="Arial"/>
          <w:i/>
          <w:color w:val="000000"/>
          <w:sz w:val="20"/>
          <w:szCs w:val="20"/>
        </w:rPr>
        <w:t>.</w:t>
      </w:r>
    </w:p>
    <w:p w14:paraId="6260FD91" w14:textId="364AE52A" w:rsidR="00501F6C" w:rsidRDefault="00501F6C" w:rsidP="00501F6C">
      <w:pPr>
        <w:pStyle w:val="Author"/>
        <w:spacing w:line="240" w:lineRule="auto"/>
        <w:jc w:val="left"/>
        <w:rPr>
          <w:rFonts w:ascii="Arial" w:hAnsi="Arial" w:cs="Arial"/>
          <w:b w:val="0"/>
          <w:iCs/>
          <w:kern w:val="28"/>
          <w:sz w:val="20"/>
          <w:lang w:val="en-ID"/>
        </w:rPr>
      </w:pPr>
    </w:p>
    <w:p w14:paraId="75C7A03B" w14:textId="77777777" w:rsidR="006846B5" w:rsidRDefault="006846B5" w:rsidP="00501F6C">
      <w:pPr>
        <w:pStyle w:val="Author"/>
        <w:spacing w:line="240" w:lineRule="auto"/>
        <w:jc w:val="left"/>
        <w:rPr>
          <w:rFonts w:ascii="Arial" w:hAnsi="Arial" w:cs="Arial"/>
          <w:b w:val="0"/>
          <w:iCs/>
          <w:kern w:val="28"/>
          <w:sz w:val="20"/>
          <w:lang w:val="en-ID"/>
        </w:rPr>
        <w:sectPr w:rsidR="006846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DBB5AE9" w14:textId="77777777" w:rsidR="00636FF0" w:rsidRPr="00636FF0" w:rsidRDefault="00636FF0" w:rsidP="00636FF0">
      <w:pPr>
        <w:pStyle w:val="Author"/>
        <w:numPr>
          <w:ilvl w:val="0"/>
          <w:numId w:val="10"/>
        </w:numPr>
        <w:spacing w:line="240" w:lineRule="auto"/>
        <w:ind w:left="426"/>
        <w:jc w:val="left"/>
        <w:rPr>
          <w:rFonts w:ascii="Arial" w:hAnsi="Arial" w:cs="Arial"/>
          <w:bCs/>
          <w:iCs/>
          <w:kern w:val="28"/>
          <w:sz w:val="20"/>
          <w:lang w:val="en-ID"/>
        </w:rPr>
      </w:pPr>
      <w:r w:rsidRPr="00636FF0">
        <w:rPr>
          <w:rFonts w:ascii="Arial" w:hAnsi="Arial" w:cs="Arial"/>
          <w:bCs/>
          <w:iCs/>
          <w:kern w:val="28"/>
          <w:sz w:val="20"/>
          <w:lang w:val="en-ID"/>
        </w:rPr>
        <w:t>INTRODUCTION</w:t>
      </w:r>
    </w:p>
    <w:p w14:paraId="3E19E888" w14:textId="4BA236B4" w:rsidR="00343A19" w:rsidRPr="00105C14" w:rsidRDefault="00F63056" w:rsidP="008C4C96">
      <w:pPr>
        <w:pStyle w:val="Author"/>
        <w:spacing w:line="240" w:lineRule="auto"/>
        <w:ind w:left="66"/>
        <w:jc w:val="both"/>
        <w:rPr>
          <w:rFonts w:ascii="Arial" w:hAnsi="Arial" w:cs="Arial"/>
          <w:b w:val="0"/>
          <w:bCs/>
          <w:color w:val="000000"/>
          <w:sz w:val="20"/>
        </w:rPr>
      </w:pPr>
      <w:r w:rsidRPr="00481EBF">
        <w:rPr>
          <w:rFonts w:ascii="Arial" w:hAnsi="Arial" w:cs="Arial"/>
          <w:b w:val="0"/>
          <w:bCs/>
          <w:sz w:val="20"/>
        </w:rPr>
        <w:t>The demand for 0.5</w:t>
      </w:r>
      <w:r w:rsidR="00F02476" w:rsidRPr="00481EBF">
        <w:rPr>
          <w:rFonts w:ascii="Arial" w:hAnsi="Arial" w:cs="Arial"/>
          <w:b w:val="0"/>
          <w:bCs/>
          <w:sz w:val="20"/>
        </w:rPr>
        <w:t xml:space="preserve"> </w:t>
      </w:r>
      <w:r w:rsidRPr="00481EBF">
        <w:rPr>
          <w:rFonts w:ascii="Arial" w:hAnsi="Arial" w:cs="Arial"/>
          <w:b w:val="0"/>
          <w:bCs/>
          <w:sz w:val="20"/>
        </w:rPr>
        <w:t xml:space="preserve">g gourami </w:t>
      </w:r>
      <w:r w:rsidR="00481EBF">
        <w:rPr>
          <w:rFonts w:ascii="Arial" w:hAnsi="Arial" w:cs="Arial"/>
          <w:b w:val="0"/>
          <w:bCs/>
          <w:sz w:val="20"/>
        </w:rPr>
        <w:t>fry</w:t>
      </w:r>
      <w:r w:rsidRPr="00481EBF">
        <w:rPr>
          <w:rFonts w:ascii="Arial" w:hAnsi="Arial" w:cs="Arial"/>
          <w:b w:val="0"/>
          <w:bCs/>
          <w:sz w:val="20"/>
        </w:rPr>
        <w:t xml:space="preserve"> per fish in several gourami centers on the island of Java, Indonesia (Purwokerto, Parung, Tasikmalaya, Blitar) is quite high, around 100,000 fish per week, but only 50% can be fulfilled [1].</w:t>
      </w:r>
      <w:r w:rsidR="00425ABF" w:rsidRPr="00481EBF">
        <w:rPr>
          <w:rFonts w:ascii="Arial" w:hAnsi="Arial" w:cs="Arial"/>
          <w:b w:val="0"/>
          <w:bCs/>
          <w:sz w:val="20"/>
        </w:rPr>
        <w:t xml:space="preserve"> </w:t>
      </w:r>
      <w:r w:rsidRPr="00290B65">
        <w:rPr>
          <w:rFonts w:ascii="Arial" w:hAnsi="Arial" w:cs="Arial"/>
          <w:b w:val="0"/>
          <w:bCs/>
          <w:sz w:val="20"/>
        </w:rPr>
        <w:t xml:space="preserve">The low survival rate and growth of the larval to </w:t>
      </w:r>
      <w:r w:rsidR="00481EBF" w:rsidRPr="00290B65">
        <w:rPr>
          <w:rFonts w:ascii="Arial" w:hAnsi="Arial" w:cs="Arial"/>
          <w:b w:val="0"/>
          <w:bCs/>
          <w:sz w:val="20"/>
        </w:rPr>
        <w:t>fry</w:t>
      </w:r>
      <w:r w:rsidRPr="00481EBF">
        <w:rPr>
          <w:rFonts w:ascii="Arial" w:hAnsi="Arial" w:cs="Arial"/>
          <w:b w:val="0"/>
          <w:bCs/>
          <w:sz w:val="20"/>
        </w:rPr>
        <w:t xml:space="preserve"> stage, which ranges from 20-60%, is the cause of low </w:t>
      </w:r>
      <w:r w:rsidR="00F02476" w:rsidRPr="00481EBF">
        <w:rPr>
          <w:rFonts w:ascii="Arial" w:hAnsi="Arial" w:cs="Arial"/>
          <w:b w:val="0"/>
          <w:bCs/>
          <w:sz w:val="20"/>
        </w:rPr>
        <w:t xml:space="preserve">giant </w:t>
      </w:r>
      <w:r w:rsidRPr="00481EBF">
        <w:rPr>
          <w:rFonts w:ascii="Arial" w:hAnsi="Arial" w:cs="Arial"/>
          <w:b w:val="0"/>
          <w:bCs/>
          <w:sz w:val="20"/>
        </w:rPr>
        <w:t xml:space="preserve">gourami </w:t>
      </w:r>
      <w:r w:rsidR="00F02476" w:rsidRPr="00481EBF">
        <w:rPr>
          <w:rFonts w:ascii="Arial" w:hAnsi="Arial" w:cs="Arial"/>
          <w:b w:val="0"/>
          <w:bCs/>
          <w:sz w:val="20"/>
        </w:rPr>
        <w:t>fry</w:t>
      </w:r>
      <w:r w:rsidRPr="00481EBF">
        <w:rPr>
          <w:rFonts w:ascii="Arial" w:hAnsi="Arial" w:cs="Arial"/>
          <w:b w:val="0"/>
          <w:bCs/>
          <w:sz w:val="20"/>
        </w:rPr>
        <w:t xml:space="preserve"> production [2].</w:t>
      </w:r>
      <w:r w:rsidR="00425ABF" w:rsidRPr="003512DA">
        <w:rPr>
          <w:rFonts w:ascii="Arial" w:hAnsi="Arial" w:cs="Arial"/>
          <w:b w:val="0"/>
          <w:bCs/>
          <w:color w:val="EE0000"/>
          <w:sz w:val="20"/>
        </w:rPr>
        <w:t xml:space="preserve"> </w:t>
      </w:r>
      <w:r w:rsidR="003512DA" w:rsidRPr="00B7659F">
        <w:rPr>
          <w:rFonts w:ascii="Arial" w:hAnsi="Arial" w:cs="Arial"/>
          <w:b w:val="0"/>
          <w:bCs/>
          <w:sz w:val="20"/>
          <w:highlight w:val="yellow"/>
        </w:rPr>
        <w:t>Mortality of gourami fry occurs when they are 12 days old after hatching,</w:t>
      </w:r>
      <w:r w:rsidR="003512DA" w:rsidRPr="00481EBF">
        <w:rPr>
          <w:rFonts w:ascii="Arial" w:hAnsi="Arial" w:cs="Arial"/>
          <w:b w:val="0"/>
          <w:bCs/>
          <w:sz w:val="20"/>
        </w:rPr>
        <w:t xml:space="preserve"> which is related to the exhaustion of egg yolk reserves and the incomplete development of digestive organs and continues when the development of additional respiratory organs (labyrinth) begins [3]</w:t>
      </w:r>
      <w:r w:rsidR="008C4C96" w:rsidRPr="00481EBF">
        <w:rPr>
          <w:rFonts w:ascii="Arial" w:hAnsi="Arial" w:cs="Arial"/>
          <w:b w:val="0"/>
          <w:bCs/>
          <w:sz w:val="20"/>
        </w:rPr>
        <w:t>. If cell growth can be stimulated during the development of the larvae's digestive and respiratory organs, the survival of gourami fry can be improved.</w:t>
      </w:r>
      <w:r w:rsidR="008C4C96" w:rsidRPr="008C4C96">
        <w:rPr>
          <w:rFonts w:ascii="Arial" w:hAnsi="Arial" w:cs="Arial"/>
          <w:b w:val="0"/>
          <w:bCs/>
          <w:color w:val="EE0000"/>
          <w:sz w:val="20"/>
        </w:rPr>
        <w:t xml:space="preserve"> </w:t>
      </w:r>
      <w:r w:rsidR="008C4C96" w:rsidRPr="00481EBF">
        <w:rPr>
          <w:rFonts w:ascii="Arial" w:hAnsi="Arial" w:cs="Arial"/>
          <w:b w:val="0"/>
          <w:bCs/>
          <w:sz w:val="20"/>
        </w:rPr>
        <w:t>The hormone thyroxine (or tetraiodothyronine, T4) in larvae begins to be produced at 7 days after hatching, which plays a crucial role in regulating the growth and development of fish larvae during the development of their organs [4,5,6].</w:t>
      </w:r>
      <w:r w:rsidR="00163157" w:rsidRPr="008C4C96">
        <w:rPr>
          <w:rFonts w:ascii="Arial" w:hAnsi="Arial" w:cs="Arial"/>
          <w:b w:val="0"/>
          <w:bCs/>
          <w:color w:val="EE0000"/>
          <w:sz w:val="20"/>
        </w:rPr>
        <w:t xml:space="preserve"> </w:t>
      </w:r>
      <w:r w:rsidR="008C4C96" w:rsidRPr="00481EBF">
        <w:rPr>
          <w:rFonts w:ascii="Arial" w:hAnsi="Arial" w:cs="Arial"/>
          <w:b w:val="0"/>
          <w:bCs/>
          <w:sz w:val="20"/>
        </w:rPr>
        <w:t xml:space="preserve">Low levels of thyroxine hormone during larval development lead to a slowdown in the development of important organs (respiratory, nervous and digestive systems) which can increase larval mortality [7]. Administration of T4 hormone through immersion during the </w:t>
      </w:r>
      <w:r w:rsidR="008C4C96" w:rsidRPr="00481EBF">
        <w:rPr>
          <w:rFonts w:ascii="Arial" w:hAnsi="Arial" w:cs="Arial"/>
          <w:b w:val="0"/>
          <w:bCs/>
          <w:sz w:val="20"/>
        </w:rPr>
        <w:t>development period of gourami larvae is recommended as early as possible to increase the development of important organs and larval survival, considering that the yolk reserves are completely absorbed after 10 days of the larvae hatching [8]</w:t>
      </w:r>
      <w:r w:rsidR="00163157" w:rsidRPr="00481EBF">
        <w:rPr>
          <w:rFonts w:ascii="Arial" w:hAnsi="Arial" w:cs="Arial"/>
          <w:b w:val="0"/>
          <w:bCs/>
          <w:sz w:val="20"/>
        </w:rPr>
        <w:t>.</w:t>
      </w:r>
      <w:r w:rsidR="005D4D5C" w:rsidRPr="00481EBF">
        <w:rPr>
          <w:rFonts w:ascii="Arial" w:hAnsi="Arial" w:cs="Arial"/>
          <w:b w:val="0"/>
          <w:bCs/>
          <w:sz w:val="20"/>
        </w:rPr>
        <w:t xml:space="preserve"> </w:t>
      </w:r>
      <w:r w:rsidR="002C2F73" w:rsidRPr="00481EBF">
        <w:rPr>
          <w:rFonts w:ascii="Arial" w:hAnsi="Arial" w:cs="Arial"/>
          <w:b w:val="0"/>
          <w:bCs/>
          <w:sz w:val="20"/>
        </w:rPr>
        <w:t>The i</w:t>
      </w:r>
      <w:r w:rsidR="00190ECC" w:rsidRPr="00481EBF">
        <w:rPr>
          <w:rFonts w:ascii="Arial" w:hAnsi="Arial" w:cs="Arial"/>
          <w:b w:val="0"/>
          <w:bCs/>
          <w:sz w:val="20"/>
        </w:rPr>
        <w:t>mmersion</w:t>
      </w:r>
      <w:r w:rsidR="008C4C96" w:rsidRPr="00481EBF">
        <w:rPr>
          <w:rFonts w:ascii="Arial" w:hAnsi="Arial" w:cs="Arial"/>
          <w:b w:val="0"/>
          <w:bCs/>
          <w:sz w:val="20"/>
        </w:rPr>
        <w:t xml:space="preserve"> gourami larvae</w:t>
      </w:r>
      <w:r w:rsidR="00481EBF" w:rsidRPr="00481EBF">
        <w:rPr>
          <w:rFonts w:ascii="Arial" w:hAnsi="Arial" w:cs="Arial"/>
          <w:b w:val="0"/>
          <w:bCs/>
          <w:sz w:val="20"/>
        </w:rPr>
        <w:t xml:space="preserve"> and fry</w:t>
      </w:r>
      <w:r w:rsidR="008C4C96" w:rsidRPr="00481EBF">
        <w:rPr>
          <w:rFonts w:ascii="Arial" w:hAnsi="Arial" w:cs="Arial"/>
          <w:b w:val="0"/>
          <w:bCs/>
          <w:sz w:val="20"/>
        </w:rPr>
        <w:t xml:space="preserve"> in a thyroxine hormone solution requires an optimal dos</w:t>
      </w:r>
      <w:r w:rsidR="00481EBF">
        <w:rPr>
          <w:rFonts w:ascii="Arial" w:hAnsi="Arial" w:cs="Arial"/>
          <w:b w:val="0"/>
          <w:bCs/>
          <w:sz w:val="20"/>
        </w:rPr>
        <w:t>age</w:t>
      </w:r>
      <w:r w:rsidR="008C4C96" w:rsidRPr="00481EBF">
        <w:rPr>
          <w:rFonts w:ascii="Arial" w:hAnsi="Arial" w:cs="Arial"/>
          <w:b w:val="0"/>
          <w:bCs/>
          <w:sz w:val="20"/>
        </w:rPr>
        <w:t xml:space="preserve"> suitable for larval</w:t>
      </w:r>
      <w:r w:rsidR="00481EBF">
        <w:rPr>
          <w:rFonts w:ascii="Arial" w:hAnsi="Arial" w:cs="Arial"/>
          <w:b w:val="0"/>
          <w:bCs/>
          <w:sz w:val="20"/>
        </w:rPr>
        <w:t xml:space="preserve"> or fry</w:t>
      </w:r>
      <w:r w:rsidR="008C4C96" w:rsidRPr="00481EBF">
        <w:rPr>
          <w:rFonts w:ascii="Arial" w:hAnsi="Arial" w:cs="Arial"/>
          <w:b w:val="0"/>
          <w:bCs/>
          <w:sz w:val="20"/>
        </w:rPr>
        <w:t xml:space="preserve"> growth and survival. Excessive doses of T4 accelerate the larvae's metabolism and damage the nervous system, liver, and heart, leading to larval mortality [8,2].</w:t>
      </w:r>
      <w:r w:rsidR="005D4D5C" w:rsidRPr="00481EBF">
        <w:rPr>
          <w:rFonts w:ascii="Arial" w:hAnsi="Arial" w:cs="Arial"/>
          <w:b w:val="0"/>
          <w:bCs/>
          <w:sz w:val="20"/>
        </w:rPr>
        <w:t xml:space="preserve"> </w:t>
      </w:r>
      <w:r w:rsidR="008C4C96" w:rsidRPr="00481EBF">
        <w:rPr>
          <w:rFonts w:ascii="Arial" w:hAnsi="Arial" w:cs="Arial"/>
          <w:b w:val="0"/>
          <w:bCs/>
          <w:sz w:val="20"/>
        </w:rPr>
        <w:t xml:space="preserve">This indication was found in carp larvae </w:t>
      </w:r>
      <w:r w:rsidR="00481EBF" w:rsidRPr="00481EBF">
        <w:rPr>
          <w:rFonts w:ascii="Arial" w:hAnsi="Arial" w:cs="Arial"/>
          <w:b w:val="0"/>
          <w:bCs/>
          <w:sz w:val="20"/>
        </w:rPr>
        <w:t>immersed</w:t>
      </w:r>
      <w:r w:rsidR="008C4C96" w:rsidRPr="00481EBF">
        <w:rPr>
          <w:rFonts w:ascii="Arial" w:hAnsi="Arial" w:cs="Arial"/>
          <w:b w:val="0"/>
          <w:bCs/>
          <w:sz w:val="20"/>
        </w:rPr>
        <w:t xml:space="preserve"> in T4 hormone (5 mg/L concentration) which only gave 10% larval survival, but at a dos</w:t>
      </w:r>
      <w:r w:rsidR="00481EBF" w:rsidRPr="00481EBF">
        <w:rPr>
          <w:rFonts w:ascii="Arial" w:hAnsi="Arial" w:cs="Arial"/>
          <w:b w:val="0"/>
          <w:bCs/>
          <w:sz w:val="20"/>
        </w:rPr>
        <w:t>age</w:t>
      </w:r>
      <w:r w:rsidR="008C4C96" w:rsidRPr="00481EBF">
        <w:rPr>
          <w:rFonts w:ascii="Arial" w:hAnsi="Arial" w:cs="Arial"/>
          <w:b w:val="0"/>
          <w:bCs/>
          <w:sz w:val="20"/>
        </w:rPr>
        <w:t xml:space="preserve"> of 0.1 mg/L increased larval survival up to 80% [9]. The optimum growth of milkfish larvae when </w:t>
      </w:r>
      <w:r w:rsidR="00481EBF" w:rsidRPr="00481EBF">
        <w:rPr>
          <w:rFonts w:ascii="Arial" w:hAnsi="Arial" w:cs="Arial"/>
          <w:b w:val="0"/>
          <w:bCs/>
          <w:sz w:val="20"/>
        </w:rPr>
        <w:t>immersed</w:t>
      </w:r>
      <w:r w:rsidR="008C4C96" w:rsidRPr="00481EBF">
        <w:rPr>
          <w:rFonts w:ascii="Arial" w:hAnsi="Arial" w:cs="Arial"/>
          <w:b w:val="0"/>
          <w:bCs/>
          <w:sz w:val="20"/>
        </w:rPr>
        <w:t xml:space="preserve"> in T4 hormone at a dos</w:t>
      </w:r>
      <w:r w:rsidR="00481EBF" w:rsidRPr="00481EBF">
        <w:rPr>
          <w:rFonts w:ascii="Arial" w:hAnsi="Arial" w:cs="Arial"/>
          <w:b w:val="0"/>
          <w:bCs/>
          <w:sz w:val="20"/>
        </w:rPr>
        <w:t>age</w:t>
      </w:r>
      <w:r w:rsidR="008C4C96" w:rsidRPr="00481EBF">
        <w:rPr>
          <w:rFonts w:ascii="Arial" w:hAnsi="Arial" w:cs="Arial"/>
          <w:b w:val="0"/>
          <w:bCs/>
          <w:sz w:val="20"/>
        </w:rPr>
        <w:t xml:space="preserve"> of 0.5 mg/L (500 μg/L) and the optimum growth of tilapia larvae at a dose of 1.0 mg/L [10].</w:t>
      </w:r>
      <w:r w:rsidR="00333FDD" w:rsidRPr="00481EBF">
        <w:rPr>
          <w:rFonts w:ascii="Arial" w:hAnsi="Arial" w:cs="Arial"/>
          <w:b w:val="0"/>
          <w:bCs/>
          <w:sz w:val="20"/>
        </w:rPr>
        <w:t xml:space="preserve"> </w:t>
      </w:r>
      <w:r w:rsidR="00B31004" w:rsidRPr="00481EBF">
        <w:rPr>
          <w:rFonts w:ascii="Arial" w:hAnsi="Arial" w:cs="Arial"/>
          <w:b w:val="0"/>
          <w:bCs/>
          <w:sz w:val="20"/>
        </w:rPr>
        <w:t>Thus, a research study is needed on the optimum dos</w:t>
      </w:r>
      <w:r w:rsidR="00F02476" w:rsidRPr="00481EBF">
        <w:rPr>
          <w:rFonts w:ascii="Arial" w:hAnsi="Arial" w:cs="Arial"/>
          <w:b w:val="0"/>
          <w:bCs/>
          <w:sz w:val="20"/>
        </w:rPr>
        <w:t>age</w:t>
      </w:r>
      <w:r w:rsidR="00B31004" w:rsidRPr="00481EBF">
        <w:rPr>
          <w:rFonts w:ascii="Arial" w:hAnsi="Arial" w:cs="Arial"/>
          <w:b w:val="0"/>
          <w:bCs/>
          <w:sz w:val="20"/>
        </w:rPr>
        <w:t xml:space="preserve"> that supports the growth and survival of gourami fish fry to increase gourami </w:t>
      </w:r>
      <w:r w:rsidR="007E07E4" w:rsidRPr="00481EBF">
        <w:rPr>
          <w:rFonts w:ascii="Arial" w:hAnsi="Arial" w:cs="Arial"/>
          <w:b w:val="0"/>
          <w:bCs/>
          <w:sz w:val="20"/>
        </w:rPr>
        <w:t>fry</w:t>
      </w:r>
      <w:r w:rsidR="00B31004" w:rsidRPr="00481EBF">
        <w:rPr>
          <w:rFonts w:ascii="Arial" w:hAnsi="Arial" w:cs="Arial"/>
          <w:b w:val="0"/>
          <w:bCs/>
          <w:sz w:val="20"/>
        </w:rPr>
        <w:t xml:space="preserve"> production in community </w:t>
      </w:r>
      <w:r w:rsidR="007E07E4" w:rsidRPr="00481EBF">
        <w:rPr>
          <w:rFonts w:ascii="Arial" w:hAnsi="Arial" w:cs="Arial"/>
          <w:b w:val="0"/>
          <w:bCs/>
          <w:sz w:val="20"/>
        </w:rPr>
        <w:t>fingerlings</w:t>
      </w:r>
      <w:r w:rsidR="00B31004" w:rsidRPr="00481EBF">
        <w:rPr>
          <w:rFonts w:ascii="Arial" w:hAnsi="Arial" w:cs="Arial"/>
          <w:b w:val="0"/>
          <w:bCs/>
          <w:sz w:val="20"/>
        </w:rPr>
        <w:t xml:space="preserve"> units.</w:t>
      </w:r>
      <w:r w:rsidR="00333FDD" w:rsidRPr="00481EBF">
        <w:rPr>
          <w:rFonts w:ascii="Arial" w:hAnsi="Arial" w:cs="Arial"/>
          <w:b w:val="0"/>
          <w:bCs/>
          <w:sz w:val="20"/>
        </w:rPr>
        <w:t xml:space="preserve"> </w:t>
      </w:r>
    </w:p>
    <w:p w14:paraId="7005C86F" w14:textId="77777777" w:rsidR="00636FF0" w:rsidRDefault="00636FF0" w:rsidP="00343A19">
      <w:pPr>
        <w:pStyle w:val="Author"/>
        <w:spacing w:line="240" w:lineRule="auto"/>
        <w:jc w:val="both"/>
        <w:rPr>
          <w:rFonts w:ascii="Arial" w:hAnsi="Arial" w:cs="Arial"/>
          <w:b w:val="0"/>
          <w:iCs/>
          <w:kern w:val="28"/>
          <w:sz w:val="20"/>
          <w:lang w:val="en-ID"/>
        </w:rPr>
      </w:pPr>
    </w:p>
    <w:p w14:paraId="092E7B16" w14:textId="77777777" w:rsidR="00636FF0" w:rsidRDefault="00636FF0" w:rsidP="00535F4E">
      <w:pPr>
        <w:pStyle w:val="Author"/>
        <w:numPr>
          <w:ilvl w:val="0"/>
          <w:numId w:val="10"/>
        </w:numPr>
        <w:spacing w:line="240" w:lineRule="auto"/>
        <w:ind w:left="426"/>
        <w:jc w:val="both"/>
        <w:rPr>
          <w:rFonts w:ascii="Arial" w:hAnsi="Arial" w:cs="Arial"/>
          <w:bCs/>
          <w:iCs/>
          <w:kern w:val="28"/>
          <w:sz w:val="20"/>
          <w:lang w:val="en-ID"/>
        </w:rPr>
      </w:pPr>
      <w:r w:rsidRPr="00535F4E">
        <w:rPr>
          <w:rFonts w:ascii="Arial" w:hAnsi="Arial" w:cs="Arial"/>
          <w:bCs/>
          <w:iCs/>
          <w:kern w:val="28"/>
          <w:sz w:val="20"/>
          <w:lang w:val="en-ID"/>
        </w:rPr>
        <w:t>MATERIAL AND METHODS</w:t>
      </w:r>
    </w:p>
    <w:p w14:paraId="009C5C08" w14:textId="77777777" w:rsidR="00370552" w:rsidRPr="00535F4E" w:rsidRDefault="00370552" w:rsidP="00370552">
      <w:pPr>
        <w:pStyle w:val="Author"/>
        <w:spacing w:line="240" w:lineRule="auto"/>
        <w:ind w:left="426"/>
        <w:jc w:val="both"/>
        <w:rPr>
          <w:rFonts w:ascii="Arial" w:hAnsi="Arial" w:cs="Arial"/>
          <w:bCs/>
          <w:iCs/>
          <w:kern w:val="28"/>
          <w:sz w:val="20"/>
          <w:lang w:val="en-ID"/>
        </w:rPr>
      </w:pPr>
    </w:p>
    <w:p w14:paraId="336C2A19" w14:textId="5A70213F" w:rsidR="00A96411" w:rsidRPr="004F69A0" w:rsidRDefault="00A70C37" w:rsidP="00C95BF8">
      <w:pPr>
        <w:pStyle w:val="Author"/>
        <w:spacing w:line="240" w:lineRule="auto"/>
        <w:ind w:left="68"/>
        <w:jc w:val="both"/>
        <w:rPr>
          <w:rFonts w:ascii="Arial" w:hAnsi="Arial" w:cs="Arial"/>
          <w:b w:val="0"/>
          <w:iCs/>
          <w:kern w:val="28"/>
          <w:sz w:val="20"/>
          <w:lang w:val="en-ID"/>
        </w:rPr>
      </w:pPr>
      <w:r w:rsidRPr="004F69A0">
        <w:rPr>
          <w:rFonts w:ascii="Arial" w:hAnsi="Arial" w:cs="Arial"/>
          <w:b w:val="0"/>
          <w:iCs/>
          <w:kern w:val="28"/>
          <w:sz w:val="20"/>
          <w:lang w:val="en-ID"/>
        </w:rPr>
        <w:t>The research was conducted at the Pedca Fisheries Laboratory, Faculty of Agriculture, Padjadjaran University, for 60 days (March-</w:t>
      </w:r>
      <w:r w:rsidRPr="004F69A0">
        <w:rPr>
          <w:rFonts w:ascii="Arial" w:hAnsi="Arial" w:cs="Arial"/>
          <w:b w:val="0"/>
          <w:iCs/>
          <w:kern w:val="28"/>
          <w:sz w:val="20"/>
          <w:lang w:val="en-ID"/>
        </w:rPr>
        <w:lastRenderedPageBreak/>
        <w:t>May 2025) to test the growth and survival of gourami fry. The preparation of thyroxine hormone stock solutions was carried out at the hatchery of the Faculty of Fisheries and Marine Sciences, Padjadjaran University.</w:t>
      </w:r>
      <w:r w:rsidR="00A96411" w:rsidRPr="004F69A0">
        <w:rPr>
          <w:rFonts w:ascii="Arial" w:hAnsi="Arial" w:cs="Arial"/>
          <w:b w:val="0"/>
          <w:iCs/>
          <w:kern w:val="28"/>
          <w:sz w:val="20"/>
          <w:lang w:val="en-ID"/>
        </w:rPr>
        <w:t xml:space="preserve"> </w:t>
      </w:r>
    </w:p>
    <w:p w14:paraId="1D0FEC82" w14:textId="77777777" w:rsidR="00636FF0" w:rsidRDefault="00636FF0" w:rsidP="00546A62">
      <w:pPr>
        <w:pStyle w:val="Author"/>
        <w:spacing w:line="240" w:lineRule="auto"/>
        <w:jc w:val="both"/>
        <w:rPr>
          <w:rFonts w:ascii="Arial" w:hAnsi="Arial" w:cs="Arial"/>
          <w:b w:val="0"/>
          <w:iCs/>
          <w:kern w:val="28"/>
          <w:sz w:val="20"/>
          <w:lang w:val="en-ID"/>
        </w:rPr>
      </w:pPr>
    </w:p>
    <w:p w14:paraId="49C3FECD" w14:textId="6D187B11" w:rsidR="001729D4" w:rsidRDefault="00B70F66" w:rsidP="00535F4E">
      <w:pPr>
        <w:pStyle w:val="Author"/>
        <w:numPr>
          <w:ilvl w:val="1"/>
          <w:numId w:val="10"/>
        </w:numPr>
        <w:spacing w:line="240" w:lineRule="auto"/>
        <w:ind w:left="426"/>
        <w:jc w:val="both"/>
        <w:rPr>
          <w:rFonts w:ascii="Arial" w:hAnsi="Arial" w:cs="Arial"/>
          <w:bCs/>
          <w:iCs/>
          <w:kern w:val="28"/>
          <w:sz w:val="20"/>
          <w:lang w:val="en-ID"/>
        </w:rPr>
      </w:pPr>
      <w:r>
        <w:rPr>
          <w:rFonts w:ascii="Arial" w:hAnsi="Arial" w:cs="Arial"/>
          <w:bCs/>
          <w:iCs/>
          <w:kern w:val="28"/>
          <w:sz w:val="20"/>
          <w:lang w:val="en-ID"/>
        </w:rPr>
        <w:t xml:space="preserve">Implementation </w:t>
      </w:r>
      <w:r w:rsidR="00070927">
        <w:rPr>
          <w:rFonts w:ascii="Arial" w:hAnsi="Arial" w:cs="Arial"/>
          <w:bCs/>
          <w:iCs/>
          <w:kern w:val="28"/>
          <w:sz w:val="20"/>
          <w:lang w:val="en-ID"/>
        </w:rPr>
        <w:t>for research</w:t>
      </w:r>
    </w:p>
    <w:p w14:paraId="2EB8971B" w14:textId="77777777" w:rsidR="00370552" w:rsidRPr="00535F4E" w:rsidRDefault="00370552" w:rsidP="00370552">
      <w:pPr>
        <w:pStyle w:val="Author"/>
        <w:spacing w:line="240" w:lineRule="auto"/>
        <w:ind w:left="426"/>
        <w:jc w:val="both"/>
        <w:rPr>
          <w:rFonts w:ascii="Arial" w:hAnsi="Arial" w:cs="Arial"/>
          <w:bCs/>
          <w:iCs/>
          <w:kern w:val="28"/>
          <w:sz w:val="20"/>
          <w:lang w:val="en-ID"/>
        </w:rPr>
      </w:pPr>
    </w:p>
    <w:p w14:paraId="742EB836" w14:textId="0CFD1698" w:rsidR="00535F4E" w:rsidRDefault="002C2F73" w:rsidP="00F02476">
      <w:pPr>
        <w:pStyle w:val="Author"/>
        <w:spacing w:line="240" w:lineRule="auto"/>
        <w:ind w:left="66"/>
        <w:jc w:val="both"/>
        <w:rPr>
          <w:rFonts w:ascii="Arial" w:hAnsi="Arial" w:cs="Arial"/>
          <w:b w:val="0"/>
          <w:iCs/>
          <w:color w:val="EE0000"/>
          <w:kern w:val="28"/>
          <w:sz w:val="20"/>
          <w:lang w:val="en-ID"/>
        </w:rPr>
      </w:pPr>
      <w:r w:rsidRPr="001A1A4B">
        <w:rPr>
          <w:rFonts w:ascii="Arial" w:hAnsi="Arial" w:cs="Arial"/>
          <w:b w:val="0"/>
          <w:iCs/>
          <w:kern w:val="28"/>
          <w:sz w:val="20"/>
          <w:lang w:val="en-ID"/>
        </w:rPr>
        <w:t xml:space="preserve">The materials used included 750 </w:t>
      </w:r>
      <w:r w:rsidR="00F02476" w:rsidRPr="001A1A4B">
        <w:rPr>
          <w:rFonts w:ascii="Arial" w:hAnsi="Arial" w:cs="Arial"/>
          <w:b w:val="0"/>
          <w:iCs/>
          <w:kern w:val="28"/>
          <w:sz w:val="20"/>
          <w:lang w:val="en-ID"/>
        </w:rPr>
        <w:t xml:space="preserve">giant </w:t>
      </w:r>
      <w:r w:rsidRPr="001A1A4B">
        <w:rPr>
          <w:rFonts w:ascii="Arial" w:hAnsi="Arial" w:cs="Arial"/>
          <w:b w:val="0"/>
          <w:iCs/>
          <w:kern w:val="28"/>
          <w:sz w:val="20"/>
          <w:lang w:val="en-ID"/>
        </w:rPr>
        <w:t xml:space="preserve">gourami fish </w:t>
      </w:r>
      <w:commentRangeStart w:id="0"/>
      <w:r w:rsidRPr="001A1A4B">
        <w:rPr>
          <w:rFonts w:ascii="Arial" w:hAnsi="Arial" w:cs="Arial"/>
          <w:b w:val="0"/>
          <w:iCs/>
          <w:kern w:val="28"/>
          <w:sz w:val="20"/>
          <w:lang w:val="en-ID"/>
        </w:rPr>
        <w:t>(</w:t>
      </w:r>
      <w:r w:rsidRPr="001A1A4B">
        <w:rPr>
          <w:rFonts w:ascii="Arial" w:hAnsi="Arial" w:cs="Arial"/>
          <w:b w:val="0"/>
          <w:i/>
          <w:kern w:val="28"/>
          <w:sz w:val="20"/>
          <w:lang w:val="en-ID"/>
        </w:rPr>
        <w:t>O. goramy</w:t>
      </w:r>
      <w:r w:rsidRPr="001A1A4B">
        <w:rPr>
          <w:rFonts w:ascii="Arial" w:hAnsi="Arial" w:cs="Arial"/>
          <w:b w:val="0"/>
          <w:iCs/>
          <w:kern w:val="28"/>
          <w:sz w:val="20"/>
          <w:lang w:val="en-ID"/>
        </w:rPr>
        <w:t>)</w:t>
      </w:r>
      <w:commentRangeEnd w:id="0"/>
      <w:r w:rsidR="00932041">
        <w:rPr>
          <w:rStyle w:val="CommentReference"/>
          <w:rFonts w:asciiTheme="minorHAnsi" w:eastAsiaTheme="minorHAnsi" w:hAnsiTheme="minorHAnsi" w:cstheme="minorBidi"/>
          <w:b w:val="0"/>
          <w:kern w:val="2"/>
          <w:lang w:val="en-ID"/>
          <w14:ligatures w14:val="standardContextual"/>
        </w:rPr>
        <w:commentReference w:id="0"/>
      </w:r>
      <w:r w:rsidRPr="001A1A4B">
        <w:rPr>
          <w:rFonts w:ascii="Arial" w:hAnsi="Arial" w:cs="Arial"/>
          <w:b w:val="0"/>
          <w:iCs/>
          <w:kern w:val="28"/>
          <w:sz w:val="20"/>
          <w:lang w:val="en-ID"/>
        </w:rPr>
        <w:t xml:space="preserve"> </w:t>
      </w:r>
      <w:r w:rsidRPr="00B7659F">
        <w:rPr>
          <w:rFonts w:ascii="Arial" w:hAnsi="Arial" w:cs="Arial"/>
          <w:b w:val="0"/>
          <w:iCs/>
          <w:kern w:val="28"/>
          <w:sz w:val="20"/>
          <w:highlight w:val="yellow"/>
          <w:lang w:val="en-ID"/>
        </w:rPr>
        <w:t>fry aged 15 days after</w:t>
      </w:r>
      <w:r w:rsidRPr="001A1A4B">
        <w:rPr>
          <w:rFonts w:ascii="Arial" w:hAnsi="Arial" w:cs="Arial"/>
          <w:b w:val="0"/>
          <w:iCs/>
          <w:kern w:val="28"/>
          <w:sz w:val="20"/>
          <w:lang w:val="en-ID"/>
        </w:rPr>
        <w:t xml:space="preserve"> hatching obtained from the Singaparna Fish </w:t>
      </w:r>
      <w:r w:rsidR="00351F80" w:rsidRPr="001A1A4B">
        <w:rPr>
          <w:rFonts w:ascii="Arial" w:hAnsi="Arial" w:cs="Arial"/>
          <w:b w:val="0"/>
          <w:iCs/>
          <w:kern w:val="28"/>
          <w:sz w:val="20"/>
          <w:lang w:val="en-ID"/>
        </w:rPr>
        <w:t>Fingerlings</w:t>
      </w:r>
      <w:r w:rsidRPr="001A1A4B">
        <w:rPr>
          <w:rFonts w:ascii="Arial" w:hAnsi="Arial" w:cs="Arial"/>
          <w:b w:val="0"/>
          <w:iCs/>
          <w:kern w:val="28"/>
          <w:sz w:val="20"/>
          <w:lang w:val="en-ID"/>
        </w:rPr>
        <w:t xml:space="preserve"> Center, West Java, Bandung.</w:t>
      </w:r>
      <w:r w:rsidR="001059DB" w:rsidRPr="001A1A4B">
        <w:rPr>
          <w:rFonts w:ascii="Arial" w:hAnsi="Arial" w:cs="Arial"/>
          <w:b w:val="0"/>
          <w:iCs/>
          <w:kern w:val="28"/>
          <w:sz w:val="20"/>
          <w:lang w:val="en-ID"/>
        </w:rPr>
        <w:t xml:space="preserve"> Ten tablets of the thyroxine hormone stock solution, Eltroxin (L-thyroxine-sodium, T4), with a total active ingredient content of 0.1 mg/tablet, were taken.</w:t>
      </w:r>
      <w:r w:rsidR="00F02476" w:rsidRPr="001A1A4B">
        <w:rPr>
          <w:rFonts w:ascii="Arial" w:hAnsi="Arial" w:cs="Arial"/>
          <w:b w:val="0"/>
          <w:iCs/>
          <w:kern w:val="28"/>
          <w:sz w:val="20"/>
          <w:lang w:val="en-ID"/>
        </w:rPr>
        <w:t xml:space="preserve"> </w:t>
      </w:r>
      <w:r w:rsidR="001059DB" w:rsidRPr="001A1A4B">
        <w:rPr>
          <w:rFonts w:ascii="Arial" w:hAnsi="Arial" w:cs="Arial"/>
          <w:b w:val="0"/>
          <w:iCs/>
          <w:kern w:val="28"/>
          <w:sz w:val="20"/>
          <w:lang w:val="en-ID"/>
        </w:rPr>
        <w:t xml:space="preserve">These tablets were then dissolved in 1 L of water for a treatment dose of 1 mg/L, and five tablets were dissolved in 1 L of water for a dose of 0.5 mg/L, and so on, according to the thyroxine dosage treatment (A: 0.00 mg/L; B: 0.25 mg/L; C: 0.5 mg/L; D: 0.75 mg/L; E: 1.00 mg/L, and F: 1.25 mg/L). The research design used was a completely randomized design  with </w:t>
      </w:r>
      <w:r w:rsidR="00190ECC" w:rsidRPr="001A1A4B">
        <w:rPr>
          <w:rFonts w:ascii="Arial" w:hAnsi="Arial" w:cs="Arial"/>
          <w:b w:val="0"/>
          <w:iCs/>
          <w:kern w:val="28"/>
          <w:sz w:val="20"/>
          <w:lang w:val="en-ID"/>
        </w:rPr>
        <w:t>four</w:t>
      </w:r>
      <w:r w:rsidR="001059DB" w:rsidRPr="001A1A4B">
        <w:rPr>
          <w:rFonts w:ascii="Arial" w:hAnsi="Arial" w:cs="Arial"/>
          <w:b w:val="0"/>
          <w:iCs/>
          <w:kern w:val="28"/>
          <w:sz w:val="20"/>
          <w:lang w:val="en-ID"/>
        </w:rPr>
        <w:t xml:space="preserve"> replications (n=4). A cylindrical plastic tank for fish fry maintenance with a volume </w:t>
      </w:r>
      <w:commentRangeStart w:id="1"/>
      <w:r w:rsidR="001059DB" w:rsidRPr="001A1A4B">
        <w:rPr>
          <w:rFonts w:ascii="Arial" w:hAnsi="Arial" w:cs="Arial"/>
          <w:b w:val="0"/>
          <w:iCs/>
          <w:kern w:val="28"/>
          <w:sz w:val="20"/>
          <w:lang w:val="en-ID"/>
        </w:rPr>
        <w:t xml:space="preserve">of </w:t>
      </w:r>
      <w:r w:rsidR="001059DB" w:rsidRPr="003A1ABE">
        <w:rPr>
          <w:rFonts w:ascii="Arial" w:hAnsi="Arial" w:cs="Arial"/>
          <w:b w:val="0"/>
          <w:iCs/>
          <w:kern w:val="28"/>
          <w:sz w:val="20"/>
          <w:highlight w:val="yellow"/>
          <w:lang w:val="en-ID"/>
        </w:rPr>
        <w:t>20 L was filled with 75% fresh water and 25% sea water and a fish density of 30 fish (3 fish / L)</w:t>
      </w:r>
      <w:commentRangeEnd w:id="1"/>
      <w:r w:rsidR="003F4D05">
        <w:rPr>
          <w:rStyle w:val="CommentReference"/>
          <w:rFonts w:asciiTheme="minorHAnsi" w:eastAsiaTheme="minorHAnsi" w:hAnsiTheme="minorHAnsi" w:cstheme="minorBidi"/>
          <w:b w:val="0"/>
          <w:kern w:val="2"/>
          <w:lang w:val="en-ID"/>
          <w14:ligatures w14:val="standardContextual"/>
        </w:rPr>
        <w:commentReference w:id="1"/>
      </w:r>
      <w:r w:rsidR="001059DB" w:rsidRPr="003A1ABE">
        <w:rPr>
          <w:rFonts w:ascii="Arial" w:hAnsi="Arial" w:cs="Arial"/>
          <w:b w:val="0"/>
          <w:iCs/>
          <w:kern w:val="28"/>
          <w:sz w:val="20"/>
          <w:highlight w:val="yellow"/>
          <w:lang w:val="en-ID"/>
        </w:rPr>
        <w:t>.</w:t>
      </w:r>
      <w:r w:rsidR="001059DB" w:rsidRPr="001059DB">
        <w:rPr>
          <w:rFonts w:ascii="Arial" w:hAnsi="Arial" w:cs="Arial"/>
          <w:b w:val="0"/>
          <w:iCs/>
          <w:color w:val="EE0000"/>
          <w:kern w:val="28"/>
          <w:sz w:val="20"/>
          <w:lang w:val="en-ID"/>
        </w:rPr>
        <w:t xml:space="preserve"> </w:t>
      </w:r>
      <w:r w:rsidR="001059DB" w:rsidRPr="001A1A4B">
        <w:rPr>
          <w:rFonts w:ascii="Arial" w:hAnsi="Arial" w:cs="Arial"/>
          <w:b w:val="0"/>
          <w:iCs/>
          <w:kern w:val="28"/>
          <w:sz w:val="20"/>
          <w:lang w:val="en-ID"/>
        </w:rPr>
        <w:t xml:space="preserve">Live feed in the form of </w:t>
      </w:r>
      <w:r w:rsidR="001059DB" w:rsidRPr="001A1A4B">
        <w:rPr>
          <w:rFonts w:ascii="Arial" w:hAnsi="Arial" w:cs="Arial"/>
          <w:b w:val="0"/>
          <w:i/>
          <w:kern w:val="28"/>
          <w:sz w:val="20"/>
          <w:lang w:val="en-ID"/>
        </w:rPr>
        <w:t>Artemia nauplii</w:t>
      </w:r>
      <w:r w:rsidR="001059DB" w:rsidRPr="001A1A4B">
        <w:rPr>
          <w:rFonts w:ascii="Arial" w:hAnsi="Arial" w:cs="Arial"/>
          <w:b w:val="0"/>
          <w:iCs/>
          <w:kern w:val="28"/>
          <w:sz w:val="20"/>
          <w:lang w:val="en-ID"/>
        </w:rPr>
        <w:t xml:space="preserve"> was given to the fry for </w:t>
      </w:r>
      <w:commentRangeStart w:id="2"/>
      <w:r w:rsidR="001A1A4B" w:rsidRPr="003A1ABE">
        <w:rPr>
          <w:rFonts w:ascii="Arial" w:hAnsi="Arial" w:cs="Arial"/>
          <w:b w:val="0"/>
          <w:iCs/>
          <w:kern w:val="28"/>
          <w:sz w:val="20"/>
          <w:highlight w:val="yellow"/>
          <w:lang w:val="en-ID"/>
        </w:rPr>
        <w:t>15</w:t>
      </w:r>
      <w:r w:rsidR="001059DB" w:rsidRPr="003A1ABE">
        <w:rPr>
          <w:rFonts w:ascii="Arial" w:hAnsi="Arial" w:cs="Arial"/>
          <w:b w:val="0"/>
          <w:iCs/>
          <w:kern w:val="28"/>
          <w:sz w:val="20"/>
          <w:highlight w:val="yellow"/>
          <w:lang w:val="en-ID"/>
        </w:rPr>
        <w:t xml:space="preserve"> days of maintenance and for the next 4</w:t>
      </w:r>
      <w:r w:rsidR="001A1A4B" w:rsidRPr="003A1ABE">
        <w:rPr>
          <w:rFonts w:ascii="Arial" w:hAnsi="Arial" w:cs="Arial"/>
          <w:b w:val="0"/>
          <w:iCs/>
          <w:kern w:val="28"/>
          <w:sz w:val="20"/>
          <w:highlight w:val="yellow"/>
          <w:lang w:val="en-ID"/>
        </w:rPr>
        <w:t>5</w:t>
      </w:r>
      <w:r w:rsidR="001059DB" w:rsidRPr="001A1A4B">
        <w:rPr>
          <w:rFonts w:ascii="Arial" w:hAnsi="Arial" w:cs="Arial"/>
          <w:b w:val="0"/>
          <w:iCs/>
          <w:kern w:val="28"/>
          <w:sz w:val="20"/>
          <w:lang w:val="en-ID"/>
        </w:rPr>
        <w:t xml:space="preserve"> </w:t>
      </w:r>
      <w:commentRangeEnd w:id="2"/>
      <w:r w:rsidR="003F4D05">
        <w:rPr>
          <w:rStyle w:val="CommentReference"/>
          <w:rFonts w:asciiTheme="minorHAnsi" w:eastAsiaTheme="minorHAnsi" w:hAnsiTheme="minorHAnsi" w:cstheme="minorBidi"/>
          <w:b w:val="0"/>
          <w:kern w:val="2"/>
          <w:lang w:val="en-ID"/>
          <w14:ligatures w14:val="standardContextual"/>
        </w:rPr>
        <w:commentReference w:id="2"/>
      </w:r>
      <w:r w:rsidR="001059DB" w:rsidRPr="001A1A4B">
        <w:rPr>
          <w:rFonts w:ascii="Arial" w:hAnsi="Arial" w:cs="Arial"/>
          <w:b w:val="0"/>
          <w:iCs/>
          <w:kern w:val="28"/>
          <w:sz w:val="20"/>
          <w:lang w:val="en-ID"/>
        </w:rPr>
        <w:t>days they were given Prima Feed flour (protein 39%) with a dose of 5% of biomass weight twice a day during the thyroxine treatment test.</w:t>
      </w:r>
      <w:r w:rsidR="002A4599" w:rsidRPr="001A1A4B">
        <w:rPr>
          <w:rFonts w:ascii="Arial" w:hAnsi="Arial" w:cs="Arial"/>
          <w:b w:val="0"/>
          <w:iCs/>
          <w:kern w:val="28"/>
          <w:sz w:val="20"/>
          <w:lang w:val="en-ID"/>
        </w:rPr>
        <w:t xml:space="preserve"> </w:t>
      </w:r>
      <w:r w:rsidR="001059DB" w:rsidRPr="001A1A4B">
        <w:rPr>
          <w:rFonts w:ascii="Arial" w:hAnsi="Arial" w:cs="Arial"/>
          <w:b w:val="0"/>
          <w:iCs/>
          <w:kern w:val="28"/>
          <w:sz w:val="20"/>
          <w:lang w:val="en-ID"/>
        </w:rPr>
        <w:t xml:space="preserve">Water temperature was stabilized using a water heater at 27 ± 1°C, and an aeration system was implemented to supply dissolved oxygen (3-3.5 mg/L). </w:t>
      </w:r>
      <w:commentRangeStart w:id="3"/>
      <w:r w:rsidR="001059DB" w:rsidRPr="00B7659F">
        <w:rPr>
          <w:rFonts w:ascii="Arial" w:hAnsi="Arial" w:cs="Arial"/>
          <w:b w:val="0"/>
          <w:iCs/>
          <w:kern w:val="28"/>
          <w:sz w:val="20"/>
          <w:highlight w:val="yellow"/>
          <w:lang w:val="en-ID"/>
        </w:rPr>
        <w:t>Water changes were performed every 3 days, amounting to 1/3 of the maintenance water volume.</w:t>
      </w:r>
      <w:commentRangeEnd w:id="3"/>
      <w:r w:rsidR="003F4D05">
        <w:rPr>
          <w:rStyle w:val="CommentReference"/>
          <w:rFonts w:asciiTheme="minorHAnsi" w:eastAsiaTheme="minorHAnsi" w:hAnsiTheme="minorHAnsi" w:cstheme="minorBidi"/>
          <w:b w:val="0"/>
          <w:kern w:val="2"/>
          <w:lang w:val="en-ID"/>
          <w14:ligatures w14:val="standardContextual"/>
        </w:rPr>
        <w:commentReference w:id="3"/>
      </w:r>
    </w:p>
    <w:p w14:paraId="509EC5AA" w14:textId="77777777" w:rsidR="004A4346" w:rsidRDefault="004A4346" w:rsidP="001059DB">
      <w:pPr>
        <w:pStyle w:val="Author"/>
        <w:spacing w:line="240" w:lineRule="auto"/>
        <w:ind w:left="66"/>
        <w:jc w:val="both"/>
        <w:rPr>
          <w:rFonts w:ascii="Arial" w:hAnsi="Arial" w:cs="Arial"/>
          <w:b w:val="0"/>
          <w:iCs/>
          <w:kern w:val="28"/>
          <w:sz w:val="20"/>
          <w:lang w:val="en-ID"/>
        </w:rPr>
      </w:pPr>
    </w:p>
    <w:p w14:paraId="669D4491" w14:textId="356AF874" w:rsidR="001729D4" w:rsidRDefault="001729D4" w:rsidP="00535F4E">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sidR="00070927">
        <w:rPr>
          <w:rFonts w:ascii="Arial" w:hAnsi="Arial" w:cs="Arial"/>
          <w:bCs/>
          <w:iCs/>
          <w:kern w:val="28"/>
          <w:sz w:val="20"/>
          <w:lang w:val="en-ID"/>
        </w:rPr>
        <w:t xml:space="preserve">2 </w:t>
      </w:r>
      <w:r w:rsidR="00351F80" w:rsidRPr="00351F80">
        <w:rPr>
          <w:rFonts w:ascii="Arial" w:hAnsi="Arial" w:cs="Arial"/>
          <w:bCs/>
          <w:iCs/>
          <w:kern w:val="28"/>
          <w:sz w:val="20"/>
          <w:lang w:val="en-ID"/>
        </w:rPr>
        <w:t>Measurement of growth and survival</w:t>
      </w:r>
    </w:p>
    <w:p w14:paraId="7997A696" w14:textId="77777777" w:rsidR="00802DC8" w:rsidRPr="00535F4E" w:rsidRDefault="00802DC8" w:rsidP="00535F4E">
      <w:pPr>
        <w:pStyle w:val="Author"/>
        <w:spacing w:line="240" w:lineRule="auto"/>
        <w:ind w:left="66"/>
        <w:jc w:val="both"/>
        <w:rPr>
          <w:rFonts w:ascii="Arial" w:hAnsi="Arial" w:cs="Arial"/>
          <w:bCs/>
          <w:iCs/>
          <w:kern w:val="28"/>
          <w:sz w:val="20"/>
          <w:lang w:val="en-ID"/>
        </w:rPr>
      </w:pPr>
    </w:p>
    <w:p w14:paraId="46C608C5" w14:textId="4BB3D376" w:rsidR="004A4346" w:rsidRPr="00802DC8" w:rsidRDefault="004A4346" w:rsidP="004A4346">
      <w:pPr>
        <w:pStyle w:val="Author"/>
        <w:spacing w:line="240" w:lineRule="auto"/>
        <w:ind w:left="66"/>
        <w:jc w:val="both"/>
        <w:rPr>
          <w:rFonts w:ascii="Arial" w:hAnsi="Arial" w:cs="Arial"/>
          <w:b w:val="0"/>
          <w:iCs/>
          <w:kern w:val="28"/>
          <w:sz w:val="20"/>
          <w:lang w:val="en-ID"/>
        </w:rPr>
      </w:pPr>
      <w:r w:rsidRPr="00802DC8">
        <w:rPr>
          <w:rFonts w:ascii="Arial" w:hAnsi="Arial" w:cs="Arial"/>
          <w:b w:val="0"/>
          <w:iCs/>
          <w:kern w:val="28"/>
          <w:sz w:val="20"/>
          <w:lang w:val="en-ID"/>
        </w:rPr>
        <w:t xml:space="preserve">Every three days, the development and survival of gourami fry in the test treatment unit were observed. The </w:t>
      </w:r>
      <w:r w:rsidR="00351F80" w:rsidRPr="00802DC8">
        <w:rPr>
          <w:rFonts w:ascii="Arial" w:hAnsi="Arial" w:cs="Arial"/>
          <w:b w:val="0"/>
          <w:iCs/>
          <w:kern w:val="28"/>
          <w:sz w:val="20"/>
          <w:lang w:val="en-ID"/>
        </w:rPr>
        <w:t>body</w:t>
      </w:r>
      <w:r w:rsidRPr="00802DC8">
        <w:rPr>
          <w:rFonts w:ascii="Arial" w:hAnsi="Arial" w:cs="Arial"/>
          <w:b w:val="0"/>
          <w:iCs/>
          <w:kern w:val="28"/>
          <w:sz w:val="20"/>
          <w:lang w:val="en-ID"/>
        </w:rPr>
        <w:t xml:space="preserve"> length growth of the fry in the treatment unit was measured by sampling </w:t>
      </w:r>
      <w:r w:rsidRPr="003A1ABE">
        <w:rPr>
          <w:rFonts w:ascii="Arial" w:hAnsi="Arial" w:cs="Arial"/>
          <w:b w:val="0"/>
          <w:iCs/>
          <w:kern w:val="28"/>
          <w:sz w:val="20"/>
          <w:highlight w:val="yellow"/>
          <w:lang w:val="en-ID"/>
        </w:rPr>
        <w:t>10 fish every month</w:t>
      </w:r>
      <w:r w:rsidRPr="00802DC8">
        <w:rPr>
          <w:rFonts w:ascii="Arial" w:hAnsi="Arial" w:cs="Arial"/>
          <w:b w:val="0"/>
          <w:iCs/>
          <w:kern w:val="28"/>
          <w:sz w:val="20"/>
          <w:lang w:val="en-ID"/>
        </w:rPr>
        <w:t xml:space="preserve"> during the study using calipers (vernier calipers).</w:t>
      </w:r>
      <w:r w:rsidR="00AB4779" w:rsidRPr="00802DC8">
        <w:rPr>
          <w:rFonts w:ascii="Arial" w:hAnsi="Arial" w:cs="Arial"/>
          <w:b w:val="0"/>
          <w:iCs/>
          <w:kern w:val="28"/>
          <w:sz w:val="20"/>
          <w:lang w:val="en-ID"/>
        </w:rPr>
        <w:t xml:space="preserve"> </w:t>
      </w:r>
      <w:r w:rsidRPr="00802DC8">
        <w:rPr>
          <w:rFonts w:ascii="Arial" w:hAnsi="Arial" w:cs="Arial"/>
          <w:b w:val="0"/>
          <w:iCs/>
          <w:kern w:val="28"/>
          <w:sz w:val="20"/>
          <w:lang w:val="en-ID"/>
        </w:rPr>
        <w:t>At the end of the experiment, the number of surviving fish was calculated using the formula:</w:t>
      </w:r>
    </w:p>
    <w:p w14:paraId="3E8C1255" w14:textId="3A80075F" w:rsidR="004A4346" w:rsidRPr="00802DC8" w:rsidRDefault="004A4346" w:rsidP="004A4346">
      <w:pPr>
        <w:pStyle w:val="Author"/>
        <w:spacing w:line="240" w:lineRule="auto"/>
        <w:ind w:left="66"/>
        <w:jc w:val="both"/>
        <w:rPr>
          <w:rFonts w:ascii="Arial" w:hAnsi="Arial" w:cs="Arial"/>
          <w:b w:val="0"/>
          <w:iCs/>
          <w:kern w:val="28"/>
          <w:sz w:val="20"/>
          <w:lang w:val="en-ID"/>
        </w:rPr>
      </w:pPr>
      <w:r w:rsidRPr="00802DC8">
        <w:rPr>
          <w:rFonts w:ascii="Arial" w:hAnsi="Arial" w:cs="Arial"/>
          <w:b w:val="0"/>
          <w:iCs/>
          <w:kern w:val="28"/>
          <w:sz w:val="20"/>
          <w:lang w:val="en-ID"/>
        </w:rPr>
        <w:t>% survival = number of live larvae / number of larval samples x 100% and growth using the formula: L = Lt – Lo; L = total length increase (cm); Lt = average final total length (cm) and Lo = average initial length of treatment (cm)</w:t>
      </w:r>
      <w:r w:rsidR="00A8385B" w:rsidRPr="00802DC8">
        <w:rPr>
          <w:rFonts w:ascii="Arial" w:hAnsi="Arial" w:cs="Arial"/>
          <w:b w:val="0"/>
          <w:iCs/>
          <w:kern w:val="28"/>
          <w:sz w:val="20"/>
          <w:lang w:val="en-ID"/>
        </w:rPr>
        <w:t xml:space="preserve">. </w:t>
      </w:r>
      <w:r w:rsidR="00A8385B" w:rsidRPr="00802DC8">
        <w:rPr>
          <w:rFonts w:ascii="Arial" w:hAnsi="Arial" w:cs="Arial"/>
          <w:b w:val="0"/>
          <w:iCs/>
          <w:kern w:val="28"/>
          <w:sz w:val="20"/>
          <w:lang w:val="en-ID"/>
        </w:rPr>
        <w:t>For weight growth (g) follow the formula Wg = Wt – Wo; Wg = weight gain (g); Wt = average final weight (g) and Wo = average initial weight (g)</w:t>
      </w:r>
      <w:r w:rsidRPr="00802DC8">
        <w:rPr>
          <w:rFonts w:ascii="Arial" w:hAnsi="Arial" w:cs="Arial"/>
          <w:b w:val="0"/>
          <w:iCs/>
          <w:kern w:val="28"/>
          <w:sz w:val="20"/>
          <w:lang w:val="en-ID"/>
        </w:rPr>
        <w:t xml:space="preserve"> [11].</w:t>
      </w:r>
    </w:p>
    <w:p w14:paraId="6478024F" w14:textId="4709483B" w:rsidR="00B34192" w:rsidRDefault="005528E1" w:rsidP="00370552">
      <w:pPr>
        <w:pStyle w:val="Author"/>
        <w:spacing w:line="240" w:lineRule="auto"/>
        <w:ind w:left="66"/>
        <w:jc w:val="both"/>
        <w:rPr>
          <w:rFonts w:ascii="Arial" w:hAnsi="Arial" w:cs="Arial"/>
          <w:b w:val="0"/>
          <w:iCs/>
          <w:kern w:val="28"/>
          <w:sz w:val="20"/>
          <w:lang w:val="en-ID"/>
        </w:rPr>
      </w:pPr>
      <w:r>
        <w:rPr>
          <w:rFonts w:ascii="Arial" w:hAnsi="Arial" w:cs="Arial"/>
          <w:b w:val="0"/>
          <w:iCs/>
          <w:kern w:val="28"/>
          <w:sz w:val="20"/>
          <w:lang w:val="en-ID"/>
        </w:rPr>
        <w:t xml:space="preserve"> </w:t>
      </w:r>
    </w:p>
    <w:p w14:paraId="7F95E8BA" w14:textId="5FDBFD5F" w:rsidR="00C95BF8" w:rsidRDefault="00370552" w:rsidP="00370552">
      <w:pPr>
        <w:pStyle w:val="Author"/>
        <w:spacing w:line="240" w:lineRule="auto"/>
        <w:ind w:left="66"/>
        <w:jc w:val="both"/>
        <w:rPr>
          <w:rFonts w:ascii="Arial" w:hAnsi="Arial" w:cs="Arial"/>
          <w:bCs/>
          <w:iCs/>
          <w:kern w:val="28"/>
          <w:sz w:val="20"/>
        </w:rPr>
      </w:pPr>
      <w:r w:rsidRPr="00370552">
        <w:rPr>
          <w:rFonts w:ascii="Arial" w:hAnsi="Arial" w:cs="Arial"/>
          <w:b w:val="0"/>
          <w:bCs/>
          <w:iCs/>
          <w:kern w:val="28"/>
          <w:sz w:val="20"/>
        </w:rPr>
        <w:t>2.</w:t>
      </w:r>
      <w:r>
        <w:rPr>
          <w:rFonts w:ascii="Arial" w:hAnsi="Arial" w:cs="Arial"/>
          <w:bCs/>
          <w:iCs/>
          <w:kern w:val="28"/>
          <w:sz w:val="20"/>
        </w:rPr>
        <w:t xml:space="preserve">3 </w:t>
      </w:r>
      <w:r w:rsidR="00C95BF8" w:rsidRPr="00C95BF8">
        <w:rPr>
          <w:rFonts w:ascii="Arial" w:hAnsi="Arial" w:cs="Arial"/>
          <w:bCs/>
          <w:iCs/>
          <w:kern w:val="28"/>
          <w:sz w:val="20"/>
        </w:rPr>
        <w:t>Water quality</w:t>
      </w:r>
    </w:p>
    <w:p w14:paraId="0D303476" w14:textId="77777777" w:rsidR="00370552" w:rsidRPr="00C95BF8" w:rsidRDefault="00370552" w:rsidP="00370552">
      <w:pPr>
        <w:pStyle w:val="Author"/>
        <w:spacing w:line="240" w:lineRule="auto"/>
        <w:ind w:left="66"/>
        <w:jc w:val="both"/>
        <w:rPr>
          <w:rFonts w:ascii="Arial" w:hAnsi="Arial" w:cs="Arial"/>
          <w:bCs/>
          <w:iCs/>
          <w:kern w:val="28"/>
          <w:sz w:val="20"/>
          <w:lang w:val="en-ID"/>
        </w:rPr>
      </w:pPr>
    </w:p>
    <w:p w14:paraId="350E26E0" w14:textId="3A6F2717" w:rsidR="00C95BF8" w:rsidRPr="00C95BF8" w:rsidRDefault="00C95BF8" w:rsidP="00C95BF8">
      <w:pPr>
        <w:pStyle w:val="Author"/>
        <w:spacing w:line="240" w:lineRule="auto"/>
        <w:ind w:left="68"/>
        <w:jc w:val="both"/>
        <w:rPr>
          <w:rFonts w:ascii="Arial" w:hAnsi="Arial" w:cs="Arial"/>
          <w:b w:val="0"/>
          <w:iCs/>
          <w:kern w:val="28"/>
          <w:sz w:val="20"/>
        </w:rPr>
      </w:pPr>
      <w:r>
        <w:rPr>
          <w:rFonts w:ascii="Arial" w:hAnsi="Arial" w:cs="Arial"/>
          <w:b w:val="0"/>
          <w:iCs/>
          <w:kern w:val="28"/>
          <w:sz w:val="20"/>
        </w:rPr>
        <w:t>Measurement</w:t>
      </w:r>
      <w:r w:rsidRPr="00C95BF8">
        <w:rPr>
          <w:rFonts w:ascii="Arial" w:hAnsi="Arial" w:cs="Arial"/>
          <w:b w:val="0"/>
          <w:iCs/>
          <w:kern w:val="28"/>
          <w:sz w:val="20"/>
        </w:rPr>
        <w:t xml:space="preserve"> of water quality parameters is carried out every </w:t>
      </w:r>
      <w:r>
        <w:rPr>
          <w:rFonts w:ascii="Arial" w:hAnsi="Arial" w:cs="Arial"/>
          <w:b w:val="0"/>
          <w:iCs/>
          <w:kern w:val="28"/>
          <w:sz w:val="20"/>
        </w:rPr>
        <w:t>10</w:t>
      </w:r>
      <w:r w:rsidRPr="00C95BF8">
        <w:rPr>
          <w:rFonts w:ascii="Arial" w:hAnsi="Arial" w:cs="Arial"/>
          <w:b w:val="0"/>
          <w:iCs/>
          <w:kern w:val="28"/>
          <w:sz w:val="20"/>
        </w:rPr>
        <w:t xml:space="preserve"> days, and used as supporting data in determining the optimal conditions for the maintenance of test fish. Instruments used for measuring water quality parameters were water temperature with a thermometer, dissolved oxygen (DO) with a DO meter, and pH with a pH meter.</w:t>
      </w:r>
    </w:p>
    <w:p w14:paraId="1C721B0F" w14:textId="77777777" w:rsidR="00665EB7" w:rsidRDefault="00665EB7" w:rsidP="00665EB7">
      <w:pPr>
        <w:pStyle w:val="Author"/>
        <w:spacing w:line="240" w:lineRule="auto"/>
        <w:jc w:val="left"/>
        <w:rPr>
          <w:rFonts w:ascii="Arial" w:hAnsi="Arial" w:cs="Arial"/>
          <w:b w:val="0"/>
          <w:iCs/>
          <w:kern w:val="28"/>
          <w:sz w:val="20"/>
          <w:lang w:val="en-ID"/>
        </w:rPr>
      </w:pPr>
    </w:p>
    <w:p w14:paraId="6084C2E6" w14:textId="3E3D6268" w:rsidR="00665EB7" w:rsidRDefault="00665EB7" w:rsidP="009C70C6">
      <w:pPr>
        <w:pStyle w:val="Author"/>
        <w:numPr>
          <w:ilvl w:val="1"/>
          <w:numId w:val="17"/>
        </w:numPr>
        <w:spacing w:line="240" w:lineRule="auto"/>
        <w:ind w:left="426"/>
        <w:jc w:val="left"/>
        <w:rPr>
          <w:rFonts w:ascii="Arial" w:hAnsi="Arial" w:cs="Arial"/>
          <w:bCs/>
          <w:iCs/>
          <w:kern w:val="28"/>
          <w:sz w:val="20"/>
          <w:lang w:val="en-ID"/>
        </w:rPr>
      </w:pPr>
      <w:r w:rsidRPr="00535F4E">
        <w:rPr>
          <w:rFonts w:ascii="Arial" w:hAnsi="Arial" w:cs="Arial"/>
          <w:bCs/>
          <w:iCs/>
          <w:kern w:val="28"/>
          <w:sz w:val="20"/>
          <w:lang w:val="en-ID"/>
        </w:rPr>
        <w:t>Data Analysis</w:t>
      </w:r>
    </w:p>
    <w:p w14:paraId="6FB59860" w14:textId="77777777" w:rsidR="00370552" w:rsidRPr="00535F4E" w:rsidRDefault="00370552" w:rsidP="00370552">
      <w:pPr>
        <w:pStyle w:val="Author"/>
        <w:spacing w:line="240" w:lineRule="auto"/>
        <w:ind w:left="426"/>
        <w:jc w:val="left"/>
        <w:rPr>
          <w:rFonts w:ascii="Arial" w:hAnsi="Arial" w:cs="Arial"/>
          <w:bCs/>
          <w:iCs/>
          <w:kern w:val="28"/>
          <w:sz w:val="20"/>
          <w:lang w:val="en-ID"/>
        </w:rPr>
      </w:pPr>
    </w:p>
    <w:p w14:paraId="2787B687" w14:textId="0446BD6B" w:rsidR="00665EB7" w:rsidRPr="00665EB7" w:rsidRDefault="00665EB7" w:rsidP="00665EB7">
      <w:pPr>
        <w:pStyle w:val="Author"/>
        <w:spacing w:after="240" w:line="240" w:lineRule="auto"/>
        <w:jc w:val="both"/>
        <w:rPr>
          <w:rFonts w:ascii="Arial" w:hAnsi="Arial" w:cs="Arial"/>
          <w:b w:val="0"/>
          <w:bCs/>
          <w:sz w:val="20"/>
        </w:rPr>
      </w:pPr>
      <w:r w:rsidRPr="00483F0F">
        <w:rPr>
          <w:rFonts w:ascii="Arial" w:hAnsi="Arial" w:cs="Arial"/>
          <w:b w:val="0"/>
          <w:bCs/>
          <w:sz w:val="20"/>
        </w:rPr>
        <w:t>The data obtained was analyzed by Analysis of Variance (ANOVA) with a confidence level of 95%</w:t>
      </w:r>
      <w:r>
        <w:rPr>
          <w:rFonts w:ascii="Arial" w:hAnsi="Arial" w:cs="Arial"/>
          <w:b w:val="0"/>
          <w:bCs/>
          <w:sz w:val="20"/>
        </w:rPr>
        <w:t xml:space="preserve">, </w:t>
      </w:r>
      <w:r w:rsidRPr="00483F0F">
        <w:rPr>
          <w:rFonts w:ascii="Arial" w:hAnsi="Arial" w:cs="Arial"/>
          <w:b w:val="0"/>
          <w:bCs/>
          <w:sz w:val="20"/>
        </w:rPr>
        <w:t xml:space="preserve">and if there is a significant difference, it will be continued with Duncan Multiple Range Test </w:t>
      </w:r>
      <w:r>
        <w:rPr>
          <w:rFonts w:ascii="Arial" w:hAnsi="Arial" w:cs="Arial"/>
          <w:b w:val="0"/>
          <w:bCs/>
          <w:sz w:val="20"/>
        </w:rPr>
        <w:t>(DMRT).</w:t>
      </w:r>
    </w:p>
    <w:p w14:paraId="243FA172" w14:textId="239EC18F" w:rsidR="00A37E11" w:rsidRPr="00535F4E" w:rsidRDefault="00A37E11" w:rsidP="009C70C6">
      <w:pPr>
        <w:pStyle w:val="BodyText"/>
        <w:numPr>
          <w:ilvl w:val="0"/>
          <w:numId w:val="10"/>
        </w:numPr>
        <w:spacing w:after="240"/>
        <w:ind w:left="426" w:right="25" w:hanging="426"/>
        <w:jc w:val="both"/>
        <w:rPr>
          <w:rFonts w:ascii="Arial" w:hAnsi="Arial" w:cs="Arial"/>
          <w:bCs/>
          <w:iCs/>
          <w:kern w:val="28"/>
          <w:lang w:val="en-ID"/>
        </w:rPr>
      </w:pPr>
      <w:r w:rsidRPr="007C15F4">
        <w:rPr>
          <w:rFonts w:ascii="Arial" w:hAnsi="Arial" w:cs="Arial"/>
          <w:b/>
          <w:iCs/>
          <w:kern w:val="28"/>
          <w:lang w:val="en-ID"/>
        </w:rPr>
        <w:t>RESULT AND DISCUSSION</w:t>
      </w:r>
    </w:p>
    <w:p w14:paraId="4B8DD63E" w14:textId="2C2AABAE" w:rsidR="00CC617E" w:rsidRPr="00370552" w:rsidRDefault="00370552" w:rsidP="00370552">
      <w:pPr>
        <w:pStyle w:val="Author"/>
        <w:spacing w:line="240" w:lineRule="auto"/>
        <w:jc w:val="left"/>
        <w:rPr>
          <w:rFonts w:ascii="Arial" w:hAnsi="Arial" w:cs="Arial"/>
          <w:b w:val="0"/>
          <w:iCs/>
          <w:kern w:val="28"/>
          <w:sz w:val="20"/>
          <w:lang w:val="en-ID"/>
        </w:rPr>
      </w:pPr>
      <w:r w:rsidRPr="00370552">
        <w:rPr>
          <w:rFonts w:ascii="Arial" w:hAnsi="Arial" w:cs="Arial"/>
          <w:bCs/>
          <w:iCs/>
          <w:kern w:val="28"/>
          <w:sz w:val="20"/>
          <w:lang w:val="en-ID"/>
        </w:rPr>
        <w:t>3.1 Survival of fry</w:t>
      </w:r>
    </w:p>
    <w:p w14:paraId="0F795387" w14:textId="77777777" w:rsidR="00370552" w:rsidRPr="00370552" w:rsidRDefault="00370552" w:rsidP="00370552">
      <w:pPr>
        <w:pStyle w:val="Author"/>
        <w:spacing w:line="240" w:lineRule="auto"/>
        <w:ind w:left="426"/>
        <w:jc w:val="left"/>
        <w:rPr>
          <w:rFonts w:ascii="Arial" w:hAnsi="Arial" w:cs="Arial"/>
          <w:b w:val="0"/>
          <w:iCs/>
          <w:kern w:val="28"/>
          <w:sz w:val="20"/>
          <w:lang w:val="en-ID"/>
        </w:rPr>
      </w:pPr>
    </w:p>
    <w:p w14:paraId="416A7C9E" w14:textId="01443655" w:rsidR="00D03DDA" w:rsidRDefault="00FA65D7" w:rsidP="00985CB2">
      <w:pPr>
        <w:pStyle w:val="Author"/>
        <w:spacing w:line="240" w:lineRule="auto"/>
        <w:ind w:left="66"/>
        <w:jc w:val="both"/>
        <w:rPr>
          <w:rFonts w:ascii="Arial" w:hAnsi="Arial" w:cs="Arial"/>
          <w:b w:val="0"/>
          <w:iCs/>
          <w:kern w:val="28"/>
          <w:sz w:val="20"/>
          <w:lang w:val="en-ID"/>
        </w:rPr>
      </w:pPr>
      <w:r w:rsidRPr="00802DC8">
        <w:rPr>
          <w:rFonts w:ascii="Arial" w:hAnsi="Arial" w:cs="Arial"/>
          <w:b w:val="0"/>
          <w:iCs/>
          <w:kern w:val="28"/>
          <w:sz w:val="20"/>
          <w:lang w:val="en-ID"/>
        </w:rPr>
        <w:t>The average survival rate of gourami fry during 60 days of test treatment showed an increase when the thyroxine dose was gradually increased to 1.00 mg/L (treatment E), but tended to decrease when the dose was more than 1.00 mg/L, such as in treatment F (dose 1.25 mg/L) (Figure 1).</w:t>
      </w:r>
      <w:r w:rsidR="00DC5249" w:rsidRPr="00802DC8">
        <w:rPr>
          <w:rFonts w:ascii="Arial" w:hAnsi="Arial" w:cs="Arial"/>
          <w:b w:val="0"/>
          <w:iCs/>
          <w:kern w:val="28"/>
          <w:sz w:val="20"/>
          <w:lang w:val="en-ID"/>
        </w:rPr>
        <w:t xml:space="preserve"> </w:t>
      </w:r>
      <w:r w:rsidRPr="00802DC8">
        <w:rPr>
          <w:rFonts w:ascii="Arial" w:hAnsi="Arial" w:cs="Arial"/>
          <w:b w:val="0"/>
          <w:iCs/>
          <w:kern w:val="28"/>
          <w:sz w:val="20"/>
          <w:lang w:val="en-ID"/>
        </w:rPr>
        <w:t xml:space="preserve">Overall, in all treatments, </w:t>
      </w:r>
      <w:r w:rsidR="00802DC8">
        <w:rPr>
          <w:rFonts w:ascii="Arial" w:hAnsi="Arial" w:cs="Arial"/>
          <w:b w:val="0"/>
          <w:iCs/>
          <w:kern w:val="28"/>
          <w:sz w:val="20"/>
          <w:lang w:val="en-ID"/>
        </w:rPr>
        <w:t>immersion</w:t>
      </w:r>
      <w:r w:rsidRPr="00802DC8">
        <w:rPr>
          <w:rFonts w:ascii="Arial" w:hAnsi="Arial" w:cs="Arial"/>
          <w:b w:val="0"/>
          <w:iCs/>
          <w:kern w:val="28"/>
          <w:sz w:val="20"/>
          <w:lang w:val="en-ID"/>
        </w:rPr>
        <w:t xml:space="preserve"> with thyroxine hormone supported the survival of gourami fry (ranging from 50-91%) and was higher than without thyroxine </w:t>
      </w:r>
      <w:r w:rsidR="00802DC8">
        <w:rPr>
          <w:rFonts w:ascii="Arial" w:hAnsi="Arial" w:cs="Arial"/>
          <w:b w:val="0"/>
          <w:iCs/>
          <w:kern w:val="28"/>
          <w:sz w:val="20"/>
          <w:lang w:val="en-ID"/>
        </w:rPr>
        <w:t>immersion</w:t>
      </w:r>
      <w:r w:rsidRPr="00802DC8">
        <w:rPr>
          <w:rFonts w:ascii="Arial" w:hAnsi="Arial" w:cs="Arial"/>
          <w:b w:val="0"/>
          <w:iCs/>
          <w:kern w:val="28"/>
          <w:sz w:val="20"/>
          <w:lang w:val="en-ID"/>
        </w:rPr>
        <w:t xml:space="preserve"> (43.66%). The survival of fry with thyroxine hormone </w:t>
      </w:r>
      <w:r w:rsidR="00370552" w:rsidRPr="00802DC8">
        <w:rPr>
          <w:rFonts w:ascii="Arial" w:hAnsi="Arial" w:cs="Arial"/>
          <w:b w:val="0"/>
          <w:iCs/>
          <w:kern w:val="28"/>
          <w:sz w:val="20"/>
          <w:lang w:val="en-ID"/>
        </w:rPr>
        <w:t>immersed</w:t>
      </w:r>
      <w:r w:rsidRPr="00802DC8">
        <w:rPr>
          <w:rFonts w:ascii="Arial" w:hAnsi="Arial" w:cs="Arial"/>
          <w:b w:val="0"/>
          <w:iCs/>
          <w:kern w:val="28"/>
          <w:sz w:val="20"/>
          <w:lang w:val="en-ID"/>
        </w:rPr>
        <w:t xml:space="preserve"> was also higher than the survival of gourami fry in smallholder hatchery businesses, which was</w:t>
      </w:r>
      <w:r w:rsidRPr="00FA65D7">
        <w:rPr>
          <w:rFonts w:ascii="Arial" w:hAnsi="Arial" w:cs="Arial"/>
          <w:b w:val="0"/>
          <w:iCs/>
          <w:color w:val="EE0000"/>
          <w:kern w:val="28"/>
          <w:sz w:val="20"/>
          <w:lang w:val="en-ID"/>
        </w:rPr>
        <w:t xml:space="preserve"> </w:t>
      </w:r>
      <w:r w:rsidRPr="00802DC8">
        <w:rPr>
          <w:rFonts w:ascii="Arial" w:hAnsi="Arial" w:cs="Arial"/>
          <w:b w:val="0"/>
          <w:iCs/>
          <w:kern w:val="28"/>
          <w:sz w:val="20"/>
          <w:lang w:val="en-ID"/>
        </w:rPr>
        <w:t>50% [</w:t>
      </w:r>
      <w:r w:rsidR="00802DC8">
        <w:rPr>
          <w:rFonts w:ascii="Arial" w:hAnsi="Arial" w:cs="Arial"/>
          <w:b w:val="0"/>
          <w:iCs/>
          <w:kern w:val="28"/>
          <w:sz w:val="20"/>
          <w:lang w:val="en-ID"/>
        </w:rPr>
        <w:t>1,</w:t>
      </w:r>
      <w:r w:rsidRPr="00802DC8">
        <w:rPr>
          <w:rFonts w:ascii="Arial" w:hAnsi="Arial" w:cs="Arial"/>
          <w:b w:val="0"/>
          <w:iCs/>
          <w:kern w:val="28"/>
          <w:sz w:val="20"/>
          <w:lang w:val="en-ID"/>
        </w:rPr>
        <w:t xml:space="preserve">12]. </w:t>
      </w:r>
      <w:commentRangeStart w:id="4"/>
      <w:r w:rsidR="00370552" w:rsidRPr="00B7659F">
        <w:rPr>
          <w:rFonts w:ascii="Arial" w:hAnsi="Arial" w:cs="Arial"/>
          <w:b w:val="0"/>
          <w:iCs/>
          <w:kern w:val="28"/>
          <w:sz w:val="20"/>
          <w:highlight w:val="yellow"/>
          <w:lang w:val="en-ID"/>
        </w:rPr>
        <w:t>The immersion</w:t>
      </w:r>
      <w:r w:rsidRPr="00B7659F">
        <w:rPr>
          <w:rFonts w:ascii="Arial" w:hAnsi="Arial" w:cs="Arial"/>
          <w:b w:val="0"/>
          <w:iCs/>
          <w:kern w:val="28"/>
          <w:sz w:val="20"/>
          <w:highlight w:val="yellow"/>
          <w:lang w:val="en-ID"/>
        </w:rPr>
        <w:t xml:space="preserve"> gourami fry before yolk reserves are exhausted (12 days after hatching)</w:t>
      </w:r>
      <w:commentRangeEnd w:id="4"/>
      <w:r w:rsidR="001A5784">
        <w:rPr>
          <w:rStyle w:val="CommentReference"/>
          <w:rFonts w:asciiTheme="minorHAnsi" w:eastAsiaTheme="minorHAnsi" w:hAnsiTheme="minorHAnsi" w:cstheme="minorBidi"/>
          <w:b w:val="0"/>
          <w:kern w:val="2"/>
          <w:lang w:val="en-ID"/>
          <w14:ligatures w14:val="standardContextual"/>
        </w:rPr>
        <w:commentReference w:id="4"/>
      </w:r>
      <w:r w:rsidRPr="00802DC8">
        <w:rPr>
          <w:rFonts w:ascii="Arial" w:hAnsi="Arial" w:cs="Arial"/>
          <w:b w:val="0"/>
          <w:iCs/>
          <w:kern w:val="28"/>
          <w:sz w:val="20"/>
          <w:lang w:val="en-ID"/>
        </w:rPr>
        <w:t xml:space="preserve"> increases survival, as shown in thyroxine soaks (0.25 mg/L to 1.00 mg/L, Figure 1) ranging from 50-91%.</w:t>
      </w:r>
    </w:p>
    <w:p w14:paraId="28549688" w14:textId="77777777" w:rsidR="00091298" w:rsidRDefault="00091298" w:rsidP="00985CB2">
      <w:pPr>
        <w:pStyle w:val="Author"/>
        <w:spacing w:line="240" w:lineRule="auto"/>
        <w:ind w:left="66"/>
        <w:jc w:val="both"/>
        <w:rPr>
          <w:rFonts w:ascii="Arial" w:hAnsi="Arial" w:cs="Arial"/>
          <w:b w:val="0"/>
          <w:iCs/>
          <w:kern w:val="28"/>
          <w:sz w:val="20"/>
          <w:lang w:val="en-ID"/>
        </w:rPr>
      </w:pPr>
    </w:p>
    <w:p w14:paraId="67CB5455" w14:textId="77777777" w:rsidR="00091298" w:rsidRDefault="00091298" w:rsidP="00985CB2">
      <w:pPr>
        <w:pStyle w:val="Author"/>
        <w:spacing w:line="240" w:lineRule="auto"/>
        <w:ind w:left="66"/>
        <w:jc w:val="both"/>
        <w:rPr>
          <w:rFonts w:ascii="Arial" w:hAnsi="Arial" w:cs="Arial"/>
          <w:b w:val="0"/>
          <w:iCs/>
          <w:kern w:val="28"/>
          <w:sz w:val="20"/>
          <w:lang w:val="en-ID"/>
        </w:rPr>
      </w:pPr>
    </w:p>
    <w:p w14:paraId="0918A2BB" w14:textId="77777777" w:rsidR="00091298" w:rsidRDefault="00091298" w:rsidP="00985CB2">
      <w:pPr>
        <w:pStyle w:val="Author"/>
        <w:spacing w:line="240" w:lineRule="auto"/>
        <w:ind w:left="66"/>
        <w:jc w:val="both"/>
        <w:rPr>
          <w:rFonts w:ascii="Arial" w:hAnsi="Arial" w:cs="Arial"/>
          <w:b w:val="0"/>
          <w:iCs/>
          <w:kern w:val="28"/>
          <w:sz w:val="20"/>
          <w:lang w:val="en-ID"/>
        </w:rPr>
      </w:pPr>
    </w:p>
    <w:p w14:paraId="536F0000" w14:textId="77777777" w:rsidR="00180527" w:rsidRDefault="00180527" w:rsidP="00985CB2">
      <w:pPr>
        <w:pStyle w:val="Author"/>
        <w:spacing w:line="240" w:lineRule="auto"/>
        <w:ind w:left="66"/>
        <w:jc w:val="both"/>
        <w:rPr>
          <w:rFonts w:ascii="Arial" w:hAnsi="Arial" w:cs="Arial"/>
          <w:b w:val="0"/>
          <w:iCs/>
          <w:kern w:val="28"/>
          <w:sz w:val="20"/>
          <w:lang w:val="en-ID"/>
        </w:rPr>
      </w:pPr>
    </w:p>
    <w:p w14:paraId="4EBBA1AE" w14:textId="77777777" w:rsidR="00180527" w:rsidRDefault="00180527" w:rsidP="00137012">
      <w:pPr>
        <w:pStyle w:val="Author"/>
        <w:spacing w:line="240" w:lineRule="auto"/>
        <w:ind w:left="66"/>
        <w:jc w:val="center"/>
        <w:rPr>
          <w:rFonts w:ascii="Arial" w:hAnsi="Arial" w:cs="Arial"/>
          <w:b w:val="0"/>
          <w:iCs/>
          <w:kern w:val="28"/>
          <w:sz w:val="20"/>
          <w:lang w:val="en-ID"/>
        </w:rPr>
      </w:pPr>
    </w:p>
    <w:p w14:paraId="4C1CA481" w14:textId="77777777" w:rsidR="005A09F4" w:rsidRDefault="005A09F4" w:rsidP="005A09F4">
      <w:pPr>
        <w:pStyle w:val="Author"/>
        <w:spacing w:line="240" w:lineRule="auto"/>
        <w:jc w:val="both"/>
        <w:rPr>
          <w:rFonts w:ascii="Arial" w:hAnsi="Arial" w:cs="Arial"/>
          <w:b w:val="0"/>
          <w:iCs/>
          <w:kern w:val="28"/>
          <w:sz w:val="20"/>
          <w:lang w:val="en-ID"/>
        </w:rPr>
      </w:pPr>
    </w:p>
    <w:p w14:paraId="7FF14F10" w14:textId="77777777" w:rsidR="00290971" w:rsidRDefault="00290971" w:rsidP="00137012">
      <w:pPr>
        <w:pStyle w:val="Author"/>
        <w:spacing w:line="240" w:lineRule="auto"/>
        <w:ind w:left="426"/>
        <w:jc w:val="both"/>
        <w:rPr>
          <w:rFonts w:ascii="Arial" w:hAnsi="Arial" w:cs="Arial"/>
          <w:bCs/>
          <w:iCs/>
          <w:kern w:val="28"/>
          <w:sz w:val="20"/>
          <w:lang w:val="en-ID"/>
        </w:rPr>
        <w:sectPr w:rsidR="00290971" w:rsidSect="00290971">
          <w:type w:val="continuous"/>
          <w:pgSz w:w="11906" w:h="16838"/>
          <w:pgMar w:top="1440" w:right="1440" w:bottom="1440" w:left="1440" w:header="708" w:footer="708" w:gutter="0"/>
          <w:cols w:num="2" w:space="708"/>
          <w:docGrid w:linePitch="360"/>
        </w:sectPr>
      </w:pPr>
    </w:p>
    <w:p w14:paraId="450C6634" w14:textId="5EA938E5" w:rsidR="00290971" w:rsidRDefault="00137012" w:rsidP="00137012">
      <w:pPr>
        <w:pStyle w:val="Author"/>
        <w:spacing w:line="240" w:lineRule="auto"/>
        <w:jc w:val="center"/>
        <w:rPr>
          <w:rFonts w:ascii="Arial" w:hAnsi="Arial" w:cs="Arial"/>
          <w:bCs/>
          <w:iCs/>
          <w:kern w:val="28"/>
          <w:sz w:val="20"/>
          <w:lang w:val="en-ID"/>
        </w:rPr>
      </w:pPr>
      <w:r>
        <w:object w:dxaOrig="9528" w:dyaOrig="6874" w14:anchorId="4D77E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pt;height:282.5pt" o:ole="">
            <v:imagedata r:id="rId18" o:title=""/>
          </v:shape>
          <o:OLEObject Type="Embed" ProgID="Prism6.Document" ShapeID="_x0000_i1025" DrawAspect="Content" ObjectID="_1829281035" r:id="rId19"/>
        </w:object>
      </w:r>
    </w:p>
    <w:p w14:paraId="17010BAC" w14:textId="7E2917C3" w:rsidR="00190ECC" w:rsidRDefault="00290971" w:rsidP="00290971">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1.</w:t>
      </w:r>
      <w:r>
        <w:rPr>
          <w:rFonts w:ascii="Arial" w:hAnsi="Arial" w:cs="Arial"/>
          <w:b w:val="0"/>
          <w:iCs/>
          <w:kern w:val="28"/>
          <w:sz w:val="20"/>
          <w:lang w:val="en-ID"/>
        </w:rPr>
        <w:t xml:space="preserve"> </w:t>
      </w:r>
      <w:r w:rsidR="00137012">
        <w:rPr>
          <w:rFonts w:ascii="Arial" w:hAnsi="Arial" w:cs="Arial"/>
          <w:b w:val="0"/>
          <w:iCs/>
          <w:kern w:val="28"/>
          <w:sz w:val="20"/>
          <w:lang w:val="en-ID"/>
        </w:rPr>
        <w:t>Survival rate</w:t>
      </w:r>
      <w:r w:rsidRPr="003B2F27">
        <w:rPr>
          <w:rFonts w:ascii="Arial" w:hAnsi="Arial" w:cs="Arial"/>
          <w:b w:val="0"/>
          <w:iCs/>
          <w:kern w:val="28"/>
          <w:sz w:val="20"/>
          <w:lang w:val="en-ID"/>
        </w:rPr>
        <w:t xml:space="preserve"> of </w:t>
      </w:r>
      <w:r w:rsidR="00137012">
        <w:rPr>
          <w:rFonts w:ascii="Arial" w:hAnsi="Arial" w:cs="Arial"/>
          <w:b w:val="0"/>
          <w:iCs/>
          <w:kern w:val="28"/>
          <w:sz w:val="20"/>
          <w:lang w:val="en-ID"/>
        </w:rPr>
        <w:t>giant goramy</w:t>
      </w:r>
      <w:r>
        <w:rPr>
          <w:rFonts w:ascii="Arial" w:hAnsi="Arial" w:cs="Arial"/>
          <w:b w:val="0"/>
          <w:iCs/>
          <w:kern w:val="28"/>
          <w:sz w:val="20"/>
          <w:lang w:val="en-ID"/>
        </w:rPr>
        <w:t xml:space="preserve"> </w:t>
      </w:r>
      <w:r w:rsidRPr="00CC617E">
        <w:rPr>
          <w:rFonts w:ascii="Arial" w:hAnsi="Arial" w:cs="Arial"/>
          <w:b w:val="0"/>
          <w:iCs/>
          <w:kern w:val="28"/>
          <w:sz w:val="20"/>
          <w:lang w:val="en-ID"/>
        </w:rPr>
        <w:t xml:space="preserve">with the </w:t>
      </w:r>
      <w:r w:rsidR="00137012">
        <w:rPr>
          <w:rFonts w:ascii="Arial" w:hAnsi="Arial" w:cs="Arial"/>
          <w:b w:val="0"/>
          <w:iCs/>
          <w:kern w:val="28"/>
          <w:sz w:val="20"/>
          <w:lang w:val="en-ID"/>
        </w:rPr>
        <w:t>immersion</w:t>
      </w:r>
      <w:r w:rsidRPr="00CC617E">
        <w:rPr>
          <w:rFonts w:ascii="Arial" w:hAnsi="Arial" w:cs="Arial"/>
          <w:b w:val="0"/>
          <w:iCs/>
          <w:kern w:val="28"/>
          <w:sz w:val="20"/>
          <w:lang w:val="en-ID"/>
        </w:rPr>
        <w:t xml:space="preserve"> of different doses of </w:t>
      </w:r>
      <w:r w:rsidR="00137012">
        <w:rPr>
          <w:rFonts w:ascii="Arial" w:hAnsi="Arial" w:cs="Arial"/>
          <w:b w:val="0"/>
          <w:iCs/>
          <w:kern w:val="28"/>
          <w:sz w:val="20"/>
          <w:lang w:val="en-ID"/>
        </w:rPr>
        <w:t>thyroxine</w:t>
      </w:r>
      <w:r w:rsidRPr="003B2F27">
        <w:rPr>
          <w:rFonts w:ascii="Arial" w:hAnsi="Arial" w:cs="Arial"/>
          <w:b w:val="0"/>
          <w:iCs/>
          <w:kern w:val="28"/>
          <w:sz w:val="20"/>
          <w:lang w:val="en-ID"/>
        </w:rPr>
        <w:t xml:space="preserve"> during 6</w:t>
      </w:r>
      <w:r w:rsidR="00137012">
        <w:rPr>
          <w:rFonts w:ascii="Arial" w:hAnsi="Arial" w:cs="Arial"/>
          <w:b w:val="0"/>
          <w:iCs/>
          <w:kern w:val="28"/>
          <w:sz w:val="20"/>
          <w:lang w:val="en-ID"/>
        </w:rPr>
        <w:t>0</w:t>
      </w:r>
      <w:r w:rsidRPr="003B2F27">
        <w:rPr>
          <w:rFonts w:ascii="Arial" w:hAnsi="Arial" w:cs="Arial"/>
          <w:b w:val="0"/>
          <w:iCs/>
          <w:kern w:val="28"/>
          <w:sz w:val="20"/>
          <w:lang w:val="en-ID"/>
        </w:rPr>
        <w:t xml:space="preserve"> days</w:t>
      </w:r>
      <w:r w:rsidR="00190ECC">
        <w:rPr>
          <w:rFonts w:ascii="Arial" w:hAnsi="Arial" w:cs="Arial"/>
          <w:b w:val="0"/>
          <w:iCs/>
          <w:kern w:val="28"/>
          <w:sz w:val="20"/>
          <w:lang w:val="en-ID"/>
        </w:rPr>
        <w:t>. A</w:t>
      </w:r>
      <w:r w:rsidR="00190ECC" w:rsidRPr="00190ECC">
        <w:rPr>
          <w:rFonts w:ascii="Arial" w:hAnsi="Arial" w:cs="Arial"/>
          <w:b w:val="0"/>
          <w:iCs/>
          <w:kern w:val="28"/>
          <w:sz w:val="20"/>
          <w:lang w:val="en-ID"/>
        </w:rPr>
        <w:t>verages followed by different letters indicate significance</w:t>
      </w:r>
    </w:p>
    <w:p w14:paraId="1F3E3769" w14:textId="09819E50" w:rsidR="00290971" w:rsidRPr="00091298" w:rsidRDefault="00290971" w:rsidP="00190ECC">
      <w:pPr>
        <w:pStyle w:val="Author"/>
        <w:spacing w:line="240" w:lineRule="auto"/>
        <w:ind w:left="66"/>
        <w:jc w:val="center"/>
        <w:rPr>
          <w:rFonts w:ascii="Arial" w:hAnsi="Arial" w:cs="Arial"/>
          <w:b w:val="0"/>
          <w:iCs/>
          <w:kern w:val="28"/>
          <w:sz w:val="20"/>
          <w:lang w:val="en-ID"/>
        </w:rPr>
      </w:pPr>
      <w:r w:rsidRPr="00091298">
        <w:rPr>
          <w:rFonts w:ascii="Arial" w:hAnsi="Arial" w:cs="Arial"/>
          <w:b w:val="0"/>
          <w:iCs/>
          <w:kern w:val="28"/>
          <w:sz w:val="20"/>
          <w:lang w:val="en-ID"/>
        </w:rPr>
        <w:t xml:space="preserve"> </w:t>
      </w:r>
    </w:p>
    <w:p w14:paraId="2427F471" w14:textId="77777777" w:rsidR="00823CDC" w:rsidRPr="00091298" w:rsidRDefault="00823CDC" w:rsidP="00823CDC">
      <w:pPr>
        <w:pStyle w:val="Author"/>
        <w:spacing w:line="240" w:lineRule="auto"/>
        <w:ind w:left="66"/>
        <w:jc w:val="both"/>
        <w:rPr>
          <w:rFonts w:ascii="Arial" w:hAnsi="Arial" w:cs="Arial"/>
          <w:b w:val="0"/>
          <w:iCs/>
          <w:kern w:val="28"/>
          <w:sz w:val="20"/>
          <w:lang w:val="en-ID"/>
        </w:rPr>
        <w:sectPr w:rsidR="00823CDC" w:rsidRPr="00091298" w:rsidSect="00290971">
          <w:type w:val="continuous"/>
          <w:pgSz w:w="11906" w:h="16838"/>
          <w:pgMar w:top="1440" w:right="1440" w:bottom="1440" w:left="1440" w:header="708" w:footer="708" w:gutter="0"/>
          <w:cols w:space="708"/>
          <w:docGrid w:linePitch="360"/>
        </w:sectPr>
      </w:pPr>
    </w:p>
    <w:p w14:paraId="2241E229" w14:textId="34B29A04" w:rsidR="00FF26A6" w:rsidRPr="00091298" w:rsidRDefault="004F0158" w:rsidP="00FF26A6">
      <w:pPr>
        <w:pStyle w:val="Author"/>
        <w:spacing w:line="240" w:lineRule="auto"/>
        <w:ind w:left="66"/>
        <w:jc w:val="both"/>
        <w:rPr>
          <w:rFonts w:ascii="Arial" w:hAnsi="Arial" w:cs="Arial"/>
          <w:b w:val="0"/>
          <w:iCs/>
          <w:kern w:val="28"/>
          <w:sz w:val="20"/>
          <w:lang w:val="en-ID"/>
        </w:rPr>
      </w:pPr>
      <w:r w:rsidRPr="00091298">
        <w:rPr>
          <w:rFonts w:ascii="Arial" w:hAnsi="Arial" w:cs="Arial"/>
          <w:b w:val="0"/>
          <w:iCs/>
          <w:kern w:val="28"/>
          <w:sz w:val="20"/>
          <w:lang w:val="en-ID"/>
        </w:rPr>
        <w:t xml:space="preserve">The effect of increasing survival in gourami fry </w:t>
      </w:r>
      <w:r w:rsidR="00091298" w:rsidRPr="00091298">
        <w:rPr>
          <w:rFonts w:ascii="Arial" w:hAnsi="Arial" w:cs="Arial"/>
          <w:b w:val="0"/>
          <w:iCs/>
          <w:kern w:val="28"/>
          <w:sz w:val="20"/>
          <w:lang w:val="en-ID"/>
        </w:rPr>
        <w:t>immersed</w:t>
      </w:r>
      <w:r w:rsidRPr="00091298">
        <w:rPr>
          <w:rFonts w:ascii="Arial" w:hAnsi="Arial" w:cs="Arial"/>
          <w:b w:val="0"/>
          <w:iCs/>
          <w:kern w:val="28"/>
          <w:sz w:val="20"/>
          <w:lang w:val="en-ID"/>
        </w:rPr>
        <w:t xml:space="preserve"> in T4 hormone was also shown in research on zebrafish larvae </w:t>
      </w:r>
      <w:r w:rsidR="00091298" w:rsidRPr="00091298">
        <w:rPr>
          <w:rFonts w:ascii="Arial" w:hAnsi="Arial" w:cs="Arial"/>
          <w:b w:val="0"/>
          <w:iCs/>
          <w:kern w:val="28"/>
          <w:sz w:val="20"/>
          <w:lang w:val="en-ID"/>
        </w:rPr>
        <w:t>immersed</w:t>
      </w:r>
      <w:r w:rsidRPr="00091298">
        <w:rPr>
          <w:rFonts w:ascii="Arial" w:hAnsi="Arial" w:cs="Arial"/>
          <w:b w:val="0"/>
          <w:iCs/>
          <w:kern w:val="28"/>
          <w:sz w:val="20"/>
          <w:lang w:val="en-ID"/>
        </w:rPr>
        <w:t xml:space="preserve"> in T4 for 42 days of maintenance, ranging from 85.83-87.50% [13]</w:t>
      </w:r>
      <w:r w:rsidR="00706D78" w:rsidRPr="00091298">
        <w:rPr>
          <w:rFonts w:ascii="Arial" w:hAnsi="Arial" w:cs="Arial"/>
          <w:b w:val="0"/>
          <w:iCs/>
          <w:kern w:val="28"/>
          <w:sz w:val="20"/>
          <w:lang w:val="en-ID"/>
        </w:rPr>
        <w:t>.</w:t>
      </w:r>
      <w:r w:rsidR="00584ED8" w:rsidRPr="00091298">
        <w:rPr>
          <w:rFonts w:ascii="Arial" w:hAnsi="Arial" w:cs="Arial"/>
          <w:b w:val="0"/>
          <w:iCs/>
          <w:kern w:val="28"/>
          <w:sz w:val="20"/>
          <w:lang w:val="en-ID"/>
        </w:rPr>
        <w:t xml:space="preserve"> </w:t>
      </w:r>
      <w:r w:rsidRPr="00091298">
        <w:rPr>
          <w:rFonts w:ascii="Arial" w:hAnsi="Arial" w:cs="Arial"/>
          <w:b w:val="0"/>
          <w:iCs/>
          <w:kern w:val="28"/>
          <w:sz w:val="20"/>
          <w:lang w:val="en-ID"/>
        </w:rPr>
        <w:t>The T4 dos</w:t>
      </w:r>
      <w:r w:rsidR="00370552"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1.00 mg/L (treatment E) is the optimum dose for the survival of gourami fry (average survival rate of 91%), and tends to decrease the survival of fry when the dose is more than 1.00 mg/L (dose of 1.25 mg/L, treatment F). These results explain that the thyroxine dos</w:t>
      </w:r>
      <w:r w:rsidR="00091298">
        <w:rPr>
          <w:rFonts w:ascii="Arial" w:hAnsi="Arial" w:cs="Arial"/>
          <w:b w:val="0"/>
          <w:iCs/>
          <w:kern w:val="28"/>
          <w:sz w:val="20"/>
          <w:lang w:val="en-ID"/>
        </w:rPr>
        <w:t>age</w:t>
      </w:r>
      <w:r w:rsidRPr="00091298">
        <w:rPr>
          <w:rFonts w:ascii="Arial" w:hAnsi="Arial" w:cs="Arial"/>
          <w:b w:val="0"/>
          <w:iCs/>
          <w:kern w:val="28"/>
          <w:sz w:val="20"/>
          <w:lang w:val="en-ID"/>
        </w:rPr>
        <w:t xml:space="preserve"> of more than 1.00 mg/L causes negative effects, causing accelerated fry metabolic disorders, leading to liver, kidney and nerve damage causing mortality [9,14]</w:t>
      </w:r>
      <w:r w:rsidR="00FF26A6" w:rsidRPr="00091298">
        <w:rPr>
          <w:rFonts w:ascii="Arial" w:hAnsi="Arial" w:cs="Arial"/>
          <w:b w:val="0"/>
          <w:iCs/>
          <w:kern w:val="28"/>
          <w:sz w:val="20"/>
          <w:lang w:val="en-ID"/>
        </w:rPr>
        <w:t xml:space="preserve">, </w:t>
      </w:r>
      <w:r w:rsidRPr="00091298">
        <w:rPr>
          <w:rFonts w:ascii="Arial" w:hAnsi="Arial" w:cs="Arial"/>
          <w:b w:val="0"/>
          <w:iCs/>
          <w:kern w:val="28"/>
          <w:sz w:val="20"/>
          <w:lang w:val="en-ID"/>
        </w:rPr>
        <w:t xml:space="preserve">as shown in the decrease in survival rate of treatment F. While the thyroxine dose that is still tolerable for the life of gourami fry ranges from 0.25-0.75 mg/L with a survival rate of 61-79%. </w:t>
      </w:r>
      <w:r w:rsidR="00370552" w:rsidRPr="00091298">
        <w:rPr>
          <w:rFonts w:ascii="Arial" w:hAnsi="Arial" w:cs="Arial"/>
          <w:b w:val="0"/>
          <w:iCs/>
          <w:kern w:val="28"/>
          <w:sz w:val="20"/>
          <w:lang w:val="en-ID"/>
        </w:rPr>
        <w:t>The r</w:t>
      </w:r>
      <w:r w:rsidRPr="00091298">
        <w:rPr>
          <w:rFonts w:ascii="Arial" w:hAnsi="Arial" w:cs="Arial"/>
          <w:b w:val="0"/>
          <w:iCs/>
          <w:kern w:val="28"/>
          <w:sz w:val="20"/>
          <w:lang w:val="en-ID"/>
        </w:rPr>
        <w:t xml:space="preserve">esearch on </w:t>
      </w:r>
      <w:r w:rsidR="00370552" w:rsidRPr="00091298">
        <w:rPr>
          <w:rFonts w:ascii="Arial" w:hAnsi="Arial" w:cs="Arial"/>
          <w:b w:val="0"/>
          <w:iCs/>
          <w:kern w:val="28"/>
          <w:sz w:val="20"/>
          <w:lang w:val="en-ID"/>
        </w:rPr>
        <w:t>immersion</w:t>
      </w:r>
      <w:r w:rsidRPr="00091298">
        <w:rPr>
          <w:rFonts w:ascii="Arial" w:hAnsi="Arial" w:cs="Arial"/>
          <w:b w:val="0"/>
          <w:iCs/>
          <w:kern w:val="28"/>
          <w:sz w:val="20"/>
          <w:lang w:val="en-ID"/>
        </w:rPr>
        <w:t xml:space="preserve"> milkfish and carp larvae with low dos</w:t>
      </w:r>
      <w:r w:rsidR="00370552"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thyroxine (0.1 mg/L and 0.5 mg/L) provides survival of up to 80% when compared to a dos</w:t>
      </w:r>
      <w:r w:rsidR="00370552"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5 mg/l which is only 10% [9,10].</w:t>
      </w:r>
      <w:r w:rsidR="00F72EEE" w:rsidRPr="00091298">
        <w:rPr>
          <w:rFonts w:ascii="Arial" w:hAnsi="Arial" w:cs="Arial"/>
          <w:b w:val="0"/>
          <w:iCs/>
          <w:kern w:val="28"/>
          <w:sz w:val="20"/>
          <w:lang w:val="en-ID"/>
        </w:rPr>
        <w:t xml:space="preserve"> </w:t>
      </w:r>
      <w:r w:rsidRPr="00091298">
        <w:rPr>
          <w:rFonts w:ascii="Arial" w:hAnsi="Arial" w:cs="Arial"/>
          <w:b w:val="0"/>
          <w:iCs/>
          <w:kern w:val="28"/>
          <w:sz w:val="20"/>
          <w:lang w:val="en-ID"/>
        </w:rPr>
        <w:t>This confirmation shows that the thyroxine dos</w:t>
      </w:r>
      <w:r w:rsidR="00370552"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1.00 mg/L is the optimum dose for the survival of gourami fry.</w:t>
      </w:r>
    </w:p>
    <w:p w14:paraId="34233E67" w14:textId="548E0DA5" w:rsidR="00FF26A6" w:rsidRDefault="00FF26A6" w:rsidP="00823CDC">
      <w:pPr>
        <w:pStyle w:val="Author"/>
        <w:spacing w:line="240" w:lineRule="auto"/>
        <w:ind w:left="66"/>
        <w:jc w:val="both"/>
        <w:rPr>
          <w:rFonts w:ascii="Arial" w:hAnsi="Arial" w:cs="Arial"/>
          <w:b w:val="0"/>
          <w:iCs/>
          <w:kern w:val="28"/>
          <w:sz w:val="20"/>
          <w:lang w:val="en-ID"/>
        </w:rPr>
      </w:pPr>
    </w:p>
    <w:p w14:paraId="5DCD26D6" w14:textId="0A5FC83A" w:rsidR="00FF26A6" w:rsidRPr="00CA5691" w:rsidRDefault="00CA5691" w:rsidP="00823CDC">
      <w:pPr>
        <w:pStyle w:val="Author"/>
        <w:spacing w:line="240" w:lineRule="auto"/>
        <w:ind w:left="66"/>
        <w:jc w:val="both"/>
        <w:rPr>
          <w:rFonts w:ascii="Arial" w:hAnsi="Arial" w:cs="Arial"/>
          <w:bCs/>
          <w:iCs/>
          <w:kern w:val="28"/>
          <w:sz w:val="20"/>
          <w:lang w:val="en-ID"/>
        </w:rPr>
      </w:pPr>
      <w:r w:rsidRPr="00CA5691">
        <w:rPr>
          <w:rFonts w:ascii="Arial" w:hAnsi="Arial" w:cs="Arial"/>
          <w:bCs/>
          <w:iCs/>
          <w:kern w:val="28"/>
          <w:sz w:val="20"/>
          <w:lang w:val="en-ID"/>
        </w:rPr>
        <w:t xml:space="preserve">3.2 </w:t>
      </w:r>
      <w:r w:rsidR="001F50A5">
        <w:rPr>
          <w:rFonts w:ascii="Arial" w:hAnsi="Arial" w:cs="Arial"/>
          <w:bCs/>
          <w:iCs/>
          <w:kern w:val="28"/>
          <w:sz w:val="20"/>
          <w:lang w:val="en-ID"/>
        </w:rPr>
        <w:t>Body length growth</w:t>
      </w:r>
    </w:p>
    <w:p w14:paraId="1D403ABB" w14:textId="77777777" w:rsidR="00FF26A6" w:rsidRDefault="00FF26A6" w:rsidP="00823CDC">
      <w:pPr>
        <w:pStyle w:val="Author"/>
        <w:spacing w:line="240" w:lineRule="auto"/>
        <w:ind w:left="66"/>
        <w:jc w:val="both"/>
        <w:rPr>
          <w:rFonts w:ascii="Arial" w:hAnsi="Arial" w:cs="Arial"/>
          <w:b w:val="0"/>
          <w:iCs/>
          <w:kern w:val="28"/>
          <w:sz w:val="20"/>
          <w:lang w:val="en-ID"/>
        </w:rPr>
      </w:pPr>
    </w:p>
    <w:p w14:paraId="3EEDB521" w14:textId="0998EE70" w:rsidR="00CA5691" w:rsidRPr="00091298" w:rsidRDefault="008E5CB4" w:rsidP="00823CDC">
      <w:pPr>
        <w:pStyle w:val="Author"/>
        <w:spacing w:line="240" w:lineRule="auto"/>
        <w:ind w:left="66"/>
        <w:jc w:val="both"/>
        <w:rPr>
          <w:rFonts w:ascii="Arial" w:hAnsi="Arial" w:cs="Arial"/>
          <w:b w:val="0"/>
          <w:iCs/>
          <w:kern w:val="28"/>
          <w:sz w:val="20"/>
          <w:lang w:val="en-ID"/>
        </w:rPr>
      </w:pPr>
      <w:r w:rsidRPr="00091298">
        <w:rPr>
          <w:rFonts w:ascii="Arial" w:hAnsi="Arial" w:cs="Arial"/>
          <w:b w:val="0"/>
          <w:iCs/>
          <w:kern w:val="28"/>
          <w:sz w:val="20"/>
          <w:lang w:val="en-ID"/>
        </w:rPr>
        <w:t>The growth of fish larvae and fry requires the presence of the hormone thyroxine, which is responsible for metabolic effects during the development of fish body tissues. High levels of thyroxine are necessary when the fry's body tissues are in the growth stage, and levels begin to decline after tissue growth is complete [15,16].</w:t>
      </w:r>
      <w:r w:rsidR="0007219C" w:rsidRPr="00091298">
        <w:rPr>
          <w:rFonts w:ascii="Arial" w:hAnsi="Arial" w:cs="Arial"/>
          <w:b w:val="0"/>
          <w:iCs/>
          <w:kern w:val="28"/>
          <w:sz w:val="20"/>
          <w:lang w:val="en-ID"/>
        </w:rPr>
        <w:t xml:space="preserve"> </w:t>
      </w:r>
      <w:r w:rsidRPr="00091298">
        <w:rPr>
          <w:rFonts w:ascii="Arial" w:hAnsi="Arial" w:cs="Arial"/>
          <w:b w:val="0"/>
          <w:iCs/>
          <w:kern w:val="28"/>
          <w:sz w:val="20"/>
          <w:lang w:val="en-ID"/>
        </w:rPr>
        <w:t>The correct dos</w:t>
      </w:r>
      <w:r w:rsidR="00091298">
        <w:rPr>
          <w:rFonts w:ascii="Arial" w:hAnsi="Arial" w:cs="Arial"/>
          <w:b w:val="0"/>
          <w:iCs/>
          <w:kern w:val="28"/>
          <w:sz w:val="20"/>
          <w:lang w:val="en-ID"/>
        </w:rPr>
        <w:t>age</w:t>
      </w:r>
      <w:r w:rsidRPr="00091298">
        <w:rPr>
          <w:rFonts w:ascii="Arial" w:hAnsi="Arial" w:cs="Arial"/>
          <w:b w:val="0"/>
          <w:iCs/>
          <w:kern w:val="28"/>
          <w:sz w:val="20"/>
          <w:lang w:val="en-ID"/>
        </w:rPr>
        <w:t xml:space="preserve"> of thyroxine will provide normal growth and development of the fish fry's body. The total length of gourami fry at a thyroxine dos</w:t>
      </w:r>
      <w:r w:rsidR="00370552"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0.25-0.75 mg/L increased significantly from 2.36 cm to 3.25 cm higher than without hormone immersion, indicating that gourami fry require the presence of thyroxine hormone especially for the growth of additional respiratory organs (labyrinth). </w:t>
      </w:r>
      <w:commentRangeStart w:id="5"/>
      <w:r w:rsidRPr="00A16EBC">
        <w:rPr>
          <w:rFonts w:ascii="Arial" w:hAnsi="Arial" w:cs="Arial"/>
          <w:b w:val="0"/>
          <w:iCs/>
          <w:kern w:val="28"/>
          <w:sz w:val="20"/>
          <w:highlight w:val="yellow"/>
          <w:lang w:val="en-ID"/>
        </w:rPr>
        <w:t>The increase in thyroxine requirements begins when the fry are 21 days old after hatching for the development and growth of the labyrinth as a result of modification of the gill filaments of gourami fry</w:t>
      </w:r>
      <w:r w:rsidRPr="00091298">
        <w:rPr>
          <w:rFonts w:ascii="Arial" w:hAnsi="Arial" w:cs="Arial"/>
          <w:b w:val="0"/>
          <w:iCs/>
          <w:kern w:val="28"/>
          <w:sz w:val="20"/>
          <w:lang w:val="en-ID"/>
        </w:rPr>
        <w:t xml:space="preserve"> </w:t>
      </w:r>
      <w:commentRangeEnd w:id="5"/>
      <w:r w:rsidR="001A5784">
        <w:rPr>
          <w:rStyle w:val="CommentReference"/>
          <w:rFonts w:asciiTheme="minorHAnsi" w:eastAsiaTheme="minorHAnsi" w:hAnsiTheme="minorHAnsi" w:cstheme="minorBidi"/>
          <w:b w:val="0"/>
          <w:kern w:val="2"/>
          <w:lang w:val="en-ID"/>
          <w14:ligatures w14:val="standardContextual"/>
        </w:rPr>
        <w:commentReference w:id="5"/>
      </w:r>
      <w:r w:rsidRPr="00091298">
        <w:rPr>
          <w:rFonts w:ascii="Arial" w:hAnsi="Arial" w:cs="Arial"/>
          <w:b w:val="0"/>
          <w:iCs/>
          <w:kern w:val="28"/>
          <w:sz w:val="20"/>
          <w:lang w:val="en-ID"/>
        </w:rPr>
        <w:t>[17]. The highest average total length of gourami fry (3,925 cm) was obtained at a thyroxine dose of 1.00 mg/L after the 4</w:t>
      </w:r>
      <w:r w:rsidR="00817C10" w:rsidRPr="00091298">
        <w:rPr>
          <w:rFonts w:ascii="Arial" w:hAnsi="Arial" w:cs="Arial"/>
          <w:b w:val="0"/>
          <w:iCs/>
          <w:kern w:val="28"/>
          <w:sz w:val="20"/>
          <w:lang w:val="en-ID"/>
        </w:rPr>
        <w:t>5</w:t>
      </w:r>
      <w:r w:rsidRPr="00091298">
        <w:rPr>
          <w:rFonts w:ascii="Arial" w:hAnsi="Arial" w:cs="Arial"/>
          <w:b w:val="0"/>
          <w:iCs/>
          <w:kern w:val="28"/>
          <w:sz w:val="20"/>
          <w:lang w:val="en-ID"/>
        </w:rPr>
        <w:t>th day (one month treatment), while in the two-month treatment (7</w:t>
      </w:r>
      <w:r w:rsidR="00817C10" w:rsidRPr="00091298">
        <w:rPr>
          <w:rFonts w:ascii="Arial" w:hAnsi="Arial" w:cs="Arial"/>
          <w:b w:val="0"/>
          <w:iCs/>
          <w:kern w:val="28"/>
          <w:sz w:val="20"/>
          <w:lang w:val="en-ID"/>
        </w:rPr>
        <w:t>5</w:t>
      </w:r>
      <w:r w:rsidRPr="00091298">
        <w:rPr>
          <w:rFonts w:ascii="Arial" w:hAnsi="Arial" w:cs="Arial"/>
          <w:b w:val="0"/>
          <w:iCs/>
          <w:kern w:val="28"/>
          <w:sz w:val="20"/>
          <w:lang w:val="en-ID"/>
        </w:rPr>
        <w:t>th day), the average length was 8.04 cm (Figure 2).</w:t>
      </w:r>
      <w:r w:rsidR="00303231" w:rsidRPr="00091298">
        <w:rPr>
          <w:rFonts w:ascii="Arial" w:hAnsi="Arial" w:cs="Arial"/>
          <w:b w:val="0"/>
          <w:iCs/>
          <w:kern w:val="28"/>
          <w:sz w:val="20"/>
          <w:lang w:val="en-ID"/>
        </w:rPr>
        <w:t xml:space="preserve"> </w:t>
      </w:r>
    </w:p>
    <w:p w14:paraId="2E9CF5CC" w14:textId="77777777" w:rsidR="00FF26A6" w:rsidRDefault="00FF26A6" w:rsidP="00823CDC">
      <w:pPr>
        <w:pStyle w:val="Author"/>
        <w:spacing w:line="240" w:lineRule="auto"/>
        <w:ind w:left="66"/>
        <w:jc w:val="both"/>
        <w:rPr>
          <w:rFonts w:ascii="Arial" w:hAnsi="Arial" w:cs="Arial"/>
          <w:b w:val="0"/>
          <w:iCs/>
          <w:kern w:val="28"/>
          <w:sz w:val="20"/>
          <w:lang w:val="en-ID"/>
        </w:rPr>
      </w:pPr>
    </w:p>
    <w:p w14:paraId="303300BF" w14:textId="77777777" w:rsidR="00FF26A6" w:rsidRDefault="00FF26A6" w:rsidP="00823CDC">
      <w:pPr>
        <w:pStyle w:val="Author"/>
        <w:spacing w:line="240" w:lineRule="auto"/>
        <w:ind w:left="66"/>
        <w:jc w:val="both"/>
        <w:rPr>
          <w:rFonts w:ascii="Arial" w:hAnsi="Arial" w:cs="Arial"/>
          <w:b w:val="0"/>
          <w:iCs/>
          <w:kern w:val="28"/>
          <w:sz w:val="20"/>
          <w:lang w:val="en-ID"/>
        </w:rPr>
      </w:pPr>
    </w:p>
    <w:p w14:paraId="234B12BF" w14:textId="77777777" w:rsidR="00303231" w:rsidRDefault="00303231" w:rsidP="00823CDC">
      <w:pPr>
        <w:pStyle w:val="Author"/>
        <w:spacing w:line="240" w:lineRule="auto"/>
        <w:ind w:left="66"/>
        <w:jc w:val="both"/>
        <w:rPr>
          <w:rFonts w:ascii="Arial" w:hAnsi="Arial" w:cs="Arial"/>
          <w:b w:val="0"/>
          <w:iCs/>
          <w:kern w:val="28"/>
          <w:sz w:val="20"/>
          <w:lang w:val="en-ID"/>
        </w:rPr>
        <w:sectPr w:rsidR="00303231" w:rsidSect="00823CDC">
          <w:type w:val="continuous"/>
          <w:pgSz w:w="11906" w:h="16838"/>
          <w:pgMar w:top="1440" w:right="1440" w:bottom="1440" w:left="1440" w:header="708" w:footer="708" w:gutter="0"/>
          <w:cols w:num="2" w:space="708"/>
          <w:docGrid w:linePitch="360"/>
        </w:sectPr>
      </w:pPr>
    </w:p>
    <w:p w14:paraId="1C16E690" w14:textId="77777777" w:rsidR="00FF26A6" w:rsidRDefault="00FF26A6" w:rsidP="00823CDC">
      <w:pPr>
        <w:pStyle w:val="Author"/>
        <w:spacing w:line="240" w:lineRule="auto"/>
        <w:ind w:left="66"/>
        <w:jc w:val="both"/>
        <w:rPr>
          <w:rFonts w:ascii="Arial" w:hAnsi="Arial" w:cs="Arial"/>
          <w:b w:val="0"/>
          <w:iCs/>
          <w:kern w:val="28"/>
          <w:sz w:val="20"/>
          <w:lang w:val="en-ID"/>
        </w:rPr>
      </w:pPr>
    </w:p>
    <w:p w14:paraId="1C398056" w14:textId="549D149C" w:rsidR="00FF26A6" w:rsidRDefault="00303231" w:rsidP="00303231">
      <w:pPr>
        <w:pStyle w:val="Author"/>
        <w:spacing w:line="240" w:lineRule="auto"/>
        <w:ind w:left="66"/>
        <w:jc w:val="center"/>
        <w:rPr>
          <w:rFonts w:ascii="Arial" w:hAnsi="Arial" w:cs="Arial"/>
          <w:b w:val="0"/>
          <w:iCs/>
          <w:kern w:val="28"/>
          <w:sz w:val="20"/>
          <w:lang w:val="en-ID"/>
        </w:rPr>
      </w:pPr>
      <w:r>
        <w:object w:dxaOrig="8997" w:dyaOrig="5865" w14:anchorId="73B09C4F">
          <v:shape id="_x0000_i1026" type="#_x0000_t75" style="width:410pt;height:266pt" o:ole="">
            <v:imagedata r:id="rId20" o:title=""/>
          </v:shape>
          <o:OLEObject Type="Embed" ProgID="Prism6.Document" ShapeID="_x0000_i1026" DrawAspect="Content" ObjectID="_1829281036" r:id="rId21"/>
        </w:object>
      </w:r>
    </w:p>
    <w:p w14:paraId="5B942B91" w14:textId="774B633B" w:rsidR="00FF26A6" w:rsidRDefault="007138EE" w:rsidP="00303231">
      <w:pPr>
        <w:pStyle w:val="Author"/>
        <w:spacing w:line="240" w:lineRule="auto"/>
        <w:ind w:left="66"/>
        <w:jc w:val="center"/>
        <w:rPr>
          <w:rFonts w:ascii="Arial" w:hAnsi="Arial" w:cs="Arial"/>
          <w:b w:val="0"/>
          <w:iCs/>
          <w:kern w:val="28"/>
          <w:sz w:val="20"/>
          <w:lang w:val="en-ID"/>
        </w:rPr>
      </w:pPr>
      <w:r w:rsidRPr="007138EE">
        <w:rPr>
          <w:rFonts w:ascii="Arial" w:hAnsi="Arial" w:cs="Arial"/>
          <w:bCs/>
          <w:iCs/>
          <w:kern w:val="28"/>
          <w:sz w:val="20"/>
          <w:lang w:val="en-ID"/>
        </w:rPr>
        <w:t>Fig.</w:t>
      </w:r>
      <w:r w:rsidR="00303231" w:rsidRPr="007138EE">
        <w:rPr>
          <w:rFonts w:ascii="Arial" w:hAnsi="Arial" w:cs="Arial"/>
          <w:bCs/>
          <w:iCs/>
          <w:kern w:val="28"/>
          <w:sz w:val="20"/>
          <w:lang w:val="en-ID"/>
        </w:rPr>
        <w:t xml:space="preserve"> 2.</w:t>
      </w:r>
      <w:r w:rsidR="00303231">
        <w:rPr>
          <w:rFonts w:ascii="Arial" w:hAnsi="Arial" w:cs="Arial"/>
          <w:b w:val="0"/>
          <w:iCs/>
          <w:kern w:val="28"/>
          <w:sz w:val="20"/>
          <w:lang w:val="en-ID"/>
        </w:rPr>
        <w:t xml:space="preserve"> </w:t>
      </w:r>
      <w:r>
        <w:rPr>
          <w:rFonts w:ascii="Arial" w:hAnsi="Arial" w:cs="Arial"/>
          <w:b w:val="0"/>
          <w:iCs/>
          <w:kern w:val="28"/>
          <w:sz w:val="20"/>
          <w:lang w:val="en-ID"/>
        </w:rPr>
        <w:t>Body</w:t>
      </w:r>
      <w:r w:rsidRPr="007138EE">
        <w:rPr>
          <w:rFonts w:ascii="Arial" w:hAnsi="Arial" w:cs="Arial"/>
          <w:b w:val="0"/>
          <w:iCs/>
          <w:kern w:val="28"/>
          <w:sz w:val="20"/>
          <w:lang w:val="en-ID"/>
        </w:rPr>
        <w:t xml:space="preserve"> length growth of fry (cm) at different dos</w:t>
      </w:r>
      <w:r>
        <w:rPr>
          <w:rFonts w:ascii="Arial" w:hAnsi="Arial" w:cs="Arial"/>
          <w:b w:val="0"/>
          <w:iCs/>
          <w:kern w:val="28"/>
          <w:sz w:val="20"/>
          <w:lang w:val="en-ID"/>
        </w:rPr>
        <w:t>age</w:t>
      </w:r>
      <w:r w:rsidRPr="007138EE">
        <w:rPr>
          <w:rFonts w:ascii="Arial" w:hAnsi="Arial" w:cs="Arial"/>
          <w:b w:val="0"/>
          <w:iCs/>
          <w:kern w:val="28"/>
          <w:sz w:val="20"/>
          <w:lang w:val="en-ID"/>
        </w:rPr>
        <w:t xml:space="preserve"> of thyroxine</w:t>
      </w:r>
      <w:r>
        <w:rPr>
          <w:rFonts w:ascii="Arial" w:hAnsi="Arial" w:cs="Arial"/>
          <w:b w:val="0"/>
          <w:iCs/>
          <w:kern w:val="28"/>
          <w:sz w:val="20"/>
          <w:lang w:val="en-ID"/>
        </w:rPr>
        <w:t>.</w:t>
      </w:r>
    </w:p>
    <w:p w14:paraId="5D178B37" w14:textId="6B44B217" w:rsidR="001F50A5" w:rsidRDefault="001F50A5" w:rsidP="00303231">
      <w:pPr>
        <w:pStyle w:val="Author"/>
        <w:spacing w:line="240" w:lineRule="auto"/>
        <w:ind w:left="66"/>
        <w:jc w:val="center"/>
        <w:rPr>
          <w:rFonts w:ascii="Arial" w:hAnsi="Arial" w:cs="Arial"/>
          <w:b w:val="0"/>
          <w:iCs/>
          <w:kern w:val="28"/>
          <w:sz w:val="20"/>
          <w:lang w:val="en-ID"/>
        </w:rPr>
      </w:pPr>
      <w:r>
        <w:rPr>
          <w:rFonts w:ascii="Arial" w:hAnsi="Arial" w:cs="Arial"/>
          <w:b w:val="0"/>
          <w:iCs/>
          <w:kern w:val="28"/>
          <w:sz w:val="20"/>
          <w:lang w:val="en-ID"/>
        </w:rPr>
        <w:t>A</w:t>
      </w:r>
      <w:r w:rsidRPr="00190ECC">
        <w:rPr>
          <w:rFonts w:ascii="Arial" w:hAnsi="Arial" w:cs="Arial"/>
          <w:b w:val="0"/>
          <w:iCs/>
          <w:kern w:val="28"/>
          <w:sz w:val="20"/>
          <w:lang w:val="en-ID"/>
        </w:rPr>
        <w:t>verages followed by different letters indicate significance</w:t>
      </w:r>
    </w:p>
    <w:p w14:paraId="73B26841" w14:textId="77777777" w:rsidR="00FF26A6" w:rsidRDefault="00FF26A6" w:rsidP="00C4416E">
      <w:pPr>
        <w:pStyle w:val="Author"/>
        <w:spacing w:line="240" w:lineRule="auto"/>
        <w:jc w:val="both"/>
        <w:rPr>
          <w:rFonts w:ascii="Arial" w:hAnsi="Arial" w:cs="Arial"/>
          <w:b w:val="0"/>
          <w:iCs/>
          <w:kern w:val="28"/>
          <w:sz w:val="20"/>
          <w:lang w:val="en-ID"/>
        </w:rPr>
      </w:pPr>
    </w:p>
    <w:p w14:paraId="121AEACD" w14:textId="77777777" w:rsidR="00303231" w:rsidRDefault="00303231" w:rsidP="00823CDC">
      <w:pPr>
        <w:pStyle w:val="Author"/>
        <w:spacing w:line="240" w:lineRule="auto"/>
        <w:ind w:left="66"/>
        <w:jc w:val="both"/>
        <w:rPr>
          <w:rFonts w:ascii="Arial" w:hAnsi="Arial" w:cs="Arial"/>
          <w:b w:val="0"/>
          <w:iCs/>
          <w:kern w:val="28"/>
          <w:sz w:val="20"/>
          <w:lang w:val="en-ID"/>
        </w:rPr>
        <w:sectPr w:rsidR="00303231" w:rsidSect="00303231">
          <w:type w:val="continuous"/>
          <w:pgSz w:w="11906" w:h="16838"/>
          <w:pgMar w:top="1440" w:right="1440" w:bottom="1440" w:left="1440" w:header="708" w:footer="708" w:gutter="0"/>
          <w:cols w:space="708"/>
          <w:docGrid w:linePitch="360"/>
        </w:sectPr>
      </w:pPr>
    </w:p>
    <w:p w14:paraId="4CA85ED0" w14:textId="30E4111A" w:rsidR="00FF26A6" w:rsidRPr="00091298" w:rsidRDefault="00E33424" w:rsidP="00F22C03">
      <w:pPr>
        <w:pStyle w:val="Author"/>
        <w:spacing w:line="240" w:lineRule="auto"/>
        <w:ind w:left="66"/>
        <w:jc w:val="both"/>
        <w:rPr>
          <w:rFonts w:ascii="Arial" w:hAnsi="Arial" w:cs="Arial"/>
          <w:b w:val="0"/>
          <w:kern w:val="28"/>
          <w:sz w:val="20"/>
          <w:lang w:val="en-ID"/>
        </w:rPr>
      </w:pPr>
      <w:r w:rsidRPr="00091298">
        <w:rPr>
          <w:rFonts w:ascii="Arial" w:hAnsi="Arial" w:cs="Arial"/>
          <w:b w:val="0"/>
          <w:iCs/>
          <w:kern w:val="28"/>
          <w:sz w:val="20"/>
          <w:lang w:val="en-ID"/>
        </w:rPr>
        <w:t xml:space="preserve">Significantly, the growth in </w:t>
      </w:r>
      <w:r w:rsidR="0053012C" w:rsidRPr="00091298">
        <w:rPr>
          <w:rFonts w:ascii="Arial" w:hAnsi="Arial" w:cs="Arial"/>
          <w:b w:val="0"/>
          <w:iCs/>
          <w:kern w:val="28"/>
          <w:sz w:val="20"/>
          <w:lang w:val="en-ID"/>
        </w:rPr>
        <w:t xml:space="preserve">body </w:t>
      </w:r>
      <w:r w:rsidRPr="00091298">
        <w:rPr>
          <w:rFonts w:ascii="Arial" w:hAnsi="Arial" w:cs="Arial"/>
          <w:b w:val="0"/>
          <w:iCs/>
          <w:kern w:val="28"/>
          <w:sz w:val="20"/>
          <w:lang w:val="en-ID"/>
        </w:rPr>
        <w:t xml:space="preserve">length of gourami fry </w:t>
      </w:r>
      <w:r w:rsidR="00817C10" w:rsidRPr="00091298">
        <w:rPr>
          <w:rFonts w:ascii="Arial" w:hAnsi="Arial" w:cs="Arial"/>
          <w:b w:val="0"/>
          <w:iCs/>
          <w:kern w:val="28"/>
          <w:sz w:val="20"/>
          <w:lang w:val="en-ID"/>
        </w:rPr>
        <w:t>immersed</w:t>
      </w:r>
      <w:r w:rsidRPr="00091298">
        <w:rPr>
          <w:rFonts w:ascii="Arial" w:hAnsi="Arial" w:cs="Arial"/>
          <w:b w:val="0"/>
          <w:iCs/>
          <w:kern w:val="28"/>
          <w:sz w:val="20"/>
          <w:lang w:val="en-ID"/>
        </w:rPr>
        <w:t xml:space="preserve"> in thyroxine (dos</w:t>
      </w:r>
      <w:r w:rsidR="00817C10"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0.25 mg/L, 0.50 mg/L, 0.75 mg/L, 1.00 mg/L and 1.25 mg/L) was higher than without thyroxine </w:t>
      </w:r>
      <w:r w:rsidR="00817C10" w:rsidRPr="00091298">
        <w:rPr>
          <w:rFonts w:ascii="Arial" w:hAnsi="Arial" w:cs="Arial"/>
          <w:b w:val="0"/>
          <w:iCs/>
          <w:kern w:val="28"/>
          <w:sz w:val="20"/>
          <w:lang w:val="en-ID"/>
        </w:rPr>
        <w:t>immersion</w:t>
      </w:r>
      <w:r w:rsidRPr="00091298">
        <w:rPr>
          <w:rFonts w:ascii="Arial" w:hAnsi="Arial" w:cs="Arial"/>
          <w:b w:val="0"/>
          <w:iCs/>
          <w:kern w:val="28"/>
          <w:sz w:val="20"/>
          <w:lang w:val="en-ID"/>
        </w:rPr>
        <w:t xml:space="preserve"> during </w:t>
      </w:r>
      <w:r w:rsidR="00817C10" w:rsidRPr="00091298">
        <w:rPr>
          <w:rFonts w:ascii="Arial" w:hAnsi="Arial" w:cs="Arial"/>
          <w:b w:val="0"/>
          <w:iCs/>
          <w:kern w:val="28"/>
          <w:sz w:val="20"/>
          <w:lang w:val="en-ID"/>
        </w:rPr>
        <w:t>one</w:t>
      </w:r>
      <w:r w:rsidRPr="00091298">
        <w:rPr>
          <w:rFonts w:ascii="Arial" w:hAnsi="Arial" w:cs="Arial"/>
          <w:b w:val="0"/>
          <w:iCs/>
          <w:kern w:val="28"/>
          <w:sz w:val="20"/>
          <w:lang w:val="en-ID"/>
        </w:rPr>
        <w:t xml:space="preserve"> month of maintenance, but during </w:t>
      </w:r>
      <w:r w:rsidR="00817C10" w:rsidRPr="00091298">
        <w:rPr>
          <w:rFonts w:ascii="Arial" w:hAnsi="Arial" w:cs="Arial"/>
          <w:b w:val="0"/>
          <w:iCs/>
          <w:kern w:val="28"/>
          <w:sz w:val="20"/>
          <w:lang w:val="en-ID"/>
        </w:rPr>
        <w:t>two</w:t>
      </w:r>
      <w:r w:rsidRPr="00091298">
        <w:rPr>
          <w:rFonts w:ascii="Arial" w:hAnsi="Arial" w:cs="Arial"/>
          <w:b w:val="0"/>
          <w:iCs/>
          <w:kern w:val="28"/>
          <w:sz w:val="20"/>
          <w:lang w:val="en-ID"/>
        </w:rPr>
        <w:t xml:space="preserve"> months of maintenance only dos</w:t>
      </w:r>
      <w:r w:rsidR="00817C10"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0.50 mg/L, 0.75 mg/L and 1.00 mg/L had a significant effect (Figure 2). </w:t>
      </w:r>
      <w:r w:rsidRPr="00A16EBC">
        <w:rPr>
          <w:rFonts w:ascii="Arial" w:hAnsi="Arial" w:cs="Arial"/>
          <w:b w:val="0"/>
          <w:iCs/>
          <w:kern w:val="28"/>
          <w:sz w:val="20"/>
          <w:highlight w:val="yellow"/>
          <w:lang w:val="en-ID"/>
        </w:rPr>
        <w:t>Thyroxine hormone affects protein anabolism</w:t>
      </w:r>
      <w:r w:rsidRPr="00091298">
        <w:rPr>
          <w:rFonts w:ascii="Arial" w:hAnsi="Arial" w:cs="Arial"/>
          <w:b w:val="0"/>
          <w:iCs/>
          <w:kern w:val="28"/>
          <w:sz w:val="20"/>
          <w:lang w:val="en-ID"/>
        </w:rPr>
        <w:t xml:space="preserve"> which then stimulates growth (including length growth) as shown in the soaking treatment using thyroxine hormone on gourami fry [5,</w:t>
      </w:r>
      <w:r w:rsidR="00817C10" w:rsidRPr="00091298">
        <w:rPr>
          <w:rFonts w:ascii="Arial" w:hAnsi="Arial" w:cs="Arial"/>
          <w:b w:val="0"/>
          <w:iCs/>
          <w:kern w:val="28"/>
          <w:sz w:val="20"/>
          <w:lang w:val="en-ID"/>
        </w:rPr>
        <w:t>18,</w:t>
      </w:r>
      <w:r w:rsidRPr="00091298">
        <w:rPr>
          <w:rFonts w:ascii="Arial" w:hAnsi="Arial" w:cs="Arial"/>
          <w:b w:val="0"/>
          <w:iCs/>
          <w:kern w:val="28"/>
          <w:sz w:val="20"/>
          <w:lang w:val="en-ID"/>
        </w:rPr>
        <w:t>19].</w:t>
      </w:r>
      <w:r w:rsidR="00F22C03" w:rsidRPr="00091298">
        <w:rPr>
          <w:rFonts w:ascii="Arial" w:hAnsi="Arial" w:cs="Arial"/>
          <w:b w:val="0"/>
          <w:iCs/>
          <w:kern w:val="28"/>
          <w:sz w:val="20"/>
          <w:lang w:val="en-ID"/>
        </w:rPr>
        <w:t xml:space="preserve">  The results of the study of thyroxine doses in the immersion of milkfish larvae, </w:t>
      </w:r>
      <w:r w:rsidR="00F22C03" w:rsidRPr="00091298">
        <w:rPr>
          <w:rFonts w:ascii="Arial" w:hAnsi="Arial" w:cs="Arial"/>
          <w:b w:val="0"/>
          <w:i/>
          <w:kern w:val="28"/>
          <w:sz w:val="20"/>
          <w:lang w:val="en-ID"/>
        </w:rPr>
        <w:t>Chanos chanos</w:t>
      </w:r>
      <w:r w:rsidR="00F22C03" w:rsidRPr="00091298">
        <w:rPr>
          <w:rFonts w:ascii="Arial" w:hAnsi="Arial" w:cs="Arial"/>
          <w:b w:val="0"/>
          <w:iCs/>
          <w:kern w:val="28"/>
          <w:sz w:val="20"/>
          <w:lang w:val="en-ID"/>
        </w:rPr>
        <w:t xml:space="preserve">, flounder larvae, </w:t>
      </w:r>
      <w:r w:rsidR="00F22C03" w:rsidRPr="00091298">
        <w:rPr>
          <w:rFonts w:ascii="Arial" w:hAnsi="Arial" w:cs="Arial"/>
          <w:b w:val="0"/>
          <w:i/>
          <w:kern w:val="28"/>
          <w:sz w:val="20"/>
          <w:lang w:val="en-ID"/>
        </w:rPr>
        <w:t>Paralicthys olivaceus</w:t>
      </w:r>
      <w:r w:rsidR="00F22C03" w:rsidRPr="00091298">
        <w:rPr>
          <w:rFonts w:ascii="Arial" w:hAnsi="Arial" w:cs="Arial"/>
          <w:b w:val="0"/>
          <w:iCs/>
          <w:kern w:val="28"/>
          <w:sz w:val="20"/>
          <w:lang w:val="en-ID"/>
        </w:rPr>
        <w:t xml:space="preserve">, zebrafish larvae, </w:t>
      </w:r>
      <w:r w:rsidR="00F22C03" w:rsidRPr="00091298">
        <w:rPr>
          <w:rFonts w:ascii="Arial" w:hAnsi="Arial" w:cs="Arial"/>
          <w:b w:val="0"/>
          <w:i/>
          <w:kern w:val="28"/>
          <w:sz w:val="20"/>
          <w:lang w:val="en-ID"/>
        </w:rPr>
        <w:t>Brachydanio reiro</w:t>
      </w:r>
      <w:r w:rsidR="00F22C03" w:rsidRPr="00091298">
        <w:rPr>
          <w:rFonts w:ascii="Arial" w:hAnsi="Arial" w:cs="Arial"/>
          <w:b w:val="0"/>
          <w:iCs/>
          <w:kern w:val="28"/>
          <w:sz w:val="20"/>
          <w:lang w:val="en-ID"/>
        </w:rPr>
        <w:t xml:space="preserve"> showed that the best dos</w:t>
      </w:r>
      <w:r w:rsidR="0004531B" w:rsidRPr="00091298">
        <w:rPr>
          <w:rFonts w:ascii="Arial" w:hAnsi="Arial" w:cs="Arial"/>
          <w:b w:val="0"/>
          <w:iCs/>
          <w:kern w:val="28"/>
          <w:sz w:val="20"/>
          <w:lang w:val="en-ID"/>
        </w:rPr>
        <w:t>age</w:t>
      </w:r>
      <w:r w:rsidR="00F22C03" w:rsidRPr="00091298">
        <w:rPr>
          <w:rFonts w:ascii="Arial" w:hAnsi="Arial" w:cs="Arial"/>
          <w:b w:val="0"/>
          <w:iCs/>
          <w:kern w:val="28"/>
          <w:sz w:val="20"/>
          <w:lang w:val="en-ID"/>
        </w:rPr>
        <w:t xml:space="preserve"> were 0.5 mg/L, 0.1 mg/L and 0.1 mg/L [10,</w:t>
      </w:r>
      <w:r w:rsidR="0004531B" w:rsidRPr="00091298">
        <w:rPr>
          <w:rFonts w:ascii="Arial" w:hAnsi="Arial" w:cs="Arial"/>
          <w:b w:val="0"/>
          <w:iCs/>
          <w:kern w:val="28"/>
          <w:sz w:val="20"/>
          <w:lang w:val="en-ID"/>
        </w:rPr>
        <w:t>13,</w:t>
      </w:r>
      <w:r w:rsidR="00F22C03" w:rsidRPr="00091298">
        <w:rPr>
          <w:rFonts w:ascii="Arial" w:hAnsi="Arial" w:cs="Arial"/>
          <w:b w:val="0"/>
          <w:iCs/>
          <w:kern w:val="28"/>
          <w:sz w:val="20"/>
          <w:lang w:val="en-ID"/>
        </w:rPr>
        <w:t>20]. The results of the comparison with this study showed that thyroxine doses of 0.25, 0.5, and 0.75 mg/L in gourami fry showed increased growth and a dos</w:t>
      </w:r>
      <w:r w:rsidR="0004531B" w:rsidRPr="00091298">
        <w:rPr>
          <w:rFonts w:ascii="Arial" w:hAnsi="Arial" w:cs="Arial"/>
          <w:b w:val="0"/>
          <w:iCs/>
          <w:kern w:val="28"/>
          <w:sz w:val="20"/>
          <w:lang w:val="en-ID"/>
        </w:rPr>
        <w:t>age</w:t>
      </w:r>
      <w:r w:rsidR="00F22C03" w:rsidRPr="00091298">
        <w:rPr>
          <w:rFonts w:ascii="Arial" w:hAnsi="Arial" w:cs="Arial"/>
          <w:b w:val="0"/>
          <w:iCs/>
          <w:kern w:val="28"/>
          <w:sz w:val="20"/>
          <w:lang w:val="en-ID"/>
        </w:rPr>
        <w:t xml:space="preserve"> of 1.00 mg/L was the best dos</w:t>
      </w:r>
      <w:r w:rsidR="0004531B" w:rsidRPr="00091298">
        <w:rPr>
          <w:rFonts w:ascii="Arial" w:hAnsi="Arial" w:cs="Arial"/>
          <w:b w:val="0"/>
          <w:iCs/>
          <w:kern w:val="28"/>
          <w:sz w:val="20"/>
          <w:lang w:val="en-ID"/>
        </w:rPr>
        <w:t>age</w:t>
      </w:r>
      <w:r w:rsidR="00F22C03" w:rsidRPr="00091298">
        <w:rPr>
          <w:rFonts w:ascii="Arial" w:hAnsi="Arial" w:cs="Arial"/>
          <w:b w:val="0"/>
          <w:iCs/>
          <w:kern w:val="28"/>
          <w:sz w:val="20"/>
          <w:lang w:val="en-ID"/>
        </w:rPr>
        <w:t xml:space="preserve"> (optimal), while a dos</w:t>
      </w:r>
      <w:r w:rsidR="0004531B" w:rsidRPr="00091298">
        <w:rPr>
          <w:rFonts w:ascii="Arial" w:hAnsi="Arial" w:cs="Arial"/>
          <w:b w:val="0"/>
          <w:iCs/>
          <w:kern w:val="28"/>
          <w:sz w:val="20"/>
          <w:lang w:val="en-ID"/>
        </w:rPr>
        <w:t>age</w:t>
      </w:r>
      <w:r w:rsidR="00F22C03" w:rsidRPr="00091298">
        <w:rPr>
          <w:rFonts w:ascii="Arial" w:hAnsi="Arial" w:cs="Arial"/>
          <w:b w:val="0"/>
          <w:iCs/>
          <w:kern w:val="28"/>
          <w:sz w:val="20"/>
          <w:lang w:val="en-ID"/>
        </w:rPr>
        <w:t xml:space="preserve"> of 1.25 mg/L caused a decrease in growth</w:t>
      </w:r>
      <w:r w:rsidR="00F22C03" w:rsidRPr="00A16EBC">
        <w:rPr>
          <w:rFonts w:ascii="Arial" w:hAnsi="Arial" w:cs="Arial"/>
          <w:b w:val="0"/>
          <w:iCs/>
          <w:kern w:val="28"/>
          <w:sz w:val="20"/>
          <w:highlight w:val="yellow"/>
          <w:lang w:val="en-ID"/>
        </w:rPr>
        <w:t xml:space="preserve">. </w:t>
      </w:r>
      <w:commentRangeStart w:id="6"/>
      <w:r w:rsidR="00F22C03" w:rsidRPr="00A16EBC">
        <w:rPr>
          <w:rFonts w:ascii="Arial" w:hAnsi="Arial" w:cs="Arial"/>
          <w:b w:val="0"/>
          <w:iCs/>
          <w:kern w:val="28"/>
          <w:sz w:val="20"/>
          <w:highlight w:val="yellow"/>
          <w:lang w:val="en-ID"/>
        </w:rPr>
        <w:t xml:space="preserve">The results of this study are in line with those obtained in 30-day-old gourami fry </w:t>
      </w:r>
      <w:r w:rsidR="0004531B" w:rsidRPr="00A16EBC">
        <w:rPr>
          <w:rFonts w:ascii="Arial" w:hAnsi="Arial" w:cs="Arial"/>
          <w:b w:val="0"/>
          <w:iCs/>
          <w:kern w:val="28"/>
          <w:sz w:val="20"/>
          <w:highlight w:val="yellow"/>
          <w:lang w:val="en-ID"/>
        </w:rPr>
        <w:t>immersed</w:t>
      </w:r>
      <w:r w:rsidR="00F22C03" w:rsidRPr="00A16EBC">
        <w:rPr>
          <w:rFonts w:ascii="Arial" w:hAnsi="Arial" w:cs="Arial"/>
          <w:b w:val="0"/>
          <w:iCs/>
          <w:kern w:val="28"/>
          <w:sz w:val="20"/>
          <w:highlight w:val="yellow"/>
          <w:lang w:val="en-ID"/>
        </w:rPr>
        <w:t xml:space="preserve"> in 1.5 mg/L of thyroxine which produced the best growth [21],</w:t>
      </w:r>
      <w:r w:rsidR="00F22C03" w:rsidRPr="00091298">
        <w:rPr>
          <w:rFonts w:ascii="Arial" w:hAnsi="Arial" w:cs="Arial"/>
          <w:b w:val="0"/>
          <w:iCs/>
          <w:kern w:val="28"/>
          <w:sz w:val="20"/>
          <w:lang w:val="en-ID"/>
        </w:rPr>
        <w:t xml:space="preserve"> </w:t>
      </w:r>
      <w:commentRangeEnd w:id="6"/>
      <w:r w:rsidR="001A5784">
        <w:rPr>
          <w:rStyle w:val="CommentReference"/>
          <w:rFonts w:asciiTheme="minorHAnsi" w:eastAsiaTheme="minorHAnsi" w:hAnsiTheme="minorHAnsi" w:cstheme="minorBidi"/>
          <w:b w:val="0"/>
          <w:kern w:val="2"/>
          <w:lang w:val="en-ID"/>
          <w14:ligatures w14:val="standardContextual"/>
        </w:rPr>
        <w:commentReference w:id="6"/>
      </w:r>
      <w:r w:rsidR="00F22C03" w:rsidRPr="00091298">
        <w:rPr>
          <w:rFonts w:ascii="Arial" w:hAnsi="Arial" w:cs="Arial"/>
          <w:b w:val="0"/>
          <w:iCs/>
          <w:kern w:val="28"/>
          <w:sz w:val="20"/>
          <w:lang w:val="en-ID"/>
        </w:rPr>
        <w:t>while in this study the optimum dose for the length growth of 15-day-old gourami fry was 1.00 mg/L.</w:t>
      </w:r>
      <w:r w:rsidR="00940D2B" w:rsidRPr="00091298">
        <w:rPr>
          <w:rFonts w:ascii="Arial" w:hAnsi="Arial" w:cs="Arial"/>
          <w:b w:val="0"/>
          <w:bCs/>
          <w:kern w:val="28"/>
          <w:sz w:val="20"/>
          <w:lang w:val="en-ID"/>
        </w:rPr>
        <w:t xml:space="preserve"> </w:t>
      </w:r>
      <w:r w:rsidR="00F22C03" w:rsidRPr="00091298">
        <w:rPr>
          <w:rFonts w:ascii="Arial" w:hAnsi="Arial" w:cs="Arial"/>
          <w:b w:val="0"/>
          <w:bCs/>
          <w:kern w:val="28"/>
          <w:sz w:val="20"/>
          <w:lang w:val="en-ID"/>
        </w:rPr>
        <w:t>Treatment with thyroxine dose</w:t>
      </w:r>
      <w:r w:rsidR="0004531B" w:rsidRPr="00091298">
        <w:rPr>
          <w:rFonts w:ascii="Arial" w:hAnsi="Arial" w:cs="Arial"/>
          <w:b w:val="0"/>
          <w:bCs/>
          <w:kern w:val="28"/>
          <w:sz w:val="20"/>
          <w:lang w:val="en-ID"/>
        </w:rPr>
        <w:t>age</w:t>
      </w:r>
      <w:r w:rsidR="00F22C03" w:rsidRPr="00091298">
        <w:rPr>
          <w:rFonts w:ascii="Arial" w:hAnsi="Arial" w:cs="Arial"/>
          <w:b w:val="0"/>
          <w:bCs/>
          <w:kern w:val="28"/>
          <w:sz w:val="20"/>
          <w:lang w:val="en-ID"/>
        </w:rPr>
        <w:t xml:space="preserve"> exceeding 1.00 mg/L causes decreased growth, related to the negative feedback effect of excess thyroxine hormone. This negative feedback action, in </w:t>
      </w:r>
      <w:r w:rsidR="00F22C03" w:rsidRPr="00091298">
        <w:rPr>
          <w:rFonts w:ascii="Arial" w:hAnsi="Arial" w:cs="Arial"/>
          <w:b w:val="0"/>
          <w:bCs/>
          <w:kern w:val="28"/>
          <w:sz w:val="20"/>
          <w:lang w:val="en-ID"/>
        </w:rPr>
        <w:t>response to excess thyroxine hormone, results in a decreased growth response in target tissues. This growth regulation is influenced by thyroxine levels in the body through a feedback mechanism (positive or negative) between the balance of thyroxine and growth hormone levels [22,23].</w:t>
      </w:r>
      <w:r w:rsidR="009D74DE" w:rsidRPr="00091298">
        <w:rPr>
          <w:rFonts w:ascii="Arial" w:hAnsi="Arial" w:cs="Arial"/>
          <w:b w:val="0"/>
          <w:bCs/>
          <w:kern w:val="28"/>
          <w:sz w:val="20"/>
          <w:lang w:val="en-ID"/>
        </w:rPr>
        <w:t xml:space="preserve"> </w:t>
      </w:r>
    </w:p>
    <w:p w14:paraId="7BA87EFF" w14:textId="77777777" w:rsidR="00FF26A6" w:rsidRPr="00091298" w:rsidRDefault="00FF26A6" w:rsidP="00823CDC">
      <w:pPr>
        <w:pStyle w:val="Author"/>
        <w:spacing w:line="240" w:lineRule="auto"/>
        <w:ind w:left="66"/>
        <w:jc w:val="both"/>
        <w:rPr>
          <w:rFonts w:ascii="Arial" w:hAnsi="Arial" w:cs="Arial"/>
          <w:b w:val="0"/>
          <w:iCs/>
          <w:kern w:val="28"/>
          <w:sz w:val="20"/>
          <w:lang w:val="en-ID"/>
        </w:rPr>
      </w:pPr>
    </w:p>
    <w:p w14:paraId="1572D1FA" w14:textId="1D0DCCAB" w:rsidR="00FF26A6" w:rsidRPr="00091298" w:rsidRDefault="00B4771D" w:rsidP="00823CDC">
      <w:pPr>
        <w:pStyle w:val="Author"/>
        <w:spacing w:line="240" w:lineRule="auto"/>
        <w:ind w:left="66"/>
        <w:jc w:val="both"/>
        <w:rPr>
          <w:rFonts w:ascii="Arial" w:hAnsi="Arial" w:cs="Arial"/>
          <w:bCs/>
          <w:iCs/>
          <w:kern w:val="28"/>
          <w:sz w:val="20"/>
          <w:lang w:val="en-ID"/>
        </w:rPr>
      </w:pPr>
      <w:r w:rsidRPr="00091298">
        <w:rPr>
          <w:rFonts w:ascii="Arial" w:hAnsi="Arial" w:cs="Arial"/>
          <w:bCs/>
          <w:iCs/>
          <w:kern w:val="28"/>
          <w:sz w:val="20"/>
          <w:lang w:val="en-ID"/>
        </w:rPr>
        <w:t xml:space="preserve">3.2 </w:t>
      </w:r>
      <w:r w:rsidR="0094377A" w:rsidRPr="00091298">
        <w:rPr>
          <w:rFonts w:ascii="Arial" w:hAnsi="Arial" w:cs="Arial"/>
          <w:bCs/>
          <w:iCs/>
          <w:kern w:val="28"/>
          <w:sz w:val="20"/>
          <w:lang w:val="en-ID"/>
        </w:rPr>
        <w:t>Weight growth</w:t>
      </w:r>
    </w:p>
    <w:p w14:paraId="78B2F3C5" w14:textId="50E752CC" w:rsidR="00FF26A6" w:rsidRPr="00091298" w:rsidRDefault="00FF26A6" w:rsidP="00F248E6">
      <w:pPr>
        <w:pStyle w:val="Author"/>
        <w:spacing w:line="240" w:lineRule="auto"/>
        <w:jc w:val="both"/>
        <w:rPr>
          <w:rFonts w:ascii="Arial" w:hAnsi="Arial" w:cs="Arial"/>
          <w:b w:val="0"/>
          <w:iCs/>
          <w:kern w:val="28"/>
          <w:sz w:val="20"/>
          <w:lang w:val="en-ID"/>
        </w:rPr>
      </w:pPr>
    </w:p>
    <w:p w14:paraId="2BD96819" w14:textId="28ABFEC2" w:rsidR="00823CDC" w:rsidRPr="0079448E" w:rsidRDefault="005E71E5" w:rsidP="005959C2">
      <w:pPr>
        <w:pStyle w:val="Author"/>
        <w:spacing w:line="240" w:lineRule="auto"/>
        <w:ind w:left="66"/>
        <w:jc w:val="both"/>
        <w:rPr>
          <w:rFonts w:ascii="Arial" w:hAnsi="Arial" w:cs="Arial"/>
          <w:b w:val="0"/>
          <w:iCs/>
          <w:kern w:val="28"/>
          <w:sz w:val="20"/>
          <w:lang w:val="en-ID"/>
        </w:rPr>
        <w:sectPr w:rsidR="00823CDC" w:rsidRPr="0079448E" w:rsidSect="00823CDC">
          <w:type w:val="continuous"/>
          <w:pgSz w:w="11906" w:h="16838"/>
          <w:pgMar w:top="1440" w:right="1440" w:bottom="1440" w:left="1440" w:header="708" w:footer="708" w:gutter="0"/>
          <w:cols w:num="2" w:space="708"/>
          <w:docGrid w:linePitch="360"/>
        </w:sectPr>
      </w:pPr>
      <w:r w:rsidRPr="00091298">
        <w:rPr>
          <w:rFonts w:ascii="Arial" w:hAnsi="Arial" w:cs="Arial"/>
          <w:b w:val="0"/>
          <w:iCs/>
          <w:kern w:val="28"/>
          <w:sz w:val="20"/>
          <w:lang w:val="en-ID"/>
        </w:rPr>
        <w:t xml:space="preserve">The average weight gain of gourami fry </w:t>
      </w:r>
      <w:r w:rsidR="00091298">
        <w:rPr>
          <w:rFonts w:ascii="Arial" w:hAnsi="Arial" w:cs="Arial"/>
          <w:b w:val="0"/>
          <w:iCs/>
          <w:kern w:val="28"/>
          <w:sz w:val="20"/>
          <w:lang w:val="en-ID"/>
        </w:rPr>
        <w:t>immerse</w:t>
      </w:r>
      <w:r w:rsidRPr="00091298">
        <w:rPr>
          <w:rFonts w:ascii="Arial" w:hAnsi="Arial" w:cs="Arial"/>
          <w:b w:val="0"/>
          <w:iCs/>
          <w:kern w:val="28"/>
          <w:sz w:val="20"/>
          <w:lang w:val="en-ID"/>
        </w:rPr>
        <w:t xml:space="preserve">d in thyroxine for </w:t>
      </w:r>
      <w:r w:rsidR="00FC0154" w:rsidRPr="00091298">
        <w:rPr>
          <w:rFonts w:ascii="Arial" w:hAnsi="Arial" w:cs="Arial"/>
          <w:b w:val="0"/>
          <w:iCs/>
          <w:kern w:val="28"/>
          <w:sz w:val="20"/>
          <w:lang w:val="en-ID"/>
        </w:rPr>
        <w:t>one</w:t>
      </w:r>
      <w:r w:rsidRPr="00091298">
        <w:rPr>
          <w:rFonts w:ascii="Arial" w:hAnsi="Arial" w:cs="Arial"/>
          <w:b w:val="0"/>
          <w:iCs/>
          <w:kern w:val="28"/>
          <w:sz w:val="20"/>
          <w:lang w:val="en-ID"/>
        </w:rPr>
        <w:t xml:space="preserve"> month and </w:t>
      </w:r>
      <w:r w:rsidR="00FC0154" w:rsidRPr="00091298">
        <w:rPr>
          <w:rFonts w:ascii="Arial" w:hAnsi="Arial" w:cs="Arial"/>
          <w:b w:val="0"/>
          <w:iCs/>
          <w:kern w:val="28"/>
          <w:sz w:val="20"/>
          <w:lang w:val="en-ID"/>
        </w:rPr>
        <w:t>two</w:t>
      </w:r>
      <w:r w:rsidRPr="00091298">
        <w:rPr>
          <w:rFonts w:ascii="Arial" w:hAnsi="Arial" w:cs="Arial"/>
          <w:b w:val="0"/>
          <w:iCs/>
          <w:kern w:val="28"/>
          <w:sz w:val="20"/>
          <w:lang w:val="en-ID"/>
        </w:rPr>
        <w:t xml:space="preserve"> months of maintenance showed an increase at doses of 0.25, 0.5, 0.75, 1.00, and 1.25 mg/L (Figure 3). These results indicate that the thyroxine hormone affects growth by its synergistic action with growth hormone [24].</w:t>
      </w:r>
      <w:r w:rsidR="00EF156E" w:rsidRPr="00091298">
        <w:rPr>
          <w:rFonts w:ascii="Arial" w:hAnsi="Arial" w:cs="Arial"/>
          <w:b w:val="0"/>
          <w:iCs/>
          <w:kern w:val="28"/>
          <w:sz w:val="20"/>
          <w:lang w:val="en-ID"/>
        </w:rPr>
        <w:t xml:space="preserve"> </w:t>
      </w:r>
      <w:r w:rsidRPr="00091298">
        <w:rPr>
          <w:rFonts w:ascii="Arial" w:hAnsi="Arial" w:cs="Arial"/>
          <w:b w:val="0"/>
          <w:iCs/>
          <w:kern w:val="28"/>
          <w:sz w:val="20"/>
          <w:lang w:val="en-ID"/>
        </w:rPr>
        <w:t xml:space="preserve">Thyroid hormones (Triiodothyronine, T3 and </w:t>
      </w:r>
      <w:r w:rsidR="00091298">
        <w:rPr>
          <w:rFonts w:ascii="Arial" w:hAnsi="Arial" w:cs="Arial"/>
          <w:b w:val="0"/>
          <w:iCs/>
          <w:kern w:val="28"/>
          <w:sz w:val="20"/>
          <w:lang w:val="en-ID"/>
        </w:rPr>
        <w:t>T</w:t>
      </w:r>
      <w:r w:rsidRPr="00091298">
        <w:rPr>
          <w:rFonts w:ascii="Arial" w:hAnsi="Arial" w:cs="Arial"/>
          <w:b w:val="0"/>
          <w:iCs/>
          <w:kern w:val="28"/>
          <w:sz w:val="20"/>
          <w:lang w:val="en-ID"/>
        </w:rPr>
        <w:t>hyroxine, T4) stimulate growth hormone synthesis [25]. The results of this study indicate that growth hormone receptor gene expression is present in the target tissues of the thyroxine hormone. This indication can be seen in each thyroxine dose treatment resulting in increased fry weight compared to without thyroxine</w:t>
      </w:r>
      <w:r w:rsidR="009C71B4" w:rsidRPr="00091298">
        <w:rPr>
          <w:rFonts w:ascii="Arial" w:hAnsi="Arial" w:cs="Arial"/>
          <w:b w:val="0"/>
          <w:iCs/>
          <w:kern w:val="28"/>
          <w:sz w:val="20"/>
          <w:lang w:val="en-ID"/>
        </w:rPr>
        <w:t xml:space="preserve">. </w:t>
      </w:r>
      <w:r w:rsidRPr="00091298">
        <w:rPr>
          <w:rFonts w:ascii="Arial" w:hAnsi="Arial" w:cs="Arial"/>
          <w:b w:val="0"/>
          <w:iCs/>
          <w:kern w:val="28"/>
          <w:sz w:val="20"/>
          <w:lang w:val="en-ID"/>
        </w:rPr>
        <w:t xml:space="preserve">The average weight growth of gourami fry during </w:t>
      </w:r>
      <w:r w:rsidR="0094377A" w:rsidRPr="00091298">
        <w:rPr>
          <w:rFonts w:ascii="Arial" w:hAnsi="Arial" w:cs="Arial"/>
          <w:b w:val="0"/>
          <w:iCs/>
          <w:kern w:val="28"/>
          <w:sz w:val="20"/>
          <w:lang w:val="en-ID"/>
        </w:rPr>
        <w:t>two</w:t>
      </w:r>
      <w:r w:rsidRPr="00091298">
        <w:rPr>
          <w:rFonts w:ascii="Arial" w:hAnsi="Arial" w:cs="Arial"/>
          <w:b w:val="0"/>
          <w:iCs/>
          <w:kern w:val="28"/>
          <w:sz w:val="20"/>
          <w:lang w:val="en-ID"/>
        </w:rPr>
        <w:t xml:space="preserve"> months of maintenance (Figure 3) increased successively according to the thyroxine dos</w:t>
      </w:r>
      <w:r w:rsidR="00FC0154" w:rsidRPr="00091298">
        <w:rPr>
          <w:rFonts w:ascii="Arial" w:hAnsi="Arial" w:cs="Arial"/>
          <w:b w:val="0"/>
          <w:iCs/>
          <w:kern w:val="28"/>
          <w:sz w:val="20"/>
          <w:lang w:val="en-ID"/>
        </w:rPr>
        <w:t>age</w:t>
      </w:r>
      <w:r w:rsidRPr="00091298">
        <w:rPr>
          <w:rFonts w:ascii="Arial" w:hAnsi="Arial" w:cs="Arial"/>
          <w:b w:val="0"/>
          <w:iCs/>
          <w:kern w:val="28"/>
          <w:sz w:val="20"/>
          <w:lang w:val="en-ID"/>
        </w:rPr>
        <w:t xml:space="preserve"> in each treatment by 6.325 g, 7.2 g, 7.8375 g, 9.2 g, 6.1625 g (treatments B, C, D, E and F) compared to without thyroxine (5.4125 g, dos</w:t>
      </w:r>
      <w:r w:rsidR="00FC0154" w:rsidRPr="00091298">
        <w:rPr>
          <w:rFonts w:ascii="Arial" w:hAnsi="Arial" w:cs="Arial"/>
          <w:b w:val="0"/>
          <w:iCs/>
          <w:kern w:val="28"/>
          <w:sz w:val="20"/>
          <w:lang w:val="en-ID"/>
        </w:rPr>
        <w:t>age</w:t>
      </w:r>
      <w:r w:rsidRPr="00091298">
        <w:rPr>
          <w:rFonts w:ascii="Arial" w:hAnsi="Arial" w:cs="Arial"/>
          <w:b w:val="0"/>
          <w:iCs/>
          <w:kern w:val="28"/>
          <w:sz w:val="20"/>
          <w:lang w:val="en-ID"/>
        </w:rPr>
        <w:t xml:space="preserve"> 0.00 mg/L).</w:t>
      </w:r>
      <w:r w:rsidR="0046415E" w:rsidRPr="00091298">
        <w:rPr>
          <w:rFonts w:ascii="Arial" w:hAnsi="Arial" w:cs="Arial"/>
          <w:b w:val="0"/>
          <w:iCs/>
          <w:kern w:val="28"/>
          <w:sz w:val="20"/>
          <w:lang w:val="en-ID"/>
        </w:rPr>
        <w:t xml:space="preserve"> </w:t>
      </w:r>
      <w:r w:rsidR="00D86EAD" w:rsidRPr="00091298">
        <w:rPr>
          <w:rFonts w:ascii="Arial" w:hAnsi="Arial" w:cs="Arial"/>
          <w:b w:val="0"/>
          <w:iCs/>
          <w:kern w:val="28"/>
          <w:sz w:val="20"/>
          <w:lang w:val="en-ID"/>
        </w:rPr>
        <w:t xml:space="preserve">When immersed in high concentrations of thyroxine, </w:t>
      </w:r>
      <w:r w:rsidR="00D86EAD" w:rsidRPr="00091298">
        <w:rPr>
          <w:rFonts w:ascii="Arial" w:hAnsi="Arial" w:cs="Arial"/>
          <w:b w:val="0"/>
          <w:iCs/>
          <w:kern w:val="28"/>
          <w:sz w:val="20"/>
          <w:lang w:val="en-ID"/>
        </w:rPr>
        <w:lastRenderedPageBreak/>
        <w:t>growth changes are accelerated, while at low concentrations they are slowed. This can be seen in gourami fry immersed in high doses of thyroxine (1.25 mg/L), which showed a decrease in weight (an average of 6.1625 g) as a negative feedback effect.</w:t>
      </w:r>
      <w:r w:rsidR="0046415E" w:rsidRPr="00091298">
        <w:rPr>
          <w:rFonts w:ascii="Arial" w:hAnsi="Arial" w:cs="Arial"/>
          <w:b w:val="0"/>
          <w:iCs/>
          <w:kern w:val="28"/>
          <w:sz w:val="20"/>
          <w:lang w:val="en-ID"/>
        </w:rPr>
        <w:t xml:space="preserve"> </w:t>
      </w:r>
      <w:r w:rsidR="00D86EAD" w:rsidRPr="00091298">
        <w:rPr>
          <w:rFonts w:ascii="Arial" w:hAnsi="Arial" w:cs="Arial"/>
          <w:b w:val="0"/>
          <w:iCs/>
          <w:kern w:val="28"/>
          <w:sz w:val="20"/>
          <w:lang w:val="en-ID"/>
        </w:rPr>
        <w:t xml:space="preserve">On the other hand, during </w:t>
      </w:r>
      <w:r w:rsidR="0094377A" w:rsidRPr="00091298">
        <w:rPr>
          <w:rFonts w:ascii="Arial" w:hAnsi="Arial" w:cs="Arial"/>
          <w:b w:val="0"/>
          <w:iCs/>
          <w:kern w:val="28"/>
          <w:sz w:val="20"/>
          <w:lang w:val="en-ID"/>
        </w:rPr>
        <w:t>two</w:t>
      </w:r>
      <w:r w:rsidR="00D86EAD" w:rsidRPr="00091298">
        <w:rPr>
          <w:rFonts w:ascii="Arial" w:hAnsi="Arial" w:cs="Arial"/>
          <w:b w:val="0"/>
          <w:iCs/>
          <w:kern w:val="28"/>
          <w:sz w:val="20"/>
          <w:lang w:val="en-ID"/>
        </w:rPr>
        <w:t xml:space="preserve"> months of maintenance, the average weight of gourami fry increased</w:t>
      </w:r>
      <w:r w:rsidR="00D86EAD" w:rsidRPr="00D86EAD">
        <w:rPr>
          <w:rFonts w:ascii="Arial" w:hAnsi="Arial" w:cs="Arial"/>
          <w:b w:val="0"/>
          <w:iCs/>
          <w:color w:val="EE0000"/>
          <w:kern w:val="28"/>
          <w:sz w:val="20"/>
          <w:lang w:val="en-ID"/>
        </w:rPr>
        <w:t xml:space="preserve"> </w:t>
      </w:r>
      <w:r w:rsidR="00D86EAD" w:rsidRPr="00091298">
        <w:rPr>
          <w:rFonts w:ascii="Arial" w:hAnsi="Arial" w:cs="Arial"/>
          <w:b w:val="0"/>
          <w:iCs/>
          <w:kern w:val="28"/>
          <w:sz w:val="20"/>
          <w:lang w:val="en-ID"/>
        </w:rPr>
        <w:t>gradually, indicating a positive feedback effect of hormones. A dos</w:t>
      </w:r>
      <w:r w:rsidR="00FC0154" w:rsidRPr="00091298">
        <w:rPr>
          <w:rFonts w:ascii="Arial" w:hAnsi="Arial" w:cs="Arial"/>
          <w:b w:val="0"/>
          <w:iCs/>
          <w:kern w:val="28"/>
          <w:sz w:val="20"/>
          <w:lang w:val="en-ID"/>
        </w:rPr>
        <w:t>age</w:t>
      </w:r>
      <w:r w:rsidR="00D86EAD" w:rsidRPr="00091298">
        <w:rPr>
          <w:rFonts w:ascii="Arial" w:hAnsi="Arial" w:cs="Arial"/>
          <w:b w:val="0"/>
          <w:iCs/>
          <w:kern w:val="28"/>
          <w:sz w:val="20"/>
          <w:lang w:val="en-ID"/>
        </w:rPr>
        <w:t xml:space="preserve"> of 1.00 mg/L of </w:t>
      </w:r>
      <w:r w:rsidR="00D86EAD" w:rsidRPr="00091298">
        <w:rPr>
          <w:rFonts w:ascii="Arial" w:hAnsi="Arial" w:cs="Arial"/>
          <w:b w:val="0"/>
          <w:iCs/>
          <w:kern w:val="28"/>
          <w:sz w:val="20"/>
          <w:lang w:val="en-ID"/>
        </w:rPr>
        <w:t xml:space="preserve">thyroxine provided an increase in the weight of gourami fry at </w:t>
      </w:r>
      <w:r w:rsidR="0094377A" w:rsidRPr="00091298">
        <w:rPr>
          <w:rFonts w:ascii="Arial" w:hAnsi="Arial" w:cs="Arial"/>
          <w:b w:val="0"/>
          <w:iCs/>
          <w:kern w:val="28"/>
          <w:sz w:val="20"/>
          <w:lang w:val="en-ID"/>
        </w:rPr>
        <w:t>one</w:t>
      </w:r>
      <w:r w:rsidR="00D86EAD" w:rsidRPr="00091298">
        <w:rPr>
          <w:rFonts w:ascii="Arial" w:hAnsi="Arial" w:cs="Arial"/>
          <w:b w:val="0"/>
          <w:iCs/>
          <w:kern w:val="28"/>
          <w:sz w:val="20"/>
          <w:lang w:val="en-ID"/>
        </w:rPr>
        <w:t xml:space="preserve"> month and </w:t>
      </w:r>
      <w:r w:rsidR="0094377A" w:rsidRPr="00091298">
        <w:rPr>
          <w:rFonts w:ascii="Arial" w:hAnsi="Arial" w:cs="Arial"/>
          <w:b w:val="0"/>
          <w:iCs/>
          <w:kern w:val="28"/>
          <w:sz w:val="20"/>
          <w:lang w:val="en-ID"/>
        </w:rPr>
        <w:t>two</w:t>
      </w:r>
      <w:r w:rsidR="00D86EAD" w:rsidRPr="00091298">
        <w:rPr>
          <w:rFonts w:ascii="Arial" w:hAnsi="Arial" w:cs="Arial"/>
          <w:b w:val="0"/>
          <w:iCs/>
          <w:kern w:val="28"/>
          <w:sz w:val="20"/>
          <w:lang w:val="en-ID"/>
        </w:rPr>
        <w:t xml:space="preserve"> months on average 2 and 1.69 times the growth of fry without thyroxine immersion, indicating the optimum dos</w:t>
      </w:r>
      <w:r w:rsidR="00FC0154" w:rsidRPr="00091298">
        <w:rPr>
          <w:rFonts w:ascii="Arial" w:hAnsi="Arial" w:cs="Arial"/>
          <w:b w:val="0"/>
          <w:iCs/>
          <w:kern w:val="28"/>
          <w:sz w:val="20"/>
          <w:lang w:val="en-ID"/>
        </w:rPr>
        <w:t>age</w:t>
      </w:r>
      <w:r w:rsidR="00D86EAD" w:rsidRPr="00091298">
        <w:rPr>
          <w:rFonts w:ascii="Arial" w:hAnsi="Arial" w:cs="Arial"/>
          <w:b w:val="0"/>
          <w:iCs/>
          <w:kern w:val="28"/>
          <w:sz w:val="20"/>
          <w:lang w:val="en-ID"/>
        </w:rPr>
        <w:t xml:space="preserve"> for maximum growth of gourami fry (Figure 2). The results of this study are similar to those studied on tilapia </w:t>
      </w:r>
      <w:r w:rsidR="00091298">
        <w:rPr>
          <w:rFonts w:ascii="Arial" w:hAnsi="Arial" w:cs="Arial"/>
          <w:b w:val="0"/>
          <w:iCs/>
          <w:kern w:val="28"/>
          <w:sz w:val="20"/>
          <w:lang w:val="en-ID"/>
        </w:rPr>
        <w:t>fry’s</w:t>
      </w:r>
      <w:r w:rsidR="00D86EAD" w:rsidRPr="00091298">
        <w:rPr>
          <w:rFonts w:ascii="Arial" w:hAnsi="Arial" w:cs="Arial"/>
          <w:b w:val="0"/>
          <w:iCs/>
          <w:kern w:val="28"/>
          <w:sz w:val="20"/>
          <w:lang w:val="en-ID"/>
        </w:rPr>
        <w:t>, that fish growth was effectively immersion in 1 mg/L of thyroxine hormone [3,5]</w:t>
      </w:r>
      <w:r w:rsidR="005959C2">
        <w:rPr>
          <w:rFonts w:ascii="Arial" w:hAnsi="Arial" w:cs="Arial"/>
          <w:b w:val="0"/>
          <w:iCs/>
          <w:kern w:val="28"/>
          <w:sz w:val="20"/>
          <w:lang w:val="en-ID"/>
        </w:rPr>
        <w:t>.</w:t>
      </w:r>
    </w:p>
    <w:p w14:paraId="57AF3D52" w14:textId="77777777" w:rsidR="00290971" w:rsidRDefault="00290971" w:rsidP="005959C2">
      <w:pPr>
        <w:pStyle w:val="Author"/>
        <w:spacing w:line="240" w:lineRule="auto"/>
        <w:jc w:val="both"/>
        <w:rPr>
          <w:rFonts w:ascii="Arial" w:hAnsi="Arial" w:cs="Arial"/>
          <w:bCs/>
          <w:iCs/>
          <w:kern w:val="28"/>
          <w:sz w:val="20"/>
          <w:lang w:val="en-ID"/>
        </w:rPr>
        <w:sectPr w:rsidR="00290971" w:rsidSect="00290971">
          <w:type w:val="continuous"/>
          <w:pgSz w:w="11906" w:h="16838"/>
          <w:pgMar w:top="1440" w:right="1440" w:bottom="1440" w:left="1440" w:header="708" w:footer="708" w:gutter="0"/>
          <w:cols w:space="708"/>
          <w:docGrid w:linePitch="360"/>
        </w:sectPr>
      </w:pPr>
    </w:p>
    <w:p w14:paraId="4B39EF89" w14:textId="77777777" w:rsidR="00DE5E3F" w:rsidRDefault="00DE5E3F" w:rsidP="00715F56">
      <w:pPr>
        <w:pStyle w:val="Author"/>
        <w:spacing w:line="240" w:lineRule="auto"/>
        <w:jc w:val="left"/>
        <w:rPr>
          <w:rFonts w:ascii="Arial" w:hAnsi="Arial" w:cs="Arial"/>
          <w:b w:val="0"/>
          <w:iCs/>
          <w:kern w:val="28"/>
          <w:sz w:val="20"/>
          <w:lang w:val="en-ID"/>
        </w:rPr>
        <w:sectPr w:rsidR="00DE5E3F" w:rsidSect="00290971">
          <w:type w:val="continuous"/>
          <w:pgSz w:w="11906" w:h="16838"/>
          <w:pgMar w:top="1440" w:right="1440" w:bottom="1440" w:left="1440" w:header="708" w:footer="708" w:gutter="0"/>
          <w:cols w:space="708"/>
          <w:docGrid w:linePitch="360"/>
        </w:sectPr>
      </w:pPr>
    </w:p>
    <w:p w14:paraId="267A8CDC" w14:textId="6992EA03" w:rsidR="00290971" w:rsidRDefault="00224D59" w:rsidP="00290971">
      <w:pPr>
        <w:pStyle w:val="Author"/>
        <w:spacing w:line="240" w:lineRule="auto"/>
        <w:ind w:left="66"/>
        <w:jc w:val="center"/>
        <w:rPr>
          <w:rFonts w:ascii="Arial" w:hAnsi="Arial" w:cs="Arial"/>
          <w:b w:val="0"/>
          <w:iCs/>
          <w:kern w:val="28"/>
          <w:sz w:val="20"/>
          <w:lang w:val="en-ID"/>
        </w:rPr>
      </w:pPr>
      <w:r>
        <w:object w:dxaOrig="9060" w:dyaOrig="5740" w14:anchorId="663D007F">
          <v:shape id="_x0000_i1027" type="#_x0000_t75" style="width:439pt;height:279pt" o:ole="">
            <v:imagedata r:id="rId22" o:title=""/>
          </v:shape>
          <o:OLEObject Type="Embed" ProgID="Prism6.Document" ShapeID="_x0000_i1027" DrawAspect="Content" ObjectID="_1829281037" r:id="rId23"/>
        </w:object>
      </w:r>
    </w:p>
    <w:p w14:paraId="22427441" w14:textId="760E7597" w:rsidR="001F50A5" w:rsidRDefault="00290971" w:rsidP="00290971">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3.</w:t>
      </w:r>
      <w:r>
        <w:rPr>
          <w:rFonts w:ascii="Arial" w:hAnsi="Arial" w:cs="Arial"/>
          <w:b w:val="0"/>
          <w:iCs/>
          <w:kern w:val="28"/>
          <w:sz w:val="20"/>
          <w:lang w:val="en-ID"/>
        </w:rPr>
        <w:t xml:space="preserve"> </w:t>
      </w:r>
      <w:r w:rsidR="00715F56">
        <w:rPr>
          <w:rFonts w:ascii="Arial" w:hAnsi="Arial" w:cs="Arial"/>
          <w:b w:val="0"/>
          <w:iCs/>
          <w:kern w:val="28"/>
          <w:sz w:val="20"/>
          <w:lang w:val="en-ID"/>
        </w:rPr>
        <w:t>Fry weight</w:t>
      </w:r>
      <w:r w:rsidRPr="00CC617E">
        <w:rPr>
          <w:rFonts w:ascii="Arial" w:hAnsi="Arial" w:cs="Arial"/>
          <w:iCs/>
          <w:kern w:val="28"/>
          <w:sz w:val="20"/>
          <w:lang w:val="en-ID"/>
        </w:rPr>
        <w:t xml:space="preserve"> </w:t>
      </w:r>
      <w:r w:rsidRPr="003B2F27">
        <w:rPr>
          <w:rFonts w:ascii="Arial" w:hAnsi="Arial" w:cs="Arial"/>
          <w:b w:val="0"/>
          <w:iCs/>
          <w:kern w:val="28"/>
          <w:sz w:val="20"/>
          <w:lang w:val="en-ID"/>
        </w:rPr>
        <w:t xml:space="preserve">of </w:t>
      </w:r>
      <w:r w:rsidR="00715F56">
        <w:rPr>
          <w:rFonts w:ascii="Arial" w:hAnsi="Arial" w:cs="Arial"/>
          <w:b w:val="0"/>
          <w:iCs/>
          <w:kern w:val="28"/>
          <w:sz w:val="20"/>
          <w:lang w:val="en-ID"/>
        </w:rPr>
        <w:t xml:space="preserve">giant goramy </w:t>
      </w:r>
      <w:r w:rsidRPr="00CC617E">
        <w:rPr>
          <w:rFonts w:ascii="Arial" w:hAnsi="Arial" w:cs="Arial"/>
          <w:b w:val="0"/>
          <w:iCs/>
          <w:kern w:val="28"/>
          <w:sz w:val="20"/>
          <w:lang w:val="en-ID"/>
        </w:rPr>
        <w:t xml:space="preserve">with the </w:t>
      </w:r>
      <w:r w:rsidR="00715F56">
        <w:rPr>
          <w:rFonts w:ascii="Arial" w:hAnsi="Arial" w:cs="Arial"/>
          <w:b w:val="0"/>
          <w:iCs/>
          <w:kern w:val="28"/>
          <w:sz w:val="20"/>
          <w:lang w:val="en-ID"/>
        </w:rPr>
        <w:t>immersion</w:t>
      </w:r>
      <w:r w:rsidRPr="00CC617E">
        <w:rPr>
          <w:rFonts w:ascii="Arial" w:hAnsi="Arial" w:cs="Arial"/>
          <w:b w:val="0"/>
          <w:iCs/>
          <w:kern w:val="28"/>
          <w:sz w:val="20"/>
          <w:lang w:val="en-ID"/>
        </w:rPr>
        <w:t xml:space="preserve"> of different dos</w:t>
      </w:r>
      <w:r w:rsidR="001F50A5">
        <w:rPr>
          <w:rFonts w:ascii="Arial" w:hAnsi="Arial" w:cs="Arial"/>
          <w:b w:val="0"/>
          <w:iCs/>
          <w:kern w:val="28"/>
          <w:sz w:val="20"/>
          <w:lang w:val="en-ID"/>
        </w:rPr>
        <w:t>age</w:t>
      </w:r>
      <w:r w:rsidRPr="00CC617E">
        <w:rPr>
          <w:rFonts w:ascii="Arial" w:hAnsi="Arial" w:cs="Arial"/>
          <w:b w:val="0"/>
          <w:iCs/>
          <w:kern w:val="28"/>
          <w:sz w:val="20"/>
          <w:lang w:val="en-ID"/>
        </w:rPr>
        <w:t xml:space="preserve"> of </w:t>
      </w:r>
      <w:r w:rsidR="00715F56">
        <w:rPr>
          <w:rFonts w:ascii="Arial" w:hAnsi="Arial" w:cs="Arial"/>
          <w:b w:val="0"/>
          <w:iCs/>
          <w:kern w:val="28"/>
          <w:sz w:val="20"/>
          <w:lang w:val="en-ID"/>
        </w:rPr>
        <w:t>thyroxine</w:t>
      </w:r>
      <w:r w:rsidRPr="003B2F27">
        <w:rPr>
          <w:rFonts w:ascii="Arial" w:hAnsi="Arial" w:cs="Arial"/>
          <w:b w:val="0"/>
          <w:iCs/>
          <w:kern w:val="28"/>
          <w:sz w:val="20"/>
          <w:lang w:val="en-ID"/>
        </w:rPr>
        <w:t xml:space="preserve"> during 6</w:t>
      </w:r>
      <w:r w:rsidR="00715F56">
        <w:rPr>
          <w:rFonts w:ascii="Arial" w:hAnsi="Arial" w:cs="Arial"/>
          <w:b w:val="0"/>
          <w:iCs/>
          <w:kern w:val="28"/>
          <w:sz w:val="20"/>
          <w:lang w:val="en-ID"/>
        </w:rPr>
        <w:t>0</w:t>
      </w:r>
      <w:r w:rsidRPr="003B2F27">
        <w:rPr>
          <w:rFonts w:ascii="Arial" w:hAnsi="Arial" w:cs="Arial"/>
          <w:b w:val="0"/>
          <w:iCs/>
          <w:kern w:val="28"/>
          <w:sz w:val="20"/>
          <w:lang w:val="en-ID"/>
        </w:rPr>
        <w:t xml:space="preserve"> days</w:t>
      </w:r>
      <w:r w:rsidR="001F50A5">
        <w:rPr>
          <w:rFonts w:ascii="Arial" w:hAnsi="Arial" w:cs="Arial"/>
          <w:b w:val="0"/>
          <w:iCs/>
          <w:kern w:val="28"/>
          <w:sz w:val="20"/>
          <w:lang w:val="en-ID"/>
        </w:rPr>
        <w:t>.</w:t>
      </w:r>
    </w:p>
    <w:p w14:paraId="37D7CE54" w14:textId="67C7209C" w:rsidR="00290971" w:rsidRDefault="001F50A5" w:rsidP="001F50A5">
      <w:pPr>
        <w:pStyle w:val="Author"/>
        <w:spacing w:line="240" w:lineRule="auto"/>
        <w:ind w:left="66"/>
        <w:jc w:val="center"/>
        <w:rPr>
          <w:rFonts w:ascii="Arial" w:hAnsi="Arial" w:cs="Arial"/>
          <w:b w:val="0"/>
          <w:iCs/>
          <w:kern w:val="28"/>
          <w:sz w:val="20"/>
          <w:lang w:val="en-ID"/>
        </w:rPr>
      </w:pPr>
      <w:r>
        <w:rPr>
          <w:rFonts w:ascii="Arial" w:hAnsi="Arial" w:cs="Arial"/>
          <w:b w:val="0"/>
          <w:iCs/>
          <w:kern w:val="28"/>
          <w:sz w:val="20"/>
          <w:lang w:val="en-ID"/>
        </w:rPr>
        <w:t>A</w:t>
      </w:r>
      <w:r w:rsidRPr="00190ECC">
        <w:rPr>
          <w:rFonts w:ascii="Arial" w:hAnsi="Arial" w:cs="Arial"/>
          <w:b w:val="0"/>
          <w:iCs/>
          <w:kern w:val="28"/>
          <w:sz w:val="20"/>
          <w:lang w:val="en-ID"/>
        </w:rPr>
        <w:t>verages followed by different letters indicate significance</w:t>
      </w:r>
      <w:r>
        <w:rPr>
          <w:rFonts w:ascii="Arial" w:hAnsi="Arial" w:cs="Arial"/>
          <w:b w:val="0"/>
          <w:iCs/>
          <w:kern w:val="28"/>
          <w:sz w:val="20"/>
          <w:lang w:val="en-ID"/>
        </w:rPr>
        <w:t>.</w:t>
      </w:r>
      <w:r w:rsidR="00290971" w:rsidRPr="003B2F27">
        <w:rPr>
          <w:rFonts w:ascii="Arial" w:hAnsi="Arial" w:cs="Arial"/>
          <w:b w:val="0"/>
          <w:iCs/>
          <w:kern w:val="28"/>
          <w:sz w:val="20"/>
          <w:lang w:val="en-ID"/>
        </w:rPr>
        <w:t xml:space="preserve"> </w:t>
      </w:r>
    </w:p>
    <w:p w14:paraId="364DC038" w14:textId="77777777" w:rsidR="001F50A5" w:rsidRDefault="001F50A5" w:rsidP="001F50A5">
      <w:pPr>
        <w:pStyle w:val="Author"/>
        <w:spacing w:line="240" w:lineRule="auto"/>
        <w:ind w:left="66"/>
        <w:jc w:val="center"/>
        <w:rPr>
          <w:rFonts w:ascii="Arial" w:hAnsi="Arial" w:cs="Arial"/>
          <w:b w:val="0"/>
          <w:iCs/>
          <w:kern w:val="28"/>
          <w:sz w:val="20"/>
          <w:lang w:val="en-ID"/>
        </w:rPr>
      </w:pPr>
    </w:p>
    <w:p w14:paraId="681CE3BE" w14:textId="77777777" w:rsidR="00523FE5" w:rsidRDefault="00523FE5" w:rsidP="00DB34BC">
      <w:pPr>
        <w:pStyle w:val="Author"/>
        <w:spacing w:line="240" w:lineRule="auto"/>
        <w:jc w:val="both"/>
        <w:rPr>
          <w:rFonts w:ascii="Arial" w:hAnsi="Arial" w:cs="Arial"/>
          <w:b w:val="0"/>
          <w:iCs/>
          <w:kern w:val="28"/>
          <w:sz w:val="20"/>
          <w:lang w:val="en-ID"/>
        </w:rPr>
        <w:sectPr w:rsidR="00523FE5" w:rsidSect="00523FE5">
          <w:type w:val="continuous"/>
          <w:pgSz w:w="11906" w:h="16838"/>
          <w:pgMar w:top="1440" w:right="1440" w:bottom="1440" w:left="1440" w:header="708" w:footer="708" w:gutter="0"/>
          <w:cols w:space="708"/>
          <w:docGrid w:linePitch="360"/>
        </w:sectPr>
      </w:pPr>
    </w:p>
    <w:p w14:paraId="0E974342" w14:textId="77777777" w:rsidR="00523FE5" w:rsidRDefault="00523FE5" w:rsidP="00523FE5">
      <w:pPr>
        <w:pStyle w:val="Author"/>
        <w:spacing w:line="240" w:lineRule="auto"/>
        <w:jc w:val="both"/>
        <w:rPr>
          <w:rFonts w:ascii="Arial" w:hAnsi="Arial" w:cs="Arial"/>
          <w:b w:val="0"/>
          <w:iCs/>
          <w:kern w:val="28"/>
          <w:sz w:val="20"/>
          <w:lang w:val="en-ID"/>
        </w:rPr>
      </w:pPr>
    </w:p>
    <w:p w14:paraId="41065B2F" w14:textId="77777777" w:rsidR="00A37E11" w:rsidRPr="00535F4E" w:rsidRDefault="00A37E11" w:rsidP="009C70C6">
      <w:pPr>
        <w:pStyle w:val="Author"/>
        <w:numPr>
          <w:ilvl w:val="1"/>
          <w:numId w:val="10"/>
        </w:numPr>
        <w:spacing w:line="240" w:lineRule="auto"/>
        <w:ind w:left="426"/>
        <w:jc w:val="both"/>
        <w:rPr>
          <w:rFonts w:ascii="Arial" w:hAnsi="Arial" w:cs="Arial"/>
          <w:bCs/>
          <w:iCs/>
          <w:kern w:val="28"/>
          <w:sz w:val="20"/>
          <w:lang w:val="en-ID"/>
        </w:rPr>
      </w:pPr>
      <w:r w:rsidRPr="00535F4E">
        <w:rPr>
          <w:rFonts w:ascii="Arial" w:hAnsi="Arial" w:cs="Arial"/>
          <w:bCs/>
          <w:iCs/>
          <w:kern w:val="28"/>
          <w:sz w:val="20"/>
          <w:lang w:val="en-ID"/>
        </w:rPr>
        <w:t>Water quality</w:t>
      </w:r>
    </w:p>
    <w:p w14:paraId="2AE64698" w14:textId="502F4FE5" w:rsidR="00290971" w:rsidRDefault="00A37E11" w:rsidP="00574036">
      <w:pPr>
        <w:pStyle w:val="Body"/>
        <w:tabs>
          <w:tab w:val="left" w:pos="426"/>
        </w:tabs>
        <w:spacing w:after="0"/>
        <w:rPr>
          <w:rFonts w:ascii="Arial" w:hAnsi="Arial" w:cs="Arial"/>
        </w:rPr>
      </w:pPr>
      <w:r w:rsidRPr="00A37E11">
        <w:rPr>
          <w:rFonts w:ascii="Arial" w:hAnsi="Arial" w:cs="Arial"/>
          <w:iCs/>
          <w:kern w:val="28"/>
          <w:lang w:val="en-ID"/>
        </w:rPr>
        <w:t xml:space="preserve">Water quality plays an important role in supporting the survival of </w:t>
      </w:r>
      <w:r w:rsidR="00574036">
        <w:rPr>
          <w:rFonts w:ascii="Arial" w:hAnsi="Arial" w:cs="Arial"/>
          <w:iCs/>
          <w:kern w:val="28"/>
          <w:lang w:val="en-ID"/>
        </w:rPr>
        <w:t>giant gourami fry</w:t>
      </w:r>
      <w:r w:rsidRPr="00A37E11">
        <w:rPr>
          <w:rFonts w:ascii="Arial" w:hAnsi="Arial" w:cs="Arial"/>
          <w:iCs/>
          <w:kern w:val="28"/>
          <w:lang w:val="en-ID"/>
        </w:rPr>
        <w:t>. The water quality measured for 6</w:t>
      </w:r>
      <w:r w:rsidR="00574036">
        <w:rPr>
          <w:rFonts w:ascii="Arial" w:hAnsi="Arial" w:cs="Arial"/>
          <w:iCs/>
          <w:kern w:val="28"/>
          <w:lang w:val="en-ID"/>
        </w:rPr>
        <w:t>0</w:t>
      </w:r>
      <w:r w:rsidRPr="00A37E11">
        <w:rPr>
          <w:rFonts w:ascii="Arial" w:hAnsi="Arial" w:cs="Arial"/>
          <w:iCs/>
          <w:kern w:val="28"/>
          <w:lang w:val="en-ID"/>
        </w:rPr>
        <w:t xml:space="preserve"> days in this study was </w:t>
      </w:r>
      <w:r>
        <w:rPr>
          <w:rFonts w:ascii="Arial" w:hAnsi="Arial" w:cs="Arial"/>
          <w:iCs/>
          <w:kern w:val="28"/>
          <w:lang w:val="en-ID"/>
        </w:rPr>
        <w:t>t</w:t>
      </w:r>
      <w:r w:rsidRPr="00A37E11">
        <w:rPr>
          <w:rFonts w:ascii="Arial" w:hAnsi="Arial" w:cs="Arial"/>
          <w:iCs/>
          <w:kern w:val="28"/>
          <w:lang w:val="en-ID"/>
        </w:rPr>
        <w:t>emperature, pH, and dissolved oxygen (DO) levels. The average value of water quality can be seen in Table 1.</w:t>
      </w:r>
      <w:r w:rsidR="008C4B99">
        <w:rPr>
          <w:rFonts w:ascii="Arial" w:hAnsi="Arial" w:cs="Arial"/>
          <w:b/>
          <w:iCs/>
          <w:kern w:val="28"/>
          <w:lang w:val="en-ID"/>
        </w:rPr>
        <w:t xml:space="preserve"> </w:t>
      </w:r>
      <w:r w:rsidR="008C4B99" w:rsidRPr="009C33A5">
        <w:rPr>
          <w:rFonts w:ascii="Arial" w:hAnsi="Arial" w:cs="Arial"/>
        </w:rPr>
        <w:t xml:space="preserve">Water quality parameters were observed every </w:t>
      </w:r>
      <w:r w:rsidR="00574036">
        <w:rPr>
          <w:rFonts w:ascii="Arial" w:hAnsi="Arial" w:cs="Arial"/>
        </w:rPr>
        <w:t>seven</w:t>
      </w:r>
      <w:r w:rsidR="008C4B99" w:rsidRPr="009C33A5">
        <w:rPr>
          <w:rFonts w:ascii="Arial" w:hAnsi="Arial" w:cs="Arial"/>
        </w:rPr>
        <w:t xml:space="preserve"> da</w:t>
      </w:r>
      <w:r w:rsidR="008C4B99">
        <w:rPr>
          <w:rFonts w:ascii="Arial" w:hAnsi="Arial" w:cs="Arial"/>
        </w:rPr>
        <w:t>ys including temperature, DO (Dis</w:t>
      </w:r>
      <w:r w:rsidR="008C4B99" w:rsidRPr="009C33A5">
        <w:rPr>
          <w:rFonts w:ascii="Arial" w:hAnsi="Arial" w:cs="Arial"/>
        </w:rPr>
        <w:t>solv</w:t>
      </w:r>
      <w:r w:rsidR="008C4B99">
        <w:rPr>
          <w:rFonts w:ascii="Arial" w:hAnsi="Arial" w:cs="Arial"/>
        </w:rPr>
        <w:t xml:space="preserve">ed Oxygen) and pH measurements. </w:t>
      </w:r>
      <w:r w:rsidR="008C4B99" w:rsidRPr="009C33A5">
        <w:rPr>
          <w:rFonts w:ascii="Arial" w:hAnsi="Arial" w:cs="Arial"/>
        </w:rPr>
        <w:t>The measuring instruments used were thermometer, DO</w:t>
      </w:r>
      <w:r w:rsidR="008C4B99">
        <w:rPr>
          <w:rFonts w:ascii="Arial" w:hAnsi="Arial" w:cs="Arial"/>
        </w:rPr>
        <w:t xml:space="preserve">-meter, and pH-meter. </w:t>
      </w:r>
      <w:r w:rsidR="00574036" w:rsidRPr="00574036">
        <w:rPr>
          <w:rFonts w:ascii="Arial" w:hAnsi="Arial" w:cs="Arial"/>
        </w:rPr>
        <w:t>Water quality during fry maintenance is still within the tolerance limits of fry life.</w:t>
      </w:r>
    </w:p>
    <w:p w14:paraId="61A31011" w14:textId="77777777" w:rsidR="001F50A5" w:rsidRDefault="001F50A5" w:rsidP="00574036">
      <w:pPr>
        <w:pStyle w:val="Body"/>
        <w:tabs>
          <w:tab w:val="left" w:pos="426"/>
        </w:tabs>
        <w:spacing w:after="0"/>
        <w:rPr>
          <w:rFonts w:ascii="Arial" w:hAnsi="Arial" w:cs="Arial"/>
        </w:rPr>
      </w:pPr>
    </w:p>
    <w:p w14:paraId="34EEA5A2" w14:textId="77777777" w:rsidR="001F50A5" w:rsidRDefault="001F50A5" w:rsidP="00574036">
      <w:pPr>
        <w:pStyle w:val="Body"/>
        <w:tabs>
          <w:tab w:val="left" w:pos="426"/>
        </w:tabs>
        <w:spacing w:after="0"/>
        <w:rPr>
          <w:rFonts w:ascii="Arial" w:hAnsi="Arial" w:cs="Arial"/>
        </w:rPr>
      </w:pPr>
    </w:p>
    <w:p w14:paraId="5515DF27" w14:textId="77777777" w:rsidR="001F50A5" w:rsidRDefault="001F50A5" w:rsidP="00574036">
      <w:pPr>
        <w:pStyle w:val="Body"/>
        <w:tabs>
          <w:tab w:val="left" w:pos="426"/>
        </w:tabs>
        <w:spacing w:after="0"/>
        <w:rPr>
          <w:rFonts w:ascii="Arial" w:hAnsi="Arial" w:cs="Arial"/>
        </w:rPr>
      </w:pPr>
    </w:p>
    <w:p w14:paraId="0CF5F52F" w14:textId="77777777" w:rsidR="001F50A5" w:rsidRPr="00574036" w:rsidRDefault="001F50A5" w:rsidP="00574036">
      <w:pPr>
        <w:pStyle w:val="Body"/>
        <w:tabs>
          <w:tab w:val="left" w:pos="426"/>
        </w:tabs>
        <w:spacing w:after="0"/>
        <w:rPr>
          <w:rFonts w:ascii="Arial" w:hAnsi="Arial" w:cs="Arial"/>
        </w:rPr>
      </w:pPr>
    </w:p>
    <w:p w14:paraId="165010DE" w14:textId="40821B2D" w:rsidR="00CC617E" w:rsidRDefault="00CC617E" w:rsidP="00574036">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Table 1.</w:t>
      </w:r>
      <w:r>
        <w:rPr>
          <w:rFonts w:ascii="Arial" w:hAnsi="Arial" w:cs="Arial"/>
          <w:b w:val="0"/>
          <w:iCs/>
          <w:kern w:val="28"/>
          <w:sz w:val="20"/>
          <w:lang w:val="en-ID"/>
        </w:rPr>
        <w:t xml:space="preserve"> Water Quality</w:t>
      </w:r>
    </w:p>
    <w:tbl>
      <w:tblPr>
        <w:tblStyle w:val="TableGrid"/>
        <w:tblW w:w="0" w:type="auto"/>
        <w:tblInd w:w="6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55"/>
      </w:tblGrid>
      <w:tr w:rsidR="00CC617E" w14:paraId="07D32B5D" w14:textId="77777777" w:rsidTr="00574036">
        <w:tc>
          <w:tcPr>
            <w:tcW w:w="4508" w:type="dxa"/>
            <w:tcBorders>
              <w:top w:val="single" w:sz="12" w:space="0" w:color="auto"/>
              <w:bottom w:val="single" w:sz="12" w:space="0" w:color="auto"/>
            </w:tcBorders>
          </w:tcPr>
          <w:p w14:paraId="64FCB77C" w14:textId="438F2106" w:rsidR="00CC617E" w:rsidRPr="00CC617E" w:rsidRDefault="00CC617E" w:rsidP="00535F4E">
            <w:pPr>
              <w:pStyle w:val="Author"/>
              <w:spacing w:line="240" w:lineRule="auto"/>
              <w:jc w:val="both"/>
              <w:rPr>
                <w:rFonts w:ascii="Arial" w:hAnsi="Arial" w:cs="Arial"/>
                <w:bCs/>
                <w:iCs/>
                <w:kern w:val="28"/>
                <w:sz w:val="20"/>
                <w:lang w:val="en-ID"/>
              </w:rPr>
            </w:pPr>
            <w:r w:rsidRPr="00CC617E">
              <w:rPr>
                <w:rFonts w:ascii="Arial" w:hAnsi="Arial" w:cs="Arial"/>
                <w:bCs/>
                <w:iCs/>
                <w:kern w:val="28"/>
                <w:sz w:val="20"/>
                <w:lang w:val="en-ID"/>
              </w:rPr>
              <w:t>Water Quality</w:t>
            </w:r>
          </w:p>
        </w:tc>
        <w:tc>
          <w:tcPr>
            <w:tcW w:w="4508" w:type="dxa"/>
            <w:tcBorders>
              <w:top w:val="single" w:sz="12" w:space="0" w:color="auto"/>
              <w:bottom w:val="single" w:sz="12" w:space="0" w:color="auto"/>
            </w:tcBorders>
          </w:tcPr>
          <w:p w14:paraId="4E17F307" w14:textId="3A6C9842" w:rsidR="00CC617E" w:rsidRPr="00CC617E" w:rsidRDefault="00CC617E" w:rsidP="00535F4E">
            <w:pPr>
              <w:pStyle w:val="Author"/>
              <w:spacing w:line="240" w:lineRule="auto"/>
              <w:jc w:val="both"/>
              <w:rPr>
                <w:rFonts w:ascii="Arial" w:hAnsi="Arial" w:cs="Arial"/>
                <w:bCs/>
                <w:iCs/>
                <w:kern w:val="28"/>
                <w:sz w:val="20"/>
                <w:lang w:val="en-ID"/>
              </w:rPr>
            </w:pPr>
            <w:r w:rsidRPr="00CC617E">
              <w:rPr>
                <w:rFonts w:ascii="Arial" w:hAnsi="Arial" w:cs="Arial"/>
                <w:bCs/>
                <w:iCs/>
                <w:kern w:val="28"/>
                <w:sz w:val="20"/>
                <w:lang w:val="en-ID"/>
              </w:rPr>
              <w:t>Observation Results</w:t>
            </w:r>
          </w:p>
        </w:tc>
      </w:tr>
      <w:tr w:rsidR="00CC617E" w14:paraId="1F7B390B" w14:textId="77777777" w:rsidTr="00574036">
        <w:tc>
          <w:tcPr>
            <w:tcW w:w="4508" w:type="dxa"/>
            <w:tcBorders>
              <w:top w:val="single" w:sz="12" w:space="0" w:color="auto"/>
            </w:tcBorders>
          </w:tcPr>
          <w:p w14:paraId="4B333DC4" w14:textId="39E61F84" w:rsidR="00CC617E" w:rsidRDefault="00CC617E" w:rsidP="00535F4E">
            <w:pPr>
              <w:pStyle w:val="Author"/>
              <w:spacing w:line="240" w:lineRule="auto"/>
              <w:jc w:val="both"/>
              <w:rPr>
                <w:rFonts w:ascii="Arial" w:hAnsi="Arial" w:cs="Arial"/>
                <w:b w:val="0"/>
                <w:iCs/>
                <w:kern w:val="28"/>
                <w:sz w:val="20"/>
                <w:lang w:val="en-ID"/>
              </w:rPr>
            </w:pPr>
            <w:r w:rsidRPr="00CC617E">
              <w:rPr>
                <w:rFonts w:ascii="Arial" w:hAnsi="Arial" w:cs="Arial"/>
                <w:b w:val="0"/>
                <w:iCs/>
                <w:kern w:val="28"/>
                <w:sz w:val="20"/>
                <w:lang w:val="en-ID"/>
              </w:rPr>
              <w:t>Temperature (°C)</w:t>
            </w:r>
          </w:p>
        </w:tc>
        <w:tc>
          <w:tcPr>
            <w:tcW w:w="4508" w:type="dxa"/>
            <w:tcBorders>
              <w:top w:val="single" w:sz="12" w:space="0" w:color="auto"/>
            </w:tcBorders>
          </w:tcPr>
          <w:p w14:paraId="07D55DC6" w14:textId="11262176" w:rsidR="00CC617E" w:rsidRDefault="00CC617E" w:rsidP="00535F4E">
            <w:pPr>
              <w:pStyle w:val="Author"/>
              <w:spacing w:line="240" w:lineRule="auto"/>
              <w:jc w:val="both"/>
              <w:rPr>
                <w:rFonts w:ascii="Arial" w:hAnsi="Arial" w:cs="Arial"/>
                <w:b w:val="0"/>
                <w:iCs/>
                <w:kern w:val="28"/>
                <w:sz w:val="20"/>
                <w:lang w:val="en-ID"/>
              </w:rPr>
            </w:pPr>
            <w:r w:rsidRPr="00CC617E">
              <w:rPr>
                <w:rFonts w:ascii="Arial" w:hAnsi="Arial" w:cs="Arial"/>
                <w:b w:val="0"/>
                <w:iCs/>
                <w:kern w:val="28"/>
                <w:sz w:val="20"/>
                <w:lang w:val="en-ID"/>
              </w:rPr>
              <w:t>28°-30°</w:t>
            </w:r>
          </w:p>
        </w:tc>
      </w:tr>
      <w:tr w:rsidR="00CC617E" w14:paraId="350BD2A6" w14:textId="77777777" w:rsidTr="00574036">
        <w:tc>
          <w:tcPr>
            <w:tcW w:w="4508" w:type="dxa"/>
            <w:tcBorders>
              <w:bottom w:val="nil"/>
            </w:tcBorders>
          </w:tcPr>
          <w:p w14:paraId="554812BE" w14:textId="11B2605B" w:rsidR="00CC617E" w:rsidRDefault="00CC617E" w:rsidP="00535F4E">
            <w:pPr>
              <w:pStyle w:val="Author"/>
              <w:spacing w:line="240" w:lineRule="auto"/>
              <w:jc w:val="both"/>
              <w:rPr>
                <w:rFonts w:ascii="Arial" w:hAnsi="Arial" w:cs="Arial"/>
                <w:b w:val="0"/>
                <w:iCs/>
                <w:kern w:val="28"/>
                <w:sz w:val="20"/>
                <w:lang w:val="en-ID"/>
              </w:rPr>
            </w:pPr>
            <w:r>
              <w:rPr>
                <w:rFonts w:ascii="Arial" w:hAnsi="Arial" w:cs="Arial"/>
                <w:b w:val="0"/>
                <w:iCs/>
                <w:kern w:val="28"/>
                <w:sz w:val="20"/>
                <w:lang w:val="en-ID"/>
              </w:rPr>
              <w:t>pH</w:t>
            </w:r>
          </w:p>
        </w:tc>
        <w:tc>
          <w:tcPr>
            <w:tcW w:w="4508" w:type="dxa"/>
            <w:tcBorders>
              <w:bottom w:val="nil"/>
            </w:tcBorders>
          </w:tcPr>
          <w:p w14:paraId="4903E242" w14:textId="78ED2C41" w:rsidR="00CC617E" w:rsidRPr="00932041" w:rsidRDefault="008C4B99" w:rsidP="00535F4E">
            <w:pPr>
              <w:pStyle w:val="Author"/>
              <w:spacing w:line="240" w:lineRule="auto"/>
              <w:jc w:val="both"/>
              <w:rPr>
                <w:rFonts w:ascii="Arial" w:hAnsi="Arial" w:cs="Arial"/>
                <w:b w:val="0"/>
                <w:iCs/>
                <w:kern w:val="28"/>
                <w:sz w:val="20"/>
                <w:highlight w:val="yellow"/>
                <w:lang w:val="en-ID"/>
              </w:rPr>
            </w:pPr>
            <w:commentRangeStart w:id="7"/>
            <w:r w:rsidRPr="00932041">
              <w:rPr>
                <w:rFonts w:ascii="Arial" w:hAnsi="Arial" w:cs="Arial"/>
                <w:b w:val="0"/>
                <w:iCs/>
                <w:kern w:val="28"/>
                <w:sz w:val="20"/>
                <w:highlight w:val="yellow"/>
                <w:lang w:val="en-ID"/>
              </w:rPr>
              <w:t>6</w:t>
            </w:r>
            <w:r w:rsidR="00CC617E" w:rsidRPr="00932041">
              <w:rPr>
                <w:rFonts w:ascii="Arial" w:hAnsi="Arial" w:cs="Arial"/>
                <w:b w:val="0"/>
                <w:iCs/>
                <w:kern w:val="28"/>
                <w:sz w:val="20"/>
                <w:highlight w:val="yellow"/>
                <w:lang w:val="en-ID"/>
              </w:rPr>
              <w:t>,2-</w:t>
            </w:r>
            <w:r w:rsidRPr="00932041">
              <w:rPr>
                <w:rFonts w:ascii="Arial" w:hAnsi="Arial" w:cs="Arial"/>
                <w:b w:val="0"/>
                <w:iCs/>
                <w:kern w:val="28"/>
                <w:sz w:val="20"/>
                <w:highlight w:val="yellow"/>
                <w:lang w:val="en-ID"/>
              </w:rPr>
              <w:t>7</w:t>
            </w:r>
            <w:r w:rsidR="00CC617E" w:rsidRPr="00932041">
              <w:rPr>
                <w:rFonts w:ascii="Arial" w:hAnsi="Arial" w:cs="Arial"/>
                <w:b w:val="0"/>
                <w:iCs/>
                <w:kern w:val="28"/>
                <w:sz w:val="20"/>
                <w:highlight w:val="yellow"/>
                <w:lang w:val="en-ID"/>
              </w:rPr>
              <w:t>,1</w:t>
            </w:r>
            <w:commentRangeEnd w:id="7"/>
            <w:r w:rsidR="001A5784">
              <w:rPr>
                <w:rStyle w:val="CommentReference"/>
                <w:rFonts w:asciiTheme="minorHAnsi" w:eastAsiaTheme="minorHAnsi" w:hAnsiTheme="minorHAnsi" w:cstheme="minorBidi"/>
                <w:b w:val="0"/>
                <w:kern w:val="2"/>
                <w:lang w:val="en-ID"/>
                <w14:ligatures w14:val="standardContextual"/>
              </w:rPr>
              <w:commentReference w:id="7"/>
            </w:r>
          </w:p>
        </w:tc>
      </w:tr>
      <w:tr w:rsidR="00CC617E" w14:paraId="69B51CB0" w14:textId="77777777" w:rsidTr="00574036">
        <w:tc>
          <w:tcPr>
            <w:tcW w:w="4508" w:type="dxa"/>
            <w:tcBorders>
              <w:top w:val="nil"/>
              <w:bottom w:val="single" w:sz="12" w:space="0" w:color="auto"/>
            </w:tcBorders>
          </w:tcPr>
          <w:p w14:paraId="219CE786" w14:textId="61D3CCAB" w:rsidR="00CC617E" w:rsidRDefault="00CC617E" w:rsidP="00535F4E">
            <w:pPr>
              <w:pStyle w:val="Author"/>
              <w:spacing w:line="240" w:lineRule="auto"/>
              <w:jc w:val="both"/>
              <w:rPr>
                <w:rFonts w:ascii="Arial" w:hAnsi="Arial" w:cs="Arial"/>
                <w:b w:val="0"/>
                <w:iCs/>
                <w:kern w:val="28"/>
                <w:sz w:val="20"/>
                <w:lang w:val="en-ID"/>
              </w:rPr>
            </w:pPr>
            <w:r>
              <w:rPr>
                <w:rFonts w:ascii="Arial" w:hAnsi="Arial" w:cs="Arial"/>
                <w:b w:val="0"/>
                <w:iCs/>
                <w:kern w:val="28"/>
                <w:sz w:val="20"/>
                <w:lang w:val="en-ID"/>
              </w:rPr>
              <w:t>DO (mg/l)</w:t>
            </w:r>
          </w:p>
        </w:tc>
        <w:tc>
          <w:tcPr>
            <w:tcW w:w="4508" w:type="dxa"/>
            <w:tcBorders>
              <w:top w:val="nil"/>
              <w:bottom w:val="single" w:sz="12" w:space="0" w:color="auto"/>
            </w:tcBorders>
          </w:tcPr>
          <w:p w14:paraId="1B6AC285" w14:textId="3D423BE2" w:rsidR="00CC617E" w:rsidRPr="00932041" w:rsidRDefault="008C4B99" w:rsidP="00535F4E">
            <w:pPr>
              <w:pStyle w:val="Author"/>
              <w:spacing w:line="240" w:lineRule="auto"/>
              <w:jc w:val="both"/>
              <w:rPr>
                <w:rFonts w:ascii="Arial" w:hAnsi="Arial" w:cs="Arial"/>
                <w:b w:val="0"/>
                <w:bCs/>
                <w:iCs/>
                <w:kern w:val="28"/>
                <w:sz w:val="20"/>
                <w:highlight w:val="yellow"/>
                <w:lang w:val="en-ID"/>
              </w:rPr>
            </w:pPr>
            <w:commentRangeStart w:id="8"/>
            <w:r w:rsidRPr="00932041">
              <w:rPr>
                <w:b w:val="0"/>
                <w:bCs/>
                <w:sz w:val="20"/>
                <w:highlight w:val="yellow"/>
              </w:rPr>
              <w:t>3</w:t>
            </w:r>
            <w:r w:rsidR="00CC617E" w:rsidRPr="00932041">
              <w:rPr>
                <w:b w:val="0"/>
                <w:bCs/>
                <w:sz w:val="20"/>
                <w:highlight w:val="yellow"/>
              </w:rPr>
              <w:t>,7-</w:t>
            </w:r>
            <w:r w:rsidRPr="00932041">
              <w:rPr>
                <w:b w:val="0"/>
                <w:bCs/>
                <w:sz w:val="20"/>
                <w:highlight w:val="yellow"/>
              </w:rPr>
              <w:t>4</w:t>
            </w:r>
            <w:r w:rsidR="00CC617E" w:rsidRPr="00932041">
              <w:rPr>
                <w:b w:val="0"/>
                <w:bCs/>
                <w:sz w:val="20"/>
                <w:highlight w:val="yellow"/>
              </w:rPr>
              <w:t>,4</w:t>
            </w:r>
            <w:commentRangeEnd w:id="8"/>
            <w:r w:rsidR="00584C24">
              <w:rPr>
                <w:rStyle w:val="CommentReference"/>
                <w:rFonts w:asciiTheme="minorHAnsi" w:eastAsiaTheme="minorHAnsi" w:hAnsiTheme="minorHAnsi" w:cstheme="minorBidi"/>
                <w:b w:val="0"/>
                <w:kern w:val="2"/>
                <w:lang w:val="en-ID"/>
                <w14:ligatures w14:val="standardContextual"/>
              </w:rPr>
              <w:commentReference w:id="8"/>
            </w:r>
          </w:p>
        </w:tc>
      </w:tr>
    </w:tbl>
    <w:p w14:paraId="74BF12CA" w14:textId="77777777" w:rsidR="00901C4F" w:rsidRDefault="00901C4F" w:rsidP="00574036">
      <w:pPr>
        <w:pStyle w:val="Author"/>
        <w:spacing w:line="240" w:lineRule="auto"/>
        <w:jc w:val="left"/>
        <w:rPr>
          <w:rFonts w:ascii="Arial" w:hAnsi="Arial" w:cs="Arial"/>
          <w:b w:val="0"/>
          <w:iCs/>
          <w:kern w:val="28"/>
          <w:sz w:val="20"/>
          <w:lang w:val="en-ID"/>
        </w:rPr>
      </w:pPr>
    </w:p>
    <w:p w14:paraId="06578FF2" w14:textId="77777777" w:rsidR="00535F4E" w:rsidRDefault="00901C4F" w:rsidP="009C70C6">
      <w:pPr>
        <w:pStyle w:val="Author"/>
        <w:numPr>
          <w:ilvl w:val="0"/>
          <w:numId w:val="10"/>
        </w:numPr>
        <w:spacing w:line="240" w:lineRule="auto"/>
        <w:ind w:left="426"/>
        <w:jc w:val="left"/>
        <w:rPr>
          <w:rFonts w:ascii="Arial" w:hAnsi="Arial" w:cs="Arial"/>
          <w:bCs/>
          <w:iCs/>
          <w:kern w:val="28"/>
          <w:sz w:val="20"/>
          <w:lang w:val="en-ID"/>
        </w:rPr>
      </w:pPr>
      <w:r w:rsidRPr="00535F4E">
        <w:rPr>
          <w:rFonts w:ascii="Arial" w:hAnsi="Arial" w:cs="Arial"/>
          <w:bCs/>
          <w:iCs/>
          <w:kern w:val="28"/>
          <w:sz w:val="20"/>
          <w:lang w:val="en-ID"/>
        </w:rPr>
        <w:t>CONCLUSIONS</w:t>
      </w:r>
    </w:p>
    <w:p w14:paraId="2EB3D56D" w14:textId="77777777" w:rsidR="001F50A5" w:rsidRDefault="001F50A5" w:rsidP="001F50A5">
      <w:pPr>
        <w:pStyle w:val="Author"/>
        <w:spacing w:line="240" w:lineRule="auto"/>
        <w:ind w:left="426"/>
        <w:jc w:val="left"/>
        <w:rPr>
          <w:rFonts w:ascii="Arial" w:hAnsi="Arial" w:cs="Arial"/>
          <w:bCs/>
          <w:iCs/>
          <w:kern w:val="28"/>
          <w:sz w:val="20"/>
          <w:lang w:val="en-ID"/>
        </w:rPr>
      </w:pPr>
    </w:p>
    <w:p w14:paraId="11720BB6" w14:textId="5361A612" w:rsidR="00A835A8" w:rsidRPr="001F50A5" w:rsidRDefault="00FB19C4" w:rsidP="00290971">
      <w:pPr>
        <w:pStyle w:val="Author"/>
        <w:spacing w:line="240" w:lineRule="auto"/>
        <w:ind w:left="66"/>
        <w:jc w:val="both"/>
        <w:rPr>
          <w:rFonts w:ascii="Arial" w:hAnsi="Arial" w:cs="Arial"/>
          <w:b w:val="0"/>
          <w:iCs/>
          <w:kern w:val="28"/>
          <w:sz w:val="20"/>
          <w:lang w:val="en-ID"/>
        </w:rPr>
      </w:pPr>
      <w:r w:rsidRPr="001F50A5">
        <w:rPr>
          <w:rFonts w:ascii="Arial" w:hAnsi="Arial" w:cs="Arial"/>
          <w:b w:val="0"/>
          <w:iCs/>
          <w:kern w:val="28"/>
          <w:sz w:val="20"/>
          <w:lang w:val="en-ID"/>
        </w:rPr>
        <w:t>The optimum immersion dos</w:t>
      </w:r>
      <w:r w:rsidR="001F50A5" w:rsidRPr="001F50A5">
        <w:rPr>
          <w:rFonts w:ascii="Arial" w:hAnsi="Arial" w:cs="Arial"/>
          <w:b w:val="0"/>
          <w:iCs/>
          <w:kern w:val="28"/>
          <w:sz w:val="20"/>
          <w:lang w:val="en-ID"/>
        </w:rPr>
        <w:t>age</w:t>
      </w:r>
      <w:r w:rsidRPr="001F50A5">
        <w:rPr>
          <w:rFonts w:ascii="Arial" w:hAnsi="Arial" w:cs="Arial"/>
          <w:b w:val="0"/>
          <w:iCs/>
          <w:kern w:val="28"/>
          <w:sz w:val="20"/>
          <w:lang w:val="en-ID"/>
        </w:rPr>
        <w:t xml:space="preserve"> of thyroxine hormone for the highest survival, length and weight growth (91%, 8.04 cm and 9.2 g) of gourami fry was 1.00 mg/L for </w:t>
      </w:r>
      <w:r w:rsidR="000A1FBA">
        <w:rPr>
          <w:rFonts w:ascii="Arial" w:hAnsi="Arial" w:cs="Arial"/>
          <w:b w:val="0"/>
          <w:iCs/>
          <w:kern w:val="28"/>
          <w:sz w:val="20"/>
          <w:lang w:val="en-ID"/>
        </w:rPr>
        <w:t>two</w:t>
      </w:r>
      <w:r w:rsidRPr="001F50A5">
        <w:rPr>
          <w:rFonts w:ascii="Arial" w:hAnsi="Arial" w:cs="Arial"/>
          <w:b w:val="0"/>
          <w:iCs/>
          <w:kern w:val="28"/>
          <w:sz w:val="20"/>
          <w:lang w:val="en-ID"/>
        </w:rPr>
        <w:t xml:space="preserve"> months of maintenance.</w:t>
      </w:r>
    </w:p>
    <w:p w14:paraId="0E9CEEAB" w14:textId="77777777" w:rsidR="00475DF8" w:rsidRPr="00535F4E" w:rsidRDefault="00475DF8" w:rsidP="00290971">
      <w:pPr>
        <w:pStyle w:val="Author"/>
        <w:spacing w:line="240" w:lineRule="auto"/>
        <w:ind w:left="66"/>
        <w:jc w:val="both"/>
        <w:rPr>
          <w:rFonts w:ascii="Arial" w:hAnsi="Arial" w:cs="Arial"/>
          <w:bCs/>
          <w:iCs/>
          <w:kern w:val="28"/>
          <w:sz w:val="20"/>
          <w:lang w:val="en-ID"/>
        </w:rPr>
      </w:pPr>
    </w:p>
    <w:p w14:paraId="261F78E8" w14:textId="4CFB7893" w:rsidR="00535F4E" w:rsidRDefault="00A835A8" w:rsidP="00A835A8">
      <w:pPr>
        <w:pStyle w:val="Author"/>
        <w:spacing w:line="240" w:lineRule="auto"/>
        <w:jc w:val="both"/>
        <w:rPr>
          <w:rFonts w:ascii="Arial" w:hAnsi="Arial" w:cs="Arial"/>
          <w:bCs/>
          <w:iCs/>
          <w:kern w:val="28"/>
          <w:sz w:val="20"/>
          <w:lang w:val="en-ID"/>
        </w:rPr>
      </w:pPr>
      <w:r w:rsidRPr="00A4049F">
        <w:rPr>
          <w:rFonts w:ascii="Arial" w:hAnsi="Arial" w:cs="Arial"/>
          <w:bCs/>
          <w:iCs/>
          <w:kern w:val="28"/>
          <w:sz w:val="20"/>
          <w:lang w:val="en-ID"/>
        </w:rPr>
        <w:t>DISCLAIMER (ARTIFICIAL INTELLIGENCE).</w:t>
      </w:r>
    </w:p>
    <w:p w14:paraId="00C707A1" w14:textId="0F8616A5" w:rsidR="00A835A8" w:rsidRPr="00535F4E" w:rsidRDefault="00A835A8" w:rsidP="00A835A8">
      <w:pPr>
        <w:pStyle w:val="Author"/>
        <w:spacing w:line="240" w:lineRule="auto"/>
        <w:jc w:val="both"/>
        <w:rPr>
          <w:rFonts w:ascii="Arial" w:hAnsi="Arial" w:cs="Arial"/>
          <w:bCs/>
          <w:iCs/>
          <w:kern w:val="28"/>
          <w:sz w:val="20"/>
          <w:lang w:val="en-ID"/>
        </w:rPr>
      </w:pPr>
      <w:r>
        <w:rPr>
          <w:rFonts w:ascii="Arial" w:hAnsi="Arial" w:cs="Arial"/>
          <w:b w:val="0"/>
          <w:iCs/>
          <w:kern w:val="28"/>
          <w:sz w:val="20"/>
          <w:lang w:val="en-ID"/>
        </w:rPr>
        <w:t>A</w:t>
      </w:r>
      <w:r w:rsidRPr="00A4049F">
        <w:rPr>
          <w:rFonts w:ascii="Arial" w:hAnsi="Arial" w:cs="Arial"/>
          <w:b w:val="0"/>
          <w:iCs/>
          <w:kern w:val="28"/>
          <w:sz w:val="20"/>
          <w:lang w:val="en-ID"/>
        </w:rPr>
        <w:t>uthor(s) hereby</w:t>
      </w:r>
      <w:r>
        <w:rPr>
          <w:rFonts w:ascii="Arial" w:hAnsi="Arial" w:cs="Arial"/>
          <w:b w:val="0"/>
          <w:iCs/>
          <w:kern w:val="28"/>
          <w:sz w:val="20"/>
          <w:lang w:val="en-ID"/>
        </w:rPr>
        <w:t xml:space="preserve"> </w:t>
      </w:r>
      <w:r w:rsidRPr="00A4049F">
        <w:rPr>
          <w:rFonts w:ascii="Arial" w:hAnsi="Arial" w:cs="Arial"/>
          <w:b w:val="0"/>
          <w:iCs/>
          <w:kern w:val="28"/>
          <w:sz w:val="20"/>
          <w:lang w:val="en-ID"/>
        </w:rPr>
        <w:t>declare</w:t>
      </w:r>
      <w:r>
        <w:rPr>
          <w:rFonts w:ascii="Arial" w:hAnsi="Arial" w:cs="Arial"/>
          <w:b w:val="0"/>
          <w:iCs/>
          <w:kern w:val="28"/>
          <w:sz w:val="20"/>
          <w:lang w:val="en-ID"/>
        </w:rPr>
        <w:t xml:space="preserve"> </w:t>
      </w:r>
      <w:r w:rsidRPr="00A4049F">
        <w:rPr>
          <w:rFonts w:ascii="Arial" w:hAnsi="Arial" w:cs="Arial"/>
          <w:b w:val="0"/>
          <w:iCs/>
          <w:kern w:val="28"/>
          <w:sz w:val="20"/>
          <w:lang w:val="en-ID"/>
        </w:rPr>
        <w:t>that NO generative AI technologies such as Large Language Models (ChatGPT, COPILOT, etc) and text-to-image generators have been used during</w:t>
      </w:r>
      <w:r>
        <w:rPr>
          <w:rFonts w:ascii="Arial" w:hAnsi="Arial" w:cs="Arial"/>
          <w:b w:val="0"/>
          <w:iCs/>
          <w:kern w:val="28"/>
          <w:sz w:val="20"/>
          <w:lang w:val="en-ID"/>
        </w:rPr>
        <w:t xml:space="preserve"> </w:t>
      </w:r>
      <w:r w:rsidRPr="00A4049F">
        <w:rPr>
          <w:rFonts w:ascii="Arial" w:hAnsi="Arial" w:cs="Arial"/>
          <w:b w:val="0"/>
          <w:iCs/>
          <w:kern w:val="28"/>
          <w:sz w:val="20"/>
          <w:lang w:val="en-ID"/>
        </w:rPr>
        <w:t>writing or editing of manuscripts.</w:t>
      </w:r>
    </w:p>
    <w:p w14:paraId="6E7C6315" w14:textId="77777777" w:rsidR="00A835A8" w:rsidRDefault="00A835A8" w:rsidP="00A835A8">
      <w:pPr>
        <w:pStyle w:val="Author"/>
        <w:spacing w:line="240" w:lineRule="auto"/>
        <w:jc w:val="both"/>
        <w:rPr>
          <w:rFonts w:ascii="Arial" w:hAnsi="Arial" w:cs="Arial"/>
          <w:b w:val="0"/>
          <w:iCs/>
          <w:kern w:val="28"/>
          <w:sz w:val="20"/>
          <w:lang w:val="en-ID"/>
        </w:rPr>
      </w:pPr>
    </w:p>
    <w:p w14:paraId="224BAD0F" w14:textId="77777777" w:rsidR="00A835A8" w:rsidRDefault="00A835A8" w:rsidP="00A835A8">
      <w:pPr>
        <w:pStyle w:val="Author"/>
        <w:spacing w:line="240" w:lineRule="auto"/>
        <w:jc w:val="both"/>
        <w:rPr>
          <w:rFonts w:ascii="Arial" w:hAnsi="Arial" w:cs="Arial"/>
          <w:b w:val="0"/>
          <w:iCs/>
          <w:kern w:val="28"/>
          <w:sz w:val="20"/>
          <w:lang w:val="en-ID"/>
        </w:rPr>
      </w:pPr>
    </w:p>
    <w:p w14:paraId="4C3AD9F0" w14:textId="77777777" w:rsidR="00A835A8" w:rsidRDefault="00A835A8" w:rsidP="00A835A8">
      <w:pPr>
        <w:pStyle w:val="Author"/>
        <w:spacing w:line="240" w:lineRule="auto"/>
        <w:jc w:val="both"/>
        <w:rPr>
          <w:rFonts w:ascii="Arial" w:hAnsi="Arial" w:cs="Arial"/>
          <w:bCs/>
          <w:iCs/>
          <w:kern w:val="28"/>
          <w:sz w:val="20"/>
          <w:lang w:val="en-ID"/>
        </w:rPr>
      </w:pPr>
      <w:r w:rsidRPr="00A4049F">
        <w:rPr>
          <w:rFonts w:ascii="Arial" w:hAnsi="Arial" w:cs="Arial"/>
          <w:bCs/>
          <w:iCs/>
          <w:kern w:val="28"/>
          <w:sz w:val="20"/>
          <w:lang w:val="en-ID"/>
        </w:rPr>
        <w:t>REFERENCES</w:t>
      </w:r>
    </w:p>
    <w:p w14:paraId="1DAF915B" w14:textId="77777777" w:rsidR="005A09F4" w:rsidRDefault="005A09F4" w:rsidP="00A835A8">
      <w:pPr>
        <w:pStyle w:val="Author"/>
        <w:spacing w:line="240" w:lineRule="auto"/>
        <w:jc w:val="both"/>
        <w:rPr>
          <w:rFonts w:ascii="Arial" w:hAnsi="Arial" w:cs="Arial"/>
          <w:bCs/>
          <w:iCs/>
          <w:kern w:val="28"/>
          <w:sz w:val="20"/>
          <w:lang w:val="en-ID"/>
        </w:rPr>
      </w:pPr>
    </w:p>
    <w:p w14:paraId="1F5868D3" w14:textId="0FD7A860"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hAnsi="Arial" w:cs="Arial"/>
          <w:sz w:val="20"/>
          <w:szCs w:val="20"/>
        </w:rPr>
        <w:t xml:space="preserve">Setiadi, A., Nainggolan, A., &amp; Ediyanto. (2016). Peningkatan Kualitas Pertumbuhan dan Kelangsungan Hidup Benih Gurami (Osphronemus goramy) Melalui Perendaman Tiroksin (T4). Jurnal Ilmiah Satya Minabahari, 2(1), 1-10. </w:t>
      </w:r>
      <w:hyperlink r:id="rId24" w:history="1">
        <w:r w:rsidRPr="00450AA8">
          <w:rPr>
            <w:rStyle w:val="Hyperlink"/>
            <w:rFonts w:ascii="Arial" w:hAnsi="Arial" w:cs="Arial"/>
            <w:sz w:val="20"/>
            <w:szCs w:val="20"/>
          </w:rPr>
          <w:t>https://doi.org/10.53676/jism.v2i1.16</w:t>
        </w:r>
      </w:hyperlink>
    </w:p>
    <w:p w14:paraId="700C0778" w14:textId="62455961"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hAnsi="Arial" w:cs="Arial"/>
          <w:sz w:val="20"/>
          <w:szCs w:val="20"/>
        </w:rPr>
        <w:t xml:space="preserve">Hardaningsih, I., Aulia, R., Arysandi, S., Hidayati, R., Bimasuci, H., Murwantoko, &amp; Sari, D. W. K. (2025). Genetic Variation of Giant Gourami (Osphronemus goramy Lacepède 1801) in Indonesia: Insights from Morphometric and Mitochondrial DNA COI Analysis. Genetics of Aquatic Organisms, 9(1). </w:t>
      </w:r>
      <w:hyperlink r:id="rId25" w:history="1">
        <w:r w:rsidRPr="00450AA8">
          <w:rPr>
            <w:rStyle w:val="Hyperlink"/>
            <w:rFonts w:ascii="Arial" w:hAnsi="Arial" w:cs="Arial"/>
            <w:sz w:val="20"/>
            <w:szCs w:val="20"/>
          </w:rPr>
          <w:t>https://doi.org/10.4194/GA887</w:t>
        </w:r>
      </w:hyperlink>
    </w:p>
    <w:p w14:paraId="4E158606" w14:textId="49B8477A"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r w:rsidRPr="00450AA8">
        <w:rPr>
          <w:rFonts w:ascii="Arial" w:hAnsi="Arial" w:cs="Arial"/>
          <w:sz w:val="20"/>
          <w:szCs w:val="20"/>
        </w:rPr>
        <w:t xml:space="preserve">Brown, C. L., Urbinati, E. C., Zhang, W., Brown, S. B., &amp; McComb-Kobza, M. (2014). Maternal thyroid and glucocorticoid hormone interactions in larval fish development, and their applications in aquaculture. Reviews in Fisheries Science &amp; Aquaculture, 22(3), 207-220. </w:t>
      </w:r>
      <w:hyperlink r:id="rId26" w:history="1">
        <w:r w:rsidRPr="00450AA8">
          <w:rPr>
            <w:rStyle w:val="Hyperlink"/>
            <w:rFonts w:ascii="Arial" w:hAnsi="Arial" w:cs="Arial"/>
            <w:sz w:val="20"/>
            <w:szCs w:val="20"/>
          </w:rPr>
          <w:t>https://doi.org/10.1080/23308249.2014.918086</w:t>
        </w:r>
      </w:hyperlink>
    </w:p>
    <w:p w14:paraId="67B200EE" w14:textId="3C85317F"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eastAsia="Times New Roman" w:hAnsi="Arial" w:cs="Arial"/>
          <w:kern w:val="0"/>
          <w:sz w:val="20"/>
          <w:szCs w:val="20"/>
          <w:lang w:eastAsia="en-ID"/>
          <w14:ligatures w14:val="none"/>
        </w:rPr>
        <w:t xml:space="preserve">Brown, C. L., Doroshov, S. I., Nunez, J. M., Hadley, C., Vaneenennaam, J., Nishioka, R. S., &amp; Bern, H. A. (1988). Maternal triiodothyronine injections cause increases in swimbladder inflation and survival rates in larval striped bass, Morone saxatilis. Journal of Experimental Zoology, 248(2), 168–176. </w:t>
      </w:r>
      <w:hyperlink r:id="rId27" w:history="1">
        <w:r w:rsidRPr="00450AA8">
          <w:rPr>
            <w:rStyle w:val="Hyperlink"/>
            <w:rFonts w:ascii="Arial" w:eastAsia="Times New Roman" w:hAnsi="Arial" w:cs="Arial"/>
            <w:kern w:val="0"/>
            <w:sz w:val="20"/>
            <w:szCs w:val="20"/>
            <w:lang w:eastAsia="en-ID"/>
            <w14:ligatures w14:val="none"/>
          </w:rPr>
          <w:t>https://doi.org/10.1002/jez.1402480207</w:t>
        </w:r>
      </w:hyperlink>
    </w:p>
    <w:p w14:paraId="34699F1B" w14:textId="14F597B9" w:rsidR="007F5658" w:rsidRPr="007F5658" w:rsidRDefault="007F5658" w:rsidP="00450AA8">
      <w:pPr>
        <w:pStyle w:val="Author"/>
        <w:numPr>
          <w:ilvl w:val="0"/>
          <w:numId w:val="20"/>
        </w:numPr>
        <w:spacing w:line="240" w:lineRule="auto"/>
        <w:jc w:val="both"/>
        <w:rPr>
          <w:rFonts w:ascii="Arial" w:hAnsi="Arial" w:cs="Arial"/>
          <w:b w:val="0"/>
          <w:iCs/>
          <w:kern w:val="28"/>
          <w:sz w:val="20"/>
          <w:lang w:val="en-ID"/>
        </w:rPr>
      </w:pPr>
      <w:r w:rsidRPr="007F5658">
        <w:rPr>
          <w:rFonts w:ascii="Arial" w:eastAsiaTheme="minorHAnsi" w:hAnsi="Arial" w:cs="Arial"/>
          <w:b w:val="0"/>
          <w:kern w:val="2"/>
          <w:sz w:val="20"/>
          <w:lang w:val="en-ID"/>
          <w14:ligatures w14:val="standardContextual"/>
        </w:rPr>
        <w:t xml:space="preserve">Reddy, P. K., &amp; Lam, T. J. (1992). Role of thyroid hormones in tilapia larvae (Oreochromis mossambicus): I. Effects of the hormones and an antithyroid drug on yolk absorption, growth and development. Fish Physiology and Biochemistry, 9, 473–485. </w:t>
      </w:r>
      <w:hyperlink r:id="rId28" w:history="1">
        <w:r w:rsidRPr="00B0451F">
          <w:rPr>
            <w:rStyle w:val="Hyperlink"/>
            <w:rFonts w:ascii="Arial" w:eastAsiaTheme="minorHAnsi" w:hAnsi="Arial" w:cs="Arial"/>
            <w:b w:val="0"/>
            <w:kern w:val="2"/>
            <w:sz w:val="20"/>
            <w:lang w:val="en-ID"/>
            <w14:ligatures w14:val="standardContextual"/>
          </w:rPr>
          <w:t>https://doi.org/10.1007/BF02274228</w:t>
        </w:r>
      </w:hyperlink>
    </w:p>
    <w:p w14:paraId="2BA47E29" w14:textId="03DD02FE"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r w:rsidRPr="00450AA8">
        <w:rPr>
          <w:rFonts w:ascii="Arial" w:eastAsia="Times New Roman" w:hAnsi="Arial" w:cs="Arial"/>
          <w:iCs/>
          <w:kern w:val="28"/>
          <w:sz w:val="20"/>
          <w:szCs w:val="20"/>
          <w14:ligatures w14:val="none"/>
        </w:rPr>
        <w:t xml:space="preserve">Deal, C. K., &amp; Volkoff, H. (2020). The role of the thyroid axis in fish. Frontiers in Endocrinology, 11, 596585. </w:t>
      </w:r>
      <w:hyperlink r:id="rId29" w:history="1">
        <w:r w:rsidRPr="00450AA8">
          <w:rPr>
            <w:rStyle w:val="Hyperlink"/>
            <w:rFonts w:ascii="Arial" w:eastAsia="Times New Roman" w:hAnsi="Arial" w:cs="Arial"/>
            <w:iCs/>
            <w:kern w:val="28"/>
            <w:sz w:val="20"/>
            <w:szCs w:val="20"/>
            <w14:ligatures w14:val="none"/>
          </w:rPr>
          <w:t>https://doi.org/10.3389/fendo.2020.596585</w:t>
        </w:r>
      </w:hyperlink>
    </w:p>
    <w:p w14:paraId="689EFF0E" w14:textId="58E638B0"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eastAsia="Times New Roman" w:hAnsi="Arial" w:cs="Arial"/>
          <w:kern w:val="0"/>
          <w:sz w:val="20"/>
          <w:szCs w:val="20"/>
          <w:lang w:eastAsia="en-ID"/>
          <w14:ligatures w14:val="none"/>
        </w:rPr>
        <w:t xml:space="preserve">Eales, J. G. (1985). The peripheral metabolism of thyroid hormones and regulation of thyroidal status in poikilotherms. Canadian Journal of </w:t>
      </w:r>
      <w:r w:rsidRPr="00450AA8">
        <w:rPr>
          <w:rFonts w:ascii="Arial" w:eastAsia="Times New Roman" w:hAnsi="Arial" w:cs="Arial"/>
          <w:kern w:val="0"/>
          <w:sz w:val="20"/>
          <w:szCs w:val="20"/>
          <w:lang w:eastAsia="en-ID"/>
          <w14:ligatures w14:val="none"/>
        </w:rPr>
        <w:t xml:space="preserve">Zoology, 63(6), 1217–1231. </w:t>
      </w:r>
      <w:hyperlink r:id="rId30" w:history="1">
        <w:r w:rsidRPr="00450AA8">
          <w:rPr>
            <w:rStyle w:val="Hyperlink"/>
            <w:rFonts w:ascii="Arial" w:eastAsia="Times New Roman" w:hAnsi="Arial" w:cs="Arial"/>
            <w:kern w:val="0"/>
            <w:sz w:val="20"/>
            <w:szCs w:val="20"/>
            <w:lang w:eastAsia="en-ID"/>
            <w14:ligatures w14:val="none"/>
          </w:rPr>
          <w:t>https://doi.org/10.1139/z85-183</w:t>
        </w:r>
      </w:hyperlink>
    </w:p>
    <w:p w14:paraId="555324F6" w14:textId="0A95A71F"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r w:rsidRPr="00450AA8">
        <w:rPr>
          <w:rFonts w:ascii="Arial" w:hAnsi="Arial" w:cs="Arial"/>
          <w:sz w:val="20"/>
          <w:szCs w:val="20"/>
        </w:rPr>
        <w:t xml:space="preserve">Nacario, J. F. (1983). The effect of thyroxine on the larvae and fry of Sarotherodon niloticus L. (Tilapia nilotica). Aquaculture, 34(1-2), 73-83. </w:t>
      </w:r>
      <w:hyperlink r:id="rId31" w:history="1">
        <w:r w:rsidRPr="00450AA8">
          <w:rPr>
            <w:rStyle w:val="Hyperlink"/>
            <w:rFonts w:ascii="Arial" w:hAnsi="Arial" w:cs="Arial"/>
            <w:sz w:val="20"/>
            <w:szCs w:val="20"/>
          </w:rPr>
          <w:t>https://doi.org/10.1016/0044-8486(83)90292-2</w:t>
        </w:r>
      </w:hyperlink>
    </w:p>
    <w:p w14:paraId="320C5FF6" w14:textId="1A982EB1"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r w:rsidRPr="00450AA8">
        <w:rPr>
          <w:rFonts w:ascii="Arial" w:eastAsia="Times New Roman" w:hAnsi="Arial" w:cs="Arial"/>
          <w:kern w:val="0"/>
          <w:sz w:val="20"/>
          <w:szCs w:val="20"/>
          <w:lang w:eastAsia="en-ID"/>
          <w14:ligatures w14:val="none"/>
        </w:rPr>
        <w:t xml:space="preserve">Lam, T. J., &amp; Sharma, R. (1985). Effects of salinity and thyroxine on larval survival, growth and development in the carp, Cyprinus carpio. *Aquaculture*, *44*(3), 201–212. </w:t>
      </w:r>
      <w:hyperlink r:id="rId32" w:history="1">
        <w:r w:rsidRPr="00450AA8">
          <w:rPr>
            <w:rStyle w:val="Hyperlink"/>
            <w:rFonts w:ascii="Arial" w:eastAsia="Times New Roman" w:hAnsi="Arial" w:cs="Arial"/>
            <w:kern w:val="0"/>
            <w:sz w:val="20"/>
            <w:szCs w:val="20"/>
            <w:lang w:eastAsia="en-ID"/>
            <w14:ligatures w14:val="none"/>
          </w:rPr>
          <w:t>https://doi.org/10.1016/0044-8486(85)90244-3</w:t>
        </w:r>
      </w:hyperlink>
    </w:p>
    <w:p w14:paraId="04423F9A" w14:textId="432A0323" w:rsidR="007F5658" w:rsidRPr="007F5658" w:rsidRDefault="007F5658" w:rsidP="00450AA8">
      <w:pPr>
        <w:pStyle w:val="Author"/>
        <w:numPr>
          <w:ilvl w:val="0"/>
          <w:numId w:val="20"/>
        </w:numPr>
        <w:spacing w:line="240" w:lineRule="auto"/>
        <w:jc w:val="both"/>
        <w:rPr>
          <w:rFonts w:ascii="Arial" w:hAnsi="Arial" w:cs="Arial"/>
          <w:b w:val="0"/>
          <w:bCs/>
          <w:iCs/>
          <w:kern w:val="28"/>
          <w:sz w:val="20"/>
          <w:lang w:val="en-ID"/>
        </w:rPr>
      </w:pPr>
      <w:r w:rsidRPr="007F5658">
        <w:rPr>
          <w:rFonts w:ascii="Arial" w:eastAsiaTheme="minorHAnsi" w:hAnsi="Arial" w:cs="Arial"/>
          <w:b w:val="0"/>
          <w:kern w:val="2"/>
          <w:sz w:val="20"/>
          <w:lang w:val="en-ID"/>
          <w14:ligatures w14:val="standardContextual"/>
        </w:rPr>
        <w:t xml:space="preserve">Lam, T. J., Juario, J. V., &amp; Banno, J. E. (1985). Effect of thyroxine on growth and development in post-yolk-sac larvae of milkfish, Chanos chanos. Aquaculture, 46(3), 179-184. </w:t>
      </w:r>
      <w:hyperlink r:id="rId33" w:history="1">
        <w:r w:rsidRPr="00B0451F">
          <w:rPr>
            <w:rStyle w:val="Hyperlink"/>
            <w:rFonts w:ascii="Arial" w:eastAsiaTheme="minorHAnsi" w:hAnsi="Arial" w:cs="Arial"/>
            <w:b w:val="0"/>
            <w:kern w:val="2"/>
            <w:sz w:val="20"/>
            <w:lang w:val="en-ID"/>
            <w14:ligatures w14:val="standardContextual"/>
          </w:rPr>
          <w:t>https://doi.org/10.1016/0044-8486(85)90203-0</w:t>
        </w:r>
      </w:hyperlink>
    </w:p>
    <w:p w14:paraId="7EBC0C39" w14:textId="6D5CC1B5"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eastAsia="Times New Roman" w:hAnsi="Arial" w:cs="Arial"/>
          <w:bCs/>
          <w:kern w:val="0"/>
          <w:sz w:val="20"/>
          <w:szCs w:val="20"/>
          <w:lang w:val="en-US"/>
          <w14:ligatures w14:val="none"/>
        </w:rPr>
        <w:t xml:space="preserve">Vu, N. U., &amp; Huynh, T. G. (2020). Optimized live feed regime significantly improves growth performance and survival rate for early life history stages of pangasius catfish (Pangasianodon hypophthalmus). Fishes, 5(3), 20. </w:t>
      </w:r>
      <w:hyperlink r:id="rId34" w:history="1">
        <w:r w:rsidRPr="00450AA8">
          <w:rPr>
            <w:rStyle w:val="Hyperlink"/>
            <w:rFonts w:ascii="Arial" w:eastAsia="Times New Roman" w:hAnsi="Arial" w:cs="Arial"/>
            <w:bCs/>
            <w:kern w:val="0"/>
            <w:sz w:val="20"/>
            <w:szCs w:val="20"/>
            <w:lang w:val="en-US"/>
            <w14:ligatures w14:val="none"/>
          </w:rPr>
          <w:t>https://doi.org/10.3390/fishes5030020</w:t>
        </w:r>
      </w:hyperlink>
    </w:p>
    <w:p w14:paraId="1862D234" w14:textId="1CE3763B"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r w:rsidRPr="00450AA8">
        <w:rPr>
          <w:rFonts w:ascii="Arial" w:hAnsi="Arial" w:cs="Arial"/>
          <w:sz w:val="20"/>
          <w:szCs w:val="20"/>
        </w:rPr>
        <w:t xml:space="preserve">Amornsakun, T., Kullai, S., &amp; Hassan, A. (2014). Some aspects in early life stage of giant gourami, Osphronemus goramy (Lacepede) larvae. Songklanakarin Journal of Science &amp; Technology, 36(5), 493-498. </w:t>
      </w:r>
      <w:hyperlink r:id="rId35" w:history="1">
        <w:r w:rsidRPr="00450AA8">
          <w:rPr>
            <w:rStyle w:val="Hyperlink"/>
            <w:rFonts w:ascii="Arial" w:hAnsi="Arial" w:cs="Arial"/>
            <w:sz w:val="20"/>
            <w:szCs w:val="20"/>
          </w:rPr>
          <w:t>https://sjst.psu.ac.th/</w:t>
        </w:r>
      </w:hyperlink>
    </w:p>
    <w:p w14:paraId="25F3E382" w14:textId="315B9311"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eastAsia="Times New Roman" w:hAnsi="Arial" w:cs="Arial"/>
          <w:kern w:val="0"/>
          <w:sz w:val="20"/>
          <w:szCs w:val="20"/>
          <w:lang w:eastAsia="en-ID"/>
          <w14:ligatures w14:val="none"/>
        </w:rPr>
        <w:t xml:space="preserve">Heraedi, A., Prayitno, S. B., &amp; Yuniarti, T. (2018). The Effect of different thyroxine hormone (T4) concentration on the growth, survival, and pigment development of pink zebra fish larvae (Brachydanio reiro). Omni-akuatika, 14(2), 21-28. </w:t>
      </w:r>
      <w:hyperlink r:id="rId36" w:history="1">
        <w:r w:rsidRPr="00450AA8">
          <w:rPr>
            <w:rStyle w:val="Hyperlink"/>
            <w:rFonts w:ascii="Arial" w:eastAsia="Times New Roman" w:hAnsi="Arial" w:cs="Arial"/>
            <w:kern w:val="0"/>
            <w:sz w:val="20"/>
            <w:szCs w:val="20"/>
            <w:lang w:eastAsia="en-ID"/>
            <w14:ligatures w14:val="none"/>
          </w:rPr>
          <w:t>https://omniakuatika.net/index.php/oa/article/view/109</w:t>
        </w:r>
      </w:hyperlink>
    </w:p>
    <w:p w14:paraId="02D27892" w14:textId="17D09A2A"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hAnsi="Arial" w:cs="Arial"/>
          <w:sz w:val="20"/>
          <w:szCs w:val="20"/>
        </w:rPr>
        <w:t xml:space="preserve">Galton, V. A. (1986). Thyroxine and 3,5,3'-triiodothyronine bind to the same putative receptor in hepatic nuclei of Rana catesbeiana tadpoles. Endocrinology, 118(3), 1114-1118. </w:t>
      </w:r>
      <w:hyperlink r:id="rId37" w:history="1">
        <w:r w:rsidRPr="00450AA8">
          <w:rPr>
            <w:rStyle w:val="Hyperlink"/>
            <w:rFonts w:ascii="Arial" w:hAnsi="Arial" w:cs="Arial"/>
            <w:sz w:val="20"/>
            <w:szCs w:val="20"/>
          </w:rPr>
          <w:t>https://doi.org/10.1210/endo-118-3-1114</w:t>
        </w:r>
      </w:hyperlink>
      <w:r w:rsidRPr="00450AA8">
        <w:rPr>
          <w:rFonts w:ascii="Arial" w:hAnsi="Arial" w:cs="Arial"/>
          <w:sz w:val="20"/>
          <w:szCs w:val="20"/>
        </w:rPr>
        <w:t>.</w:t>
      </w:r>
    </w:p>
    <w:p w14:paraId="2DC8F222" w14:textId="52FEC472"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r w:rsidRPr="00450AA8">
        <w:rPr>
          <w:rFonts w:ascii="Arial" w:hAnsi="Arial" w:cs="Arial"/>
          <w:sz w:val="20"/>
          <w:szCs w:val="20"/>
        </w:rPr>
        <w:t xml:space="preserve">Greenblatt, M., Brown, C. L., Lee, M., Dauder, S., &amp; Bern, H. A. (1989). Changes in thyroid hormone levels in eggs and larvae and in iodide uptake by eggs of coho and chinook salmon, Oncorhynchus kisutsch and O. tschawytscha. Fish Physiology and </w:t>
      </w:r>
      <w:r w:rsidRPr="00450AA8">
        <w:rPr>
          <w:rFonts w:ascii="Arial" w:hAnsi="Arial" w:cs="Arial"/>
          <w:sz w:val="20"/>
          <w:szCs w:val="20"/>
        </w:rPr>
        <w:lastRenderedPageBreak/>
        <w:t xml:space="preserve">Biochemistry, 6(5), 261-278. </w:t>
      </w:r>
      <w:hyperlink r:id="rId38" w:history="1">
        <w:r w:rsidRPr="00450AA8">
          <w:rPr>
            <w:rStyle w:val="Hyperlink"/>
            <w:rFonts w:ascii="Arial" w:hAnsi="Arial" w:cs="Arial"/>
            <w:sz w:val="20"/>
            <w:szCs w:val="20"/>
          </w:rPr>
          <w:t>https://doi.org/10.1007/BF01881680</w:t>
        </w:r>
      </w:hyperlink>
    </w:p>
    <w:p w14:paraId="4D8327DF" w14:textId="6829F3B2" w:rsidR="007F5658" w:rsidRPr="007F5658" w:rsidRDefault="007F5658" w:rsidP="00450AA8">
      <w:pPr>
        <w:pStyle w:val="Author"/>
        <w:numPr>
          <w:ilvl w:val="0"/>
          <w:numId w:val="20"/>
        </w:numPr>
        <w:spacing w:line="240" w:lineRule="auto"/>
        <w:jc w:val="both"/>
        <w:rPr>
          <w:rFonts w:ascii="Arial" w:hAnsi="Arial" w:cs="Arial"/>
          <w:b w:val="0"/>
          <w:bCs/>
          <w:iCs/>
          <w:kern w:val="28"/>
          <w:sz w:val="20"/>
          <w:lang w:val="en-ID"/>
        </w:rPr>
      </w:pPr>
      <w:r w:rsidRPr="007F5658">
        <w:rPr>
          <w:rFonts w:ascii="Arial" w:hAnsi="Arial" w:cs="Arial"/>
          <w:b w:val="0"/>
          <w:sz w:val="20"/>
          <w:lang w:val="en-ID" w:eastAsia="en-ID"/>
        </w:rPr>
        <w:t xml:space="preserve">Brown, C. L., Doroshov, S. I., Cochran, M. D., &amp; Bern, H. A. (1989). Enhanced survival in striped bass fingerlings after maternal triiodothyronine treatment. Fish Physiology and Biochemistry, 7, 295–299. </w:t>
      </w:r>
      <w:hyperlink r:id="rId39" w:history="1">
        <w:r w:rsidRPr="00B0451F">
          <w:rPr>
            <w:rStyle w:val="Hyperlink"/>
            <w:rFonts w:ascii="Arial" w:hAnsi="Arial" w:cs="Arial"/>
            <w:b w:val="0"/>
            <w:sz w:val="20"/>
            <w:lang w:val="en-ID" w:eastAsia="en-ID"/>
          </w:rPr>
          <w:t>https://doi.org/10.1007/BF00004720</w:t>
        </w:r>
      </w:hyperlink>
    </w:p>
    <w:p w14:paraId="56E7DBC1" w14:textId="355D0B31" w:rsidR="00FB3A75" w:rsidRPr="00FD18FF" w:rsidRDefault="00FB3A75" w:rsidP="00450AA8">
      <w:pPr>
        <w:pStyle w:val="Author"/>
        <w:numPr>
          <w:ilvl w:val="0"/>
          <w:numId w:val="20"/>
        </w:numPr>
        <w:spacing w:line="240" w:lineRule="auto"/>
        <w:jc w:val="both"/>
        <w:rPr>
          <w:rFonts w:ascii="Arial" w:hAnsi="Arial" w:cs="Arial"/>
          <w:b w:val="0"/>
          <w:bCs/>
          <w:iCs/>
          <w:kern w:val="28"/>
          <w:sz w:val="20"/>
          <w:lang w:val="en-ID"/>
        </w:rPr>
      </w:pPr>
      <w:r w:rsidRPr="00FB3A75">
        <w:rPr>
          <w:rFonts w:ascii="Arial" w:hAnsi="Arial" w:cs="Arial"/>
          <w:b w:val="0"/>
          <w:bCs/>
          <w:sz w:val="20"/>
        </w:rPr>
        <w:t>Setyowati, D. N., Hardaningsih, I., &amp; Priyono, S. B. 2007. Sintasan dan Pertumbuhan Benih Pasca Larva Beberapa Subspesies Gurami (</w:t>
      </w:r>
      <w:r w:rsidRPr="000D62B1">
        <w:rPr>
          <w:rFonts w:ascii="Arial" w:hAnsi="Arial" w:cs="Arial"/>
          <w:b w:val="0"/>
          <w:bCs/>
          <w:i/>
          <w:iCs/>
          <w:sz w:val="20"/>
        </w:rPr>
        <w:t>Osphronemus goramy</w:t>
      </w:r>
      <w:r w:rsidRPr="00FB3A75">
        <w:rPr>
          <w:rFonts w:ascii="Arial" w:hAnsi="Arial" w:cs="Arial"/>
          <w:b w:val="0"/>
          <w:bCs/>
          <w:sz w:val="20"/>
        </w:rPr>
        <w:t xml:space="preserve">). </w:t>
      </w:r>
      <w:r w:rsidRPr="00FB3A75">
        <w:rPr>
          <w:rFonts w:ascii="Arial" w:hAnsi="Arial" w:cs="Arial"/>
          <w:b w:val="0"/>
          <w:bCs/>
          <w:i/>
          <w:iCs/>
          <w:sz w:val="20"/>
        </w:rPr>
        <w:t>Jurnal Perikanan Universitas Gadjah Mada</w:t>
      </w:r>
      <w:r w:rsidRPr="00FB3A75">
        <w:rPr>
          <w:rFonts w:ascii="Arial" w:hAnsi="Arial" w:cs="Arial"/>
          <w:b w:val="0"/>
          <w:bCs/>
          <w:sz w:val="20"/>
        </w:rPr>
        <w:t xml:space="preserve">, </w:t>
      </w:r>
      <w:r w:rsidRPr="00FB3A75">
        <w:rPr>
          <w:rFonts w:ascii="Arial" w:hAnsi="Arial" w:cs="Arial"/>
          <w:b w:val="0"/>
          <w:bCs/>
          <w:i/>
          <w:iCs/>
          <w:sz w:val="20"/>
        </w:rPr>
        <w:t>9</w:t>
      </w:r>
      <w:r w:rsidRPr="00FB3A75">
        <w:rPr>
          <w:rFonts w:ascii="Arial" w:hAnsi="Arial" w:cs="Arial"/>
          <w:b w:val="0"/>
          <w:bCs/>
          <w:sz w:val="20"/>
        </w:rPr>
        <w:t>(1), 149-153.</w:t>
      </w:r>
    </w:p>
    <w:p w14:paraId="1A35B463" w14:textId="1A880CEC" w:rsidR="007F5658" w:rsidRPr="007F5658" w:rsidRDefault="007F5658" w:rsidP="00450AA8">
      <w:pPr>
        <w:pStyle w:val="Author"/>
        <w:numPr>
          <w:ilvl w:val="0"/>
          <w:numId w:val="20"/>
        </w:numPr>
        <w:spacing w:line="240" w:lineRule="auto"/>
        <w:jc w:val="both"/>
        <w:rPr>
          <w:rFonts w:ascii="Arial" w:hAnsi="Arial" w:cs="Arial"/>
          <w:b w:val="0"/>
          <w:bCs/>
          <w:iCs/>
          <w:kern w:val="28"/>
          <w:sz w:val="20"/>
          <w:lang w:val="en-ID"/>
        </w:rPr>
      </w:pPr>
      <w:r w:rsidRPr="007F5658">
        <w:rPr>
          <w:rFonts w:ascii="Arial" w:eastAsiaTheme="minorHAnsi" w:hAnsi="Arial" w:cs="Arial"/>
          <w:b w:val="0"/>
          <w:kern w:val="2"/>
          <w:sz w:val="20"/>
          <w:lang w:val="en-ID"/>
          <w14:ligatures w14:val="standardContextual"/>
        </w:rPr>
        <w:t xml:space="preserve">Reddy, P. K., Brown, C. L., Leatherland, J. F., &amp; Lam, T. J. (1992). Role of thyroid hormones in tilapia larvae (Oreochromis mossambicus): II. Changes in the hormones and 5′-monodeiodinase activity during development. Fish Physiology and Biochemistry, 9(5), 487-496. </w:t>
      </w:r>
      <w:hyperlink r:id="rId40" w:history="1">
        <w:r w:rsidRPr="00B0451F">
          <w:rPr>
            <w:rStyle w:val="Hyperlink"/>
            <w:rFonts w:ascii="Arial" w:eastAsiaTheme="minorHAnsi" w:hAnsi="Arial" w:cs="Arial"/>
            <w:b w:val="0"/>
            <w:kern w:val="2"/>
            <w:sz w:val="20"/>
            <w:lang w:val="en-ID"/>
            <w14:ligatures w14:val="standardContextual"/>
          </w:rPr>
          <w:t>https://doi.org/10.1007/BF02274229</w:t>
        </w:r>
      </w:hyperlink>
    </w:p>
    <w:p w14:paraId="43437150" w14:textId="18ABE1AF"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eastAsia="Times New Roman" w:hAnsi="Arial" w:cs="Arial"/>
          <w:bCs/>
          <w:kern w:val="0"/>
          <w:sz w:val="20"/>
          <w:szCs w:val="20"/>
          <w:lang w:val="en-US"/>
          <w14:ligatures w14:val="none"/>
        </w:rPr>
        <w:t xml:space="preserve">Power, D. M., Llewellyn, L., Faustino, M., Nowell, M. A., Björnsson, B. T., Einarsdottir, I. E., Canario, A. V., &amp; Sweeney, G. E. (2001). Thyroid hormones in growth and development of fish. Comparative Biochemistry and Physiology Part C: Toxicology &amp; Pharmacology, 130(4), 447-459. </w:t>
      </w:r>
      <w:hyperlink r:id="rId41" w:history="1">
        <w:r w:rsidRPr="00450AA8">
          <w:rPr>
            <w:rStyle w:val="Hyperlink"/>
            <w:rFonts w:ascii="Arial" w:eastAsia="Times New Roman" w:hAnsi="Arial" w:cs="Arial"/>
            <w:bCs/>
            <w:kern w:val="0"/>
            <w:sz w:val="20"/>
            <w:szCs w:val="20"/>
            <w:lang w:val="en-US"/>
            <w14:ligatures w14:val="none"/>
          </w:rPr>
          <w:t>https://doi.org/10.1016/S1532-0456(01)00271-X</w:t>
        </w:r>
      </w:hyperlink>
    </w:p>
    <w:p w14:paraId="00A8BA25" w14:textId="67FFDCC8" w:rsidR="007F5658" w:rsidRPr="007F5658" w:rsidRDefault="007F5658" w:rsidP="00450AA8">
      <w:pPr>
        <w:pStyle w:val="ListParagraph"/>
        <w:numPr>
          <w:ilvl w:val="0"/>
          <w:numId w:val="20"/>
        </w:numPr>
        <w:spacing w:after="0" w:line="240" w:lineRule="auto"/>
        <w:jc w:val="both"/>
      </w:pPr>
      <w:r w:rsidRPr="00450AA8">
        <w:rPr>
          <w:rFonts w:ascii="Arial" w:hAnsi="Arial" w:cs="Arial"/>
          <w:sz w:val="20"/>
          <w:szCs w:val="20"/>
        </w:rPr>
        <w:t xml:space="preserve">Inui, Y., &amp; Miwa, S. (1985). Thyroid hormone induces metamorphosis of flounder larvae. General and Comparative Endocrinology, 60(3), 450-454. </w:t>
      </w:r>
      <w:hyperlink r:id="rId42" w:history="1">
        <w:r w:rsidRPr="00450AA8">
          <w:rPr>
            <w:rStyle w:val="Hyperlink"/>
            <w:rFonts w:ascii="Arial" w:hAnsi="Arial" w:cs="Arial"/>
            <w:sz w:val="20"/>
            <w:szCs w:val="20"/>
          </w:rPr>
          <w:t>https://doi.org/10.1016/0016-6480(85)90080-2</w:t>
        </w:r>
      </w:hyperlink>
    </w:p>
    <w:p w14:paraId="4B0AB2AA" w14:textId="3711FE0B" w:rsidR="007F5658" w:rsidRPr="007F5658" w:rsidRDefault="007F5658" w:rsidP="00450AA8">
      <w:pPr>
        <w:pStyle w:val="Author"/>
        <w:numPr>
          <w:ilvl w:val="0"/>
          <w:numId w:val="20"/>
        </w:numPr>
        <w:spacing w:line="240" w:lineRule="auto"/>
        <w:jc w:val="both"/>
        <w:rPr>
          <w:rFonts w:ascii="Arial" w:hAnsi="Arial" w:cs="Arial"/>
          <w:b w:val="0"/>
          <w:iCs/>
          <w:kern w:val="28"/>
          <w:sz w:val="20"/>
          <w:lang w:val="en-ID"/>
        </w:rPr>
      </w:pPr>
      <w:r w:rsidRPr="007F5658">
        <w:rPr>
          <w:rFonts w:ascii="Arial" w:eastAsiaTheme="minorHAnsi" w:hAnsi="Arial" w:cs="Arial"/>
          <w:b w:val="0"/>
          <w:kern w:val="2"/>
          <w:sz w:val="20"/>
          <w:lang w:val="en-ID"/>
          <w14:ligatures w14:val="standardContextual"/>
        </w:rPr>
        <w:t xml:space="preserve">Kurniawan, O., Johan, T. I., &amp; Setiaji, J. (2014). Pengaruh Pemberian Hormon Tiroksin (T4) Dengan Perendaman Terhadap Pertumbuhan dan Tingkat Kelulushidupan Benih Ikan Gurami (Osphronemus gouramy Lac). Dinamika Pertanian, 29(1), 107-112. </w:t>
      </w:r>
      <w:hyperlink r:id="rId43" w:history="1">
        <w:r w:rsidRPr="00B0451F">
          <w:rPr>
            <w:rStyle w:val="Hyperlink"/>
            <w:rFonts w:ascii="Arial" w:eastAsiaTheme="minorHAnsi" w:hAnsi="Arial" w:cs="Arial"/>
            <w:b w:val="0"/>
            <w:kern w:val="2"/>
            <w:sz w:val="20"/>
            <w:lang w:val="en-ID"/>
            <w14:ligatures w14:val="standardContextual"/>
          </w:rPr>
          <w:t>https://journal.uir.ac.id/index.php/dinamikapertanian/article/view/865</w:t>
        </w:r>
      </w:hyperlink>
    </w:p>
    <w:p w14:paraId="3A8F849B" w14:textId="30375DC0" w:rsidR="007F5658" w:rsidRPr="007F5658" w:rsidRDefault="007F5658" w:rsidP="00450AA8">
      <w:pPr>
        <w:pStyle w:val="Author"/>
        <w:numPr>
          <w:ilvl w:val="0"/>
          <w:numId w:val="20"/>
        </w:numPr>
        <w:spacing w:line="240" w:lineRule="auto"/>
        <w:jc w:val="both"/>
        <w:rPr>
          <w:rFonts w:ascii="Arial" w:hAnsi="Arial" w:cs="Arial"/>
          <w:b w:val="0"/>
          <w:bCs/>
          <w:iCs/>
          <w:kern w:val="28"/>
          <w:sz w:val="20"/>
          <w:lang w:val="en-ID"/>
        </w:rPr>
      </w:pPr>
      <w:r w:rsidRPr="007F5658">
        <w:rPr>
          <w:rFonts w:ascii="Arial" w:hAnsi="Arial" w:cs="Arial"/>
          <w:b w:val="0"/>
          <w:bCs/>
          <w:sz w:val="20"/>
        </w:rPr>
        <w:t xml:space="preserve">Wallace, H., Pate, A., &amp; Bishop, J. O. (1995). Effects of perinatal thyroid hormone deprivation on the growth and behaviour of newborn mice. Journal of Endocrinology, 145(2), 251-262. </w:t>
      </w:r>
      <w:hyperlink r:id="rId44" w:history="1">
        <w:r w:rsidRPr="00B0451F">
          <w:rPr>
            <w:rStyle w:val="Hyperlink"/>
            <w:rFonts w:ascii="Arial" w:hAnsi="Arial" w:cs="Arial"/>
            <w:b w:val="0"/>
            <w:bCs/>
            <w:sz w:val="20"/>
          </w:rPr>
          <w:t>https://doi.org/10.1677/joe.0.1450251</w:t>
        </w:r>
      </w:hyperlink>
    </w:p>
    <w:p w14:paraId="01CCBD47" w14:textId="50403090"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eastAsia="Times New Roman" w:hAnsi="Arial" w:cs="Arial"/>
          <w:bCs/>
          <w:kern w:val="0"/>
          <w:sz w:val="20"/>
          <w:szCs w:val="20"/>
          <w:lang w:val="en-US"/>
          <w14:ligatures w14:val="none"/>
        </w:rPr>
        <w:t xml:space="preserve">Hull, K. L., Janssens, W. C. J., Baumbach, W. R., &amp; Harvey, S. (1995). Thyroid glands: novel sites of growth hormone action. Journal of Endocrinology, 146(3), 449-458. </w:t>
      </w:r>
      <w:hyperlink r:id="rId45" w:history="1">
        <w:r w:rsidRPr="00450AA8">
          <w:rPr>
            <w:rStyle w:val="Hyperlink"/>
            <w:rFonts w:ascii="Arial" w:eastAsia="Times New Roman" w:hAnsi="Arial" w:cs="Arial"/>
            <w:bCs/>
            <w:kern w:val="0"/>
            <w:sz w:val="20"/>
            <w:szCs w:val="20"/>
            <w:lang w:val="en-US"/>
            <w14:ligatures w14:val="none"/>
          </w:rPr>
          <w:t>https://doi.org/10.1677/joe.0.1460449</w:t>
        </w:r>
      </w:hyperlink>
    </w:p>
    <w:p w14:paraId="1C619B68" w14:textId="6DC161E5"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hAnsi="Arial" w:cs="Arial"/>
          <w:sz w:val="20"/>
          <w:szCs w:val="20"/>
        </w:rPr>
        <w:t xml:space="preserve">Brown, C. L., Sullivan, C. V., Bern, H. A., &amp; Dickhoff, W. W. (1987). Occurrence of thyroid hormones in early developmental stages of teleost fish. In R.D. Hoyt (Ed.), 10th Annual Larval Fish Conference. Symposium 2 (pp. 144-150). American Fisheries Society. </w:t>
      </w:r>
      <w:hyperlink r:id="rId46" w:history="1">
        <w:r w:rsidRPr="00450AA8">
          <w:rPr>
            <w:rStyle w:val="Hyperlink"/>
            <w:rFonts w:ascii="Arial" w:hAnsi="Arial" w:cs="Arial"/>
            <w:sz w:val="20"/>
            <w:szCs w:val="20"/>
          </w:rPr>
          <w:t>https://afs-earlylifehistory.fisheries.org/past-conferences-and-resulting-publications/</w:t>
        </w:r>
      </w:hyperlink>
    </w:p>
    <w:p w14:paraId="50BEF911" w14:textId="51E32B65" w:rsidR="00574036"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hAnsi="Arial" w:cs="Arial"/>
          <w:sz w:val="20"/>
          <w:szCs w:val="20"/>
        </w:rPr>
        <w:t>Alinezhad, S., Abdollahpour, H., Jafari, N., &amp; Falahatkar, B. (2020). Effects of thyroxine immersion on Sterlet sturgeon (Acipenser ruthenus) embryos and larvae: variations in thyroid hormone levels during development. Aquaculture, 519, 734-745. https://doi.org/10.1016/j.aquaculture.2020.734745</w:t>
      </w:r>
    </w:p>
    <w:p w14:paraId="43CC3F36" w14:textId="11EAAB85" w:rsidR="00A835A8" w:rsidRDefault="00A835A8" w:rsidP="006276D3">
      <w:pPr>
        <w:pStyle w:val="Author"/>
        <w:spacing w:line="240" w:lineRule="auto"/>
        <w:jc w:val="both"/>
        <w:rPr>
          <w:rFonts w:ascii="Arial" w:hAnsi="Arial" w:cs="Arial"/>
          <w:b w:val="0"/>
          <w:iCs/>
          <w:kern w:val="28"/>
          <w:sz w:val="20"/>
          <w:lang w:val="en-ID"/>
        </w:rPr>
      </w:pPr>
    </w:p>
    <w:p w14:paraId="201297B2" w14:textId="77777777" w:rsidR="00CF2694" w:rsidRPr="006276D3" w:rsidRDefault="00CF2694" w:rsidP="006276D3">
      <w:pPr>
        <w:pStyle w:val="Author"/>
        <w:spacing w:line="240" w:lineRule="auto"/>
        <w:jc w:val="both"/>
        <w:rPr>
          <w:rFonts w:ascii="Arial" w:hAnsi="Arial" w:cs="Arial"/>
          <w:b w:val="0"/>
          <w:iCs/>
          <w:kern w:val="28"/>
          <w:sz w:val="20"/>
          <w:lang w:val="en-ID"/>
        </w:rPr>
        <w:sectPr w:rsidR="00CF2694" w:rsidRPr="006276D3" w:rsidSect="004A2048">
          <w:type w:val="continuous"/>
          <w:pgSz w:w="11906" w:h="16838"/>
          <w:pgMar w:top="1440" w:right="1440" w:bottom="1440" w:left="1440" w:header="708" w:footer="708" w:gutter="0"/>
          <w:cols w:num="2" w:space="708"/>
          <w:docGrid w:linePitch="360"/>
        </w:sectPr>
      </w:pPr>
    </w:p>
    <w:p w14:paraId="0D84AAB1" w14:textId="77777777" w:rsidR="004A2048" w:rsidRDefault="004A2048" w:rsidP="00901C4F">
      <w:pPr>
        <w:pStyle w:val="Author"/>
        <w:spacing w:line="240" w:lineRule="auto"/>
        <w:jc w:val="left"/>
        <w:rPr>
          <w:rFonts w:ascii="Arial" w:hAnsi="Arial" w:cs="Arial"/>
          <w:b w:val="0"/>
          <w:iCs/>
          <w:kern w:val="28"/>
          <w:sz w:val="20"/>
          <w:lang w:val="en-ID"/>
        </w:rPr>
        <w:sectPr w:rsidR="004A2048" w:rsidSect="004A2048">
          <w:type w:val="continuous"/>
          <w:pgSz w:w="11906" w:h="16838"/>
          <w:pgMar w:top="1440" w:right="1440" w:bottom="1440" w:left="1440" w:header="708" w:footer="708" w:gutter="0"/>
          <w:cols w:num="2" w:space="708"/>
          <w:docGrid w:linePitch="360"/>
        </w:sectPr>
      </w:pPr>
    </w:p>
    <w:p w14:paraId="0CE6E500" w14:textId="77777777" w:rsidR="00290971" w:rsidRDefault="00290971" w:rsidP="00574036">
      <w:pPr>
        <w:pStyle w:val="Author"/>
        <w:spacing w:line="240" w:lineRule="auto"/>
        <w:jc w:val="left"/>
        <w:rPr>
          <w:rFonts w:ascii="Arial" w:hAnsi="Arial" w:cs="Arial"/>
          <w:b w:val="0"/>
          <w:iCs/>
          <w:kern w:val="28"/>
          <w:sz w:val="20"/>
          <w:lang w:val="en-ID"/>
        </w:rPr>
        <w:sectPr w:rsidR="00290971" w:rsidSect="00523FE5">
          <w:type w:val="continuous"/>
          <w:pgSz w:w="11906" w:h="16838"/>
          <w:pgMar w:top="1440" w:right="1440" w:bottom="1440" w:left="1440" w:header="708" w:footer="708" w:gutter="0"/>
          <w:cols w:space="708"/>
          <w:docGrid w:linePitch="360"/>
        </w:sectPr>
      </w:pPr>
    </w:p>
    <w:p w14:paraId="584636C7" w14:textId="77777777" w:rsidR="00636FF0" w:rsidRPr="00533963" w:rsidRDefault="00636FF0" w:rsidP="00636FF0">
      <w:pPr>
        <w:pStyle w:val="Author"/>
        <w:spacing w:line="240" w:lineRule="auto"/>
        <w:ind w:left="66"/>
        <w:jc w:val="left"/>
        <w:rPr>
          <w:rFonts w:ascii="Arial" w:hAnsi="Arial" w:cs="Arial"/>
          <w:b w:val="0"/>
          <w:iCs/>
          <w:kern w:val="28"/>
          <w:sz w:val="20"/>
          <w:lang w:val="en-ID"/>
        </w:rPr>
      </w:pPr>
    </w:p>
    <w:sectPr w:rsidR="00636FF0" w:rsidRPr="00533963" w:rsidSect="00523FE5">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tul Jain" w:date="2026-01-07T08:30:00Z" w:initials="AJ">
    <w:p w14:paraId="18C80AC4" w14:textId="62A64381" w:rsidR="00932041" w:rsidRDefault="00932041">
      <w:pPr>
        <w:pStyle w:val="CommentText"/>
      </w:pPr>
      <w:r>
        <w:rPr>
          <w:rStyle w:val="CommentReference"/>
        </w:rPr>
        <w:annotationRef/>
      </w:r>
      <w:r>
        <w:t>Complete scientific name for the first time</w:t>
      </w:r>
    </w:p>
  </w:comment>
  <w:comment w:id="1" w:author="Atul Jain" w:date="2026-01-07T08:30:00Z" w:initials="AJ">
    <w:p w14:paraId="5A055D05" w14:textId="77777777" w:rsidR="003F4D05" w:rsidRDefault="003F4D05">
      <w:pPr>
        <w:pStyle w:val="CommentText"/>
      </w:pPr>
      <w:r>
        <w:rPr>
          <w:rStyle w:val="CommentReference"/>
        </w:rPr>
        <w:annotationRef/>
      </w:r>
      <w:r>
        <w:t>How it could be 3 fish/L if stocking density was 30 in 20 L water</w:t>
      </w:r>
      <w:r w:rsidR="001A5784">
        <w:t xml:space="preserve">. </w:t>
      </w:r>
    </w:p>
    <w:p w14:paraId="052DFC41" w14:textId="585FCA54" w:rsidR="001A5784" w:rsidRDefault="001A5784">
      <w:pPr>
        <w:pStyle w:val="CommentText"/>
      </w:pPr>
      <w:r>
        <w:t xml:space="preserve">Giant gourami is a fresh water fish. Why sea water was added. What was the salinity of sea water and resulting salinity of water in experimental tanks </w:t>
      </w:r>
    </w:p>
  </w:comment>
  <w:comment w:id="2" w:author="Atul Jain" w:date="2026-01-07T08:32:00Z" w:initials="AJ">
    <w:p w14:paraId="24B888C6" w14:textId="4BE01867" w:rsidR="003F4D05" w:rsidRDefault="003F4D05">
      <w:pPr>
        <w:pStyle w:val="CommentText"/>
      </w:pPr>
      <w:r>
        <w:rPr>
          <w:rStyle w:val="CommentReference"/>
        </w:rPr>
        <w:annotationRef/>
      </w:r>
      <w:r>
        <w:t>Any acclimatization period after shifting the hatchlings from production farm to experimental station</w:t>
      </w:r>
    </w:p>
  </w:comment>
  <w:comment w:id="3" w:author="Atul Jain" w:date="2026-01-07T08:34:00Z" w:initials="AJ">
    <w:p w14:paraId="6F14FC4F" w14:textId="47121480" w:rsidR="003F4D05" w:rsidRDefault="003F4D05">
      <w:pPr>
        <w:pStyle w:val="CommentText"/>
      </w:pPr>
      <w:r>
        <w:rPr>
          <w:rStyle w:val="CommentReference"/>
        </w:rPr>
        <w:annotationRef/>
      </w:r>
      <w:r>
        <w:t xml:space="preserve">How </w:t>
      </w:r>
      <w:r w:rsidR="001A5784">
        <w:t>thyroxine levels were maintained when water was changed?</w:t>
      </w:r>
    </w:p>
  </w:comment>
  <w:comment w:id="4" w:author="Atul Jain" w:date="2026-01-07T08:37:00Z" w:initials="AJ">
    <w:p w14:paraId="6DE1DD71" w14:textId="2C723A60" w:rsidR="001A5784" w:rsidRDefault="001A5784">
      <w:pPr>
        <w:pStyle w:val="CommentText"/>
      </w:pPr>
      <w:r>
        <w:rPr>
          <w:rStyle w:val="CommentReference"/>
        </w:rPr>
        <w:annotationRef/>
      </w:r>
      <w:r>
        <w:t xml:space="preserve">Earlier it is mentioned that 15 days old fry were used in experiment. </w:t>
      </w:r>
    </w:p>
  </w:comment>
  <w:comment w:id="5" w:author="Atul Jain" w:date="2026-01-07T08:38:00Z" w:initials="AJ">
    <w:p w14:paraId="35362EA5" w14:textId="65D2BEE6" w:rsidR="001A5784" w:rsidRDefault="001A5784">
      <w:pPr>
        <w:pStyle w:val="CommentText"/>
      </w:pPr>
      <w:r>
        <w:rPr>
          <w:rStyle w:val="CommentReference"/>
        </w:rPr>
        <w:annotationRef/>
      </w:r>
      <w:r>
        <w:t>Earlier it is mentioned 12 days and 15 days : It is confusing</w:t>
      </w:r>
    </w:p>
  </w:comment>
  <w:comment w:id="6" w:author="Atul Jain" w:date="2026-01-07T08:40:00Z" w:initials="AJ">
    <w:p w14:paraId="60F25A04" w14:textId="649FAF1A" w:rsidR="001A5784" w:rsidRDefault="001A5784">
      <w:pPr>
        <w:pStyle w:val="CommentText"/>
      </w:pPr>
      <w:r>
        <w:rPr>
          <w:rStyle w:val="CommentReference"/>
        </w:rPr>
        <w:annotationRef/>
      </w:r>
      <w:r>
        <w:t>In the present study growth started declining above 1.0 mg/L of thyroxine. How it could be in line with this referred study.</w:t>
      </w:r>
    </w:p>
  </w:comment>
  <w:comment w:id="7" w:author="Atul Jain" w:date="2026-01-07T08:43:00Z" w:initials="AJ">
    <w:p w14:paraId="5D0D5C53" w14:textId="05883340" w:rsidR="001A5784" w:rsidRDefault="001A5784">
      <w:pPr>
        <w:pStyle w:val="CommentText"/>
      </w:pPr>
      <w:r>
        <w:rPr>
          <w:rStyle w:val="CommentReference"/>
        </w:rPr>
        <w:annotationRef/>
      </w:r>
      <w:r>
        <w:t xml:space="preserve">Perhaps it is 6.2-7.1. It is an acidic PH. </w:t>
      </w:r>
      <w:r w:rsidR="00584C24">
        <w:t xml:space="preserve">Although, pH tolerance range of gourmi is 6.0 to 8.5 but a neutral pH is preferable for good growth. An acidic pH </w:t>
      </w:r>
      <w:r>
        <w:t xml:space="preserve">may also be reason </w:t>
      </w:r>
      <w:r w:rsidR="00584C24">
        <w:t>of slow growth of gourami fry</w:t>
      </w:r>
    </w:p>
  </w:comment>
  <w:comment w:id="8" w:author="Atul Jain" w:date="2026-01-07T08:48:00Z" w:initials="AJ">
    <w:p w14:paraId="5522E2BC" w14:textId="1B9A4225" w:rsidR="00584C24" w:rsidRDefault="00584C24">
      <w:pPr>
        <w:pStyle w:val="CommentText"/>
      </w:pPr>
      <w:r>
        <w:rPr>
          <w:rStyle w:val="CommentReference"/>
        </w:rPr>
        <w:annotationRef/>
      </w:r>
      <w:r>
        <w:t xml:space="preserve">Perhaps it is 3.7-4.4 mg/L. It is too low level of DO while an aeration system has been used.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C80AC4" w15:done="0"/>
  <w15:commentEx w15:paraId="052DFC41" w15:done="0"/>
  <w15:commentEx w15:paraId="24B888C6" w15:done="0"/>
  <w15:commentEx w15:paraId="6F14FC4F" w15:done="0"/>
  <w15:commentEx w15:paraId="6DE1DD71" w15:done="0"/>
  <w15:commentEx w15:paraId="35362EA5" w15:done="0"/>
  <w15:commentEx w15:paraId="60F25A04" w15:done="0"/>
  <w15:commentEx w15:paraId="5D0D5C53" w15:done="0"/>
  <w15:commentEx w15:paraId="5522E2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698EC5" w16cex:dateUtc="2026-01-07T03:00:00Z"/>
  <w16cex:commentExtensible w16cex:durableId="469F717C" w16cex:dateUtc="2026-01-07T03:00:00Z"/>
  <w16cex:commentExtensible w16cex:durableId="4682EA0B" w16cex:dateUtc="2026-01-07T03:02:00Z"/>
  <w16cex:commentExtensible w16cex:durableId="58E87E12" w16cex:dateUtc="2026-01-07T03:04:00Z"/>
  <w16cex:commentExtensible w16cex:durableId="6E5FB3E2" w16cex:dateUtc="2026-01-07T03:07:00Z"/>
  <w16cex:commentExtensible w16cex:durableId="7D0CBBF5" w16cex:dateUtc="2026-01-07T03:08:00Z"/>
  <w16cex:commentExtensible w16cex:durableId="79066E59" w16cex:dateUtc="2026-01-07T03:10:00Z"/>
  <w16cex:commentExtensible w16cex:durableId="2411C5CC" w16cex:dateUtc="2026-01-07T03:13:00Z"/>
  <w16cex:commentExtensible w16cex:durableId="4D668EE9" w16cex:dateUtc="2026-01-07T0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C80AC4" w16cid:durableId="41698EC5"/>
  <w16cid:commentId w16cid:paraId="052DFC41" w16cid:durableId="469F717C"/>
  <w16cid:commentId w16cid:paraId="24B888C6" w16cid:durableId="4682EA0B"/>
  <w16cid:commentId w16cid:paraId="6F14FC4F" w16cid:durableId="58E87E12"/>
  <w16cid:commentId w16cid:paraId="6DE1DD71" w16cid:durableId="6E5FB3E2"/>
  <w16cid:commentId w16cid:paraId="35362EA5" w16cid:durableId="7D0CBBF5"/>
  <w16cid:commentId w16cid:paraId="60F25A04" w16cid:durableId="79066E59"/>
  <w16cid:commentId w16cid:paraId="5D0D5C53" w16cid:durableId="2411C5CC"/>
  <w16cid:commentId w16cid:paraId="5522E2BC" w16cid:durableId="4D668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BC5B" w14:textId="77777777" w:rsidR="006A743F" w:rsidRDefault="006A743F" w:rsidP="00F67D34">
      <w:pPr>
        <w:spacing w:after="0" w:line="240" w:lineRule="auto"/>
      </w:pPr>
      <w:r>
        <w:separator/>
      </w:r>
    </w:p>
  </w:endnote>
  <w:endnote w:type="continuationSeparator" w:id="0">
    <w:p w14:paraId="3494A03F" w14:textId="77777777" w:rsidR="006A743F" w:rsidRDefault="006A743F" w:rsidP="00F67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9081" w14:textId="77777777" w:rsidR="00F67D34" w:rsidRDefault="00F67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DCC2" w14:textId="77777777" w:rsidR="00F67D34" w:rsidRDefault="00F67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89E6" w14:textId="77777777" w:rsidR="00F67D34" w:rsidRDefault="00F67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71AA" w14:textId="77777777" w:rsidR="006A743F" w:rsidRDefault="006A743F" w:rsidP="00F67D34">
      <w:pPr>
        <w:spacing w:after="0" w:line="240" w:lineRule="auto"/>
      </w:pPr>
      <w:r>
        <w:separator/>
      </w:r>
    </w:p>
  </w:footnote>
  <w:footnote w:type="continuationSeparator" w:id="0">
    <w:p w14:paraId="56BCDA87" w14:textId="77777777" w:rsidR="006A743F" w:rsidRDefault="006A743F" w:rsidP="00F67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0CBA" w14:textId="7A50D15D" w:rsidR="00F67D34" w:rsidRDefault="00000000">
    <w:pPr>
      <w:pStyle w:val="Header"/>
    </w:pPr>
    <w:r>
      <w:rPr>
        <w:noProof/>
      </w:rPr>
      <w:pict w14:anchorId="30E5C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3871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8B33" w14:textId="12A4D185" w:rsidR="00F67D34" w:rsidRDefault="00000000">
    <w:pPr>
      <w:pStyle w:val="Header"/>
    </w:pPr>
    <w:r>
      <w:rPr>
        <w:noProof/>
      </w:rPr>
      <w:pict w14:anchorId="302EE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3872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64D2" w14:textId="0B92F751" w:rsidR="00F67D34" w:rsidRDefault="00000000">
    <w:pPr>
      <w:pStyle w:val="Header"/>
    </w:pPr>
    <w:r>
      <w:rPr>
        <w:noProof/>
      </w:rPr>
      <w:pict w14:anchorId="46E2F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3871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9280F"/>
    <w:multiLevelType w:val="hybridMultilevel"/>
    <w:tmpl w:val="CA6E6D58"/>
    <w:lvl w:ilvl="0" w:tplc="88EC70B8">
      <w:start w:val="1"/>
      <w:numFmt w:val="upperLetter"/>
      <w:lvlText w:val="%1."/>
      <w:lvlJc w:val="left"/>
      <w:pPr>
        <w:ind w:left="349" w:hanging="360"/>
      </w:pPr>
      <w:rPr>
        <w:rFonts w:hint="default"/>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1" w15:restartNumberingAfterBreak="0">
    <w:nsid w:val="19BB4951"/>
    <w:multiLevelType w:val="hybridMultilevel"/>
    <w:tmpl w:val="8B5E1C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47670F5"/>
    <w:multiLevelType w:val="hybridMultilevel"/>
    <w:tmpl w:val="C372A39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B266577"/>
    <w:multiLevelType w:val="hybridMultilevel"/>
    <w:tmpl w:val="D89A43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8F0208"/>
    <w:multiLevelType w:val="hybridMultilevel"/>
    <w:tmpl w:val="3416A73C"/>
    <w:lvl w:ilvl="0" w:tplc="AA74AF78">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5" w15:restartNumberingAfterBreak="0">
    <w:nsid w:val="473A360E"/>
    <w:multiLevelType w:val="multilevel"/>
    <w:tmpl w:val="DC64A9EE"/>
    <w:lvl w:ilvl="0">
      <w:start w:val="2"/>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4F287057"/>
    <w:multiLevelType w:val="multilevel"/>
    <w:tmpl w:val="F034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C45854"/>
    <w:multiLevelType w:val="hybridMultilevel"/>
    <w:tmpl w:val="CDBE8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97E56"/>
    <w:multiLevelType w:val="multilevel"/>
    <w:tmpl w:val="7D349A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7A3F80"/>
    <w:multiLevelType w:val="hybridMultilevel"/>
    <w:tmpl w:val="7F009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E2694A"/>
    <w:multiLevelType w:val="multilevel"/>
    <w:tmpl w:val="0E227D66"/>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5F5E58B7"/>
    <w:multiLevelType w:val="hybridMultilevel"/>
    <w:tmpl w:val="D89A43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64D6C5B"/>
    <w:multiLevelType w:val="multilevel"/>
    <w:tmpl w:val="5D6ECC9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E56031"/>
    <w:multiLevelType w:val="multilevel"/>
    <w:tmpl w:val="C596960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B47C22"/>
    <w:multiLevelType w:val="hybridMultilevel"/>
    <w:tmpl w:val="6F3E03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36652B9"/>
    <w:multiLevelType w:val="multilevel"/>
    <w:tmpl w:val="B9CA2D2A"/>
    <w:lvl w:ilvl="0">
      <w:start w:val="2"/>
      <w:numFmt w:val="decimal"/>
      <w:lvlText w:val="%1"/>
      <w:lvlJc w:val="left"/>
      <w:pPr>
        <w:ind w:left="360" w:hanging="360"/>
      </w:pPr>
      <w:rPr>
        <w:rFonts w:hint="default"/>
      </w:rPr>
    </w:lvl>
    <w:lvl w:ilvl="1">
      <w:start w:val="7"/>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6" w15:restartNumberingAfterBreak="0">
    <w:nsid w:val="78D311BA"/>
    <w:multiLevelType w:val="hybridMultilevel"/>
    <w:tmpl w:val="7A94EB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79C55A67"/>
    <w:multiLevelType w:val="hybridMultilevel"/>
    <w:tmpl w:val="6E5AEC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D8C436B"/>
    <w:multiLevelType w:val="hybridMultilevel"/>
    <w:tmpl w:val="92FE9EF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25024028">
    <w:abstractNumId w:val="8"/>
  </w:num>
  <w:num w:numId="2" w16cid:durableId="685718670">
    <w:abstractNumId w:val="9"/>
  </w:num>
  <w:num w:numId="3" w16cid:durableId="1463577330">
    <w:abstractNumId w:val="0"/>
  </w:num>
  <w:num w:numId="4" w16cid:durableId="1175455661">
    <w:abstractNumId w:val="17"/>
  </w:num>
  <w:num w:numId="5" w16cid:durableId="800419915">
    <w:abstractNumId w:val="1"/>
  </w:num>
  <w:num w:numId="6" w16cid:durableId="1433087964">
    <w:abstractNumId w:val="2"/>
  </w:num>
  <w:num w:numId="7" w16cid:durableId="574778685">
    <w:abstractNumId w:val="18"/>
  </w:num>
  <w:num w:numId="8" w16cid:durableId="356851507">
    <w:abstractNumId w:val="16"/>
  </w:num>
  <w:num w:numId="9" w16cid:durableId="1142112206">
    <w:abstractNumId w:val="14"/>
  </w:num>
  <w:num w:numId="10" w16cid:durableId="1351297699">
    <w:abstractNumId w:val="13"/>
  </w:num>
  <w:num w:numId="11" w16cid:durableId="989941037">
    <w:abstractNumId w:val="4"/>
  </w:num>
  <w:num w:numId="12" w16cid:durableId="190724266">
    <w:abstractNumId w:val="11"/>
  </w:num>
  <w:num w:numId="13" w16cid:durableId="10880146">
    <w:abstractNumId w:val="12"/>
  </w:num>
  <w:num w:numId="14" w16cid:durableId="1036783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7819400">
    <w:abstractNumId w:val="15"/>
  </w:num>
  <w:num w:numId="16" w16cid:durableId="1866214284">
    <w:abstractNumId w:val="5"/>
  </w:num>
  <w:num w:numId="17" w16cid:durableId="1255742739">
    <w:abstractNumId w:val="10"/>
  </w:num>
  <w:num w:numId="18" w16cid:durableId="1239829821">
    <w:abstractNumId w:val="6"/>
  </w:num>
  <w:num w:numId="19" w16cid:durableId="1470323255">
    <w:abstractNumId w:val="3"/>
  </w:num>
  <w:num w:numId="20" w16cid:durableId="10405171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tul Jain">
    <w15:presenceInfo w15:providerId="Windows Live" w15:userId="ff62bd50dad128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6C"/>
    <w:rsid w:val="0001091A"/>
    <w:rsid w:val="00015CD5"/>
    <w:rsid w:val="000204ED"/>
    <w:rsid w:val="0002319E"/>
    <w:rsid w:val="00024045"/>
    <w:rsid w:val="00042273"/>
    <w:rsid w:val="0004531B"/>
    <w:rsid w:val="00060114"/>
    <w:rsid w:val="000652B4"/>
    <w:rsid w:val="00070927"/>
    <w:rsid w:val="0007219C"/>
    <w:rsid w:val="000737C1"/>
    <w:rsid w:val="00075E30"/>
    <w:rsid w:val="000762A1"/>
    <w:rsid w:val="000842B1"/>
    <w:rsid w:val="00091298"/>
    <w:rsid w:val="000A110B"/>
    <w:rsid w:val="000A1FBA"/>
    <w:rsid w:val="000C1438"/>
    <w:rsid w:val="000C2213"/>
    <w:rsid w:val="000C24D3"/>
    <w:rsid w:val="000C369F"/>
    <w:rsid w:val="000D567F"/>
    <w:rsid w:val="000D62B1"/>
    <w:rsid w:val="000E1E75"/>
    <w:rsid w:val="000E22CF"/>
    <w:rsid w:val="000F57D2"/>
    <w:rsid w:val="00105511"/>
    <w:rsid w:val="001059DB"/>
    <w:rsid w:val="00105C14"/>
    <w:rsid w:val="00110A06"/>
    <w:rsid w:val="0013192A"/>
    <w:rsid w:val="00132081"/>
    <w:rsid w:val="00136BB4"/>
    <w:rsid w:val="00137012"/>
    <w:rsid w:val="00144872"/>
    <w:rsid w:val="00145841"/>
    <w:rsid w:val="00155C20"/>
    <w:rsid w:val="00163157"/>
    <w:rsid w:val="00171C4A"/>
    <w:rsid w:val="001729D4"/>
    <w:rsid w:val="00180527"/>
    <w:rsid w:val="00182028"/>
    <w:rsid w:val="001820BC"/>
    <w:rsid w:val="00190ECC"/>
    <w:rsid w:val="00195A6F"/>
    <w:rsid w:val="001A1A4B"/>
    <w:rsid w:val="001A5784"/>
    <w:rsid w:val="001B1D38"/>
    <w:rsid w:val="001C1967"/>
    <w:rsid w:val="001D091A"/>
    <w:rsid w:val="001D171C"/>
    <w:rsid w:val="001F2FE7"/>
    <w:rsid w:val="001F50A5"/>
    <w:rsid w:val="00217195"/>
    <w:rsid w:val="0022372D"/>
    <w:rsid w:val="00223E75"/>
    <w:rsid w:val="00224D59"/>
    <w:rsid w:val="0023678D"/>
    <w:rsid w:val="00236B90"/>
    <w:rsid w:val="002409F2"/>
    <w:rsid w:val="00241FC9"/>
    <w:rsid w:val="00252E62"/>
    <w:rsid w:val="002540B2"/>
    <w:rsid w:val="00254C21"/>
    <w:rsid w:val="00283BB9"/>
    <w:rsid w:val="00290971"/>
    <w:rsid w:val="00290B65"/>
    <w:rsid w:val="00293A68"/>
    <w:rsid w:val="002A4599"/>
    <w:rsid w:val="002A6199"/>
    <w:rsid w:val="002C1836"/>
    <w:rsid w:val="002C2F73"/>
    <w:rsid w:val="002D654E"/>
    <w:rsid w:val="002F0A29"/>
    <w:rsid w:val="002F187C"/>
    <w:rsid w:val="00303231"/>
    <w:rsid w:val="003128CE"/>
    <w:rsid w:val="0032641C"/>
    <w:rsid w:val="00331848"/>
    <w:rsid w:val="00333FDD"/>
    <w:rsid w:val="00335398"/>
    <w:rsid w:val="00340B04"/>
    <w:rsid w:val="00341494"/>
    <w:rsid w:val="00342361"/>
    <w:rsid w:val="00343A19"/>
    <w:rsid w:val="00345416"/>
    <w:rsid w:val="003512DA"/>
    <w:rsid w:val="003515B7"/>
    <w:rsid w:val="00351F80"/>
    <w:rsid w:val="00370552"/>
    <w:rsid w:val="0037712F"/>
    <w:rsid w:val="00382158"/>
    <w:rsid w:val="00395F51"/>
    <w:rsid w:val="003A1ABE"/>
    <w:rsid w:val="003A4337"/>
    <w:rsid w:val="003B2F27"/>
    <w:rsid w:val="003C0FD8"/>
    <w:rsid w:val="003C7BEB"/>
    <w:rsid w:val="003E26A2"/>
    <w:rsid w:val="003E6525"/>
    <w:rsid w:val="003E6A17"/>
    <w:rsid w:val="003F35CB"/>
    <w:rsid w:val="003F4D05"/>
    <w:rsid w:val="00401678"/>
    <w:rsid w:val="00410D43"/>
    <w:rsid w:val="004152B7"/>
    <w:rsid w:val="004248A2"/>
    <w:rsid w:val="00424F38"/>
    <w:rsid w:val="00425ABF"/>
    <w:rsid w:val="004260CC"/>
    <w:rsid w:val="00440311"/>
    <w:rsid w:val="00440F1A"/>
    <w:rsid w:val="00450AA8"/>
    <w:rsid w:val="00461128"/>
    <w:rsid w:val="0046415E"/>
    <w:rsid w:val="0046538E"/>
    <w:rsid w:val="00475DF8"/>
    <w:rsid w:val="00480114"/>
    <w:rsid w:val="00481EBF"/>
    <w:rsid w:val="00483F0F"/>
    <w:rsid w:val="004A2048"/>
    <w:rsid w:val="004A4346"/>
    <w:rsid w:val="004A5386"/>
    <w:rsid w:val="004B0A7E"/>
    <w:rsid w:val="004B0BD7"/>
    <w:rsid w:val="004B6E5C"/>
    <w:rsid w:val="004D12EB"/>
    <w:rsid w:val="004E16AB"/>
    <w:rsid w:val="004F0158"/>
    <w:rsid w:val="004F69A0"/>
    <w:rsid w:val="004F7E5C"/>
    <w:rsid w:val="00501F6C"/>
    <w:rsid w:val="0050647E"/>
    <w:rsid w:val="00523FE5"/>
    <w:rsid w:val="0052489C"/>
    <w:rsid w:val="0053012C"/>
    <w:rsid w:val="00533963"/>
    <w:rsid w:val="00535F4E"/>
    <w:rsid w:val="00536B05"/>
    <w:rsid w:val="00546A62"/>
    <w:rsid w:val="005506E3"/>
    <w:rsid w:val="005528E1"/>
    <w:rsid w:val="0055477D"/>
    <w:rsid w:val="005633C6"/>
    <w:rsid w:val="00570E7B"/>
    <w:rsid w:val="00574036"/>
    <w:rsid w:val="00576E9B"/>
    <w:rsid w:val="0058012C"/>
    <w:rsid w:val="00584C24"/>
    <w:rsid w:val="00584ED8"/>
    <w:rsid w:val="005959C2"/>
    <w:rsid w:val="00595F6B"/>
    <w:rsid w:val="005A09F4"/>
    <w:rsid w:val="005A2FD2"/>
    <w:rsid w:val="005A6310"/>
    <w:rsid w:val="005D4D5C"/>
    <w:rsid w:val="005E05FE"/>
    <w:rsid w:val="005E71E5"/>
    <w:rsid w:val="00601757"/>
    <w:rsid w:val="006027E7"/>
    <w:rsid w:val="00604636"/>
    <w:rsid w:val="00607C55"/>
    <w:rsid w:val="00613449"/>
    <w:rsid w:val="00620F6D"/>
    <w:rsid w:val="00621FCB"/>
    <w:rsid w:val="006276D3"/>
    <w:rsid w:val="00634E22"/>
    <w:rsid w:val="00636FF0"/>
    <w:rsid w:val="00643359"/>
    <w:rsid w:val="006506BA"/>
    <w:rsid w:val="00657A97"/>
    <w:rsid w:val="00665EB7"/>
    <w:rsid w:val="006846B5"/>
    <w:rsid w:val="0069387A"/>
    <w:rsid w:val="006A743F"/>
    <w:rsid w:val="006C69C5"/>
    <w:rsid w:val="006E3530"/>
    <w:rsid w:val="006E5605"/>
    <w:rsid w:val="00704DC8"/>
    <w:rsid w:val="00706D78"/>
    <w:rsid w:val="007138EE"/>
    <w:rsid w:val="00715F56"/>
    <w:rsid w:val="00717851"/>
    <w:rsid w:val="00721055"/>
    <w:rsid w:val="007217CD"/>
    <w:rsid w:val="00722382"/>
    <w:rsid w:val="00733CC3"/>
    <w:rsid w:val="00737103"/>
    <w:rsid w:val="00756402"/>
    <w:rsid w:val="00761DFD"/>
    <w:rsid w:val="007624A0"/>
    <w:rsid w:val="007651E3"/>
    <w:rsid w:val="007742DA"/>
    <w:rsid w:val="007824B7"/>
    <w:rsid w:val="00785BA5"/>
    <w:rsid w:val="007933DB"/>
    <w:rsid w:val="0079448E"/>
    <w:rsid w:val="007A0529"/>
    <w:rsid w:val="007A12AB"/>
    <w:rsid w:val="007A225C"/>
    <w:rsid w:val="007A3C71"/>
    <w:rsid w:val="007A41A4"/>
    <w:rsid w:val="007A56C0"/>
    <w:rsid w:val="007A5DC6"/>
    <w:rsid w:val="007C15F4"/>
    <w:rsid w:val="007C36DD"/>
    <w:rsid w:val="007C7556"/>
    <w:rsid w:val="007D0040"/>
    <w:rsid w:val="007E07E4"/>
    <w:rsid w:val="007E0C68"/>
    <w:rsid w:val="007E2DAB"/>
    <w:rsid w:val="007F5658"/>
    <w:rsid w:val="007F7025"/>
    <w:rsid w:val="00802DC8"/>
    <w:rsid w:val="00817C10"/>
    <w:rsid w:val="008212E1"/>
    <w:rsid w:val="00823CDC"/>
    <w:rsid w:val="00823FDF"/>
    <w:rsid w:val="00843159"/>
    <w:rsid w:val="008625B9"/>
    <w:rsid w:val="008652CA"/>
    <w:rsid w:val="008727D9"/>
    <w:rsid w:val="00874FC0"/>
    <w:rsid w:val="00881C70"/>
    <w:rsid w:val="00882B10"/>
    <w:rsid w:val="00893F35"/>
    <w:rsid w:val="0089436B"/>
    <w:rsid w:val="00895236"/>
    <w:rsid w:val="008A5634"/>
    <w:rsid w:val="008B4203"/>
    <w:rsid w:val="008C2A50"/>
    <w:rsid w:val="008C4B99"/>
    <w:rsid w:val="008C4C96"/>
    <w:rsid w:val="008D2874"/>
    <w:rsid w:val="008E5CB4"/>
    <w:rsid w:val="008F2689"/>
    <w:rsid w:val="008F65AF"/>
    <w:rsid w:val="00901C4F"/>
    <w:rsid w:val="00903CA7"/>
    <w:rsid w:val="009220AD"/>
    <w:rsid w:val="00922EE2"/>
    <w:rsid w:val="00927066"/>
    <w:rsid w:val="00932041"/>
    <w:rsid w:val="00940D2B"/>
    <w:rsid w:val="0094377A"/>
    <w:rsid w:val="00954366"/>
    <w:rsid w:val="00960975"/>
    <w:rsid w:val="00985CB2"/>
    <w:rsid w:val="00991E0B"/>
    <w:rsid w:val="009951DB"/>
    <w:rsid w:val="009B26E1"/>
    <w:rsid w:val="009B67E5"/>
    <w:rsid w:val="009C42C9"/>
    <w:rsid w:val="009C704F"/>
    <w:rsid w:val="009C70C6"/>
    <w:rsid w:val="009C71B4"/>
    <w:rsid w:val="009D3256"/>
    <w:rsid w:val="009D5F79"/>
    <w:rsid w:val="009D74DE"/>
    <w:rsid w:val="009F1A1A"/>
    <w:rsid w:val="009F6F44"/>
    <w:rsid w:val="00A04AAA"/>
    <w:rsid w:val="00A05424"/>
    <w:rsid w:val="00A16DC1"/>
    <w:rsid w:val="00A16EBC"/>
    <w:rsid w:val="00A238B6"/>
    <w:rsid w:val="00A273FB"/>
    <w:rsid w:val="00A347DD"/>
    <w:rsid w:val="00A368EC"/>
    <w:rsid w:val="00A37E11"/>
    <w:rsid w:val="00A45500"/>
    <w:rsid w:val="00A474C0"/>
    <w:rsid w:val="00A5078B"/>
    <w:rsid w:val="00A632F5"/>
    <w:rsid w:val="00A63F5F"/>
    <w:rsid w:val="00A651C5"/>
    <w:rsid w:val="00A70C37"/>
    <w:rsid w:val="00A7220C"/>
    <w:rsid w:val="00A822E6"/>
    <w:rsid w:val="00A835A8"/>
    <w:rsid w:val="00A8385B"/>
    <w:rsid w:val="00A84567"/>
    <w:rsid w:val="00A878EA"/>
    <w:rsid w:val="00A87BDC"/>
    <w:rsid w:val="00A91CDA"/>
    <w:rsid w:val="00A96411"/>
    <w:rsid w:val="00A966D6"/>
    <w:rsid w:val="00AA02DB"/>
    <w:rsid w:val="00AA75CA"/>
    <w:rsid w:val="00AA7ADB"/>
    <w:rsid w:val="00AB4779"/>
    <w:rsid w:val="00AB47A1"/>
    <w:rsid w:val="00AB6E33"/>
    <w:rsid w:val="00AC28BD"/>
    <w:rsid w:val="00B078C0"/>
    <w:rsid w:val="00B14749"/>
    <w:rsid w:val="00B16F9C"/>
    <w:rsid w:val="00B24265"/>
    <w:rsid w:val="00B31004"/>
    <w:rsid w:val="00B33987"/>
    <w:rsid w:val="00B34192"/>
    <w:rsid w:val="00B34854"/>
    <w:rsid w:val="00B42AC1"/>
    <w:rsid w:val="00B4771D"/>
    <w:rsid w:val="00B53C9F"/>
    <w:rsid w:val="00B542A0"/>
    <w:rsid w:val="00B54747"/>
    <w:rsid w:val="00B66136"/>
    <w:rsid w:val="00B70F66"/>
    <w:rsid w:val="00B7659F"/>
    <w:rsid w:val="00B87FD8"/>
    <w:rsid w:val="00BA6BE9"/>
    <w:rsid w:val="00BB1D77"/>
    <w:rsid w:val="00BB3BBA"/>
    <w:rsid w:val="00BB5870"/>
    <w:rsid w:val="00BC1E2B"/>
    <w:rsid w:val="00BD1798"/>
    <w:rsid w:val="00BD39E5"/>
    <w:rsid w:val="00BE51F2"/>
    <w:rsid w:val="00BF35FB"/>
    <w:rsid w:val="00BF3F30"/>
    <w:rsid w:val="00C03EF6"/>
    <w:rsid w:val="00C212B1"/>
    <w:rsid w:val="00C223F3"/>
    <w:rsid w:val="00C246B6"/>
    <w:rsid w:val="00C365D3"/>
    <w:rsid w:val="00C37F59"/>
    <w:rsid w:val="00C4416E"/>
    <w:rsid w:val="00C53095"/>
    <w:rsid w:val="00C635D4"/>
    <w:rsid w:val="00C70745"/>
    <w:rsid w:val="00C75636"/>
    <w:rsid w:val="00C91945"/>
    <w:rsid w:val="00C92B48"/>
    <w:rsid w:val="00C92EED"/>
    <w:rsid w:val="00C95BF8"/>
    <w:rsid w:val="00C97320"/>
    <w:rsid w:val="00CA3F8B"/>
    <w:rsid w:val="00CA5691"/>
    <w:rsid w:val="00CB24AE"/>
    <w:rsid w:val="00CC4040"/>
    <w:rsid w:val="00CC617E"/>
    <w:rsid w:val="00CE0D8C"/>
    <w:rsid w:val="00CE7D93"/>
    <w:rsid w:val="00CF2694"/>
    <w:rsid w:val="00CF7D8F"/>
    <w:rsid w:val="00D03DDA"/>
    <w:rsid w:val="00D04F48"/>
    <w:rsid w:val="00D07306"/>
    <w:rsid w:val="00D11882"/>
    <w:rsid w:val="00D20513"/>
    <w:rsid w:val="00D22BCF"/>
    <w:rsid w:val="00D249B6"/>
    <w:rsid w:val="00D276B4"/>
    <w:rsid w:val="00D42763"/>
    <w:rsid w:val="00D430E4"/>
    <w:rsid w:val="00D455FA"/>
    <w:rsid w:val="00D45606"/>
    <w:rsid w:val="00D55560"/>
    <w:rsid w:val="00D737E8"/>
    <w:rsid w:val="00D772BF"/>
    <w:rsid w:val="00D86EAD"/>
    <w:rsid w:val="00D90C5D"/>
    <w:rsid w:val="00DA7486"/>
    <w:rsid w:val="00DB34BC"/>
    <w:rsid w:val="00DC5249"/>
    <w:rsid w:val="00DD3EFC"/>
    <w:rsid w:val="00DD51A7"/>
    <w:rsid w:val="00DE35F2"/>
    <w:rsid w:val="00DE5E3F"/>
    <w:rsid w:val="00DF1CC0"/>
    <w:rsid w:val="00E01F8C"/>
    <w:rsid w:val="00E20EC8"/>
    <w:rsid w:val="00E240DC"/>
    <w:rsid w:val="00E30D18"/>
    <w:rsid w:val="00E327B0"/>
    <w:rsid w:val="00E33424"/>
    <w:rsid w:val="00E35EB5"/>
    <w:rsid w:val="00E7099C"/>
    <w:rsid w:val="00E95283"/>
    <w:rsid w:val="00E96126"/>
    <w:rsid w:val="00EB0268"/>
    <w:rsid w:val="00ED499C"/>
    <w:rsid w:val="00ED5A6C"/>
    <w:rsid w:val="00EE0E20"/>
    <w:rsid w:val="00EE1263"/>
    <w:rsid w:val="00EF156E"/>
    <w:rsid w:val="00EF22F4"/>
    <w:rsid w:val="00EF659F"/>
    <w:rsid w:val="00EF71C9"/>
    <w:rsid w:val="00F02476"/>
    <w:rsid w:val="00F11CE7"/>
    <w:rsid w:val="00F13F28"/>
    <w:rsid w:val="00F22C03"/>
    <w:rsid w:val="00F248E6"/>
    <w:rsid w:val="00F36808"/>
    <w:rsid w:val="00F57B29"/>
    <w:rsid w:val="00F60CA5"/>
    <w:rsid w:val="00F6250B"/>
    <w:rsid w:val="00F63056"/>
    <w:rsid w:val="00F67D34"/>
    <w:rsid w:val="00F72EEE"/>
    <w:rsid w:val="00FA65D7"/>
    <w:rsid w:val="00FA6C75"/>
    <w:rsid w:val="00FB01AB"/>
    <w:rsid w:val="00FB1212"/>
    <w:rsid w:val="00FB19C4"/>
    <w:rsid w:val="00FB3A75"/>
    <w:rsid w:val="00FC0154"/>
    <w:rsid w:val="00FC2E31"/>
    <w:rsid w:val="00FC4912"/>
    <w:rsid w:val="00FD164C"/>
    <w:rsid w:val="00FD18FF"/>
    <w:rsid w:val="00FF13EC"/>
    <w:rsid w:val="00FF26A6"/>
    <w:rsid w:val="00FF27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7E50E"/>
  <w15:chartTrackingRefBased/>
  <w15:docId w15:val="{CB4CAD51-C3D8-4811-9096-85183F17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8B6"/>
  </w:style>
  <w:style w:type="paragraph" w:styleId="Heading1">
    <w:name w:val="heading 1"/>
    <w:basedOn w:val="Normal"/>
    <w:next w:val="Normal"/>
    <w:link w:val="Heading1Char"/>
    <w:uiPriority w:val="9"/>
    <w:qFormat/>
    <w:rsid w:val="00501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1F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F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F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F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1F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F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F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F6C"/>
    <w:rPr>
      <w:rFonts w:eastAsiaTheme="majorEastAsia" w:cstheme="majorBidi"/>
      <w:color w:val="272727" w:themeColor="text1" w:themeTint="D8"/>
    </w:rPr>
  </w:style>
  <w:style w:type="paragraph" w:styleId="Title">
    <w:name w:val="Title"/>
    <w:basedOn w:val="Normal"/>
    <w:next w:val="Normal"/>
    <w:link w:val="TitleChar"/>
    <w:uiPriority w:val="10"/>
    <w:qFormat/>
    <w:rsid w:val="00501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F6C"/>
    <w:pPr>
      <w:spacing w:before="160"/>
      <w:jc w:val="center"/>
    </w:pPr>
    <w:rPr>
      <w:i/>
      <w:iCs/>
      <w:color w:val="404040" w:themeColor="text1" w:themeTint="BF"/>
    </w:rPr>
  </w:style>
  <w:style w:type="character" w:customStyle="1" w:styleId="QuoteChar">
    <w:name w:val="Quote Char"/>
    <w:basedOn w:val="DefaultParagraphFont"/>
    <w:link w:val="Quote"/>
    <w:uiPriority w:val="29"/>
    <w:rsid w:val="00501F6C"/>
    <w:rPr>
      <w:i/>
      <w:iCs/>
      <w:color w:val="404040" w:themeColor="text1" w:themeTint="BF"/>
    </w:rPr>
  </w:style>
  <w:style w:type="paragraph" w:styleId="ListParagraph">
    <w:name w:val="List Paragraph"/>
    <w:basedOn w:val="Normal"/>
    <w:uiPriority w:val="34"/>
    <w:qFormat/>
    <w:rsid w:val="00501F6C"/>
    <w:pPr>
      <w:ind w:left="720"/>
      <w:contextualSpacing/>
    </w:pPr>
  </w:style>
  <w:style w:type="character" w:styleId="IntenseEmphasis">
    <w:name w:val="Intense Emphasis"/>
    <w:basedOn w:val="DefaultParagraphFont"/>
    <w:uiPriority w:val="21"/>
    <w:qFormat/>
    <w:rsid w:val="00501F6C"/>
    <w:rPr>
      <w:i/>
      <w:iCs/>
      <w:color w:val="2F5496" w:themeColor="accent1" w:themeShade="BF"/>
    </w:rPr>
  </w:style>
  <w:style w:type="paragraph" w:styleId="IntenseQuote">
    <w:name w:val="Intense Quote"/>
    <w:basedOn w:val="Normal"/>
    <w:next w:val="Normal"/>
    <w:link w:val="IntenseQuoteChar"/>
    <w:uiPriority w:val="30"/>
    <w:qFormat/>
    <w:rsid w:val="00501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F6C"/>
    <w:rPr>
      <w:i/>
      <w:iCs/>
      <w:color w:val="2F5496" w:themeColor="accent1" w:themeShade="BF"/>
    </w:rPr>
  </w:style>
  <w:style w:type="character" w:styleId="IntenseReference">
    <w:name w:val="Intense Reference"/>
    <w:basedOn w:val="DefaultParagraphFont"/>
    <w:uiPriority w:val="32"/>
    <w:qFormat/>
    <w:rsid w:val="00501F6C"/>
    <w:rPr>
      <w:b/>
      <w:bCs/>
      <w:smallCaps/>
      <w:color w:val="2F5496" w:themeColor="accent1" w:themeShade="BF"/>
      <w:spacing w:val="5"/>
    </w:rPr>
  </w:style>
  <w:style w:type="paragraph" w:customStyle="1" w:styleId="Author">
    <w:name w:val="Author"/>
    <w:basedOn w:val="Normal"/>
    <w:rsid w:val="00501F6C"/>
    <w:pPr>
      <w:spacing w:after="0" w:line="280" w:lineRule="exact"/>
      <w:jc w:val="right"/>
    </w:pPr>
    <w:rPr>
      <w:rFonts w:ascii="Helvetica" w:eastAsia="Times New Roman" w:hAnsi="Helvetica" w:cs="Times New Roman"/>
      <w:b/>
      <w:kern w:val="0"/>
      <w:sz w:val="24"/>
      <w:szCs w:val="20"/>
      <w:lang w:val="en-US"/>
      <w14:ligatures w14:val="none"/>
    </w:rPr>
  </w:style>
  <w:style w:type="table" w:styleId="TableGrid">
    <w:name w:val="Table Grid"/>
    <w:basedOn w:val="TableNormal"/>
    <w:uiPriority w:val="39"/>
    <w:rsid w:val="00501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D39E5"/>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BD39E5"/>
    <w:rPr>
      <w:rFonts w:ascii="Arial MT" w:eastAsia="Arial MT" w:hAnsi="Arial MT" w:cs="Arial MT"/>
      <w:kern w:val="0"/>
      <w:sz w:val="20"/>
      <w:szCs w:val="20"/>
      <w:lang w:val="en-US"/>
      <w14:ligatures w14:val="none"/>
    </w:rPr>
  </w:style>
  <w:style w:type="paragraph" w:styleId="NormalWeb">
    <w:name w:val="Normal (Web)"/>
    <w:basedOn w:val="Normal"/>
    <w:uiPriority w:val="99"/>
    <w:semiHidden/>
    <w:unhideWhenUsed/>
    <w:rsid w:val="00636FF0"/>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Hyperlink">
    <w:name w:val="Hyperlink"/>
    <w:basedOn w:val="DefaultParagraphFont"/>
    <w:uiPriority w:val="99"/>
    <w:unhideWhenUsed/>
    <w:rsid w:val="00C97320"/>
    <w:rPr>
      <w:color w:val="0563C1" w:themeColor="hyperlink"/>
      <w:u w:val="single"/>
    </w:rPr>
  </w:style>
  <w:style w:type="character" w:customStyle="1" w:styleId="hps">
    <w:name w:val="hps"/>
    <w:basedOn w:val="DefaultParagraphFont"/>
    <w:rsid w:val="008C2A50"/>
  </w:style>
  <w:style w:type="paragraph" w:customStyle="1" w:styleId="Body">
    <w:name w:val="Body"/>
    <w:basedOn w:val="Normal"/>
    <w:rsid w:val="008C4B99"/>
    <w:pPr>
      <w:spacing w:after="240" w:line="240" w:lineRule="auto"/>
      <w:jc w:val="both"/>
    </w:pPr>
    <w:rPr>
      <w:rFonts w:ascii="Helvetica" w:eastAsia="Times New Roman" w:hAnsi="Helvetica" w:cs="Times New Roman"/>
      <w:kern w:val="0"/>
      <w:sz w:val="20"/>
      <w:szCs w:val="20"/>
      <w:lang w:val="en-US"/>
      <w14:ligatures w14:val="none"/>
    </w:rPr>
  </w:style>
  <w:style w:type="character" w:styleId="UnresolvedMention">
    <w:name w:val="Unresolved Mention"/>
    <w:basedOn w:val="DefaultParagraphFont"/>
    <w:uiPriority w:val="99"/>
    <w:semiHidden/>
    <w:unhideWhenUsed/>
    <w:rsid w:val="00C92B48"/>
    <w:rPr>
      <w:color w:val="605E5C"/>
      <w:shd w:val="clear" w:color="auto" w:fill="E1DFDD"/>
    </w:rPr>
  </w:style>
  <w:style w:type="paragraph" w:styleId="Header">
    <w:name w:val="header"/>
    <w:basedOn w:val="Normal"/>
    <w:link w:val="HeaderChar"/>
    <w:uiPriority w:val="99"/>
    <w:unhideWhenUsed/>
    <w:rsid w:val="00F67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D34"/>
  </w:style>
  <w:style w:type="paragraph" w:styleId="Footer">
    <w:name w:val="footer"/>
    <w:basedOn w:val="Normal"/>
    <w:link w:val="FooterChar"/>
    <w:uiPriority w:val="99"/>
    <w:unhideWhenUsed/>
    <w:rsid w:val="00F67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D34"/>
  </w:style>
  <w:style w:type="character" w:styleId="CommentReference">
    <w:name w:val="annotation reference"/>
    <w:basedOn w:val="DefaultParagraphFont"/>
    <w:uiPriority w:val="99"/>
    <w:semiHidden/>
    <w:unhideWhenUsed/>
    <w:rsid w:val="00932041"/>
    <w:rPr>
      <w:sz w:val="16"/>
      <w:szCs w:val="16"/>
    </w:rPr>
  </w:style>
  <w:style w:type="paragraph" w:styleId="CommentText">
    <w:name w:val="annotation text"/>
    <w:basedOn w:val="Normal"/>
    <w:link w:val="CommentTextChar"/>
    <w:uiPriority w:val="99"/>
    <w:semiHidden/>
    <w:unhideWhenUsed/>
    <w:rsid w:val="00932041"/>
    <w:pPr>
      <w:spacing w:line="240" w:lineRule="auto"/>
    </w:pPr>
    <w:rPr>
      <w:sz w:val="20"/>
      <w:szCs w:val="20"/>
    </w:rPr>
  </w:style>
  <w:style w:type="character" w:customStyle="1" w:styleId="CommentTextChar">
    <w:name w:val="Comment Text Char"/>
    <w:basedOn w:val="DefaultParagraphFont"/>
    <w:link w:val="CommentText"/>
    <w:uiPriority w:val="99"/>
    <w:semiHidden/>
    <w:rsid w:val="00932041"/>
    <w:rPr>
      <w:sz w:val="20"/>
      <w:szCs w:val="20"/>
    </w:rPr>
  </w:style>
  <w:style w:type="paragraph" w:styleId="CommentSubject">
    <w:name w:val="annotation subject"/>
    <w:basedOn w:val="CommentText"/>
    <w:next w:val="CommentText"/>
    <w:link w:val="CommentSubjectChar"/>
    <w:uiPriority w:val="99"/>
    <w:semiHidden/>
    <w:unhideWhenUsed/>
    <w:rsid w:val="00932041"/>
    <w:rPr>
      <w:b/>
      <w:bCs/>
    </w:rPr>
  </w:style>
  <w:style w:type="character" w:customStyle="1" w:styleId="CommentSubjectChar">
    <w:name w:val="Comment Subject Char"/>
    <w:basedOn w:val="CommentTextChar"/>
    <w:link w:val="CommentSubject"/>
    <w:uiPriority w:val="99"/>
    <w:semiHidden/>
    <w:rsid w:val="009320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2594">
      <w:bodyDiv w:val="1"/>
      <w:marLeft w:val="0"/>
      <w:marRight w:val="0"/>
      <w:marTop w:val="0"/>
      <w:marBottom w:val="0"/>
      <w:divBdr>
        <w:top w:val="none" w:sz="0" w:space="0" w:color="auto"/>
        <w:left w:val="none" w:sz="0" w:space="0" w:color="auto"/>
        <w:bottom w:val="none" w:sz="0" w:space="0" w:color="auto"/>
        <w:right w:val="none" w:sz="0" w:space="0" w:color="auto"/>
      </w:divBdr>
    </w:div>
    <w:div w:id="79646684">
      <w:bodyDiv w:val="1"/>
      <w:marLeft w:val="0"/>
      <w:marRight w:val="0"/>
      <w:marTop w:val="0"/>
      <w:marBottom w:val="0"/>
      <w:divBdr>
        <w:top w:val="none" w:sz="0" w:space="0" w:color="auto"/>
        <w:left w:val="none" w:sz="0" w:space="0" w:color="auto"/>
        <w:bottom w:val="none" w:sz="0" w:space="0" w:color="auto"/>
        <w:right w:val="none" w:sz="0" w:space="0" w:color="auto"/>
      </w:divBdr>
    </w:div>
    <w:div w:id="90664696">
      <w:bodyDiv w:val="1"/>
      <w:marLeft w:val="0"/>
      <w:marRight w:val="0"/>
      <w:marTop w:val="0"/>
      <w:marBottom w:val="0"/>
      <w:divBdr>
        <w:top w:val="none" w:sz="0" w:space="0" w:color="auto"/>
        <w:left w:val="none" w:sz="0" w:space="0" w:color="auto"/>
        <w:bottom w:val="none" w:sz="0" w:space="0" w:color="auto"/>
        <w:right w:val="none" w:sz="0" w:space="0" w:color="auto"/>
      </w:divBdr>
    </w:div>
    <w:div w:id="682560970">
      <w:bodyDiv w:val="1"/>
      <w:marLeft w:val="0"/>
      <w:marRight w:val="0"/>
      <w:marTop w:val="0"/>
      <w:marBottom w:val="0"/>
      <w:divBdr>
        <w:top w:val="none" w:sz="0" w:space="0" w:color="auto"/>
        <w:left w:val="none" w:sz="0" w:space="0" w:color="auto"/>
        <w:bottom w:val="none" w:sz="0" w:space="0" w:color="auto"/>
        <w:right w:val="none" w:sz="0" w:space="0" w:color="auto"/>
      </w:divBdr>
    </w:div>
    <w:div w:id="978147295">
      <w:bodyDiv w:val="1"/>
      <w:marLeft w:val="0"/>
      <w:marRight w:val="0"/>
      <w:marTop w:val="0"/>
      <w:marBottom w:val="0"/>
      <w:divBdr>
        <w:top w:val="none" w:sz="0" w:space="0" w:color="auto"/>
        <w:left w:val="none" w:sz="0" w:space="0" w:color="auto"/>
        <w:bottom w:val="none" w:sz="0" w:space="0" w:color="auto"/>
        <w:right w:val="none" w:sz="0" w:space="0" w:color="auto"/>
      </w:divBdr>
    </w:div>
    <w:div w:id="980692424">
      <w:bodyDiv w:val="1"/>
      <w:marLeft w:val="0"/>
      <w:marRight w:val="0"/>
      <w:marTop w:val="0"/>
      <w:marBottom w:val="0"/>
      <w:divBdr>
        <w:top w:val="none" w:sz="0" w:space="0" w:color="auto"/>
        <w:left w:val="none" w:sz="0" w:space="0" w:color="auto"/>
        <w:bottom w:val="none" w:sz="0" w:space="0" w:color="auto"/>
        <w:right w:val="none" w:sz="0" w:space="0" w:color="auto"/>
      </w:divBdr>
    </w:div>
    <w:div w:id="1059866651">
      <w:bodyDiv w:val="1"/>
      <w:marLeft w:val="0"/>
      <w:marRight w:val="0"/>
      <w:marTop w:val="0"/>
      <w:marBottom w:val="0"/>
      <w:divBdr>
        <w:top w:val="none" w:sz="0" w:space="0" w:color="auto"/>
        <w:left w:val="none" w:sz="0" w:space="0" w:color="auto"/>
        <w:bottom w:val="none" w:sz="0" w:space="0" w:color="auto"/>
        <w:right w:val="none" w:sz="0" w:space="0" w:color="auto"/>
      </w:divBdr>
    </w:div>
    <w:div w:id="1308244227">
      <w:bodyDiv w:val="1"/>
      <w:marLeft w:val="0"/>
      <w:marRight w:val="0"/>
      <w:marTop w:val="0"/>
      <w:marBottom w:val="0"/>
      <w:divBdr>
        <w:top w:val="none" w:sz="0" w:space="0" w:color="auto"/>
        <w:left w:val="none" w:sz="0" w:space="0" w:color="auto"/>
        <w:bottom w:val="none" w:sz="0" w:space="0" w:color="auto"/>
        <w:right w:val="none" w:sz="0" w:space="0" w:color="auto"/>
      </w:divBdr>
    </w:div>
    <w:div w:id="1318342740">
      <w:bodyDiv w:val="1"/>
      <w:marLeft w:val="0"/>
      <w:marRight w:val="0"/>
      <w:marTop w:val="0"/>
      <w:marBottom w:val="0"/>
      <w:divBdr>
        <w:top w:val="none" w:sz="0" w:space="0" w:color="auto"/>
        <w:left w:val="none" w:sz="0" w:space="0" w:color="auto"/>
        <w:bottom w:val="none" w:sz="0" w:space="0" w:color="auto"/>
        <w:right w:val="none" w:sz="0" w:space="0" w:color="auto"/>
      </w:divBdr>
    </w:div>
    <w:div w:id="1608735000">
      <w:bodyDiv w:val="1"/>
      <w:marLeft w:val="0"/>
      <w:marRight w:val="0"/>
      <w:marTop w:val="0"/>
      <w:marBottom w:val="0"/>
      <w:divBdr>
        <w:top w:val="none" w:sz="0" w:space="0" w:color="auto"/>
        <w:left w:val="none" w:sz="0" w:space="0" w:color="auto"/>
        <w:bottom w:val="none" w:sz="0" w:space="0" w:color="auto"/>
        <w:right w:val="none" w:sz="0" w:space="0" w:color="auto"/>
      </w:divBdr>
    </w:div>
    <w:div w:id="20242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hyperlink" Target="https://doi.org/10.1080/23308249.2014.918086" TargetMode="External"/><Relationship Id="rId39" Type="http://schemas.openxmlformats.org/officeDocument/2006/relationships/hyperlink" Target="https://doi.org/10.1007/BF00004720" TargetMode="Externa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hyperlink" Target="https://doi.org/10.3390/fishes5030020" TargetMode="External"/><Relationship Id="rId42" Type="http://schemas.openxmlformats.org/officeDocument/2006/relationships/hyperlink" Target="https://doi.org/10.1016/0016-6480(85)90080-2"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4194/GA887" TargetMode="External"/><Relationship Id="rId33" Type="http://schemas.openxmlformats.org/officeDocument/2006/relationships/hyperlink" Target="https://doi.org/10.1016/0044-8486(85)90203-0" TargetMode="External"/><Relationship Id="rId38" Type="http://schemas.openxmlformats.org/officeDocument/2006/relationships/hyperlink" Target="https://doi.org/10.1007/BF01881680" TargetMode="External"/><Relationship Id="rId46" Type="http://schemas.openxmlformats.org/officeDocument/2006/relationships/hyperlink" Target="https://afs-earlylifehistory.fisheries.org/past-conferences-and-resulting-publications/"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hyperlink" Target="https://doi.org/10.3389/fendo.2020.596585" TargetMode="External"/><Relationship Id="rId41" Type="http://schemas.openxmlformats.org/officeDocument/2006/relationships/hyperlink" Target="https://doi.org/10.1016/S1532-0456(01)00271-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3676/jism.v2i1.16" TargetMode="External"/><Relationship Id="rId32" Type="http://schemas.openxmlformats.org/officeDocument/2006/relationships/hyperlink" Target="https://doi.org/10.1016/0044-8486(85)90244-3" TargetMode="External"/><Relationship Id="rId37" Type="http://schemas.openxmlformats.org/officeDocument/2006/relationships/hyperlink" Target="https://doi.org/10.1210/endo-118-3-1114" TargetMode="External"/><Relationship Id="rId40" Type="http://schemas.openxmlformats.org/officeDocument/2006/relationships/hyperlink" Target="https://doi.org/10.1007/BF02274229" TargetMode="External"/><Relationship Id="rId45" Type="http://schemas.openxmlformats.org/officeDocument/2006/relationships/hyperlink" Target="https://doi.org/10.1677/joe.0.1460449"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hyperlink" Target="https://doi.org/10.1007/BF02274228" TargetMode="External"/><Relationship Id="rId36" Type="http://schemas.openxmlformats.org/officeDocument/2006/relationships/hyperlink" Target="https://omniakuatika.net/index.php/oa/article/view/109"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hyperlink" Target="https://doi.org/10.1016/0044-8486(83)90292-2" TargetMode="External"/><Relationship Id="rId44" Type="http://schemas.openxmlformats.org/officeDocument/2006/relationships/hyperlink" Target="https://doi.org/10.1677/joe.0.145025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hyperlink" Target="https://doi.org/10.1002/jez.1402480207" TargetMode="External"/><Relationship Id="rId30" Type="http://schemas.openxmlformats.org/officeDocument/2006/relationships/hyperlink" Target="https://doi.org/10.1139/z85-183" TargetMode="External"/><Relationship Id="rId35" Type="http://schemas.openxmlformats.org/officeDocument/2006/relationships/hyperlink" Target="https://sjst.psu.ac.th/" TargetMode="External"/><Relationship Id="rId43" Type="http://schemas.openxmlformats.org/officeDocument/2006/relationships/hyperlink" Target="https://journal.uir.ac.id/index.php/dinamikapertanian/article/view/865" TargetMode="External"/><Relationship Id="rId48" Type="http://schemas.microsoft.com/office/2011/relationships/people" Target="peop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A1784-CD07-46AF-ACAE-24E4E79AD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2538</TotalTime>
  <Pages>7</Pages>
  <Words>3443</Words>
  <Characters>19629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elva.yenizar@hotmail.com</dc:creator>
  <cp:keywords/>
  <dc:description/>
  <cp:lastModifiedBy>Atul Jain</cp:lastModifiedBy>
  <cp:revision>232</cp:revision>
  <cp:lastPrinted>2025-05-24T06:24:00Z</cp:lastPrinted>
  <dcterms:created xsi:type="dcterms:W3CDTF">2025-11-04T05:56:00Z</dcterms:created>
  <dcterms:modified xsi:type="dcterms:W3CDTF">2026-01-07T03:21:00Z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353ed998-19a6-4f4e-95db-94987de3fb03</vt:lpwstr>
  </property>
</Properties>
</file>