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6AD4A" w14:textId="77777777" w:rsidR="000C057D" w:rsidRDefault="000C057D">
      <w:pPr>
        <w:pStyle w:val="NormalWeb"/>
        <w:spacing w:beforeAutospacing="0" w:afterAutospacing="0"/>
        <w:jc w:val="right"/>
        <w:rPr>
          <w:rFonts w:ascii="Arial" w:hAnsi="Arial"/>
          <w:b/>
          <w:bCs/>
          <w:sz w:val="36"/>
          <w:szCs w:val="36"/>
        </w:rPr>
      </w:pPr>
      <w:r w:rsidRPr="000C057D">
        <w:rPr>
          <w:rFonts w:ascii="Arial" w:hAnsi="Arial"/>
          <w:b/>
          <w:bCs/>
          <w:sz w:val="36"/>
          <w:szCs w:val="36"/>
        </w:rPr>
        <w:t xml:space="preserve">Review Article </w:t>
      </w:r>
    </w:p>
    <w:p w14:paraId="07A3D0CB" w14:textId="77777777" w:rsidR="000C057D" w:rsidRDefault="000C057D">
      <w:pPr>
        <w:pStyle w:val="NormalWeb"/>
        <w:spacing w:beforeAutospacing="0" w:afterAutospacing="0"/>
        <w:jc w:val="right"/>
        <w:rPr>
          <w:rFonts w:ascii="Arial" w:hAnsi="Arial"/>
          <w:b/>
          <w:bCs/>
          <w:sz w:val="36"/>
          <w:szCs w:val="36"/>
        </w:rPr>
      </w:pPr>
    </w:p>
    <w:p w14:paraId="0F3725A1" w14:textId="0E44FCD3" w:rsidR="00633CEB" w:rsidRDefault="004C60E9">
      <w:pPr>
        <w:pStyle w:val="NormalWeb"/>
        <w:spacing w:beforeAutospacing="0" w:afterAutospacing="0"/>
        <w:jc w:val="right"/>
        <w:rPr>
          <w:rFonts w:ascii="Arial" w:hAnsi="Arial" w:cs="Arial"/>
          <w:b/>
          <w:bCs/>
          <w:sz w:val="36"/>
          <w:szCs w:val="36"/>
        </w:rPr>
      </w:pPr>
      <w:r>
        <w:rPr>
          <w:rFonts w:ascii="Arial" w:hAnsi="Arial"/>
          <w:b/>
          <w:bCs/>
          <w:sz w:val="36"/>
          <w:szCs w:val="36"/>
        </w:rPr>
        <w:t>Development of Water Extract-Based Bioherbicides for Sustainable Agricultural Systems: A Literature Review</w:t>
      </w:r>
    </w:p>
    <w:p w14:paraId="51AB3E12" w14:textId="77777777" w:rsidR="00633CEB" w:rsidRDefault="00633CEB">
      <w:pPr>
        <w:pStyle w:val="Author"/>
        <w:spacing w:line="240" w:lineRule="auto"/>
        <w:jc w:val="both"/>
        <w:rPr>
          <w:rFonts w:ascii="Arial" w:hAnsi="Arial" w:cs="Arial"/>
          <w:b w:val="0"/>
          <w:bCs/>
          <w:sz w:val="36"/>
        </w:rPr>
      </w:pPr>
    </w:p>
    <w:p w14:paraId="51B2265B" w14:textId="77777777" w:rsidR="00633CEB" w:rsidRDefault="00633CEB">
      <w:pPr>
        <w:pStyle w:val="Affiliation"/>
        <w:spacing w:after="0" w:line="240" w:lineRule="auto"/>
        <w:jc w:val="both"/>
        <w:rPr>
          <w:rFonts w:ascii="Arial" w:hAnsi="Arial" w:cs="Arial"/>
        </w:rPr>
      </w:pPr>
    </w:p>
    <w:p w14:paraId="3A764607" w14:textId="77777777" w:rsidR="00633CEB" w:rsidRDefault="004C60E9">
      <w:pPr>
        <w:pStyle w:val="Copyright"/>
        <w:spacing w:after="0" w:line="240" w:lineRule="auto"/>
        <w:jc w:val="both"/>
        <w:rPr>
          <w:rFonts w:ascii="Arial" w:hAnsi="Arial" w:cs="Arial"/>
        </w:rPr>
        <w:sectPr w:rsidR="00633CEB" w:rsidSect="00C14E7C">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427CBACB" wp14:editId="4616D111">
                <wp:extent cx="5303520" cy="0"/>
                <wp:effectExtent l="0" t="9525" r="11430" b="952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4858BA2"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" strokeweight="1.5pt">
                <w10:anchorlock/>
              </v:shape>
            </w:pict>
          </mc:Fallback>
        </mc:AlternateContent>
      </w:r>
      <w:r>
        <w:rPr>
          <w:rFonts w:ascii="Arial" w:hAnsi="Arial" w:cs="Arial"/>
        </w:rPr>
        <w:t>.</w:t>
      </w:r>
    </w:p>
    <w:p w14:paraId="666953A1" w14:textId="77777777" w:rsidR="00633CEB" w:rsidRDefault="004C60E9">
      <w:pPr>
        <w:pStyle w:val="AbstHead"/>
        <w:spacing w:after="0"/>
        <w:jc w:val="both"/>
        <w:rPr>
          <w:rFonts w:ascii="Arial" w:hAnsi="Arial" w:cs="Arial"/>
        </w:rPr>
      </w:pPr>
      <w:r>
        <w:rPr>
          <w:rFonts w:ascii="Arial" w:hAnsi="Arial" w:cs="Arial"/>
        </w:rPr>
        <w:t>ABSTRACT</w:t>
      </w:r>
    </w:p>
    <w:p w14:paraId="71BA4690" w14:textId="77777777" w:rsidR="00633CEB" w:rsidRDefault="00633CEB">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633CEB" w14:paraId="484016E3" w14:textId="77777777">
        <w:tc>
          <w:tcPr>
            <w:tcW w:w="9576" w:type="dxa"/>
            <w:shd w:val="clear" w:color="auto" w:fill="F2F2F2"/>
          </w:tcPr>
          <w:p w14:paraId="123204EA" w14:textId="77777777" w:rsidR="00633CEB" w:rsidRDefault="004C60E9">
            <w:pPr>
              <w:pStyle w:val="NormalWeb"/>
              <w:spacing w:beforeAutospacing="0" w:afterAutospacing="0"/>
              <w:jc w:val="both"/>
              <w:rPr>
                <w:rFonts w:ascii="Arial" w:hAnsi="Arial"/>
                <w:sz w:val="20"/>
                <w:szCs w:val="20"/>
              </w:rPr>
            </w:pPr>
            <w:r>
              <w:rPr>
                <w:rFonts w:ascii="Arial" w:hAnsi="Arial"/>
                <w:sz w:val="20"/>
                <w:szCs w:val="20"/>
              </w:rPr>
              <w:t xml:space="preserve">The use of synthetic herbicides in modern agricultural systems has caused various problems, such as soil and water pollution, decreased biodiversity, and increased weed resistance. This has prompted researchers to develop more environmentally friendly and sustainable alternatives for weed control. One such alternative is the use of bioherbicides derived from plant and weed extracts. This review article aims to comprehensively assess the potential of weed extract bioherbicides, with an emphasis on potential weeds, bioactive compound content, allelopathy mechanisms, and their implications for the sustainability of agricultural systems. The method used is a literature study of relevant national and international articles from the last ten years. </w:t>
            </w:r>
            <w:commentRangeStart w:id="0"/>
            <w:r>
              <w:rPr>
                <w:rFonts w:ascii="Arial" w:hAnsi="Arial"/>
                <w:sz w:val="20"/>
                <w:szCs w:val="20"/>
              </w:rPr>
              <w:t xml:space="preserve">The study found that various weed species can be controlled with bioherbicides, including </w:t>
            </w:r>
            <w:r>
              <w:rPr>
                <w:rFonts w:ascii="Arial" w:hAnsi="Arial"/>
                <w:i/>
                <w:sz w:val="20"/>
                <w:szCs w:val="20"/>
              </w:rPr>
              <w:t xml:space="preserve">Parthenium </w:t>
            </w:r>
            <w:proofErr w:type="spellStart"/>
            <w:r>
              <w:rPr>
                <w:rFonts w:ascii="Arial" w:hAnsi="Arial"/>
                <w:i/>
                <w:sz w:val="20"/>
                <w:szCs w:val="20"/>
              </w:rPr>
              <w:t>hysterophorus</w:t>
            </w:r>
            <w:proofErr w:type="spellEnd"/>
            <w:r>
              <w:rPr>
                <w:rFonts w:ascii="Arial" w:hAnsi="Arial"/>
                <w:sz w:val="20"/>
                <w:szCs w:val="20"/>
              </w:rPr>
              <w:t xml:space="preserve">, </w:t>
            </w:r>
            <w:proofErr w:type="spellStart"/>
            <w:r>
              <w:rPr>
                <w:rFonts w:ascii="Arial" w:hAnsi="Arial"/>
                <w:i/>
                <w:sz w:val="20"/>
                <w:szCs w:val="20"/>
              </w:rPr>
              <w:t>Cyperus</w:t>
            </w:r>
            <w:proofErr w:type="spellEnd"/>
            <w:r>
              <w:rPr>
                <w:rFonts w:ascii="Arial" w:hAnsi="Arial"/>
                <w:i/>
                <w:sz w:val="20"/>
                <w:szCs w:val="20"/>
              </w:rPr>
              <w:t xml:space="preserve"> </w:t>
            </w:r>
            <w:proofErr w:type="spellStart"/>
            <w:r>
              <w:rPr>
                <w:rFonts w:ascii="Arial" w:hAnsi="Arial"/>
                <w:i/>
                <w:sz w:val="20"/>
                <w:szCs w:val="20"/>
              </w:rPr>
              <w:t>rotundus</w:t>
            </w:r>
            <w:proofErr w:type="spellEnd"/>
            <w:r>
              <w:rPr>
                <w:rFonts w:ascii="Arial" w:hAnsi="Arial"/>
                <w:sz w:val="20"/>
                <w:szCs w:val="20"/>
              </w:rPr>
              <w:t xml:space="preserve">, </w:t>
            </w:r>
            <w:proofErr w:type="spellStart"/>
            <w:r>
              <w:rPr>
                <w:rFonts w:ascii="Arial" w:hAnsi="Arial"/>
                <w:i/>
                <w:sz w:val="20"/>
                <w:szCs w:val="20"/>
              </w:rPr>
              <w:t>Imperata</w:t>
            </w:r>
            <w:proofErr w:type="spellEnd"/>
            <w:r>
              <w:rPr>
                <w:rFonts w:ascii="Arial" w:hAnsi="Arial"/>
                <w:i/>
                <w:sz w:val="20"/>
                <w:szCs w:val="20"/>
              </w:rPr>
              <w:t xml:space="preserve"> cylindrica</w:t>
            </w:r>
            <w:r>
              <w:rPr>
                <w:rFonts w:ascii="Arial" w:hAnsi="Arial"/>
                <w:sz w:val="20"/>
                <w:szCs w:val="20"/>
              </w:rPr>
              <w:t xml:space="preserve">, </w:t>
            </w:r>
            <w:r>
              <w:rPr>
                <w:rFonts w:ascii="Arial" w:hAnsi="Arial"/>
                <w:i/>
                <w:sz w:val="20"/>
                <w:szCs w:val="20"/>
              </w:rPr>
              <w:t>Mikania micrantha</w:t>
            </w:r>
            <w:r>
              <w:rPr>
                <w:rFonts w:ascii="Arial" w:hAnsi="Arial"/>
                <w:sz w:val="20"/>
                <w:szCs w:val="20"/>
              </w:rPr>
              <w:t xml:space="preserve">, and </w:t>
            </w:r>
            <w:r>
              <w:rPr>
                <w:rFonts w:ascii="Arial" w:hAnsi="Arial"/>
                <w:i/>
                <w:sz w:val="20"/>
                <w:szCs w:val="20"/>
              </w:rPr>
              <w:t>Borreria alata</w:t>
            </w:r>
            <w:commentRangeEnd w:id="0"/>
            <w:r w:rsidR="00151B25">
              <w:rPr>
                <w:rStyle w:val="CommentReference"/>
                <w:rFonts w:eastAsia="Times New Roman"/>
                <w:lang w:val="nb-NO" w:eastAsia="nb-NO"/>
              </w:rPr>
              <w:commentReference w:id="0"/>
            </w:r>
            <w:r>
              <w:rPr>
                <w:rFonts w:ascii="Arial" w:hAnsi="Arial"/>
                <w:sz w:val="20"/>
                <w:szCs w:val="20"/>
              </w:rPr>
              <w:t xml:space="preserve">. These weeds contain allelopathic compounds, such as phenols, flavonoids, alkaloids, terpenoids, and tannins, that can inhibit the germination and growth of other weeds by disrupting their physiological and biochemical processes. Although water-based bioherbicides face challenges in the field related to effectiveness, formulation stability, and standardization, they are more environmentally friendly, more economical, and more in line with the principles of green chemistry. Overall, the potential for developing bioherbicides using weed extracts to reduce dependence on synthetic herbicides, improve soil health, and support sustainable agriculture is considerable. However, more in-depth research is still needed, particularly regarding formulation optimization and implementation on a field </w:t>
            </w:r>
            <w:proofErr w:type="gramStart"/>
            <w:r>
              <w:rPr>
                <w:rFonts w:ascii="Arial" w:hAnsi="Arial"/>
                <w:sz w:val="20"/>
                <w:szCs w:val="20"/>
              </w:rPr>
              <w:t>scale..</w:t>
            </w:r>
            <w:proofErr w:type="gramEnd"/>
          </w:p>
          <w:p w14:paraId="23F34F90" w14:textId="77777777" w:rsidR="00633CEB" w:rsidRDefault="00633CEB">
            <w:pPr>
              <w:pStyle w:val="Body"/>
              <w:spacing w:after="0"/>
              <w:rPr>
                <w:rFonts w:ascii="Arial" w:eastAsia="Calibri" w:hAnsi="Arial" w:cs="Arial"/>
                <w:szCs w:val="22"/>
              </w:rPr>
            </w:pPr>
          </w:p>
        </w:tc>
      </w:tr>
    </w:tbl>
    <w:p w14:paraId="5DBAD88E" w14:textId="77777777" w:rsidR="00633CEB" w:rsidRDefault="00633CEB">
      <w:pPr>
        <w:pStyle w:val="Body"/>
        <w:spacing w:after="0"/>
        <w:rPr>
          <w:rFonts w:ascii="Arial" w:hAnsi="Arial" w:cs="Arial"/>
          <w:i/>
        </w:rPr>
      </w:pPr>
    </w:p>
    <w:p w14:paraId="6412B479" w14:textId="77777777" w:rsidR="00633CEB" w:rsidRDefault="004C60E9">
      <w:pPr>
        <w:pStyle w:val="NormalWeb"/>
        <w:spacing w:beforeAutospacing="0" w:afterAutospacing="0"/>
        <w:rPr>
          <w:rFonts w:ascii="Arial" w:hAnsi="Arial" w:cs="Arial"/>
          <w:i/>
          <w:iCs/>
          <w:sz w:val="20"/>
          <w:szCs w:val="20"/>
        </w:rPr>
      </w:pPr>
      <w:r>
        <w:rPr>
          <w:rFonts w:ascii="Arial" w:hAnsi="Arial" w:cs="Arial"/>
          <w:i/>
          <w:sz w:val="20"/>
          <w:szCs w:val="20"/>
        </w:rPr>
        <w:t>Keywords: Bioherbicides, weed extracts, allelopathy, sustainable agriculture, weed control</w:t>
      </w:r>
    </w:p>
    <w:p w14:paraId="3CA26D95" w14:textId="77777777" w:rsidR="00633CEB" w:rsidRDefault="00633CEB">
      <w:pPr>
        <w:pStyle w:val="Body"/>
        <w:spacing w:after="0"/>
        <w:rPr>
          <w:rFonts w:ascii="Arial" w:hAnsi="Arial" w:cs="Arial"/>
          <w:i/>
        </w:rPr>
      </w:pPr>
    </w:p>
    <w:p w14:paraId="3E52CEFC" w14:textId="77777777" w:rsidR="00633CEB" w:rsidRDefault="004C60E9">
      <w:pPr>
        <w:pStyle w:val="AbstHead"/>
        <w:spacing w:after="0"/>
        <w:jc w:val="both"/>
        <w:rPr>
          <w:rFonts w:ascii="Arial" w:hAnsi="Arial" w:cs="Arial"/>
        </w:rPr>
      </w:pPr>
      <w:r>
        <w:rPr>
          <w:rFonts w:ascii="Arial" w:hAnsi="Arial" w:cs="Arial"/>
        </w:rPr>
        <w:t>1. INTRODUCTION</w:t>
      </w:r>
    </w:p>
    <w:p w14:paraId="09DB7BEE" w14:textId="77777777" w:rsidR="00633CEB" w:rsidRDefault="004C60E9">
      <w:pPr>
        <w:pStyle w:val="NormalWeb"/>
        <w:spacing w:beforeAutospacing="0" w:afterAutospacing="0"/>
        <w:rPr>
          <w:rFonts w:ascii="Arial" w:hAnsi="Arial" w:cs="Arial"/>
          <w:b/>
          <w:bCs/>
          <w:sz w:val="22"/>
          <w:szCs w:val="22"/>
        </w:rPr>
      </w:pPr>
      <w:r>
        <w:rPr>
          <w:rFonts w:ascii="Arial" w:hAnsi="Arial" w:cs="Arial"/>
          <w:b/>
          <w:bCs/>
          <w:sz w:val="22"/>
          <w:szCs w:val="22"/>
        </w:rPr>
        <w:t>1.1. The problem of synthetic herbicide use</w:t>
      </w:r>
    </w:p>
    <w:p w14:paraId="442E1FE5" w14:textId="77777777" w:rsidR="00633CEB" w:rsidRDefault="004C60E9">
      <w:pPr>
        <w:pStyle w:val="NormalWeb"/>
        <w:spacing w:beforeAutospacing="0" w:afterAutospacing="0"/>
        <w:jc w:val="both"/>
        <w:rPr>
          <w:rFonts w:ascii="Arial" w:hAnsi="Arial"/>
          <w:sz w:val="20"/>
          <w:szCs w:val="20"/>
        </w:rPr>
      </w:pPr>
      <w:r>
        <w:rPr>
          <w:rFonts w:ascii="Arial" w:hAnsi="Arial"/>
          <w:sz w:val="20"/>
          <w:szCs w:val="20"/>
        </w:rPr>
        <w:t>The use of synthetic herbicides in modern agriculture has significant adverse impacts, namely environmental pollution, weed resistance, threats to human health, and a decline in the quality of agricultural products (</w:t>
      </w:r>
      <w:proofErr w:type="spellStart"/>
      <w:r>
        <w:rPr>
          <w:rFonts w:ascii="Arial" w:hAnsi="Arial"/>
          <w:sz w:val="20"/>
          <w:szCs w:val="20"/>
        </w:rPr>
        <w:t>Mudaningrat</w:t>
      </w:r>
      <w:proofErr w:type="spellEnd"/>
      <w:r>
        <w:rPr>
          <w:rFonts w:ascii="Arial" w:hAnsi="Arial"/>
          <w:sz w:val="20"/>
          <w:szCs w:val="20"/>
        </w:rPr>
        <w:t xml:space="preserve"> et al., 2023). This situation has prompted the search for more environmentally friendly and sustainable methods of weed control, one of which is through bioherbicides, which allow for a reduction in the amount of agrochemical compounds used and support sustainable agriculture (Zhang et al., 2025; Chaniago et al., 2023).</w:t>
      </w:r>
    </w:p>
    <w:p w14:paraId="388A6424" w14:textId="77777777" w:rsidR="00633CEB" w:rsidRDefault="004C60E9">
      <w:pPr>
        <w:pStyle w:val="NormalWeb"/>
        <w:spacing w:beforeAutospacing="0" w:afterAutospacing="0"/>
        <w:jc w:val="both"/>
        <w:rPr>
          <w:rFonts w:ascii="Arial" w:hAnsi="Arial"/>
          <w:sz w:val="20"/>
          <w:szCs w:val="20"/>
        </w:rPr>
      </w:pPr>
      <w:r>
        <w:rPr>
          <w:rFonts w:ascii="Arial" w:hAnsi="Arial"/>
          <w:sz w:val="20"/>
          <w:szCs w:val="20"/>
        </w:rPr>
        <w:t xml:space="preserve">In large-scale conventional agricultural systems, the extensive use of chemical inputs contributes to declines in biodiversity, pollution of water resources, and soil degradation. </w:t>
      </w:r>
      <w:commentRangeStart w:id="1"/>
      <w:r>
        <w:rPr>
          <w:rFonts w:ascii="Arial" w:hAnsi="Arial"/>
          <w:sz w:val="20"/>
          <w:szCs w:val="20"/>
        </w:rPr>
        <w:t xml:space="preserve">Losses from poorly managed cropland can reach 10-12%; these losses are caused by suboptimal weed management. </w:t>
      </w:r>
      <w:commentRangeEnd w:id="1"/>
      <w:r w:rsidR="00115A6B">
        <w:rPr>
          <w:rStyle w:val="CommentReference"/>
          <w:rFonts w:eastAsia="Times New Roman"/>
          <w:lang w:val="nb-NO" w:eastAsia="nb-NO"/>
        </w:rPr>
        <w:commentReference w:id="1"/>
      </w:r>
      <w:r>
        <w:rPr>
          <w:rFonts w:ascii="Arial" w:hAnsi="Arial"/>
          <w:sz w:val="20"/>
          <w:szCs w:val="20"/>
        </w:rPr>
        <w:t xml:space="preserve">On the other hand, repeated and continuous use of herbicides on a plot of land encourages habitat destruction and weed resistance. This leads to a decrease </w:t>
      </w:r>
      <w:r>
        <w:rPr>
          <w:rFonts w:ascii="Arial" w:hAnsi="Arial"/>
          <w:sz w:val="20"/>
          <w:szCs w:val="20"/>
        </w:rPr>
        <w:lastRenderedPageBreak/>
        <w:t>in weed control effectiveness with an increase in land requirements, and demands for a variety of herbicide use (</w:t>
      </w:r>
      <w:proofErr w:type="spellStart"/>
      <w:r>
        <w:rPr>
          <w:rFonts w:ascii="Arial" w:hAnsi="Arial"/>
          <w:sz w:val="20"/>
          <w:szCs w:val="20"/>
        </w:rPr>
        <w:t>Alridiwirsah</w:t>
      </w:r>
      <w:proofErr w:type="spellEnd"/>
      <w:r>
        <w:rPr>
          <w:rFonts w:ascii="Arial" w:hAnsi="Arial"/>
          <w:sz w:val="20"/>
          <w:szCs w:val="20"/>
        </w:rPr>
        <w:t xml:space="preserve"> et al., 2020; Rohim et al., 2022).</w:t>
      </w:r>
    </w:p>
    <w:p w14:paraId="30308BA7" w14:textId="77777777" w:rsidR="00633CEB" w:rsidRDefault="004C60E9">
      <w:pPr>
        <w:pStyle w:val="NormalWeb"/>
        <w:spacing w:beforeAutospacing="0" w:afterAutospacing="0"/>
        <w:jc w:val="both"/>
        <w:rPr>
          <w:rFonts w:ascii="Arial" w:hAnsi="Arial"/>
          <w:sz w:val="20"/>
          <w:szCs w:val="20"/>
        </w:rPr>
      </w:pPr>
      <w:r>
        <w:rPr>
          <w:rFonts w:ascii="Arial" w:hAnsi="Arial"/>
          <w:sz w:val="20"/>
          <w:szCs w:val="20"/>
        </w:rPr>
        <w:t>Although the use of synthetic herbicides provides short-term efficiency and cost benefits, the long-term negative impacts create an urgency to find safer alternatives, such as plant-based bioherbicides. Bioherbicides are more consistent with the principles of sustainable agriculture, which aim to increase food production without harming the environment. Bioherbicides use natural bioactive compounds or microorganisms with a more specific and environmentally friendly mode of action (</w:t>
      </w:r>
      <w:proofErr w:type="spellStart"/>
      <w:r>
        <w:rPr>
          <w:rFonts w:ascii="Arial" w:hAnsi="Arial"/>
          <w:sz w:val="20"/>
          <w:szCs w:val="20"/>
        </w:rPr>
        <w:t>Sahrir</w:t>
      </w:r>
      <w:proofErr w:type="spellEnd"/>
      <w:r>
        <w:rPr>
          <w:rFonts w:ascii="Arial" w:hAnsi="Arial"/>
          <w:sz w:val="20"/>
          <w:szCs w:val="20"/>
        </w:rPr>
        <w:t xml:space="preserve"> et al., 2022; </w:t>
      </w:r>
      <w:proofErr w:type="spellStart"/>
      <w:r>
        <w:rPr>
          <w:rFonts w:ascii="Arial" w:hAnsi="Arial"/>
          <w:sz w:val="20"/>
          <w:szCs w:val="20"/>
        </w:rPr>
        <w:t>Irnawati</w:t>
      </w:r>
      <w:proofErr w:type="spellEnd"/>
      <w:r>
        <w:rPr>
          <w:rFonts w:ascii="Arial" w:hAnsi="Arial"/>
          <w:sz w:val="20"/>
          <w:szCs w:val="20"/>
        </w:rPr>
        <w:t xml:space="preserve"> et al., 2025).</w:t>
      </w:r>
    </w:p>
    <w:p w14:paraId="516A3F96" w14:textId="77777777" w:rsidR="00633CEB" w:rsidRDefault="00633CEB">
      <w:pPr>
        <w:pStyle w:val="NormalWeb"/>
        <w:spacing w:beforeAutospacing="0" w:afterAutospacing="0"/>
        <w:jc w:val="both"/>
        <w:rPr>
          <w:rFonts w:ascii="Arial" w:hAnsi="Arial" w:cs="Arial"/>
          <w:sz w:val="20"/>
          <w:szCs w:val="20"/>
        </w:rPr>
      </w:pPr>
    </w:p>
    <w:p w14:paraId="741646FD" w14:textId="77777777" w:rsidR="00633CEB" w:rsidRDefault="004C60E9">
      <w:pPr>
        <w:pStyle w:val="NormalWeb"/>
        <w:spacing w:beforeAutospacing="0" w:afterAutospacing="0"/>
        <w:rPr>
          <w:rFonts w:ascii="Arial" w:hAnsi="Arial" w:cs="Arial"/>
          <w:b/>
          <w:bCs/>
          <w:sz w:val="22"/>
          <w:szCs w:val="22"/>
        </w:rPr>
      </w:pPr>
      <w:r>
        <w:rPr>
          <w:rFonts w:ascii="Arial" w:hAnsi="Arial" w:cs="Arial"/>
          <w:b/>
          <w:bCs/>
          <w:sz w:val="22"/>
          <w:szCs w:val="22"/>
        </w:rPr>
        <w:t>1.2. The potential of weeds as a source of allelopathic compounds</w:t>
      </w:r>
    </w:p>
    <w:p w14:paraId="15AE4E86" w14:textId="77777777" w:rsidR="00633CEB" w:rsidRDefault="004C60E9">
      <w:pPr>
        <w:pStyle w:val="NormalWeb"/>
        <w:spacing w:beforeAutospacing="0" w:afterAutospacing="0"/>
        <w:jc w:val="both"/>
        <w:rPr>
          <w:rFonts w:ascii="Arial" w:hAnsi="Arial"/>
          <w:sz w:val="20"/>
          <w:szCs w:val="20"/>
        </w:rPr>
      </w:pPr>
      <w:r>
        <w:rPr>
          <w:rFonts w:ascii="Arial" w:hAnsi="Arial"/>
          <w:sz w:val="20"/>
          <w:szCs w:val="20"/>
        </w:rPr>
        <w:t>Using plant extracts as bioherbicides is an alternative weed-control method that can inhibit the growth of particular weed species without harming cultivated plants, in line with the principles of sustainable agriculture (GH et al., 2025). Compared to synthetic herbicides that work quickly but risk creating weed resistance, more aggressive weed reproduction, and a decline in biodiversity due to inefficient application, bioherbicides are more sustainable (</w:t>
      </w:r>
      <w:proofErr w:type="spellStart"/>
      <w:r>
        <w:rPr>
          <w:rFonts w:ascii="Arial" w:hAnsi="Arial"/>
          <w:sz w:val="20"/>
          <w:szCs w:val="20"/>
        </w:rPr>
        <w:t>Pambudi</w:t>
      </w:r>
      <w:proofErr w:type="spellEnd"/>
      <w:r>
        <w:rPr>
          <w:rFonts w:ascii="Arial" w:hAnsi="Arial"/>
          <w:sz w:val="20"/>
          <w:szCs w:val="20"/>
        </w:rPr>
        <w:t xml:space="preserve"> et al., 2019).</w:t>
      </w:r>
    </w:p>
    <w:p w14:paraId="5B0732D6" w14:textId="77777777" w:rsidR="00633CEB" w:rsidRDefault="004C60E9">
      <w:pPr>
        <w:pStyle w:val="NormalWeb"/>
        <w:spacing w:beforeAutospacing="0" w:afterAutospacing="0"/>
        <w:jc w:val="both"/>
        <w:rPr>
          <w:rFonts w:ascii="Arial" w:hAnsi="Arial" w:cs="Arial"/>
          <w:sz w:val="20"/>
          <w:szCs w:val="20"/>
        </w:rPr>
      </w:pPr>
      <w:r>
        <w:rPr>
          <w:rFonts w:ascii="Arial" w:hAnsi="Arial"/>
          <w:sz w:val="20"/>
          <w:szCs w:val="20"/>
        </w:rPr>
        <w:t xml:space="preserve">Some weeds are known to have allelopathic properties, producing allelochemicals and secondary metabolites that inhibit the growth of other plants. </w:t>
      </w:r>
      <w:r>
        <w:rPr>
          <w:rFonts w:ascii="Arial" w:hAnsi="Arial"/>
          <w:i/>
          <w:sz w:val="20"/>
          <w:szCs w:val="20"/>
        </w:rPr>
        <w:t xml:space="preserve">Parthenium </w:t>
      </w:r>
      <w:proofErr w:type="spellStart"/>
      <w:r>
        <w:rPr>
          <w:rFonts w:ascii="Arial" w:hAnsi="Arial"/>
          <w:i/>
          <w:sz w:val="20"/>
          <w:szCs w:val="20"/>
        </w:rPr>
        <w:t>hysterophorus</w:t>
      </w:r>
      <w:proofErr w:type="spellEnd"/>
      <w:r>
        <w:rPr>
          <w:rFonts w:ascii="Arial" w:hAnsi="Arial"/>
          <w:sz w:val="20"/>
          <w:szCs w:val="20"/>
        </w:rPr>
        <w:t xml:space="preserve"> leaf extract inhibits the germination of weeds and vegetable plants due to its phenolic compound content (</w:t>
      </w:r>
      <w:proofErr w:type="spellStart"/>
      <w:r>
        <w:rPr>
          <w:rFonts w:ascii="Arial" w:hAnsi="Arial"/>
          <w:sz w:val="20"/>
          <w:szCs w:val="20"/>
        </w:rPr>
        <w:t>Indarwati</w:t>
      </w:r>
      <w:proofErr w:type="spellEnd"/>
      <w:r>
        <w:rPr>
          <w:rFonts w:ascii="Arial" w:hAnsi="Arial"/>
          <w:sz w:val="20"/>
          <w:szCs w:val="20"/>
        </w:rPr>
        <w:t xml:space="preserve"> et al., 2023). In addition, ecological enzymes from kitchen waste fermentation, although with a relatively slow response, can control weeds and improve soil fertility (Aryesam, 2024). Other weeds, such as </w:t>
      </w:r>
      <w:proofErr w:type="spellStart"/>
      <w:r>
        <w:rPr>
          <w:rFonts w:ascii="Arial" w:hAnsi="Arial"/>
          <w:i/>
          <w:sz w:val="20"/>
          <w:szCs w:val="20"/>
        </w:rPr>
        <w:t>Cyperus</w:t>
      </w:r>
      <w:proofErr w:type="spellEnd"/>
      <w:r>
        <w:rPr>
          <w:rFonts w:ascii="Arial" w:hAnsi="Arial"/>
          <w:i/>
          <w:sz w:val="20"/>
          <w:szCs w:val="20"/>
        </w:rPr>
        <w:t xml:space="preserve"> </w:t>
      </w:r>
      <w:proofErr w:type="spellStart"/>
      <w:r>
        <w:rPr>
          <w:rFonts w:ascii="Arial" w:hAnsi="Arial"/>
          <w:i/>
          <w:sz w:val="20"/>
          <w:szCs w:val="20"/>
        </w:rPr>
        <w:t>rotundus</w:t>
      </w:r>
      <w:proofErr w:type="spellEnd"/>
      <w:r>
        <w:rPr>
          <w:rFonts w:ascii="Arial" w:hAnsi="Arial"/>
          <w:sz w:val="20"/>
          <w:szCs w:val="20"/>
        </w:rPr>
        <w:t xml:space="preserve">, </w:t>
      </w:r>
      <w:proofErr w:type="spellStart"/>
      <w:r>
        <w:rPr>
          <w:rFonts w:ascii="Arial" w:hAnsi="Arial"/>
          <w:i/>
          <w:sz w:val="20"/>
          <w:szCs w:val="20"/>
        </w:rPr>
        <w:t>Imperata</w:t>
      </w:r>
      <w:proofErr w:type="spellEnd"/>
      <w:r>
        <w:rPr>
          <w:rFonts w:ascii="Arial" w:hAnsi="Arial"/>
          <w:i/>
          <w:sz w:val="20"/>
          <w:szCs w:val="20"/>
        </w:rPr>
        <w:t xml:space="preserve"> </w:t>
      </w:r>
      <w:proofErr w:type="spellStart"/>
      <w:r>
        <w:rPr>
          <w:rFonts w:ascii="Arial" w:hAnsi="Arial"/>
          <w:i/>
          <w:sz w:val="20"/>
          <w:szCs w:val="20"/>
        </w:rPr>
        <w:t>cylindrica</w:t>
      </w:r>
      <w:proofErr w:type="spellEnd"/>
      <w:r>
        <w:rPr>
          <w:rFonts w:ascii="Arial" w:hAnsi="Arial"/>
          <w:sz w:val="20"/>
          <w:szCs w:val="20"/>
        </w:rPr>
        <w:t xml:space="preserve">, and Emilia </w:t>
      </w:r>
      <w:proofErr w:type="spellStart"/>
      <w:r>
        <w:rPr>
          <w:rFonts w:ascii="Arial" w:hAnsi="Arial"/>
          <w:sz w:val="20"/>
          <w:szCs w:val="20"/>
        </w:rPr>
        <w:t>sonchifolia</w:t>
      </w:r>
      <w:proofErr w:type="spellEnd"/>
      <w:r>
        <w:rPr>
          <w:rFonts w:ascii="Arial" w:hAnsi="Arial"/>
          <w:sz w:val="20"/>
          <w:szCs w:val="20"/>
        </w:rPr>
        <w:t xml:space="preserve">, also contain phenols, flavonoids, terpenoids, alkaloids, and tannins that inhibit the growth of competing weeds (Amrullah et al., 2024; </w:t>
      </w:r>
      <w:proofErr w:type="spellStart"/>
      <w:r>
        <w:rPr>
          <w:rFonts w:ascii="Arial" w:hAnsi="Arial"/>
          <w:sz w:val="20"/>
          <w:szCs w:val="20"/>
        </w:rPr>
        <w:t>Cahyati</w:t>
      </w:r>
      <w:proofErr w:type="spellEnd"/>
      <w:r>
        <w:rPr>
          <w:rFonts w:ascii="Arial" w:hAnsi="Arial"/>
          <w:sz w:val="20"/>
          <w:szCs w:val="20"/>
        </w:rPr>
        <w:t xml:space="preserve"> et al., 2022).</w:t>
      </w:r>
    </w:p>
    <w:p w14:paraId="3E361282" w14:textId="77777777" w:rsidR="00633CEB" w:rsidRDefault="004C60E9">
      <w:pPr>
        <w:pStyle w:val="NormalWeb"/>
        <w:spacing w:beforeAutospacing="0" w:afterAutospacing="0"/>
        <w:jc w:val="both"/>
        <w:rPr>
          <w:rFonts w:ascii="Arial" w:hAnsi="Arial"/>
          <w:sz w:val="20"/>
          <w:szCs w:val="20"/>
        </w:rPr>
      </w:pPr>
      <w:r>
        <w:rPr>
          <w:rFonts w:ascii="Arial" w:hAnsi="Arial"/>
          <w:sz w:val="20"/>
          <w:szCs w:val="20"/>
        </w:rPr>
        <w:t>The increased use of pesticides in agriculture has spurred research into the development of bioherbicides based on weed extracts, which are expected to help reduce the impact of synthetic pesticides, such as water and soil pollution, disruption of microorganisms, eutrophication, and increased greenhouse gas concentrations (</w:t>
      </w:r>
      <w:proofErr w:type="spellStart"/>
      <w:r>
        <w:rPr>
          <w:rFonts w:ascii="Arial" w:hAnsi="Arial"/>
          <w:sz w:val="20"/>
          <w:szCs w:val="20"/>
        </w:rPr>
        <w:t>Atmiyati</w:t>
      </w:r>
      <w:proofErr w:type="spellEnd"/>
      <w:r>
        <w:rPr>
          <w:rFonts w:ascii="Arial" w:hAnsi="Arial"/>
          <w:sz w:val="20"/>
          <w:szCs w:val="20"/>
        </w:rPr>
        <w:t xml:space="preserve"> &amp; </w:t>
      </w:r>
      <w:proofErr w:type="spellStart"/>
      <w:r>
        <w:rPr>
          <w:rFonts w:ascii="Arial" w:hAnsi="Arial"/>
          <w:sz w:val="20"/>
          <w:szCs w:val="20"/>
        </w:rPr>
        <w:t>Hermawati</w:t>
      </w:r>
      <w:proofErr w:type="spellEnd"/>
      <w:r>
        <w:rPr>
          <w:rFonts w:ascii="Arial" w:hAnsi="Arial"/>
          <w:sz w:val="20"/>
          <w:szCs w:val="20"/>
        </w:rPr>
        <w:t xml:space="preserve">, 2025). </w:t>
      </w:r>
      <w:commentRangeStart w:id="2"/>
      <w:r>
        <w:rPr>
          <w:rFonts w:ascii="Arial" w:hAnsi="Arial"/>
          <w:sz w:val="20"/>
          <w:szCs w:val="20"/>
        </w:rPr>
        <w:t xml:space="preserve">Therefore, research on allelopathic weeds such as </w:t>
      </w:r>
      <w:r>
        <w:rPr>
          <w:rFonts w:ascii="Arial" w:hAnsi="Arial"/>
          <w:i/>
          <w:sz w:val="20"/>
          <w:szCs w:val="20"/>
        </w:rPr>
        <w:t xml:space="preserve">Parthenium </w:t>
      </w:r>
      <w:proofErr w:type="spellStart"/>
      <w:r>
        <w:rPr>
          <w:rFonts w:ascii="Arial" w:hAnsi="Arial"/>
          <w:i/>
          <w:sz w:val="20"/>
          <w:szCs w:val="20"/>
        </w:rPr>
        <w:t>hysterophorus</w:t>
      </w:r>
      <w:commentRangeEnd w:id="2"/>
      <w:proofErr w:type="spellEnd"/>
      <w:r w:rsidR="00115A6B">
        <w:rPr>
          <w:rStyle w:val="CommentReference"/>
          <w:rFonts w:eastAsia="Times New Roman"/>
          <w:lang w:val="nb-NO" w:eastAsia="nb-NO"/>
        </w:rPr>
        <w:commentReference w:id="2"/>
      </w:r>
      <w:r>
        <w:rPr>
          <w:rFonts w:ascii="Arial" w:hAnsi="Arial"/>
          <w:sz w:val="20"/>
          <w:szCs w:val="20"/>
        </w:rPr>
        <w:t xml:space="preserve">, Cleome </w:t>
      </w:r>
      <w:proofErr w:type="spellStart"/>
      <w:r>
        <w:rPr>
          <w:rFonts w:ascii="Arial" w:hAnsi="Arial"/>
          <w:sz w:val="20"/>
          <w:szCs w:val="20"/>
        </w:rPr>
        <w:t>rutidosperma</w:t>
      </w:r>
      <w:proofErr w:type="spellEnd"/>
      <w:r>
        <w:rPr>
          <w:rFonts w:ascii="Arial" w:hAnsi="Arial"/>
          <w:sz w:val="20"/>
          <w:szCs w:val="20"/>
        </w:rPr>
        <w:t xml:space="preserve">, and </w:t>
      </w:r>
      <w:r>
        <w:rPr>
          <w:rFonts w:ascii="Arial" w:hAnsi="Arial"/>
          <w:i/>
          <w:sz w:val="20"/>
          <w:szCs w:val="20"/>
        </w:rPr>
        <w:t>Borreria alata</w:t>
      </w:r>
      <w:r>
        <w:rPr>
          <w:rFonts w:ascii="Arial" w:hAnsi="Arial"/>
          <w:sz w:val="20"/>
          <w:szCs w:val="20"/>
        </w:rPr>
        <w:t>, which have the potential to serve as sources of bioactive compounds for the development of sustainable bioherbicides, is fundamental (</w:t>
      </w:r>
      <w:proofErr w:type="spellStart"/>
      <w:r>
        <w:rPr>
          <w:rFonts w:ascii="Arial" w:hAnsi="Arial"/>
          <w:sz w:val="20"/>
          <w:szCs w:val="20"/>
        </w:rPr>
        <w:t>Motmainna</w:t>
      </w:r>
      <w:proofErr w:type="spellEnd"/>
      <w:r>
        <w:rPr>
          <w:rFonts w:ascii="Arial" w:hAnsi="Arial"/>
          <w:sz w:val="20"/>
          <w:szCs w:val="20"/>
        </w:rPr>
        <w:t xml:space="preserve"> et al., 2021).</w:t>
      </w:r>
    </w:p>
    <w:p w14:paraId="3B70EC1B" w14:textId="77777777" w:rsidR="00633CEB" w:rsidRDefault="004C60E9">
      <w:pPr>
        <w:pStyle w:val="NormalWeb"/>
        <w:spacing w:beforeAutospacing="0" w:afterAutospacing="0"/>
        <w:jc w:val="both"/>
        <w:rPr>
          <w:rFonts w:ascii="Arial" w:hAnsi="Arial"/>
          <w:sz w:val="20"/>
          <w:szCs w:val="20"/>
        </w:rPr>
      </w:pPr>
      <w:r>
        <w:rPr>
          <w:rFonts w:ascii="Arial" w:hAnsi="Arial"/>
          <w:sz w:val="20"/>
          <w:szCs w:val="20"/>
        </w:rPr>
        <w:t xml:space="preserve">The development of bioherbicides from weed extracts, although promising, still requires further research, especially to optimize extraction methods, formulation, and the stability of allelopathic compounds so they can function effectively in the ecosystem. </w:t>
      </w:r>
      <w:commentRangeStart w:id="3"/>
      <w:r>
        <w:rPr>
          <w:rFonts w:ascii="Arial" w:hAnsi="Arial"/>
          <w:sz w:val="20"/>
          <w:szCs w:val="20"/>
        </w:rPr>
        <w:t>Allelopathic compounds interfere with cell division and elongation, protein synthesis</w:t>
      </w:r>
      <w:commentRangeEnd w:id="3"/>
      <w:r w:rsidR="002931A6">
        <w:rPr>
          <w:rStyle w:val="CommentReference"/>
          <w:rFonts w:eastAsia="Times New Roman"/>
          <w:lang w:val="nb-NO" w:eastAsia="nb-NO"/>
        </w:rPr>
        <w:commentReference w:id="3"/>
      </w:r>
      <w:r>
        <w:rPr>
          <w:rFonts w:ascii="Arial" w:hAnsi="Arial"/>
          <w:sz w:val="20"/>
          <w:szCs w:val="20"/>
        </w:rPr>
        <w:t xml:space="preserve">, and other processes in weed physiology. By utilizing potential weeds, such as </w:t>
      </w:r>
      <w:r>
        <w:rPr>
          <w:rFonts w:ascii="Arial" w:hAnsi="Arial"/>
          <w:i/>
          <w:sz w:val="20"/>
          <w:szCs w:val="20"/>
        </w:rPr>
        <w:t>Mikania micrantha</w:t>
      </w:r>
      <w:r>
        <w:rPr>
          <w:rFonts w:ascii="Arial" w:hAnsi="Arial"/>
          <w:sz w:val="20"/>
          <w:szCs w:val="20"/>
        </w:rPr>
        <w:t xml:space="preserve">, which has vigorous allelopathic activity, overall, bioherbicide weed extracts have the potential to reduce dependence on synthetic pesticides, improve soil health, and support sustainable agricultural practices (Amrullah et al., 2024; </w:t>
      </w:r>
      <w:proofErr w:type="spellStart"/>
      <w:r>
        <w:rPr>
          <w:rFonts w:ascii="Arial" w:hAnsi="Arial"/>
          <w:sz w:val="20"/>
          <w:szCs w:val="20"/>
        </w:rPr>
        <w:t>Alridiwirsah</w:t>
      </w:r>
      <w:proofErr w:type="spellEnd"/>
      <w:r>
        <w:rPr>
          <w:rFonts w:ascii="Arial" w:hAnsi="Arial"/>
          <w:sz w:val="20"/>
          <w:szCs w:val="20"/>
        </w:rPr>
        <w:t xml:space="preserve"> et al., 2020).</w:t>
      </w:r>
    </w:p>
    <w:p w14:paraId="761E8A58" w14:textId="77777777" w:rsidR="00633CEB" w:rsidRDefault="00633CEB">
      <w:pPr>
        <w:pStyle w:val="NormalWeb"/>
        <w:spacing w:beforeAutospacing="0" w:afterAutospacing="0"/>
        <w:jc w:val="both"/>
        <w:rPr>
          <w:rFonts w:ascii="Arial" w:hAnsi="Arial"/>
          <w:sz w:val="20"/>
          <w:szCs w:val="20"/>
        </w:rPr>
      </w:pPr>
    </w:p>
    <w:p w14:paraId="0CAE3733" w14:textId="77777777" w:rsidR="00633CEB" w:rsidRDefault="004C60E9">
      <w:pPr>
        <w:pStyle w:val="NormalWeb"/>
        <w:spacing w:beforeAutospacing="0" w:afterAutospacing="0"/>
        <w:rPr>
          <w:rFonts w:ascii="Arial" w:hAnsi="Arial" w:cs="Arial"/>
          <w:b/>
          <w:bCs/>
          <w:sz w:val="20"/>
          <w:szCs w:val="20"/>
        </w:rPr>
      </w:pPr>
      <w:r>
        <w:rPr>
          <w:rFonts w:ascii="Arial" w:hAnsi="Arial" w:cs="Arial"/>
          <w:b/>
          <w:bCs/>
          <w:sz w:val="20"/>
          <w:szCs w:val="20"/>
        </w:rPr>
        <w:t>1.3. Advantages of water extracts compared to organic extracts</w:t>
      </w:r>
    </w:p>
    <w:p w14:paraId="1288624B" w14:textId="77777777" w:rsidR="00633CEB" w:rsidRDefault="004C60E9">
      <w:pPr>
        <w:pStyle w:val="NormalWeb"/>
        <w:spacing w:beforeAutospacing="0" w:afterAutospacing="0"/>
        <w:jc w:val="both"/>
        <w:rPr>
          <w:rFonts w:ascii="Arial" w:hAnsi="Arial"/>
          <w:sz w:val="20"/>
          <w:szCs w:val="20"/>
        </w:rPr>
      </w:pPr>
      <w:r>
        <w:rPr>
          <w:rFonts w:ascii="Arial" w:hAnsi="Arial"/>
          <w:sz w:val="20"/>
          <w:szCs w:val="20"/>
        </w:rPr>
        <w:t>Water extraction is much more environmentally friendly than organic solvents, simpler, more practical, and safer, making it suitable for the development of bioherbicides in sustainable agriculture. The polarity of water extracts non-toxic allelopathic bioactive compounds that inhibit weed germination and growth, which is also in line with green chemistry (</w:t>
      </w:r>
      <w:proofErr w:type="spellStart"/>
      <w:r>
        <w:rPr>
          <w:rFonts w:ascii="Arial" w:hAnsi="Arial"/>
          <w:sz w:val="20"/>
          <w:szCs w:val="20"/>
        </w:rPr>
        <w:t>Syafira</w:t>
      </w:r>
      <w:proofErr w:type="spellEnd"/>
      <w:r>
        <w:rPr>
          <w:rFonts w:ascii="Arial" w:hAnsi="Arial"/>
          <w:sz w:val="20"/>
          <w:szCs w:val="20"/>
        </w:rPr>
        <w:t xml:space="preserve"> et al., 2025). However, biological compounds such as flavonoids and phenolics can be reduced due to limited ionic interactions with water, requiring further adjustments in concentration, extraction methods, and application to achieve better results (</w:t>
      </w:r>
      <w:proofErr w:type="spellStart"/>
      <w:r>
        <w:rPr>
          <w:rFonts w:ascii="Arial" w:hAnsi="Arial"/>
          <w:sz w:val="20"/>
          <w:szCs w:val="20"/>
        </w:rPr>
        <w:t>Jahro</w:t>
      </w:r>
      <w:proofErr w:type="spellEnd"/>
      <w:r>
        <w:rPr>
          <w:rFonts w:ascii="Arial" w:hAnsi="Arial"/>
          <w:sz w:val="20"/>
          <w:szCs w:val="20"/>
        </w:rPr>
        <w:t xml:space="preserve"> et al., 2025).</w:t>
      </w:r>
    </w:p>
    <w:p w14:paraId="152F84A8" w14:textId="77777777" w:rsidR="00633CEB" w:rsidRDefault="00633CEB">
      <w:pPr>
        <w:pStyle w:val="NormalWeb"/>
        <w:spacing w:beforeAutospacing="0" w:afterAutospacing="0"/>
        <w:ind w:firstLineChars="300" w:firstLine="600"/>
        <w:jc w:val="both"/>
        <w:rPr>
          <w:rFonts w:ascii="Arial" w:hAnsi="Arial"/>
          <w:sz w:val="20"/>
          <w:szCs w:val="20"/>
        </w:rPr>
      </w:pPr>
    </w:p>
    <w:p w14:paraId="5B00D75A" w14:textId="77777777" w:rsidR="00633CEB" w:rsidRDefault="004C60E9">
      <w:pPr>
        <w:pStyle w:val="NormalWeb"/>
        <w:spacing w:beforeAutospacing="0" w:afterAutospacing="0"/>
        <w:jc w:val="both"/>
        <w:rPr>
          <w:rFonts w:ascii="Arial" w:hAnsi="Arial" w:cs="Arial"/>
          <w:sz w:val="20"/>
          <w:szCs w:val="20"/>
        </w:rPr>
      </w:pPr>
      <w:r>
        <w:rPr>
          <w:rFonts w:ascii="Arial" w:hAnsi="Arial"/>
          <w:sz w:val="20"/>
          <w:szCs w:val="20"/>
        </w:rPr>
        <w:t xml:space="preserve">Recent literature shows that bioherbicides derived from moss and weed water extracts have the potential to replace chemical herbicides, particularly allelopathic moss bioherbicides, aquatic extracts, and bioactive weeds, as well as factors affecting their solubility, stability, and </w:t>
      </w:r>
      <w:r>
        <w:rPr>
          <w:rFonts w:ascii="Arial" w:hAnsi="Arial"/>
          <w:sz w:val="20"/>
          <w:szCs w:val="20"/>
        </w:rPr>
        <w:lastRenderedPageBreak/>
        <w:t>effectiveness. Moreover, the rapid trend in the use of environmentally friendly bioherbicides has prompted further exploration of their ecological and economic impacts, as well as challenges in formulating standards and spraying them (</w:t>
      </w:r>
      <w:proofErr w:type="spellStart"/>
      <w:r>
        <w:rPr>
          <w:rFonts w:ascii="Arial" w:hAnsi="Arial"/>
          <w:sz w:val="20"/>
          <w:szCs w:val="20"/>
        </w:rPr>
        <w:t>Syafira</w:t>
      </w:r>
      <w:proofErr w:type="spellEnd"/>
      <w:r>
        <w:rPr>
          <w:rFonts w:ascii="Arial" w:hAnsi="Arial"/>
          <w:sz w:val="20"/>
          <w:szCs w:val="20"/>
        </w:rPr>
        <w:t xml:space="preserve"> et al., 2025).</w:t>
      </w:r>
    </w:p>
    <w:p w14:paraId="4A528BFC" w14:textId="77777777" w:rsidR="00633CEB" w:rsidRDefault="00633CEB">
      <w:pPr>
        <w:pStyle w:val="NormalWeb"/>
        <w:spacing w:beforeAutospacing="0" w:afterAutospacing="0"/>
        <w:ind w:firstLineChars="300" w:firstLine="600"/>
        <w:jc w:val="both"/>
        <w:rPr>
          <w:rFonts w:ascii="Arial" w:hAnsi="Arial" w:cs="Arial"/>
          <w:sz w:val="20"/>
          <w:szCs w:val="20"/>
        </w:rPr>
      </w:pPr>
    </w:p>
    <w:p w14:paraId="5BD118CA" w14:textId="77777777" w:rsidR="00633CEB" w:rsidRDefault="004C60E9">
      <w:pPr>
        <w:pStyle w:val="Heading3"/>
        <w:spacing w:beforeAutospacing="0" w:afterAutospacing="0"/>
        <w:jc w:val="both"/>
        <w:rPr>
          <w:rFonts w:ascii="Arial" w:hAnsi="Arial" w:cs="Arial" w:hint="default"/>
          <w:sz w:val="20"/>
          <w:szCs w:val="20"/>
        </w:rPr>
      </w:pPr>
      <w:r>
        <w:rPr>
          <w:rFonts w:ascii="Arial" w:hAnsi="Arial" w:cs="Arial" w:hint="default"/>
          <w:sz w:val="20"/>
          <w:szCs w:val="20"/>
        </w:rPr>
        <w:t xml:space="preserve">1.4. </w:t>
      </w:r>
      <w:r>
        <w:rPr>
          <w:rFonts w:ascii="Arial" w:hAnsi="Arial" w:hint="default"/>
          <w:sz w:val="20"/>
          <w:szCs w:val="20"/>
        </w:rPr>
        <w:t>Research gap</w:t>
      </w:r>
    </w:p>
    <w:p w14:paraId="7FB0D9D7" w14:textId="77777777" w:rsidR="00633CEB" w:rsidRDefault="004C60E9">
      <w:pPr>
        <w:pStyle w:val="Heading2"/>
        <w:spacing w:beforeAutospacing="0" w:afterAutospacing="0"/>
        <w:jc w:val="both"/>
        <w:rPr>
          <w:rFonts w:ascii="Arial" w:hAnsi="Arial" w:hint="default"/>
          <w:b w:val="0"/>
          <w:bCs w:val="0"/>
          <w:sz w:val="20"/>
          <w:szCs w:val="20"/>
        </w:rPr>
      </w:pPr>
      <w:r>
        <w:rPr>
          <w:rFonts w:ascii="Arial" w:hAnsi="Arial" w:hint="default"/>
          <w:b w:val="0"/>
          <w:bCs w:val="0"/>
          <w:sz w:val="20"/>
          <w:szCs w:val="20"/>
        </w:rPr>
        <w:t>Paiman et al. (2022) showed that although there are many reports on bioherbicides with potential based on weed water extracts, there are still significant gaps in research, particularly related to limitations in identifying hydrophilic bioactive compounds, understanding the molecular mechanisms of allelopathy, and a lack of information on the optimal concentration and application time of extracts in comparison with synthetic herbicides. In addition, given that most studies focus on short-term effects, with fewer examining long-term effects, ecological effects, and weed resistance, much remains to be done in relation to the development of methods for formulating and stabilizing water extracts, particularly in maintaining allelopathic activity under various field conditions (Anwar et al., 2021).</w:t>
      </w:r>
    </w:p>
    <w:p w14:paraId="3EA212DA" w14:textId="77777777" w:rsidR="00633CEB" w:rsidRDefault="004C60E9">
      <w:pPr>
        <w:pStyle w:val="Heading2"/>
        <w:spacing w:beforeAutospacing="0" w:afterAutospacing="0"/>
        <w:jc w:val="both"/>
        <w:rPr>
          <w:rFonts w:ascii="Arial" w:hAnsi="Arial" w:hint="default"/>
          <w:b w:val="0"/>
          <w:bCs w:val="0"/>
          <w:sz w:val="20"/>
          <w:szCs w:val="20"/>
        </w:rPr>
      </w:pPr>
      <w:r>
        <w:rPr>
          <w:rFonts w:ascii="Arial" w:hAnsi="Arial" w:hint="default"/>
          <w:b w:val="0"/>
          <w:bCs w:val="0"/>
          <w:sz w:val="20"/>
          <w:szCs w:val="20"/>
        </w:rPr>
        <w:t>Further research to bridge the gap between the laboratory and field application should focus on pilot demonstration studies and large-scale research (Yusoff et al., 2025). In this regard, beyond technical aspects, it will be more complex, especially in assessing socio-economic factors, namely perceptions, acceptance, and readiness, as well as agroclimatic and socio-demographic conditions, with a focus on bioherbicides. In this study, it is hoped that adaptive agricultural extension can combine all aspects to support the development of bioherbicides that are technically feasible, economically viable, socially acceptable, and make farmers more prosperous (</w:t>
      </w:r>
      <w:proofErr w:type="spellStart"/>
      <w:r>
        <w:rPr>
          <w:rFonts w:ascii="Arial" w:hAnsi="Arial" w:hint="default"/>
          <w:b w:val="0"/>
          <w:bCs w:val="0"/>
          <w:sz w:val="20"/>
          <w:szCs w:val="20"/>
        </w:rPr>
        <w:t>Febiola</w:t>
      </w:r>
      <w:proofErr w:type="spellEnd"/>
      <w:r>
        <w:rPr>
          <w:rFonts w:ascii="Arial" w:hAnsi="Arial" w:hint="default"/>
          <w:b w:val="0"/>
          <w:bCs w:val="0"/>
          <w:sz w:val="20"/>
          <w:szCs w:val="20"/>
        </w:rPr>
        <w:t xml:space="preserve"> &amp; </w:t>
      </w:r>
      <w:proofErr w:type="spellStart"/>
      <w:r>
        <w:rPr>
          <w:rFonts w:ascii="Arial" w:hAnsi="Arial" w:hint="default"/>
          <w:b w:val="0"/>
          <w:bCs w:val="0"/>
          <w:sz w:val="20"/>
          <w:szCs w:val="20"/>
        </w:rPr>
        <w:t>Azhar</w:t>
      </w:r>
      <w:proofErr w:type="spellEnd"/>
      <w:r>
        <w:rPr>
          <w:rFonts w:ascii="Arial" w:hAnsi="Arial" w:hint="default"/>
          <w:b w:val="0"/>
          <w:bCs w:val="0"/>
          <w:sz w:val="20"/>
          <w:szCs w:val="20"/>
        </w:rPr>
        <w:t>, 2025).</w:t>
      </w:r>
    </w:p>
    <w:p w14:paraId="6ABA17E0" w14:textId="77777777" w:rsidR="00633CEB" w:rsidRDefault="00633CEB">
      <w:pPr>
        <w:pStyle w:val="Heading2"/>
        <w:spacing w:beforeAutospacing="0" w:afterAutospacing="0"/>
        <w:jc w:val="both"/>
        <w:rPr>
          <w:rFonts w:ascii="Arial" w:hAnsi="Arial" w:cs="Arial" w:hint="default"/>
          <w:b w:val="0"/>
          <w:bCs w:val="0"/>
          <w:sz w:val="20"/>
          <w:szCs w:val="20"/>
        </w:rPr>
      </w:pPr>
    </w:p>
    <w:p w14:paraId="0032CEAF" w14:textId="77777777" w:rsidR="00633CEB" w:rsidRDefault="004C60E9">
      <w:pPr>
        <w:pStyle w:val="Heading2"/>
        <w:numPr>
          <w:ilvl w:val="0"/>
          <w:numId w:val="2"/>
        </w:numPr>
        <w:spacing w:beforeAutospacing="0" w:afterAutospacing="0"/>
        <w:jc w:val="both"/>
        <w:rPr>
          <w:rFonts w:ascii="Arial" w:hAnsi="Arial" w:cs="Arial" w:hint="default"/>
          <w:caps/>
          <w:sz w:val="22"/>
          <w:szCs w:val="22"/>
        </w:rPr>
      </w:pPr>
      <w:r>
        <w:rPr>
          <w:rFonts w:ascii="Arial" w:hAnsi="Arial" w:cs="Arial" w:hint="default"/>
          <w:caps/>
          <w:sz w:val="22"/>
          <w:szCs w:val="22"/>
        </w:rPr>
        <w:t>M</w:t>
      </w:r>
      <w:r>
        <w:rPr>
          <w:rFonts w:ascii="Arial" w:hAnsi="Arial" w:cs="Arial"/>
          <w:caps/>
          <w:sz w:val="22"/>
          <w:szCs w:val="22"/>
        </w:rPr>
        <w:t>ethods</w:t>
      </w:r>
    </w:p>
    <w:p w14:paraId="382FCF0A" w14:textId="77777777" w:rsidR="00633CEB" w:rsidRDefault="004C60E9">
      <w:pPr>
        <w:pStyle w:val="Heading2"/>
        <w:spacing w:beforeAutospacing="0" w:afterAutospacing="0"/>
        <w:jc w:val="both"/>
        <w:rPr>
          <w:rFonts w:ascii="Arial" w:hAnsi="Arial" w:hint="default"/>
          <w:b w:val="0"/>
          <w:bCs w:val="0"/>
          <w:sz w:val="20"/>
          <w:szCs w:val="20"/>
        </w:rPr>
      </w:pPr>
      <w:r>
        <w:rPr>
          <w:rFonts w:ascii="Arial" w:hAnsi="Arial" w:hint="default"/>
          <w:b w:val="0"/>
          <w:bCs w:val="0"/>
          <w:sz w:val="20"/>
          <w:szCs w:val="20"/>
        </w:rPr>
        <w:t>This study combines narrative reviews and systematic reviews to integrate research objectives, analyses, and available resource limitations. Narrative reviews describe the development of bioherbicides and identify patterns and trends in emerging phenomena from various perspectives. Meanwhile, systematic reviews play a role in synthesizing evidence in a structured, more objective, transparent, and efficient manner to identify research gaps.</w:t>
      </w:r>
    </w:p>
    <w:p w14:paraId="1D2686B5" w14:textId="77777777" w:rsidR="00633CEB" w:rsidRDefault="004C60E9">
      <w:pPr>
        <w:pStyle w:val="Heading2"/>
        <w:spacing w:beforeAutospacing="0" w:afterAutospacing="0"/>
        <w:jc w:val="both"/>
        <w:rPr>
          <w:rFonts w:ascii="Arial" w:hAnsi="Arial" w:hint="default"/>
          <w:b w:val="0"/>
          <w:bCs w:val="0"/>
          <w:sz w:val="20"/>
          <w:szCs w:val="20"/>
        </w:rPr>
      </w:pPr>
      <w:r>
        <w:rPr>
          <w:rFonts w:ascii="Arial" w:hAnsi="Arial" w:hint="default"/>
          <w:b w:val="0"/>
          <w:bCs w:val="0"/>
          <w:sz w:val="20"/>
          <w:szCs w:val="20"/>
        </w:rPr>
        <w:t>In systematic reviews, the use of internet-based resources contributes significantly to the stages of literature collection, screening, and analysis. Online platforms such as Rayyan and Semantic Scholar use internet access to accelerate the search, grouping, and selection of scientific articles, enabling more efficiently and accurate processing. This approach is in line with the use of the internet and the Internet of Things (IoT) in the development of smart farming, although its implementation still requires contextual adjustments according to agricultural research needs (Putra et al., 2024; Vasileiou et al., 2023).</w:t>
      </w:r>
    </w:p>
    <w:p w14:paraId="6A0A87F9" w14:textId="77777777" w:rsidR="00633CEB" w:rsidRDefault="004C60E9">
      <w:pPr>
        <w:pStyle w:val="Heading2"/>
        <w:spacing w:beforeAutospacing="0" w:afterAutospacing="0"/>
        <w:jc w:val="both"/>
        <w:rPr>
          <w:rFonts w:ascii="Arial" w:hAnsi="Arial" w:hint="default"/>
          <w:b w:val="0"/>
          <w:bCs w:val="0"/>
          <w:sz w:val="20"/>
          <w:szCs w:val="20"/>
        </w:rPr>
      </w:pPr>
      <w:commentRangeStart w:id="4"/>
      <w:r>
        <w:rPr>
          <w:rFonts w:ascii="Arial" w:hAnsi="Arial" w:hint="default"/>
          <w:b w:val="0"/>
          <w:bCs w:val="0"/>
          <w:sz w:val="20"/>
          <w:szCs w:val="20"/>
        </w:rPr>
        <w:t xml:space="preserve">The systematic literature review methodology follows the PRISMA guidelines </w:t>
      </w:r>
      <w:commentRangeEnd w:id="4"/>
      <w:r w:rsidR="002931A6">
        <w:rPr>
          <w:rStyle w:val="CommentReference"/>
          <w:rFonts w:ascii="Times New Roman" w:eastAsia="Times New Roman" w:hAnsi="Times New Roman" w:hint="default"/>
          <w:b w:val="0"/>
          <w:bCs w:val="0"/>
          <w:lang w:val="nb-NO" w:eastAsia="nb-NO"/>
        </w:rPr>
        <w:commentReference w:id="4"/>
      </w:r>
      <w:r>
        <w:rPr>
          <w:rFonts w:ascii="Arial" w:hAnsi="Arial" w:hint="default"/>
          <w:b w:val="0"/>
          <w:bCs w:val="0"/>
          <w:sz w:val="20"/>
          <w:szCs w:val="20"/>
        </w:rPr>
        <w:t xml:space="preserve">to ensure that the literature selection process is carried out systematically, transparently, and </w:t>
      </w:r>
      <w:proofErr w:type="spellStart"/>
      <w:r>
        <w:rPr>
          <w:rFonts w:ascii="Arial" w:hAnsi="Arial" w:hint="default"/>
          <w:b w:val="0"/>
          <w:bCs w:val="0"/>
          <w:sz w:val="20"/>
          <w:szCs w:val="20"/>
        </w:rPr>
        <w:t>replicably</w:t>
      </w:r>
      <w:proofErr w:type="spellEnd"/>
      <w:r>
        <w:rPr>
          <w:rFonts w:ascii="Arial" w:hAnsi="Arial" w:hint="default"/>
          <w:b w:val="0"/>
          <w:bCs w:val="0"/>
          <w:sz w:val="20"/>
          <w:szCs w:val="20"/>
        </w:rPr>
        <w:t>. This approach supports the reliability and completeness of the analyzed data while facilitating the identification of internet-based technological innovations in weed management (</w:t>
      </w:r>
      <w:proofErr w:type="spellStart"/>
      <w:r>
        <w:rPr>
          <w:rFonts w:ascii="Arial" w:hAnsi="Arial" w:hint="default"/>
          <w:b w:val="0"/>
          <w:bCs w:val="0"/>
          <w:sz w:val="20"/>
          <w:szCs w:val="20"/>
        </w:rPr>
        <w:t>Sukiastini</w:t>
      </w:r>
      <w:proofErr w:type="spellEnd"/>
      <w:r>
        <w:rPr>
          <w:rFonts w:ascii="Arial" w:hAnsi="Arial" w:hint="default"/>
          <w:b w:val="0"/>
          <w:bCs w:val="0"/>
          <w:sz w:val="20"/>
          <w:szCs w:val="20"/>
        </w:rPr>
        <w:t xml:space="preserve"> et al., 2024; </w:t>
      </w:r>
      <w:proofErr w:type="spellStart"/>
      <w:r>
        <w:rPr>
          <w:rFonts w:ascii="Arial" w:hAnsi="Arial" w:hint="default"/>
          <w:b w:val="0"/>
          <w:bCs w:val="0"/>
          <w:sz w:val="20"/>
          <w:szCs w:val="20"/>
        </w:rPr>
        <w:t>Jaswadi</w:t>
      </w:r>
      <w:proofErr w:type="spellEnd"/>
      <w:r>
        <w:rPr>
          <w:rFonts w:ascii="Arial" w:hAnsi="Arial" w:hint="default"/>
          <w:b w:val="0"/>
          <w:bCs w:val="0"/>
          <w:sz w:val="20"/>
          <w:szCs w:val="20"/>
        </w:rPr>
        <w:t xml:space="preserve"> et al., 2025).</w:t>
      </w:r>
    </w:p>
    <w:p w14:paraId="310F3A78" w14:textId="77777777" w:rsidR="00633CEB" w:rsidRDefault="004C60E9">
      <w:pPr>
        <w:pStyle w:val="Heading2"/>
        <w:spacing w:beforeAutospacing="0" w:afterAutospacing="0"/>
        <w:jc w:val="both"/>
        <w:rPr>
          <w:rFonts w:ascii="Arial" w:hAnsi="Arial" w:cs="Arial" w:hint="default"/>
          <w:b w:val="0"/>
          <w:bCs w:val="0"/>
          <w:sz w:val="20"/>
          <w:szCs w:val="20"/>
        </w:rPr>
      </w:pPr>
      <w:r>
        <w:rPr>
          <w:rFonts w:ascii="Arial" w:hAnsi="Arial" w:hint="default"/>
          <w:b w:val="0"/>
          <w:bCs w:val="0"/>
          <w:sz w:val="20"/>
          <w:szCs w:val="20"/>
        </w:rPr>
        <w:t xml:space="preserve">In addition, a systematic review is combined with online data-driven text-mining methods for descriptive analysis and mapping of research trends in bioherbicides based on weed water extracts. This process includes the stages of continuous identification, evaluation, and synthesis of the literature to comprehensively answer formulated research questions (Putri &amp; </w:t>
      </w:r>
      <w:proofErr w:type="spellStart"/>
      <w:r>
        <w:rPr>
          <w:rFonts w:ascii="Arial" w:hAnsi="Arial" w:hint="default"/>
          <w:b w:val="0"/>
          <w:bCs w:val="0"/>
          <w:sz w:val="20"/>
          <w:szCs w:val="20"/>
        </w:rPr>
        <w:t>Rohmah</w:t>
      </w:r>
      <w:proofErr w:type="spellEnd"/>
      <w:r>
        <w:rPr>
          <w:rFonts w:ascii="Arial" w:hAnsi="Arial" w:hint="default"/>
          <w:b w:val="0"/>
          <w:bCs w:val="0"/>
          <w:sz w:val="20"/>
          <w:szCs w:val="20"/>
        </w:rPr>
        <w:t>, 2025).</w:t>
      </w:r>
    </w:p>
    <w:p w14:paraId="3042CD5C" w14:textId="77777777" w:rsidR="00633CEB" w:rsidRDefault="00633CEB">
      <w:pPr>
        <w:jc w:val="both"/>
        <w:rPr>
          <w:rFonts w:ascii="Arial" w:hAnsi="Arial"/>
        </w:rPr>
      </w:pPr>
    </w:p>
    <w:p w14:paraId="0DCD0C01" w14:textId="77777777" w:rsidR="00633CEB" w:rsidRDefault="00633CEB">
      <w:pPr>
        <w:jc w:val="both"/>
        <w:rPr>
          <w:rFonts w:ascii="Arial" w:hAnsi="Arial"/>
        </w:rPr>
      </w:pPr>
    </w:p>
    <w:p w14:paraId="0E524414" w14:textId="77777777" w:rsidR="00633CEB" w:rsidRDefault="00633CEB">
      <w:pPr>
        <w:jc w:val="both"/>
        <w:rPr>
          <w:rFonts w:ascii="Arial" w:hAnsi="Arial"/>
        </w:rPr>
      </w:pPr>
    </w:p>
    <w:p w14:paraId="050A7236" w14:textId="77777777" w:rsidR="00633CEB" w:rsidRDefault="004C60E9">
      <w:pPr>
        <w:pStyle w:val="Heading2"/>
        <w:numPr>
          <w:ilvl w:val="1"/>
          <w:numId w:val="2"/>
        </w:numPr>
        <w:spacing w:beforeAutospacing="0" w:afterAutospacing="0"/>
        <w:jc w:val="both"/>
        <w:rPr>
          <w:rFonts w:ascii="Arial" w:hAnsi="Arial" w:cs="Arial" w:hint="default"/>
          <w:sz w:val="22"/>
          <w:szCs w:val="22"/>
        </w:rPr>
      </w:pPr>
      <w:r>
        <w:rPr>
          <w:rFonts w:ascii="Arial" w:hAnsi="Arial" w:hint="default"/>
          <w:sz w:val="22"/>
          <w:szCs w:val="22"/>
        </w:rPr>
        <w:t>Study Design</w:t>
      </w:r>
    </w:p>
    <w:p w14:paraId="7CCC24E8" w14:textId="77777777" w:rsidR="00633CEB" w:rsidRDefault="004C60E9">
      <w:pPr>
        <w:pStyle w:val="Heading2"/>
        <w:spacing w:beforeAutospacing="0" w:afterAutospacing="0"/>
        <w:jc w:val="both"/>
        <w:rPr>
          <w:rFonts w:ascii="Arial" w:hAnsi="Arial" w:hint="default"/>
          <w:b w:val="0"/>
          <w:bCs w:val="0"/>
          <w:sz w:val="20"/>
          <w:szCs w:val="20"/>
        </w:rPr>
      </w:pPr>
      <w:r>
        <w:rPr>
          <w:rFonts w:ascii="Arial" w:hAnsi="Arial" w:hint="default"/>
          <w:b w:val="0"/>
          <w:bCs w:val="0"/>
          <w:sz w:val="20"/>
          <w:szCs w:val="20"/>
        </w:rPr>
        <w:t xml:space="preserve">This study combines narrative reviews and systematic reviews to integrate research objectives, analysis, and resource limitations. Narrative reviews serve to describe the development of bioherbicides while identifying specific patterns in the phenomenon from various perspectives. </w:t>
      </w:r>
      <w:r>
        <w:rPr>
          <w:rFonts w:ascii="Arial" w:hAnsi="Arial" w:hint="default"/>
          <w:b w:val="0"/>
          <w:bCs w:val="0"/>
          <w:sz w:val="20"/>
          <w:szCs w:val="20"/>
        </w:rPr>
        <w:lastRenderedPageBreak/>
        <w:t>On the other hand, systematic reviews provide a synthesis that structurally combines evidence, offering a more objective and efficient approach to identifying research gaps.</w:t>
      </w:r>
    </w:p>
    <w:p w14:paraId="3EB0C753" w14:textId="77777777" w:rsidR="00633CEB" w:rsidRDefault="004C60E9">
      <w:pPr>
        <w:pStyle w:val="Heading2"/>
        <w:spacing w:beforeAutospacing="0" w:afterAutospacing="0"/>
        <w:jc w:val="both"/>
        <w:rPr>
          <w:rFonts w:ascii="Arial" w:hAnsi="Arial" w:hint="default"/>
          <w:b w:val="0"/>
          <w:bCs w:val="0"/>
          <w:sz w:val="20"/>
          <w:szCs w:val="20"/>
        </w:rPr>
      </w:pPr>
      <w:r>
        <w:rPr>
          <w:rFonts w:ascii="Arial" w:hAnsi="Arial" w:hint="default"/>
          <w:b w:val="0"/>
          <w:bCs w:val="0"/>
          <w:sz w:val="20"/>
          <w:szCs w:val="20"/>
        </w:rPr>
        <w:t>In systematic reviews, the use of artificial intelligence (AI) contributes to the stages of literature collection, screening, and analysis. AI-based tools, such as Rayyan and Semantic Scholar, have been proven to improve efficiency and accuracy in article selection, in line with the application of AI and the Internet of Things (IoT) in smart farming, although the development of these tools does require more contextual studies (Putra et al., 2024; Vasileiou et al., 2023).</w:t>
      </w:r>
    </w:p>
    <w:p w14:paraId="1EDB9C7D" w14:textId="77777777" w:rsidR="00633CEB" w:rsidRDefault="004C60E9">
      <w:pPr>
        <w:pStyle w:val="Heading2"/>
        <w:spacing w:beforeAutospacing="0" w:afterAutospacing="0"/>
        <w:jc w:val="both"/>
        <w:rPr>
          <w:rFonts w:ascii="Arial" w:hAnsi="Arial" w:cs="Arial" w:hint="default"/>
          <w:b w:val="0"/>
          <w:bCs w:val="0"/>
          <w:sz w:val="20"/>
          <w:szCs w:val="20"/>
        </w:rPr>
      </w:pPr>
      <w:r>
        <w:rPr>
          <w:rFonts w:ascii="Arial" w:hAnsi="Arial" w:hint="default"/>
          <w:b w:val="0"/>
          <w:bCs w:val="0"/>
          <w:sz w:val="20"/>
          <w:szCs w:val="20"/>
        </w:rPr>
        <w:t>The systematic literature review methodology used follows the PRISMA guidelines, aiming to ensure a systematic, transparent, and replicable literature selection process (</w:t>
      </w:r>
      <w:proofErr w:type="spellStart"/>
      <w:r>
        <w:rPr>
          <w:rFonts w:ascii="Arial" w:hAnsi="Arial" w:hint="default"/>
          <w:b w:val="0"/>
          <w:bCs w:val="0"/>
          <w:sz w:val="20"/>
          <w:szCs w:val="20"/>
        </w:rPr>
        <w:t>Sukiastini</w:t>
      </w:r>
      <w:proofErr w:type="spellEnd"/>
      <w:r>
        <w:rPr>
          <w:rFonts w:ascii="Arial" w:hAnsi="Arial" w:hint="default"/>
          <w:b w:val="0"/>
          <w:bCs w:val="0"/>
          <w:sz w:val="20"/>
          <w:szCs w:val="20"/>
        </w:rPr>
        <w:t xml:space="preserve"> et al., 2024). This process provides space to identify AI-based innovations in weed management and supports the reliability and completeness of the data analyzed (</w:t>
      </w:r>
      <w:proofErr w:type="spellStart"/>
      <w:r>
        <w:rPr>
          <w:rFonts w:ascii="Arial" w:hAnsi="Arial" w:hint="default"/>
          <w:b w:val="0"/>
          <w:bCs w:val="0"/>
          <w:sz w:val="20"/>
          <w:szCs w:val="20"/>
        </w:rPr>
        <w:t>Jaswadi</w:t>
      </w:r>
      <w:proofErr w:type="spellEnd"/>
      <w:r>
        <w:rPr>
          <w:rFonts w:ascii="Arial" w:hAnsi="Arial" w:hint="default"/>
          <w:b w:val="0"/>
          <w:bCs w:val="0"/>
          <w:sz w:val="20"/>
          <w:szCs w:val="20"/>
        </w:rPr>
        <w:t xml:space="preserve"> et al., 2025).</w:t>
      </w:r>
    </w:p>
    <w:p w14:paraId="6A0F1903" w14:textId="77777777" w:rsidR="00633CEB" w:rsidRDefault="004C60E9">
      <w:pPr>
        <w:pStyle w:val="Heading2"/>
        <w:spacing w:beforeAutospacing="0" w:afterAutospacing="0"/>
        <w:jc w:val="both"/>
        <w:rPr>
          <w:rFonts w:ascii="Arial" w:hAnsi="Arial" w:hint="default"/>
          <w:b w:val="0"/>
          <w:bCs w:val="0"/>
          <w:sz w:val="20"/>
          <w:szCs w:val="20"/>
        </w:rPr>
      </w:pPr>
      <w:r>
        <w:rPr>
          <w:rFonts w:ascii="Arial" w:hAnsi="Arial" w:hint="default"/>
          <w:b w:val="0"/>
          <w:bCs w:val="0"/>
          <w:sz w:val="20"/>
          <w:szCs w:val="20"/>
        </w:rPr>
        <w:t xml:space="preserve">In addition, a systematic review was combined with text mining methods in descriptive analysis and mapping of research trends on bioherbicides based on weed water extracts. This process included the stages of continuous identification, evaluation, and synthesis of the literature to answer the formulated research questions (Putri &amp; </w:t>
      </w:r>
      <w:proofErr w:type="spellStart"/>
      <w:r>
        <w:rPr>
          <w:rFonts w:ascii="Arial" w:hAnsi="Arial" w:hint="default"/>
          <w:b w:val="0"/>
          <w:bCs w:val="0"/>
          <w:sz w:val="20"/>
          <w:szCs w:val="20"/>
        </w:rPr>
        <w:t>Rohmah</w:t>
      </w:r>
      <w:proofErr w:type="spellEnd"/>
      <w:r>
        <w:rPr>
          <w:rFonts w:ascii="Arial" w:hAnsi="Arial" w:hint="default"/>
          <w:b w:val="0"/>
          <w:bCs w:val="0"/>
          <w:sz w:val="20"/>
          <w:szCs w:val="20"/>
        </w:rPr>
        <w:t>, 2025).</w:t>
      </w:r>
    </w:p>
    <w:p w14:paraId="603F6B5E" w14:textId="77777777" w:rsidR="00633CEB" w:rsidRDefault="004C60E9">
      <w:pPr>
        <w:pStyle w:val="Heading2"/>
        <w:spacing w:beforeAutospacing="0" w:afterAutospacing="0"/>
        <w:jc w:val="both"/>
        <w:rPr>
          <w:rFonts w:ascii="Arial" w:hAnsi="Arial" w:hint="default"/>
          <w:b w:val="0"/>
          <w:bCs w:val="0"/>
          <w:sz w:val="20"/>
          <w:szCs w:val="20"/>
        </w:rPr>
      </w:pPr>
      <w:r>
        <w:rPr>
          <w:rFonts w:ascii="Arial" w:hAnsi="Arial" w:hint="default"/>
          <w:b w:val="0"/>
          <w:bCs w:val="0"/>
          <w:sz w:val="20"/>
          <w:szCs w:val="20"/>
        </w:rPr>
        <w:t xml:space="preserve">The authors systematically compiled a set of keywords. </w:t>
      </w:r>
      <w:commentRangeStart w:id="5"/>
      <w:r>
        <w:rPr>
          <w:rFonts w:ascii="Arial" w:hAnsi="Arial" w:hint="default"/>
          <w:b w:val="0"/>
          <w:bCs w:val="0"/>
          <w:sz w:val="20"/>
          <w:szCs w:val="20"/>
        </w:rPr>
        <w:t xml:space="preserve">They conducted searches in the Scopus and Publish or Perish databases, </w:t>
      </w:r>
      <w:commentRangeEnd w:id="5"/>
      <w:r w:rsidR="006333D3">
        <w:rPr>
          <w:rStyle w:val="CommentReference"/>
          <w:rFonts w:ascii="Times New Roman" w:eastAsia="Times New Roman" w:hAnsi="Times New Roman" w:hint="default"/>
          <w:b w:val="0"/>
          <w:bCs w:val="0"/>
          <w:lang w:val="nb-NO" w:eastAsia="nb-NO"/>
        </w:rPr>
        <w:commentReference w:id="5"/>
      </w:r>
      <w:r>
        <w:rPr>
          <w:rFonts w:ascii="Arial" w:hAnsi="Arial" w:hint="default"/>
          <w:b w:val="0"/>
          <w:bCs w:val="0"/>
          <w:sz w:val="20"/>
          <w:szCs w:val="20"/>
        </w:rPr>
        <w:t>followed by a gradual screening process that included evaluating titles, abstracts, and full texts. This approach aims to assess the highest-quality studies, focusing on weed types, extraction methods, bioherbicide effectiveness, and field application conditions to identify trends and gaps in findings, inconsistent results, and research gaps in the development of bioherbicides from weed water extracts.</w:t>
      </w:r>
    </w:p>
    <w:p w14:paraId="7C06E8D6" w14:textId="77777777" w:rsidR="00633CEB" w:rsidRDefault="00633CEB">
      <w:pPr>
        <w:rPr>
          <w:rFonts w:ascii="Arial" w:hAnsi="Arial" w:cs="Arial"/>
          <w:b/>
          <w:bCs/>
          <w:sz w:val="22"/>
          <w:szCs w:val="22"/>
        </w:rPr>
      </w:pPr>
    </w:p>
    <w:p w14:paraId="301F44F7" w14:textId="77777777" w:rsidR="00633CEB" w:rsidRDefault="004C60E9">
      <w:pPr>
        <w:pStyle w:val="NormalWeb"/>
        <w:spacing w:beforeAutospacing="0" w:afterAutospacing="0"/>
        <w:rPr>
          <w:rFonts w:ascii="Arial" w:hAnsi="Arial" w:cs="Arial"/>
          <w:b/>
          <w:bCs/>
          <w:sz w:val="22"/>
          <w:szCs w:val="22"/>
        </w:rPr>
      </w:pPr>
      <w:r>
        <w:rPr>
          <w:rFonts w:ascii="Arial" w:hAnsi="Arial" w:cs="Arial"/>
          <w:b/>
          <w:bCs/>
          <w:sz w:val="22"/>
          <w:szCs w:val="22"/>
        </w:rPr>
        <w:t>2.2. Literature Search Strategy</w:t>
      </w:r>
    </w:p>
    <w:p w14:paraId="3AA58EDF" w14:textId="77777777" w:rsidR="00633CEB" w:rsidRDefault="004C60E9">
      <w:pPr>
        <w:pStyle w:val="Heading2"/>
        <w:spacing w:beforeAutospacing="0" w:afterAutospacing="0"/>
        <w:jc w:val="both"/>
        <w:rPr>
          <w:rFonts w:ascii="Arial" w:hAnsi="Arial" w:hint="default"/>
          <w:b w:val="0"/>
          <w:bCs w:val="0"/>
          <w:sz w:val="20"/>
          <w:szCs w:val="20"/>
        </w:rPr>
      </w:pPr>
      <w:r>
        <w:rPr>
          <w:rFonts w:ascii="Arial" w:hAnsi="Arial" w:hint="default"/>
          <w:b w:val="0"/>
          <w:bCs w:val="0"/>
          <w:sz w:val="20"/>
          <w:szCs w:val="20"/>
        </w:rPr>
        <w:t>This study aims to improve knowledge elaboration strategies in different literature in terms of relevance, diversification, and novelty. The search was conducted using a combination of the following key search terms: bioherbicides, weed extracts, sustainable agriculture, weed management, and natural herbicides, as well as the application of Boolean operators in English and Indonesian to expand the scope of literature identified.</w:t>
      </w:r>
    </w:p>
    <w:p w14:paraId="7C66E45D" w14:textId="77777777" w:rsidR="00633CEB" w:rsidRDefault="004C60E9">
      <w:pPr>
        <w:pStyle w:val="Heading2"/>
        <w:spacing w:beforeAutospacing="0" w:afterAutospacing="0"/>
        <w:jc w:val="both"/>
        <w:rPr>
          <w:rFonts w:ascii="Arial" w:hAnsi="Arial" w:hint="default"/>
          <w:b w:val="0"/>
          <w:bCs w:val="0"/>
          <w:sz w:val="20"/>
          <w:szCs w:val="20"/>
        </w:rPr>
      </w:pPr>
      <w:r>
        <w:rPr>
          <w:rFonts w:ascii="Arial" w:hAnsi="Arial" w:hint="default"/>
          <w:b w:val="0"/>
          <w:bCs w:val="0"/>
          <w:sz w:val="20"/>
          <w:szCs w:val="20"/>
        </w:rPr>
        <w:t>To achieve relevance and novelty, strict inclusion and exclusion criteria were applied by limiting the literature to English and Indonesian journals published in the last five years. The search was conducted systematically in Google Scholar, IEEE, ScienceDirect, and the Scopus database to maintain the validity and reliability of the review (</w:t>
      </w:r>
      <w:proofErr w:type="spellStart"/>
      <w:r>
        <w:rPr>
          <w:rFonts w:ascii="Arial" w:hAnsi="Arial" w:hint="default"/>
          <w:b w:val="0"/>
          <w:bCs w:val="0"/>
          <w:sz w:val="20"/>
          <w:szCs w:val="20"/>
        </w:rPr>
        <w:t>Aulia</w:t>
      </w:r>
      <w:proofErr w:type="spellEnd"/>
      <w:r>
        <w:rPr>
          <w:rFonts w:ascii="Arial" w:hAnsi="Arial" w:hint="default"/>
          <w:b w:val="0"/>
          <w:bCs w:val="0"/>
          <w:sz w:val="20"/>
          <w:szCs w:val="20"/>
        </w:rPr>
        <w:t xml:space="preserve"> et al., 2025).</w:t>
      </w:r>
    </w:p>
    <w:p w14:paraId="1253BE72" w14:textId="77777777" w:rsidR="00633CEB" w:rsidRDefault="004C60E9">
      <w:pPr>
        <w:pStyle w:val="Heading2"/>
        <w:spacing w:beforeAutospacing="0" w:afterAutospacing="0"/>
        <w:jc w:val="both"/>
        <w:rPr>
          <w:rFonts w:ascii="Arial" w:hAnsi="Arial" w:hint="default"/>
          <w:b w:val="0"/>
          <w:bCs w:val="0"/>
          <w:sz w:val="20"/>
          <w:szCs w:val="20"/>
        </w:rPr>
      </w:pPr>
      <w:r>
        <w:rPr>
          <w:rFonts w:ascii="Arial" w:hAnsi="Arial" w:hint="default"/>
          <w:b w:val="0"/>
          <w:bCs w:val="0"/>
          <w:sz w:val="20"/>
          <w:szCs w:val="20"/>
        </w:rPr>
        <w:t>The selected articles were analyzed in detail by extracting key information about the type of bioherbicide, extraction method, and effectiveness, as well as field application data (</w:t>
      </w:r>
      <w:proofErr w:type="spellStart"/>
      <w:r>
        <w:rPr>
          <w:rFonts w:ascii="Arial" w:hAnsi="Arial" w:hint="default"/>
          <w:b w:val="0"/>
          <w:bCs w:val="0"/>
          <w:sz w:val="20"/>
          <w:szCs w:val="20"/>
        </w:rPr>
        <w:t>Rukmana</w:t>
      </w:r>
      <w:proofErr w:type="spellEnd"/>
      <w:r>
        <w:rPr>
          <w:rFonts w:ascii="Arial" w:hAnsi="Arial" w:hint="default"/>
          <w:b w:val="0"/>
          <w:bCs w:val="0"/>
          <w:sz w:val="20"/>
          <w:szCs w:val="20"/>
        </w:rPr>
        <w:t xml:space="preserve"> et al., 2023). The inclusion criteria focused on empirical studies investigating bioherbicides based on </w:t>
      </w:r>
      <w:commentRangeStart w:id="6"/>
      <w:r>
        <w:rPr>
          <w:rFonts w:ascii="Arial" w:hAnsi="Arial" w:hint="default"/>
          <w:b w:val="0"/>
          <w:bCs w:val="0"/>
          <w:sz w:val="20"/>
          <w:szCs w:val="20"/>
        </w:rPr>
        <w:t>water-mountain weed extracts</w:t>
      </w:r>
      <w:commentRangeEnd w:id="6"/>
      <w:r w:rsidR="006333D3">
        <w:rPr>
          <w:rStyle w:val="CommentReference"/>
          <w:rFonts w:ascii="Times New Roman" w:eastAsia="Times New Roman" w:hAnsi="Times New Roman" w:hint="default"/>
          <w:b w:val="0"/>
          <w:bCs w:val="0"/>
          <w:lang w:val="nb-NO" w:eastAsia="nb-NO"/>
        </w:rPr>
        <w:commentReference w:id="6"/>
      </w:r>
      <w:r>
        <w:rPr>
          <w:rFonts w:ascii="Arial" w:hAnsi="Arial" w:hint="default"/>
          <w:b w:val="0"/>
          <w:bCs w:val="0"/>
          <w:sz w:val="20"/>
          <w:szCs w:val="20"/>
        </w:rPr>
        <w:t>. In contrast, review papers, publications without primary data, and studies that did not consider weeds or plant competition were excluded (Mahé et al., 2022).</w:t>
      </w:r>
    </w:p>
    <w:p w14:paraId="31BDDC3A" w14:textId="77777777" w:rsidR="00633CEB" w:rsidRDefault="004C60E9">
      <w:pPr>
        <w:pStyle w:val="Heading2"/>
        <w:spacing w:beforeAutospacing="0" w:afterAutospacing="0"/>
        <w:jc w:val="both"/>
        <w:rPr>
          <w:rFonts w:ascii="Arial" w:hAnsi="Arial" w:hint="default"/>
          <w:b w:val="0"/>
          <w:bCs w:val="0"/>
          <w:sz w:val="20"/>
          <w:szCs w:val="20"/>
        </w:rPr>
      </w:pPr>
      <w:r>
        <w:rPr>
          <w:rFonts w:ascii="Arial" w:hAnsi="Arial" w:hint="default"/>
          <w:b w:val="0"/>
          <w:bCs w:val="0"/>
          <w:sz w:val="20"/>
          <w:szCs w:val="20"/>
        </w:rPr>
        <w:t>In order to maintain transparency and minimize bias, all selection processes were documented using PRISMA so that only relevant and high-quality literature was synthesized (Aremu et al., 2024). In addition to international databases, searches were also conducted in the national database, Portal Garuda, to include local studies that were not indexed globally (Bahrom et al., 2025).</w:t>
      </w:r>
    </w:p>
    <w:p w14:paraId="5BB67B7B" w14:textId="77777777" w:rsidR="00633CEB" w:rsidRDefault="004C60E9">
      <w:pPr>
        <w:pStyle w:val="Heading2"/>
        <w:spacing w:beforeAutospacing="0" w:afterAutospacing="0"/>
        <w:jc w:val="both"/>
        <w:rPr>
          <w:rFonts w:ascii="Arial" w:hAnsi="Arial" w:cs="Arial" w:hint="default"/>
          <w:b w:val="0"/>
          <w:bCs w:val="0"/>
          <w:sz w:val="20"/>
          <w:szCs w:val="20"/>
        </w:rPr>
      </w:pPr>
      <w:r>
        <w:rPr>
          <w:rFonts w:ascii="Arial" w:hAnsi="Arial" w:hint="default"/>
          <w:b w:val="0"/>
          <w:bCs w:val="0"/>
          <w:sz w:val="20"/>
          <w:szCs w:val="20"/>
        </w:rPr>
        <w:t>The screening process was carried out in stages: a review of titles and abstracts, followed by a full-text review. To increase objectivity and minimize subjective bias, articles were selected through an independent double-review process (Martin et al., 2020).</w:t>
      </w:r>
    </w:p>
    <w:p w14:paraId="02ABF26E" w14:textId="77777777" w:rsidR="00633CEB" w:rsidRDefault="00633CEB">
      <w:pPr>
        <w:pStyle w:val="Heading2"/>
        <w:spacing w:beforeAutospacing="0" w:afterAutospacing="0"/>
        <w:jc w:val="both"/>
        <w:rPr>
          <w:rFonts w:ascii="Arial" w:hAnsi="Arial" w:cs="Arial" w:hint="default"/>
          <w:sz w:val="20"/>
          <w:szCs w:val="20"/>
        </w:rPr>
      </w:pPr>
    </w:p>
    <w:p w14:paraId="19802A26" w14:textId="77777777" w:rsidR="00633CEB" w:rsidRDefault="004C60E9">
      <w:pPr>
        <w:pStyle w:val="Heading2"/>
        <w:numPr>
          <w:ilvl w:val="1"/>
          <w:numId w:val="2"/>
        </w:numPr>
        <w:spacing w:beforeAutospacing="0" w:afterAutospacing="0"/>
        <w:jc w:val="both"/>
        <w:rPr>
          <w:rFonts w:ascii="Arial" w:hAnsi="Arial" w:cs="Arial" w:hint="default"/>
          <w:sz w:val="22"/>
          <w:szCs w:val="22"/>
        </w:rPr>
      </w:pPr>
      <w:r>
        <w:rPr>
          <w:rFonts w:ascii="Arial" w:hAnsi="Arial" w:hint="default"/>
          <w:sz w:val="22"/>
          <w:szCs w:val="22"/>
        </w:rPr>
        <w:t>Inclusion and Exclusion Criteria</w:t>
      </w:r>
    </w:p>
    <w:p w14:paraId="64DDB285" w14:textId="77777777" w:rsidR="00633CEB" w:rsidRDefault="004C60E9">
      <w:pPr>
        <w:pStyle w:val="NormalWeb"/>
        <w:spacing w:beforeAutospacing="0" w:afterAutospacing="0"/>
        <w:ind w:firstLineChars="300" w:firstLine="600"/>
        <w:jc w:val="both"/>
        <w:rPr>
          <w:rFonts w:ascii="Arial" w:hAnsi="Arial"/>
          <w:sz w:val="20"/>
          <w:szCs w:val="20"/>
        </w:rPr>
      </w:pPr>
      <w:r>
        <w:rPr>
          <w:rFonts w:ascii="Arial" w:hAnsi="Arial"/>
          <w:sz w:val="20"/>
          <w:szCs w:val="20"/>
        </w:rPr>
        <w:t>Several inclusion criteria relevant to this study are peer-reviewed research articles, both in English and Indonesian, which discuss the use of weed extracts as bioherbicides and present empirical data that can be analyzed quantitatively or qualitatively (</w:t>
      </w:r>
      <w:proofErr w:type="spellStart"/>
      <w:r>
        <w:rPr>
          <w:rFonts w:ascii="Arial" w:hAnsi="Arial"/>
          <w:sz w:val="20"/>
          <w:szCs w:val="20"/>
        </w:rPr>
        <w:t>Husnaeni</w:t>
      </w:r>
      <w:proofErr w:type="spellEnd"/>
      <w:r>
        <w:rPr>
          <w:rFonts w:ascii="Arial" w:hAnsi="Arial"/>
          <w:sz w:val="20"/>
          <w:szCs w:val="20"/>
        </w:rPr>
        <w:t xml:space="preserve"> et al., 2025). Conversely, review articles, opinions, unofficial proceedings, publications without primary data, articles without full-text access, and articles published more than 5 years ago </w:t>
      </w:r>
      <w:r>
        <w:rPr>
          <w:rFonts w:ascii="Arial" w:hAnsi="Arial"/>
          <w:sz w:val="20"/>
          <w:szCs w:val="20"/>
        </w:rPr>
        <w:lastRenderedPageBreak/>
        <w:t>were excluded to maintain the relevance and novelty of this study (</w:t>
      </w:r>
      <w:proofErr w:type="spellStart"/>
      <w:r>
        <w:rPr>
          <w:rFonts w:ascii="Arial" w:hAnsi="Arial"/>
          <w:sz w:val="20"/>
          <w:szCs w:val="20"/>
        </w:rPr>
        <w:t>Suminingtyas</w:t>
      </w:r>
      <w:proofErr w:type="spellEnd"/>
      <w:r>
        <w:rPr>
          <w:rFonts w:ascii="Arial" w:hAnsi="Arial"/>
          <w:sz w:val="20"/>
          <w:szCs w:val="20"/>
        </w:rPr>
        <w:t xml:space="preserve"> &amp; </w:t>
      </w:r>
      <w:proofErr w:type="spellStart"/>
      <w:r>
        <w:rPr>
          <w:rFonts w:ascii="Arial" w:hAnsi="Arial"/>
          <w:sz w:val="20"/>
          <w:szCs w:val="20"/>
        </w:rPr>
        <w:t>Herlina</w:t>
      </w:r>
      <w:proofErr w:type="spellEnd"/>
      <w:r>
        <w:rPr>
          <w:rFonts w:ascii="Arial" w:hAnsi="Arial"/>
          <w:sz w:val="20"/>
          <w:szCs w:val="20"/>
        </w:rPr>
        <w:t>, 2025).</w:t>
      </w:r>
    </w:p>
    <w:p w14:paraId="28168A6F" w14:textId="77777777" w:rsidR="00633CEB" w:rsidRDefault="004C60E9">
      <w:pPr>
        <w:pStyle w:val="NormalWeb"/>
        <w:spacing w:beforeAutospacing="0" w:afterAutospacing="0"/>
        <w:ind w:firstLineChars="300" w:firstLine="600"/>
        <w:jc w:val="both"/>
        <w:rPr>
          <w:rFonts w:ascii="Arial" w:hAnsi="Arial"/>
          <w:sz w:val="20"/>
          <w:szCs w:val="20"/>
        </w:rPr>
      </w:pPr>
      <w:r>
        <w:rPr>
          <w:rFonts w:ascii="Arial" w:hAnsi="Arial"/>
          <w:sz w:val="20"/>
          <w:szCs w:val="20"/>
        </w:rPr>
        <w:t>The literature screening and selection process was carried out in two stages. First, the titles and abstracts were screened to assess relevance and remove duplicates; then, the full text was evaluated to systematically assess the quality of the methodology and its relevance to the inclusion and exclusion criteria (Amelia et al., 2025). The articles included in this study were full-text articles directly relevant to bioherbicides using water extracts and weeds, and the authors removed duplicates based on the earliest publication (</w:t>
      </w:r>
      <w:proofErr w:type="spellStart"/>
      <w:r>
        <w:rPr>
          <w:rFonts w:ascii="Arial" w:hAnsi="Arial"/>
          <w:sz w:val="20"/>
          <w:szCs w:val="20"/>
        </w:rPr>
        <w:t>Puspitasari</w:t>
      </w:r>
      <w:proofErr w:type="spellEnd"/>
      <w:r>
        <w:rPr>
          <w:rFonts w:ascii="Arial" w:hAnsi="Arial"/>
          <w:sz w:val="20"/>
          <w:szCs w:val="20"/>
        </w:rPr>
        <w:t xml:space="preserve"> &amp; </w:t>
      </w:r>
      <w:proofErr w:type="spellStart"/>
      <w:r>
        <w:rPr>
          <w:rFonts w:ascii="Arial" w:hAnsi="Arial"/>
          <w:sz w:val="20"/>
          <w:szCs w:val="20"/>
        </w:rPr>
        <w:t>Choerunisa</w:t>
      </w:r>
      <w:proofErr w:type="spellEnd"/>
      <w:r>
        <w:rPr>
          <w:rFonts w:ascii="Arial" w:hAnsi="Arial"/>
          <w:sz w:val="20"/>
          <w:szCs w:val="20"/>
        </w:rPr>
        <w:t>, 2021). Thus, this approach was based on reliable and relevant empirical evidence and was scientifically responsible.</w:t>
      </w:r>
    </w:p>
    <w:p w14:paraId="03C9904E" w14:textId="77777777" w:rsidR="00633CEB" w:rsidRDefault="00633CEB">
      <w:pPr>
        <w:pStyle w:val="NormalWeb"/>
        <w:spacing w:beforeAutospacing="0" w:afterAutospacing="0"/>
        <w:jc w:val="both"/>
        <w:rPr>
          <w:rFonts w:ascii="Arial" w:hAnsi="Arial"/>
          <w:sz w:val="20"/>
          <w:szCs w:val="20"/>
        </w:rPr>
      </w:pPr>
    </w:p>
    <w:p w14:paraId="66B1BADA" w14:textId="77777777" w:rsidR="00633CEB" w:rsidRDefault="004C60E9">
      <w:pPr>
        <w:pStyle w:val="NormalWeb"/>
        <w:spacing w:beforeAutospacing="0" w:afterAutospacing="0"/>
        <w:rPr>
          <w:rFonts w:ascii="Arial" w:hAnsi="Arial" w:cs="Arial"/>
          <w:b/>
          <w:bCs/>
          <w:sz w:val="22"/>
          <w:szCs w:val="22"/>
        </w:rPr>
      </w:pPr>
      <w:r>
        <w:rPr>
          <w:rFonts w:ascii="Arial" w:hAnsi="Arial" w:cs="Arial"/>
          <w:b/>
          <w:bCs/>
          <w:sz w:val="22"/>
          <w:szCs w:val="22"/>
        </w:rPr>
        <w:t>2.</w:t>
      </w:r>
      <w:proofErr w:type="gramStart"/>
      <w:r>
        <w:rPr>
          <w:rFonts w:ascii="Arial" w:hAnsi="Arial" w:cs="Arial"/>
          <w:b/>
          <w:bCs/>
          <w:sz w:val="22"/>
          <w:szCs w:val="22"/>
        </w:rPr>
        <w:t>3.Literature</w:t>
      </w:r>
      <w:proofErr w:type="gramEnd"/>
      <w:r>
        <w:rPr>
          <w:rFonts w:ascii="Arial" w:hAnsi="Arial" w:cs="Arial"/>
          <w:b/>
          <w:bCs/>
          <w:sz w:val="22"/>
          <w:szCs w:val="22"/>
        </w:rPr>
        <w:t xml:space="preserve"> Selection Process </w:t>
      </w:r>
    </w:p>
    <w:p w14:paraId="4B5A3814" w14:textId="77777777" w:rsidR="00633CEB" w:rsidRDefault="004C60E9">
      <w:pPr>
        <w:pStyle w:val="Heading2"/>
        <w:spacing w:beforeAutospacing="0" w:afterAutospacing="0"/>
        <w:jc w:val="both"/>
        <w:rPr>
          <w:rFonts w:ascii="Arial" w:hAnsi="Arial" w:hint="default"/>
          <w:b w:val="0"/>
          <w:bCs w:val="0"/>
          <w:sz w:val="20"/>
          <w:szCs w:val="20"/>
        </w:rPr>
      </w:pPr>
      <w:r>
        <w:rPr>
          <w:rFonts w:ascii="Arial" w:hAnsi="Arial" w:hint="default"/>
          <w:b w:val="0"/>
          <w:bCs w:val="0"/>
          <w:sz w:val="20"/>
          <w:szCs w:val="20"/>
        </w:rPr>
        <w:t>The process of selecting literature for systematic reviews followed the PRISMA guidelines, beginning with the identification of research articles from various academic databases, then screening titles and abstracts to assess initial relevance, and removing duplicate articles. Articles that passed the initial stage were then reviewed by reading the full text to determine whether they met the inclusion and exclusion criteria.</w:t>
      </w:r>
    </w:p>
    <w:p w14:paraId="5F262CE8" w14:textId="77777777" w:rsidR="00633CEB" w:rsidRDefault="004C60E9">
      <w:pPr>
        <w:pStyle w:val="Heading2"/>
        <w:spacing w:beforeAutospacing="0" w:afterAutospacing="0"/>
        <w:jc w:val="both"/>
        <w:rPr>
          <w:rFonts w:ascii="Arial" w:hAnsi="Arial" w:hint="default"/>
          <w:b w:val="0"/>
          <w:bCs w:val="0"/>
          <w:sz w:val="20"/>
          <w:szCs w:val="20"/>
        </w:rPr>
      </w:pPr>
      <w:r>
        <w:rPr>
          <w:rFonts w:ascii="Arial" w:hAnsi="Arial" w:hint="default"/>
          <w:b w:val="0"/>
          <w:bCs w:val="0"/>
          <w:sz w:val="20"/>
          <w:szCs w:val="20"/>
        </w:rPr>
        <w:t>The reasons for all inclusion and exclusion criteria were recorded, documented, and were transparent and replicable, including the reasons for exclusion, to minimize bias and improve the accuracy of the research. Selected articles were reviewed based on methodological quality, topical relevance, and publication novelty, especially those published in peer-reviewed journals. Duplicate records across databases were detected and removed to ensure the uniqueness of the sources.</w:t>
      </w:r>
    </w:p>
    <w:p w14:paraId="5695B1B9" w14:textId="77777777" w:rsidR="00633CEB" w:rsidRDefault="004C60E9">
      <w:pPr>
        <w:pStyle w:val="Heading2"/>
        <w:spacing w:beforeAutospacing="0" w:afterAutospacing="0"/>
        <w:jc w:val="both"/>
        <w:rPr>
          <w:rFonts w:ascii="Arial" w:hAnsi="Arial" w:hint="default"/>
          <w:b w:val="0"/>
          <w:bCs w:val="0"/>
          <w:sz w:val="20"/>
          <w:szCs w:val="20"/>
        </w:rPr>
      </w:pPr>
      <w:r>
        <w:rPr>
          <w:rFonts w:ascii="Arial" w:hAnsi="Arial" w:hint="default"/>
          <w:b w:val="0"/>
          <w:bCs w:val="0"/>
          <w:sz w:val="20"/>
          <w:szCs w:val="20"/>
        </w:rPr>
        <w:t>Thematic and narrative data synthesis in the development of quiet water hyacinth bioherbicides can identify patterns, trends, and research gaps. Bibliometric analysis, in addition to narrative and thematic synthesis, focuses on evaluating publication distribution, author affiliations, and the development of research themes. Systematic extraction of primary information, such as publication year, research objectives, research methods, research variables, and research findings, supports comprehensive and reliable analysis.</w:t>
      </w:r>
    </w:p>
    <w:p w14:paraId="47CFE032" w14:textId="77777777" w:rsidR="00633CEB" w:rsidRDefault="00633CEB"/>
    <w:p w14:paraId="0CD8BDC7" w14:textId="77777777" w:rsidR="00633CEB" w:rsidRDefault="004C60E9">
      <w:pPr>
        <w:pStyle w:val="Head1"/>
        <w:spacing w:after="0"/>
        <w:jc w:val="both"/>
        <w:rPr>
          <w:rFonts w:ascii="Arial" w:hAnsi="Arial" w:cs="Arial"/>
        </w:rPr>
      </w:pPr>
      <w:r>
        <w:rPr>
          <w:rFonts w:ascii="Arial" w:hAnsi="Arial" w:cs="Arial"/>
        </w:rPr>
        <w:t>3. results and discussion</w:t>
      </w:r>
    </w:p>
    <w:p w14:paraId="71F52613" w14:textId="77777777" w:rsidR="00633CEB" w:rsidRDefault="004C60E9">
      <w:pPr>
        <w:pStyle w:val="Heading2"/>
        <w:spacing w:beforeAutospacing="0" w:afterAutospacing="0"/>
        <w:jc w:val="both"/>
        <w:rPr>
          <w:rFonts w:ascii="Arial" w:hAnsi="Arial" w:hint="default"/>
          <w:b w:val="0"/>
          <w:bCs w:val="0"/>
          <w:sz w:val="20"/>
          <w:szCs w:val="20"/>
        </w:rPr>
      </w:pPr>
      <w:r>
        <w:rPr>
          <w:rFonts w:ascii="Arial" w:hAnsi="Arial" w:hint="default"/>
          <w:b w:val="0"/>
          <w:bCs w:val="0"/>
          <w:sz w:val="20"/>
          <w:szCs w:val="20"/>
        </w:rPr>
        <w:t xml:space="preserve">Delegate the analysis of data from the synthesis of 36 articles that met the inclusion criteria for analysis using content analysis. The review also identified several weed species with strong allelopathic effects—a review of weed analysis using bioactive compounds that can inhibit weed growth and reproduction. </w:t>
      </w:r>
      <w:commentRangeStart w:id="7"/>
      <w:r>
        <w:rPr>
          <w:rFonts w:ascii="Arial" w:hAnsi="Arial" w:hint="default"/>
          <w:b w:val="0"/>
          <w:bCs w:val="0"/>
          <w:sz w:val="20"/>
          <w:szCs w:val="20"/>
        </w:rPr>
        <w:t>Water extraction is one of the most environmentally friendly methods and is most suitable for application in sustainable agriculture</w:t>
      </w:r>
      <w:commentRangeEnd w:id="7"/>
      <w:r w:rsidR="007A59DB">
        <w:rPr>
          <w:rStyle w:val="CommentReference"/>
          <w:rFonts w:ascii="Times New Roman" w:eastAsia="Times New Roman" w:hAnsi="Times New Roman" w:hint="default"/>
          <w:b w:val="0"/>
          <w:bCs w:val="0"/>
          <w:lang w:val="nb-NO" w:eastAsia="nb-NO"/>
        </w:rPr>
        <w:commentReference w:id="7"/>
      </w:r>
      <w:r>
        <w:rPr>
          <w:rFonts w:ascii="Arial" w:hAnsi="Arial" w:hint="default"/>
          <w:b w:val="0"/>
          <w:bCs w:val="0"/>
          <w:sz w:val="20"/>
          <w:szCs w:val="20"/>
        </w:rPr>
        <w:t xml:space="preserve">. </w:t>
      </w:r>
      <w:commentRangeStart w:id="8"/>
      <w:r>
        <w:rPr>
          <w:rFonts w:ascii="Arial" w:hAnsi="Arial" w:hint="default"/>
          <w:b w:val="0"/>
          <w:bCs w:val="0"/>
          <w:sz w:val="20"/>
          <w:szCs w:val="20"/>
        </w:rPr>
        <w:t>The primary secondary metabolites obtained from phenolic compounds, flavonoids, and alkaloids play a role in natural herbicides.</w:t>
      </w:r>
      <w:commentRangeEnd w:id="8"/>
      <w:r w:rsidR="007A59DB">
        <w:rPr>
          <w:rStyle w:val="CommentReference"/>
          <w:rFonts w:ascii="Times New Roman" w:eastAsia="Times New Roman" w:hAnsi="Times New Roman" w:hint="default"/>
          <w:b w:val="0"/>
          <w:bCs w:val="0"/>
          <w:lang w:val="nb-NO" w:eastAsia="nb-NO"/>
        </w:rPr>
        <w:commentReference w:id="8"/>
      </w:r>
    </w:p>
    <w:p w14:paraId="64C29C3D" w14:textId="77777777" w:rsidR="00633CEB" w:rsidRDefault="004C60E9">
      <w:pPr>
        <w:pStyle w:val="Heading2"/>
        <w:spacing w:beforeAutospacing="0" w:afterAutospacing="0"/>
        <w:jc w:val="both"/>
        <w:rPr>
          <w:rFonts w:ascii="Arial" w:hAnsi="Arial" w:hint="default"/>
          <w:b w:val="0"/>
          <w:bCs w:val="0"/>
          <w:sz w:val="20"/>
          <w:szCs w:val="20"/>
        </w:rPr>
      </w:pPr>
      <w:r>
        <w:rPr>
          <w:rFonts w:ascii="Arial" w:hAnsi="Arial" w:hint="default"/>
          <w:b w:val="0"/>
          <w:bCs w:val="0"/>
          <w:sz w:val="20"/>
          <w:szCs w:val="20"/>
        </w:rPr>
        <w:t>The use of thematic analysis to determine patterns and heterogeneity between studies in the writing. The author also revealed that, in the analysis, he used an analysis testing pattern, determining two tests for twenty-one tests, using twenty-one tests. From the analysis, the highest result from the twenty-one analysis tests was 21. The analysis showed that the tests produced 21 results.</w:t>
      </w:r>
    </w:p>
    <w:p w14:paraId="18F0BB63" w14:textId="77777777" w:rsidR="00633CEB" w:rsidRDefault="004C60E9">
      <w:pPr>
        <w:pStyle w:val="Heading2"/>
        <w:spacing w:beforeAutospacing="0" w:afterAutospacing="0"/>
        <w:jc w:val="both"/>
        <w:rPr>
          <w:rFonts w:ascii="Arial" w:hAnsi="Arial" w:hint="default"/>
          <w:b w:val="0"/>
          <w:bCs w:val="0"/>
          <w:sz w:val="20"/>
          <w:szCs w:val="20"/>
        </w:rPr>
      </w:pPr>
      <w:r>
        <w:rPr>
          <w:rFonts w:ascii="Arial" w:hAnsi="Arial" w:hint="default"/>
          <w:b w:val="0"/>
          <w:bCs w:val="0"/>
          <w:sz w:val="20"/>
          <w:szCs w:val="20"/>
        </w:rPr>
        <w:t xml:space="preserve">However, in terms of weed control in bioherbicides and in sustainable agricultural practices, weed control reduces the use of synthetic herbicides. However, improvements and enhancements are needed in design, assurance, and systems in agriculture, especially in rice systems. </w:t>
      </w:r>
      <w:commentRangeStart w:id="9"/>
      <w:r>
        <w:rPr>
          <w:rFonts w:ascii="Arial" w:hAnsi="Arial" w:hint="default"/>
          <w:b w:val="0"/>
          <w:bCs w:val="0"/>
          <w:sz w:val="20"/>
          <w:szCs w:val="20"/>
        </w:rPr>
        <w:t>Within the research site, with research offsets specifically within the research zone.</w:t>
      </w:r>
      <w:commentRangeEnd w:id="9"/>
      <w:r w:rsidR="007A59DB">
        <w:rPr>
          <w:rStyle w:val="CommentReference"/>
          <w:rFonts w:ascii="Times New Roman" w:eastAsia="Times New Roman" w:hAnsi="Times New Roman" w:hint="default"/>
          <w:b w:val="0"/>
          <w:bCs w:val="0"/>
          <w:lang w:val="nb-NO" w:eastAsia="nb-NO"/>
        </w:rPr>
        <w:commentReference w:id="9"/>
      </w:r>
    </w:p>
    <w:p w14:paraId="665175AB" w14:textId="77777777" w:rsidR="00633CEB" w:rsidRDefault="00633CEB"/>
    <w:p w14:paraId="5E1BFD82" w14:textId="77777777" w:rsidR="00633CEB" w:rsidRDefault="004C60E9">
      <w:pPr>
        <w:pStyle w:val="NormalWeb"/>
        <w:numPr>
          <w:ilvl w:val="1"/>
          <w:numId w:val="2"/>
        </w:numPr>
        <w:spacing w:beforeAutospacing="0" w:afterAutospacing="0"/>
        <w:rPr>
          <w:rFonts w:ascii="Arial" w:hAnsi="Arial" w:cs="Arial"/>
          <w:b/>
          <w:bCs/>
          <w:sz w:val="22"/>
          <w:szCs w:val="22"/>
        </w:rPr>
      </w:pPr>
      <w:commentRangeStart w:id="10"/>
      <w:r>
        <w:rPr>
          <w:rFonts w:ascii="Arial" w:hAnsi="Arial" w:cs="Arial"/>
          <w:b/>
          <w:bCs/>
          <w:sz w:val="22"/>
          <w:szCs w:val="22"/>
        </w:rPr>
        <w:t>The</w:t>
      </w:r>
      <w:commentRangeEnd w:id="10"/>
      <w:r w:rsidR="007A59DB">
        <w:rPr>
          <w:rStyle w:val="CommentReference"/>
          <w:rFonts w:eastAsia="Times New Roman"/>
          <w:lang w:val="nb-NO" w:eastAsia="nb-NO"/>
        </w:rPr>
        <w:commentReference w:id="10"/>
      </w:r>
      <w:r>
        <w:rPr>
          <w:rFonts w:ascii="Arial" w:hAnsi="Arial" w:cs="Arial"/>
          <w:b/>
          <w:bCs/>
          <w:sz w:val="22"/>
          <w:szCs w:val="22"/>
        </w:rPr>
        <w:t xml:space="preserve"> Concept of Bioherbicides and the Principle of Allelopathy</w:t>
      </w:r>
    </w:p>
    <w:p w14:paraId="72D93CA4" w14:textId="77777777" w:rsidR="00633CEB" w:rsidRDefault="004C60E9">
      <w:pPr>
        <w:pStyle w:val="Heading2"/>
        <w:spacing w:beforeAutospacing="0" w:afterAutospacing="0"/>
        <w:jc w:val="both"/>
        <w:rPr>
          <w:rFonts w:ascii="Arial" w:hAnsi="Arial" w:hint="default"/>
          <w:b w:val="0"/>
          <w:bCs w:val="0"/>
          <w:sz w:val="20"/>
          <w:szCs w:val="20"/>
        </w:rPr>
      </w:pPr>
      <w:r>
        <w:rPr>
          <w:rFonts w:ascii="Arial" w:hAnsi="Arial" w:hint="default"/>
          <w:b w:val="0"/>
          <w:bCs w:val="0"/>
          <w:sz w:val="20"/>
          <w:szCs w:val="20"/>
        </w:rPr>
        <w:t>Bioherbicides are derived from living organisms or their products, especially plant secondary metabolites that are phytotoxic to target weeds (</w:t>
      </w:r>
      <w:proofErr w:type="spellStart"/>
      <w:r>
        <w:rPr>
          <w:rFonts w:ascii="Arial" w:hAnsi="Arial" w:hint="default"/>
          <w:b w:val="0"/>
          <w:bCs w:val="0"/>
          <w:sz w:val="20"/>
          <w:szCs w:val="20"/>
        </w:rPr>
        <w:t>Mudaningrat</w:t>
      </w:r>
      <w:proofErr w:type="spellEnd"/>
      <w:r>
        <w:rPr>
          <w:rFonts w:ascii="Arial" w:hAnsi="Arial" w:hint="default"/>
          <w:b w:val="0"/>
          <w:bCs w:val="0"/>
          <w:sz w:val="20"/>
          <w:szCs w:val="20"/>
        </w:rPr>
        <w:t xml:space="preserve"> et al., 2023). The development of bioherbicides from weed extracts is based on the principle of allelopathy, the ability of an organism to produce allelochemicals that affect the growth, development, and reproduction of </w:t>
      </w:r>
      <w:r>
        <w:rPr>
          <w:rFonts w:ascii="Arial" w:hAnsi="Arial" w:hint="default"/>
          <w:b w:val="0"/>
          <w:bCs w:val="0"/>
          <w:sz w:val="20"/>
          <w:szCs w:val="20"/>
        </w:rPr>
        <w:lastRenderedPageBreak/>
        <w:t xml:space="preserve">other organisms (Anwar et al., 2021). Phytotoxic allelochemicals can be extracted from various parts of weeds and have been proven to inhibit weed germination and growth, making them a more environmentally friendly alternative to synthetic herbicides (Najib et al., 2025; </w:t>
      </w:r>
      <w:proofErr w:type="spellStart"/>
      <w:r>
        <w:rPr>
          <w:rFonts w:ascii="Arial" w:hAnsi="Arial" w:hint="default"/>
          <w:b w:val="0"/>
          <w:bCs w:val="0"/>
          <w:sz w:val="20"/>
          <w:szCs w:val="20"/>
        </w:rPr>
        <w:t>Sahrir</w:t>
      </w:r>
      <w:proofErr w:type="spellEnd"/>
      <w:r>
        <w:rPr>
          <w:rFonts w:ascii="Arial" w:hAnsi="Arial" w:hint="default"/>
          <w:b w:val="0"/>
          <w:bCs w:val="0"/>
          <w:sz w:val="20"/>
          <w:szCs w:val="20"/>
        </w:rPr>
        <w:t xml:space="preserve"> et al., 2022).</w:t>
      </w:r>
    </w:p>
    <w:p w14:paraId="12F8464F" w14:textId="77777777" w:rsidR="00633CEB" w:rsidRDefault="004C60E9">
      <w:pPr>
        <w:pStyle w:val="Heading2"/>
        <w:spacing w:beforeAutospacing="0" w:afterAutospacing="0"/>
        <w:jc w:val="both"/>
        <w:rPr>
          <w:rFonts w:ascii="Arial" w:hAnsi="Arial" w:hint="default"/>
          <w:b w:val="0"/>
          <w:bCs w:val="0"/>
          <w:sz w:val="20"/>
          <w:szCs w:val="20"/>
        </w:rPr>
      </w:pPr>
      <w:r>
        <w:rPr>
          <w:rFonts w:ascii="Arial" w:hAnsi="Arial" w:hint="default"/>
          <w:b w:val="0"/>
          <w:bCs w:val="0"/>
          <w:sz w:val="20"/>
          <w:szCs w:val="20"/>
        </w:rPr>
        <w:t>In addition to weeds, several cultivated plants, such as wheat, rice, peas, and sunflowers, also exhibit allelopathic properties that can suppress weeds, reinforcing the relevance of phytotoxic extracts as an option for sustainable weed control (Susilo et al., 2025; Khamare et al., 2022). Allelopathy involves secondary metabolites produced by various organisms. It plays an important role in agricultural ecosystem dynamics (Susilo et al., 2021), with many weeds known to produce allelopathic compounds that inhibit other plants (</w:t>
      </w:r>
      <w:proofErr w:type="spellStart"/>
      <w:r>
        <w:rPr>
          <w:rFonts w:ascii="Arial" w:hAnsi="Arial" w:hint="default"/>
          <w:b w:val="0"/>
          <w:bCs w:val="0"/>
          <w:sz w:val="20"/>
          <w:szCs w:val="20"/>
        </w:rPr>
        <w:t>Indarwati</w:t>
      </w:r>
      <w:proofErr w:type="spellEnd"/>
      <w:r>
        <w:rPr>
          <w:rFonts w:ascii="Arial" w:hAnsi="Arial" w:hint="default"/>
          <w:b w:val="0"/>
          <w:bCs w:val="0"/>
          <w:sz w:val="20"/>
          <w:szCs w:val="20"/>
        </w:rPr>
        <w:t xml:space="preserve"> et al., 2023).</w:t>
      </w:r>
    </w:p>
    <w:p w14:paraId="59ADF95F" w14:textId="77777777" w:rsidR="00633CEB" w:rsidRDefault="004C60E9">
      <w:pPr>
        <w:pStyle w:val="Heading2"/>
        <w:spacing w:beforeAutospacing="0" w:afterAutospacing="0"/>
        <w:jc w:val="both"/>
        <w:rPr>
          <w:rFonts w:ascii="Arial" w:hAnsi="Arial" w:cs="Arial" w:hint="default"/>
          <w:b w:val="0"/>
          <w:bCs w:val="0"/>
          <w:sz w:val="20"/>
          <w:szCs w:val="20"/>
        </w:rPr>
      </w:pPr>
      <w:r>
        <w:rPr>
          <w:rFonts w:ascii="Arial" w:hAnsi="Arial" w:hint="default"/>
          <w:b w:val="0"/>
          <w:bCs w:val="0"/>
          <w:sz w:val="20"/>
          <w:szCs w:val="20"/>
        </w:rPr>
        <w:t>However, synthetic herbicides also have adverse effects on the environment and human health and increase production costs, so they are used as a last resort (Amrullah et al., 2024). Therefore, allelopathic bioherbicides are considered the right choice and are in line with sustainable and environmentally friendly agricultural practices.</w:t>
      </w:r>
    </w:p>
    <w:p w14:paraId="0244A5F4" w14:textId="77777777" w:rsidR="00633CEB" w:rsidRDefault="00633CEB">
      <w:pPr>
        <w:pStyle w:val="Heading2"/>
        <w:spacing w:beforeAutospacing="0" w:afterAutospacing="0"/>
        <w:jc w:val="both"/>
        <w:rPr>
          <w:rFonts w:ascii="Arial" w:hAnsi="Arial" w:cs="Arial" w:hint="default"/>
          <w:b w:val="0"/>
          <w:bCs w:val="0"/>
          <w:sz w:val="20"/>
          <w:szCs w:val="20"/>
        </w:rPr>
      </w:pPr>
    </w:p>
    <w:p w14:paraId="1E9F3F75" w14:textId="77777777" w:rsidR="00633CEB" w:rsidRDefault="004C60E9">
      <w:pPr>
        <w:pStyle w:val="NormalWeb"/>
        <w:spacing w:beforeAutospacing="0" w:afterAutospacing="0"/>
      </w:pPr>
      <w:r>
        <w:rPr>
          <w:rFonts w:ascii="Arial" w:hAnsi="Arial" w:cs="Arial"/>
          <w:b/>
          <w:bCs/>
          <w:sz w:val="20"/>
          <w:szCs w:val="20"/>
        </w:rPr>
        <w:t>3.1.1. Mechanism of Action of Allelopathic Compounds in Bioherbicides Based on Weed Extracts</w:t>
      </w:r>
    </w:p>
    <w:p w14:paraId="5E523FB9" w14:textId="77777777" w:rsidR="00633CEB" w:rsidRDefault="004C60E9">
      <w:pPr>
        <w:pStyle w:val="Heading2"/>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The effects of </w:t>
      </w:r>
      <w:proofErr w:type="spellStart"/>
      <w:r>
        <w:rPr>
          <w:rFonts w:ascii="Arial" w:hAnsi="Arial" w:cs="Arial" w:hint="default"/>
          <w:b w:val="0"/>
          <w:bCs w:val="0"/>
          <w:sz w:val="20"/>
          <w:szCs w:val="20"/>
        </w:rPr>
        <w:t>allelochemistry</w:t>
      </w:r>
      <w:proofErr w:type="spellEnd"/>
      <w:r>
        <w:rPr>
          <w:rFonts w:ascii="Arial" w:hAnsi="Arial" w:cs="Arial" w:hint="default"/>
          <w:b w:val="0"/>
          <w:bCs w:val="0"/>
          <w:sz w:val="20"/>
          <w:szCs w:val="20"/>
        </w:rPr>
        <w:t xml:space="preserve"> on weeds are complex, including blocking biosynthetic pathways involved in photosynthesis, respiration, hormone balance, cell division, and chlorophyll synthesis, ultimately inhibiting or even killing plant tissues (</w:t>
      </w:r>
      <w:proofErr w:type="spellStart"/>
      <w:r>
        <w:rPr>
          <w:rFonts w:ascii="Arial" w:hAnsi="Arial" w:cs="Arial" w:hint="default"/>
          <w:b w:val="0"/>
          <w:bCs w:val="0"/>
          <w:sz w:val="20"/>
          <w:szCs w:val="20"/>
        </w:rPr>
        <w:t>Indarwati</w:t>
      </w:r>
      <w:proofErr w:type="spellEnd"/>
      <w:r>
        <w:rPr>
          <w:rFonts w:ascii="Arial" w:hAnsi="Arial" w:cs="Arial" w:hint="default"/>
          <w:b w:val="0"/>
          <w:bCs w:val="0"/>
          <w:sz w:val="20"/>
          <w:szCs w:val="20"/>
        </w:rPr>
        <w:t xml:space="preserve"> et al., 2023). The effectiveness of allelopathy in inhibiting weed growth in bioherbicides is highly dependent on extract concentration, with higher doses generally resulting in greater weed inhibition. Therefore, at this dosage, or at the optimal extract concentration, there is the best chance of success (Susilo et al., 2020). On the other hand, allelopathy, especially non-selective allelopathy, has the potential to affect nuisance plants, and this in sustainable bioherbicides leads to more in-depth investigation into the working principles and selectivity of more responsible compounds (Susilo et al., 2024).</w:t>
      </w:r>
    </w:p>
    <w:p w14:paraId="14639359" w14:textId="77777777" w:rsidR="00633CEB" w:rsidRDefault="004C60E9">
      <w:pPr>
        <w:pStyle w:val="NormalWeb"/>
        <w:spacing w:beforeAutospacing="0" w:afterAutospacing="0"/>
        <w:jc w:val="both"/>
        <w:rPr>
          <w:rFonts w:ascii="Arial" w:hAnsi="Arial" w:cs="Arial"/>
          <w:sz w:val="20"/>
          <w:szCs w:val="20"/>
        </w:rPr>
      </w:pPr>
      <w:r>
        <w:rPr>
          <w:rFonts w:ascii="Arial" w:hAnsi="Arial" w:cs="Arial"/>
          <w:sz w:val="20"/>
          <w:szCs w:val="20"/>
        </w:rPr>
        <w:t xml:space="preserve">Several types of weeds are known to have allelopathic potential, such as </w:t>
      </w:r>
      <w:r>
        <w:rPr>
          <w:rFonts w:ascii="Arial" w:hAnsi="Arial" w:cs="Arial"/>
          <w:i/>
          <w:sz w:val="20"/>
          <w:szCs w:val="20"/>
        </w:rPr>
        <w:t xml:space="preserve">Parthenium </w:t>
      </w:r>
      <w:proofErr w:type="spellStart"/>
      <w:r>
        <w:rPr>
          <w:rFonts w:ascii="Arial" w:hAnsi="Arial" w:cs="Arial"/>
          <w:i/>
          <w:sz w:val="20"/>
          <w:szCs w:val="20"/>
        </w:rPr>
        <w:t>hysterophorus</w:t>
      </w:r>
      <w:proofErr w:type="spellEnd"/>
      <w:r>
        <w:rPr>
          <w:rFonts w:ascii="Arial" w:hAnsi="Arial" w:cs="Arial"/>
          <w:sz w:val="20"/>
          <w:szCs w:val="20"/>
        </w:rPr>
        <w:t xml:space="preserve">, which is rich in phenolic compounds, as well as weeds including </w:t>
      </w:r>
      <w:proofErr w:type="spellStart"/>
      <w:r>
        <w:rPr>
          <w:rFonts w:ascii="Arial" w:hAnsi="Arial" w:cs="Arial"/>
          <w:sz w:val="20"/>
          <w:szCs w:val="20"/>
        </w:rPr>
        <w:t>cogongrass</w:t>
      </w:r>
      <w:proofErr w:type="spellEnd"/>
      <w:r>
        <w:rPr>
          <w:rFonts w:ascii="Arial" w:hAnsi="Arial" w:cs="Arial"/>
          <w:sz w:val="20"/>
          <w:szCs w:val="20"/>
        </w:rPr>
        <w:t xml:space="preserve">, Mexican fireweed, false pimpernel, </w:t>
      </w:r>
      <w:proofErr w:type="spellStart"/>
      <w:r>
        <w:rPr>
          <w:rFonts w:ascii="Arial" w:hAnsi="Arial" w:cs="Arial"/>
          <w:sz w:val="20"/>
          <w:szCs w:val="20"/>
        </w:rPr>
        <w:t>kuasland</w:t>
      </w:r>
      <w:proofErr w:type="spellEnd"/>
      <w:r>
        <w:rPr>
          <w:rFonts w:ascii="Arial" w:hAnsi="Arial" w:cs="Arial"/>
          <w:sz w:val="20"/>
          <w:szCs w:val="20"/>
        </w:rPr>
        <w:t>, lantana, and Indian almond, which contain phytotoxic phenolic compounds, flavonoids, tannins, saponins, terpenoids, and essential oils (</w:t>
      </w:r>
      <w:proofErr w:type="spellStart"/>
      <w:r>
        <w:rPr>
          <w:rFonts w:ascii="Arial" w:hAnsi="Arial" w:cs="Arial"/>
          <w:sz w:val="20"/>
          <w:szCs w:val="20"/>
        </w:rPr>
        <w:t>Indarwati</w:t>
      </w:r>
      <w:proofErr w:type="spellEnd"/>
      <w:r>
        <w:rPr>
          <w:rFonts w:ascii="Arial" w:hAnsi="Arial" w:cs="Arial"/>
          <w:sz w:val="20"/>
          <w:szCs w:val="20"/>
        </w:rPr>
        <w:t xml:space="preserve"> et al, 2023). These compounds function by inhibiting nutrient absorption, disrupting membrane integrity, disrupting water balance, causing oxidative stress, and inhibiting root cell division and elongation (Susilo et al., 2023a; </w:t>
      </w:r>
      <w:proofErr w:type="spellStart"/>
      <w:r>
        <w:rPr>
          <w:rFonts w:ascii="Arial" w:hAnsi="Arial" w:cs="Arial"/>
          <w:sz w:val="20"/>
          <w:szCs w:val="20"/>
        </w:rPr>
        <w:t>Cahyati</w:t>
      </w:r>
      <w:proofErr w:type="spellEnd"/>
      <w:r>
        <w:rPr>
          <w:rFonts w:ascii="Arial" w:hAnsi="Arial" w:cs="Arial"/>
          <w:sz w:val="20"/>
          <w:szCs w:val="20"/>
        </w:rPr>
        <w:t xml:space="preserve"> et al., 2022). The consistent dose-response relationship, as obtained from Ageratum </w:t>
      </w:r>
      <w:proofErr w:type="spellStart"/>
      <w:r>
        <w:rPr>
          <w:rFonts w:ascii="Arial" w:hAnsi="Arial" w:cs="Arial"/>
          <w:sz w:val="20"/>
          <w:szCs w:val="20"/>
        </w:rPr>
        <w:t>conyzoides</w:t>
      </w:r>
      <w:proofErr w:type="spellEnd"/>
      <w:r>
        <w:rPr>
          <w:rFonts w:ascii="Arial" w:hAnsi="Arial" w:cs="Arial"/>
          <w:sz w:val="20"/>
          <w:szCs w:val="20"/>
        </w:rPr>
        <w:t xml:space="preserve"> extract and several other plants capable of inhibiting germination by more than 80%, emphasizes the importance of extract concentration in determining phytotoxicity (</w:t>
      </w:r>
      <w:proofErr w:type="spellStart"/>
      <w:r>
        <w:rPr>
          <w:rFonts w:ascii="Arial" w:hAnsi="Arial" w:cs="Arial"/>
          <w:sz w:val="20"/>
          <w:szCs w:val="20"/>
        </w:rPr>
        <w:t>Isda</w:t>
      </w:r>
      <w:proofErr w:type="spellEnd"/>
      <w:r>
        <w:rPr>
          <w:rFonts w:ascii="Arial" w:hAnsi="Arial" w:cs="Arial"/>
          <w:sz w:val="20"/>
          <w:szCs w:val="20"/>
        </w:rPr>
        <w:t xml:space="preserve"> et al., 2013).</w:t>
      </w:r>
    </w:p>
    <w:p w14:paraId="4B186977" w14:textId="77777777" w:rsidR="00633CEB" w:rsidRDefault="004C60E9">
      <w:pPr>
        <w:pStyle w:val="Heading2"/>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Several types of weed extracts, in addition to being bioherbicides, have shown potential as multifunctional biocontrol agents, including as molluscicides and pest control agents, thereby enabling their integration into sustainable agricultural systems (Azahra et al., 2025). Given the growing problem of weed resistance and the negative environmental and human health impacts of synthetic herbicides, the use of allelochemical-based bioherbicides is a relevant and environmentally friendly alternative (Rohim et al., 2022; Susilo et al., 2023b). However, further research is needed to identify the main active compounds, optimize extraction and formulation methods, and determine the safe application rate and frequency, with field testing being an important step to evaluate the stability, efficacy, and selectivity of bioherbicides under actual agricultural conditions (</w:t>
      </w:r>
      <w:proofErr w:type="spellStart"/>
      <w:r>
        <w:rPr>
          <w:rFonts w:ascii="Arial" w:hAnsi="Arial" w:cs="Arial" w:hint="default"/>
          <w:b w:val="0"/>
          <w:bCs w:val="0"/>
          <w:sz w:val="20"/>
          <w:szCs w:val="20"/>
        </w:rPr>
        <w:t>Talahatu</w:t>
      </w:r>
      <w:proofErr w:type="spellEnd"/>
      <w:r>
        <w:rPr>
          <w:rFonts w:ascii="Arial" w:hAnsi="Arial" w:cs="Arial" w:hint="default"/>
          <w:b w:val="0"/>
          <w:bCs w:val="0"/>
          <w:sz w:val="20"/>
          <w:szCs w:val="20"/>
        </w:rPr>
        <w:t xml:space="preserve"> &amp; </w:t>
      </w:r>
      <w:proofErr w:type="spellStart"/>
      <w:r>
        <w:rPr>
          <w:rFonts w:ascii="Arial" w:hAnsi="Arial" w:cs="Arial" w:hint="default"/>
          <w:b w:val="0"/>
          <w:bCs w:val="0"/>
          <w:sz w:val="20"/>
          <w:szCs w:val="20"/>
        </w:rPr>
        <w:t>Papilaya</w:t>
      </w:r>
      <w:proofErr w:type="spellEnd"/>
      <w:r>
        <w:rPr>
          <w:rFonts w:ascii="Arial" w:hAnsi="Arial" w:cs="Arial" w:hint="default"/>
          <w:b w:val="0"/>
          <w:bCs w:val="0"/>
          <w:sz w:val="20"/>
          <w:szCs w:val="20"/>
        </w:rPr>
        <w:t>, 2015).</w:t>
      </w:r>
    </w:p>
    <w:p w14:paraId="0292D38D" w14:textId="77777777" w:rsidR="00633CEB" w:rsidRDefault="00633CEB"/>
    <w:p w14:paraId="55CA691D" w14:textId="77777777" w:rsidR="00633CEB" w:rsidRDefault="004C60E9">
      <w:pPr>
        <w:pStyle w:val="NormalWeb"/>
        <w:spacing w:beforeAutospacing="0" w:afterAutospacing="0"/>
        <w:rPr>
          <w:rFonts w:ascii="Arial" w:hAnsi="Arial" w:cs="Arial"/>
          <w:sz w:val="22"/>
          <w:szCs w:val="22"/>
        </w:rPr>
      </w:pPr>
      <w:commentRangeStart w:id="11"/>
      <w:r>
        <w:rPr>
          <w:rFonts w:ascii="Arial" w:hAnsi="Arial" w:cs="Arial"/>
          <w:b/>
          <w:bCs/>
          <w:sz w:val="22"/>
          <w:szCs w:val="22"/>
        </w:rPr>
        <w:t>2.</w:t>
      </w:r>
      <w:proofErr w:type="gramStart"/>
      <w:r>
        <w:rPr>
          <w:rFonts w:ascii="Arial" w:hAnsi="Arial" w:cs="Arial"/>
          <w:b/>
          <w:bCs/>
          <w:sz w:val="22"/>
          <w:szCs w:val="22"/>
        </w:rPr>
        <w:t>4.Potential</w:t>
      </w:r>
      <w:proofErr w:type="gramEnd"/>
      <w:r>
        <w:rPr>
          <w:rFonts w:ascii="Arial" w:hAnsi="Arial" w:cs="Arial"/>
          <w:b/>
          <w:bCs/>
          <w:sz w:val="22"/>
          <w:szCs w:val="22"/>
        </w:rPr>
        <w:t xml:space="preserve"> Weeds as Sources of Bioherbicides</w:t>
      </w:r>
      <w:commentRangeEnd w:id="11"/>
      <w:r w:rsidR="00FA7451">
        <w:rPr>
          <w:rStyle w:val="CommentReference"/>
          <w:rFonts w:eastAsia="Times New Roman"/>
          <w:lang w:val="nb-NO" w:eastAsia="nb-NO"/>
        </w:rPr>
        <w:commentReference w:id="11"/>
      </w:r>
    </w:p>
    <w:p w14:paraId="512F73C6" w14:textId="77777777" w:rsidR="00633CEB" w:rsidRDefault="004C60E9">
      <w:pPr>
        <w:pStyle w:val="Heading3"/>
        <w:spacing w:beforeAutospacing="0" w:afterAutospacing="0"/>
        <w:jc w:val="both"/>
        <w:rPr>
          <w:rFonts w:ascii="Arial" w:hAnsi="Arial" w:hint="default"/>
          <w:b w:val="0"/>
          <w:bCs w:val="0"/>
          <w:sz w:val="20"/>
          <w:szCs w:val="20"/>
        </w:rPr>
      </w:pPr>
      <w:r>
        <w:rPr>
          <w:rFonts w:ascii="Arial" w:hAnsi="Arial" w:hint="default"/>
          <w:b w:val="0"/>
          <w:bCs w:val="0"/>
          <w:sz w:val="20"/>
          <w:szCs w:val="20"/>
        </w:rPr>
        <w:t>Various weed species have been reported to have significant allelopathic potential, suggesting they could be further developed as bioherbicide candidates. Broadleaf weeds, grass weeds, and sedge weeds are the most studied groups due to their phytotoxic secondary metabolites.</w:t>
      </w:r>
    </w:p>
    <w:p w14:paraId="2479558A" w14:textId="77777777" w:rsidR="00633CEB" w:rsidRDefault="00633CEB"/>
    <w:p w14:paraId="5DD3441B" w14:textId="77777777" w:rsidR="00633CEB" w:rsidRDefault="004C60E9">
      <w:pPr>
        <w:pStyle w:val="Heading3"/>
        <w:spacing w:beforeAutospacing="0" w:afterAutospacing="0"/>
        <w:jc w:val="both"/>
        <w:rPr>
          <w:rFonts w:ascii="Arial" w:hAnsi="Arial" w:cs="Arial" w:hint="default"/>
          <w:sz w:val="22"/>
          <w:szCs w:val="22"/>
        </w:rPr>
      </w:pPr>
      <w:r>
        <w:rPr>
          <w:rFonts w:ascii="Arial" w:hAnsi="Arial" w:cs="Arial" w:hint="default"/>
          <w:sz w:val="20"/>
          <w:szCs w:val="20"/>
        </w:rPr>
        <w:lastRenderedPageBreak/>
        <w:t>3.2.</w:t>
      </w:r>
      <w:proofErr w:type="gramStart"/>
      <w:r>
        <w:rPr>
          <w:rFonts w:ascii="Arial" w:hAnsi="Arial" w:cs="Arial" w:hint="default"/>
          <w:sz w:val="20"/>
          <w:szCs w:val="20"/>
        </w:rPr>
        <w:t>1.Broadleaf</w:t>
      </w:r>
      <w:proofErr w:type="gramEnd"/>
      <w:r>
        <w:rPr>
          <w:rFonts w:ascii="Arial" w:hAnsi="Arial" w:cs="Arial" w:hint="default"/>
          <w:sz w:val="20"/>
          <w:szCs w:val="20"/>
        </w:rPr>
        <w:t xml:space="preserve"> Weeds</w:t>
      </w:r>
    </w:p>
    <w:p w14:paraId="0CE8A9C3" w14:textId="77777777" w:rsidR="00633CEB" w:rsidRDefault="004C60E9">
      <w:pPr>
        <w:pStyle w:val="Heading3"/>
        <w:spacing w:beforeAutospacing="0" w:afterAutospacing="0"/>
        <w:jc w:val="both"/>
        <w:rPr>
          <w:rFonts w:ascii="Arial" w:hAnsi="Arial" w:hint="default"/>
          <w:b w:val="0"/>
          <w:bCs w:val="0"/>
          <w:sz w:val="20"/>
          <w:szCs w:val="20"/>
        </w:rPr>
      </w:pPr>
      <w:r>
        <w:rPr>
          <w:rFonts w:ascii="Arial" w:hAnsi="Arial" w:hint="default"/>
          <w:b w:val="0"/>
          <w:bCs w:val="0"/>
          <w:sz w:val="20"/>
          <w:szCs w:val="20"/>
        </w:rPr>
        <w:t xml:space="preserve">Broadleaf weeds, such as </w:t>
      </w:r>
      <w:r>
        <w:rPr>
          <w:rFonts w:ascii="Arial" w:hAnsi="Arial" w:hint="default"/>
          <w:b w:val="0"/>
          <w:bCs w:val="0"/>
          <w:i/>
          <w:sz w:val="20"/>
          <w:szCs w:val="20"/>
        </w:rPr>
        <w:t>Mikania micrantha</w:t>
      </w:r>
      <w:r>
        <w:rPr>
          <w:rFonts w:ascii="Arial" w:hAnsi="Arial" w:hint="default"/>
          <w:b w:val="0"/>
          <w:bCs w:val="0"/>
          <w:sz w:val="20"/>
          <w:szCs w:val="20"/>
        </w:rPr>
        <w:t>, are emerging candidates for bioherbicides due to the presence of allelochemicals, particularly phenols and flavonoids, which inhibit enzyme activity during seed germination and target weed growth (</w:t>
      </w:r>
      <w:proofErr w:type="spellStart"/>
      <w:r>
        <w:rPr>
          <w:rFonts w:ascii="Arial" w:hAnsi="Arial" w:hint="default"/>
          <w:b w:val="0"/>
          <w:bCs w:val="0"/>
          <w:sz w:val="20"/>
          <w:szCs w:val="20"/>
        </w:rPr>
        <w:t>Alridiwirsah</w:t>
      </w:r>
      <w:proofErr w:type="spellEnd"/>
      <w:r>
        <w:rPr>
          <w:rFonts w:ascii="Arial" w:hAnsi="Arial" w:hint="default"/>
          <w:b w:val="0"/>
          <w:bCs w:val="0"/>
          <w:sz w:val="20"/>
          <w:szCs w:val="20"/>
        </w:rPr>
        <w:t xml:space="preserve"> et al., 2020). </w:t>
      </w:r>
      <w:proofErr w:type="spellStart"/>
      <w:r>
        <w:rPr>
          <w:rFonts w:ascii="Arial" w:hAnsi="Arial" w:hint="default"/>
          <w:b w:val="0"/>
          <w:bCs w:val="0"/>
          <w:sz w:val="20"/>
          <w:szCs w:val="20"/>
        </w:rPr>
        <w:t>Chromolaena</w:t>
      </w:r>
      <w:proofErr w:type="spellEnd"/>
      <w:r>
        <w:rPr>
          <w:rFonts w:ascii="Arial" w:hAnsi="Arial" w:hint="default"/>
          <w:b w:val="0"/>
          <w:bCs w:val="0"/>
          <w:sz w:val="20"/>
          <w:szCs w:val="20"/>
        </w:rPr>
        <w:t xml:space="preserve"> </w:t>
      </w:r>
      <w:proofErr w:type="spellStart"/>
      <w:r>
        <w:rPr>
          <w:rFonts w:ascii="Arial" w:hAnsi="Arial" w:hint="default"/>
          <w:b w:val="0"/>
          <w:bCs w:val="0"/>
          <w:sz w:val="20"/>
          <w:szCs w:val="20"/>
        </w:rPr>
        <w:t>odorata</w:t>
      </w:r>
      <w:proofErr w:type="spellEnd"/>
      <w:r>
        <w:rPr>
          <w:rFonts w:ascii="Arial" w:hAnsi="Arial" w:hint="default"/>
          <w:b w:val="0"/>
          <w:bCs w:val="0"/>
          <w:sz w:val="20"/>
          <w:szCs w:val="20"/>
        </w:rPr>
        <w:t xml:space="preserve"> leaf extract has also been shown to effectively suppress the height and root elongation of </w:t>
      </w:r>
      <w:r>
        <w:rPr>
          <w:rFonts w:ascii="Arial" w:hAnsi="Arial" w:hint="default"/>
          <w:b w:val="0"/>
          <w:bCs w:val="0"/>
          <w:i/>
          <w:sz w:val="20"/>
          <w:szCs w:val="20"/>
        </w:rPr>
        <w:t>Echinochloa crus-gall</w:t>
      </w:r>
      <w:r>
        <w:rPr>
          <w:rFonts w:ascii="Arial" w:hAnsi="Arial" w:hint="default"/>
          <w:b w:val="0"/>
          <w:bCs w:val="0"/>
          <w:sz w:val="20"/>
          <w:szCs w:val="20"/>
        </w:rPr>
        <w:t>i, demonstrating strong phytotoxicity. In addition, M. indicus has been reported to contain flavonoids and phenolic compounds with potential as herbicides and pesticides in a sustainable weed management system (Khan et al., 2019).</w:t>
      </w:r>
    </w:p>
    <w:p w14:paraId="54C54B2C" w14:textId="77777777" w:rsidR="00633CEB" w:rsidRDefault="004C60E9">
      <w:pPr>
        <w:pStyle w:val="Heading3"/>
        <w:spacing w:beforeAutospacing="0" w:afterAutospacing="0"/>
        <w:jc w:val="both"/>
        <w:rPr>
          <w:rFonts w:ascii="Arial" w:hAnsi="Arial" w:hint="default"/>
          <w:b w:val="0"/>
          <w:bCs w:val="0"/>
          <w:sz w:val="20"/>
          <w:szCs w:val="20"/>
        </w:rPr>
      </w:pPr>
      <w:r>
        <w:rPr>
          <w:rFonts w:ascii="Arial" w:hAnsi="Arial" w:hint="default"/>
          <w:b w:val="0"/>
          <w:bCs w:val="0"/>
          <w:sz w:val="20"/>
          <w:szCs w:val="20"/>
        </w:rPr>
        <w:t xml:space="preserve">Several broadleaf weed species, apart from </w:t>
      </w:r>
      <w:proofErr w:type="spellStart"/>
      <w:r>
        <w:rPr>
          <w:rFonts w:ascii="Arial" w:hAnsi="Arial" w:hint="default"/>
          <w:b w:val="0"/>
          <w:bCs w:val="0"/>
          <w:sz w:val="20"/>
          <w:szCs w:val="20"/>
        </w:rPr>
        <w:t>Chromolaena</w:t>
      </w:r>
      <w:proofErr w:type="spellEnd"/>
      <w:r>
        <w:rPr>
          <w:rFonts w:ascii="Arial" w:hAnsi="Arial" w:hint="default"/>
          <w:b w:val="0"/>
          <w:bCs w:val="0"/>
          <w:sz w:val="20"/>
          <w:szCs w:val="20"/>
        </w:rPr>
        <w:t xml:space="preserve"> </w:t>
      </w:r>
      <w:proofErr w:type="spellStart"/>
      <w:r>
        <w:rPr>
          <w:rFonts w:ascii="Arial" w:hAnsi="Arial" w:hint="default"/>
          <w:b w:val="0"/>
          <w:bCs w:val="0"/>
          <w:sz w:val="20"/>
          <w:szCs w:val="20"/>
        </w:rPr>
        <w:t>odorata</w:t>
      </w:r>
      <w:proofErr w:type="spellEnd"/>
      <w:r>
        <w:rPr>
          <w:rFonts w:ascii="Arial" w:hAnsi="Arial" w:hint="default"/>
          <w:b w:val="0"/>
          <w:bCs w:val="0"/>
          <w:sz w:val="20"/>
          <w:szCs w:val="20"/>
        </w:rPr>
        <w:t xml:space="preserve">, also exhibit </w:t>
      </w:r>
      <w:proofErr w:type="spellStart"/>
      <w:r>
        <w:rPr>
          <w:rFonts w:ascii="Arial" w:hAnsi="Arial" w:hint="default"/>
          <w:b w:val="0"/>
          <w:bCs w:val="0"/>
          <w:sz w:val="20"/>
          <w:szCs w:val="20"/>
        </w:rPr>
        <w:t>autoallelopathic</w:t>
      </w:r>
      <w:proofErr w:type="spellEnd"/>
      <w:r>
        <w:rPr>
          <w:rFonts w:ascii="Arial" w:hAnsi="Arial" w:hint="default"/>
          <w:b w:val="0"/>
          <w:bCs w:val="0"/>
          <w:sz w:val="20"/>
          <w:szCs w:val="20"/>
        </w:rPr>
        <w:t xml:space="preserve"> potential; their leaf extracts at 30–40% concentration can inhibit the germination and growth of similar weeds. This finding underscores the importance of selecting weed species and plant parts, as well as extraction methods, in order to improve the effectiveness of bioherbicides (</w:t>
      </w:r>
      <w:proofErr w:type="spellStart"/>
      <w:r>
        <w:rPr>
          <w:rFonts w:ascii="Arial" w:hAnsi="Arial" w:hint="default"/>
          <w:b w:val="0"/>
          <w:bCs w:val="0"/>
          <w:sz w:val="20"/>
          <w:szCs w:val="20"/>
        </w:rPr>
        <w:t>Alridiwirsah</w:t>
      </w:r>
      <w:proofErr w:type="spellEnd"/>
      <w:r>
        <w:rPr>
          <w:rFonts w:ascii="Arial" w:hAnsi="Arial" w:hint="default"/>
          <w:b w:val="0"/>
          <w:bCs w:val="0"/>
          <w:sz w:val="20"/>
          <w:szCs w:val="20"/>
        </w:rPr>
        <w:t xml:space="preserve"> et al., 2020). In addition to weeds, </w:t>
      </w:r>
      <w:proofErr w:type="spellStart"/>
      <w:r>
        <w:rPr>
          <w:rFonts w:ascii="Arial" w:hAnsi="Arial" w:hint="default"/>
          <w:b w:val="0"/>
          <w:bCs w:val="0"/>
          <w:sz w:val="20"/>
          <w:szCs w:val="20"/>
        </w:rPr>
        <w:t>Tetracera</w:t>
      </w:r>
      <w:proofErr w:type="spellEnd"/>
      <w:r>
        <w:rPr>
          <w:rFonts w:ascii="Arial" w:hAnsi="Arial" w:hint="default"/>
          <w:b w:val="0"/>
          <w:bCs w:val="0"/>
          <w:sz w:val="20"/>
          <w:szCs w:val="20"/>
        </w:rPr>
        <w:t xml:space="preserve"> </w:t>
      </w:r>
      <w:proofErr w:type="spellStart"/>
      <w:r>
        <w:rPr>
          <w:rFonts w:ascii="Arial" w:hAnsi="Arial" w:hint="default"/>
          <w:b w:val="0"/>
          <w:bCs w:val="0"/>
          <w:sz w:val="20"/>
          <w:szCs w:val="20"/>
        </w:rPr>
        <w:t>indica</w:t>
      </w:r>
      <w:proofErr w:type="spellEnd"/>
      <w:r>
        <w:rPr>
          <w:rFonts w:ascii="Arial" w:hAnsi="Arial" w:hint="default"/>
          <w:b w:val="0"/>
          <w:bCs w:val="0"/>
          <w:sz w:val="20"/>
          <w:szCs w:val="20"/>
        </w:rPr>
        <w:t xml:space="preserve"> and Moringa oleifera have been reported to contain allelochemicals with potential as environmentally friendly bioherbicides (</w:t>
      </w:r>
      <w:proofErr w:type="spellStart"/>
      <w:r>
        <w:rPr>
          <w:rFonts w:ascii="Arial" w:hAnsi="Arial" w:hint="default"/>
          <w:b w:val="0"/>
          <w:bCs w:val="0"/>
          <w:sz w:val="20"/>
          <w:szCs w:val="20"/>
        </w:rPr>
        <w:t>Guntoro</w:t>
      </w:r>
      <w:proofErr w:type="spellEnd"/>
      <w:r>
        <w:rPr>
          <w:rFonts w:ascii="Arial" w:hAnsi="Arial" w:hint="default"/>
          <w:b w:val="0"/>
          <w:bCs w:val="0"/>
          <w:sz w:val="20"/>
          <w:szCs w:val="20"/>
        </w:rPr>
        <w:t xml:space="preserve"> et al., 2020).</w:t>
      </w:r>
    </w:p>
    <w:p w14:paraId="2FE1ACB4" w14:textId="77777777" w:rsidR="00633CEB" w:rsidRDefault="00633CEB"/>
    <w:p w14:paraId="7FAB476F" w14:textId="77777777" w:rsidR="00633CEB" w:rsidRDefault="004C60E9">
      <w:pPr>
        <w:pStyle w:val="Heading3"/>
        <w:spacing w:beforeAutospacing="0" w:afterAutospacing="0"/>
        <w:jc w:val="both"/>
        <w:rPr>
          <w:rFonts w:ascii="Arial" w:hAnsi="Arial" w:cs="Arial" w:hint="default"/>
          <w:sz w:val="20"/>
          <w:szCs w:val="20"/>
        </w:rPr>
      </w:pPr>
      <w:r>
        <w:rPr>
          <w:rFonts w:ascii="Arial" w:hAnsi="Arial" w:cs="Arial" w:hint="default"/>
          <w:sz w:val="20"/>
          <w:szCs w:val="20"/>
        </w:rPr>
        <w:t>3.2.2. Grass Weeds</w:t>
      </w:r>
    </w:p>
    <w:p w14:paraId="68E0698E" w14:textId="77777777" w:rsidR="00633CEB" w:rsidRDefault="004C60E9">
      <w:pPr>
        <w:pStyle w:val="Heading3"/>
        <w:spacing w:beforeAutospacing="0" w:afterAutospacing="0"/>
        <w:jc w:val="both"/>
        <w:rPr>
          <w:rFonts w:ascii="Arial" w:hAnsi="Arial" w:hint="default"/>
          <w:b w:val="0"/>
          <w:bCs w:val="0"/>
          <w:sz w:val="20"/>
          <w:szCs w:val="20"/>
        </w:rPr>
      </w:pPr>
      <w:r>
        <w:rPr>
          <w:rFonts w:ascii="Arial" w:hAnsi="Arial" w:hint="default"/>
          <w:b w:val="0"/>
          <w:bCs w:val="0"/>
          <w:sz w:val="20"/>
          <w:szCs w:val="20"/>
        </w:rPr>
        <w:t xml:space="preserve">Weeds, especially </w:t>
      </w:r>
      <w:commentRangeStart w:id="12"/>
      <w:r>
        <w:rPr>
          <w:rFonts w:ascii="Arial" w:hAnsi="Arial" w:hint="default"/>
          <w:b w:val="0"/>
          <w:bCs w:val="0"/>
          <w:sz w:val="20"/>
          <w:szCs w:val="20"/>
        </w:rPr>
        <w:t>barnyard grass (</w:t>
      </w:r>
      <w:proofErr w:type="spellStart"/>
      <w:r>
        <w:rPr>
          <w:rFonts w:ascii="Arial" w:hAnsi="Arial" w:hint="default"/>
          <w:b w:val="0"/>
          <w:bCs w:val="0"/>
          <w:i/>
          <w:sz w:val="20"/>
          <w:szCs w:val="20"/>
        </w:rPr>
        <w:t>Imperata</w:t>
      </w:r>
      <w:proofErr w:type="spellEnd"/>
      <w:r>
        <w:rPr>
          <w:rFonts w:ascii="Arial" w:hAnsi="Arial" w:hint="default"/>
          <w:b w:val="0"/>
          <w:bCs w:val="0"/>
          <w:i/>
          <w:sz w:val="20"/>
          <w:szCs w:val="20"/>
        </w:rPr>
        <w:t xml:space="preserve"> </w:t>
      </w:r>
      <w:proofErr w:type="spellStart"/>
      <w:r>
        <w:rPr>
          <w:rFonts w:ascii="Arial" w:hAnsi="Arial" w:hint="default"/>
          <w:b w:val="0"/>
          <w:bCs w:val="0"/>
          <w:i/>
          <w:sz w:val="20"/>
          <w:szCs w:val="20"/>
        </w:rPr>
        <w:t>cylindrica</w:t>
      </w:r>
      <w:proofErr w:type="spellEnd"/>
      <w:r>
        <w:rPr>
          <w:rFonts w:ascii="Arial" w:hAnsi="Arial" w:hint="default"/>
          <w:b w:val="0"/>
          <w:bCs w:val="0"/>
          <w:sz w:val="20"/>
          <w:szCs w:val="20"/>
        </w:rPr>
        <w:t xml:space="preserve">), </w:t>
      </w:r>
      <w:commentRangeEnd w:id="12"/>
      <w:r w:rsidR="00FA7451">
        <w:rPr>
          <w:rStyle w:val="CommentReference"/>
          <w:rFonts w:ascii="Times New Roman" w:eastAsia="Times New Roman" w:hAnsi="Times New Roman" w:hint="default"/>
          <w:b w:val="0"/>
          <w:bCs w:val="0"/>
          <w:lang w:val="nb-NO" w:eastAsia="nb-NO"/>
        </w:rPr>
        <w:commentReference w:id="12"/>
      </w:r>
      <w:r>
        <w:rPr>
          <w:rFonts w:ascii="Arial" w:hAnsi="Arial" w:hint="default"/>
          <w:b w:val="0"/>
          <w:bCs w:val="0"/>
          <w:sz w:val="20"/>
          <w:szCs w:val="20"/>
        </w:rPr>
        <w:t xml:space="preserve">have good allelopathic potential through the production of phytotoxic compounds that inhibit the growth of other plants. </w:t>
      </w:r>
      <w:commentRangeStart w:id="13"/>
      <w:r>
        <w:rPr>
          <w:rFonts w:ascii="Arial" w:hAnsi="Arial" w:hint="default"/>
          <w:b w:val="0"/>
          <w:bCs w:val="0"/>
          <w:sz w:val="20"/>
          <w:szCs w:val="20"/>
        </w:rPr>
        <w:t xml:space="preserve">In a study, a 10% concentration of I. </w:t>
      </w:r>
      <w:r>
        <w:rPr>
          <w:rFonts w:ascii="Arial" w:hAnsi="Arial" w:hint="default"/>
          <w:b w:val="0"/>
          <w:bCs w:val="0"/>
          <w:i/>
          <w:sz w:val="20"/>
          <w:szCs w:val="20"/>
        </w:rPr>
        <w:t>cylindrica</w:t>
      </w:r>
      <w:r>
        <w:rPr>
          <w:rFonts w:ascii="Arial" w:hAnsi="Arial" w:hint="default"/>
          <w:b w:val="0"/>
          <w:bCs w:val="0"/>
          <w:sz w:val="20"/>
          <w:szCs w:val="20"/>
        </w:rPr>
        <w:t xml:space="preserve"> extract suppressed germination, root length, and biomass of </w:t>
      </w:r>
      <w:r>
        <w:rPr>
          <w:rFonts w:ascii="Arial" w:hAnsi="Arial" w:hint="default"/>
          <w:b w:val="0"/>
          <w:bCs w:val="0"/>
          <w:i/>
          <w:sz w:val="20"/>
          <w:szCs w:val="20"/>
        </w:rPr>
        <w:t>Echinochloa crus-gall</w:t>
      </w:r>
      <w:r>
        <w:rPr>
          <w:rFonts w:ascii="Arial" w:hAnsi="Arial" w:hint="default"/>
          <w:b w:val="0"/>
          <w:bCs w:val="0"/>
          <w:sz w:val="20"/>
          <w:szCs w:val="20"/>
        </w:rPr>
        <w:t xml:space="preserve">i. </w:t>
      </w:r>
      <w:commentRangeEnd w:id="13"/>
      <w:r w:rsidR="00FA7451">
        <w:rPr>
          <w:rStyle w:val="CommentReference"/>
          <w:rFonts w:ascii="Times New Roman" w:eastAsia="Times New Roman" w:hAnsi="Times New Roman" w:hint="default"/>
          <w:b w:val="0"/>
          <w:bCs w:val="0"/>
          <w:lang w:val="nb-NO" w:eastAsia="nb-NO"/>
        </w:rPr>
        <w:commentReference w:id="13"/>
      </w:r>
      <w:r>
        <w:rPr>
          <w:rFonts w:ascii="Arial" w:hAnsi="Arial" w:hint="default"/>
          <w:b w:val="0"/>
          <w:bCs w:val="0"/>
          <w:sz w:val="20"/>
          <w:szCs w:val="20"/>
        </w:rPr>
        <w:t>Although it is also known as an aggressive weed with allelopathic potential, giant reed is also important for developing as a natural bioherbicide (</w:t>
      </w:r>
      <w:proofErr w:type="spellStart"/>
      <w:r>
        <w:rPr>
          <w:rFonts w:ascii="Arial" w:hAnsi="Arial" w:hint="default"/>
          <w:b w:val="0"/>
          <w:bCs w:val="0"/>
          <w:sz w:val="20"/>
          <w:szCs w:val="20"/>
        </w:rPr>
        <w:t>Talahatu</w:t>
      </w:r>
      <w:proofErr w:type="spellEnd"/>
      <w:r>
        <w:rPr>
          <w:rFonts w:ascii="Arial" w:hAnsi="Arial" w:hint="default"/>
          <w:b w:val="0"/>
          <w:bCs w:val="0"/>
          <w:sz w:val="20"/>
          <w:szCs w:val="20"/>
        </w:rPr>
        <w:t xml:space="preserve"> &amp; </w:t>
      </w:r>
      <w:proofErr w:type="spellStart"/>
      <w:r>
        <w:rPr>
          <w:rFonts w:ascii="Arial" w:hAnsi="Arial" w:hint="default"/>
          <w:b w:val="0"/>
          <w:bCs w:val="0"/>
          <w:sz w:val="20"/>
          <w:szCs w:val="20"/>
        </w:rPr>
        <w:t>Papilaya</w:t>
      </w:r>
      <w:proofErr w:type="spellEnd"/>
      <w:r>
        <w:rPr>
          <w:rFonts w:ascii="Arial" w:hAnsi="Arial" w:hint="default"/>
          <w:b w:val="0"/>
          <w:bCs w:val="0"/>
          <w:sz w:val="20"/>
          <w:szCs w:val="20"/>
        </w:rPr>
        <w:t>, 2015).</w:t>
      </w:r>
    </w:p>
    <w:p w14:paraId="043E4CB9" w14:textId="77777777" w:rsidR="00633CEB" w:rsidRDefault="004C60E9">
      <w:pPr>
        <w:pStyle w:val="Heading3"/>
        <w:spacing w:beforeAutospacing="0" w:afterAutospacing="0"/>
        <w:jc w:val="both"/>
        <w:rPr>
          <w:rFonts w:ascii="Arial" w:hAnsi="Arial" w:hint="default"/>
          <w:b w:val="0"/>
          <w:bCs w:val="0"/>
          <w:sz w:val="20"/>
          <w:szCs w:val="20"/>
        </w:rPr>
      </w:pPr>
      <w:r>
        <w:rPr>
          <w:rFonts w:ascii="Arial" w:hAnsi="Arial" w:hint="default"/>
          <w:b w:val="0"/>
          <w:bCs w:val="0"/>
          <w:sz w:val="20"/>
          <w:szCs w:val="20"/>
        </w:rPr>
        <w:t xml:space="preserve">Another study found that extracts from plants with allelopathic properties, such as </w:t>
      </w:r>
      <w:commentRangeStart w:id="14"/>
      <w:r>
        <w:rPr>
          <w:rFonts w:ascii="Arial" w:hAnsi="Arial" w:hint="default"/>
          <w:b w:val="0"/>
          <w:bCs w:val="0"/>
          <w:sz w:val="20"/>
          <w:szCs w:val="20"/>
        </w:rPr>
        <w:t xml:space="preserve">Ricinus </w:t>
      </w:r>
      <w:proofErr w:type="spellStart"/>
      <w:r>
        <w:rPr>
          <w:rFonts w:ascii="Arial" w:hAnsi="Arial" w:hint="default"/>
          <w:b w:val="0"/>
          <w:bCs w:val="0"/>
          <w:sz w:val="20"/>
          <w:szCs w:val="20"/>
        </w:rPr>
        <w:t>communis</w:t>
      </w:r>
      <w:commentRangeEnd w:id="14"/>
      <w:proofErr w:type="spellEnd"/>
      <w:r w:rsidR="00FA7451">
        <w:rPr>
          <w:rStyle w:val="CommentReference"/>
          <w:rFonts w:ascii="Times New Roman" w:eastAsia="Times New Roman" w:hAnsi="Times New Roman" w:hint="default"/>
          <w:b w:val="0"/>
          <w:bCs w:val="0"/>
          <w:lang w:val="nb-NO" w:eastAsia="nb-NO"/>
        </w:rPr>
        <w:commentReference w:id="14"/>
      </w:r>
      <w:r>
        <w:rPr>
          <w:rFonts w:ascii="Arial" w:hAnsi="Arial" w:hint="default"/>
          <w:b w:val="0"/>
          <w:bCs w:val="0"/>
          <w:sz w:val="20"/>
          <w:szCs w:val="20"/>
        </w:rPr>
        <w:t xml:space="preserve"> and </w:t>
      </w:r>
      <w:r>
        <w:rPr>
          <w:rFonts w:ascii="Arial" w:hAnsi="Arial" w:hint="default"/>
          <w:b w:val="0"/>
          <w:bCs w:val="0"/>
          <w:i/>
          <w:sz w:val="20"/>
          <w:szCs w:val="20"/>
        </w:rPr>
        <w:t xml:space="preserve">Piper </w:t>
      </w:r>
      <w:proofErr w:type="spellStart"/>
      <w:r>
        <w:rPr>
          <w:rFonts w:ascii="Arial" w:hAnsi="Arial" w:hint="default"/>
          <w:b w:val="0"/>
          <w:bCs w:val="0"/>
          <w:i/>
          <w:sz w:val="20"/>
          <w:szCs w:val="20"/>
        </w:rPr>
        <w:t>tuberculatum</w:t>
      </w:r>
      <w:proofErr w:type="spellEnd"/>
      <w:r>
        <w:rPr>
          <w:rFonts w:ascii="Arial" w:hAnsi="Arial" w:hint="default"/>
          <w:b w:val="0"/>
          <w:bCs w:val="0"/>
          <w:sz w:val="20"/>
          <w:szCs w:val="20"/>
        </w:rPr>
        <w:t xml:space="preserve">, can inhibit the germination and growth of </w:t>
      </w:r>
      <w:proofErr w:type="spellStart"/>
      <w:r>
        <w:rPr>
          <w:rFonts w:ascii="Arial" w:hAnsi="Arial" w:hint="default"/>
          <w:b w:val="0"/>
          <w:bCs w:val="0"/>
          <w:i/>
          <w:sz w:val="20"/>
          <w:szCs w:val="20"/>
        </w:rPr>
        <w:t>Bidens</w:t>
      </w:r>
      <w:proofErr w:type="spellEnd"/>
      <w:r>
        <w:rPr>
          <w:rFonts w:ascii="Arial" w:hAnsi="Arial" w:hint="default"/>
          <w:b w:val="0"/>
          <w:bCs w:val="0"/>
          <w:i/>
          <w:sz w:val="20"/>
          <w:szCs w:val="20"/>
        </w:rPr>
        <w:t xml:space="preserve"> </w:t>
      </w:r>
      <w:proofErr w:type="spellStart"/>
      <w:r>
        <w:rPr>
          <w:rFonts w:ascii="Arial" w:hAnsi="Arial" w:hint="default"/>
          <w:b w:val="0"/>
          <w:bCs w:val="0"/>
          <w:i/>
          <w:sz w:val="20"/>
          <w:szCs w:val="20"/>
        </w:rPr>
        <w:t>bipinnata</w:t>
      </w:r>
      <w:proofErr w:type="spellEnd"/>
      <w:r>
        <w:rPr>
          <w:rFonts w:ascii="Arial" w:hAnsi="Arial" w:hint="default"/>
          <w:b w:val="0"/>
          <w:bCs w:val="0"/>
          <w:sz w:val="20"/>
          <w:szCs w:val="20"/>
        </w:rPr>
        <w:t xml:space="preserve"> by reducing chlorophyll and biomass (Lopes et al., 2022). These findings indicate that grass weeds and invasive plants have significant potential as sources of bioherbicides based on their phytotoxicity mechanisms (Susilo et al., 2024).</w:t>
      </w:r>
    </w:p>
    <w:p w14:paraId="65120A67" w14:textId="77777777" w:rsidR="00633CEB" w:rsidRDefault="00633CEB"/>
    <w:p w14:paraId="00261047" w14:textId="77777777" w:rsidR="00633CEB" w:rsidRDefault="004C60E9">
      <w:pPr>
        <w:pStyle w:val="Heading3"/>
        <w:spacing w:beforeAutospacing="0" w:afterAutospacing="0"/>
        <w:jc w:val="both"/>
        <w:rPr>
          <w:rFonts w:ascii="Arial" w:hAnsi="Arial" w:cs="Arial" w:hint="default"/>
          <w:sz w:val="20"/>
          <w:szCs w:val="20"/>
        </w:rPr>
      </w:pPr>
      <w:r>
        <w:rPr>
          <w:rFonts w:ascii="Arial" w:hAnsi="Arial" w:cs="Arial" w:hint="default"/>
          <w:sz w:val="20"/>
          <w:szCs w:val="20"/>
        </w:rPr>
        <w:t xml:space="preserve">3.2.3. </w:t>
      </w:r>
      <w:r>
        <w:rPr>
          <w:rFonts w:ascii="Arial" w:hAnsi="Arial" w:cs="Arial" w:hint="default"/>
          <w:i/>
          <w:sz w:val="20"/>
          <w:szCs w:val="20"/>
        </w:rPr>
        <w:t>Cyperus</w:t>
      </w:r>
      <w:r>
        <w:rPr>
          <w:rFonts w:ascii="Arial" w:hAnsi="Arial" w:cs="Arial" w:hint="default"/>
          <w:sz w:val="20"/>
          <w:szCs w:val="20"/>
        </w:rPr>
        <w:t xml:space="preserve"> spp. Weeds</w:t>
      </w:r>
    </w:p>
    <w:p w14:paraId="4F4B14C3" w14:textId="77777777" w:rsidR="00633CEB" w:rsidRDefault="004C60E9">
      <w:pPr>
        <w:pStyle w:val="Heading3"/>
        <w:spacing w:beforeAutospacing="0" w:afterAutospacing="0"/>
        <w:jc w:val="both"/>
        <w:rPr>
          <w:rFonts w:ascii="Arial" w:hAnsi="Arial" w:hint="default"/>
          <w:b w:val="0"/>
          <w:bCs w:val="0"/>
          <w:sz w:val="20"/>
          <w:szCs w:val="20"/>
        </w:rPr>
      </w:pPr>
      <w:r>
        <w:rPr>
          <w:rFonts w:ascii="Arial" w:hAnsi="Arial" w:hint="default"/>
          <w:b w:val="0"/>
          <w:bCs w:val="0"/>
          <w:sz w:val="20"/>
          <w:szCs w:val="20"/>
        </w:rPr>
        <w:t xml:space="preserve">Weeds of the </w:t>
      </w:r>
      <w:r>
        <w:rPr>
          <w:rFonts w:ascii="Arial" w:hAnsi="Arial" w:hint="default"/>
          <w:b w:val="0"/>
          <w:bCs w:val="0"/>
          <w:i/>
          <w:sz w:val="20"/>
          <w:szCs w:val="20"/>
        </w:rPr>
        <w:t>Cyperus</w:t>
      </w:r>
      <w:r>
        <w:rPr>
          <w:rFonts w:ascii="Arial" w:hAnsi="Arial" w:hint="default"/>
          <w:b w:val="0"/>
          <w:bCs w:val="0"/>
          <w:sz w:val="20"/>
          <w:szCs w:val="20"/>
        </w:rPr>
        <w:t xml:space="preserve"> genus are among the groups with the most consistent potential as bioherbicides. Species such as </w:t>
      </w:r>
      <w:r>
        <w:rPr>
          <w:rFonts w:ascii="Arial" w:hAnsi="Arial" w:hint="default"/>
          <w:b w:val="0"/>
          <w:bCs w:val="0"/>
          <w:i/>
          <w:sz w:val="20"/>
          <w:szCs w:val="20"/>
        </w:rPr>
        <w:t>Cyperus rotundus</w:t>
      </w:r>
      <w:r>
        <w:rPr>
          <w:rFonts w:ascii="Arial" w:hAnsi="Arial" w:hint="default"/>
          <w:b w:val="0"/>
          <w:bCs w:val="0"/>
          <w:sz w:val="20"/>
          <w:szCs w:val="20"/>
        </w:rPr>
        <w:t xml:space="preserve">, </w:t>
      </w:r>
      <w:r>
        <w:rPr>
          <w:rFonts w:ascii="Arial" w:hAnsi="Arial" w:hint="default"/>
          <w:b w:val="0"/>
          <w:bCs w:val="0"/>
          <w:i/>
          <w:sz w:val="20"/>
          <w:szCs w:val="20"/>
        </w:rPr>
        <w:t>C. esculentus</w:t>
      </w:r>
      <w:r>
        <w:rPr>
          <w:rFonts w:ascii="Arial" w:hAnsi="Arial" w:hint="default"/>
          <w:b w:val="0"/>
          <w:bCs w:val="0"/>
          <w:sz w:val="20"/>
          <w:szCs w:val="20"/>
        </w:rPr>
        <w:t xml:space="preserve">, C. </w:t>
      </w:r>
      <w:proofErr w:type="spellStart"/>
      <w:r>
        <w:rPr>
          <w:rFonts w:ascii="Arial" w:hAnsi="Arial" w:hint="default"/>
          <w:b w:val="0"/>
          <w:bCs w:val="0"/>
          <w:sz w:val="20"/>
          <w:szCs w:val="20"/>
        </w:rPr>
        <w:t>distans</w:t>
      </w:r>
      <w:proofErr w:type="spellEnd"/>
      <w:r>
        <w:rPr>
          <w:rFonts w:ascii="Arial" w:hAnsi="Arial" w:hint="default"/>
          <w:b w:val="0"/>
          <w:bCs w:val="0"/>
          <w:sz w:val="20"/>
          <w:szCs w:val="20"/>
        </w:rPr>
        <w:t xml:space="preserve">, and C. </w:t>
      </w:r>
      <w:proofErr w:type="spellStart"/>
      <w:r>
        <w:rPr>
          <w:rFonts w:ascii="Arial" w:hAnsi="Arial" w:hint="default"/>
          <w:b w:val="0"/>
          <w:bCs w:val="0"/>
          <w:sz w:val="20"/>
          <w:szCs w:val="20"/>
        </w:rPr>
        <w:t>laxus</w:t>
      </w:r>
      <w:proofErr w:type="spellEnd"/>
      <w:r>
        <w:rPr>
          <w:rFonts w:ascii="Arial" w:hAnsi="Arial" w:hint="default"/>
          <w:b w:val="0"/>
          <w:bCs w:val="0"/>
          <w:sz w:val="20"/>
          <w:szCs w:val="20"/>
        </w:rPr>
        <w:t xml:space="preserve"> are known to produce allelochemical compounds such as flavonoids, terpenoids, and phenolics that are effective in inhibiting the germination and growth of weed seeds and other plants (Silva et al., 2020; Gam et al., 2024). Bulrush (</w:t>
      </w:r>
      <w:r>
        <w:rPr>
          <w:rFonts w:ascii="Arial" w:hAnsi="Arial" w:hint="default"/>
          <w:b w:val="0"/>
          <w:bCs w:val="0"/>
          <w:i/>
          <w:sz w:val="20"/>
          <w:szCs w:val="20"/>
        </w:rPr>
        <w:t>Cyperus</w:t>
      </w:r>
      <w:r>
        <w:rPr>
          <w:rFonts w:ascii="Arial" w:hAnsi="Arial" w:hint="default"/>
          <w:b w:val="0"/>
          <w:bCs w:val="0"/>
          <w:sz w:val="20"/>
          <w:szCs w:val="20"/>
        </w:rPr>
        <w:t xml:space="preserve"> sp.) tea extract at a concentration of 50-150 g/L of water significantly suppressed the germination of spiny goosefoot (</w:t>
      </w:r>
      <w:r>
        <w:rPr>
          <w:rFonts w:ascii="Arial" w:hAnsi="Arial" w:hint="default"/>
          <w:b w:val="0"/>
          <w:bCs w:val="0"/>
          <w:i/>
          <w:sz w:val="20"/>
          <w:szCs w:val="20"/>
        </w:rPr>
        <w:t>Amaranthus spinosus</w:t>
      </w:r>
      <w:r>
        <w:rPr>
          <w:rFonts w:ascii="Arial" w:hAnsi="Arial" w:hint="default"/>
          <w:b w:val="0"/>
          <w:bCs w:val="0"/>
          <w:sz w:val="20"/>
          <w:szCs w:val="20"/>
        </w:rPr>
        <w:t xml:space="preserve">) (Amrullah et al., 2024). In addition to its direct impact on target weeds, </w:t>
      </w:r>
      <w:r>
        <w:rPr>
          <w:rFonts w:ascii="Arial" w:hAnsi="Arial" w:hint="default"/>
          <w:b w:val="0"/>
          <w:bCs w:val="0"/>
          <w:i/>
          <w:sz w:val="20"/>
          <w:szCs w:val="20"/>
        </w:rPr>
        <w:t>Cyperus</w:t>
      </w:r>
      <w:r>
        <w:rPr>
          <w:rFonts w:ascii="Arial" w:hAnsi="Arial" w:hint="default"/>
          <w:b w:val="0"/>
          <w:bCs w:val="0"/>
          <w:sz w:val="20"/>
          <w:szCs w:val="20"/>
        </w:rPr>
        <w:t xml:space="preserve"> spp. is also reported to modify soil microbial activity, thereby increasing the persistence of allelochemical compounds in the soil (Kostina-Bednarz et al., 2023). </w:t>
      </w:r>
      <w:commentRangeStart w:id="15"/>
      <w:r>
        <w:rPr>
          <w:rFonts w:ascii="Arial" w:hAnsi="Arial" w:hint="default"/>
          <w:b w:val="0"/>
          <w:bCs w:val="0"/>
          <w:sz w:val="20"/>
          <w:szCs w:val="20"/>
        </w:rPr>
        <w:t xml:space="preserve">This potential makes </w:t>
      </w:r>
      <w:r>
        <w:rPr>
          <w:rFonts w:ascii="Arial" w:hAnsi="Arial" w:hint="default"/>
          <w:b w:val="0"/>
          <w:bCs w:val="0"/>
          <w:i/>
          <w:sz w:val="20"/>
          <w:szCs w:val="20"/>
        </w:rPr>
        <w:t>Cyperus</w:t>
      </w:r>
      <w:r>
        <w:rPr>
          <w:rFonts w:ascii="Arial" w:hAnsi="Arial" w:hint="default"/>
          <w:b w:val="0"/>
          <w:bCs w:val="0"/>
          <w:sz w:val="20"/>
          <w:szCs w:val="20"/>
        </w:rPr>
        <w:t xml:space="preserve"> weeds an important candidate in the development of bio-herbicides with a longer duration of action.</w:t>
      </w:r>
      <w:commentRangeEnd w:id="15"/>
      <w:r w:rsidR="003D00C4">
        <w:rPr>
          <w:rStyle w:val="CommentReference"/>
          <w:rFonts w:ascii="Times New Roman" w:eastAsia="Times New Roman" w:hAnsi="Times New Roman" w:hint="default"/>
          <w:b w:val="0"/>
          <w:bCs w:val="0"/>
          <w:lang w:val="nb-NO" w:eastAsia="nb-NO"/>
        </w:rPr>
        <w:commentReference w:id="15"/>
      </w:r>
    </w:p>
    <w:p w14:paraId="0E6853B0" w14:textId="77777777" w:rsidR="00633CEB" w:rsidRDefault="00633CEB">
      <w:pPr>
        <w:pStyle w:val="Heading3"/>
        <w:spacing w:beforeAutospacing="0" w:afterAutospacing="0"/>
        <w:jc w:val="both"/>
        <w:rPr>
          <w:rFonts w:ascii="Arial" w:hAnsi="Arial" w:cs="Arial" w:hint="default"/>
          <w:sz w:val="22"/>
          <w:szCs w:val="22"/>
        </w:rPr>
      </w:pPr>
    </w:p>
    <w:p w14:paraId="535F3671" w14:textId="77777777" w:rsidR="00633CEB" w:rsidRDefault="004C60E9">
      <w:pPr>
        <w:pStyle w:val="NormalWeb"/>
        <w:spacing w:beforeAutospacing="0" w:afterAutospacing="0"/>
        <w:rPr>
          <w:rFonts w:ascii="Arial" w:hAnsi="Arial" w:cs="Arial"/>
          <w:b/>
          <w:bCs/>
          <w:sz w:val="22"/>
          <w:szCs w:val="22"/>
        </w:rPr>
      </w:pPr>
      <w:r>
        <w:rPr>
          <w:rFonts w:ascii="Arial" w:hAnsi="Arial" w:cs="Arial"/>
          <w:b/>
          <w:bCs/>
          <w:sz w:val="22"/>
          <w:szCs w:val="22"/>
        </w:rPr>
        <w:t>2.4. Water Extraction Methods and Their Variations</w:t>
      </w:r>
    </w:p>
    <w:p w14:paraId="06B86D0A" w14:textId="77777777" w:rsidR="00633CEB" w:rsidRDefault="004C60E9">
      <w:pPr>
        <w:pStyle w:val="NormalWeb"/>
        <w:spacing w:beforeAutospacing="0" w:afterAutospacing="0"/>
        <w:jc w:val="both"/>
        <w:rPr>
          <w:rFonts w:ascii="Arial" w:hAnsi="Arial"/>
          <w:sz w:val="20"/>
          <w:szCs w:val="20"/>
        </w:rPr>
      </w:pPr>
      <w:r>
        <w:rPr>
          <w:rFonts w:ascii="Arial" w:hAnsi="Arial"/>
          <w:sz w:val="20"/>
          <w:szCs w:val="20"/>
        </w:rPr>
        <w:t>Extraction techniques continue to evolve in the production of bioherbicides, as they are environmentally friendly, safe, and effective for the extraction of polar allelochemicals. Water maceration at room temperature is a simple and standard method used in the early stages of phytochemical research, with various modifications such as kinetic maceration, digestion, and ultrasonication (</w:t>
      </w:r>
      <w:proofErr w:type="spellStart"/>
      <w:r>
        <w:rPr>
          <w:rFonts w:ascii="Arial" w:hAnsi="Arial"/>
          <w:sz w:val="20"/>
          <w:szCs w:val="20"/>
        </w:rPr>
        <w:t>Riyamol</w:t>
      </w:r>
      <w:proofErr w:type="spellEnd"/>
      <w:r>
        <w:rPr>
          <w:rFonts w:ascii="Arial" w:hAnsi="Arial"/>
          <w:sz w:val="20"/>
          <w:szCs w:val="20"/>
        </w:rPr>
        <w:t xml:space="preserve"> et al., 2023). Hot water extraction can accelerate the diffusion of compounds. However, it can cause degradation if not controlled, whereas the Soxhlet method provides high efficiency for polar compounds, though it requires more time and energy (Sekar et al., 2025).</w:t>
      </w:r>
    </w:p>
    <w:p w14:paraId="6C3BBFE5" w14:textId="77777777" w:rsidR="00633CEB" w:rsidRDefault="004C60E9">
      <w:pPr>
        <w:pStyle w:val="NormalWeb"/>
        <w:spacing w:beforeAutospacing="0" w:afterAutospacing="0"/>
        <w:jc w:val="both"/>
        <w:rPr>
          <w:rFonts w:ascii="Arial" w:hAnsi="Arial"/>
          <w:sz w:val="20"/>
          <w:szCs w:val="20"/>
        </w:rPr>
      </w:pPr>
      <w:r>
        <w:rPr>
          <w:rFonts w:ascii="Arial" w:hAnsi="Arial"/>
          <w:sz w:val="20"/>
          <w:szCs w:val="20"/>
        </w:rPr>
        <w:t xml:space="preserve">Modern extraction technologies, such as ultrasonic and microwave, have been shown to increase extraction speed and yield and reduce the amount of solvent used, resulting from </w:t>
      </w:r>
      <w:r>
        <w:rPr>
          <w:rFonts w:ascii="Arial" w:hAnsi="Arial"/>
          <w:sz w:val="20"/>
          <w:szCs w:val="20"/>
        </w:rPr>
        <w:lastRenderedPageBreak/>
        <w:t>increased mass transfer. The extraction method used must consider the physicochemical properties of the compound, thermal stability, and the purpose of the extract, whether for laboratory analysis or field applications (Cruz-Ortiz &amp; Flores-Méndez, 2021). Several studies have shown that polar compounds are optimally extracted with water or 50–80% ethanol. In comparison, non-polar compounds are optimally extracted with 96% ethanol, reinforcing the importance of matching the solvent to the target compound's characteristics (</w:t>
      </w:r>
      <w:proofErr w:type="spellStart"/>
      <w:r>
        <w:rPr>
          <w:rFonts w:ascii="Arial" w:hAnsi="Arial"/>
          <w:sz w:val="20"/>
          <w:szCs w:val="20"/>
        </w:rPr>
        <w:t>Syafira</w:t>
      </w:r>
      <w:proofErr w:type="spellEnd"/>
      <w:r>
        <w:rPr>
          <w:rFonts w:ascii="Arial" w:hAnsi="Arial"/>
          <w:sz w:val="20"/>
          <w:szCs w:val="20"/>
        </w:rPr>
        <w:t xml:space="preserve"> et al., 2025; </w:t>
      </w:r>
      <w:proofErr w:type="spellStart"/>
      <w:r>
        <w:rPr>
          <w:rFonts w:ascii="Arial" w:hAnsi="Arial"/>
          <w:sz w:val="20"/>
          <w:szCs w:val="20"/>
        </w:rPr>
        <w:t>Kartikasari</w:t>
      </w:r>
      <w:proofErr w:type="spellEnd"/>
      <w:r>
        <w:rPr>
          <w:rFonts w:ascii="Arial" w:hAnsi="Arial"/>
          <w:sz w:val="20"/>
          <w:szCs w:val="20"/>
        </w:rPr>
        <w:t xml:space="preserve"> et al., 2022).</w:t>
      </w:r>
    </w:p>
    <w:p w14:paraId="4B3D94EC" w14:textId="77777777" w:rsidR="00633CEB" w:rsidRDefault="004C60E9">
      <w:pPr>
        <w:pStyle w:val="NormalWeb"/>
        <w:spacing w:beforeAutospacing="0" w:afterAutospacing="0"/>
        <w:jc w:val="both"/>
        <w:rPr>
          <w:rFonts w:ascii="Arial" w:hAnsi="Arial"/>
          <w:sz w:val="20"/>
          <w:szCs w:val="20"/>
        </w:rPr>
      </w:pPr>
      <w:r>
        <w:rPr>
          <w:rFonts w:ascii="Arial" w:hAnsi="Arial"/>
          <w:sz w:val="20"/>
          <w:szCs w:val="20"/>
        </w:rPr>
        <w:t>In addition to the method, operational factors such as temperature, extraction time, solid-to-solvent ratio, and solvent concentration significantly affect the yield and stability of bioactive compounds. The optimal temperature generally ranges from 30 to 60 °C to increase solubility without degrading phenolic and flavonoid compounds, while the extraction time must be sufficient to achieve equilibrium without causing oxidative or hydrolytic damage (Susilo et al., 2020; Ananta et al., 2021). Therefore, optimization of extraction conditions is crucial for obtaining stable extracts that can be developed into bioherbicides within the framework of sustainable bio-based agriculture (</w:t>
      </w:r>
      <w:proofErr w:type="spellStart"/>
      <w:r>
        <w:rPr>
          <w:rFonts w:ascii="Arial" w:hAnsi="Arial"/>
          <w:sz w:val="20"/>
          <w:szCs w:val="20"/>
        </w:rPr>
        <w:t>Riyamol</w:t>
      </w:r>
      <w:proofErr w:type="spellEnd"/>
      <w:r>
        <w:rPr>
          <w:rFonts w:ascii="Arial" w:hAnsi="Arial"/>
          <w:sz w:val="20"/>
          <w:szCs w:val="20"/>
        </w:rPr>
        <w:t xml:space="preserve"> et al., 2023).</w:t>
      </w:r>
    </w:p>
    <w:p w14:paraId="14870EC2" w14:textId="77777777" w:rsidR="00633CEB" w:rsidRDefault="00633CEB">
      <w:pPr>
        <w:pStyle w:val="NormalWeb"/>
        <w:spacing w:beforeAutospacing="0" w:afterAutospacing="0"/>
        <w:jc w:val="both"/>
        <w:rPr>
          <w:rFonts w:ascii="Arial" w:hAnsi="Arial"/>
          <w:sz w:val="20"/>
          <w:szCs w:val="20"/>
        </w:rPr>
      </w:pPr>
    </w:p>
    <w:p w14:paraId="1C4DE6F8" w14:textId="77777777" w:rsidR="00633CEB" w:rsidRDefault="004C60E9">
      <w:pPr>
        <w:pStyle w:val="Heading2"/>
        <w:numPr>
          <w:ilvl w:val="1"/>
          <w:numId w:val="2"/>
        </w:numPr>
        <w:spacing w:beforeAutospacing="0" w:afterAutospacing="0"/>
        <w:jc w:val="both"/>
        <w:rPr>
          <w:rFonts w:ascii="Arial" w:hAnsi="Arial" w:cs="Arial" w:hint="default"/>
          <w:sz w:val="22"/>
          <w:szCs w:val="22"/>
        </w:rPr>
      </w:pPr>
      <w:commentRangeStart w:id="16"/>
      <w:r>
        <w:rPr>
          <w:rStyle w:val="Strong"/>
          <w:rFonts w:ascii="Arial" w:hAnsi="Arial" w:hint="default"/>
          <w:b/>
          <w:bCs/>
          <w:sz w:val="22"/>
          <w:szCs w:val="22"/>
        </w:rPr>
        <w:t>Effectiveness of Weed Water Extract on Target Weeds</w:t>
      </w:r>
      <w:commentRangeEnd w:id="16"/>
      <w:r w:rsidR="003D00C4">
        <w:rPr>
          <w:rStyle w:val="CommentReference"/>
          <w:rFonts w:ascii="Times New Roman" w:eastAsia="Times New Roman" w:hAnsi="Times New Roman" w:hint="default"/>
          <w:b w:val="0"/>
          <w:bCs w:val="0"/>
          <w:lang w:val="nb-NO" w:eastAsia="nb-NO"/>
        </w:rPr>
        <w:commentReference w:id="16"/>
      </w:r>
    </w:p>
    <w:p w14:paraId="73A27E4C" w14:textId="77777777" w:rsidR="00633CEB" w:rsidRDefault="004C60E9">
      <w:pPr>
        <w:pStyle w:val="Heading3"/>
        <w:spacing w:beforeAutospacing="0" w:afterAutospacing="0"/>
        <w:jc w:val="both"/>
        <w:rPr>
          <w:rFonts w:ascii="Arial" w:hAnsi="Arial" w:cs="Arial" w:hint="default"/>
          <w:sz w:val="20"/>
          <w:szCs w:val="20"/>
        </w:rPr>
      </w:pPr>
      <w:r>
        <w:rPr>
          <w:rStyle w:val="Strong"/>
          <w:rFonts w:ascii="Arial" w:hAnsi="Arial" w:cs="Arial" w:hint="default"/>
          <w:b/>
          <w:bCs/>
          <w:sz w:val="20"/>
          <w:szCs w:val="20"/>
        </w:rPr>
        <w:t xml:space="preserve">3.4.1 </w:t>
      </w:r>
      <w:r>
        <w:rPr>
          <w:rStyle w:val="Strong"/>
          <w:rFonts w:ascii="Arial" w:hAnsi="Arial" w:hint="default"/>
          <w:b/>
          <w:bCs/>
          <w:sz w:val="20"/>
          <w:szCs w:val="20"/>
        </w:rPr>
        <w:t>Inhibition of Weed Germination</w:t>
      </w:r>
    </w:p>
    <w:p w14:paraId="3BD43161" w14:textId="77777777" w:rsidR="00633CEB" w:rsidRDefault="004C60E9">
      <w:pPr>
        <w:pStyle w:val="Heading3"/>
        <w:spacing w:beforeAutospacing="0" w:afterAutospacing="0"/>
        <w:jc w:val="both"/>
        <w:rPr>
          <w:rFonts w:ascii="Arial" w:hAnsi="Arial" w:hint="default"/>
          <w:b w:val="0"/>
          <w:bCs w:val="0"/>
          <w:sz w:val="20"/>
          <w:szCs w:val="20"/>
        </w:rPr>
      </w:pPr>
      <w:r>
        <w:rPr>
          <w:rFonts w:ascii="Arial" w:hAnsi="Arial" w:hint="default"/>
          <w:b w:val="0"/>
          <w:bCs w:val="0"/>
          <w:sz w:val="20"/>
          <w:szCs w:val="20"/>
        </w:rPr>
        <w:t>Target weeds are naturally prevented by inhibiting seed germination using weed water extract as a natural bioherbicide. This mechanism is related to the release of secondary metabolites, namely phenols, flavonoids, terpenoids, tannins, and essential oils, which affect the physiological processes of seeds and inhibit initiation and germination, as well as the imbibition phase (Ammar et al., 2025).</w:t>
      </w:r>
    </w:p>
    <w:p w14:paraId="5677352C" w14:textId="77777777" w:rsidR="00633CEB" w:rsidRDefault="004C60E9">
      <w:pPr>
        <w:pStyle w:val="Heading3"/>
        <w:spacing w:beforeAutospacing="0" w:afterAutospacing="0"/>
        <w:jc w:val="both"/>
        <w:rPr>
          <w:rFonts w:ascii="Arial" w:hAnsi="Arial" w:hint="default"/>
          <w:b w:val="0"/>
          <w:bCs w:val="0"/>
          <w:sz w:val="20"/>
          <w:szCs w:val="20"/>
        </w:rPr>
      </w:pPr>
      <w:r>
        <w:rPr>
          <w:rFonts w:ascii="Arial" w:hAnsi="Arial" w:hint="default"/>
          <w:b w:val="0"/>
          <w:bCs w:val="0"/>
          <w:sz w:val="20"/>
          <w:szCs w:val="20"/>
        </w:rPr>
        <w:t>Biochemical inhibition of the inhibition process occurs in the synthesis of growth hormones, enzymes, and cell membrane damage. Phenolic and flavonoid compounds inhibit the presence of hydrolytic enzymes such as amylase, cellulase, and protease, which inhibit the mobility of seed food reserves and inhibit normal seedling production. Additionally, allelochemicals can inhibit DNA and RNA synchronization and disrupt mitochondrial function. This results in reduced cellular and embryonic development (</w:t>
      </w:r>
      <w:proofErr w:type="spellStart"/>
      <w:r>
        <w:rPr>
          <w:rFonts w:ascii="Arial" w:hAnsi="Arial" w:hint="default"/>
          <w:b w:val="0"/>
          <w:bCs w:val="0"/>
          <w:sz w:val="20"/>
          <w:szCs w:val="20"/>
        </w:rPr>
        <w:t>Kristianto</w:t>
      </w:r>
      <w:proofErr w:type="spellEnd"/>
      <w:r>
        <w:rPr>
          <w:rFonts w:ascii="Arial" w:hAnsi="Arial" w:hint="default"/>
          <w:b w:val="0"/>
          <w:bCs w:val="0"/>
          <w:sz w:val="20"/>
          <w:szCs w:val="20"/>
        </w:rPr>
        <w:t xml:space="preserve"> et al., 2020).</w:t>
      </w:r>
    </w:p>
    <w:p w14:paraId="363FB825" w14:textId="77777777" w:rsidR="00633CEB" w:rsidRDefault="004C60E9">
      <w:pPr>
        <w:pStyle w:val="Heading3"/>
        <w:spacing w:beforeAutospacing="0" w:afterAutospacing="0"/>
        <w:jc w:val="both"/>
        <w:rPr>
          <w:rFonts w:ascii="Arial" w:hAnsi="Arial" w:hint="default"/>
          <w:b w:val="0"/>
          <w:bCs w:val="0"/>
          <w:sz w:val="20"/>
          <w:szCs w:val="20"/>
        </w:rPr>
      </w:pPr>
      <w:r>
        <w:rPr>
          <w:rFonts w:ascii="Arial" w:hAnsi="Arial" w:hint="default"/>
          <w:b w:val="0"/>
          <w:bCs w:val="0"/>
          <w:sz w:val="20"/>
          <w:szCs w:val="20"/>
        </w:rPr>
        <w:t xml:space="preserve">From a physiological perspective, the effects of allelopathy are reflected in a reduction in both the percentage and speed of germination, the occurrence of </w:t>
      </w:r>
      <w:commentRangeStart w:id="17"/>
      <w:r>
        <w:rPr>
          <w:rFonts w:ascii="Arial" w:hAnsi="Arial" w:hint="default"/>
          <w:b w:val="0"/>
          <w:bCs w:val="0"/>
          <w:sz w:val="20"/>
          <w:szCs w:val="20"/>
        </w:rPr>
        <w:t xml:space="preserve">abnormal seeds, </w:t>
      </w:r>
      <w:commentRangeEnd w:id="17"/>
      <w:r w:rsidR="003D00C4">
        <w:rPr>
          <w:rStyle w:val="CommentReference"/>
          <w:rFonts w:ascii="Times New Roman" w:eastAsia="Times New Roman" w:hAnsi="Times New Roman" w:hint="default"/>
          <w:b w:val="0"/>
          <w:bCs w:val="0"/>
          <w:lang w:val="nb-NO" w:eastAsia="nb-NO"/>
        </w:rPr>
        <w:commentReference w:id="17"/>
      </w:r>
      <w:r>
        <w:rPr>
          <w:rFonts w:ascii="Arial" w:hAnsi="Arial" w:hint="default"/>
          <w:b w:val="0"/>
          <w:bCs w:val="0"/>
          <w:sz w:val="20"/>
          <w:szCs w:val="20"/>
        </w:rPr>
        <w:t>and the induction of secondary dormancy in target weed seeds (</w:t>
      </w:r>
      <w:proofErr w:type="spellStart"/>
      <w:r>
        <w:rPr>
          <w:rFonts w:ascii="Arial" w:hAnsi="Arial" w:hint="default"/>
          <w:b w:val="0"/>
          <w:bCs w:val="0"/>
          <w:sz w:val="20"/>
          <w:szCs w:val="20"/>
        </w:rPr>
        <w:t>Indarwati</w:t>
      </w:r>
      <w:proofErr w:type="spellEnd"/>
      <w:r>
        <w:rPr>
          <w:rFonts w:ascii="Arial" w:hAnsi="Arial" w:hint="default"/>
          <w:b w:val="0"/>
          <w:bCs w:val="0"/>
          <w:sz w:val="20"/>
          <w:szCs w:val="20"/>
        </w:rPr>
        <w:t xml:space="preserve"> et al., 2023). Increasing the concentration of water extracts from weeds generally shows a negative relationship with germination rate, as reported in weeds such as spiny amaranth and water hyacinth. Tannins play a significant role in this inhibition by disrupting mitochondrial respiration, Ca²⁺ and PO₄³⁻ ion transport, and inactivating gibberellin hormones, which are important for embryo elongation (</w:t>
      </w:r>
      <w:proofErr w:type="spellStart"/>
      <w:r>
        <w:rPr>
          <w:rFonts w:ascii="Arial" w:hAnsi="Arial" w:hint="default"/>
          <w:b w:val="0"/>
          <w:bCs w:val="0"/>
          <w:sz w:val="20"/>
          <w:szCs w:val="20"/>
        </w:rPr>
        <w:t>Talahatu</w:t>
      </w:r>
      <w:proofErr w:type="spellEnd"/>
      <w:r>
        <w:rPr>
          <w:rFonts w:ascii="Arial" w:hAnsi="Arial" w:hint="default"/>
          <w:b w:val="0"/>
          <w:bCs w:val="0"/>
          <w:sz w:val="20"/>
          <w:szCs w:val="20"/>
        </w:rPr>
        <w:t xml:space="preserve"> &amp; </w:t>
      </w:r>
      <w:proofErr w:type="spellStart"/>
      <w:r>
        <w:rPr>
          <w:rFonts w:ascii="Arial" w:hAnsi="Arial" w:hint="default"/>
          <w:b w:val="0"/>
          <w:bCs w:val="0"/>
          <w:sz w:val="20"/>
          <w:szCs w:val="20"/>
        </w:rPr>
        <w:t>Papilaya</w:t>
      </w:r>
      <w:proofErr w:type="spellEnd"/>
      <w:r>
        <w:rPr>
          <w:rFonts w:ascii="Arial" w:hAnsi="Arial" w:hint="default"/>
          <w:b w:val="0"/>
          <w:bCs w:val="0"/>
          <w:sz w:val="20"/>
          <w:szCs w:val="20"/>
        </w:rPr>
        <w:t>, 2015).</w:t>
      </w:r>
    </w:p>
    <w:p w14:paraId="45883124" w14:textId="77777777" w:rsidR="00633CEB" w:rsidRDefault="00633CEB"/>
    <w:p w14:paraId="14D219C8" w14:textId="77777777" w:rsidR="00633CEB" w:rsidRDefault="004C60E9">
      <w:pPr>
        <w:pStyle w:val="Heading3"/>
        <w:spacing w:beforeAutospacing="0" w:afterAutospacing="0"/>
        <w:jc w:val="both"/>
        <w:rPr>
          <w:rFonts w:ascii="Arial" w:hAnsi="Arial" w:cs="Arial" w:hint="default"/>
          <w:sz w:val="20"/>
          <w:szCs w:val="20"/>
        </w:rPr>
      </w:pPr>
      <w:r>
        <w:rPr>
          <w:rFonts w:ascii="Arial" w:hAnsi="Arial" w:cs="Arial" w:hint="default"/>
          <w:sz w:val="20"/>
          <w:szCs w:val="20"/>
        </w:rPr>
        <w:t xml:space="preserve">3.4.2. </w:t>
      </w:r>
      <w:r>
        <w:rPr>
          <w:rFonts w:ascii="Arial" w:hAnsi="Arial" w:hint="default"/>
          <w:sz w:val="20"/>
          <w:szCs w:val="20"/>
        </w:rPr>
        <w:t>Inhibition of Vegetative Growth of Weeds</w:t>
      </w:r>
    </w:p>
    <w:p w14:paraId="5B33D01E" w14:textId="77777777" w:rsidR="00633CEB" w:rsidRDefault="004C60E9">
      <w:pPr>
        <w:pStyle w:val="Heading3"/>
        <w:spacing w:beforeAutospacing="0" w:afterAutospacing="0"/>
        <w:jc w:val="both"/>
        <w:rPr>
          <w:rFonts w:ascii="Arial" w:hAnsi="Arial" w:hint="default"/>
          <w:b w:val="0"/>
          <w:bCs w:val="0"/>
          <w:sz w:val="20"/>
          <w:szCs w:val="20"/>
        </w:rPr>
      </w:pPr>
      <w:r>
        <w:rPr>
          <w:rFonts w:ascii="Arial" w:hAnsi="Arial" w:hint="default"/>
          <w:b w:val="0"/>
          <w:bCs w:val="0"/>
          <w:sz w:val="20"/>
          <w:szCs w:val="20"/>
        </w:rPr>
        <w:t>The use of weed water extracts disrupts weed vegetative processes by affecting key physiological processes such as photosynthesis, respiration, cell division, and protein synthesis. Allelochemicals function by disrupting cell membranes, inhibiting ATPase, and interfering with water and nutrient absorption, thereby reducing the growth and competitiveness of weeds (</w:t>
      </w:r>
      <w:proofErr w:type="spellStart"/>
      <w:r>
        <w:rPr>
          <w:rFonts w:ascii="Arial" w:hAnsi="Arial" w:hint="default"/>
          <w:b w:val="0"/>
          <w:bCs w:val="0"/>
          <w:sz w:val="20"/>
          <w:szCs w:val="20"/>
        </w:rPr>
        <w:t>Indarwati</w:t>
      </w:r>
      <w:proofErr w:type="spellEnd"/>
      <w:r>
        <w:rPr>
          <w:rFonts w:ascii="Arial" w:hAnsi="Arial" w:hint="default"/>
          <w:b w:val="0"/>
          <w:bCs w:val="0"/>
          <w:sz w:val="20"/>
          <w:szCs w:val="20"/>
        </w:rPr>
        <w:t xml:space="preserve"> et al., 2023). Secondary metabolites such as phenolics, flavonoids, alkaloids, and terpenoids also contribute to oxidative stress by increasing the amount of Reactive Oxygen Species (ROS), which results in cell damage and a decrease in weed biomass (</w:t>
      </w:r>
      <w:proofErr w:type="spellStart"/>
      <w:r>
        <w:rPr>
          <w:rFonts w:ascii="Arial" w:hAnsi="Arial" w:hint="default"/>
          <w:b w:val="0"/>
          <w:bCs w:val="0"/>
          <w:sz w:val="20"/>
          <w:szCs w:val="20"/>
        </w:rPr>
        <w:t>Alanaz</w:t>
      </w:r>
      <w:proofErr w:type="spellEnd"/>
      <w:r>
        <w:rPr>
          <w:rFonts w:ascii="Arial" w:hAnsi="Arial" w:hint="default"/>
          <w:b w:val="0"/>
          <w:bCs w:val="0"/>
          <w:sz w:val="20"/>
          <w:szCs w:val="20"/>
        </w:rPr>
        <w:t xml:space="preserve"> et al., 2023). Ageratum </w:t>
      </w:r>
      <w:proofErr w:type="spellStart"/>
      <w:r>
        <w:rPr>
          <w:rFonts w:ascii="Arial" w:hAnsi="Arial" w:hint="default"/>
          <w:b w:val="0"/>
          <w:bCs w:val="0"/>
          <w:sz w:val="20"/>
          <w:szCs w:val="20"/>
        </w:rPr>
        <w:t>conyzoides</w:t>
      </w:r>
      <w:proofErr w:type="spellEnd"/>
      <w:r>
        <w:rPr>
          <w:rFonts w:ascii="Arial" w:hAnsi="Arial" w:hint="default"/>
          <w:b w:val="0"/>
          <w:bCs w:val="0"/>
          <w:sz w:val="20"/>
          <w:szCs w:val="20"/>
        </w:rPr>
        <w:t xml:space="preserve"> extract damages plasma membranes and cell division structures, disrupting the balance of endogenous hormones, including auxin, gibberellin, and cytokinin, thereby inhibiting cell division and elongation (</w:t>
      </w:r>
      <w:proofErr w:type="spellStart"/>
      <w:r>
        <w:rPr>
          <w:rFonts w:ascii="Arial" w:hAnsi="Arial" w:hint="default"/>
          <w:b w:val="0"/>
          <w:bCs w:val="0"/>
          <w:sz w:val="20"/>
          <w:szCs w:val="20"/>
        </w:rPr>
        <w:t>Septiani</w:t>
      </w:r>
      <w:proofErr w:type="spellEnd"/>
      <w:r>
        <w:rPr>
          <w:rFonts w:ascii="Arial" w:hAnsi="Arial" w:hint="default"/>
          <w:b w:val="0"/>
          <w:bCs w:val="0"/>
          <w:sz w:val="20"/>
          <w:szCs w:val="20"/>
        </w:rPr>
        <w:t xml:space="preserve"> et al., 2019).</w:t>
      </w:r>
    </w:p>
    <w:p w14:paraId="6DC3ED28" w14:textId="77777777" w:rsidR="00633CEB" w:rsidRDefault="004C60E9">
      <w:pPr>
        <w:pStyle w:val="Heading3"/>
        <w:spacing w:beforeAutospacing="0" w:afterAutospacing="0"/>
        <w:jc w:val="both"/>
        <w:rPr>
          <w:rFonts w:ascii="Arial" w:hAnsi="Arial" w:hint="default"/>
          <w:b w:val="0"/>
          <w:bCs w:val="0"/>
          <w:sz w:val="20"/>
          <w:szCs w:val="20"/>
        </w:rPr>
      </w:pPr>
      <w:r>
        <w:rPr>
          <w:rFonts w:ascii="Arial" w:hAnsi="Arial" w:hint="default"/>
          <w:b w:val="0"/>
          <w:bCs w:val="0"/>
          <w:sz w:val="20"/>
          <w:szCs w:val="20"/>
        </w:rPr>
        <w:t xml:space="preserve">The effectiveness of water extracts of bioherbicides depends on the weed source, weed composition, allelochemical concentration, and the response of the target weeds. Although weeds can become resistant to bioherbicides, the rate of resistance is slower than with </w:t>
      </w:r>
      <w:r>
        <w:rPr>
          <w:rFonts w:ascii="Arial" w:hAnsi="Arial" w:hint="default"/>
          <w:b w:val="0"/>
          <w:bCs w:val="0"/>
          <w:sz w:val="20"/>
          <w:szCs w:val="20"/>
        </w:rPr>
        <w:lastRenderedPageBreak/>
        <w:t xml:space="preserve">herbicides because, despite being lower risk, bioherbicides do not create greater ecological risks and promote </w:t>
      </w:r>
      <w:proofErr w:type="spellStart"/>
      <w:r>
        <w:rPr>
          <w:rFonts w:ascii="Arial" w:hAnsi="Arial" w:hint="default"/>
          <w:b w:val="0"/>
          <w:bCs w:val="0"/>
          <w:sz w:val="20"/>
          <w:szCs w:val="20"/>
        </w:rPr>
        <w:t>ecosensible</w:t>
      </w:r>
      <w:proofErr w:type="spellEnd"/>
      <w:r>
        <w:rPr>
          <w:rFonts w:ascii="Arial" w:hAnsi="Arial" w:hint="default"/>
          <w:b w:val="0"/>
          <w:bCs w:val="0"/>
          <w:sz w:val="20"/>
          <w:szCs w:val="20"/>
        </w:rPr>
        <w:t xml:space="preserve"> control (</w:t>
      </w:r>
      <w:proofErr w:type="spellStart"/>
      <w:r>
        <w:rPr>
          <w:rFonts w:ascii="Arial" w:hAnsi="Arial" w:hint="default"/>
          <w:b w:val="0"/>
          <w:bCs w:val="0"/>
          <w:sz w:val="20"/>
          <w:szCs w:val="20"/>
        </w:rPr>
        <w:t>Mecheri</w:t>
      </w:r>
      <w:proofErr w:type="spellEnd"/>
      <w:r>
        <w:rPr>
          <w:rFonts w:ascii="Arial" w:hAnsi="Arial" w:hint="default"/>
          <w:b w:val="0"/>
          <w:bCs w:val="0"/>
          <w:sz w:val="20"/>
          <w:szCs w:val="20"/>
        </w:rPr>
        <w:t xml:space="preserve"> et al., 2020). Bioherbicides containing water hyacinth extract are more readily degraded, and because they exhibit greater bioactivity and variation in mechanisms of action, they are less toxic to non-target organisms and can slow the development of weed resistance (Susilo et al., 2020; </w:t>
      </w:r>
      <w:proofErr w:type="spellStart"/>
      <w:r>
        <w:rPr>
          <w:rFonts w:ascii="Arial" w:hAnsi="Arial" w:hint="default"/>
          <w:b w:val="0"/>
          <w:bCs w:val="0"/>
          <w:sz w:val="20"/>
          <w:szCs w:val="20"/>
        </w:rPr>
        <w:t>Mudaningrat</w:t>
      </w:r>
      <w:proofErr w:type="spellEnd"/>
      <w:r>
        <w:rPr>
          <w:rFonts w:ascii="Arial" w:hAnsi="Arial" w:hint="default"/>
          <w:b w:val="0"/>
          <w:bCs w:val="0"/>
          <w:sz w:val="20"/>
          <w:szCs w:val="20"/>
        </w:rPr>
        <w:t xml:space="preserve"> et al., 2023). In addition to their role in controlling weeds, supporting sustainable agriculture, and having economic and ecological value, allelochemicals have the potential to develop into multifunctional bioherbicides (GH et al., 2025). The main problems facing Mesopotamian weed water extract bioherbicides are the consistency of the effects shown in the field, formulation stability, and standardization and mass production, which are part of further technological development and research (Rajakumar et al., 2025). Although water extract bioherbicides have excellent prospects as environmentally friendly and sustainable weed control agents, synthetic herbicides still outperform bioherbicides in terms of speed of action (</w:t>
      </w:r>
      <w:proofErr w:type="spellStart"/>
      <w:r>
        <w:rPr>
          <w:rFonts w:ascii="Arial" w:hAnsi="Arial" w:hint="default"/>
          <w:b w:val="0"/>
          <w:bCs w:val="0"/>
          <w:sz w:val="20"/>
          <w:szCs w:val="20"/>
        </w:rPr>
        <w:t>Atmiyati</w:t>
      </w:r>
      <w:proofErr w:type="spellEnd"/>
      <w:r>
        <w:rPr>
          <w:rFonts w:ascii="Arial" w:hAnsi="Arial" w:hint="default"/>
          <w:b w:val="0"/>
          <w:bCs w:val="0"/>
          <w:sz w:val="20"/>
          <w:szCs w:val="20"/>
        </w:rPr>
        <w:t xml:space="preserve"> &amp; </w:t>
      </w:r>
      <w:proofErr w:type="spellStart"/>
      <w:r>
        <w:rPr>
          <w:rFonts w:ascii="Arial" w:hAnsi="Arial" w:hint="default"/>
          <w:b w:val="0"/>
          <w:bCs w:val="0"/>
          <w:sz w:val="20"/>
          <w:szCs w:val="20"/>
        </w:rPr>
        <w:t>Hermawati</w:t>
      </w:r>
      <w:proofErr w:type="spellEnd"/>
      <w:r>
        <w:rPr>
          <w:rFonts w:ascii="Arial" w:hAnsi="Arial" w:hint="default"/>
          <w:b w:val="0"/>
          <w:bCs w:val="0"/>
          <w:sz w:val="20"/>
          <w:szCs w:val="20"/>
        </w:rPr>
        <w:t>, 2025).</w:t>
      </w:r>
    </w:p>
    <w:p w14:paraId="106E04B4" w14:textId="77777777" w:rsidR="00633CEB" w:rsidRDefault="00633CEB"/>
    <w:p w14:paraId="67B739E4" w14:textId="77777777" w:rsidR="00633CEB" w:rsidRDefault="004C60E9">
      <w:pPr>
        <w:pStyle w:val="Heading3"/>
        <w:spacing w:beforeAutospacing="0" w:afterAutospacing="0"/>
        <w:jc w:val="both"/>
        <w:rPr>
          <w:rFonts w:ascii="Arial" w:hAnsi="Arial" w:cs="Arial" w:hint="default"/>
          <w:sz w:val="22"/>
          <w:szCs w:val="22"/>
        </w:rPr>
      </w:pPr>
      <w:r>
        <w:rPr>
          <w:rFonts w:ascii="Arial" w:hAnsi="Arial" w:cs="Arial" w:hint="default"/>
          <w:sz w:val="22"/>
          <w:szCs w:val="22"/>
        </w:rPr>
        <w:t xml:space="preserve">3.5 </w:t>
      </w:r>
      <w:r>
        <w:rPr>
          <w:rFonts w:ascii="Arial" w:hAnsi="Arial" w:hint="default"/>
          <w:sz w:val="22"/>
          <w:szCs w:val="22"/>
        </w:rPr>
        <w:t>Active Compounds in Weed Water Extract</w:t>
      </w:r>
    </w:p>
    <w:p w14:paraId="7B34CB1F" w14:textId="77777777" w:rsidR="00633CEB" w:rsidRDefault="004C60E9">
      <w:pPr>
        <w:pStyle w:val="NormalWeb"/>
        <w:spacing w:beforeAutospacing="0" w:afterAutospacing="0"/>
        <w:jc w:val="both"/>
        <w:rPr>
          <w:rFonts w:ascii="Arial" w:hAnsi="Arial" w:cs="Arial"/>
          <w:sz w:val="20"/>
          <w:szCs w:val="20"/>
        </w:rPr>
      </w:pPr>
      <w:r>
        <w:rPr>
          <w:rFonts w:ascii="Arial" w:hAnsi="Arial" w:cs="Arial"/>
          <w:sz w:val="20"/>
          <w:szCs w:val="20"/>
        </w:rPr>
        <w:t>Weed water extracts contain various secondary metabolites that play an important role in allelopathic activity. These metabolites include phenolic compounds, flavonoids, alkaloids, and organic acids. The presence and interaction of these compounds determine the level of phytotoxicity and the effectiveness of bioherbicides.</w:t>
      </w:r>
    </w:p>
    <w:p w14:paraId="336168A9" w14:textId="77777777" w:rsidR="00633CEB" w:rsidRDefault="00633CEB">
      <w:pPr>
        <w:pStyle w:val="Heading3"/>
        <w:spacing w:beforeAutospacing="0" w:afterAutospacing="0"/>
        <w:jc w:val="both"/>
        <w:rPr>
          <w:rFonts w:ascii="Arial" w:hAnsi="Arial" w:cs="Arial" w:hint="default"/>
          <w:b w:val="0"/>
          <w:bCs w:val="0"/>
          <w:sz w:val="20"/>
          <w:szCs w:val="20"/>
        </w:rPr>
      </w:pPr>
    </w:p>
    <w:p w14:paraId="3AF8F3BC" w14:textId="77777777" w:rsidR="00633CEB" w:rsidRDefault="004C60E9">
      <w:pPr>
        <w:pStyle w:val="NormalWeb"/>
        <w:spacing w:beforeAutospacing="0" w:afterAutospacing="0"/>
        <w:rPr>
          <w:rFonts w:ascii="Arial" w:hAnsi="Arial" w:cs="Arial"/>
          <w:b/>
          <w:bCs/>
          <w:sz w:val="20"/>
          <w:szCs w:val="20"/>
        </w:rPr>
      </w:pPr>
      <w:r>
        <w:rPr>
          <w:rFonts w:ascii="Arial" w:hAnsi="Arial" w:cs="Arial"/>
          <w:b/>
          <w:bCs/>
          <w:sz w:val="20"/>
          <w:szCs w:val="20"/>
        </w:rPr>
        <w:t>3.5.1. Phenolic Compounds</w:t>
      </w:r>
    </w:p>
    <w:p w14:paraId="7BAB530D" w14:textId="77777777" w:rsidR="00633CEB" w:rsidRDefault="004C60E9">
      <w:pPr>
        <w:pStyle w:val="Heading3"/>
        <w:spacing w:beforeAutospacing="0" w:afterAutospacing="0"/>
        <w:jc w:val="both"/>
        <w:rPr>
          <w:rFonts w:ascii="Arial" w:hAnsi="Arial" w:cs="Arial" w:hint="default"/>
          <w:b w:val="0"/>
          <w:bCs w:val="0"/>
          <w:sz w:val="20"/>
          <w:szCs w:val="20"/>
        </w:rPr>
      </w:pPr>
      <w:r>
        <w:rPr>
          <w:rFonts w:ascii="Arial" w:hAnsi="Arial" w:hint="default"/>
          <w:b w:val="0"/>
          <w:bCs w:val="0"/>
          <w:sz w:val="20"/>
          <w:szCs w:val="20"/>
        </w:rPr>
        <w:t xml:space="preserve">Based on previous research, phenolic compounds are allelopathic, meaning they can affect the physiological processes of weeds, such as photosynthesis, respiration, and protein synthesis, thereby causing oxidative stress and cellular damage (Ammar et al., 2023). In addition to triggering negative cellular processes, oxidative stress can also reduce productivity and </w:t>
      </w:r>
      <w:commentRangeStart w:id="18"/>
      <w:r>
        <w:rPr>
          <w:rFonts w:ascii="Arial" w:hAnsi="Arial" w:hint="default"/>
          <w:b w:val="0"/>
          <w:bCs w:val="0"/>
          <w:sz w:val="20"/>
          <w:szCs w:val="20"/>
        </w:rPr>
        <w:t>trigger antagonistic proteins</w:t>
      </w:r>
      <w:commentRangeEnd w:id="18"/>
      <w:r w:rsidR="00B56D46">
        <w:rPr>
          <w:rStyle w:val="CommentReference"/>
          <w:rFonts w:ascii="Times New Roman" w:eastAsia="Times New Roman" w:hAnsi="Times New Roman" w:hint="default"/>
          <w:b w:val="0"/>
          <w:bCs w:val="0"/>
          <w:lang w:val="nb-NO" w:eastAsia="nb-NO"/>
        </w:rPr>
        <w:commentReference w:id="18"/>
      </w:r>
      <w:r>
        <w:rPr>
          <w:rFonts w:ascii="Arial" w:hAnsi="Arial" w:hint="default"/>
          <w:b w:val="0"/>
          <w:bCs w:val="0"/>
          <w:sz w:val="20"/>
          <w:szCs w:val="20"/>
        </w:rPr>
        <w:t xml:space="preserve">. Therefore, these compounds also have a positive effect, inhibiting germination, suppressing shoot and root growth, and inducing programmed cell death (Rohim et al., 2022). Phenols, as phytotoxic compounds, also interact synergistically with other compounds contained in water extracts, as shown by phenolic extracts from </w:t>
      </w:r>
      <w:r>
        <w:rPr>
          <w:rFonts w:ascii="Arial" w:hAnsi="Arial" w:hint="default"/>
          <w:b w:val="0"/>
          <w:bCs w:val="0"/>
          <w:i/>
          <w:sz w:val="20"/>
          <w:szCs w:val="20"/>
        </w:rPr>
        <w:t xml:space="preserve">Parthenium </w:t>
      </w:r>
      <w:proofErr w:type="spellStart"/>
      <w:r>
        <w:rPr>
          <w:rFonts w:ascii="Arial" w:hAnsi="Arial" w:hint="default"/>
          <w:b w:val="0"/>
          <w:bCs w:val="0"/>
          <w:i/>
          <w:sz w:val="20"/>
          <w:szCs w:val="20"/>
        </w:rPr>
        <w:t>hysterophorus</w:t>
      </w:r>
      <w:proofErr w:type="spellEnd"/>
      <w:r>
        <w:rPr>
          <w:rFonts w:ascii="Arial" w:hAnsi="Arial" w:hint="default"/>
          <w:b w:val="0"/>
          <w:bCs w:val="0"/>
          <w:sz w:val="20"/>
          <w:szCs w:val="20"/>
        </w:rPr>
        <w:t xml:space="preserve"> (</w:t>
      </w:r>
      <w:proofErr w:type="spellStart"/>
      <w:r>
        <w:rPr>
          <w:rFonts w:ascii="Arial" w:hAnsi="Arial" w:hint="default"/>
          <w:b w:val="0"/>
          <w:bCs w:val="0"/>
          <w:sz w:val="20"/>
          <w:szCs w:val="20"/>
        </w:rPr>
        <w:t>Amrullah</w:t>
      </w:r>
      <w:proofErr w:type="spellEnd"/>
      <w:r>
        <w:rPr>
          <w:rFonts w:ascii="Arial" w:hAnsi="Arial" w:hint="default"/>
          <w:b w:val="0"/>
          <w:bCs w:val="0"/>
          <w:sz w:val="20"/>
          <w:szCs w:val="20"/>
        </w:rPr>
        <w:t xml:space="preserve"> et al., 2024). For example, phenols, as bioherbicide compounds, will also interact with microbes and other antagonists. This indicates the need for phytochemical analysis by chromatography to identify specific phenolic compounds in order to optimize bioherbicides (</w:t>
      </w:r>
      <w:proofErr w:type="spellStart"/>
      <w:r>
        <w:rPr>
          <w:rFonts w:ascii="Arial" w:hAnsi="Arial" w:hint="default"/>
          <w:b w:val="0"/>
          <w:bCs w:val="0"/>
          <w:sz w:val="20"/>
          <w:szCs w:val="20"/>
        </w:rPr>
        <w:t>Syafira</w:t>
      </w:r>
      <w:proofErr w:type="spellEnd"/>
      <w:r>
        <w:rPr>
          <w:rFonts w:ascii="Arial" w:hAnsi="Arial" w:hint="default"/>
          <w:b w:val="0"/>
          <w:bCs w:val="0"/>
          <w:sz w:val="20"/>
          <w:szCs w:val="20"/>
        </w:rPr>
        <w:t xml:space="preserve"> et al., 2025; Susilo et al., 2020).</w:t>
      </w:r>
    </w:p>
    <w:p w14:paraId="769E1F2B" w14:textId="77777777" w:rsidR="00633CEB" w:rsidRDefault="00633CEB">
      <w:pPr>
        <w:pStyle w:val="Heading3"/>
        <w:spacing w:beforeAutospacing="0" w:afterAutospacing="0"/>
        <w:jc w:val="both"/>
        <w:rPr>
          <w:rFonts w:ascii="Arial" w:hAnsi="Arial" w:cs="Arial" w:hint="default"/>
          <w:sz w:val="20"/>
          <w:szCs w:val="20"/>
        </w:rPr>
      </w:pPr>
    </w:p>
    <w:p w14:paraId="2B1EA1CB" w14:textId="77777777" w:rsidR="00633CEB" w:rsidRDefault="004C60E9">
      <w:pPr>
        <w:pStyle w:val="Heading3"/>
        <w:spacing w:beforeAutospacing="0" w:afterAutospacing="0"/>
        <w:jc w:val="both"/>
        <w:rPr>
          <w:rFonts w:ascii="Arial" w:hAnsi="Arial" w:cs="Arial" w:hint="default"/>
          <w:sz w:val="20"/>
          <w:szCs w:val="20"/>
        </w:rPr>
      </w:pPr>
      <w:r>
        <w:rPr>
          <w:rFonts w:ascii="Arial" w:hAnsi="Arial" w:cs="Arial" w:hint="default"/>
          <w:sz w:val="20"/>
          <w:szCs w:val="20"/>
        </w:rPr>
        <w:t>3.5.2. Flavonoid</w:t>
      </w:r>
    </w:p>
    <w:p w14:paraId="5131B53F" w14:textId="77777777" w:rsidR="00633CEB" w:rsidRDefault="004C60E9">
      <w:pPr>
        <w:pStyle w:val="Heading3"/>
        <w:spacing w:beforeAutospacing="0" w:afterAutospacing="0"/>
        <w:jc w:val="both"/>
        <w:rPr>
          <w:rFonts w:ascii="Arial" w:hAnsi="Arial" w:hint="default"/>
          <w:b w:val="0"/>
          <w:bCs w:val="0"/>
          <w:sz w:val="20"/>
          <w:szCs w:val="20"/>
        </w:rPr>
      </w:pPr>
      <w:commentRangeStart w:id="20"/>
      <w:r>
        <w:rPr>
          <w:rFonts w:ascii="Arial" w:hAnsi="Arial" w:hint="default"/>
          <w:b w:val="0"/>
          <w:bCs w:val="0"/>
          <w:sz w:val="20"/>
          <w:szCs w:val="20"/>
        </w:rPr>
        <w:t xml:space="preserve">Some flavonoids that break down into phenolic compounds </w:t>
      </w:r>
      <w:commentRangeEnd w:id="20"/>
      <w:r w:rsidR="00B56D46">
        <w:rPr>
          <w:rStyle w:val="CommentReference"/>
          <w:rFonts w:ascii="Times New Roman" w:eastAsia="Times New Roman" w:hAnsi="Times New Roman" w:hint="default"/>
          <w:b w:val="0"/>
          <w:bCs w:val="0"/>
          <w:lang w:val="nb-NO" w:eastAsia="nb-NO"/>
        </w:rPr>
        <w:commentReference w:id="20"/>
      </w:r>
      <w:r>
        <w:rPr>
          <w:rFonts w:ascii="Arial" w:hAnsi="Arial" w:hint="default"/>
          <w:b w:val="0"/>
          <w:bCs w:val="0"/>
          <w:sz w:val="20"/>
          <w:szCs w:val="20"/>
        </w:rPr>
        <w:t xml:space="preserve">are among the compounds that play a role in </w:t>
      </w:r>
      <w:commentRangeStart w:id="21"/>
      <w:r>
        <w:rPr>
          <w:rFonts w:ascii="Arial" w:hAnsi="Arial" w:hint="default"/>
          <w:b w:val="0"/>
          <w:bCs w:val="0"/>
          <w:sz w:val="20"/>
          <w:szCs w:val="20"/>
        </w:rPr>
        <w:t>allelopathy by inhibiting auxin transport, inducing lipid peroxidation, and disrupting cell division</w:t>
      </w:r>
      <w:commentRangeEnd w:id="21"/>
      <w:r w:rsidR="00B56D46">
        <w:rPr>
          <w:rStyle w:val="CommentReference"/>
          <w:rFonts w:ascii="Times New Roman" w:eastAsia="Times New Roman" w:hAnsi="Times New Roman" w:hint="default"/>
          <w:b w:val="0"/>
          <w:bCs w:val="0"/>
          <w:lang w:val="nb-NO" w:eastAsia="nb-NO"/>
        </w:rPr>
        <w:commentReference w:id="21"/>
      </w:r>
      <w:r>
        <w:rPr>
          <w:rFonts w:ascii="Arial" w:hAnsi="Arial" w:hint="default"/>
          <w:b w:val="0"/>
          <w:bCs w:val="0"/>
          <w:sz w:val="20"/>
          <w:szCs w:val="20"/>
        </w:rPr>
        <w:t>. Their polar nature and hydroxyl groups make these compounds water-soluble and dominant in water-based extracts (</w:t>
      </w:r>
      <w:proofErr w:type="spellStart"/>
      <w:r>
        <w:rPr>
          <w:rFonts w:ascii="Arial" w:hAnsi="Arial" w:hint="default"/>
          <w:b w:val="0"/>
          <w:bCs w:val="0"/>
          <w:sz w:val="20"/>
          <w:szCs w:val="20"/>
        </w:rPr>
        <w:t>Syafira</w:t>
      </w:r>
      <w:proofErr w:type="spellEnd"/>
      <w:r>
        <w:rPr>
          <w:rFonts w:ascii="Arial" w:hAnsi="Arial" w:hint="default"/>
          <w:b w:val="0"/>
          <w:bCs w:val="0"/>
          <w:sz w:val="20"/>
          <w:szCs w:val="20"/>
        </w:rPr>
        <w:t xml:space="preserve"> et al., 2025). These compounds also inhibit metabolic enzyme activity, disrupt cell permeability, and inhibit protein synthesis, resulting in reduced weed growth and viability (Anwar et al., 2023). Several flavonoid compounds, such as quercetin and kaempferol, have the potential to be developed into bioherbicides, as they have been proven to be phytotoxic to various weed species (</w:t>
      </w:r>
      <w:proofErr w:type="spellStart"/>
      <w:r>
        <w:rPr>
          <w:rFonts w:ascii="Arial" w:hAnsi="Arial" w:hint="default"/>
          <w:b w:val="0"/>
          <w:bCs w:val="0"/>
          <w:sz w:val="20"/>
          <w:szCs w:val="20"/>
        </w:rPr>
        <w:t>Alridiwirsah</w:t>
      </w:r>
      <w:proofErr w:type="spellEnd"/>
      <w:r>
        <w:rPr>
          <w:rFonts w:ascii="Arial" w:hAnsi="Arial" w:hint="default"/>
          <w:b w:val="0"/>
          <w:bCs w:val="0"/>
          <w:sz w:val="20"/>
          <w:szCs w:val="20"/>
        </w:rPr>
        <w:t xml:space="preserve"> et al., 2020). Often, compounds are identified from weeds and water extracts from various plants, namely flavonoids such as rutin, quercetin, myricetin, kaempferol, and catechin, with quercetin and rutin being dominant. Therefore, in this study, liquid chromatography–mass spectrometry was prioritized for identifying and isolating potentially active flavonoids (Bashar et al., 2023).</w:t>
      </w:r>
    </w:p>
    <w:p w14:paraId="7B031D2E" w14:textId="77777777" w:rsidR="00633CEB" w:rsidRDefault="00633CEB"/>
    <w:p w14:paraId="4183721C" w14:textId="77777777" w:rsidR="00633CEB" w:rsidRDefault="004C60E9">
      <w:pPr>
        <w:pStyle w:val="Heading3"/>
        <w:spacing w:beforeAutospacing="0" w:afterAutospacing="0"/>
        <w:jc w:val="both"/>
        <w:rPr>
          <w:rFonts w:ascii="Arial" w:hAnsi="Arial" w:cs="Arial" w:hint="default"/>
          <w:sz w:val="20"/>
          <w:szCs w:val="20"/>
        </w:rPr>
      </w:pPr>
      <w:r>
        <w:rPr>
          <w:rFonts w:ascii="Arial" w:hAnsi="Arial" w:cs="Arial" w:hint="default"/>
          <w:sz w:val="20"/>
          <w:szCs w:val="20"/>
        </w:rPr>
        <w:t>3.5.3. Alkaloid</w:t>
      </w:r>
    </w:p>
    <w:p w14:paraId="6ABD7483" w14:textId="77777777" w:rsidR="00633CEB" w:rsidRDefault="004C60E9">
      <w:pPr>
        <w:pStyle w:val="Heading3"/>
        <w:spacing w:beforeAutospacing="0" w:afterAutospacing="0"/>
        <w:jc w:val="both"/>
        <w:rPr>
          <w:rFonts w:ascii="Arial" w:hAnsi="Arial" w:hint="default"/>
          <w:b w:val="0"/>
          <w:bCs w:val="0"/>
          <w:sz w:val="20"/>
          <w:szCs w:val="20"/>
        </w:rPr>
      </w:pPr>
      <w:r>
        <w:rPr>
          <w:rFonts w:ascii="Arial" w:hAnsi="Arial" w:hint="default"/>
          <w:b w:val="0"/>
          <w:bCs w:val="0"/>
          <w:sz w:val="20"/>
          <w:szCs w:val="20"/>
        </w:rPr>
        <w:t xml:space="preserve">Alkaloids are nitrogen-containing secondary metabolites with strong allelopathic effects on weeds. Their mechanism of action includes disrupting DNA synthesis and cell replication, as </w:t>
      </w:r>
      <w:r>
        <w:rPr>
          <w:rFonts w:ascii="Arial" w:hAnsi="Arial" w:hint="default"/>
          <w:b w:val="0"/>
          <w:bCs w:val="0"/>
          <w:sz w:val="20"/>
          <w:szCs w:val="20"/>
        </w:rPr>
        <w:lastRenderedPageBreak/>
        <w:t>well as membrane function, leading to metabolic dysfunction and the death of target weed cells (</w:t>
      </w:r>
      <w:proofErr w:type="spellStart"/>
      <w:r>
        <w:rPr>
          <w:rFonts w:ascii="Arial" w:hAnsi="Arial" w:hint="default"/>
          <w:b w:val="0"/>
          <w:bCs w:val="0"/>
          <w:sz w:val="20"/>
          <w:szCs w:val="20"/>
        </w:rPr>
        <w:t>Indriani</w:t>
      </w:r>
      <w:proofErr w:type="spellEnd"/>
      <w:r>
        <w:rPr>
          <w:rFonts w:ascii="Arial" w:hAnsi="Arial" w:hint="default"/>
          <w:b w:val="0"/>
          <w:bCs w:val="0"/>
          <w:sz w:val="20"/>
          <w:szCs w:val="20"/>
        </w:rPr>
        <w:t xml:space="preserve"> et al., 2024; Anwar et al., 2021). Different alkaloids, such as indole, quinoline, gramine, and nicotine, have been reported to inhibit seed germination, root growth, and photosynthesis. However, they generally require higher concentrations than phenolic compounds to achieve these effects. Conversely, some alkaloids, such as berberine and ergotamine, exhibit very high phytotoxicity even at very low concentrations (Kostina-Bednarz et al., 2023). The allelopathic phytotoxicity of alkaloids is associated with the inhibition of peroxidase and amylase, </w:t>
      </w:r>
      <w:commentRangeStart w:id="22"/>
      <w:r>
        <w:rPr>
          <w:rFonts w:ascii="Arial" w:hAnsi="Arial" w:hint="default"/>
          <w:b w:val="0"/>
          <w:bCs w:val="0"/>
          <w:sz w:val="20"/>
          <w:szCs w:val="20"/>
        </w:rPr>
        <w:t>as well as lower water absorption in pre-cg seed germination, making them useful as pre-emergent herbicides</w:t>
      </w:r>
      <w:commentRangeEnd w:id="22"/>
      <w:r w:rsidR="008E1312">
        <w:rPr>
          <w:rStyle w:val="CommentReference"/>
          <w:rFonts w:ascii="Times New Roman" w:eastAsia="Times New Roman" w:hAnsi="Times New Roman" w:hint="default"/>
          <w:b w:val="0"/>
          <w:bCs w:val="0"/>
          <w:lang w:val="nb-NO" w:eastAsia="nb-NO"/>
        </w:rPr>
        <w:commentReference w:id="22"/>
      </w:r>
      <w:r>
        <w:rPr>
          <w:rFonts w:ascii="Arial" w:hAnsi="Arial" w:hint="default"/>
          <w:b w:val="0"/>
          <w:bCs w:val="0"/>
          <w:sz w:val="20"/>
          <w:szCs w:val="20"/>
        </w:rPr>
        <w:t xml:space="preserve">. The presence of alkaloids in extracts can be detected using the </w:t>
      </w:r>
      <w:proofErr w:type="spellStart"/>
      <w:r>
        <w:rPr>
          <w:rFonts w:ascii="Arial" w:hAnsi="Arial" w:hint="default"/>
          <w:b w:val="0"/>
          <w:bCs w:val="0"/>
          <w:sz w:val="20"/>
          <w:szCs w:val="20"/>
        </w:rPr>
        <w:t>Dragendorff</w:t>
      </w:r>
      <w:proofErr w:type="spellEnd"/>
      <w:r>
        <w:rPr>
          <w:rFonts w:ascii="Arial" w:hAnsi="Arial" w:hint="default"/>
          <w:b w:val="0"/>
          <w:bCs w:val="0"/>
          <w:sz w:val="20"/>
          <w:szCs w:val="20"/>
        </w:rPr>
        <w:t xml:space="preserve"> test, and those with good solubility in nonpolar solvents, especially from the Solanaceae family, offer opportunities to develop bioherbicides using alternative extraction methods (</w:t>
      </w:r>
      <w:proofErr w:type="spellStart"/>
      <w:r>
        <w:rPr>
          <w:rFonts w:ascii="Arial" w:hAnsi="Arial" w:hint="default"/>
          <w:b w:val="0"/>
          <w:bCs w:val="0"/>
          <w:sz w:val="20"/>
          <w:szCs w:val="20"/>
        </w:rPr>
        <w:t>Sihombing</w:t>
      </w:r>
      <w:proofErr w:type="spellEnd"/>
      <w:r>
        <w:rPr>
          <w:rFonts w:ascii="Arial" w:hAnsi="Arial" w:hint="default"/>
          <w:b w:val="0"/>
          <w:bCs w:val="0"/>
          <w:sz w:val="20"/>
          <w:szCs w:val="20"/>
        </w:rPr>
        <w:t xml:space="preserve"> et al., 2025).</w:t>
      </w:r>
    </w:p>
    <w:p w14:paraId="012BA55A" w14:textId="77777777" w:rsidR="00633CEB" w:rsidRDefault="00633CEB"/>
    <w:p w14:paraId="0273266C" w14:textId="77777777" w:rsidR="00633CEB" w:rsidRDefault="004C60E9">
      <w:pPr>
        <w:pStyle w:val="Heading3"/>
        <w:spacing w:beforeAutospacing="0" w:afterAutospacing="0"/>
        <w:jc w:val="both"/>
        <w:rPr>
          <w:rFonts w:ascii="Arial" w:hAnsi="Arial" w:cs="Arial" w:hint="default"/>
          <w:sz w:val="20"/>
          <w:szCs w:val="20"/>
        </w:rPr>
      </w:pPr>
      <w:r>
        <w:rPr>
          <w:rFonts w:ascii="Arial" w:hAnsi="Arial" w:cs="Arial" w:hint="default"/>
          <w:sz w:val="20"/>
          <w:szCs w:val="20"/>
        </w:rPr>
        <w:t>3.5.4. Organic Acid</w:t>
      </w:r>
    </w:p>
    <w:p w14:paraId="16959D9C" w14:textId="77777777" w:rsidR="00633CEB" w:rsidRDefault="004C60E9">
      <w:pPr>
        <w:pStyle w:val="Heading3"/>
        <w:spacing w:beforeAutospacing="0" w:afterAutospacing="0"/>
        <w:jc w:val="both"/>
        <w:rPr>
          <w:rFonts w:ascii="Arial" w:hAnsi="Arial" w:cs="Arial" w:hint="default"/>
          <w:b w:val="0"/>
          <w:bCs w:val="0"/>
          <w:sz w:val="20"/>
          <w:szCs w:val="20"/>
        </w:rPr>
      </w:pPr>
      <w:r>
        <w:rPr>
          <w:rFonts w:ascii="Arial" w:hAnsi="Arial" w:hint="default"/>
          <w:b w:val="0"/>
          <w:bCs w:val="0"/>
          <w:sz w:val="20"/>
          <w:szCs w:val="20"/>
        </w:rPr>
        <w:t>Various organic acids exert allelopathic effects through mechanisms such as decreasing pH in the rhizosphere, disrupting cellular respiration and increasing membrane permeability, inhibiting the Krebs cycle and oxidative phosphorylation, and reducing energy production in weeds (</w:t>
      </w:r>
      <w:proofErr w:type="spellStart"/>
      <w:r>
        <w:rPr>
          <w:rFonts w:ascii="Arial" w:hAnsi="Arial" w:hint="default"/>
          <w:b w:val="0"/>
          <w:bCs w:val="0"/>
          <w:sz w:val="20"/>
          <w:szCs w:val="20"/>
        </w:rPr>
        <w:t>Elos</w:t>
      </w:r>
      <w:proofErr w:type="spellEnd"/>
      <w:r>
        <w:rPr>
          <w:rFonts w:ascii="Arial" w:hAnsi="Arial" w:hint="default"/>
          <w:b w:val="0"/>
          <w:bCs w:val="0"/>
          <w:sz w:val="20"/>
          <w:szCs w:val="20"/>
        </w:rPr>
        <w:t xml:space="preserve"> et al., 2023). With their high polarity and solubility, organic acids, especially in the form of citric acid, can be formulated as bioherbicides and extracted more efficiently. </w:t>
      </w:r>
      <w:proofErr w:type="spellStart"/>
      <w:r>
        <w:rPr>
          <w:rFonts w:ascii="Arial" w:hAnsi="Arial" w:hint="default"/>
          <w:b w:val="0"/>
          <w:bCs w:val="0"/>
          <w:sz w:val="20"/>
          <w:szCs w:val="20"/>
        </w:rPr>
        <w:t>Jahro</w:t>
      </w:r>
      <w:proofErr w:type="spellEnd"/>
      <w:r>
        <w:rPr>
          <w:rFonts w:ascii="Arial" w:hAnsi="Arial" w:hint="default"/>
          <w:b w:val="0"/>
          <w:bCs w:val="0"/>
          <w:sz w:val="20"/>
          <w:szCs w:val="20"/>
        </w:rPr>
        <w:t xml:space="preserve"> et al. (2025) reported that citric acid can reduce weed density by up to 74.7% in several weed species. Organic acids can also form complexes (chelates) with essential metals, thereby inhibiting weed enzyme activity. The effectiveness of the extract is primarily determined by the variety and composition of organic acids, as well as by synergistic and antagonistic interactions with phenolic compounds and alkaloids. Therefore, in developing more effective and sustainable bioherbicides, understanding the stability and dynamics of extract compounds will be very useful (</w:t>
      </w:r>
      <w:proofErr w:type="spellStart"/>
      <w:r>
        <w:rPr>
          <w:rFonts w:ascii="Arial" w:hAnsi="Arial" w:hint="default"/>
          <w:b w:val="0"/>
          <w:bCs w:val="0"/>
          <w:sz w:val="20"/>
          <w:szCs w:val="20"/>
        </w:rPr>
        <w:t>Sukkhaeng</w:t>
      </w:r>
      <w:proofErr w:type="spellEnd"/>
      <w:r>
        <w:rPr>
          <w:rFonts w:ascii="Arial" w:hAnsi="Arial" w:hint="default"/>
          <w:b w:val="0"/>
          <w:bCs w:val="0"/>
          <w:sz w:val="20"/>
          <w:szCs w:val="20"/>
        </w:rPr>
        <w:t xml:space="preserve"> et al., 2023).</w:t>
      </w:r>
    </w:p>
    <w:p w14:paraId="04CC1445" w14:textId="77777777" w:rsidR="00633CEB" w:rsidRDefault="00633CEB">
      <w:pPr>
        <w:pStyle w:val="Heading3"/>
        <w:spacing w:beforeAutospacing="0" w:afterAutospacing="0"/>
        <w:jc w:val="both"/>
        <w:rPr>
          <w:rFonts w:ascii="Arial" w:hAnsi="Arial" w:cs="Arial" w:hint="default"/>
          <w:sz w:val="20"/>
          <w:szCs w:val="20"/>
        </w:rPr>
      </w:pPr>
    </w:p>
    <w:p w14:paraId="243254CD" w14:textId="77777777" w:rsidR="00633CEB" w:rsidRDefault="004C60E9">
      <w:pPr>
        <w:pStyle w:val="NormalWeb"/>
        <w:spacing w:beforeAutospacing="0" w:afterAutospacing="0"/>
        <w:rPr>
          <w:rFonts w:ascii="Arial" w:hAnsi="Arial" w:cs="Arial"/>
          <w:b/>
          <w:bCs/>
          <w:sz w:val="22"/>
          <w:szCs w:val="22"/>
        </w:rPr>
      </w:pPr>
      <w:r>
        <w:rPr>
          <w:rFonts w:ascii="Arial" w:hAnsi="Arial" w:cs="Arial"/>
          <w:b/>
          <w:bCs/>
          <w:sz w:val="22"/>
          <w:szCs w:val="22"/>
        </w:rPr>
        <w:t>3.6 Advantages and Limitations of Water Extract-Based Bioherbicides</w:t>
      </w:r>
    </w:p>
    <w:p w14:paraId="39EC015F" w14:textId="77777777" w:rsidR="00633CEB" w:rsidRDefault="004C60E9">
      <w:pPr>
        <w:pStyle w:val="Heading3"/>
        <w:spacing w:beforeAutospacing="0" w:afterAutospacing="0"/>
        <w:jc w:val="both"/>
        <w:rPr>
          <w:rFonts w:ascii="Arial" w:hAnsi="Arial" w:hint="default"/>
          <w:b w:val="0"/>
          <w:bCs w:val="0"/>
          <w:sz w:val="20"/>
          <w:szCs w:val="20"/>
        </w:rPr>
      </w:pPr>
      <w:r>
        <w:rPr>
          <w:rFonts w:ascii="Arial" w:hAnsi="Arial" w:hint="default"/>
          <w:b w:val="0"/>
          <w:bCs w:val="0"/>
          <w:sz w:val="20"/>
          <w:szCs w:val="20"/>
        </w:rPr>
        <w:t xml:space="preserve">Water-based bioherbicides are a promising option for weed </w:t>
      </w:r>
      <w:commentRangeStart w:id="23"/>
      <w:r>
        <w:rPr>
          <w:rFonts w:ascii="Arial" w:hAnsi="Arial" w:hint="default"/>
          <w:b w:val="0"/>
          <w:bCs w:val="0"/>
          <w:sz w:val="20"/>
          <w:szCs w:val="20"/>
        </w:rPr>
        <w:t>control that is gaining interest in sustainable agriculture systems</w:t>
      </w:r>
      <w:commentRangeEnd w:id="23"/>
      <w:r w:rsidR="008E1312">
        <w:rPr>
          <w:rStyle w:val="CommentReference"/>
          <w:rFonts w:ascii="Times New Roman" w:eastAsia="Times New Roman" w:hAnsi="Times New Roman" w:hint="default"/>
          <w:b w:val="0"/>
          <w:bCs w:val="0"/>
          <w:lang w:val="nb-NO" w:eastAsia="nb-NO"/>
        </w:rPr>
        <w:commentReference w:id="23"/>
      </w:r>
      <w:r>
        <w:rPr>
          <w:rFonts w:ascii="Arial" w:hAnsi="Arial" w:hint="default"/>
          <w:b w:val="0"/>
          <w:bCs w:val="0"/>
          <w:sz w:val="20"/>
          <w:szCs w:val="20"/>
        </w:rPr>
        <w:t>. This approach offers several ecological and economic advantages, but also some technical constraints that need to be considered in its development.</w:t>
      </w:r>
    </w:p>
    <w:p w14:paraId="2DFD60E2" w14:textId="77777777" w:rsidR="00633CEB" w:rsidRDefault="00633CEB"/>
    <w:p w14:paraId="6C7A8548" w14:textId="77777777" w:rsidR="00633CEB" w:rsidRDefault="004C60E9">
      <w:pPr>
        <w:pStyle w:val="Heading3"/>
        <w:spacing w:beforeAutospacing="0" w:afterAutospacing="0"/>
        <w:jc w:val="both"/>
        <w:rPr>
          <w:rFonts w:ascii="Arial" w:hAnsi="Arial" w:cs="Arial" w:hint="default"/>
          <w:sz w:val="20"/>
          <w:szCs w:val="20"/>
        </w:rPr>
      </w:pPr>
      <w:r>
        <w:rPr>
          <w:rFonts w:ascii="Arial" w:hAnsi="Arial" w:cs="Arial" w:hint="default"/>
          <w:sz w:val="20"/>
          <w:szCs w:val="20"/>
        </w:rPr>
        <w:t>3.6.1. Advantages of Water Extract-Based Bioherbicides</w:t>
      </w:r>
    </w:p>
    <w:p w14:paraId="33580A6D" w14:textId="77777777" w:rsidR="00633CEB" w:rsidRDefault="004C60E9">
      <w:pPr>
        <w:pStyle w:val="Heading3"/>
        <w:spacing w:beforeAutospacing="0" w:afterAutospacing="0"/>
        <w:jc w:val="both"/>
        <w:rPr>
          <w:rFonts w:ascii="Arial" w:hAnsi="Arial" w:hint="default"/>
          <w:b w:val="0"/>
          <w:bCs w:val="0"/>
          <w:sz w:val="20"/>
          <w:szCs w:val="20"/>
        </w:rPr>
      </w:pPr>
      <w:r>
        <w:rPr>
          <w:rFonts w:ascii="Arial" w:hAnsi="Arial" w:hint="default"/>
          <w:b w:val="0"/>
          <w:bCs w:val="0"/>
          <w:sz w:val="20"/>
          <w:szCs w:val="20"/>
        </w:rPr>
        <w:t>Bioherbicides are an alternative to synthetic herbicides, produced through biological processes and not mixing harmful chemicals to destroy vegetation. The use of bioherbicides has the potential to suppress weeds, increase farmer independence, reduce production costs, and optimize the use of available scientific and biological resources. In addition to being beneficial, bioherbicides are environmentally friendly and have the potential to strengthen the economic cycle in the agricultural economy sustainably.</w:t>
      </w:r>
    </w:p>
    <w:p w14:paraId="5394C765" w14:textId="77777777" w:rsidR="00633CEB" w:rsidRDefault="004C60E9">
      <w:pPr>
        <w:pStyle w:val="Heading3"/>
        <w:spacing w:beforeAutospacing="0" w:afterAutospacing="0"/>
        <w:jc w:val="both"/>
        <w:rPr>
          <w:rFonts w:ascii="Arial" w:hAnsi="Arial" w:hint="default"/>
          <w:b w:val="0"/>
          <w:bCs w:val="0"/>
          <w:sz w:val="20"/>
          <w:szCs w:val="20"/>
        </w:rPr>
      </w:pPr>
      <w:r>
        <w:rPr>
          <w:rFonts w:ascii="Arial" w:hAnsi="Arial" w:hint="default"/>
          <w:b w:val="0"/>
          <w:bCs w:val="0"/>
          <w:sz w:val="20"/>
          <w:szCs w:val="20"/>
        </w:rPr>
        <w:t>Bioherbicides also serve to restore and contribute to the conservation of biodiversity in agricultural ecosystems, as well as increase biodiversity in the soil, accelerate the recovery of soil organism communities, and improve ecosystem stability when compared to the use of synthetic herbicides. Therefore, to maintain the health and sustainability of agricultural ecosystems, bioherbicides are one of the best alternatives for weed control (Stefanski et al., 2020).</w:t>
      </w:r>
    </w:p>
    <w:p w14:paraId="0DB258B1" w14:textId="77777777" w:rsidR="00633CEB" w:rsidRDefault="00633CEB"/>
    <w:p w14:paraId="0E014077" w14:textId="77777777" w:rsidR="00633CEB" w:rsidRDefault="004C60E9">
      <w:pPr>
        <w:pStyle w:val="Heading3"/>
        <w:spacing w:beforeAutospacing="0" w:afterAutospacing="0"/>
        <w:jc w:val="both"/>
        <w:rPr>
          <w:rFonts w:ascii="Arial" w:hAnsi="Arial" w:cs="Arial" w:hint="default"/>
          <w:sz w:val="20"/>
          <w:szCs w:val="20"/>
        </w:rPr>
      </w:pPr>
      <w:r>
        <w:rPr>
          <w:rFonts w:ascii="Arial" w:hAnsi="Arial" w:cs="Arial" w:hint="default"/>
          <w:sz w:val="20"/>
          <w:szCs w:val="20"/>
        </w:rPr>
        <w:t>3.6.2. Limitations of Bioherbicides Based on Aqueous Extracts</w:t>
      </w:r>
    </w:p>
    <w:p w14:paraId="6112D79E" w14:textId="77777777" w:rsidR="00633CEB" w:rsidRDefault="004C60E9">
      <w:pPr>
        <w:pStyle w:val="Heading3"/>
        <w:spacing w:beforeAutospacing="0" w:afterAutospacing="0"/>
        <w:jc w:val="both"/>
        <w:rPr>
          <w:rFonts w:ascii="Arial" w:hAnsi="Arial" w:hint="default"/>
          <w:b w:val="0"/>
          <w:bCs w:val="0"/>
          <w:sz w:val="20"/>
          <w:szCs w:val="20"/>
        </w:rPr>
      </w:pPr>
      <w:r>
        <w:rPr>
          <w:rFonts w:ascii="Arial" w:hAnsi="Arial" w:hint="default"/>
          <w:b w:val="0"/>
          <w:bCs w:val="0"/>
          <w:sz w:val="20"/>
          <w:szCs w:val="20"/>
        </w:rPr>
        <w:t>Bioherbicides based on aqueous extracts offer many advantages, but their application poses several challenges. One of these is the variability in the efficacy of bioherbicides, which is influenced by the origin of the plant raw material, extraction techniques, active compound content, and soil conditions (type, pH, and soil microorganism activity) (Kostina-Bednarz et al., 2023). Differences in weed response to bioherbicide treatment, both in the laboratory and in field applications, can be attributed to the conditions described above.</w:t>
      </w:r>
    </w:p>
    <w:p w14:paraId="2AE69FB1" w14:textId="77777777" w:rsidR="00633CEB" w:rsidRDefault="004C60E9">
      <w:pPr>
        <w:pStyle w:val="Heading3"/>
        <w:spacing w:beforeAutospacing="0" w:afterAutospacing="0"/>
        <w:jc w:val="both"/>
        <w:rPr>
          <w:rFonts w:ascii="Arial" w:hAnsi="Arial" w:hint="default"/>
          <w:b w:val="0"/>
          <w:bCs w:val="0"/>
          <w:sz w:val="20"/>
          <w:szCs w:val="20"/>
        </w:rPr>
      </w:pPr>
      <w:r>
        <w:rPr>
          <w:rFonts w:ascii="Arial" w:hAnsi="Arial" w:hint="default"/>
          <w:b w:val="0"/>
          <w:bCs w:val="0"/>
          <w:sz w:val="20"/>
          <w:szCs w:val="20"/>
        </w:rPr>
        <w:lastRenderedPageBreak/>
        <w:t>Meanwhile, in terms of shelf life and stability, aqueous extracts have a shorter shelf life than synthetic herbicides. The effectiveness of natural bioactive compounds can be temporary, as they degrade rapidly when exposed to light, high temperatures, and microbial activity. Regardless, repeated applications or the development of more stable formulations are necessary for bioherbicides to last longer (Parajuli et al., 2022).</w:t>
      </w:r>
    </w:p>
    <w:p w14:paraId="6C89143A" w14:textId="77777777" w:rsidR="00633CEB" w:rsidRDefault="004C60E9">
      <w:pPr>
        <w:pStyle w:val="Heading3"/>
        <w:spacing w:beforeAutospacing="0" w:afterAutospacing="0"/>
        <w:jc w:val="both"/>
        <w:rPr>
          <w:rFonts w:ascii="Arial" w:hAnsi="Arial" w:hint="default"/>
          <w:b w:val="0"/>
          <w:bCs w:val="0"/>
          <w:sz w:val="20"/>
          <w:szCs w:val="20"/>
        </w:rPr>
      </w:pPr>
      <w:r>
        <w:rPr>
          <w:rFonts w:ascii="Arial" w:hAnsi="Arial" w:hint="default"/>
          <w:b w:val="0"/>
          <w:bCs w:val="0"/>
          <w:sz w:val="20"/>
          <w:szCs w:val="20"/>
        </w:rPr>
        <w:t>Another limitation is the potential for phytotoxicity in crop cultivation when dosage and application timing are not carefully controlled. Some allelochemicals are quite non-selective, so that they can inhibit growth in major crops. Thus, further research is needed to determine safety thresholds, optimal doses, and appropriate formulations for various agricultural commodities. From an end-user and commercial perspective, there is still a long way to go in standardizing bio-herbicide products. The content of secondary metabolites in extracts can vary with growth location and harvest season, making it difficult to achieve uniform quality in large-scale production. Additionally, inefficient regulations and policies regarding registration, quality control, and bio-herbicide facilities remain significant challenges to the broader adoption and commercialization of natural bio-herbicides (</w:t>
      </w:r>
      <w:proofErr w:type="spellStart"/>
      <w:r>
        <w:rPr>
          <w:rFonts w:ascii="Arial" w:hAnsi="Arial" w:hint="default"/>
          <w:b w:val="0"/>
          <w:bCs w:val="0"/>
          <w:sz w:val="20"/>
          <w:szCs w:val="20"/>
        </w:rPr>
        <w:t>Irnawati</w:t>
      </w:r>
      <w:proofErr w:type="spellEnd"/>
      <w:r>
        <w:rPr>
          <w:rFonts w:ascii="Arial" w:hAnsi="Arial" w:hint="default"/>
          <w:b w:val="0"/>
          <w:bCs w:val="0"/>
          <w:sz w:val="20"/>
          <w:szCs w:val="20"/>
        </w:rPr>
        <w:t xml:space="preserve"> et al., 2025).</w:t>
      </w:r>
    </w:p>
    <w:p w14:paraId="61D9E77C" w14:textId="77777777" w:rsidR="00633CEB" w:rsidRDefault="00633CEB"/>
    <w:p w14:paraId="7F9267F8" w14:textId="77777777" w:rsidR="00633CEB" w:rsidRDefault="004C60E9">
      <w:pPr>
        <w:pStyle w:val="Heading3"/>
        <w:spacing w:beforeAutospacing="0" w:afterAutospacing="0"/>
        <w:jc w:val="both"/>
        <w:rPr>
          <w:rFonts w:ascii="Arial" w:hAnsi="Arial" w:cs="Arial" w:hint="default"/>
          <w:sz w:val="20"/>
          <w:szCs w:val="20"/>
        </w:rPr>
      </w:pPr>
      <w:r>
        <w:rPr>
          <w:rFonts w:ascii="Arial" w:hAnsi="Arial" w:cs="Arial" w:hint="default"/>
          <w:sz w:val="20"/>
          <w:szCs w:val="20"/>
        </w:rPr>
        <w:t>3.6.3. Implications of Development</w:t>
      </w:r>
    </w:p>
    <w:p w14:paraId="2EAB92D3" w14:textId="77777777" w:rsidR="00633CEB" w:rsidRDefault="004C60E9">
      <w:pPr>
        <w:pStyle w:val="NormalWeb"/>
        <w:spacing w:beforeAutospacing="0" w:afterAutospacing="0"/>
        <w:jc w:val="both"/>
        <w:rPr>
          <w:rFonts w:ascii="Arial" w:hAnsi="Arial"/>
          <w:sz w:val="20"/>
          <w:szCs w:val="20"/>
        </w:rPr>
      </w:pPr>
      <w:r>
        <w:rPr>
          <w:rFonts w:ascii="Arial" w:hAnsi="Arial"/>
          <w:sz w:val="20"/>
          <w:szCs w:val="20"/>
        </w:rPr>
        <w:t>Maximizing the potential of water extract-based bioherbicides requires further research on the isolation of active compounds, optimization of extraction methods, and development of more stable and effective formulations. The synergy of allelopathic compounds also needs to be explored to increase efficacy without increasing the risk of phytotoxicity. The development of these bioherbicides also requires support in terms of policy, farmer training, and collaboration between academia and the public and private sectors to ensure widespread and sustainable adoption. With the right approach, water extract-based bioherbicides can be a strategic solution for environmentally friendly and highly competitive weed management.</w:t>
      </w:r>
    </w:p>
    <w:p w14:paraId="072C7AB4" w14:textId="77777777" w:rsidR="00633CEB" w:rsidRDefault="00633CEB">
      <w:pPr>
        <w:pStyle w:val="NormalWeb"/>
        <w:spacing w:beforeAutospacing="0" w:afterAutospacing="0"/>
        <w:jc w:val="both"/>
        <w:rPr>
          <w:rFonts w:ascii="Arial" w:hAnsi="Arial"/>
          <w:sz w:val="20"/>
          <w:szCs w:val="20"/>
        </w:rPr>
      </w:pPr>
    </w:p>
    <w:p w14:paraId="506BFAE5" w14:textId="77777777" w:rsidR="00633CEB" w:rsidRDefault="004C60E9">
      <w:pPr>
        <w:pStyle w:val="NormalWeb"/>
        <w:spacing w:beforeAutospacing="0" w:afterAutospacing="0"/>
        <w:jc w:val="both"/>
        <w:rPr>
          <w:rFonts w:ascii="Arial" w:hAnsi="Arial" w:cs="Arial"/>
          <w:b/>
          <w:bCs/>
          <w:sz w:val="20"/>
          <w:szCs w:val="20"/>
        </w:rPr>
      </w:pPr>
      <w:r>
        <w:rPr>
          <w:rFonts w:ascii="Arial" w:hAnsi="Arial" w:cs="Arial"/>
          <w:b/>
          <w:bCs/>
          <w:sz w:val="20"/>
          <w:szCs w:val="20"/>
        </w:rPr>
        <w:t>3.6.4. Limitations of Water Extract-Based Bioherbicides</w:t>
      </w:r>
    </w:p>
    <w:p w14:paraId="5985032C" w14:textId="77777777" w:rsidR="00633CEB" w:rsidRDefault="004C60E9">
      <w:pPr>
        <w:pStyle w:val="NormalWeb"/>
        <w:spacing w:beforeAutospacing="0" w:afterAutospacing="0"/>
        <w:jc w:val="both"/>
        <w:rPr>
          <w:rFonts w:ascii="Arial" w:hAnsi="Arial" w:cs="Arial"/>
          <w:sz w:val="20"/>
          <w:szCs w:val="20"/>
        </w:rPr>
      </w:pPr>
      <w:r>
        <w:rPr>
          <w:rFonts w:ascii="Arial" w:hAnsi="Arial"/>
          <w:sz w:val="20"/>
          <w:szCs w:val="20"/>
        </w:rPr>
        <w:t>The stability of herbal extract-based bioherbicide formulations is influenced by the degradation of bioactive compounds in the extracts, which affects product effectiveness and shelf life and is a significant obstacle to bioherbicide development. This major obstacle is also supported by the genetic diversity and adaptability of weeds, making weed control inconsistent (Rajakumar et al., 2025). Various formulation techniques, such as microencapsulation, nanoencapsulation, and microemulsions, have not yet enabled bioherbicides with a broad host spectrum (Sekar et al., 2025).</w:t>
      </w:r>
    </w:p>
    <w:p w14:paraId="5ED7A2F9" w14:textId="77777777" w:rsidR="00633CEB" w:rsidRDefault="004C60E9">
      <w:pPr>
        <w:pStyle w:val="NormalWeb"/>
        <w:spacing w:beforeAutospacing="0" w:afterAutospacing="0"/>
        <w:jc w:val="both"/>
        <w:rPr>
          <w:rFonts w:ascii="Arial" w:hAnsi="Arial"/>
          <w:sz w:val="20"/>
          <w:szCs w:val="20"/>
        </w:rPr>
      </w:pPr>
      <w:r>
        <w:rPr>
          <w:rFonts w:ascii="Arial" w:hAnsi="Arial"/>
          <w:sz w:val="20"/>
          <w:szCs w:val="20"/>
        </w:rPr>
        <w:t>The synergistic combination of allelochemical and biotechnological approaches in the development of new-generation formulations is considered quite important. However, the dominant inhibition studied lacks physicochemical, molecular, and toxicological studies, hampering understanding of its mechanism of action (Cruz-Ortiz &amp; Flores-Mendez, 2021). The inconsistency between laboratory tests and field applications reduces acceptance among farmers, necessitating field demonstrations and training (Zamzam et al., 2025).</w:t>
      </w:r>
    </w:p>
    <w:p w14:paraId="11940B31" w14:textId="77777777" w:rsidR="00633CEB" w:rsidRDefault="004C60E9">
      <w:pPr>
        <w:pStyle w:val="NormalWeb"/>
        <w:spacing w:beforeAutospacing="0" w:afterAutospacing="0"/>
        <w:jc w:val="both"/>
        <w:rPr>
          <w:rFonts w:ascii="Arial" w:hAnsi="Arial" w:cs="Arial"/>
          <w:sz w:val="20"/>
          <w:szCs w:val="20"/>
        </w:rPr>
      </w:pPr>
      <w:r>
        <w:rPr>
          <w:rFonts w:ascii="Arial" w:hAnsi="Arial"/>
          <w:sz w:val="20"/>
          <w:szCs w:val="20"/>
        </w:rPr>
        <w:t>At the same time, delays in meeting the criteria for formulation, methodology, and field application evaluation guidelines result in a longer, more expensive regulatory process and greater volatility in bioherbicide performance, slowing the commercialization of bioherbicides (</w:t>
      </w:r>
      <w:proofErr w:type="spellStart"/>
      <w:r>
        <w:rPr>
          <w:rFonts w:ascii="Arial" w:hAnsi="Arial"/>
          <w:sz w:val="20"/>
          <w:szCs w:val="20"/>
        </w:rPr>
        <w:t>Supriyono</w:t>
      </w:r>
      <w:proofErr w:type="spellEnd"/>
      <w:r>
        <w:rPr>
          <w:rFonts w:ascii="Arial" w:hAnsi="Arial"/>
          <w:sz w:val="20"/>
          <w:szCs w:val="20"/>
        </w:rPr>
        <w:t xml:space="preserve"> et al., 2024; </w:t>
      </w:r>
      <w:proofErr w:type="spellStart"/>
      <w:r>
        <w:rPr>
          <w:rFonts w:ascii="Arial" w:hAnsi="Arial"/>
          <w:sz w:val="20"/>
          <w:szCs w:val="20"/>
        </w:rPr>
        <w:t>Jahro</w:t>
      </w:r>
      <w:proofErr w:type="spellEnd"/>
      <w:r>
        <w:rPr>
          <w:rFonts w:ascii="Arial" w:hAnsi="Arial"/>
          <w:sz w:val="20"/>
          <w:szCs w:val="20"/>
        </w:rPr>
        <w:t xml:space="preserve"> et al., 2025). Although modern formulation technology has the potential to improve the efficiency and penetration of active compounds, high costs and the need for specialized equipment still hinder large-scale development (Kostina-Bednarz et al., 2023). Therefore, the development of bioherbicides from aquatic extracts requires an integrated, standardized approach, supported by regulations, applied research, and large-scale field testing.</w:t>
      </w:r>
    </w:p>
    <w:p w14:paraId="777E1D61" w14:textId="77777777" w:rsidR="00633CEB" w:rsidRDefault="00633CEB">
      <w:pPr>
        <w:pStyle w:val="NormalWeb"/>
        <w:spacing w:beforeAutospacing="0" w:afterAutospacing="0"/>
        <w:jc w:val="both"/>
        <w:rPr>
          <w:rFonts w:ascii="Arial" w:hAnsi="Arial"/>
          <w:sz w:val="20"/>
          <w:szCs w:val="20"/>
        </w:rPr>
      </w:pPr>
    </w:p>
    <w:p w14:paraId="3C3A167D" w14:textId="77777777" w:rsidR="00633CEB" w:rsidRDefault="004C60E9">
      <w:pPr>
        <w:pStyle w:val="NormalWeb"/>
        <w:spacing w:beforeAutospacing="0" w:afterAutospacing="0"/>
        <w:rPr>
          <w:rFonts w:ascii="Arial" w:hAnsi="Arial" w:cs="Arial"/>
          <w:b/>
          <w:bCs/>
          <w:sz w:val="22"/>
          <w:szCs w:val="22"/>
        </w:rPr>
      </w:pPr>
      <w:r>
        <w:rPr>
          <w:rFonts w:ascii="Arial" w:hAnsi="Arial" w:cs="Arial"/>
          <w:b/>
          <w:bCs/>
          <w:sz w:val="22"/>
          <w:szCs w:val="22"/>
        </w:rPr>
        <w:t>3.7. Implications for Sustainable Agricultural Systems</w:t>
      </w:r>
    </w:p>
    <w:p w14:paraId="1B7D83D1" w14:textId="77777777" w:rsidR="00633CEB" w:rsidRDefault="004C60E9">
      <w:pPr>
        <w:pStyle w:val="NormalWeb"/>
        <w:spacing w:beforeAutospacing="0" w:afterAutospacing="0"/>
        <w:rPr>
          <w:rFonts w:ascii="Arial" w:hAnsi="Arial" w:cs="Arial"/>
          <w:b/>
          <w:bCs/>
          <w:sz w:val="20"/>
          <w:szCs w:val="20"/>
        </w:rPr>
      </w:pPr>
      <w:r>
        <w:rPr>
          <w:rFonts w:ascii="Arial" w:hAnsi="Arial" w:cs="Arial"/>
          <w:b/>
          <w:bCs/>
          <w:sz w:val="20"/>
          <w:szCs w:val="20"/>
        </w:rPr>
        <w:t>3.7.1. Reduction of Chemical Residues and Environmental Impacts</w:t>
      </w:r>
    </w:p>
    <w:p w14:paraId="3936AA90" w14:textId="77777777" w:rsidR="00633CEB" w:rsidRDefault="004C60E9">
      <w:pPr>
        <w:pStyle w:val="NormalWeb"/>
        <w:spacing w:beforeAutospacing="0" w:afterAutospacing="0"/>
        <w:jc w:val="both"/>
        <w:rPr>
          <w:rFonts w:ascii="Arial" w:hAnsi="Arial"/>
          <w:sz w:val="20"/>
          <w:szCs w:val="20"/>
        </w:rPr>
      </w:pPr>
      <w:r>
        <w:rPr>
          <w:rFonts w:ascii="Arial" w:hAnsi="Arial"/>
          <w:sz w:val="20"/>
          <w:szCs w:val="20"/>
        </w:rPr>
        <w:lastRenderedPageBreak/>
        <w:t>As a bioherbicide acts as an accumulator of agrochemical residues, the risk of ecotoxicity as a biotoxin diminishes. This is very much in line with the principles of organic biotope management (</w:t>
      </w:r>
      <w:proofErr w:type="spellStart"/>
      <w:r>
        <w:rPr>
          <w:rFonts w:ascii="Arial" w:hAnsi="Arial"/>
          <w:sz w:val="20"/>
          <w:szCs w:val="20"/>
        </w:rPr>
        <w:t>Supriyono</w:t>
      </w:r>
      <w:proofErr w:type="spellEnd"/>
      <w:r>
        <w:rPr>
          <w:rFonts w:ascii="Arial" w:hAnsi="Arial"/>
          <w:sz w:val="20"/>
          <w:szCs w:val="20"/>
        </w:rPr>
        <w:t xml:space="preserve">, </w:t>
      </w:r>
      <w:proofErr w:type="spellStart"/>
      <w:r>
        <w:rPr>
          <w:rFonts w:ascii="Arial" w:hAnsi="Arial"/>
          <w:sz w:val="20"/>
          <w:szCs w:val="20"/>
        </w:rPr>
        <w:t>Kostina-Bednarz</w:t>
      </w:r>
      <w:proofErr w:type="spellEnd"/>
      <w:r>
        <w:rPr>
          <w:rFonts w:ascii="Arial" w:hAnsi="Arial"/>
          <w:sz w:val="20"/>
          <w:szCs w:val="20"/>
        </w:rPr>
        <w:t xml:space="preserve"> et al., 2023). Bioherbicides can be considered an additional function within the Integrated Pest Management (IPM) system and thus contribute to the preservation of ecological balance and overall food safety (Putri &amp; </w:t>
      </w:r>
      <w:proofErr w:type="spellStart"/>
      <w:r>
        <w:rPr>
          <w:rFonts w:ascii="Arial" w:hAnsi="Arial"/>
          <w:sz w:val="20"/>
          <w:szCs w:val="20"/>
        </w:rPr>
        <w:t>Malichatin</w:t>
      </w:r>
      <w:proofErr w:type="spellEnd"/>
      <w:r>
        <w:rPr>
          <w:rFonts w:ascii="Arial" w:hAnsi="Arial"/>
          <w:sz w:val="20"/>
          <w:szCs w:val="20"/>
        </w:rPr>
        <w:t>, 2025). The success of bioherbicides is influenced by the approval of supporting policies and budgets, accompanied by the competence of agricultural extension workers and the participation of the local population (</w:t>
      </w:r>
      <w:proofErr w:type="spellStart"/>
      <w:r>
        <w:rPr>
          <w:rFonts w:ascii="Arial" w:hAnsi="Arial"/>
          <w:sz w:val="20"/>
          <w:szCs w:val="20"/>
        </w:rPr>
        <w:t>Atmiyati</w:t>
      </w:r>
      <w:proofErr w:type="spellEnd"/>
      <w:r>
        <w:rPr>
          <w:rFonts w:ascii="Arial" w:hAnsi="Arial"/>
          <w:sz w:val="20"/>
          <w:szCs w:val="20"/>
        </w:rPr>
        <w:t xml:space="preserve"> &amp; </w:t>
      </w:r>
      <w:proofErr w:type="spellStart"/>
      <w:r>
        <w:rPr>
          <w:rFonts w:ascii="Arial" w:hAnsi="Arial"/>
          <w:sz w:val="20"/>
          <w:szCs w:val="20"/>
        </w:rPr>
        <w:t>Hermawati</w:t>
      </w:r>
      <w:proofErr w:type="spellEnd"/>
      <w:r>
        <w:rPr>
          <w:rFonts w:ascii="Arial" w:hAnsi="Arial"/>
          <w:sz w:val="20"/>
          <w:szCs w:val="20"/>
        </w:rPr>
        <w:t>, 2025). It also creates a balancing effect by reducing socio-economic disparities through increased farmer income, broader product diversification, and strengthening local socio-economic structures (Dewi et al, 2023).</w:t>
      </w:r>
    </w:p>
    <w:p w14:paraId="013A34A7" w14:textId="77777777" w:rsidR="00633CEB" w:rsidRDefault="00633CEB">
      <w:pPr>
        <w:pStyle w:val="NormalWeb"/>
        <w:spacing w:beforeAutospacing="0" w:afterAutospacing="0"/>
        <w:jc w:val="both"/>
        <w:rPr>
          <w:rFonts w:ascii="Arial" w:hAnsi="Arial"/>
          <w:sz w:val="20"/>
          <w:szCs w:val="20"/>
        </w:rPr>
      </w:pPr>
    </w:p>
    <w:p w14:paraId="31029215" w14:textId="77777777" w:rsidR="00633CEB" w:rsidRDefault="004C60E9">
      <w:pPr>
        <w:pStyle w:val="NormalWeb"/>
        <w:spacing w:beforeAutospacing="0" w:afterAutospacing="0"/>
        <w:rPr>
          <w:rFonts w:ascii="Arial" w:hAnsi="Arial" w:cs="Arial"/>
          <w:b/>
          <w:bCs/>
          <w:sz w:val="20"/>
          <w:szCs w:val="20"/>
        </w:rPr>
      </w:pPr>
      <w:r>
        <w:rPr>
          <w:rFonts w:ascii="Arial" w:hAnsi="Arial" w:cs="Arial"/>
          <w:b/>
          <w:bCs/>
          <w:sz w:val="20"/>
          <w:szCs w:val="20"/>
        </w:rPr>
        <w:t xml:space="preserve">3.7.2. Conservation of Agroecosystem Biodiversity </w:t>
      </w:r>
    </w:p>
    <w:p w14:paraId="4AAAF7F0" w14:textId="77777777" w:rsidR="00633CEB" w:rsidRDefault="004C60E9">
      <w:pPr>
        <w:pStyle w:val="NormalWeb"/>
        <w:spacing w:beforeAutospacing="0" w:afterAutospacing="0"/>
        <w:jc w:val="both"/>
        <w:rPr>
          <w:rFonts w:ascii="Arial" w:hAnsi="Arial"/>
          <w:sz w:val="20"/>
          <w:szCs w:val="20"/>
        </w:rPr>
      </w:pPr>
      <w:r>
        <w:rPr>
          <w:rFonts w:ascii="Arial" w:hAnsi="Arial"/>
          <w:sz w:val="20"/>
          <w:szCs w:val="20"/>
        </w:rPr>
        <w:t xml:space="preserve">The use of bioherbicides derived from weed extracts contributes in agroecosystem biosecurity by reducing impacts on non-target organisms, such as pollinators, natural enemies of pests, and soil microorganisms (Chaniago et al., 2023). This is in line with the principles of agroecology, which encourage crop diversification, crop rotation, intercropping, and the integration of agroforestry and </w:t>
      </w:r>
      <w:proofErr w:type="spellStart"/>
      <w:r>
        <w:rPr>
          <w:rFonts w:ascii="Arial" w:hAnsi="Arial"/>
          <w:sz w:val="20"/>
          <w:szCs w:val="20"/>
        </w:rPr>
        <w:t>silvopastoral</w:t>
      </w:r>
      <w:proofErr w:type="spellEnd"/>
      <w:r>
        <w:rPr>
          <w:rFonts w:ascii="Arial" w:hAnsi="Arial"/>
          <w:sz w:val="20"/>
          <w:szCs w:val="20"/>
        </w:rPr>
        <w:t xml:space="preserve"> systems to increase ecosystem resilience and reduce erosion (</w:t>
      </w:r>
      <w:proofErr w:type="spellStart"/>
      <w:r>
        <w:rPr>
          <w:rFonts w:ascii="Arial" w:hAnsi="Arial"/>
          <w:sz w:val="20"/>
          <w:szCs w:val="20"/>
        </w:rPr>
        <w:t>Findayani</w:t>
      </w:r>
      <w:proofErr w:type="spellEnd"/>
      <w:r>
        <w:rPr>
          <w:rFonts w:ascii="Arial" w:hAnsi="Arial"/>
          <w:sz w:val="20"/>
          <w:szCs w:val="20"/>
        </w:rPr>
        <w:t xml:space="preserve"> et al., 2024). Ecological weed management and vegetation diversification can improve ecosystem services, landscape connectivity, and climate change adaptation compared to conventional monoculture systems (</w:t>
      </w:r>
      <w:proofErr w:type="spellStart"/>
      <w:r>
        <w:rPr>
          <w:rFonts w:ascii="Arial" w:hAnsi="Arial"/>
          <w:sz w:val="20"/>
          <w:szCs w:val="20"/>
        </w:rPr>
        <w:t>Situmorang</w:t>
      </w:r>
      <w:proofErr w:type="spellEnd"/>
      <w:r>
        <w:rPr>
          <w:rFonts w:ascii="Arial" w:hAnsi="Arial"/>
          <w:sz w:val="20"/>
          <w:szCs w:val="20"/>
        </w:rPr>
        <w:t xml:space="preserve"> &amp; </w:t>
      </w:r>
      <w:proofErr w:type="spellStart"/>
      <w:r>
        <w:rPr>
          <w:rFonts w:ascii="Arial" w:hAnsi="Arial"/>
          <w:sz w:val="20"/>
          <w:szCs w:val="20"/>
        </w:rPr>
        <w:t>Noviana</w:t>
      </w:r>
      <w:proofErr w:type="spellEnd"/>
      <w:r>
        <w:rPr>
          <w:rFonts w:ascii="Arial" w:hAnsi="Arial"/>
          <w:sz w:val="20"/>
          <w:szCs w:val="20"/>
        </w:rPr>
        <w:t>, 2025). However, the potential for weed resistance evolution and the risks of uncontrolled use of synthetic allelochemical mixtures must be addressed through adaptive and ecological management (MacLaren et al., 2020).</w:t>
      </w:r>
    </w:p>
    <w:p w14:paraId="1BF67C08" w14:textId="77777777" w:rsidR="00633CEB" w:rsidRDefault="00633CEB">
      <w:pPr>
        <w:pStyle w:val="NormalWeb"/>
        <w:spacing w:beforeAutospacing="0" w:afterAutospacing="0"/>
        <w:rPr>
          <w:rFonts w:ascii="Arial" w:hAnsi="Arial"/>
          <w:sz w:val="20"/>
          <w:szCs w:val="20"/>
        </w:rPr>
      </w:pPr>
    </w:p>
    <w:p w14:paraId="5A0105CA" w14:textId="77777777" w:rsidR="00633CEB" w:rsidRDefault="004C60E9">
      <w:pPr>
        <w:pStyle w:val="NormalWeb"/>
        <w:spacing w:beforeAutospacing="0" w:afterAutospacing="0"/>
        <w:rPr>
          <w:rFonts w:ascii="Arial" w:hAnsi="Arial" w:cs="Arial"/>
          <w:b/>
          <w:bCs/>
          <w:sz w:val="20"/>
          <w:szCs w:val="20"/>
        </w:rPr>
      </w:pPr>
      <w:r>
        <w:rPr>
          <w:rFonts w:ascii="Arial" w:hAnsi="Arial" w:cs="Arial"/>
          <w:b/>
          <w:bCs/>
          <w:sz w:val="20"/>
          <w:szCs w:val="20"/>
        </w:rPr>
        <w:t>3.7.3. Potential for Integration into Organic Agricultural Systems</w:t>
      </w:r>
    </w:p>
    <w:p w14:paraId="7447E9C6" w14:textId="77777777" w:rsidR="00633CEB" w:rsidRDefault="004C60E9">
      <w:pPr>
        <w:pStyle w:val="NormalWeb"/>
        <w:spacing w:beforeAutospacing="0" w:afterAutospacing="0"/>
        <w:jc w:val="both"/>
        <w:rPr>
          <w:rFonts w:ascii="Arial" w:hAnsi="Arial"/>
          <w:sz w:val="20"/>
          <w:szCs w:val="20"/>
        </w:rPr>
      </w:pPr>
      <w:r>
        <w:rPr>
          <w:rFonts w:ascii="Arial" w:hAnsi="Arial"/>
          <w:sz w:val="20"/>
          <w:szCs w:val="20"/>
        </w:rPr>
        <w:t>Bioherbicides based on weed extracts have high potential for integration into organic farming systems because they adhere to agroecological principles in environmental, economic, and social dimensions (</w:t>
      </w:r>
      <w:proofErr w:type="spellStart"/>
      <w:r>
        <w:rPr>
          <w:rFonts w:ascii="Arial" w:hAnsi="Arial"/>
          <w:sz w:val="20"/>
          <w:szCs w:val="20"/>
        </w:rPr>
        <w:t>Yuriansyah</w:t>
      </w:r>
      <w:proofErr w:type="spellEnd"/>
      <w:r>
        <w:rPr>
          <w:rFonts w:ascii="Arial" w:hAnsi="Arial"/>
          <w:sz w:val="20"/>
          <w:szCs w:val="20"/>
        </w:rPr>
        <w:t xml:space="preserve"> et al., 2020; Raihan, 2023). The use of plant-based herbicides allows for weed control in a manner that does not violate organic certification standards, while protecting soil health and ecosystem balance (Liniger et al., 2017). Holistic </w:t>
      </w:r>
      <w:commentRangeStart w:id="24"/>
      <w:r>
        <w:rPr>
          <w:rFonts w:ascii="Arial" w:hAnsi="Arial"/>
          <w:sz w:val="20"/>
          <w:szCs w:val="20"/>
        </w:rPr>
        <w:t>agroecological</w:t>
      </w:r>
      <w:commentRangeEnd w:id="24"/>
      <w:r w:rsidR="00A576C6">
        <w:rPr>
          <w:rStyle w:val="CommentReference"/>
          <w:rFonts w:eastAsia="Times New Roman"/>
          <w:lang w:val="nb-NO" w:eastAsia="nb-NO"/>
        </w:rPr>
        <w:commentReference w:id="24"/>
      </w:r>
      <w:r>
        <w:rPr>
          <w:rFonts w:ascii="Arial" w:hAnsi="Arial"/>
          <w:sz w:val="20"/>
          <w:szCs w:val="20"/>
        </w:rPr>
        <w:t xml:space="preserve"> weed management is not only about removal, but also about preserving biodiversity and the overall function of the agricultural ecosystem (</w:t>
      </w:r>
      <w:proofErr w:type="spellStart"/>
      <w:r>
        <w:rPr>
          <w:rFonts w:ascii="Arial" w:hAnsi="Arial"/>
          <w:sz w:val="20"/>
          <w:szCs w:val="20"/>
        </w:rPr>
        <w:t>Boinot</w:t>
      </w:r>
      <w:proofErr w:type="spellEnd"/>
      <w:r>
        <w:rPr>
          <w:rFonts w:ascii="Arial" w:hAnsi="Arial"/>
          <w:sz w:val="20"/>
          <w:szCs w:val="20"/>
        </w:rPr>
        <w:t xml:space="preserve">, 2019; </w:t>
      </w:r>
      <w:proofErr w:type="spellStart"/>
      <w:r>
        <w:rPr>
          <w:rFonts w:ascii="Arial" w:hAnsi="Arial"/>
          <w:sz w:val="20"/>
          <w:szCs w:val="20"/>
        </w:rPr>
        <w:t>Boinot</w:t>
      </w:r>
      <w:proofErr w:type="spellEnd"/>
      <w:r>
        <w:rPr>
          <w:rFonts w:ascii="Arial" w:hAnsi="Arial"/>
          <w:sz w:val="20"/>
          <w:szCs w:val="20"/>
        </w:rPr>
        <w:t xml:space="preserve"> et al., 2024). The use of allelochemical compounds as bioherbicides is a more environmentally friendly alternative to synthetic herbicides, but continuous evaluation of their effectiveness across various agroecological conditions and their safety to crops and non-target organisms is needed (</w:t>
      </w:r>
      <w:proofErr w:type="spellStart"/>
      <w:r>
        <w:rPr>
          <w:rFonts w:ascii="Arial" w:hAnsi="Arial"/>
          <w:sz w:val="20"/>
          <w:szCs w:val="20"/>
        </w:rPr>
        <w:t>Mudaningrat</w:t>
      </w:r>
      <w:proofErr w:type="spellEnd"/>
      <w:r>
        <w:rPr>
          <w:rFonts w:ascii="Arial" w:hAnsi="Arial"/>
          <w:sz w:val="20"/>
          <w:szCs w:val="20"/>
        </w:rPr>
        <w:t xml:space="preserve"> et al., 2023; Liniger et al., 2017).</w:t>
      </w:r>
    </w:p>
    <w:p w14:paraId="05E05781" w14:textId="77777777" w:rsidR="00633CEB" w:rsidRDefault="00633CEB">
      <w:pPr>
        <w:pStyle w:val="NormalWeb"/>
        <w:spacing w:beforeAutospacing="0" w:afterAutospacing="0"/>
        <w:jc w:val="both"/>
        <w:rPr>
          <w:rFonts w:ascii="Arial" w:hAnsi="Arial"/>
          <w:sz w:val="20"/>
          <w:szCs w:val="20"/>
        </w:rPr>
      </w:pPr>
    </w:p>
    <w:p w14:paraId="0A89AC09" w14:textId="77777777" w:rsidR="00633CEB" w:rsidRDefault="004C60E9">
      <w:pPr>
        <w:pStyle w:val="NormalWeb"/>
        <w:spacing w:beforeAutospacing="0" w:afterAutospacing="0"/>
        <w:rPr>
          <w:rFonts w:ascii="Arial" w:hAnsi="Arial" w:cs="Arial"/>
          <w:b/>
          <w:bCs/>
          <w:sz w:val="22"/>
          <w:szCs w:val="22"/>
        </w:rPr>
      </w:pPr>
      <w:r>
        <w:rPr>
          <w:rFonts w:ascii="Arial" w:hAnsi="Arial" w:cs="Arial"/>
          <w:b/>
          <w:bCs/>
          <w:sz w:val="22"/>
          <w:szCs w:val="22"/>
        </w:rPr>
        <w:t>3.8. Challenges and Future Research Directions</w:t>
      </w:r>
    </w:p>
    <w:p w14:paraId="5E998346" w14:textId="77777777" w:rsidR="00633CEB" w:rsidRDefault="004C60E9">
      <w:pPr>
        <w:pStyle w:val="NormalWeb"/>
        <w:spacing w:beforeAutospacing="0" w:afterAutospacing="0"/>
        <w:rPr>
          <w:rFonts w:ascii="Arial" w:hAnsi="Arial" w:cs="Arial"/>
          <w:b/>
          <w:bCs/>
          <w:sz w:val="20"/>
          <w:szCs w:val="20"/>
        </w:rPr>
      </w:pPr>
      <w:r>
        <w:rPr>
          <w:rFonts w:ascii="Arial" w:hAnsi="Arial" w:cs="Arial"/>
          <w:b/>
          <w:bCs/>
          <w:sz w:val="20"/>
          <w:szCs w:val="20"/>
        </w:rPr>
        <w:t>3.8.1. Standardization of Extracts and Consistency of Effectiveness</w:t>
      </w:r>
    </w:p>
    <w:p w14:paraId="424E0280" w14:textId="77777777" w:rsidR="00633CEB" w:rsidRDefault="004C60E9">
      <w:pPr>
        <w:pStyle w:val="NormalWeb"/>
        <w:spacing w:beforeAutospacing="0" w:afterAutospacing="0"/>
        <w:jc w:val="both"/>
        <w:rPr>
          <w:rFonts w:ascii="Arial" w:hAnsi="Arial"/>
          <w:sz w:val="20"/>
          <w:szCs w:val="20"/>
        </w:rPr>
      </w:pPr>
      <w:r>
        <w:rPr>
          <w:rFonts w:ascii="Arial" w:hAnsi="Arial"/>
          <w:sz w:val="20"/>
          <w:szCs w:val="20"/>
        </w:rPr>
        <w:t>Standardization of weed extracts is one of the main challenges in developing bio-herbicides because it is crucial to ensure product quality consistency, biological efficacy, regulatory compliance, and market acceptance (Saini &amp; Singh, 2019). Variability in active compounds due to weed type, plant part, growing conditions, and extraction methods necessitates the identification of specific electrolyte and non-electrolyte compounds as reliable quality markers (</w:t>
      </w:r>
      <w:proofErr w:type="spellStart"/>
      <w:r>
        <w:rPr>
          <w:rFonts w:ascii="Arial" w:hAnsi="Arial"/>
          <w:sz w:val="20"/>
          <w:szCs w:val="20"/>
        </w:rPr>
        <w:t>Jahro</w:t>
      </w:r>
      <w:proofErr w:type="spellEnd"/>
      <w:r>
        <w:rPr>
          <w:rFonts w:ascii="Arial" w:hAnsi="Arial"/>
          <w:sz w:val="20"/>
          <w:szCs w:val="20"/>
        </w:rPr>
        <w:t xml:space="preserve"> et al., 2025). Further research should focus on determining the optimal application rate and timing based on the phenological stage of the target plant and specific local agroecological characteristics to maximize effectiveness while minimizing impacts on non-target organisms (Nikolić et al., 2023). Additionally, exploring allelopathy from various weeds, innovative formulations, and the use of adjuvants, combinations with microbial pathogens, and the application of biotechnology and nanotechnology are innovative strategies to promote environmentally friendly bio-herbicides, increase the control spectrum, and improve control consistency (</w:t>
      </w:r>
      <w:proofErr w:type="spellStart"/>
      <w:r>
        <w:rPr>
          <w:rFonts w:ascii="Arial" w:hAnsi="Arial"/>
          <w:sz w:val="20"/>
          <w:szCs w:val="20"/>
        </w:rPr>
        <w:t>Indarwati</w:t>
      </w:r>
      <w:proofErr w:type="spellEnd"/>
      <w:r>
        <w:rPr>
          <w:rFonts w:ascii="Arial" w:hAnsi="Arial"/>
          <w:sz w:val="20"/>
          <w:szCs w:val="20"/>
        </w:rPr>
        <w:t xml:space="preserve"> et al., 2023; Ammar et al., 2023; Rajakumar et al., 2025). Finally, it is </w:t>
      </w:r>
      <w:r>
        <w:rPr>
          <w:rFonts w:ascii="Arial" w:hAnsi="Arial"/>
          <w:sz w:val="20"/>
          <w:szCs w:val="20"/>
        </w:rPr>
        <w:lastRenderedPageBreak/>
        <w:t>crucial to develop an economical, large-scale, and consistent weed extract production system so that bio-herbicides can compete with synthetic herbicides in agriculture (Lopes et al., 2022).</w:t>
      </w:r>
    </w:p>
    <w:p w14:paraId="45C2BBD2" w14:textId="77777777" w:rsidR="00633CEB" w:rsidRDefault="00633CEB">
      <w:pPr>
        <w:pStyle w:val="NormalWeb"/>
        <w:spacing w:beforeAutospacing="0" w:afterAutospacing="0"/>
        <w:jc w:val="both"/>
        <w:rPr>
          <w:rFonts w:ascii="Arial" w:hAnsi="Arial"/>
          <w:sz w:val="20"/>
          <w:szCs w:val="20"/>
        </w:rPr>
      </w:pPr>
    </w:p>
    <w:p w14:paraId="5AAC4087" w14:textId="77777777" w:rsidR="00633CEB" w:rsidRDefault="004C60E9">
      <w:pPr>
        <w:pStyle w:val="NormalWeb"/>
        <w:spacing w:beforeAutospacing="0" w:afterAutospacing="0"/>
        <w:jc w:val="both"/>
        <w:rPr>
          <w:rFonts w:ascii="Arial" w:hAnsi="Arial" w:cs="Arial"/>
          <w:b/>
          <w:bCs/>
          <w:sz w:val="20"/>
          <w:szCs w:val="20"/>
        </w:rPr>
      </w:pPr>
      <w:r>
        <w:rPr>
          <w:rFonts w:ascii="Arial" w:hAnsi="Arial" w:cs="Arial"/>
          <w:b/>
          <w:bCs/>
          <w:sz w:val="20"/>
          <w:szCs w:val="20"/>
        </w:rPr>
        <w:t xml:space="preserve">3.8.2. </w:t>
      </w:r>
      <w:r>
        <w:rPr>
          <w:rFonts w:ascii="Arial" w:hAnsi="Arial"/>
          <w:b/>
          <w:bCs/>
          <w:sz w:val="20"/>
          <w:szCs w:val="20"/>
        </w:rPr>
        <w:t>Formulation and Shelf Life</w:t>
      </w:r>
    </w:p>
    <w:p w14:paraId="1D3461B2" w14:textId="77777777" w:rsidR="00633CEB" w:rsidRDefault="004C60E9">
      <w:pPr>
        <w:pStyle w:val="NormalWeb"/>
        <w:spacing w:beforeAutospacing="0" w:afterAutospacing="0"/>
        <w:ind w:firstLineChars="300" w:firstLine="600"/>
        <w:jc w:val="both"/>
        <w:rPr>
          <w:rFonts w:ascii="Arial" w:hAnsi="Arial"/>
          <w:sz w:val="20"/>
          <w:szCs w:val="20"/>
        </w:rPr>
      </w:pPr>
      <w:r>
        <w:rPr>
          <w:rFonts w:ascii="Arial" w:hAnsi="Arial"/>
          <w:sz w:val="20"/>
          <w:szCs w:val="20"/>
        </w:rPr>
        <w:t xml:space="preserve">The development of stable bioherbicide formulations with a long shelf life is a key factor in the commercial viability of the product. Release control technologies, such as microencapsulation, </w:t>
      </w:r>
      <w:proofErr w:type="spellStart"/>
      <w:r>
        <w:rPr>
          <w:rFonts w:ascii="Arial" w:hAnsi="Arial"/>
          <w:sz w:val="20"/>
          <w:szCs w:val="20"/>
        </w:rPr>
        <w:t>nanoemulsions</w:t>
      </w:r>
      <w:proofErr w:type="spellEnd"/>
      <w:r>
        <w:rPr>
          <w:rFonts w:ascii="Arial" w:hAnsi="Arial"/>
          <w:sz w:val="20"/>
          <w:szCs w:val="20"/>
        </w:rPr>
        <w:t>, and delivery systems based on active-molecule consortia, have been proven effective in protecting bioactive compounds from degradation caused by light, temperature, and microbial activity (Chukwuma et al., 2024; Cruz-Ortiz &amp; Flores-Méndez, 2021). In addition, optimization of drying methods, including freeze drying and spray drying, as well as physiological and chemical evaluation of active ingredients, play an important role in maintaining the stability and effectiveness of biological components (Bejenaru et al., 2024). Although enzyme powder and organic waste-based controlled release systems support the circular economy concept, the interaction between eco-enzyme microorganisms and weed bioactive compounds remains underexplored, particularly regarding the uncertainty of their impact on soil microbiomes and non-target organisms (</w:t>
      </w:r>
      <w:proofErr w:type="spellStart"/>
      <w:r>
        <w:rPr>
          <w:rFonts w:ascii="Arial" w:hAnsi="Arial"/>
          <w:sz w:val="20"/>
          <w:szCs w:val="20"/>
        </w:rPr>
        <w:t>Aryesam</w:t>
      </w:r>
      <w:proofErr w:type="spellEnd"/>
      <w:r>
        <w:rPr>
          <w:rFonts w:ascii="Arial" w:hAnsi="Arial"/>
          <w:sz w:val="20"/>
          <w:szCs w:val="20"/>
        </w:rPr>
        <w:t xml:space="preserve">, 2024; </w:t>
      </w:r>
      <w:proofErr w:type="spellStart"/>
      <w:r>
        <w:rPr>
          <w:rFonts w:ascii="Arial" w:hAnsi="Arial"/>
          <w:sz w:val="20"/>
          <w:szCs w:val="20"/>
        </w:rPr>
        <w:t>Sarmah</w:t>
      </w:r>
      <w:proofErr w:type="spellEnd"/>
      <w:r>
        <w:rPr>
          <w:rFonts w:ascii="Arial" w:hAnsi="Arial"/>
          <w:sz w:val="20"/>
          <w:szCs w:val="20"/>
        </w:rPr>
        <w:t xml:space="preserve"> et al., 2024).</w:t>
      </w:r>
    </w:p>
    <w:p w14:paraId="7D94BDA8" w14:textId="77777777" w:rsidR="00633CEB" w:rsidRDefault="00633CEB">
      <w:pPr>
        <w:pStyle w:val="NormalWeb"/>
        <w:spacing w:beforeAutospacing="0" w:afterAutospacing="0"/>
        <w:ind w:firstLineChars="300" w:firstLine="600"/>
        <w:jc w:val="both"/>
        <w:rPr>
          <w:rFonts w:ascii="Arial" w:hAnsi="Arial"/>
          <w:sz w:val="20"/>
          <w:szCs w:val="20"/>
        </w:rPr>
      </w:pPr>
    </w:p>
    <w:p w14:paraId="4E3CC79F" w14:textId="77777777" w:rsidR="00633CEB" w:rsidRDefault="004C60E9">
      <w:pPr>
        <w:jc w:val="both"/>
        <w:rPr>
          <w:rFonts w:ascii="Arial" w:hAnsi="Arial" w:cs="Arial"/>
          <w:b/>
          <w:bCs/>
        </w:rPr>
      </w:pPr>
      <w:r>
        <w:rPr>
          <w:rFonts w:ascii="Arial" w:hAnsi="Arial" w:cs="Arial"/>
          <w:b/>
          <w:bCs/>
        </w:rPr>
        <w:t xml:space="preserve">3.8.3. </w:t>
      </w:r>
      <w:r>
        <w:rPr>
          <w:rFonts w:ascii="Arial" w:hAnsi="Arial"/>
          <w:b/>
          <w:bCs/>
        </w:rPr>
        <w:t>Large-Scale Field Testing and Long-Term Evaluation</w:t>
      </w:r>
    </w:p>
    <w:p w14:paraId="0CC306B1" w14:textId="77777777" w:rsidR="00633CEB" w:rsidRDefault="004C60E9">
      <w:pPr>
        <w:jc w:val="both"/>
        <w:rPr>
          <w:rFonts w:ascii="Arial" w:hAnsi="Arial"/>
        </w:rPr>
      </w:pPr>
      <w:r>
        <w:rPr>
          <w:rFonts w:ascii="Arial" w:hAnsi="Arial"/>
        </w:rPr>
        <w:t>Large-scale field testing is a key step in confirming the validity of bioherbicides in ‘real’ agroecosystem conditions, as well as assessing their long-term impact on crop productivity, soil health, and biodiversity (</w:t>
      </w:r>
      <w:proofErr w:type="spellStart"/>
      <w:r>
        <w:rPr>
          <w:rFonts w:ascii="Arial" w:hAnsi="Arial"/>
        </w:rPr>
        <w:t>Iriany</w:t>
      </w:r>
      <w:proofErr w:type="spellEnd"/>
      <w:r>
        <w:rPr>
          <w:rFonts w:ascii="Arial" w:hAnsi="Arial"/>
        </w:rPr>
        <w:t xml:space="preserve"> et al., 2023). This type of testing must be accompanied by analyses of profitability and competitiveness relative to synthetic herbicides (Hernández-Bolaños et al., 2025). Future research should examine ecotoxicity, environmental degradation, bioaccumulation, impacts on the soil microbiome, and weed resistance, among others, through longitudinal studies (</w:t>
      </w:r>
      <w:proofErr w:type="spellStart"/>
      <w:r>
        <w:rPr>
          <w:rFonts w:ascii="Arial" w:hAnsi="Arial"/>
        </w:rPr>
        <w:t>Flieller</w:t>
      </w:r>
      <w:proofErr w:type="spellEnd"/>
      <w:r>
        <w:rPr>
          <w:rFonts w:ascii="Arial" w:hAnsi="Arial"/>
        </w:rPr>
        <w:t xml:space="preserve">, 2022; </w:t>
      </w:r>
      <w:proofErr w:type="spellStart"/>
      <w:r>
        <w:rPr>
          <w:rFonts w:ascii="Arial" w:hAnsi="Arial"/>
        </w:rPr>
        <w:t>Sulistyowati</w:t>
      </w:r>
      <w:proofErr w:type="spellEnd"/>
      <w:r>
        <w:rPr>
          <w:rFonts w:ascii="Arial" w:hAnsi="Arial"/>
        </w:rPr>
        <w:t xml:space="preserve"> et al., 2025). Testing in various locations and varying climatic conditions, including areas classified as 3T, coupled with a molecular understanding of the mechanism of action of bioherbicides and the development of predictive models of weed susceptibility, will be key to improving the adaptability and long-term safety of bioherbicides (Harding &amp; </w:t>
      </w:r>
      <w:proofErr w:type="spellStart"/>
      <w:r>
        <w:rPr>
          <w:rFonts w:ascii="Arial" w:hAnsi="Arial"/>
        </w:rPr>
        <w:t>Raizada</w:t>
      </w:r>
      <w:proofErr w:type="spellEnd"/>
      <w:r>
        <w:rPr>
          <w:rFonts w:ascii="Arial" w:hAnsi="Arial"/>
        </w:rPr>
        <w:t xml:space="preserve">, 2015; </w:t>
      </w:r>
      <w:proofErr w:type="spellStart"/>
      <w:r>
        <w:rPr>
          <w:rFonts w:ascii="Arial" w:hAnsi="Arial"/>
        </w:rPr>
        <w:t>Rhioui</w:t>
      </w:r>
      <w:proofErr w:type="spellEnd"/>
      <w:r>
        <w:rPr>
          <w:rFonts w:ascii="Arial" w:hAnsi="Arial"/>
        </w:rPr>
        <w:t xml:space="preserve"> et al., 2024).</w:t>
      </w:r>
    </w:p>
    <w:p w14:paraId="30E4654E" w14:textId="77777777" w:rsidR="00633CEB" w:rsidRDefault="00633CEB">
      <w:pPr>
        <w:jc w:val="both"/>
        <w:rPr>
          <w:rFonts w:ascii="Arial" w:hAnsi="Arial"/>
        </w:rPr>
      </w:pPr>
    </w:p>
    <w:p w14:paraId="450F333C" w14:textId="77777777" w:rsidR="00633CEB" w:rsidRDefault="004C60E9">
      <w:pPr>
        <w:jc w:val="both"/>
        <w:rPr>
          <w:rFonts w:ascii="Arial" w:hAnsi="Arial" w:cs="Arial"/>
          <w:b/>
          <w:bCs/>
        </w:rPr>
      </w:pPr>
      <w:r>
        <w:rPr>
          <w:rFonts w:ascii="Arial" w:hAnsi="Arial" w:cs="Arial"/>
          <w:b/>
          <w:bCs/>
        </w:rPr>
        <w:t xml:space="preserve">3.8.4 </w:t>
      </w:r>
      <w:r>
        <w:rPr>
          <w:rFonts w:ascii="Arial" w:hAnsi="Arial"/>
          <w:b/>
          <w:bCs/>
        </w:rPr>
        <w:t>Regulation and Commercialization</w:t>
      </w:r>
    </w:p>
    <w:p w14:paraId="732D4CBA" w14:textId="77777777" w:rsidR="00633CEB" w:rsidRDefault="004C60E9">
      <w:pPr>
        <w:jc w:val="both"/>
        <w:rPr>
          <w:rFonts w:ascii="Arial" w:hAnsi="Arial"/>
        </w:rPr>
      </w:pPr>
      <w:r>
        <w:rPr>
          <w:rFonts w:ascii="Arial" w:hAnsi="Arial"/>
        </w:rPr>
        <w:t>The successful adoption of bioherbicides depends on the existence of a clear, efficient regulatory framework that is aligned with international standards for product registration, risk assessment, and labeling (Zhang et al., 2025; Aremu et al., 2024). Governments play an essential role in providing fiscal and non-fiscal incentives, streamlining the licensing process, and encouraging collaboration among researchers, industry, and other stakeholders to accelerate the commercialization of bioherbicides (</w:t>
      </w:r>
      <w:proofErr w:type="spellStart"/>
      <w:r>
        <w:rPr>
          <w:rFonts w:ascii="Arial" w:hAnsi="Arial"/>
        </w:rPr>
        <w:t>Poli</w:t>
      </w:r>
      <w:proofErr w:type="spellEnd"/>
      <w:r>
        <w:rPr>
          <w:rFonts w:ascii="Arial" w:hAnsi="Arial"/>
        </w:rPr>
        <w:t xml:space="preserve"> &amp; </w:t>
      </w:r>
      <w:proofErr w:type="spellStart"/>
      <w:r>
        <w:rPr>
          <w:rFonts w:ascii="Arial" w:hAnsi="Arial"/>
        </w:rPr>
        <w:t>Fontefrancesco</w:t>
      </w:r>
      <w:proofErr w:type="spellEnd"/>
      <w:r>
        <w:rPr>
          <w:rFonts w:ascii="Arial" w:hAnsi="Arial"/>
        </w:rPr>
        <w:t xml:space="preserve">, 2024; </w:t>
      </w:r>
      <w:proofErr w:type="spellStart"/>
      <w:r>
        <w:rPr>
          <w:rFonts w:ascii="Arial" w:hAnsi="Arial"/>
        </w:rPr>
        <w:t>Dewi</w:t>
      </w:r>
      <w:proofErr w:type="spellEnd"/>
      <w:r>
        <w:rPr>
          <w:rFonts w:ascii="Arial" w:hAnsi="Arial"/>
        </w:rPr>
        <w:t xml:space="preserve"> &amp; </w:t>
      </w:r>
      <w:proofErr w:type="spellStart"/>
      <w:r>
        <w:rPr>
          <w:rFonts w:ascii="Arial" w:hAnsi="Arial"/>
        </w:rPr>
        <w:t>Iswendi</w:t>
      </w:r>
      <w:proofErr w:type="spellEnd"/>
      <w:r>
        <w:rPr>
          <w:rFonts w:ascii="Arial" w:hAnsi="Arial"/>
        </w:rPr>
        <w:t>, 2025). In addition, educating and guiding farmers on the proper and safe use of bioherbicides, along with strong local regulations and soil protection policies, are key factors in ensuring widespread and sustainable adoption (</w:t>
      </w:r>
      <w:proofErr w:type="spellStart"/>
      <w:r>
        <w:rPr>
          <w:rFonts w:ascii="Arial" w:hAnsi="Arial"/>
        </w:rPr>
        <w:t>Dalengkade</w:t>
      </w:r>
      <w:proofErr w:type="spellEnd"/>
      <w:r>
        <w:rPr>
          <w:rFonts w:ascii="Arial" w:hAnsi="Arial"/>
        </w:rPr>
        <w:t xml:space="preserve"> et al., 2025; </w:t>
      </w:r>
      <w:proofErr w:type="spellStart"/>
      <w:r>
        <w:rPr>
          <w:rFonts w:ascii="Arial" w:hAnsi="Arial"/>
        </w:rPr>
        <w:t>Irnawati</w:t>
      </w:r>
      <w:proofErr w:type="spellEnd"/>
      <w:r>
        <w:rPr>
          <w:rFonts w:ascii="Arial" w:hAnsi="Arial"/>
        </w:rPr>
        <w:t xml:space="preserve"> et al., 2025).</w:t>
      </w:r>
    </w:p>
    <w:p w14:paraId="2BE563CC" w14:textId="77777777" w:rsidR="00633CEB" w:rsidRDefault="00633CEB">
      <w:pPr>
        <w:jc w:val="both"/>
        <w:rPr>
          <w:rFonts w:ascii="Arial" w:hAnsi="Arial"/>
        </w:rPr>
      </w:pPr>
    </w:p>
    <w:p w14:paraId="1A325610" w14:textId="77777777" w:rsidR="00633CEB" w:rsidRDefault="004C60E9">
      <w:pPr>
        <w:pStyle w:val="ConcHead"/>
        <w:spacing w:after="0"/>
        <w:jc w:val="both"/>
        <w:rPr>
          <w:rFonts w:ascii="Arial" w:hAnsi="Arial" w:cs="Arial"/>
        </w:rPr>
      </w:pPr>
      <w:r>
        <w:rPr>
          <w:rFonts w:ascii="Arial" w:hAnsi="Arial" w:cs="Arial"/>
        </w:rPr>
        <w:t>4. Conclusion</w:t>
      </w:r>
    </w:p>
    <w:p w14:paraId="181C6C32" w14:textId="77777777" w:rsidR="00633CEB" w:rsidRDefault="004C60E9">
      <w:pPr>
        <w:jc w:val="both"/>
        <w:rPr>
          <w:rFonts w:ascii="Arial" w:hAnsi="Arial"/>
        </w:rPr>
      </w:pPr>
      <w:r>
        <w:rPr>
          <w:rFonts w:ascii="Arial" w:hAnsi="Arial"/>
        </w:rPr>
        <w:t xml:space="preserve">The attributes of this research are weed extracts, which are environmentally friendly bioherbicides in line with sustainable agricultural systems. Some weeds have the potential to act as allelochemicals, affecting the growth of target weeds through physiological and biochemical mechanisms. Compared to synthetic herbicides, weed extract bioherbicides tend to be more environmentally friendly, with lower residues, lower ecological toxicity, and a positive impact on soil quality and agroecosystem biodiversity. However, in this case, technological advances in the private agricultural sector are at odds with holistic agroecosystem management, creating an irony in sustainable development. The irony of sustainable development exacerbates this due to increasingly extreme climate change, </w:t>
      </w:r>
      <w:r>
        <w:rPr>
          <w:rFonts w:ascii="Arial" w:hAnsi="Arial"/>
        </w:rPr>
        <w:lastRenderedPageBreak/>
        <w:t>accompanied by global population growth that drives increased food demand, which further increases the potential for excessive exploitation of climate change and natural resources (Directorate General of International Technology Cooperation, Ministry of Research and Technology of the Republic of Indonesia).</w:t>
      </w:r>
    </w:p>
    <w:p w14:paraId="156F7F7A" w14:textId="77777777" w:rsidR="00633CEB" w:rsidRDefault="00633CEB">
      <w:pPr>
        <w:jc w:val="both"/>
        <w:rPr>
          <w:rFonts w:ascii="Arial" w:hAnsi="Arial" w:cs="Arial"/>
        </w:rPr>
      </w:pPr>
    </w:p>
    <w:p w14:paraId="40AD051D" w14:textId="2B6F0DB1" w:rsidR="00633CEB" w:rsidRDefault="00633CEB">
      <w:pPr>
        <w:pStyle w:val="ReferHead"/>
        <w:spacing w:after="0"/>
        <w:jc w:val="both"/>
        <w:rPr>
          <w:rFonts w:ascii="Arial" w:hAnsi="Arial" w:cs="Arial"/>
          <w:b w:val="0"/>
          <w:caps w:val="0"/>
          <w:sz w:val="20"/>
        </w:rPr>
      </w:pPr>
    </w:p>
    <w:p w14:paraId="5E6D1AC9" w14:textId="77777777" w:rsidR="00C14E7C" w:rsidRDefault="00C14E7C">
      <w:pPr>
        <w:pStyle w:val="ReferHead"/>
        <w:spacing w:after="0"/>
        <w:jc w:val="both"/>
        <w:rPr>
          <w:rFonts w:ascii="Arial" w:hAnsi="Arial" w:cs="Arial"/>
          <w:b w:val="0"/>
          <w:caps w:val="0"/>
          <w:sz w:val="20"/>
        </w:rPr>
      </w:pPr>
    </w:p>
    <w:p w14:paraId="48A9FEF4" w14:textId="77777777" w:rsidR="00633CEB" w:rsidRDefault="004C60E9">
      <w:pPr>
        <w:pStyle w:val="ReferHead"/>
        <w:spacing w:after="0"/>
        <w:jc w:val="both"/>
        <w:rPr>
          <w:rFonts w:ascii="Arial" w:hAnsi="Arial" w:cs="Arial"/>
        </w:rPr>
      </w:pPr>
      <w:r>
        <w:rPr>
          <w:rFonts w:ascii="Arial" w:hAnsi="Arial" w:cs="Arial"/>
        </w:rPr>
        <w:t>References</w:t>
      </w:r>
    </w:p>
    <w:p w14:paraId="3CA6B32D"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Alanaz, A. R., </w:t>
      </w:r>
      <w:proofErr w:type="spellStart"/>
      <w:r>
        <w:rPr>
          <w:rFonts w:ascii="Arial" w:hAnsi="Arial" w:cs="Arial"/>
          <w:sz w:val="20"/>
          <w:szCs w:val="20"/>
        </w:rPr>
        <w:t>Alatawi</w:t>
      </w:r>
      <w:proofErr w:type="spellEnd"/>
      <w:r>
        <w:rPr>
          <w:rFonts w:ascii="Arial" w:hAnsi="Arial" w:cs="Arial"/>
          <w:sz w:val="20"/>
          <w:szCs w:val="20"/>
        </w:rPr>
        <w:t xml:space="preserve">, E. A. S., Alotaibi, R. S., </w:t>
      </w:r>
      <w:proofErr w:type="spellStart"/>
      <w:r>
        <w:rPr>
          <w:rFonts w:ascii="Arial" w:hAnsi="Arial" w:cs="Arial"/>
          <w:sz w:val="20"/>
          <w:szCs w:val="20"/>
        </w:rPr>
        <w:t>Alatawi</w:t>
      </w:r>
      <w:proofErr w:type="spellEnd"/>
      <w:r>
        <w:rPr>
          <w:rFonts w:ascii="Arial" w:hAnsi="Arial" w:cs="Arial"/>
          <w:sz w:val="20"/>
          <w:szCs w:val="20"/>
        </w:rPr>
        <w:t xml:space="preserve">, E. A. H., </w:t>
      </w:r>
      <w:proofErr w:type="spellStart"/>
      <w:r>
        <w:rPr>
          <w:rFonts w:ascii="Arial" w:hAnsi="Arial" w:cs="Arial"/>
          <w:sz w:val="20"/>
          <w:szCs w:val="20"/>
        </w:rPr>
        <w:t>Albalawi</w:t>
      </w:r>
      <w:proofErr w:type="spellEnd"/>
      <w:r>
        <w:rPr>
          <w:rFonts w:ascii="Arial" w:hAnsi="Arial" w:cs="Arial"/>
          <w:sz w:val="20"/>
          <w:szCs w:val="20"/>
        </w:rPr>
        <w:t xml:space="preserve">, A. D., </w:t>
      </w:r>
      <w:proofErr w:type="spellStart"/>
      <w:r>
        <w:rPr>
          <w:rFonts w:ascii="Arial" w:hAnsi="Arial" w:cs="Arial"/>
          <w:sz w:val="20"/>
          <w:szCs w:val="20"/>
        </w:rPr>
        <w:t>Alhumayri</w:t>
      </w:r>
      <w:proofErr w:type="spellEnd"/>
      <w:r>
        <w:rPr>
          <w:rFonts w:ascii="Arial" w:hAnsi="Arial" w:cs="Arial"/>
          <w:sz w:val="20"/>
          <w:szCs w:val="20"/>
        </w:rPr>
        <w:t xml:space="preserve">, H. A., </w:t>
      </w:r>
      <w:proofErr w:type="spellStart"/>
      <w:r>
        <w:rPr>
          <w:rFonts w:ascii="Arial" w:hAnsi="Arial" w:cs="Arial"/>
          <w:sz w:val="20"/>
          <w:szCs w:val="20"/>
        </w:rPr>
        <w:t>Alatawi</w:t>
      </w:r>
      <w:proofErr w:type="spellEnd"/>
      <w:r>
        <w:rPr>
          <w:rFonts w:ascii="Arial" w:hAnsi="Arial" w:cs="Arial"/>
          <w:sz w:val="20"/>
          <w:szCs w:val="20"/>
        </w:rPr>
        <w:t xml:space="preserve">, Q. S., &amp; Alharbi, B. M. (2023). </w:t>
      </w:r>
      <w:r>
        <w:rPr>
          <w:rStyle w:val="Emphasis"/>
          <w:rFonts w:ascii="Arial" w:hAnsi="Arial" w:cs="Arial"/>
          <w:sz w:val="20"/>
          <w:szCs w:val="20"/>
        </w:rPr>
        <w:t>The bio-herbicidal potential of some wild plants with allelopathic effects from the Tabuk Region on selected local weed species</w:t>
      </w:r>
      <w:r>
        <w:rPr>
          <w:rFonts w:ascii="Arial" w:hAnsi="Arial" w:cs="Arial"/>
          <w:sz w:val="20"/>
          <w:szCs w:val="20"/>
        </w:rPr>
        <w:t xml:space="preserve">. </w:t>
      </w:r>
      <w:r>
        <w:rPr>
          <w:rStyle w:val="Strong"/>
          <w:rFonts w:ascii="Arial" w:hAnsi="Arial" w:cs="Arial"/>
          <w:b w:val="0"/>
          <w:bCs w:val="0"/>
          <w:sz w:val="20"/>
          <w:szCs w:val="20"/>
        </w:rPr>
        <w:t>Frontiers in Plant Science, 14</w:t>
      </w:r>
      <w:r>
        <w:rPr>
          <w:rFonts w:ascii="Arial" w:hAnsi="Arial" w:cs="Arial"/>
          <w:sz w:val="20"/>
          <w:szCs w:val="20"/>
        </w:rPr>
        <w:t xml:space="preserve">, Article 1286105. </w:t>
      </w:r>
      <w:hyperlink r:id="rId18" w:tgtFrame="C:\Users\Dell\AppData\Local\Temp\_new" w:history="1">
        <w:r>
          <w:rPr>
            <w:rStyle w:val="Hyperlink"/>
            <w:rFonts w:ascii="Arial" w:hAnsi="Arial" w:cs="Arial"/>
            <w:color w:val="auto"/>
            <w:sz w:val="20"/>
            <w:szCs w:val="20"/>
          </w:rPr>
          <w:t>https://doi.org/10.3389/fpls.2023.1286105</w:t>
        </w:r>
      </w:hyperlink>
    </w:p>
    <w:p w14:paraId="6234ABB3"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Alridiwirsah</w:t>
      </w:r>
      <w:proofErr w:type="spellEnd"/>
      <w:r>
        <w:rPr>
          <w:rFonts w:ascii="Arial" w:hAnsi="Arial" w:cs="Arial"/>
          <w:sz w:val="20"/>
          <w:szCs w:val="20"/>
        </w:rPr>
        <w:t xml:space="preserve">, A., Tampubolon, K., </w:t>
      </w:r>
      <w:proofErr w:type="spellStart"/>
      <w:r>
        <w:rPr>
          <w:rFonts w:ascii="Arial" w:hAnsi="Arial" w:cs="Arial"/>
          <w:sz w:val="20"/>
          <w:szCs w:val="20"/>
        </w:rPr>
        <w:t>Sihombing</w:t>
      </w:r>
      <w:proofErr w:type="spellEnd"/>
      <w:r>
        <w:rPr>
          <w:rFonts w:ascii="Arial" w:hAnsi="Arial" w:cs="Arial"/>
          <w:sz w:val="20"/>
          <w:szCs w:val="20"/>
        </w:rPr>
        <w:t xml:space="preserve">, F. N., Barus, W. A., </w:t>
      </w:r>
      <w:proofErr w:type="spellStart"/>
      <w:r>
        <w:rPr>
          <w:rFonts w:ascii="Arial" w:hAnsi="Arial" w:cs="Arial"/>
          <w:sz w:val="20"/>
          <w:szCs w:val="20"/>
        </w:rPr>
        <w:t>Syofia</w:t>
      </w:r>
      <w:proofErr w:type="spellEnd"/>
      <w:r>
        <w:rPr>
          <w:rFonts w:ascii="Arial" w:hAnsi="Arial" w:cs="Arial"/>
          <w:sz w:val="20"/>
          <w:szCs w:val="20"/>
        </w:rPr>
        <w:t xml:space="preserve">, I., Zulkifli, T. B. H., &amp; </w:t>
      </w:r>
      <w:proofErr w:type="spellStart"/>
      <w:r>
        <w:rPr>
          <w:rFonts w:ascii="Arial" w:hAnsi="Arial" w:cs="Arial"/>
          <w:sz w:val="20"/>
          <w:szCs w:val="20"/>
        </w:rPr>
        <w:t>Purba</w:t>
      </w:r>
      <w:proofErr w:type="spellEnd"/>
      <w:r>
        <w:rPr>
          <w:rFonts w:ascii="Arial" w:hAnsi="Arial" w:cs="Arial"/>
          <w:sz w:val="20"/>
          <w:szCs w:val="20"/>
        </w:rPr>
        <w:t xml:space="preserve">, Z. (2020). </w:t>
      </w:r>
      <w:r>
        <w:rPr>
          <w:rStyle w:val="Emphasis"/>
          <w:rFonts w:ascii="Arial" w:hAnsi="Arial" w:cs="Arial"/>
          <w:sz w:val="20"/>
          <w:szCs w:val="20"/>
        </w:rPr>
        <w:t>Screening and effectiveness of secondary metabolites of</w:t>
      </w:r>
      <w:r>
        <w:rPr>
          <w:rFonts w:ascii="Arial" w:hAnsi="Arial" w:cs="Arial"/>
          <w:sz w:val="20"/>
          <w:szCs w:val="20"/>
        </w:rPr>
        <w:t xml:space="preserve"> </w:t>
      </w:r>
      <w:r>
        <w:rPr>
          <w:rFonts w:ascii="Arial" w:hAnsi="Arial" w:cs="Arial"/>
          <w:i/>
          <w:sz w:val="20"/>
          <w:szCs w:val="20"/>
        </w:rPr>
        <w:t xml:space="preserve">Mikania </w:t>
      </w:r>
      <w:proofErr w:type="spellStart"/>
      <w:r>
        <w:rPr>
          <w:rFonts w:ascii="Arial" w:hAnsi="Arial" w:cs="Arial"/>
          <w:i/>
          <w:sz w:val="20"/>
          <w:szCs w:val="20"/>
        </w:rPr>
        <w:t>micrantha</w:t>
      </w:r>
      <w:proofErr w:type="spellEnd"/>
      <w:r>
        <w:rPr>
          <w:rFonts w:ascii="Arial" w:hAnsi="Arial" w:cs="Arial"/>
          <w:sz w:val="20"/>
          <w:szCs w:val="20"/>
        </w:rPr>
        <w:t xml:space="preserve"> </w:t>
      </w:r>
      <w:r>
        <w:rPr>
          <w:rStyle w:val="Emphasis"/>
          <w:rFonts w:ascii="Arial" w:hAnsi="Arial" w:cs="Arial"/>
          <w:sz w:val="20"/>
          <w:szCs w:val="20"/>
        </w:rPr>
        <w:t>against</w:t>
      </w:r>
      <w:r>
        <w:rPr>
          <w:rFonts w:ascii="Arial" w:hAnsi="Arial" w:cs="Arial"/>
          <w:sz w:val="20"/>
          <w:szCs w:val="20"/>
        </w:rPr>
        <w:t xml:space="preserve"> </w:t>
      </w:r>
      <w:proofErr w:type="spellStart"/>
      <w:r>
        <w:rPr>
          <w:rFonts w:ascii="Arial" w:hAnsi="Arial" w:cs="Arial"/>
          <w:sz w:val="20"/>
          <w:szCs w:val="20"/>
        </w:rPr>
        <w:t>Rottboellia</w:t>
      </w:r>
      <w:proofErr w:type="spellEnd"/>
      <w:r>
        <w:rPr>
          <w:rFonts w:ascii="Arial" w:hAnsi="Arial" w:cs="Arial"/>
          <w:sz w:val="20"/>
          <w:szCs w:val="20"/>
        </w:rPr>
        <w:t xml:space="preserve"> </w:t>
      </w:r>
      <w:proofErr w:type="spellStart"/>
      <w:r>
        <w:rPr>
          <w:rFonts w:ascii="Arial" w:hAnsi="Arial" w:cs="Arial"/>
          <w:sz w:val="20"/>
          <w:szCs w:val="20"/>
        </w:rPr>
        <w:t>cochinchinensis</w:t>
      </w:r>
      <w:proofErr w:type="spellEnd"/>
      <w:r>
        <w:rPr>
          <w:rFonts w:ascii="Arial" w:hAnsi="Arial" w:cs="Arial"/>
          <w:sz w:val="20"/>
          <w:szCs w:val="20"/>
        </w:rPr>
        <w:t xml:space="preserve"> </w:t>
      </w:r>
      <w:r>
        <w:rPr>
          <w:rStyle w:val="Emphasis"/>
          <w:rFonts w:ascii="Arial" w:hAnsi="Arial" w:cs="Arial"/>
          <w:sz w:val="20"/>
          <w:szCs w:val="20"/>
        </w:rPr>
        <w:t>and their impact on lowland rice</w:t>
      </w:r>
      <w:r>
        <w:rPr>
          <w:rFonts w:ascii="Arial" w:hAnsi="Arial" w:cs="Arial"/>
          <w:sz w:val="20"/>
          <w:szCs w:val="20"/>
        </w:rPr>
        <w:t xml:space="preserve">. </w:t>
      </w:r>
      <w:r>
        <w:rPr>
          <w:rStyle w:val="Strong"/>
          <w:rFonts w:ascii="Arial" w:hAnsi="Arial" w:cs="Arial"/>
          <w:b w:val="0"/>
          <w:bCs w:val="0"/>
          <w:sz w:val="20"/>
          <w:szCs w:val="20"/>
        </w:rPr>
        <w:t>Agrotechnology Research Journal / Journal of Agronomy Research, 4</w:t>
      </w:r>
      <w:r>
        <w:rPr>
          <w:rFonts w:ascii="Arial" w:hAnsi="Arial" w:cs="Arial"/>
          <w:sz w:val="20"/>
          <w:szCs w:val="20"/>
        </w:rPr>
        <w:t xml:space="preserve">(2), 84. </w:t>
      </w:r>
      <w:hyperlink r:id="rId19" w:tgtFrame="C:\Users\Dell\AppData\Local\Temp\_new" w:history="1">
        <w:r>
          <w:rPr>
            <w:rStyle w:val="Hyperlink"/>
            <w:rFonts w:ascii="Arial" w:hAnsi="Arial" w:cs="Arial"/>
            <w:color w:val="auto"/>
            <w:sz w:val="20"/>
            <w:szCs w:val="20"/>
          </w:rPr>
          <w:t>https://doi.org/10.20961/agrotechresj.v4i2.44976</w:t>
        </w:r>
      </w:hyperlink>
    </w:p>
    <w:p w14:paraId="19ABD084"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Amelia, A., Fikri, A. N., Erlina, E., Ghazi, F., &amp; </w:t>
      </w:r>
      <w:proofErr w:type="spellStart"/>
      <w:r>
        <w:rPr>
          <w:rFonts w:ascii="Arial" w:hAnsi="Arial" w:cs="Arial"/>
          <w:sz w:val="20"/>
          <w:szCs w:val="20"/>
        </w:rPr>
        <w:t>Kholid</w:t>
      </w:r>
      <w:proofErr w:type="spellEnd"/>
      <w:r>
        <w:rPr>
          <w:rFonts w:ascii="Arial" w:hAnsi="Arial" w:cs="Arial"/>
          <w:sz w:val="20"/>
          <w:szCs w:val="20"/>
        </w:rPr>
        <w:t xml:space="preserve">, I. (2025). </w:t>
      </w:r>
      <w:r>
        <w:rPr>
          <w:rStyle w:val="Emphasis"/>
          <w:rFonts w:ascii="Arial" w:hAnsi="Arial" w:cs="Arial"/>
          <w:sz w:val="20"/>
          <w:szCs w:val="20"/>
        </w:rPr>
        <w:t>Reconstruction of the fulfillment of children's rights in Islamic law: A critical analysis of its implementation in contemporary Islamic education</w:t>
      </w:r>
      <w:r>
        <w:rPr>
          <w:rFonts w:ascii="Arial" w:hAnsi="Arial" w:cs="Arial"/>
          <w:sz w:val="20"/>
          <w:szCs w:val="20"/>
        </w:rPr>
        <w:t xml:space="preserve">. </w:t>
      </w:r>
      <w:r>
        <w:rPr>
          <w:rStyle w:val="Strong"/>
          <w:rFonts w:ascii="Arial" w:hAnsi="Arial" w:cs="Arial"/>
          <w:b w:val="0"/>
          <w:bCs w:val="0"/>
          <w:sz w:val="20"/>
          <w:szCs w:val="20"/>
        </w:rPr>
        <w:t>LEARNING: Journal of Educational Research and Innovation, 5</w:t>
      </w:r>
      <w:r>
        <w:rPr>
          <w:rFonts w:ascii="Arial" w:hAnsi="Arial" w:cs="Arial"/>
          <w:sz w:val="20"/>
          <w:szCs w:val="20"/>
        </w:rPr>
        <w:t xml:space="preserve">(4), 1944. </w:t>
      </w:r>
      <w:hyperlink r:id="rId20" w:tgtFrame="C:\Users\Dell\AppData\Local\Temp\_new" w:history="1">
        <w:r>
          <w:rPr>
            <w:rStyle w:val="Hyperlink"/>
            <w:rFonts w:ascii="Arial" w:hAnsi="Arial" w:cs="Arial"/>
            <w:color w:val="auto"/>
            <w:sz w:val="20"/>
            <w:szCs w:val="20"/>
          </w:rPr>
          <w:t>https://doi.org/10.51878/learning.v5i4.7498</w:t>
        </w:r>
      </w:hyperlink>
    </w:p>
    <w:p w14:paraId="6F6B0D4D"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Ammar, A. S. M., Riyad, Y., Younis, M. I., &amp; Ali, M. R. (2025). </w:t>
      </w:r>
      <w:r>
        <w:rPr>
          <w:rStyle w:val="Emphasis"/>
          <w:rFonts w:ascii="Arial" w:hAnsi="Arial" w:cs="Arial"/>
          <w:sz w:val="20"/>
          <w:szCs w:val="20"/>
        </w:rPr>
        <w:t>Valorization of citrus fruit wastes: Sustainable extraction of bioactive compounds for food and health applications</w:t>
      </w:r>
      <w:r>
        <w:rPr>
          <w:rFonts w:ascii="Arial" w:hAnsi="Arial" w:cs="Arial"/>
          <w:sz w:val="20"/>
          <w:szCs w:val="20"/>
        </w:rPr>
        <w:t xml:space="preserve">. </w:t>
      </w:r>
      <w:r>
        <w:rPr>
          <w:rStyle w:val="Strong"/>
          <w:rFonts w:ascii="Arial" w:hAnsi="Arial" w:cs="Arial"/>
          <w:b w:val="0"/>
          <w:bCs w:val="0"/>
          <w:sz w:val="20"/>
          <w:szCs w:val="20"/>
        </w:rPr>
        <w:t>Food Systems, 8</w:t>
      </w:r>
      <w:r>
        <w:rPr>
          <w:rFonts w:ascii="Arial" w:hAnsi="Arial" w:cs="Arial"/>
          <w:sz w:val="20"/>
          <w:szCs w:val="20"/>
        </w:rPr>
        <w:t xml:space="preserve">(3), 407–413. </w:t>
      </w:r>
      <w:hyperlink r:id="rId21" w:tgtFrame="C:\Users\Dell\AppData\Local\Temp\_new" w:history="1">
        <w:r>
          <w:rPr>
            <w:rStyle w:val="Hyperlink"/>
            <w:rFonts w:ascii="Arial" w:hAnsi="Arial" w:cs="Arial"/>
            <w:color w:val="auto"/>
            <w:sz w:val="20"/>
            <w:szCs w:val="20"/>
          </w:rPr>
          <w:t>https://doi.org/10.21323/2618-9771-2025-8-3-407-413</w:t>
        </w:r>
      </w:hyperlink>
    </w:p>
    <w:p w14:paraId="78EA2966"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Ammar, E. E., Elmasry, S. A., Ghosh, S., Al-</w:t>
      </w:r>
      <w:proofErr w:type="spellStart"/>
      <w:r>
        <w:rPr>
          <w:rFonts w:ascii="Arial" w:hAnsi="Arial" w:cs="Arial"/>
          <w:sz w:val="20"/>
          <w:szCs w:val="20"/>
        </w:rPr>
        <w:t>Farga</w:t>
      </w:r>
      <w:proofErr w:type="spellEnd"/>
      <w:r>
        <w:rPr>
          <w:rFonts w:ascii="Arial" w:hAnsi="Arial" w:cs="Arial"/>
          <w:sz w:val="20"/>
          <w:szCs w:val="20"/>
        </w:rPr>
        <w:t>, A., Ghallab, Y. K., Eldeen, A. M. F., El-</w:t>
      </w:r>
      <w:proofErr w:type="spellStart"/>
      <w:r>
        <w:rPr>
          <w:rFonts w:ascii="Arial" w:hAnsi="Arial" w:cs="Arial"/>
          <w:sz w:val="20"/>
          <w:szCs w:val="20"/>
        </w:rPr>
        <w:t>Shershaby</w:t>
      </w:r>
      <w:proofErr w:type="spellEnd"/>
      <w:r>
        <w:rPr>
          <w:rFonts w:ascii="Arial" w:hAnsi="Arial" w:cs="Arial"/>
          <w:sz w:val="20"/>
          <w:szCs w:val="20"/>
        </w:rPr>
        <w:t xml:space="preserve">, N. A., &amp; </w:t>
      </w:r>
      <w:proofErr w:type="spellStart"/>
      <w:r>
        <w:rPr>
          <w:rFonts w:ascii="Arial" w:hAnsi="Arial" w:cs="Arial"/>
          <w:sz w:val="20"/>
          <w:szCs w:val="20"/>
        </w:rPr>
        <w:t>Aioub</w:t>
      </w:r>
      <w:proofErr w:type="spellEnd"/>
      <w:r>
        <w:rPr>
          <w:rFonts w:ascii="Arial" w:hAnsi="Arial" w:cs="Arial"/>
          <w:sz w:val="20"/>
          <w:szCs w:val="20"/>
        </w:rPr>
        <w:t xml:space="preserve">, A. A. A. (2023). </w:t>
      </w:r>
      <w:r>
        <w:rPr>
          <w:rStyle w:val="Emphasis"/>
          <w:rFonts w:ascii="Arial" w:hAnsi="Arial" w:cs="Arial"/>
          <w:sz w:val="20"/>
          <w:szCs w:val="20"/>
        </w:rPr>
        <w:t>Insightful review of bioherbicides derived from plants (</w:t>
      </w:r>
      <w:proofErr w:type="spellStart"/>
      <w:r>
        <w:rPr>
          <w:rStyle w:val="Emphasis"/>
          <w:rFonts w:ascii="Arial" w:hAnsi="Arial" w:cs="Arial"/>
          <w:sz w:val="20"/>
          <w:szCs w:val="20"/>
        </w:rPr>
        <w:t>phyto</w:t>
      </w:r>
      <w:proofErr w:type="spellEnd"/>
      <w:r>
        <w:rPr>
          <w:rStyle w:val="Emphasis"/>
          <w:rFonts w:ascii="Arial" w:hAnsi="Arial" w:cs="Arial"/>
          <w:sz w:val="20"/>
          <w:szCs w:val="20"/>
        </w:rPr>
        <w:t>-herbicides)</w:t>
      </w:r>
      <w:r>
        <w:rPr>
          <w:rFonts w:ascii="Arial" w:hAnsi="Arial" w:cs="Arial"/>
          <w:sz w:val="20"/>
          <w:szCs w:val="20"/>
        </w:rPr>
        <w:t xml:space="preserve">. </w:t>
      </w:r>
      <w:r>
        <w:rPr>
          <w:rStyle w:val="Strong"/>
          <w:rFonts w:ascii="Arial" w:hAnsi="Arial" w:cs="Arial"/>
          <w:b w:val="0"/>
          <w:bCs w:val="0"/>
          <w:sz w:val="20"/>
          <w:szCs w:val="20"/>
        </w:rPr>
        <w:t>Journal of the Chilean Chemical Society, 68</w:t>
      </w:r>
      <w:r>
        <w:rPr>
          <w:rFonts w:ascii="Arial" w:hAnsi="Arial" w:cs="Arial"/>
          <w:sz w:val="20"/>
          <w:szCs w:val="20"/>
        </w:rPr>
        <w:t xml:space="preserve">(2), 5847. </w:t>
      </w:r>
      <w:hyperlink r:id="rId22" w:tgtFrame="C:\Users\Dell\AppData\Local\Temp\_new" w:history="1">
        <w:r>
          <w:rPr>
            <w:rStyle w:val="Hyperlink"/>
            <w:rFonts w:ascii="Arial" w:hAnsi="Arial" w:cs="Arial"/>
            <w:color w:val="auto"/>
            <w:sz w:val="20"/>
            <w:szCs w:val="20"/>
          </w:rPr>
          <w:t>https://doi.org/10.4067/S0717-97072023000205847</w:t>
        </w:r>
      </w:hyperlink>
    </w:p>
    <w:p w14:paraId="4A431395"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Amrullah, R., </w:t>
      </w:r>
      <w:proofErr w:type="spellStart"/>
      <w:r>
        <w:rPr>
          <w:rFonts w:ascii="Arial" w:hAnsi="Arial" w:cs="Arial"/>
          <w:sz w:val="20"/>
          <w:szCs w:val="20"/>
        </w:rPr>
        <w:t>Indarwati</w:t>
      </w:r>
      <w:proofErr w:type="spellEnd"/>
      <w:r>
        <w:rPr>
          <w:rFonts w:ascii="Arial" w:hAnsi="Arial" w:cs="Arial"/>
          <w:sz w:val="20"/>
          <w:szCs w:val="20"/>
        </w:rPr>
        <w:t xml:space="preserve">, I., &amp; Susilo, A. (2024). </w:t>
      </w:r>
      <w:r>
        <w:rPr>
          <w:rStyle w:val="Emphasis"/>
          <w:rFonts w:ascii="Arial" w:hAnsi="Arial" w:cs="Arial"/>
          <w:sz w:val="20"/>
          <w:szCs w:val="20"/>
        </w:rPr>
        <w:t>Allelopathic effects of</w:t>
      </w:r>
      <w:r>
        <w:rPr>
          <w:rFonts w:ascii="Arial" w:hAnsi="Arial" w:cs="Arial"/>
          <w:sz w:val="20"/>
          <w:szCs w:val="20"/>
        </w:rPr>
        <w:t xml:space="preserve"> </w:t>
      </w:r>
      <w:r>
        <w:rPr>
          <w:rFonts w:ascii="Arial" w:hAnsi="Arial" w:cs="Arial"/>
          <w:i/>
          <w:sz w:val="20"/>
          <w:szCs w:val="20"/>
        </w:rPr>
        <w:t>Cyperus rotundus</w:t>
      </w:r>
      <w:r>
        <w:rPr>
          <w:rFonts w:ascii="Arial" w:hAnsi="Arial" w:cs="Arial"/>
          <w:sz w:val="20"/>
          <w:szCs w:val="20"/>
        </w:rPr>
        <w:t xml:space="preserve"> </w:t>
      </w:r>
      <w:r>
        <w:rPr>
          <w:rStyle w:val="Emphasis"/>
          <w:rFonts w:ascii="Arial" w:hAnsi="Arial" w:cs="Arial"/>
          <w:sz w:val="20"/>
          <w:szCs w:val="20"/>
        </w:rPr>
        <w:t>extract on germination and early growth of spiny amaranth</w:t>
      </w:r>
      <w:r>
        <w:rPr>
          <w:rFonts w:ascii="Arial" w:hAnsi="Arial" w:cs="Arial"/>
          <w:sz w:val="20"/>
          <w:szCs w:val="20"/>
        </w:rPr>
        <w:t xml:space="preserve"> (</w:t>
      </w:r>
      <w:r>
        <w:rPr>
          <w:rStyle w:val="Emphasis"/>
          <w:rFonts w:ascii="Arial" w:hAnsi="Arial" w:cs="Arial"/>
          <w:sz w:val="20"/>
          <w:szCs w:val="20"/>
        </w:rPr>
        <w:t>Amaranthus spinosus</w:t>
      </w:r>
      <w:r>
        <w:rPr>
          <w:rFonts w:ascii="Arial" w:hAnsi="Arial" w:cs="Arial"/>
          <w:sz w:val="20"/>
          <w:szCs w:val="20"/>
        </w:rPr>
        <w:t xml:space="preserve">). </w:t>
      </w:r>
      <w:r>
        <w:rPr>
          <w:rStyle w:val="Strong"/>
          <w:rFonts w:ascii="Arial" w:hAnsi="Arial" w:cs="Arial"/>
          <w:b w:val="0"/>
          <w:bCs w:val="0"/>
          <w:sz w:val="20"/>
          <w:szCs w:val="20"/>
        </w:rPr>
        <w:t>Journal of Applied Plant Technology, 3</w:t>
      </w:r>
      <w:r>
        <w:rPr>
          <w:rFonts w:ascii="Arial" w:hAnsi="Arial" w:cs="Arial"/>
          <w:sz w:val="20"/>
          <w:szCs w:val="20"/>
        </w:rPr>
        <w:t xml:space="preserve">(2), 137. </w:t>
      </w:r>
      <w:hyperlink r:id="rId23" w:tgtFrame="C:\Users\Dell\AppData\Local\Temp\_new" w:history="1">
        <w:r>
          <w:rPr>
            <w:rStyle w:val="Hyperlink"/>
            <w:rFonts w:ascii="Arial" w:hAnsi="Arial" w:cs="Arial"/>
            <w:color w:val="auto"/>
            <w:sz w:val="20"/>
            <w:szCs w:val="20"/>
          </w:rPr>
          <w:t>https://doi.org/10.30742/6zjn2m95</w:t>
        </w:r>
      </w:hyperlink>
    </w:p>
    <w:p w14:paraId="0A5319C4"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Ananta, D. A., Putra, G. P. G., &amp; </w:t>
      </w:r>
      <w:proofErr w:type="spellStart"/>
      <w:r>
        <w:rPr>
          <w:rFonts w:ascii="Arial" w:hAnsi="Arial" w:cs="Arial"/>
          <w:sz w:val="20"/>
          <w:szCs w:val="20"/>
        </w:rPr>
        <w:t>Arnata</w:t>
      </w:r>
      <w:proofErr w:type="spellEnd"/>
      <w:r>
        <w:rPr>
          <w:rFonts w:ascii="Arial" w:hAnsi="Arial" w:cs="Arial"/>
          <w:sz w:val="20"/>
          <w:szCs w:val="20"/>
        </w:rPr>
        <w:t xml:space="preserve">, I. W. (2021). </w:t>
      </w:r>
      <w:r>
        <w:rPr>
          <w:rStyle w:val="Emphasis"/>
          <w:rFonts w:ascii="Arial" w:hAnsi="Arial" w:cs="Arial"/>
          <w:sz w:val="20"/>
          <w:szCs w:val="20"/>
        </w:rPr>
        <w:t>Effects of temperature and maceration time on the antioxidant activity of cocoa pod husk extract</w:t>
      </w:r>
      <w:r>
        <w:rPr>
          <w:rFonts w:ascii="Arial" w:hAnsi="Arial" w:cs="Arial"/>
          <w:sz w:val="20"/>
          <w:szCs w:val="20"/>
        </w:rPr>
        <w:t xml:space="preserve"> (</w:t>
      </w:r>
      <w:r>
        <w:rPr>
          <w:rStyle w:val="Emphasis"/>
          <w:rFonts w:ascii="Arial" w:hAnsi="Arial" w:cs="Arial"/>
          <w:sz w:val="20"/>
          <w:szCs w:val="20"/>
        </w:rPr>
        <w:t>Theobroma cacao</w:t>
      </w:r>
      <w:r>
        <w:rPr>
          <w:rFonts w:ascii="Arial" w:hAnsi="Arial" w:cs="Arial"/>
          <w:sz w:val="20"/>
          <w:szCs w:val="20"/>
        </w:rPr>
        <w:t xml:space="preserve"> L.). </w:t>
      </w:r>
      <w:r>
        <w:rPr>
          <w:rStyle w:val="Strong"/>
          <w:rFonts w:ascii="Arial" w:hAnsi="Arial" w:cs="Arial"/>
          <w:b w:val="0"/>
          <w:bCs w:val="0"/>
          <w:sz w:val="20"/>
          <w:szCs w:val="20"/>
        </w:rPr>
        <w:t xml:space="preserve">Journal of </w:t>
      </w:r>
      <w:proofErr w:type="spellStart"/>
      <w:r>
        <w:rPr>
          <w:rStyle w:val="Strong"/>
          <w:rFonts w:ascii="Arial" w:hAnsi="Arial" w:cs="Arial"/>
          <w:b w:val="0"/>
          <w:bCs w:val="0"/>
          <w:sz w:val="20"/>
          <w:szCs w:val="20"/>
        </w:rPr>
        <w:t>Agroindustrial</w:t>
      </w:r>
      <w:proofErr w:type="spellEnd"/>
      <w:r>
        <w:rPr>
          <w:rStyle w:val="Strong"/>
          <w:rFonts w:ascii="Arial" w:hAnsi="Arial" w:cs="Arial"/>
          <w:b w:val="0"/>
          <w:bCs w:val="0"/>
          <w:sz w:val="20"/>
          <w:szCs w:val="20"/>
        </w:rPr>
        <w:t xml:space="preserve"> Engineering and Management, 9</w:t>
      </w:r>
      <w:r>
        <w:rPr>
          <w:rFonts w:ascii="Arial" w:hAnsi="Arial" w:cs="Arial"/>
          <w:sz w:val="20"/>
          <w:szCs w:val="20"/>
        </w:rPr>
        <w:t xml:space="preserve">(2), 186. </w:t>
      </w:r>
      <w:hyperlink r:id="rId24" w:tgtFrame="C:\Users\Dell\AppData\Local\Temp\_new" w:history="1">
        <w:r>
          <w:rPr>
            <w:rStyle w:val="Hyperlink"/>
            <w:rFonts w:ascii="Arial" w:hAnsi="Arial" w:cs="Arial"/>
            <w:color w:val="auto"/>
            <w:sz w:val="20"/>
            <w:szCs w:val="20"/>
          </w:rPr>
          <w:t>https://doi.org/10.24843/jrma.2021.v09.i02.p04</w:t>
        </w:r>
      </w:hyperlink>
    </w:p>
    <w:p w14:paraId="3110377D"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Anwar, S., Naseem, S., Karimi, S., Asi, M. R., Akrem, A., &amp; Ali, Z. (2021). </w:t>
      </w:r>
      <w:r>
        <w:rPr>
          <w:rStyle w:val="Emphasis"/>
          <w:rFonts w:ascii="Arial" w:hAnsi="Arial" w:cs="Arial"/>
          <w:sz w:val="20"/>
          <w:szCs w:val="20"/>
        </w:rPr>
        <w:t>Bioherbicidal activity and metabolic profiling of potent allelopathic plant fractions against major weeds of wheat: A way forward to reduce the risk of synthetic herbicides</w:t>
      </w:r>
      <w:r>
        <w:rPr>
          <w:rFonts w:ascii="Arial" w:hAnsi="Arial" w:cs="Arial"/>
          <w:sz w:val="20"/>
          <w:szCs w:val="20"/>
        </w:rPr>
        <w:t xml:space="preserve">. </w:t>
      </w:r>
      <w:r>
        <w:rPr>
          <w:rStyle w:val="Strong"/>
          <w:rFonts w:ascii="Arial" w:hAnsi="Arial" w:cs="Arial"/>
          <w:b w:val="0"/>
          <w:bCs w:val="0"/>
          <w:sz w:val="20"/>
          <w:szCs w:val="20"/>
        </w:rPr>
        <w:t>Frontiers in Plant Science, 12</w:t>
      </w:r>
      <w:r>
        <w:rPr>
          <w:rFonts w:ascii="Arial" w:hAnsi="Arial" w:cs="Arial"/>
          <w:sz w:val="20"/>
          <w:szCs w:val="20"/>
        </w:rPr>
        <w:t xml:space="preserve">, Article 632390. </w:t>
      </w:r>
      <w:hyperlink r:id="rId25" w:tgtFrame="C:\Users\Dell\AppData\Local\Temp\_new" w:history="1">
        <w:r>
          <w:rPr>
            <w:rStyle w:val="Hyperlink"/>
            <w:rFonts w:ascii="Arial" w:hAnsi="Arial" w:cs="Arial"/>
            <w:color w:val="auto"/>
            <w:sz w:val="20"/>
            <w:szCs w:val="20"/>
          </w:rPr>
          <w:t>https://doi.org/10.3389/fpls.2021.632390</w:t>
        </w:r>
      </w:hyperlink>
    </w:p>
    <w:p w14:paraId="562D9498"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Aremu, A. O., </w:t>
      </w:r>
      <w:proofErr w:type="spellStart"/>
      <w:r>
        <w:rPr>
          <w:rFonts w:ascii="Arial" w:hAnsi="Arial" w:cs="Arial"/>
          <w:sz w:val="20"/>
          <w:szCs w:val="20"/>
        </w:rPr>
        <w:t>Omogbene</w:t>
      </w:r>
      <w:proofErr w:type="spellEnd"/>
      <w:r>
        <w:rPr>
          <w:rFonts w:ascii="Arial" w:hAnsi="Arial" w:cs="Arial"/>
          <w:sz w:val="20"/>
          <w:szCs w:val="20"/>
        </w:rPr>
        <w:t xml:space="preserve">, T. O., </w:t>
      </w:r>
      <w:proofErr w:type="spellStart"/>
      <w:r>
        <w:rPr>
          <w:rFonts w:ascii="Arial" w:hAnsi="Arial" w:cs="Arial"/>
          <w:sz w:val="20"/>
          <w:szCs w:val="20"/>
        </w:rPr>
        <w:t>Fadiji</w:t>
      </w:r>
      <w:proofErr w:type="spellEnd"/>
      <w:r>
        <w:rPr>
          <w:rFonts w:ascii="Arial" w:hAnsi="Arial" w:cs="Arial"/>
          <w:sz w:val="20"/>
          <w:szCs w:val="20"/>
        </w:rPr>
        <w:t xml:space="preserve">, T., Lawal, I. O., Opara, U. L., &amp; Fawole, O. A. (2024). </w:t>
      </w:r>
      <w:r>
        <w:rPr>
          <w:rStyle w:val="Emphasis"/>
          <w:rFonts w:ascii="Arial" w:hAnsi="Arial" w:cs="Arial"/>
          <w:sz w:val="20"/>
          <w:szCs w:val="20"/>
        </w:rPr>
        <w:t>Plants as alternatives to chemical-based crop protection against biotic threats: Trends and future perspectives</w:t>
      </w:r>
      <w:r>
        <w:rPr>
          <w:rFonts w:ascii="Arial" w:hAnsi="Arial" w:cs="Arial"/>
          <w:sz w:val="20"/>
          <w:szCs w:val="20"/>
        </w:rPr>
        <w:t xml:space="preserve">. </w:t>
      </w:r>
      <w:r>
        <w:rPr>
          <w:rStyle w:val="Strong"/>
          <w:rFonts w:ascii="Arial" w:hAnsi="Arial" w:cs="Arial"/>
          <w:b w:val="0"/>
          <w:bCs w:val="0"/>
          <w:sz w:val="20"/>
          <w:szCs w:val="20"/>
        </w:rPr>
        <w:t>European Journal of Plant Pathology</w:t>
      </w:r>
      <w:r>
        <w:rPr>
          <w:rFonts w:ascii="Arial" w:hAnsi="Arial" w:cs="Arial"/>
          <w:sz w:val="20"/>
          <w:szCs w:val="20"/>
        </w:rPr>
        <w:t xml:space="preserve">. </w:t>
      </w:r>
      <w:hyperlink r:id="rId26" w:tgtFrame="C:\Users\Dell\AppData\Local\Temp\_new" w:history="1">
        <w:r>
          <w:rPr>
            <w:rStyle w:val="Hyperlink"/>
            <w:rFonts w:ascii="Arial" w:hAnsi="Arial" w:cs="Arial"/>
            <w:color w:val="auto"/>
            <w:sz w:val="20"/>
            <w:szCs w:val="20"/>
          </w:rPr>
          <w:t>https://doi.org/10.1007/s10658-024-02924-y</w:t>
        </w:r>
      </w:hyperlink>
    </w:p>
    <w:p w14:paraId="2DAA716C"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Aryesam</w:t>
      </w:r>
      <w:proofErr w:type="spellEnd"/>
      <w:r>
        <w:rPr>
          <w:rFonts w:ascii="Arial" w:hAnsi="Arial" w:cs="Arial"/>
          <w:sz w:val="20"/>
          <w:szCs w:val="20"/>
        </w:rPr>
        <w:t xml:space="preserve">, A. (2024). </w:t>
      </w:r>
      <w:r>
        <w:rPr>
          <w:rStyle w:val="Emphasis"/>
          <w:rFonts w:ascii="Arial" w:hAnsi="Arial" w:cs="Arial"/>
          <w:sz w:val="20"/>
          <w:szCs w:val="20"/>
        </w:rPr>
        <w:t>Utilization of kitchen waste into eco-enzymes for improving soil fertility and household cleaning agents in Hedam Village, Jayapura City</w:t>
      </w:r>
      <w:r>
        <w:rPr>
          <w:rFonts w:ascii="Arial" w:hAnsi="Arial" w:cs="Arial"/>
          <w:sz w:val="20"/>
          <w:szCs w:val="20"/>
        </w:rPr>
        <w:t xml:space="preserve">. </w:t>
      </w:r>
      <w:r>
        <w:rPr>
          <w:rStyle w:val="Strong"/>
          <w:rFonts w:ascii="Arial" w:hAnsi="Arial" w:cs="Arial"/>
          <w:b w:val="0"/>
          <w:bCs w:val="0"/>
          <w:sz w:val="20"/>
          <w:szCs w:val="20"/>
        </w:rPr>
        <w:t>COMMUNITY: Journal of Community Service, 4</w:t>
      </w:r>
      <w:r>
        <w:rPr>
          <w:rFonts w:ascii="Arial" w:hAnsi="Arial" w:cs="Arial"/>
          <w:sz w:val="20"/>
          <w:szCs w:val="20"/>
        </w:rPr>
        <w:t xml:space="preserve">(2), 227. </w:t>
      </w:r>
      <w:hyperlink r:id="rId27" w:tgtFrame="C:\Users\Dell\AppData\Local\Temp\_new" w:history="1">
        <w:r>
          <w:rPr>
            <w:rStyle w:val="Hyperlink"/>
            <w:rFonts w:ascii="Arial" w:hAnsi="Arial" w:cs="Arial"/>
            <w:color w:val="auto"/>
            <w:sz w:val="20"/>
            <w:szCs w:val="20"/>
          </w:rPr>
          <w:t>https://doi.org/10.51878/community.v4i2.3816</w:t>
        </w:r>
      </w:hyperlink>
    </w:p>
    <w:p w14:paraId="7ECE0CC7"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Atmiyati</w:t>
      </w:r>
      <w:proofErr w:type="spellEnd"/>
      <w:r>
        <w:rPr>
          <w:rFonts w:ascii="Arial" w:hAnsi="Arial" w:cs="Arial"/>
          <w:sz w:val="20"/>
          <w:szCs w:val="20"/>
        </w:rPr>
        <w:t xml:space="preserve">, S. U., &amp; </w:t>
      </w:r>
      <w:proofErr w:type="spellStart"/>
      <w:r>
        <w:rPr>
          <w:rFonts w:ascii="Arial" w:hAnsi="Arial" w:cs="Arial"/>
          <w:sz w:val="20"/>
          <w:szCs w:val="20"/>
        </w:rPr>
        <w:t>Hermawati</w:t>
      </w:r>
      <w:proofErr w:type="spellEnd"/>
      <w:r>
        <w:rPr>
          <w:rFonts w:ascii="Arial" w:hAnsi="Arial" w:cs="Arial"/>
          <w:sz w:val="20"/>
          <w:szCs w:val="20"/>
        </w:rPr>
        <w:t xml:space="preserve">, I. (2025). </w:t>
      </w:r>
      <w:r>
        <w:rPr>
          <w:rStyle w:val="Emphasis"/>
          <w:rFonts w:ascii="Arial" w:hAnsi="Arial" w:cs="Arial"/>
          <w:sz w:val="20"/>
          <w:szCs w:val="20"/>
        </w:rPr>
        <w:t xml:space="preserve">Effectiveness of agricultural extension programs in promoting environmentally sustainable farming practices: A case study in </w:t>
      </w:r>
      <w:proofErr w:type="spellStart"/>
      <w:r>
        <w:rPr>
          <w:rStyle w:val="Emphasis"/>
          <w:rFonts w:ascii="Arial" w:hAnsi="Arial" w:cs="Arial"/>
          <w:sz w:val="20"/>
          <w:szCs w:val="20"/>
        </w:rPr>
        <w:t>Sawangan</w:t>
      </w:r>
      <w:proofErr w:type="spellEnd"/>
      <w:r>
        <w:rPr>
          <w:rStyle w:val="Emphasis"/>
          <w:rFonts w:ascii="Arial" w:hAnsi="Arial" w:cs="Arial"/>
          <w:sz w:val="20"/>
          <w:szCs w:val="20"/>
        </w:rPr>
        <w:t xml:space="preserve"> District, </w:t>
      </w:r>
      <w:proofErr w:type="spellStart"/>
      <w:r>
        <w:rPr>
          <w:rStyle w:val="Emphasis"/>
          <w:rFonts w:ascii="Arial" w:hAnsi="Arial" w:cs="Arial"/>
          <w:sz w:val="20"/>
          <w:szCs w:val="20"/>
        </w:rPr>
        <w:t>Magelang</w:t>
      </w:r>
      <w:proofErr w:type="spellEnd"/>
      <w:r>
        <w:rPr>
          <w:rStyle w:val="Emphasis"/>
          <w:rFonts w:ascii="Arial" w:hAnsi="Arial" w:cs="Arial"/>
          <w:sz w:val="20"/>
          <w:szCs w:val="20"/>
        </w:rPr>
        <w:t xml:space="preserve"> Regency</w:t>
      </w:r>
      <w:r>
        <w:rPr>
          <w:rFonts w:ascii="Arial" w:hAnsi="Arial" w:cs="Arial"/>
          <w:sz w:val="20"/>
          <w:szCs w:val="20"/>
        </w:rPr>
        <w:t xml:space="preserve">. </w:t>
      </w:r>
      <w:r>
        <w:rPr>
          <w:rStyle w:val="Strong"/>
          <w:rFonts w:ascii="Arial" w:hAnsi="Arial" w:cs="Arial"/>
          <w:b w:val="0"/>
          <w:bCs w:val="0"/>
          <w:sz w:val="20"/>
          <w:szCs w:val="20"/>
        </w:rPr>
        <w:t>Social: Journal of Social Studies Education Innovation, 5</w:t>
      </w:r>
      <w:r>
        <w:rPr>
          <w:rFonts w:ascii="Arial" w:hAnsi="Arial" w:cs="Arial"/>
          <w:sz w:val="20"/>
          <w:szCs w:val="20"/>
        </w:rPr>
        <w:t xml:space="preserve">(3), 1119. </w:t>
      </w:r>
      <w:hyperlink r:id="rId28" w:tgtFrame="C:\Users\Dell\AppData\Local\Temp\_new" w:history="1">
        <w:r>
          <w:rPr>
            <w:rStyle w:val="Hyperlink"/>
            <w:rFonts w:ascii="Arial" w:hAnsi="Arial" w:cs="Arial"/>
            <w:color w:val="auto"/>
            <w:sz w:val="20"/>
            <w:szCs w:val="20"/>
          </w:rPr>
          <w:t>https://doi.org/10.51878/social.v5i3.6930</w:t>
        </w:r>
      </w:hyperlink>
    </w:p>
    <w:p w14:paraId="41CD389C"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lastRenderedPageBreak/>
        <w:t>Aulia</w:t>
      </w:r>
      <w:proofErr w:type="spellEnd"/>
      <w:r>
        <w:rPr>
          <w:rFonts w:ascii="Arial" w:hAnsi="Arial" w:cs="Arial"/>
          <w:sz w:val="20"/>
          <w:szCs w:val="20"/>
        </w:rPr>
        <w:t xml:space="preserve">, Q., Sodikin, S., &amp; </w:t>
      </w:r>
      <w:proofErr w:type="spellStart"/>
      <w:r>
        <w:rPr>
          <w:rFonts w:ascii="Arial" w:hAnsi="Arial" w:cs="Arial"/>
          <w:sz w:val="20"/>
          <w:szCs w:val="20"/>
        </w:rPr>
        <w:t>Hasrianti</w:t>
      </w:r>
      <w:proofErr w:type="spellEnd"/>
      <w:r>
        <w:rPr>
          <w:rFonts w:ascii="Arial" w:hAnsi="Arial" w:cs="Arial"/>
          <w:sz w:val="20"/>
          <w:szCs w:val="20"/>
        </w:rPr>
        <w:t xml:space="preserve">, H. (2025). </w:t>
      </w:r>
      <w:r>
        <w:rPr>
          <w:rStyle w:val="Emphasis"/>
          <w:rFonts w:ascii="Arial" w:hAnsi="Arial" w:cs="Arial"/>
          <w:sz w:val="20"/>
          <w:szCs w:val="20"/>
        </w:rPr>
        <w:t>Metadata analysis of environmentally friendly technology adoption in agricultural production management to reduce carbon footprints</w:t>
      </w:r>
      <w:r>
        <w:rPr>
          <w:rFonts w:ascii="Arial" w:hAnsi="Arial" w:cs="Arial"/>
          <w:sz w:val="20"/>
          <w:szCs w:val="20"/>
        </w:rPr>
        <w:t xml:space="preserve">. </w:t>
      </w:r>
      <w:r>
        <w:rPr>
          <w:rStyle w:val="Strong"/>
          <w:rFonts w:ascii="Arial" w:hAnsi="Arial" w:cs="Arial"/>
          <w:b w:val="0"/>
          <w:bCs w:val="0"/>
          <w:sz w:val="20"/>
          <w:szCs w:val="20"/>
        </w:rPr>
        <w:t>EL-JUGHRAFIYAH, 5</w:t>
      </w:r>
      <w:r>
        <w:rPr>
          <w:rFonts w:ascii="Arial" w:hAnsi="Arial" w:cs="Arial"/>
          <w:sz w:val="20"/>
          <w:szCs w:val="20"/>
        </w:rPr>
        <w:t xml:space="preserve">(2), 458. </w:t>
      </w:r>
      <w:hyperlink r:id="rId29" w:tgtFrame="C:\Users\Dell\AppData\Local\Temp\_new" w:history="1">
        <w:r>
          <w:rPr>
            <w:rStyle w:val="Hyperlink"/>
            <w:rFonts w:ascii="Arial" w:hAnsi="Arial" w:cs="Arial"/>
            <w:color w:val="auto"/>
            <w:sz w:val="20"/>
            <w:szCs w:val="20"/>
          </w:rPr>
          <w:t>https://doi.org/10.24014/jej.v5i2.37799</w:t>
        </w:r>
      </w:hyperlink>
    </w:p>
    <w:p w14:paraId="79019E7F"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Azzahra, S., Bilqis, R., Islamiyah, A., Sarmila, S., H. P., M. R. S., Marchello, W. R., </w:t>
      </w:r>
      <w:proofErr w:type="spellStart"/>
      <w:r>
        <w:rPr>
          <w:rFonts w:ascii="Arial" w:hAnsi="Arial" w:cs="Arial"/>
          <w:sz w:val="20"/>
          <w:szCs w:val="20"/>
        </w:rPr>
        <w:t>Rusdi</w:t>
      </w:r>
      <w:proofErr w:type="spellEnd"/>
      <w:r>
        <w:rPr>
          <w:rFonts w:ascii="Arial" w:hAnsi="Arial" w:cs="Arial"/>
          <w:sz w:val="20"/>
          <w:szCs w:val="20"/>
        </w:rPr>
        <w:t xml:space="preserve">, R., &amp; Kurniawan, D. (2025). </w:t>
      </w:r>
      <w:r>
        <w:rPr>
          <w:rStyle w:val="Emphasis"/>
          <w:rFonts w:ascii="Arial" w:hAnsi="Arial" w:cs="Arial"/>
          <w:sz w:val="20"/>
          <w:szCs w:val="20"/>
        </w:rPr>
        <w:t xml:space="preserve">Community empowerment through household waste management education and compost fertilizer training in </w:t>
      </w:r>
      <w:proofErr w:type="spellStart"/>
      <w:r>
        <w:rPr>
          <w:rStyle w:val="Emphasis"/>
          <w:rFonts w:ascii="Arial" w:hAnsi="Arial" w:cs="Arial"/>
          <w:sz w:val="20"/>
          <w:szCs w:val="20"/>
        </w:rPr>
        <w:t>Lempake</w:t>
      </w:r>
      <w:proofErr w:type="spellEnd"/>
      <w:r>
        <w:rPr>
          <w:rStyle w:val="Emphasis"/>
          <w:rFonts w:ascii="Arial" w:hAnsi="Arial" w:cs="Arial"/>
          <w:sz w:val="20"/>
          <w:szCs w:val="20"/>
        </w:rPr>
        <w:t xml:space="preserve"> Village, </w:t>
      </w:r>
      <w:proofErr w:type="spellStart"/>
      <w:r>
        <w:rPr>
          <w:rStyle w:val="Emphasis"/>
          <w:rFonts w:ascii="Arial" w:hAnsi="Arial" w:cs="Arial"/>
          <w:sz w:val="20"/>
          <w:szCs w:val="20"/>
        </w:rPr>
        <w:t>Samarinda</w:t>
      </w:r>
      <w:proofErr w:type="spellEnd"/>
      <w:r>
        <w:rPr>
          <w:rStyle w:val="Emphasis"/>
          <w:rFonts w:ascii="Arial" w:hAnsi="Arial" w:cs="Arial"/>
          <w:sz w:val="20"/>
          <w:szCs w:val="20"/>
        </w:rPr>
        <w:t xml:space="preserve"> City</w:t>
      </w:r>
      <w:r>
        <w:rPr>
          <w:rFonts w:ascii="Arial" w:hAnsi="Arial" w:cs="Arial"/>
          <w:sz w:val="20"/>
          <w:szCs w:val="20"/>
        </w:rPr>
        <w:t xml:space="preserve">. </w:t>
      </w:r>
      <w:r>
        <w:rPr>
          <w:rStyle w:val="Strong"/>
          <w:rFonts w:ascii="Arial" w:hAnsi="Arial" w:cs="Arial"/>
          <w:b w:val="0"/>
          <w:bCs w:val="0"/>
          <w:sz w:val="20"/>
          <w:szCs w:val="20"/>
        </w:rPr>
        <w:t>Community: Journal of Community Service, 4</w:t>
      </w:r>
      <w:r>
        <w:rPr>
          <w:rFonts w:ascii="Arial" w:hAnsi="Arial" w:cs="Arial"/>
          <w:sz w:val="20"/>
          <w:szCs w:val="20"/>
        </w:rPr>
        <w:t xml:space="preserve">(2), 248. </w:t>
      </w:r>
      <w:hyperlink r:id="rId30" w:tgtFrame="C:\Users\Dell\AppData\Local\Temp\_new" w:history="1">
        <w:r>
          <w:rPr>
            <w:rStyle w:val="Hyperlink"/>
            <w:rFonts w:ascii="Arial" w:hAnsi="Arial" w:cs="Arial"/>
            <w:color w:val="auto"/>
            <w:sz w:val="20"/>
            <w:szCs w:val="20"/>
          </w:rPr>
          <w:t>https://doi.org/10.51878/community.v4i2.4105</w:t>
        </w:r>
      </w:hyperlink>
    </w:p>
    <w:p w14:paraId="4E2A6892"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Bahrom, B., </w:t>
      </w:r>
      <w:proofErr w:type="spellStart"/>
      <w:r>
        <w:rPr>
          <w:rFonts w:ascii="Arial" w:hAnsi="Arial" w:cs="Arial"/>
          <w:sz w:val="20"/>
          <w:szCs w:val="20"/>
        </w:rPr>
        <w:t>Pahrudin</w:t>
      </w:r>
      <w:proofErr w:type="spellEnd"/>
      <w:r>
        <w:rPr>
          <w:rFonts w:ascii="Arial" w:hAnsi="Arial" w:cs="Arial"/>
          <w:sz w:val="20"/>
          <w:szCs w:val="20"/>
        </w:rPr>
        <w:t xml:space="preserve">, A., &amp; Rahmi, S. (2025). </w:t>
      </w:r>
      <w:r>
        <w:rPr>
          <w:rStyle w:val="Emphasis"/>
          <w:rFonts w:ascii="Arial" w:hAnsi="Arial" w:cs="Arial"/>
          <w:sz w:val="20"/>
          <w:szCs w:val="20"/>
        </w:rPr>
        <w:t>Models, concepts, designs, approaches, and curriculum development frameworks</w:t>
      </w:r>
      <w:r>
        <w:rPr>
          <w:rFonts w:ascii="Arial" w:hAnsi="Arial" w:cs="Arial"/>
          <w:sz w:val="20"/>
          <w:szCs w:val="20"/>
        </w:rPr>
        <w:t xml:space="preserve">. </w:t>
      </w:r>
      <w:r>
        <w:rPr>
          <w:rStyle w:val="Strong"/>
          <w:rFonts w:ascii="Arial" w:hAnsi="Arial" w:cs="Arial"/>
          <w:b w:val="0"/>
          <w:bCs w:val="0"/>
          <w:sz w:val="20"/>
          <w:szCs w:val="20"/>
        </w:rPr>
        <w:t>[Journal or proceedings name not specified]</w:t>
      </w:r>
      <w:r>
        <w:rPr>
          <w:rFonts w:ascii="Arial" w:hAnsi="Arial" w:cs="Arial"/>
          <w:sz w:val="20"/>
          <w:szCs w:val="20"/>
        </w:rPr>
        <w:t>.</w:t>
      </w:r>
    </w:p>
    <w:p w14:paraId="4BFA7B63"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Bashar, H. M. K., </w:t>
      </w:r>
      <w:proofErr w:type="spellStart"/>
      <w:r>
        <w:rPr>
          <w:rFonts w:ascii="Arial" w:hAnsi="Arial" w:cs="Arial"/>
          <w:sz w:val="20"/>
          <w:szCs w:val="20"/>
        </w:rPr>
        <w:t>Juraimi</w:t>
      </w:r>
      <w:proofErr w:type="spellEnd"/>
      <w:r>
        <w:rPr>
          <w:rFonts w:ascii="Arial" w:hAnsi="Arial" w:cs="Arial"/>
          <w:sz w:val="20"/>
          <w:szCs w:val="20"/>
        </w:rPr>
        <w:t xml:space="preserve">, A. S., Ahmad-Hamdani, M. S., Uddin, M. K., </w:t>
      </w:r>
      <w:proofErr w:type="spellStart"/>
      <w:r>
        <w:rPr>
          <w:rFonts w:ascii="Arial" w:hAnsi="Arial" w:cs="Arial"/>
          <w:sz w:val="20"/>
          <w:szCs w:val="20"/>
        </w:rPr>
        <w:t>Asib</w:t>
      </w:r>
      <w:proofErr w:type="spellEnd"/>
      <w:r>
        <w:rPr>
          <w:rFonts w:ascii="Arial" w:hAnsi="Arial" w:cs="Arial"/>
          <w:sz w:val="20"/>
          <w:szCs w:val="20"/>
        </w:rPr>
        <w:t xml:space="preserve">, N., Anwar, M. P., Rahaman, F., Haque, M. A., &amp; Hossain, A. (2023). </w:t>
      </w:r>
      <w:r>
        <w:rPr>
          <w:rStyle w:val="Emphasis"/>
          <w:rFonts w:ascii="Arial" w:hAnsi="Arial" w:cs="Arial"/>
          <w:sz w:val="20"/>
          <w:szCs w:val="20"/>
        </w:rPr>
        <w:t>Evaluation of allelopathic effects of</w:t>
      </w:r>
      <w:r>
        <w:rPr>
          <w:rFonts w:ascii="Arial" w:hAnsi="Arial" w:cs="Arial"/>
          <w:sz w:val="20"/>
          <w:szCs w:val="20"/>
        </w:rPr>
        <w:t xml:space="preserve"> </w:t>
      </w:r>
      <w:r>
        <w:rPr>
          <w:rFonts w:ascii="Arial" w:hAnsi="Arial" w:cs="Arial"/>
          <w:i/>
          <w:sz w:val="20"/>
          <w:szCs w:val="20"/>
        </w:rPr>
        <w:t xml:space="preserve">Parthenium </w:t>
      </w:r>
      <w:proofErr w:type="spellStart"/>
      <w:r>
        <w:rPr>
          <w:rFonts w:ascii="Arial" w:hAnsi="Arial" w:cs="Arial"/>
          <w:i/>
          <w:sz w:val="20"/>
          <w:szCs w:val="20"/>
        </w:rPr>
        <w:t>hysterophorus</w:t>
      </w:r>
      <w:proofErr w:type="spellEnd"/>
      <w:r>
        <w:rPr>
          <w:rFonts w:ascii="Arial" w:hAnsi="Arial" w:cs="Arial"/>
          <w:sz w:val="20"/>
          <w:szCs w:val="20"/>
        </w:rPr>
        <w:t xml:space="preserve"> </w:t>
      </w:r>
      <w:r>
        <w:rPr>
          <w:rStyle w:val="Emphasis"/>
          <w:rFonts w:ascii="Arial" w:hAnsi="Arial" w:cs="Arial"/>
          <w:sz w:val="20"/>
          <w:szCs w:val="20"/>
        </w:rPr>
        <w:t>L. methanolic extracts on selected plants and weeds</w:t>
      </w:r>
      <w:r>
        <w:rPr>
          <w:rFonts w:ascii="Arial" w:hAnsi="Arial" w:cs="Arial"/>
          <w:sz w:val="20"/>
          <w:szCs w:val="20"/>
        </w:rPr>
        <w:t xml:space="preserve">. </w:t>
      </w:r>
      <w:r>
        <w:rPr>
          <w:rStyle w:val="Strong"/>
          <w:rFonts w:ascii="Arial" w:hAnsi="Arial" w:cs="Arial"/>
          <w:b w:val="0"/>
          <w:bCs w:val="0"/>
          <w:sz w:val="20"/>
          <w:szCs w:val="20"/>
        </w:rPr>
        <w:t>PLOS ONE, 18</w:t>
      </w:r>
      <w:r>
        <w:rPr>
          <w:rFonts w:ascii="Arial" w:hAnsi="Arial" w:cs="Arial"/>
          <w:sz w:val="20"/>
          <w:szCs w:val="20"/>
        </w:rPr>
        <w:t xml:space="preserve">(1), e0280159. </w:t>
      </w:r>
      <w:hyperlink r:id="rId31" w:tgtFrame="C:\Users\Dell\AppData\Local\Temp\_new" w:history="1">
        <w:r>
          <w:rPr>
            <w:rStyle w:val="Hyperlink"/>
            <w:rFonts w:ascii="Arial" w:hAnsi="Arial" w:cs="Arial"/>
            <w:color w:val="auto"/>
            <w:sz w:val="20"/>
            <w:szCs w:val="20"/>
          </w:rPr>
          <w:t>https://doi.org/10.1371/journal.pone.0280159</w:t>
        </w:r>
      </w:hyperlink>
    </w:p>
    <w:p w14:paraId="635C5057"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Bejenaru, L. E., Radu, A., </w:t>
      </w:r>
      <w:proofErr w:type="spellStart"/>
      <w:r>
        <w:rPr>
          <w:rFonts w:ascii="Arial" w:hAnsi="Arial" w:cs="Arial"/>
          <w:sz w:val="20"/>
          <w:szCs w:val="20"/>
        </w:rPr>
        <w:t>Segneanu</w:t>
      </w:r>
      <w:proofErr w:type="spellEnd"/>
      <w:r>
        <w:rPr>
          <w:rFonts w:ascii="Arial" w:hAnsi="Arial" w:cs="Arial"/>
          <w:sz w:val="20"/>
          <w:szCs w:val="20"/>
        </w:rPr>
        <w:t xml:space="preserve">, A., </w:t>
      </w:r>
      <w:proofErr w:type="spellStart"/>
      <w:r>
        <w:rPr>
          <w:rFonts w:ascii="Arial" w:hAnsi="Arial" w:cs="Arial"/>
          <w:sz w:val="20"/>
          <w:szCs w:val="20"/>
        </w:rPr>
        <w:t>Biţă</w:t>
      </w:r>
      <w:proofErr w:type="spellEnd"/>
      <w:r>
        <w:rPr>
          <w:rFonts w:ascii="Arial" w:hAnsi="Arial" w:cs="Arial"/>
          <w:sz w:val="20"/>
          <w:szCs w:val="20"/>
        </w:rPr>
        <w:t xml:space="preserve">, A., Manda, C. V., Mogoşanu, G. D., &amp; Bejenaru, C. (2024). </w:t>
      </w:r>
      <w:r>
        <w:rPr>
          <w:rStyle w:val="Emphasis"/>
          <w:rFonts w:ascii="Arial" w:hAnsi="Arial" w:cs="Arial"/>
          <w:sz w:val="20"/>
          <w:szCs w:val="20"/>
        </w:rPr>
        <w:t>Innovative strategies for upcycling agricultural residues and their pharmaceutical applications</w:t>
      </w:r>
      <w:r>
        <w:rPr>
          <w:rFonts w:ascii="Arial" w:hAnsi="Arial" w:cs="Arial"/>
          <w:sz w:val="20"/>
          <w:szCs w:val="20"/>
        </w:rPr>
        <w:t xml:space="preserve">. </w:t>
      </w:r>
      <w:r>
        <w:rPr>
          <w:rStyle w:val="Strong"/>
          <w:rFonts w:ascii="Arial" w:hAnsi="Arial" w:cs="Arial"/>
          <w:b w:val="0"/>
          <w:bCs w:val="0"/>
          <w:sz w:val="20"/>
          <w:szCs w:val="20"/>
        </w:rPr>
        <w:t>Plants, 13</w:t>
      </w:r>
      <w:r>
        <w:rPr>
          <w:rFonts w:ascii="Arial" w:hAnsi="Arial" w:cs="Arial"/>
          <w:sz w:val="20"/>
          <w:szCs w:val="20"/>
        </w:rPr>
        <w:t xml:space="preserve">(15), Article 2133. </w:t>
      </w:r>
      <w:hyperlink r:id="rId32" w:tgtFrame="C:\Users\Dell\AppData\Local\Temp\_new" w:history="1">
        <w:r>
          <w:rPr>
            <w:rStyle w:val="Hyperlink"/>
            <w:rFonts w:ascii="Arial" w:hAnsi="Arial" w:cs="Arial"/>
            <w:color w:val="auto"/>
            <w:sz w:val="20"/>
            <w:szCs w:val="20"/>
          </w:rPr>
          <w:t>https://doi.org/10.3390/plants13152133</w:t>
        </w:r>
      </w:hyperlink>
    </w:p>
    <w:p w14:paraId="67830F77"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Boinot</w:t>
      </w:r>
      <w:proofErr w:type="spellEnd"/>
      <w:r>
        <w:rPr>
          <w:rFonts w:ascii="Arial" w:hAnsi="Arial" w:cs="Arial"/>
          <w:sz w:val="20"/>
          <w:szCs w:val="20"/>
        </w:rPr>
        <w:t xml:space="preserve">, S. (2019). </w:t>
      </w:r>
      <w:r>
        <w:rPr>
          <w:rStyle w:val="Emphasis"/>
          <w:rFonts w:ascii="Arial" w:hAnsi="Arial" w:cs="Arial"/>
          <w:sz w:val="20"/>
          <w:szCs w:val="20"/>
        </w:rPr>
        <w:t>Influence of within-field understory vegetation strips on plant and invertebrate communities in alley cropping agroforestry systems</w:t>
      </w:r>
      <w:r>
        <w:rPr>
          <w:rFonts w:ascii="Arial" w:hAnsi="Arial" w:cs="Arial"/>
          <w:sz w:val="20"/>
          <w:szCs w:val="20"/>
        </w:rPr>
        <w:t xml:space="preserve"> (Doctoral dissertation). </w:t>
      </w:r>
      <w:r>
        <w:rPr>
          <w:rStyle w:val="Strong"/>
          <w:rFonts w:ascii="Arial" w:hAnsi="Arial" w:cs="Arial"/>
          <w:b w:val="0"/>
          <w:bCs w:val="0"/>
          <w:sz w:val="20"/>
          <w:szCs w:val="20"/>
        </w:rPr>
        <w:t>HAL</w:t>
      </w:r>
      <w:r>
        <w:rPr>
          <w:rFonts w:ascii="Arial" w:hAnsi="Arial" w:cs="Arial"/>
          <w:sz w:val="20"/>
          <w:szCs w:val="20"/>
        </w:rPr>
        <w:t xml:space="preserve">. </w:t>
      </w:r>
      <w:hyperlink r:id="rId33" w:tgtFrame="C:\Users\Dell\AppData\Local\Temp\_new" w:history="1">
        <w:r>
          <w:rPr>
            <w:rStyle w:val="Hyperlink"/>
            <w:rFonts w:ascii="Arial" w:hAnsi="Arial" w:cs="Arial"/>
            <w:color w:val="auto"/>
            <w:sz w:val="20"/>
            <w:szCs w:val="20"/>
          </w:rPr>
          <w:t>https://theses.hal.science/tel-04095473</w:t>
        </w:r>
      </w:hyperlink>
    </w:p>
    <w:p w14:paraId="29F53DB8"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Boinot</w:t>
      </w:r>
      <w:proofErr w:type="spellEnd"/>
      <w:r>
        <w:rPr>
          <w:rFonts w:ascii="Arial" w:hAnsi="Arial" w:cs="Arial"/>
          <w:sz w:val="20"/>
          <w:szCs w:val="20"/>
        </w:rPr>
        <w:t xml:space="preserve">, S., </w:t>
      </w:r>
      <w:proofErr w:type="spellStart"/>
      <w:r>
        <w:rPr>
          <w:rFonts w:ascii="Arial" w:hAnsi="Arial" w:cs="Arial"/>
          <w:sz w:val="20"/>
          <w:szCs w:val="20"/>
        </w:rPr>
        <w:t>Alignier</w:t>
      </w:r>
      <w:proofErr w:type="spellEnd"/>
      <w:r>
        <w:rPr>
          <w:rFonts w:ascii="Arial" w:hAnsi="Arial" w:cs="Arial"/>
          <w:sz w:val="20"/>
          <w:szCs w:val="20"/>
        </w:rPr>
        <w:t xml:space="preserve">, A., &amp; Storkey, J. (2024). </w:t>
      </w:r>
      <w:r>
        <w:rPr>
          <w:rStyle w:val="Emphasis"/>
          <w:rFonts w:ascii="Arial" w:hAnsi="Arial" w:cs="Arial"/>
          <w:sz w:val="20"/>
          <w:szCs w:val="20"/>
        </w:rPr>
        <w:t>Landscape perspectives for agroecological weed management: A review</w:t>
      </w:r>
      <w:r>
        <w:rPr>
          <w:rFonts w:ascii="Arial" w:hAnsi="Arial" w:cs="Arial"/>
          <w:sz w:val="20"/>
          <w:szCs w:val="20"/>
        </w:rPr>
        <w:t xml:space="preserve">. </w:t>
      </w:r>
      <w:r>
        <w:rPr>
          <w:rStyle w:val="Strong"/>
          <w:rFonts w:ascii="Arial" w:hAnsi="Arial" w:cs="Arial"/>
          <w:b w:val="0"/>
          <w:bCs w:val="0"/>
          <w:sz w:val="20"/>
          <w:szCs w:val="20"/>
        </w:rPr>
        <w:t>Agronomy for Sustainable Development, 44</w:t>
      </w:r>
      <w:r>
        <w:rPr>
          <w:rFonts w:ascii="Arial" w:hAnsi="Arial" w:cs="Arial"/>
          <w:sz w:val="20"/>
          <w:szCs w:val="20"/>
        </w:rPr>
        <w:t xml:space="preserve">(1). </w:t>
      </w:r>
      <w:hyperlink r:id="rId34" w:tgtFrame="C:\Users\Dell\AppData\Local\Temp\_new" w:history="1">
        <w:r>
          <w:rPr>
            <w:rStyle w:val="Hyperlink"/>
            <w:rFonts w:ascii="Arial" w:hAnsi="Arial" w:cs="Arial"/>
            <w:color w:val="auto"/>
            <w:sz w:val="20"/>
            <w:szCs w:val="20"/>
          </w:rPr>
          <w:t>https://doi.org/10.1007/s13593-023-00941-5</w:t>
        </w:r>
      </w:hyperlink>
    </w:p>
    <w:p w14:paraId="404D8E7D"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Cahyati</w:t>
      </w:r>
      <w:proofErr w:type="spellEnd"/>
      <w:r>
        <w:rPr>
          <w:rFonts w:ascii="Arial" w:hAnsi="Arial" w:cs="Arial"/>
          <w:sz w:val="20"/>
          <w:szCs w:val="20"/>
        </w:rPr>
        <w:t xml:space="preserve">, N., Sutanto, A., &amp; </w:t>
      </w:r>
      <w:proofErr w:type="spellStart"/>
      <w:r>
        <w:rPr>
          <w:rFonts w:ascii="Arial" w:hAnsi="Arial" w:cs="Arial"/>
          <w:sz w:val="20"/>
          <w:szCs w:val="20"/>
        </w:rPr>
        <w:t>Widowati</w:t>
      </w:r>
      <w:proofErr w:type="spellEnd"/>
      <w:r>
        <w:rPr>
          <w:rFonts w:ascii="Arial" w:hAnsi="Arial" w:cs="Arial"/>
          <w:sz w:val="20"/>
          <w:szCs w:val="20"/>
        </w:rPr>
        <w:t xml:space="preserve">, H. (2022). </w:t>
      </w:r>
      <w:r>
        <w:rPr>
          <w:rStyle w:val="Emphasis"/>
          <w:rFonts w:ascii="Arial" w:hAnsi="Arial" w:cs="Arial"/>
          <w:sz w:val="20"/>
          <w:szCs w:val="20"/>
        </w:rPr>
        <w:t>Effects of mixed extracts of</w:t>
      </w:r>
      <w:r>
        <w:rPr>
          <w:rFonts w:ascii="Arial" w:hAnsi="Arial" w:cs="Arial"/>
          <w:sz w:val="20"/>
          <w:szCs w:val="20"/>
        </w:rPr>
        <w:t xml:space="preserve"> </w:t>
      </w:r>
      <w:proofErr w:type="spellStart"/>
      <w:r>
        <w:rPr>
          <w:rFonts w:ascii="Arial" w:hAnsi="Arial" w:cs="Arial"/>
          <w:i/>
          <w:sz w:val="20"/>
          <w:szCs w:val="20"/>
        </w:rPr>
        <w:t>Imperata</w:t>
      </w:r>
      <w:proofErr w:type="spellEnd"/>
      <w:r>
        <w:rPr>
          <w:rFonts w:ascii="Arial" w:hAnsi="Arial" w:cs="Arial"/>
          <w:i/>
          <w:sz w:val="20"/>
          <w:szCs w:val="20"/>
        </w:rPr>
        <w:t xml:space="preserve"> </w:t>
      </w:r>
      <w:proofErr w:type="spellStart"/>
      <w:r>
        <w:rPr>
          <w:rFonts w:ascii="Arial" w:hAnsi="Arial" w:cs="Arial"/>
          <w:i/>
          <w:sz w:val="20"/>
          <w:szCs w:val="20"/>
        </w:rPr>
        <w:t>cylindrica</w:t>
      </w:r>
      <w:proofErr w:type="spellEnd"/>
      <w:r>
        <w:rPr>
          <w:rFonts w:ascii="Arial" w:hAnsi="Arial" w:cs="Arial"/>
          <w:sz w:val="20"/>
          <w:szCs w:val="20"/>
        </w:rPr>
        <w:t xml:space="preserve"> </w:t>
      </w:r>
      <w:r>
        <w:rPr>
          <w:rStyle w:val="Emphasis"/>
          <w:rFonts w:ascii="Arial" w:hAnsi="Arial" w:cs="Arial"/>
          <w:sz w:val="20"/>
          <w:szCs w:val="20"/>
        </w:rPr>
        <w:t>L. and</w:t>
      </w:r>
      <w:r>
        <w:rPr>
          <w:rFonts w:ascii="Arial" w:hAnsi="Arial" w:cs="Arial"/>
          <w:sz w:val="20"/>
          <w:szCs w:val="20"/>
        </w:rPr>
        <w:t xml:space="preserve"> Ageratum </w:t>
      </w:r>
      <w:proofErr w:type="spellStart"/>
      <w:r>
        <w:rPr>
          <w:rFonts w:ascii="Arial" w:hAnsi="Arial" w:cs="Arial"/>
          <w:sz w:val="20"/>
          <w:szCs w:val="20"/>
        </w:rPr>
        <w:t>conyzoides</w:t>
      </w:r>
      <w:proofErr w:type="spellEnd"/>
      <w:r>
        <w:rPr>
          <w:rFonts w:ascii="Arial" w:hAnsi="Arial" w:cs="Arial"/>
          <w:sz w:val="20"/>
          <w:szCs w:val="20"/>
        </w:rPr>
        <w:t xml:space="preserve"> </w:t>
      </w:r>
      <w:r>
        <w:rPr>
          <w:rStyle w:val="Emphasis"/>
          <w:rFonts w:ascii="Arial" w:hAnsi="Arial" w:cs="Arial"/>
          <w:sz w:val="20"/>
          <w:szCs w:val="20"/>
        </w:rPr>
        <w:t>L. on weeds and growth of bunching onion</w:t>
      </w:r>
      <w:r>
        <w:rPr>
          <w:rFonts w:ascii="Arial" w:hAnsi="Arial" w:cs="Arial"/>
          <w:sz w:val="20"/>
          <w:szCs w:val="20"/>
        </w:rPr>
        <w:t xml:space="preserve"> (</w:t>
      </w:r>
      <w:r>
        <w:rPr>
          <w:rStyle w:val="Emphasis"/>
          <w:rFonts w:ascii="Arial" w:hAnsi="Arial" w:cs="Arial"/>
          <w:sz w:val="20"/>
          <w:szCs w:val="20"/>
        </w:rPr>
        <w:t xml:space="preserve">Allium </w:t>
      </w:r>
      <w:proofErr w:type="spellStart"/>
      <w:r>
        <w:rPr>
          <w:rStyle w:val="Emphasis"/>
          <w:rFonts w:ascii="Arial" w:hAnsi="Arial" w:cs="Arial"/>
          <w:sz w:val="20"/>
          <w:szCs w:val="20"/>
        </w:rPr>
        <w:t>fistulosum</w:t>
      </w:r>
      <w:proofErr w:type="spellEnd"/>
      <w:r>
        <w:rPr>
          <w:rFonts w:ascii="Arial" w:hAnsi="Arial" w:cs="Arial"/>
          <w:sz w:val="20"/>
          <w:szCs w:val="20"/>
        </w:rPr>
        <w:t xml:space="preserve"> L.). </w:t>
      </w:r>
      <w:proofErr w:type="spellStart"/>
      <w:r>
        <w:rPr>
          <w:rStyle w:val="Strong"/>
          <w:rFonts w:ascii="Arial" w:hAnsi="Arial" w:cs="Arial"/>
          <w:b w:val="0"/>
          <w:bCs w:val="0"/>
          <w:sz w:val="20"/>
          <w:szCs w:val="20"/>
        </w:rPr>
        <w:t>Bioedukasi</w:t>
      </w:r>
      <w:proofErr w:type="spellEnd"/>
      <w:r>
        <w:rPr>
          <w:rStyle w:val="Strong"/>
          <w:rFonts w:ascii="Arial" w:hAnsi="Arial" w:cs="Arial"/>
          <w:b w:val="0"/>
          <w:bCs w:val="0"/>
          <w:sz w:val="20"/>
          <w:szCs w:val="20"/>
        </w:rPr>
        <w:t xml:space="preserve"> (Journal of Biology Education), 13</w:t>
      </w:r>
      <w:r>
        <w:rPr>
          <w:rFonts w:ascii="Arial" w:hAnsi="Arial" w:cs="Arial"/>
          <w:sz w:val="20"/>
          <w:szCs w:val="20"/>
        </w:rPr>
        <w:t xml:space="preserve">(1), 82. </w:t>
      </w:r>
      <w:hyperlink r:id="rId35" w:tgtFrame="C:\Users\Dell\AppData\Local\Temp\_new" w:history="1">
        <w:r>
          <w:rPr>
            <w:rStyle w:val="Hyperlink"/>
            <w:rFonts w:ascii="Arial" w:hAnsi="Arial" w:cs="Arial"/>
            <w:color w:val="auto"/>
            <w:sz w:val="20"/>
            <w:szCs w:val="20"/>
          </w:rPr>
          <w:t>https://doi.org/10.24127/bioedukasi.v13i1.5307</w:t>
        </w:r>
      </w:hyperlink>
    </w:p>
    <w:p w14:paraId="7A6038A8"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Carreño, N. E. F., Merchán, J. D. S., &amp; Baquero, Z. Y. V. (2019). </w:t>
      </w:r>
      <w:r>
        <w:rPr>
          <w:rStyle w:val="Emphasis"/>
          <w:rFonts w:ascii="Arial" w:hAnsi="Arial" w:cs="Arial"/>
          <w:sz w:val="20"/>
          <w:szCs w:val="20"/>
        </w:rPr>
        <w:t>Agroecological family farming as an inclusive rural development strategy: A review</w:t>
      </w:r>
      <w:r>
        <w:rPr>
          <w:rFonts w:ascii="Arial" w:hAnsi="Arial" w:cs="Arial"/>
          <w:sz w:val="20"/>
          <w:szCs w:val="20"/>
        </w:rPr>
        <w:t xml:space="preserve">. </w:t>
      </w:r>
      <w:proofErr w:type="spellStart"/>
      <w:r>
        <w:rPr>
          <w:rStyle w:val="Strong"/>
          <w:rFonts w:ascii="Arial" w:hAnsi="Arial" w:cs="Arial"/>
          <w:b w:val="0"/>
          <w:bCs w:val="0"/>
          <w:sz w:val="20"/>
          <w:szCs w:val="20"/>
        </w:rPr>
        <w:t>Temas</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Agrarios</w:t>
      </w:r>
      <w:proofErr w:type="spellEnd"/>
      <w:r>
        <w:rPr>
          <w:rStyle w:val="Strong"/>
          <w:rFonts w:ascii="Arial" w:hAnsi="Arial" w:cs="Arial"/>
          <w:b w:val="0"/>
          <w:bCs w:val="0"/>
          <w:sz w:val="20"/>
          <w:szCs w:val="20"/>
        </w:rPr>
        <w:t>, 24</w:t>
      </w:r>
      <w:r>
        <w:rPr>
          <w:rFonts w:ascii="Arial" w:hAnsi="Arial" w:cs="Arial"/>
          <w:sz w:val="20"/>
          <w:szCs w:val="20"/>
        </w:rPr>
        <w:t xml:space="preserve">(2), 96. </w:t>
      </w:r>
      <w:hyperlink r:id="rId36" w:tgtFrame="C:\Users\Dell\AppData\Local\Temp\_new" w:history="1">
        <w:r>
          <w:rPr>
            <w:rStyle w:val="Hyperlink"/>
            <w:rFonts w:ascii="Arial" w:hAnsi="Arial" w:cs="Arial"/>
            <w:color w:val="auto"/>
            <w:sz w:val="20"/>
            <w:szCs w:val="20"/>
          </w:rPr>
          <w:t>https://doi.org/10.21897/rta.v24i2.1356</w:t>
        </w:r>
      </w:hyperlink>
    </w:p>
    <w:p w14:paraId="586A90C5"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Chaniago, I., Ardi, A., </w:t>
      </w:r>
      <w:proofErr w:type="spellStart"/>
      <w:r>
        <w:rPr>
          <w:rFonts w:ascii="Arial" w:hAnsi="Arial" w:cs="Arial"/>
          <w:sz w:val="20"/>
          <w:szCs w:val="20"/>
        </w:rPr>
        <w:t>Hariandi</w:t>
      </w:r>
      <w:proofErr w:type="spellEnd"/>
      <w:r>
        <w:rPr>
          <w:rFonts w:ascii="Arial" w:hAnsi="Arial" w:cs="Arial"/>
          <w:sz w:val="20"/>
          <w:szCs w:val="20"/>
        </w:rPr>
        <w:t xml:space="preserve">, D., Sari, W. P., &amp; Purnama, A. (2023). </w:t>
      </w:r>
      <w:r>
        <w:rPr>
          <w:rStyle w:val="Emphasis"/>
          <w:rFonts w:ascii="Arial" w:hAnsi="Arial" w:cs="Arial"/>
          <w:sz w:val="20"/>
          <w:szCs w:val="20"/>
        </w:rPr>
        <w:t xml:space="preserve">Efficacy of </w:t>
      </w:r>
      <w:proofErr w:type="spellStart"/>
      <w:r>
        <w:rPr>
          <w:rStyle w:val="Emphasis"/>
          <w:rFonts w:ascii="Arial" w:hAnsi="Arial" w:cs="Arial"/>
          <w:sz w:val="20"/>
          <w:szCs w:val="20"/>
        </w:rPr>
        <w:t>thiencarbazone</w:t>
      </w:r>
      <w:proofErr w:type="spellEnd"/>
      <w:r>
        <w:rPr>
          <w:rStyle w:val="Emphasis"/>
          <w:rFonts w:ascii="Arial" w:hAnsi="Arial" w:cs="Arial"/>
          <w:sz w:val="20"/>
          <w:szCs w:val="20"/>
        </w:rPr>
        <w:t xml:space="preserve">-methyl + </w:t>
      </w:r>
      <w:proofErr w:type="spellStart"/>
      <w:r>
        <w:rPr>
          <w:rStyle w:val="Emphasis"/>
          <w:rFonts w:ascii="Arial" w:hAnsi="Arial" w:cs="Arial"/>
          <w:sz w:val="20"/>
          <w:szCs w:val="20"/>
        </w:rPr>
        <w:t>isoxaflutole</w:t>
      </w:r>
      <w:proofErr w:type="spellEnd"/>
      <w:r>
        <w:rPr>
          <w:rStyle w:val="Emphasis"/>
          <w:rFonts w:ascii="Arial" w:hAnsi="Arial" w:cs="Arial"/>
          <w:sz w:val="20"/>
          <w:szCs w:val="20"/>
        </w:rPr>
        <w:t xml:space="preserve"> herbicide on weed control and maize yield</w:t>
      </w:r>
      <w:r>
        <w:rPr>
          <w:rFonts w:ascii="Arial" w:hAnsi="Arial" w:cs="Arial"/>
          <w:sz w:val="20"/>
          <w:szCs w:val="20"/>
        </w:rPr>
        <w:t xml:space="preserve"> (</w:t>
      </w:r>
      <w:r>
        <w:rPr>
          <w:rStyle w:val="Emphasis"/>
          <w:rFonts w:ascii="Arial" w:hAnsi="Arial" w:cs="Arial"/>
          <w:sz w:val="20"/>
          <w:szCs w:val="20"/>
        </w:rPr>
        <w:t>Zea mays</w:t>
      </w:r>
      <w:r>
        <w:rPr>
          <w:rFonts w:ascii="Arial" w:hAnsi="Arial" w:cs="Arial"/>
          <w:sz w:val="20"/>
          <w:szCs w:val="20"/>
        </w:rPr>
        <w:t xml:space="preserve"> L.). </w:t>
      </w:r>
      <w:proofErr w:type="spellStart"/>
      <w:r>
        <w:rPr>
          <w:rStyle w:val="Strong"/>
          <w:rFonts w:ascii="Arial" w:hAnsi="Arial" w:cs="Arial"/>
          <w:b w:val="0"/>
          <w:bCs w:val="0"/>
          <w:sz w:val="20"/>
          <w:szCs w:val="20"/>
        </w:rPr>
        <w:t>Jurnal</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Agro</w:t>
      </w:r>
      <w:proofErr w:type="spellEnd"/>
      <w:r>
        <w:rPr>
          <w:rStyle w:val="Strong"/>
          <w:rFonts w:ascii="Arial" w:hAnsi="Arial" w:cs="Arial"/>
          <w:b w:val="0"/>
          <w:bCs w:val="0"/>
          <w:sz w:val="20"/>
          <w:szCs w:val="20"/>
        </w:rPr>
        <w:t>, 10</w:t>
      </w:r>
      <w:r>
        <w:rPr>
          <w:rFonts w:ascii="Arial" w:hAnsi="Arial" w:cs="Arial"/>
          <w:sz w:val="20"/>
          <w:szCs w:val="20"/>
        </w:rPr>
        <w:t xml:space="preserve">(1), 175. </w:t>
      </w:r>
      <w:hyperlink r:id="rId37" w:tgtFrame="C:\Users\Dell\AppData\Local\Temp\_new" w:history="1">
        <w:r>
          <w:rPr>
            <w:rStyle w:val="Hyperlink"/>
            <w:rFonts w:ascii="Arial" w:hAnsi="Arial" w:cs="Arial"/>
            <w:color w:val="auto"/>
            <w:sz w:val="20"/>
            <w:szCs w:val="20"/>
          </w:rPr>
          <w:t>https://doi.org/10.15575/25635</w:t>
        </w:r>
      </w:hyperlink>
    </w:p>
    <w:p w14:paraId="0B40CCA2"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Chukwuma, O. C., Tan, S. P., Hughes, H., McLoughlin, P., O’Toole, N., &amp; McCarthy, N. (2024). </w:t>
      </w:r>
      <w:r>
        <w:rPr>
          <w:rStyle w:val="Emphasis"/>
          <w:rFonts w:ascii="Arial" w:hAnsi="Arial" w:cs="Arial"/>
          <w:sz w:val="20"/>
          <w:szCs w:val="20"/>
        </w:rPr>
        <w:t>The potential of seaweeds as a rich natural source for novel bioherbicide formulation and development</w:t>
      </w:r>
      <w:r>
        <w:rPr>
          <w:rFonts w:ascii="Arial" w:hAnsi="Arial" w:cs="Arial"/>
          <w:sz w:val="20"/>
          <w:szCs w:val="20"/>
        </w:rPr>
        <w:t xml:space="preserve">. </w:t>
      </w:r>
      <w:r>
        <w:rPr>
          <w:rStyle w:val="Strong"/>
          <w:rFonts w:ascii="Arial" w:hAnsi="Arial" w:cs="Arial"/>
          <w:b w:val="0"/>
          <w:bCs w:val="0"/>
          <w:sz w:val="20"/>
          <w:szCs w:val="20"/>
        </w:rPr>
        <w:t>Weed Science, 72</w:t>
      </w:r>
      <w:r>
        <w:rPr>
          <w:rFonts w:ascii="Arial" w:hAnsi="Arial" w:cs="Arial"/>
          <w:sz w:val="20"/>
          <w:szCs w:val="20"/>
        </w:rPr>
        <w:t xml:space="preserve">(3), 216–226. </w:t>
      </w:r>
      <w:hyperlink r:id="rId38" w:tgtFrame="C:\Users\Dell\AppData\Local\Temp\_new" w:history="1">
        <w:r>
          <w:rPr>
            <w:rStyle w:val="Hyperlink"/>
            <w:rFonts w:ascii="Arial" w:hAnsi="Arial" w:cs="Arial"/>
            <w:color w:val="auto"/>
            <w:sz w:val="20"/>
            <w:szCs w:val="20"/>
          </w:rPr>
          <w:t>https://doi.org/10.1017/wsc.2024.1</w:t>
        </w:r>
      </w:hyperlink>
    </w:p>
    <w:p w14:paraId="4FF70804"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Cruz-Ortiz, L., &amp; Flores-Méndez, M. (2021). </w:t>
      </w:r>
      <w:r>
        <w:rPr>
          <w:rStyle w:val="Emphasis"/>
          <w:rFonts w:ascii="Arial" w:hAnsi="Arial" w:cs="Arial"/>
          <w:sz w:val="20"/>
          <w:szCs w:val="20"/>
        </w:rPr>
        <w:t>Advances in the development of new biological herbicides from phytotoxic plant extracts applied in vitro</w:t>
      </w:r>
      <w:r>
        <w:rPr>
          <w:rFonts w:ascii="Arial" w:hAnsi="Arial" w:cs="Arial"/>
          <w:sz w:val="20"/>
          <w:szCs w:val="20"/>
        </w:rPr>
        <w:t xml:space="preserve">. </w:t>
      </w:r>
      <w:proofErr w:type="spellStart"/>
      <w:r>
        <w:rPr>
          <w:rStyle w:val="Strong"/>
          <w:rFonts w:ascii="Arial" w:hAnsi="Arial" w:cs="Arial"/>
          <w:b w:val="0"/>
          <w:bCs w:val="0"/>
          <w:sz w:val="20"/>
          <w:szCs w:val="20"/>
        </w:rPr>
        <w:t>Informador</w:t>
      </w:r>
      <w:proofErr w:type="spellEnd"/>
      <w:r>
        <w:rPr>
          <w:rStyle w:val="Strong"/>
          <w:rFonts w:ascii="Arial" w:hAnsi="Arial" w:cs="Arial"/>
          <w:b w:val="0"/>
          <w:bCs w:val="0"/>
          <w:sz w:val="20"/>
          <w:szCs w:val="20"/>
        </w:rPr>
        <w:t xml:space="preserve"> Técnico, 86</w:t>
      </w:r>
      <w:r>
        <w:rPr>
          <w:rFonts w:ascii="Arial" w:hAnsi="Arial" w:cs="Arial"/>
          <w:sz w:val="20"/>
          <w:szCs w:val="20"/>
        </w:rPr>
        <w:t xml:space="preserve">(1). </w:t>
      </w:r>
      <w:hyperlink r:id="rId39" w:tgtFrame="C:\Users\Dell\AppData\Local\Temp\_new" w:history="1">
        <w:r>
          <w:rPr>
            <w:rStyle w:val="Hyperlink"/>
            <w:rFonts w:ascii="Arial" w:hAnsi="Arial" w:cs="Arial"/>
            <w:color w:val="auto"/>
            <w:sz w:val="20"/>
            <w:szCs w:val="20"/>
          </w:rPr>
          <w:t>https://doi.org/10.23850/22565035.3648</w:t>
        </w:r>
      </w:hyperlink>
    </w:p>
    <w:p w14:paraId="52FB5EE3"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Dalengkade</w:t>
      </w:r>
      <w:proofErr w:type="spellEnd"/>
      <w:r>
        <w:rPr>
          <w:rFonts w:ascii="Arial" w:hAnsi="Arial" w:cs="Arial"/>
          <w:sz w:val="20"/>
          <w:szCs w:val="20"/>
        </w:rPr>
        <w:t xml:space="preserve">, M. N., Silvia, R., Wangka, N. M., Meti, Y., Budiharto, K., &amp; </w:t>
      </w:r>
      <w:proofErr w:type="spellStart"/>
      <w:r>
        <w:rPr>
          <w:rFonts w:ascii="Arial" w:hAnsi="Arial" w:cs="Arial"/>
          <w:sz w:val="20"/>
          <w:szCs w:val="20"/>
        </w:rPr>
        <w:t>Pujiastuti</w:t>
      </w:r>
      <w:proofErr w:type="spellEnd"/>
      <w:r>
        <w:rPr>
          <w:rFonts w:ascii="Arial" w:hAnsi="Arial" w:cs="Arial"/>
          <w:sz w:val="20"/>
          <w:szCs w:val="20"/>
        </w:rPr>
        <w:t xml:space="preserve">, D. R. (2025). </w:t>
      </w:r>
      <w:r>
        <w:rPr>
          <w:rStyle w:val="Emphasis"/>
          <w:rFonts w:ascii="Arial" w:hAnsi="Arial" w:cs="Arial"/>
          <w:sz w:val="20"/>
          <w:szCs w:val="20"/>
        </w:rPr>
        <w:t>Empowerment of Sail Village communities as part of PT Antam’s buffer zone through pineapple wine product development</w:t>
      </w:r>
      <w:r>
        <w:rPr>
          <w:rFonts w:ascii="Arial" w:hAnsi="Arial" w:cs="Arial"/>
          <w:sz w:val="20"/>
          <w:szCs w:val="20"/>
        </w:rPr>
        <w:t xml:space="preserve">. </w:t>
      </w:r>
      <w:r>
        <w:rPr>
          <w:rStyle w:val="Strong"/>
          <w:rFonts w:ascii="Arial" w:hAnsi="Arial" w:cs="Arial"/>
          <w:b w:val="0"/>
          <w:bCs w:val="0"/>
          <w:sz w:val="20"/>
          <w:szCs w:val="20"/>
        </w:rPr>
        <w:t>Community: Journal of Community Service, 5</w:t>
      </w:r>
      <w:r>
        <w:rPr>
          <w:rFonts w:ascii="Arial" w:hAnsi="Arial" w:cs="Arial"/>
          <w:sz w:val="20"/>
          <w:szCs w:val="20"/>
        </w:rPr>
        <w:t xml:space="preserve">(2), 428. </w:t>
      </w:r>
      <w:hyperlink r:id="rId40" w:tgtFrame="C:\Users\Dell\AppData\Local\Temp\_new" w:history="1">
        <w:r>
          <w:rPr>
            <w:rStyle w:val="Hyperlink"/>
            <w:rFonts w:ascii="Arial" w:hAnsi="Arial" w:cs="Arial"/>
            <w:color w:val="auto"/>
            <w:sz w:val="20"/>
            <w:szCs w:val="20"/>
          </w:rPr>
          <w:t>https://doi.org/10.51878/community.v5i2.7004</w:t>
        </w:r>
      </w:hyperlink>
    </w:p>
    <w:p w14:paraId="107417B7"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Dewi, E. S. C. K. H. C. I. F. K., &amp; </w:t>
      </w:r>
      <w:proofErr w:type="spellStart"/>
      <w:r>
        <w:rPr>
          <w:rFonts w:ascii="Arial" w:hAnsi="Arial" w:cs="Arial"/>
          <w:sz w:val="20"/>
          <w:szCs w:val="20"/>
        </w:rPr>
        <w:t>Iswendi</w:t>
      </w:r>
      <w:proofErr w:type="spellEnd"/>
      <w:r>
        <w:rPr>
          <w:rFonts w:ascii="Arial" w:hAnsi="Arial" w:cs="Arial"/>
          <w:sz w:val="20"/>
          <w:szCs w:val="20"/>
        </w:rPr>
        <w:t xml:space="preserve">, I. (2025). </w:t>
      </w:r>
      <w:r>
        <w:rPr>
          <w:rStyle w:val="Emphasis"/>
          <w:rFonts w:ascii="Arial" w:hAnsi="Arial" w:cs="Arial"/>
          <w:sz w:val="20"/>
          <w:szCs w:val="20"/>
        </w:rPr>
        <w:t>Development of a GDL-based ethnoscience module on reaction rate topics for Grade XI senior high school</w:t>
      </w:r>
      <w:r>
        <w:rPr>
          <w:rFonts w:ascii="Arial" w:hAnsi="Arial" w:cs="Arial"/>
          <w:sz w:val="20"/>
          <w:szCs w:val="20"/>
        </w:rPr>
        <w:t xml:space="preserve">. </w:t>
      </w:r>
      <w:r>
        <w:rPr>
          <w:rStyle w:val="Strong"/>
          <w:rFonts w:ascii="Arial" w:hAnsi="Arial" w:cs="Arial"/>
          <w:b w:val="0"/>
          <w:bCs w:val="0"/>
          <w:sz w:val="20"/>
          <w:szCs w:val="20"/>
        </w:rPr>
        <w:t>SCIENCE: Journal of Innovation in Mathematics and Science Education, 5</w:t>
      </w:r>
      <w:r>
        <w:rPr>
          <w:rFonts w:ascii="Arial" w:hAnsi="Arial" w:cs="Arial"/>
          <w:sz w:val="20"/>
          <w:szCs w:val="20"/>
        </w:rPr>
        <w:t xml:space="preserve">(4), 1968. </w:t>
      </w:r>
      <w:hyperlink r:id="rId41" w:tgtFrame="C:\Users\Dell\AppData\Local\Temp\_new" w:history="1">
        <w:r>
          <w:rPr>
            <w:rStyle w:val="Hyperlink"/>
            <w:rFonts w:ascii="Arial" w:hAnsi="Arial" w:cs="Arial"/>
            <w:color w:val="auto"/>
            <w:sz w:val="20"/>
            <w:szCs w:val="20"/>
          </w:rPr>
          <w:t>https://doi.org/10.51878/science.v5i4.7831</w:t>
        </w:r>
      </w:hyperlink>
    </w:p>
    <w:p w14:paraId="50BE7483"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Dewi, R. N. H., Widodo, R. C., </w:t>
      </w:r>
      <w:proofErr w:type="spellStart"/>
      <w:r>
        <w:rPr>
          <w:rFonts w:ascii="Arial" w:hAnsi="Arial" w:cs="Arial"/>
          <w:sz w:val="20"/>
          <w:szCs w:val="20"/>
        </w:rPr>
        <w:t>Miharjo</w:t>
      </w:r>
      <w:proofErr w:type="spellEnd"/>
      <w:r>
        <w:rPr>
          <w:rFonts w:ascii="Arial" w:hAnsi="Arial" w:cs="Arial"/>
          <w:sz w:val="20"/>
          <w:szCs w:val="20"/>
        </w:rPr>
        <w:t xml:space="preserve">, E. S. R., </w:t>
      </w:r>
      <w:proofErr w:type="spellStart"/>
      <w:r>
        <w:rPr>
          <w:rFonts w:ascii="Arial" w:hAnsi="Arial" w:cs="Arial"/>
          <w:sz w:val="20"/>
          <w:szCs w:val="20"/>
        </w:rPr>
        <w:t>Suroyya</w:t>
      </w:r>
      <w:proofErr w:type="spellEnd"/>
      <w:r>
        <w:rPr>
          <w:rFonts w:ascii="Arial" w:hAnsi="Arial" w:cs="Arial"/>
          <w:sz w:val="20"/>
          <w:szCs w:val="20"/>
        </w:rPr>
        <w:t xml:space="preserve">, S. H., Ariyani, A. M., Ulfatunni’mah, D., </w:t>
      </w:r>
      <w:proofErr w:type="spellStart"/>
      <w:r>
        <w:rPr>
          <w:rFonts w:ascii="Arial" w:hAnsi="Arial" w:cs="Arial"/>
          <w:sz w:val="20"/>
          <w:szCs w:val="20"/>
        </w:rPr>
        <w:t>Saputri</w:t>
      </w:r>
      <w:proofErr w:type="spellEnd"/>
      <w:r>
        <w:rPr>
          <w:rFonts w:ascii="Arial" w:hAnsi="Arial" w:cs="Arial"/>
          <w:sz w:val="20"/>
          <w:szCs w:val="20"/>
        </w:rPr>
        <w:t xml:space="preserve">, A., </w:t>
      </w:r>
      <w:proofErr w:type="spellStart"/>
      <w:r>
        <w:rPr>
          <w:rFonts w:ascii="Arial" w:hAnsi="Arial" w:cs="Arial"/>
          <w:sz w:val="20"/>
          <w:szCs w:val="20"/>
        </w:rPr>
        <w:t>Azuhro</w:t>
      </w:r>
      <w:proofErr w:type="spellEnd"/>
      <w:r>
        <w:rPr>
          <w:rFonts w:ascii="Arial" w:hAnsi="Arial" w:cs="Arial"/>
          <w:sz w:val="20"/>
          <w:szCs w:val="20"/>
        </w:rPr>
        <w:t xml:space="preserve">, V., </w:t>
      </w:r>
      <w:proofErr w:type="spellStart"/>
      <w:r>
        <w:rPr>
          <w:rFonts w:ascii="Arial" w:hAnsi="Arial" w:cs="Arial"/>
          <w:sz w:val="20"/>
          <w:szCs w:val="20"/>
        </w:rPr>
        <w:t>Yuzaefa</w:t>
      </w:r>
      <w:proofErr w:type="spellEnd"/>
      <w:r>
        <w:rPr>
          <w:rFonts w:ascii="Arial" w:hAnsi="Arial" w:cs="Arial"/>
          <w:sz w:val="20"/>
          <w:szCs w:val="20"/>
        </w:rPr>
        <w:t xml:space="preserve">, A. D., Rahmawati, N. A., Abadi, M. F., </w:t>
      </w:r>
      <w:proofErr w:type="spellStart"/>
      <w:r>
        <w:rPr>
          <w:rFonts w:ascii="Arial" w:hAnsi="Arial" w:cs="Arial"/>
          <w:sz w:val="20"/>
          <w:szCs w:val="20"/>
        </w:rPr>
        <w:t>Muwafiqillah</w:t>
      </w:r>
      <w:proofErr w:type="spellEnd"/>
      <w:r>
        <w:rPr>
          <w:rFonts w:ascii="Arial" w:hAnsi="Arial" w:cs="Arial"/>
          <w:sz w:val="20"/>
          <w:szCs w:val="20"/>
        </w:rPr>
        <w:t xml:space="preserve">, M. F., </w:t>
      </w:r>
      <w:proofErr w:type="spellStart"/>
      <w:r>
        <w:rPr>
          <w:rFonts w:ascii="Arial" w:hAnsi="Arial" w:cs="Arial"/>
          <w:sz w:val="20"/>
          <w:szCs w:val="20"/>
        </w:rPr>
        <w:t>Insriastuti</w:t>
      </w:r>
      <w:proofErr w:type="spellEnd"/>
      <w:r>
        <w:rPr>
          <w:rFonts w:ascii="Arial" w:hAnsi="Arial" w:cs="Arial"/>
          <w:sz w:val="20"/>
          <w:szCs w:val="20"/>
        </w:rPr>
        <w:t xml:space="preserve">, C. A., </w:t>
      </w:r>
      <w:proofErr w:type="spellStart"/>
      <w:r>
        <w:rPr>
          <w:rFonts w:ascii="Arial" w:hAnsi="Arial" w:cs="Arial"/>
          <w:sz w:val="20"/>
          <w:szCs w:val="20"/>
        </w:rPr>
        <w:t>Mutohhar</w:t>
      </w:r>
      <w:proofErr w:type="spellEnd"/>
      <w:r>
        <w:rPr>
          <w:rFonts w:ascii="Arial" w:hAnsi="Arial" w:cs="Arial"/>
          <w:sz w:val="20"/>
          <w:szCs w:val="20"/>
        </w:rPr>
        <w:t xml:space="preserve">, A., Nagari, F. B., &amp; </w:t>
      </w:r>
      <w:proofErr w:type="spellStart"/>
      <w:r>
        <w:rPr>
          <w:rFonts w:ascii="Arial" w:hAnsi="Arial" w:cs="Arial"/>
          <w:sz w:val="20"/>
          <w:szCs w:val="20"/>
        </w:rPr>
        <w:t>Nursyahidah</w:t>
      </w:r>
      <w:proofErr w:type="spellEnd"/>
      <w:r>
        <w:rPr>
          <w:rFonts w:ascii="Arial" w:hAnsi="Arial" w:cs="Arial"/>
          <w:sz w:val="20"/>
          <w:szCs w:val="20"/>
        </w:rPr>
        <w:t xml:space="preserve">, F. (2023). </w:t>
      </w:r>
      <w:r>
        <w:rPr>
          <w:rStyle w:val="Emphasis"/>
          <w:rFonts w:ascii="Arial" w:hAnsi="Arial" w:cs="Arial"/>
          <w:sz w:val="20"/>
          <w:szCs w:val="20"/>
        </w:rPr>
        <w:t xml:space="preserve">Training on integrated farming systems in </w:t>
      </w:r>
      <w:proofErr w:type="spellStart"/>
      <w:r>
        <w:rPr>
          <w:rStyle w:val="Emphasis"/>
          <w:rFonts w:ascii="Arial" w:hAnsi="Arial" w:cs="Arial"/>
          <w:sz w:val="20"/>
          <w:szCs w:val="20"/>
        </w:rPr>
        <w:t>Sumberahayu</w:t>
      </w:r>
      <w:proofErr w:type="spellEnd"/>
      <w:r>
        <w:rPr>
          <w:rStyle w:val="Emphasis"/>
          <w:rFonts w:ascii="Arial" w:hAnsi="Arial" w:cs="Arial"/>
          <w:sz w:val="20"/>
          <w:szCs w:val="20"/>
        </w:rPr>
        <w:t xml:space="preserve"> Village through a student organization </w:t>
      </w:r>
      <w:r>
        <w:rPr>
          <w:rStyle w:val="Emphasis"/>
          <w:rFonts w:ascii="Arial" w:hAnsi="Arial" w:cs="Arial"/>
          <w:sz w:val="20"/>
          <w:szCs w:val="20"/>
        </w:rPr>
        <w:lastRenderedPageBreak/>
        <w:t>capacity-building program</w:t>
      </w:r>
      <w:r>
        <w:rPr>
          <w:rFonts w:ascii="Arial" w:hAnsi="Arial" w:cs="Arial"/>
          <w:sz w:val="20"/>
          <w:szCs w:val="20"/>
        </w:rPr>
        <w:t xml:space="preserve">. </w:t>
      </w:r>
      <w:r>
        <w:rPr>
          <w:rStyle w:val="Strong"/>
          <w:rFonts w:ascii="Arial" w:hAnsi="Arial" w:cs="Arial"/>
          <w:b w:val="0"/>
          <w:bCs w:val="0"/>
          <w:sz w:val="20"/>
          <w:szCs w:val="20"/>
        </w:rPr>
        <w:t>E-Dimas: Journal of Community Service, 14</w:t>
      </w:r>
      <w:r>
        <w:rPr>
          <w:rFonts w:ascii="Arial" w:hAnsi="Arial" w:cs="Arial"/>
          <w:sz w:val="20"/>
          <w:szCs w:val="20"/>
        </w:rPr>
        <w:t xml:space="preserve">(3), 636. </w:t>
      </w:r>
      <w:hyperlink r:id="rId42" w:tgtFrame="C:\Users\Dell\AppData\Local\Temp\_new" w:history="1">
        <w:r>
          <w:rPr>
            <w:rStyle w:val="Hyperlink"/>
            <w:rFonts w:ascii="Arial" w:hAnsi="Arial" w:cs="Arial"/>
            <w:color w:val="auto"/>
            <w:sz w:val="20"/>
            <w:szCs w:val="20"/>
          </w:rPr>
          <w:t>https://doi.org/10.26877/e-dimas.v14i3.16717</w:t>
        </w:r>
      </w:hyperlink>
    </w:p>
    <w:p w14:paraId="3588A5CC"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Elos</w:t>
      </w:r>
      <w:proofErr w:type="spellEnd"/>
      <w:r>
        <w:rPr>
          <w:rFonts w:ascii="Arial" w:hAnsi="Arial" w:cs="Arial"/>
          <w:sz w:val="20"/>
          <w:szCs w:val="20"/>
        </w:rPr>
        <w:t xml:space="preserve">, M. M., Campa-Perez, M. C., Ramírez-Pimentel, J. G., García-Rodríguez, J. G., Cervantes-Ortíz, F., &amp; Rodríguez-Mercado, D. (2023). </w:t>
      </w:r>
      <w:r>
        <w:rPr>
          <w:rStyle w:val="Emphasis"/>
          <w:rFonts w:ascii="Arial" w:hAnsi="Arial" w:cs="Arial"/>
          <w:sz w:val="20"/>
          <w:szCs w:val="20"/>
        </w:rPr>
        <w:t>Allelopathic activity of alfalfa root exudates on</w:t>
      </w:r>
      <w:r>
        <w:rPr>
          <w:rFonts w:ascii="Arial" w:hAnsi="Arial" w:cs="Arial"/>
          <w:sz w:val="20"/>
          <w:szCs w:val="20"/>
        </w:rPr>
        <w:t xml:space="preserve"> </w:t>
      </w:r>
      <w:r>
        <w:rPr>
          <w:rStyle w:val="Emphasis"/>
          <w:rFonts w:ascii="Arial" w:hAnsi="Arial" w:cs="Arial"/>
          <w:sz w:val="20"/>
          <w:szCs w:val="20"/>
        </w:rPr>
        <w:t>Arabidopsis thaliana</w:t>
      </w:r>
      <w:r>
        <w:rPr>
          <w:rFonts w:ascii="Arial" w:hAnsi="Arial" w:cs="Arial"/>
          <w:sz w:val="20"/>
          <w:szCs w:val="20"/>
        </w:rPr>
        <w:t xml:space="preserve">. </w:t>
      </w:r>
      <w:proofErr w:type="spellStart"/>
      <w:r>
        <w:rPr>
          <w:rStyle w:val="Strong"/>
          <w:rFonts w:ascii="Arial" w:hAnsi="Arial" w:cs="Arial"/>
          <w:b w:val="0"/>
          <w:bCs w:val="0"/>
          <w:sz w:val="20"/>
          <w:szCs w:val="20"/>
        </w:rPr>
        <w:t>Revista</w:t>
      </w:r>
      <w:proofErr w:type="spellEnd"/>
      <w:r>
        <w:rPr>
          <w:rStyle w:val="Strong"/>
          <w:rFonts w:ascii="Arial" w:hAnsi="Arial" w:cs="Arial"/>
          <w:b w:val="0"/>
          <w:bCs w:val="0"/>
          <w:sz w:val="20"/>
          <w:szCs w:val="20"/>
        </w:rPr>
        <w:t xml:space="preserve"> Mexicana de </w:t>
      </w:r>
      <w:proofErr w:type="spellStart"/>
      <w:r>
        <w:rPr>
          <w:rStyle w:val="Strong"/>
          <w:rFonts w:ascii="Arial" w:hAnsi="Arial" w:cs="Arial"/>
          <w:b w:val="0"/>
          <w:bCs w:val="0"/>
          <w:sz w:val="20"/>
          <w:szCs w:val="20"/>
        </w:rPr>
        <w:t>Ciencias</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Agrícolas</w:t>
      </w:r>
      <w:proofErr w:type="spellEnd"/>
      <w:r>
        <w:rPr>
          <w:rStyle w:val="Strong"/>
          <w:rFonts w:ascii="Arial" w:hAnsi="Arial" w:cs="Arial"/>
          <w:b w:val="0"/>
          <w:bCs w:val="0"/>
          <w:sz w:val="20"/>
          <w:szCs w:val="20"/>
        </w:rPr>
        <w:t>, 14</w:t>
      </w:r>
      <w:r>
        <w:rPr>
          <w:rFonts w:ascii="Arial" w:hAnsi="Arial" w:cs="Arial"/>
          <w:sz w:val="20"/>
          <w:szCs w:val="20"/>
        </w:rPr>
        <w:t xml:space="preserve">(5). </w:t>
      </w:r>
      <w:hyperlink r:id="rId43" w:tgtFrame="C:\Users\Dell\AppData\Local\Temp\_new" w:history="1">
        <w:r>
          <w:rPr>
            <w:rStyle w:val="Hyperlink"/>
            <w:rFonts w:ascii="Arial" w:hAnsi="Arial" w:cs="Arial"/>
            <w:color w:val="auto"/>
            <w:sz w:val="20"/>
            <w:szCs w:val="20"/>
          </w:rPr>
          <w:t>https://doi.org/10.29312/remexca.v14i5.3090</w:t>
        </w:r>
      </w:hyperlink>
    </w:p>
    <w:p w14:paraId="564D65A4"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Febiola</w:t>
      </w:r>
      <w:proofErr w:type="spellEnd"/>
      <w:r>
        <w:rPr>
          <w:rFonts w:ascii="Arial" w:hAnsi="Arial" w:cs="Arial"/>
          <w:sz w:val="20"/>
          <w:szCs w:val="20"/>
        </w:rPr>
        <w:t xml:space="preserve">, C. H., &amp; Azhar, M. (2025). </w:t>
      </w:r>
      <w:r>
        <w:rPr>
          <w:rStyle w:val="Emphasis"/>
          <w:rFonts w:ascii="Arial" w:hAnsi="Arial" w:cs="Arial"/>
          <w:sz w:val="20"/>
          <w:szCs w:val="20"/>
        </w:rPr>
        <w:t xml:space="preserve">Validity and practicality of interactive e-LKPD assisted by Canva AI and </w:t>
      </w:r>
      <w:proofErr w:type="spellStart"/>
      <w:r>
        <w:rPr>
          <w:rStyle w:val="Emphasis"/>
          <w:rFonts w:ascii="Arial" w:hAnsi="Arial" w:cs="Arial"/>
          <w:sz w:val="20"/>
          <w:szCs w:val="20"/>
        </w:rPr>
        <w:t>Liveworksheet</w:t>
      </w:r>
      <w:proofErr w:type="spellEnd"/>
      <w:r>
        <w:rPr>
          <w:rStyle w:val="Emphasis"/>
          <w:rFonts w:ascii="Arial" w:hAnsi="Arial" w:cs="Arial"/>
          <w:sz w:val="20"/>
          <w:szCs w:val="20"/>
        </w:rPr>
        <w:t xml:space="preserve"> based on structured inquiry for mole concept learning in senior high school</w:t>
      </w:r>
      <w:r>
        <w:rPr>
          <w:rFonts w:ascii="Arial" w:hAnsi="Arial" w:cs="Arial"/>
          <w:sz w:val="20"/>
          <w:szCs w:val="20"/>
        </w:rPr>
        <w:t xml:space="preserve">. </w:t>
      </w:r>
      <w:r>
        <w:rPr>
          <w:rStyle w:val="Strong"/>
          <w:rFonts w:ascii="Arial" w:hAnsi="Arial" w:cs="Arial"/>
          <w:b w:val="0"/>
          <w:bCs w:val="0"/>
          <w:sz w:val="20"/>
          <w:szCs w:val="20"/>
        </w:rPr>
        <w:t>[Journal name not specified]</w:t>
      </w:r>
      <w:r>
        <w:rPr>
          <w:rFonts w:ascii="Arial" w:hAnsi="Arial" w:cs="Arial"/>
          <w:sz w:val="20"/>
          <w:szCs w:val="20"/>
        </w:rPr>
        <w:t>.</w:t>
      </w:r>
    </w:p>
    <w:p w14:paraId="724118F2"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Findayani</w:t>
      </w:r>
      <w:proofErr w:type="spellEnd"/>
      <w:r>
        <w:rPr>
          <w:rFonts w:ascii="Arial" w:hAnsi="Arial" w:cs="Arial"/>
          <w:sz w:val="20"/>
          <w:szCs w:val="20"/>
        </w:rPr>
        <w:t xml:space="preserve">, A., </w:t>
      </w:r>
      <w:proofErr w:type="spellStart"/>
      <w:r>
        <w:rPr>
          <w:rFonts w:ascii="Arial" w:hAnsi="Arial" w:cs="Arial"/>
          <w:sz w:val="20"/>
          <w:szCs w:val="20"/>
        </w:rPr>
        <w:t>Ta’ani</w:t>
      </w:r>
      <w:proofErr w:type="spellEnd"/>
      <w:r>
        <w:rPr>
          <w:rFonts w:ascii="Arial" w:hAnsi="Arial" w:cs="Arial"/>
          <w:sz w:val="20"/>
          <w:szCs w:val="20"/>
        </w:rPr>
        <w:t xml:space="preserve">, M. Q. A., Anindra, T. A. G., Alwi, M. S., &amp; Amrullah, M. F. (2024). </w:t>
      </w:r>
      <w:r>
        <w:rPr>
          <w:rStyle w:val="Emphasis"/>
          <w:rFonts w:ascii="Arial" w:hAnsi="Arial" w:cs="Arial"/>
          <w:sz w:val="20"/>
          <w:szCs w:val="20"/>
        </w:rPr>
        <w:t xml:space="preserve">Identification of nature-based solutions for conserving degraded land caused by potato farming in the </w:t>
      </w:r>
      <w:proofErr w:type="spellStart"/>
      <w:r>
        <w:rPr>
          <w:rStyle w:val="Emphasis"/>
          <w:rFonts w:ascii="Arial" w:hAnsi="Arial" w:cs="Arial"/>
          <w:sz w:val="20"/>
          <w:szCs w:val="20"/>
        </w:rPr>
        <w:t>Dieng</w:t>
      </w:r>
      <w:proofErr w:type="spellEnd"/>
      <w:r>
        <w:rPr>
          <w:rStyle w:val="Emphasis"/>
          <w:rFonts w:ascii="Arial" w:hAnsi="Arial" w:cs="Arial"/>
          <w:sz w:val="20"/>
          <w:szCs w:val="20"/>
        </w:rPr>
        <w:t xml:space="preserve"> Highlands, </w:t>
      </w:r>
      <w:proofErr w:type="spellStart"/>
      <w:r>
        <w:rPr>
          <w:rStyle w:val="Emphasis"/>
          <w:rFonts w:ascii="Arial" w:hAnsi="Arial" w:cs="Arial"/>
          <w:sz w:val="20"/>
          <w:szCs w:val="20"/>
        </w:rPr>
        <w:t>Wonosobo</w:t>
      </w:r>
      <w:proofErr w:type="spellEnd"/>
      <w:r>
        <w:rPr>
          <w:rStyle w:val="Emphasis"/>
          <w:rFonts w:ascii="Arial" w:hAnsi="Arial" w:cs="Arial"/>
          <w:sz w:val="20"/>
          <w:szCs w:val="20"/>
        </w:rPr>
        <w:t xml:space="preserve"> Regency</w:t>
      </w:r>
      <w:r>
        <w:rPr>
          <w:rFonts w:ascii="Arial" w:hAnsi="Arial" w:cs="Arial"/>
          <w:sz w:val="20"/>
          <w:szCs w:val="20"/>
        </w:rPr>
        <w:t xml:space="preserve">. </w:t>
      </w:r>
      <w:r>
        <w:rPr>
          <w:rStyle w:val="Strong"/>
          <w:rFonts w:ascii="Arial" w:hAnsi="Arial" w:cs="Arial"/>
          <w:b w:val="0"/>
          <w:bCs w:val="0"/>
          <w:sz w:val="20"/>
          <w:szCs w:val="20"/>
        </w:rPr>
        <w:t>Indonesian Journal of Conservation, 13</w:t>
      </w:r>
      <w:r>
        <w:rPr>
          <w:rFonts w:ascii="Arial" w:hAnsi="Arial" w:cs="Arial"/>
          <w:sz w:val="20"/>
          <w:szCs w:val="20"/>
        </w:rPr>
        <w:t xml:space="preserve">(1), 26. </w:t>
      </w:r>
      <w:hyperlink r:id="rId44" w:tgtFrame="C:\Users\Dell\AppData\Local\Temp\_new" w:history="1">
        <w:r>
          <w:rPr>
            <w:rStyle w:val="Hyperlink"/>
            <w:rFonts w:ascii="Arial" w:hAnsi="Arial" w:cs="Arial"/>
            <w:color w:val="auto"/>
            <w:sz w:val="20"/>
            <w:szCs w:val="20"/>
          </w:rPr>
          <w:t>https://doi.org/10.15294/ijc.v13i1.6957</w:t>
        </w:r>
      </w:hyperlink>
    </w:p>
    <w:p w14:paraId="4666E9FC"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Flieller, G. (2022). </w:t>
      </w:r>
      <w:r>
        <w:rPr>
          <w:rStyle w:val="Emphasis"/>
          <w:rFonts w:ascii="Arial" w:hAnsi="Arial" w:cs="Arial"/>
          <w:sz w:val="20"/>
          <w:szCs w:val="20"/>
        </w:rPr>
        <w:t>Innovative characterization methods for the study of molecules with allelopathic potential</w:t>
      </w:r>
      <w:r>
        <w:rPr>
          <w:rFonts w:ascii="Arial" w:hAnsi="Arial" w:cs="Arial"/>
          <w:sz w:val="20"/>
          <w:szCs w:val="20"/>
        </w:rPr>
        <w:t xml:space="preserve"> (Doctoral dissertation). </w:t>
      </w:r>
      <w:r>
        <w:rPr>
          <w:rStyle w:val="Strong"/>
          <w:rFonts w:ascii="Arial" w:hAnsi="Arial" w:cs="Arial"/>
          <w:b w:val="0"/>
          <w:bCs w:val="0"/>
          <w:sz w:val="20"/>
          <w:szCs w:val="20"/>
        </w:rPr>
        <w:t xml:space="preserve">HAL (Le Centre pour la Communication </w:t>
      </w:r>
      <w:proofErr w:type="spellStart"/>
      <w:r>
        <w:rPr>
          <w:rStyle w:val="Strong"/>
          <w:rFonts w:ascii="Arial" w:hAnsi="Arial" w:cs="Arial"/>
          <w:b w:val="0"/>
          <w:bCs w:val="0"/>
          <w:sz w:val="20"/>
          <w:szCs w:val="20"/>
        </w:rPr>
        <w:t>Scientifique</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Directe</w:t>
      </w:r>
      <w:proofErr w:type="spellEnd"/>
      <w:r>
        <w:rPr>
          <w:rStyle w:val="Strong"/>
          <w:rFonts w:ascii="Arial" w:hAnsi="Arial" w:cs="Arial"/>
          <w:b w:val="0"/>
          <w:bCs w:val="0"/>
          <w:sz w:val="20"/>
          <w:szCs w:val="20"/>
        </w:rPr>
        <w:t>)</w:t>
      </w:r>
      <w:r>
        <w:rPr>
          <w:rFonts w:ascii="Arial" w:hAnsi="Arial" w:cs="Arial"/>
          <w:sz w:val="20"/>
          <w:szCs w:val="20"/>
        </w:rPr>
        <w:t xml:space="preserve">. </w:t>
      </w:r>
      <w:hyperlink r:id="rId45" w:tgtFrame="C:\Users\Dell\AppData\Local\Temp\_new" w:history="1">
        <w:r>
          <w:rPr>
            <w:rStyle w:val="Hyperlink"/>
            <w:rFonts w:ascii="Arial" w:hAnsi="Arial" w:cs="Arial"/>
            <w:color w:val="auto"/>
            <w:sz w:val="20"/>
            <w:szCs w:val="20"/>
          </w:rPr>
          <w:t>https://theses.hal.science/tel-03937412</w:t>
        </w:r>
      </w:hyperlink>
    </w:p>
    <w:p w14:paraId="752B3BF0"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GH, M., Sartika, A. D., </w:t>
      </w:r>
      <w:proofErr w:type="spellStart"/>
      <w:r>
        <w:rPr>
          <w:rFonts w:ascii="Arial" w:hAnsi="Arial" w:cs="Arial"/>
          <w:sz w:val="20"/>
          <w:szCs w:val="20"/>
        </w:rPr>
        <w:t>Musawira</w:t>
      </w:r>
      <w:proofErr w:type="spellEnd"/>
      <w:r>
        <w:rPr>
          <w:rFonts w:ascii="Arial" w:hAnsi="Arial" w:cs="Arial"/>
          <w:sz w:val="20"/>
          <w:szCs w:val="20"/>
        </w:rPr>
        <w:t xml:space="preserve">, M., </w:t>
      </w:r>
      <w:proofErr w:type="spellStart"/>
      <w:r>
        <w:rPr>
          <w:rFonts w:ascii="Arial" w:hAnsi="Arial" w:cs="Arial"/>
          <w:sz w:val="20"/>
          <w:szCs w:val="20"/>
        </w:rPr>
        <w:t>Khalidatunnisa</w:t>
      </w:r>
      <w:proofErr w:type="spellEnd"/>
      <w:r>
        <w:rPr>
          <w:rFonts w:ascii="Arial" w:hAnsi="Arial" w:cs="Arial"/>
          <w:sz w:val="20"/>
          <w:szCs w:val="20"/>
        </w:rPr>
        <w:t xml:space="preserve">, B., &amp; </w:t>
      </w:r>
      <w:proofErr w:type="spellStart"/>
      <w:r>
        <w:rPr>
          <w:rFonts w:ascii="Arial" w:hAnsi="Arial" w:cs="Arial"/>
          <w:sz w:val="20"/>
          <w:szCs w:val="20"/>
        </w:rPr>
        <w:t>Sa’diyah</w:t>
      </w:r>
      <w:proofErr w:type="spellEnd"/>
      <w:r>
        <w:rPr>
          <w:rFonts w:ascii="Arial" w:hAnsi="Arial" w:cs="Arial"/>
          <w:sz w:val="20"/>
          <w:szCs w:val="20"/>
        </w:rPr>
        <w:t xml:space="preserve">, J. (2025). </w:t>
      </w:r>
      <w:r>
        <w:rPr>
          <w:rStyle w:val="Emphasis"/>
          <w:rFonts w:ascii="Arial" w:hAnsi="Arial" w:cs="Arial"/>
          <w:sz w:val="20"/>
          <w:szCs w:val="20"/>
        </w:rPr>
        <w:t>[Article title not specified]</w:t>
      </w:r>
      <w:r>
        <w:rPr>
          <w:rFonts w:ascii="Arial" w:hAnsi="Arial" w:cs="Arial"/>
          <w:sz w:val="20"/>
          <w:szCs w:val="20"/>
        </w:rPr>
        <w:t xml:space="preserve">. </w:t>
      </w:r>
      <w:r>
        <w:rPr>
          <w:rStyle w:val="Strong"/>
          <w:rFonts w:ascii="Arial" w:hAnsi="Arial" w:cs="Arial"/>
          <w:b w:val="0"/>
          <w:bCs w:val="0"/>
          <w:sz w:val="20"/>
          <w:szCs w:val="20"/>
        </w:rPr>
        <w:t>SCIENCE: Journal of Innovation in Mathematics and Science Education, 5</w:t>
      </w:r>
      <w:r>
        <w:rPr>
          <w:rFonts w:ascii="Arial" w:hAnsi="Arial" w:cs="Arial"/>
          <w:sz w:val="20"/>
          <w:szCs w:val="20"/>
        </w:rPr>
        <w:t>(2).</w:t>
      </w:r>
    </w:p>
    <w:p w14:paraId="16A76CC3"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Guntoro</w:t>
      </w:r>
      <w:proofErr w:type="spellEnd"/>
      <w:r>
        <w:rPr>
          <w:rFonts w:ascii="Arial" w:hAnsi="Arial" w:cs="Arial"/>
          <w:sz w:val="20"/>
          <w:szCs w:val="20"/>
        </w:rPr>
        <w:t xml:space="preserve">, D., </w:t>
      </w:r>
      <w:proofErr w:type="spellStart"/>
      <w:r>
        <w:rPr>
          <w:rFonts w:ascii="Arial" w:hAnsi="Arial" w:cs="Arial"/>
          <w:sz w:val="20"/>
          <w:szCs w:val="20"/>
        </w:rPr>
        <w:t>Rokhmaningsih</w:t>
      </w:r>
      <w:proofErr w:type="spellEnd"/>
      <w:r>
        <w:rPr>
          <w:rFonts w:ascii="Arial" w:hAnsi="Arial" w:cs="Arial"/>
          <w:sz w:val="20"/>
          <w:szCs w:val="20"/>
        </w:rPr>
        <w:t xml:space="preserve">, D. W., &amp; </w:t>
      </w:r>
      <w:proofErr w:type="spellStart"/>
      <w:r>
        <w:rPr>
          <w:rFonts w:ascii="Arial" w:hAnsi="Arial" w:cs="Arial"/>
          <w:sz w:val="20"/>
          <w:szCs w:val="20"/>
        </w:rPr>
        <w:t>Nuryana</w:t>
      </w:r>
      <w:proofErr w:type="spellEnd"/>
      <w:r>
        <w:rPr>
          <w:rFonts w:ascii="Arial" w:hAnsi="Arial" w:cs="Arial"/>
          <w:sz w:val="20"/>
          <w:szCs w:val="20"/>
        </w:rPr>
        <w:t xml:space="preserve">, F. I. (2020). </w:t>
      </w:r>
      <w:r>
        <w:rPr>
          <w:rStyle w:val="Emphasis"/>
          <w:rFonts w:ascii="Arial" w:hAnsi="Arial" w:cs="Arial"/>
          <w:sz w:val="20"/>
          <w:szCs w:val="20"/>
        </w:rPr>
        <w:t>Identification of allelochemical compounds from different plant parts of</w:t>
      </w:r>
      <w:r>
        <w:rPr>
          <w:rFonts w:ascii="Arial" w:hAnsi="Arial" w:cs="Arial"/>
          <w:sz w:val="20"/>
          <w:szCs w:val="20"/>
        </w:rPr>
        <w:t xml:space="preserve"> </w:t>
      </w:r>
      <w:proofErr w:type="spellStart"/>
      <w:r>
        <w:rPr>
          <w:rStyle w:val="Emphasis"/>
          <w:rFonts w:ascii="Arial" w:hAnsi="Arial" w:cs="Arial"/>
          <w:sz w:val="20"/>
          <w:szCs w:val="20"/>
        </w:rPr>
        <w:t>Tetracera</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indica</w:t>
      </w:r>
      <w:proofErr w:type="spellEnd"/>
      <w:r>
        <w:rPr>
          <w:rFonts w:ascii="Arial" w:hAnsi="Arial" w:cs="Arial"/>
          <w:sz w:val="20"/>
          <w:szCs w:val="20"/>
        </w:rPr>
        <w:t xml:space="preserve"> (L.) </w:t>
      </w:r>
      <w:proofErr w:type="spellStart"/>
      <w:r>
        <w:rPr>
          <w:rFonts w:ascii="Arial" w:hAnsi="Arial" w:cs="Arial"/>
          <w:sz w:val="20"/>
          <w:szCs w:val="20"/>
        </w:rPr>
        <w:t>Merr</w:t>
      </w:r>
      <w:proofErr w:type="spellEnd"/>
      <w:r>
        <w:rPr>
          <w:rFonts w:ascii="Arial" w:hAnsi="Arial" w:cs="Arial"/>
          <w:sz w:val="20"/>
          <w:szCs w:val="20"/>
        </w:rPr>
        <w:t xml:space="preserve">. </w:t>
      </w:r>
      <w:proofErr w:type="spellStart"/>
      <w:r>
        <w:rPr>
          <w:rStyle w:val="Strong"/>
          <w:rFonts w:ascii="Arial" w:hAnsi="Arial" w:cs="Arial"/>
          <w:b w:val="0"/>
          <w:bCs w:val="0"/>
          <w:sz w:val="20"/>
          <w:szCs w:val="20"/>
        </w:rPr>
        <w:t>Rasayan</w:t>
      </w:r>
      <w:proofErr w:type="spellEnd"/>
      <w:r>
        <w:rPr>
          <w:rStyle w:val="Strong"/>
          <w:rFonts w:ascii="Arial" w:hAnsi="Arial" w:cs="Arial"/>
          <w:b w:val="0"/>
          <w:bCs w:val="0"/>
          <w:sz w:val="20"/>
          <w:szCs w:val="20"/>
        </w:rPr>
        <w:t xml:space="preserve"> Journal of Chemistry, 13</w:t>
      </w:r>
      <w:r>
        <w:rPr>
          <w:rFonts w:ascii="Arial" w:hAnsi="Arial" w:cs="Arial"/>
          <w:sz w:val="20"/>
          <w:szCs w:val="20"/>
        </w:rPr>
        <w:t xml:space="preserve">(4), 2308. </w:t>
      </w:r>
      <w:hyperlink r:id="rId46" w:tgtFrame="C:\Users\Dell\AppData\Local\Temp\_new" w:history="1">
        <w:r>
          <w:rPr>
            <w:rStyle w:val="Hyperlink"/>
            <w:rFonts w:ascii="Arial" w:hAnsi="Arial" w:cs="Arial"/>
            <w:color w:val="auto"/>
            <w:sz w:val="20"/>
            <w:szCs w:val="20"/>
          </w:rPr>
          <w:t>https://doi.org/10.31788/rjc.2020.1345763</w:t>
        </w:r>
      </w:hyperlink>
    </w:p>
    <w:p w14:paraId="30043102"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Harahap</w:t>
      </w:r>
      <w:proofErr w:type="spellEnd"/>
      <w:r>
        <w:rPr>
          <w:rFonts w:ascii="Arial" w:hAnsi="Arial" w:cs="Arial"/>
          <w:sz w:val="20"/>
          <w:szCs w:val="20"/>
        </w:rPr>
        <w:t xml:space="preserve">, A. S., Siregar, N. S., Nasution, F. R. A., </w:t>
      </w:r>
      <w:proofErr w:type="spellStart"/>
      <w:r>
        <w:rPr>
          <w:rFonts w:ascii="Arial" w:hAnsi="Arial" w:cs="Arial"/>
          <w:sz w:val="20"/>
          <w:szCs w:val="20"/>
        </w:rPr>
        <w:t>Yulastri</w:t>
      </w:r>
      <w:proofErr w:type="spellEnd"/>
      <w:r>
        <w:rPr>
          <w:rFonts w:ascii="Arial" w:hAnsi="Arial" w:cs="Arial"/>
          <w:sz w:val="20"/>
          <w:szCs w:val="20"/>
        </w:rPr>
        <w:t xml:space="preserve">, A., </w:t>
      </w:r>
      <w:proofErr w:type="spellStart"/>
      <w:r>
        <w:rPr>
          <w:rFonts w:ascii="Arial" w:hAnsi="Arial" w:cs="Arial"/>
          <w:sz w:val="20"/>
          <w:szCs w:val="20"/>
        </w:rPr>
        <w:t>Ganefri</w:t>
      </w:r>
      <w:proofErr w:type="spellEnd"/>
      <w:r>
        <w:rPr>
          <w:rFonts w:ascii="Arial" w:hAnsi="Arial" w:cs="Arial"/>
          <w:sz w:val="20"/>
          <w:szCs w:val="20"/>
        </w:rPr>
        <w:t xml:space="preserve">, G., &amp; Aditya, Y. (2025). </w:t>
      </w:r>
      <w:r>
        <w:rPr>
          <w:rStyle w:val="Emphasis"/>
          <w:rFonts w:ascii="Arial" w:hAnsi="Arial" w:cs="Arial"/>
          <w:sz w:val="20"/>
          <w:szCs w:val="20"/>
        </w:rPr>
        <w:t xml:space="preserve">A meta-analysis of the effects of the </w:t>
      </w:r>
      <w:proofErr w:type="spellStart"/>
      <w:r>
        <w:rPr>
          <w:rStyle w:val="Emphasis"/>
          <w:rFonts w:ascii="Arial" w:hAnsi="Arial" w:cs="Arial"/>
          <w:sz w:val="20"/>
          <w:szCs w:val="20"/>
        </w:rPr>
        <w:t>edupreneurship</w:t>
      </w:r>
      <w:proofErr w:type="spellEnd"/>
      <w:r>
        <w:rPr>
          <w:rStyle w:val="Emphasis"/>
          <w:rFonts w:ascii="Arial" w:hAnsi="Arial" w:cs="Arial"/>
          <w:sz w:val="20"/>
          <w:szCs w:val="20"/>
        </w:rPr>
        <w:t xml:space="preserve"> approach in vocational and technology education</w:t>
      </w:r>
      <w:r>
        <w:rPr>
          <w:rFonts w:ascii="Arial" w:hAnsi="Arial" w:cs="Arial"/>
          <w:sz w:val="20"/>
          <w:szCs w:val="20"/>
        </w:rPr>
        <w:t xml:space="preserve">. </w:t>
      </w:r>
      <w:r>
        <w:rPr>
          <w:rStyle w:val="Strong"/>
          <w:rFonts w:ascii="Arial" w:hAnsi="Arial" w:cs="Arial"/>
          <w:b w:val="0"/>
          <w:bCs w:val="0"/>
          <w:sz w:val="20"/>
          <w:szCs w:val="20"/>
        </w:rPr>
        <w:t>LEARNING: Journal of Educational Research and Innovation, 5</w:t>
      </w:r>
      <w:r>
        <w:rPr>
          <w:rFonts w:ascii="Arial" w:hAnsi="Arial" w:cs="Arial"/>
          <w:sz w:val="20"/>
          <w:szCs w:val="20"/>
        </w:rPr>
        <w:t xml:space="preserve">(3), 1040. </w:t>
      </w:r>
      <w:hyperlink r:id="rId47" w:tgtFrame="C:\Users\Dell\AppData\Local\Temp\_new" w:history="1">
        <w:r>
          <w:rPr>
            <w:rStyle w:val="Hyperlink"/>
            <w:rFonts w:ascii="Arial" w:hAnsi="Arial" w:cs="Arial"/>
            <w:color w:val="auto"/>
            <w:sz w:val="20"/>
            <w:szCs w:val="20"/>
          </w:rPr>
          <w:t>https://doi.org/10.51878/learning.v5i3.6625</w:t>
        </w:r>
      </w:hyperlink>
    </w:p>
    <w:p w14:paraId="2BD8EE19"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Harding, D. P., &amp; Raizada, M. N. (2015). </w:t>
      </w:r>
      <w:r>
        <w:rPr>
          <w:rStyle w:val="Emphasis"/>
          <w:rFonts w:ascii="Arial" w:hAnsi="Arial" w:cs="Arial"/>
          <w:sz w:val="20"/>
          <w:szCs w:val="20"/>
        </w:rPr>
        <w:t>Controlling weeds with fungi, bacteria, and viruses: A review</w:t>
      </w:r>
      <w:r>
        <w:rPr>
          <w:rFonts w:ascii="Arial" w:hAnsi="Arial" w:cs="Arial"/>
          <w:sz w:val="20"/>
          <w:szCs w:val="20"/>
        </w:rPr>
        <w:t xml:space="preserve">. </w:t>
      </w:r>
      <w:r>
        <w:rPr>
          <w:rStyle w:val="Strong"/>
          <w:rFonts w:ascii="Arial" w:hAnsi="Arial" w:cs="Arial"/>
          <w:b w:val="0"/>
          <w:bCs w:val="0"/>
          <w:sz w:val="20"/>
          <w:szCs w:val="20"/>
        </w:rPr>
        <w:t>Frontiers in Plant Science, 6</w:t>
      </w:r>
      <w:r>
        <w:rPr>
          <w:rFonts w:ascii="Arial" w:hAnsi="Arial" w:cs="Arial"/>
          <w:sz w:val="20"/>
          <w:szCs w:val="20"/>
        </w:rPr>
        <w:t xml:space="preserve">, Article 659. </w:t>
      </w:r>
      <w:hyperlink r:id="rId48" w:tgtFrame="C:\Users\Dell\AppData\Local\Temp\_new" w:history="1">
        <w:r>
          <w:rPr>
            <w:rStyle w:val="Hyperlink"/>
            <w:rFonts w:ascii="Arial" w:hAnsi="Arial" w:cs="Arial"/>
            <w:color w:val="auto"/>
            <w:sz w:val="20"/>
            <w:szCs w:val="20"/>
          </w:rPr>
          <w:t>https://doi.org/10.3389/fpls.2015.00659</w:t>
        </w:r>
      </w:hyperlink>
    </w:p>
    <w:p w14:paraId="3C32FCCA"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Hernández-Bolaños, E., Sánchez-</w:t>
      </w:r>
      <w:proofErr w:type="spellStart"/>
      <w:r>
        <w:rPr>
          <w:rFonts w:ascii="Arial" w:hAnsi="Arial" w:cs="Arial"/>
          <w:sz w:val="20"/>
          <w:szCs w:val="20"/>
        </w:rPr>
        <w:t>Retuerta</w:t>
      </w:r>
      <w:proofErr w:type="spellEnd"/>
      <w:r>
        <w:rPr>
          <w:rFonts w:ascii="Arial" w:hAnsi="Arial" w:cs="Arial"/>
          <w:sz w:val="20"/>
          <w:szCs w:val="20"/>
        </w:rPr>
        <w:t xml:space="preserve">, V., Matías-Hernández, L., &amp; </w:t>
      </w:r>
      <w:proofErr w:type="spellStart"/>
      <w:r>
        <w:rPr>
          <w:rFonts w:ascii="Arial" w:hAnsi="Arial" w:cs="Arial"/>
          <w:sz w:val="20"/>
          <w:szCs w:val="20"/>
        </w:rPr>
        <w:t>Cuyas</w:t>
      </w:r>
      <w:proofErr w:type="spellEnd"/>
      <w:r>
        <w:rPr>
          <w:rFonts w:ascii="Arial" w:hAnsi="Arial" w:cs="Arial"/>
          <w:sz w:val="20"/>
          <w:szCs w:val="20"/>
        </w:rPr>
        <w:t xml:space="preserve">, L. (2025). </w:t>
      </w:r>
      <w:r>
        <w:rPr>
          <w:rStyle w:val="Emphasis"/>
          <w:rFonts w:ascii="Arial" w:hAnsi="Arial" w:cs="Arial"/>
          <w:sz w:val="20"/>
          <w:szCs w:val="20"/>
        </w:rPr>
        <w:t>Promising applications of medicinal and aromatic plants in agriculture</w:t>
      </w:r>
      <w:r>
        <w:rPr>
          <w:rFonts w:ascii="Arial" w:hAnsi="Arial" w:cs="Arial"/>
          <w:sz w:val="20"/>
          <w:szCs w:val="20"/>
        </w:rPr>
        <w:t xml:space="preserve">. </w:t>
      </w:r>
      <w:r>
        <w:rPr>
          <w:rStyle w:val="Strong"/>
          <w:rFonts w:ascii="Arial" w:hAnsi="Arial" w:cs="Arial"/>
          <w:b w:val="0"/>
          <w:bCs w:val="0"/>
          <w:sz w:val="20"/>
          <w:szCs w:val="20"/>
        </w:rPr>
        <w:t>Discover Agriculture, 3</w:t>
      </w:r>
      <w:r>
        <w:rPr>
          <w:rFonts w:ascii="Arial" w:hAnsi="Arial" w:cs="Arial"/>
          <w:sz w:val="20"/>
          <w:szCs w:val="20"/>
        </w:rPr>
        <w:t xml:space="preserve">(1). </w:t>
      </w:r>
      <w:hyperlink r:id="rId49" w:tgtFrame="C:\Users\Dell\AppData\Local\Temp\_new" w:history="1">
        <w:r>
          <w:rPr>
            <w:rStyle w:val="Hyperlink"/>
            <w:rFonts w:ascii="Arial" w:hAnsi="Arial" w:cs="Arial"/>
            <w:color w:val="auto"/>
            <w:sz w:val="20"/>
            <w:szCs w:val="20"/>
          </w:rPr>
          <w:t>https://doi.org/10.1007/s44279-025-00187-7</w:t>
        </w:r>
      </w:hyperlink>
    </w:p>
    <w:p w14:paraId="0B18A4B5"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Husnaeni</w:t>
      </w:r>
      <w:proofErr w:type="spellEnd"/>
      <w:r>
        <w:rPr>
          <w:rFonts w:ascii="Arial" w:hAnsi="Arial" w:cs="Arial"/>
          <w:sz w:val="20"/>
          <w:szCs w:val="20"/>
        </w:rPr>
        <w:t xml:space="preserve">, W. S., </w:t>
      </w:r>
      <w:proofErr w:type="spellStart"/>
      <w:r>
        <w:rPr>
          <w:rFonts w:ascii="Arial" w:hAnsi="Arial" w:cs="Arial"/>
          <w:sz w:val="20"/>
          <w:szCs w:val="20"/>
        </w:rPr>
        <w:t>Dilliani</w:t>
      </w:r>
      <w:proofErr w:type="spellEnd"/>
      <w:r>
        <w:rPr>
          <w:rFonts w:ascii="Arial" w:hAnsi="Arial" w:cs="Arial"/>
          <w:sz w:val="20"/>
          <w:szCs w:val="20"/>
        </w:rPr>
        <w:t xml:space="preserve">, D. A., </w:t>
      </w:r>
      <w:proofErr w:type="spellStart"/>
      <w:r>
        <w:rPr>
          <w:rFonts w:ascii="Arial" w:hAnsi="Arial" w:cs="Arial"/>
          <w:sz w:val="20"/>
          <w:szCs w:val="20"/>
        </w:rPr>
        <w:t>Kisworo</w:t>
      </w:r>
      <w:proofErr w:type="spellEnd"/>
      <w:r>
        <w:rPr>
          <w:rFonts w:ascii="Arial" w:hAnsi="Arial" w:cs="Arial"/>
          <w:sz w:val="20"/>
          <w:szCs w:val="20"/>
        </w:rPr>
        <w:t xml:space="preserve">, N. E., Lestari, S., &amp; </w:t>
      </w:r>
      <w:proofErr w:type="spellStart"/>
      <w:r>
        <w:rPr>
          <w:rFonts w:ascii="Arial" w:hAnsi="Arial" w:cs="Arial"/>
          <w:sz w:val="20"/>
          <w:szCs w:val="20"/>
        </w:rPr>
        <w:t>Lamatokan</w:t>
      </w:r>
      <w:proofErr w:type="spellEnd"/>
      <w:r>
        <w:rPr>
          <w:rFonts w:ascii="Arial" w:hAnsi="Arial" w:cs="Arial"/>
          <w:sz w:val="20"/>
          <w:szCs w:val="20"/>
        </w:rPr>
        <w:t xml:space="preserve">, S. C. (2025). </w:t>
      </w:r>
      <w:r>
        <w:rPr>
          <w:rStyle w:val="Emphasis"/>
          <w:rFonts w:ascii="Arial" w:hAnsi="Arial" w:cs="Arial"/>
          <w:sz w:val="20"/>
          <w:szCs w:val="20"/>
        </w:rPr>
        <w:t>A literature review on strategies for building the institutional image of early childhood education centers</w:t>
      </w:r>
      <w:r>
        <w:rPr>
          <w:rFonts w:ascii="Arial" w:hAnsi="Arial" w:cs="Arial"/>
          <w:sz w:val="20"/>
          <w:szCs w:val="20"/>
        </w:rPr>
        <w:t xml:space="preserve">. </w:t>
      </w:r>
      <w:r>
        <w:rPr>
          <w:rStyle w:val="Strong"/>
          <w:rFonts w:ascii="Arial" w:hAnsi="Arial" w:cs="Arial"/>
          <w:b w:val="0"/>
          <w:bCs w:val="0"/>
          <w:sz w:val="20"/>
          <w:szCs w:val="20"/>
        </w:rPr>
        <w:t>[Journal name not specified]</w:t>
      </w:r>
      <w:r>
        <w:rPr>
          <w:rFonts w:ascii="Arial" w:hAnsi="Arial" w:cs="Arial"/>
          <w:sz w:val="20"/>
          <w:szCs w:val="20"/>
        </w:rPr>
        <w:t>.</w:t>
      </w:r>
    </w:p>
    <w:p w14:paraId="4B7366A1"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Indarwati</w:t>
      </w:r>
      <w:proofErr w:type="spellEnd"/>
      <w:r>
        <w:rPr>
          <w:rFonts w:ascii="Arial" w:hAnsi="Arial" w:cs="Arial"/>
          <w:sz w:val="20"/>
          <w:szCs w:val="20"/>
        </w:rPr>
        <w:t xml:space="preserve">, I., Jili, A. Q. A., Susilo, A., &amp; </w:t>
      </w:r>
      <w:proofErr w:type="spellStart"/>
      <w:r>
        <w:rPr>
          <w:rFonts w:ascii="Arial" w:hAnsi="Arial" w:cs="Arial"/>
          <w:sz w:val="20"/>
          <w:szCs w:val="20"/>
        </w:rPr>
        <w:t>Suryaningsih</w:t>
      </w:r>
      <w:proofErr w:type="spellEnd"/>
      <w:r>
        <w:rPr>
          <w:rFonts w:ascii="Arial" w:hAnsi="Arial" w:cs="Arial"/>
          <w:sz w:val="20"/>
          <w:szCs w:val="20"/>
        </w:rPr>
        <w:t xml:space="preserve">, D. R. (2023). </w:t>
      </w:r>
      <w:r>
        <w:rPr>
          <w:rStyle w:val="Emphasis"/>
          <w:rFonts w:ascii="Arial" w:hAnsi="Arial" w:cs="Arial"/>
          <w:sz w:val="20"/>
          <w:szCs w:val="20"/>
        </w:rPr>
        <w:t xml:space="preserve">Allelopathic potential of </w:t>
      </w:r>
      <w:proofErr w:type="spellStart"/>
      <w:r>
        <w:rPr>
          <w:rStyle w:val="Emphasis"/>
          <w:rFonts w:ascii="Arial" w:hAnsi="Arial" w:cs="Arial"/>
          <w:sz w:val="20"/>
          <w:szCs w:val="20"/>
        </w:rPr>
        <w:t>cogongrass</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Imperata</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cylindrica</w:t>
      </w:r>
      <w:proofErr w:type="spellEnd"/>
      <w:r>
        <w:rPr>
          <w:rStyle w:val="Emphasis"/>
          <w:rFonts w:ascii="Arial" w:hAnsi="Arial" w:cs="Arial"/>
          <w:sz w:val="20"/>
          <w:szCs w:val="20"/>
        </w:rPr>
        <w:t>) extract as a bioherbicide</w:t>
      </w:r>
      <w:r>
        <w:rPr>
          <w:rFonts w:ascii="Arial" w:hAnsi="Arial" w:cs="Arial"/>
          <w:sz w:val="20"/>
          <w:szCs w:val="20"/>
        </w:rPr>
        <w:t xml:space="preserve">. </w:t>
      </w:r>
      <w:r>
        <w:rPr>
          <w:rStyle w:val="Strong"/>
          <w:rFonts w:ascii="Arial" w:hAnsi="Arial" w:cs="Arial"/>
          <w:b w:val="0"/>
          <w:bCs w:val="0"/>
          <w:sz w:val="20"/>
          <w:szCs w:val="20"/>
        </w:rPr>
        <w:t>Journal of Applied Plant Technology, 2</w:t>
      </w:r>
      <w:r>
        <w:rPr>
          <w:rFonts w:ascii="Arial" w:hAnsi="Arial" w:cs="Arial"/>
          <w:sz w:val="20"/>
          <w:szCs w:val="20"/>
        </w:rPr>
        <w:t xml:space="preserve">(1), 30. </w:t>
      </w:r>
      <w:hyperlink r:id="rId50" w:tgtFrame="C:\Users\Dell\AppData\Local\Temp\_new" w:history="1">
        <w:r>
          <w:rPr>
            <w:rStyle w:val="Hyperlink"/>
            <w:rFonts w:ascii="Arial" w:hAnsi="Arial" w:cs="Arial"/>
            <w:color w:val="auto"/>
            <w:sz w:val="20"/>
            <w:szCs w:val="20"/>
          </w:rPr>
          <w:t>https://doi.org/10.30742/japt.v2i1.77</w:t>
        </w:r>
      </w:hyperlink>
    </w:p>
    <w:p w14:paraId="25351524"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Ippolito, S. J., Jennings, K. M., Monks, D. W., Chaudhari, S., Jordan, D. L., Moore, L. D., &amp; Blankenship, C. D. (2024). </w:t>
      </w:r>
      <w:r>
        <w:rPr>
          <w:rStyle w:val="Emphasis"/>
          <w:rFonts w:ascii="Arial" w:hAnsi="Arial" w:cs="Arial"/>
          <w:sz w:val="20"/>
          <w:szCs w:val="20"/>
        </w:rPr>
        <w:t xml:space="preserve">Response of stevia (Stevia </w:t>
      </w:r>
      <w:proofErr w:type="spellStart"/>
      <w:r>
        <w:rPr>
          <w:rStyle w:val="Emphasis"/>
          <w:rFonts w:ascii="Arial" w:hAnsi="Arial" w:cs="Arial"/>
          <w:sz w:val="20"/>
          <w:szCs w:val="20"/>
        </w:rPr>
        <w:t>rebaudiana</w:t>
      </w:r>
      <w:proofErr w:type="spellEnd"/>
      <w:r>
        <w:rPr>
          <w:rStyle w:val="Emphasis"/>
          <w:rFonts w:ascii="Arial" w:hAnsi="Arial" w:cs="Arial"/>
          <w:sz w:val="20"/>
          <w:szCs w:val="20"/>
        </w:rPr>
        <w:t>) to reduced-risk synthetic and non-synthetic herbicides applied post-transplant</w:t>
      </w:r>
      <w:r>
        <w:rPr>
          <w:rFonts w:ascii="Arial" w:hAnsi="Arial" w:cs="Arial"/>
          <w:sz w:val="20"/>
          <w:szCs w:val="20"/>
        </w:rPr>
        <w:t xml:space="preserve">. </w:t>
      </w:r>
      <w:r>
        <w:rPr>
          <w:rStyle w:val="Strong"/>
          <w:rFonts w:ascii="Arial" w:hAnsi="Arial" w:cs="Arial"/>
          <w:b w:val="0"/>
          <w:bCs w:val="0"/>
          <w:sz w:val="20"/>
          <w:szCs w:val="20"/>
        </w:rPr>
        <w:t>Weed Technology, 38</w:t>
      </w:r>
      <w:r>
        <w:rPr>
          <w:rFonts w:ascii="Arial" w:hAnsi="Arial" w:cs="Arial"/>
          <w:sz w:val="20"/>
          <w:szCs w:val="20"/>
        </w:rPr>
        <w:t xml:space="preserve">. </w:t>
      </w:r>
      <w:hyperlink r:id="rId51" w:tgtFrame="C:\Users\Dell\AppData\Local\Temp\_new" w:history="1">
        <w:r>
          <w:rPr>
            <w:rStyle w:val="Hyperlink"/>
            <w:rFonts w:ascii="Arial" w:hAnsi="Arial" w:cs="Arial"/>
            <w:color w:val="auto"/>
            <w:sz w:val="20"/>
            <w:szCs w:val="20"/>
          </w:rPr>
          <w:t>https://doi.org/10.1017/wet.2024.20</w:t>
        </w:r>
      </w:hyperlink>
    </w:p>
    <w:p w14:paraId="0078DA14"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Iriany</w:t>
      </w:r>
      <w:proofErr w:type="spellEnd"/>
      <w:r>
        <w:rPr>
          <w:rFonts w:ascii="Arial" w:hAnsi="Arial" w:cs="Arial"/>
          <w:sz w:val="20"/>
          <w:szCs w:val="20"/>
        </w:rPr>
        <w:t xml:space="preserve">, A., </w:t>
      </w:r>
      <w:proofErr w:type="spellStart"/>
      <w:r>
        <w:rPr>
          <w:rFonts w:ascii="Arial" w:hAnsi="Arial" w:cs="Arial"/>
          <w:sz w:val="20"/>
          <w:szCs w:val="20"/>
        </w:rPr>
        <w:t>Prihartini</w:t>
      </w:r>
      <w:proofErr w:type="spellEnd"/>
      <w:r>
        <w:rPr>
          <w:rFonts w:ascii="Arial" w:hAnsi="Arial" w:cs="Arial"/>
          <w:sz w:val="20"/>
          <w:szCs w:val="20"/>
        </w:rPr>
        <w:t xml:space="preserve">, I., Zakia, A., Mahmudi, M., </w:t>
      </w:r>
      <w:proofErr w:type="spellStart"/>
      <w:r>
        <w:rPr>
          <w:rFonts w:ascii="Arial" w:hAnsi="Arial" w:cs="Arial"/>
          <w:sz w:val="20"/>
          <w:szCs w:val="20"/>
        </w:rPr>
        <w:t>Septia</w:t>
      </w:r>
      <w:proofErr w:type="spellEnd"/>
      <w:r>
        <w:rPr>
          <w:rFonts w:ascii="Arial" w:hAnsi="Arial" w:cs="Arial"/>
          <w:sz w:val="20"/>
          <w:szCs w:val="20"/>
        </w:rPr>
        <w:t xml:space="preserve">, E. D., </w:t>
      </w:r>
      <w:proofErr w:type="spellStart"/>
      <w:r>
        <w:rPr>
          <w:rFonts w:ascii="Arial" w:hAnsi="Arial" w:cs="Arial"/>
          <w:sz w:val="20"/>
          <w:szCs w:val="20"/>
        </w:rPr>
        <w:t>Farahdina</w:t>
      </w:r>
      <w:proofErr w:type="spellEnd"/>
      <w:r>
        <w:rPr>
          <w:rFonts w:ascii="Arial" w:hAnsi="Arial" w:cs="Arial"/>
          <w:sz w:val="20"/>
          <w:szCs w:val="20"/>
        </w:rPr>
        <w:t xml:space="preserve">, F. A. R., &amp; Hasanah, F. (2023). </w:t>
      </w:r>
      <w:r>
        <w:rPr>
          <w:rStyle w:val="Emphasis"/>
          <w:rFonts w:ascii="Arial" w:hAnsi="Arial" w:cs="Arial"/>
          <w:sz w:val="20"/>
          <w:szCs w:val="20"/>
        </w:rPr>
        <w:t xml:space="preserve">Effects of different </w:t>
      </w:r>
      <w:proofErr w:type="spellStart"/>
      <w:r>
        <w:rPr>
          <w:rStyle w:val="Emphasis"/>
          <w:rFonts w:ascii="Arial" w:hAnsi="Arial" w:cs="Arial"/>
          <w:sz w:val="20"/>
          <w:szCs w:val="20"/>
        </w:rPr>
        <w:t>bioactivator</w:t>
      </w:r>
      <w:proofErr w:type="spellEnd"/>
      <w:r>
        <w:rPr>
          <w:rStyle w:val="Emphasis"/>
          <w:rFonts w:ascii="Arial" w:hAnsi="Arial" w:cs="Arial"/>
          <w:sz w:val="20"/>
          <w:szCs w:val="20"/>
        </w:rPr>
        <w:t xml:space="preserve"> application rates on growth, yield, and soil properties of two rice varieties in Indonesia</w:t>
      </w:r>
      <w:r>
        <w:rPr>
          <w:rFonts w:ascii="Arial" w:hAnsi="Arial" w:cs="Arial"/>
          <w:sz w:val="20"/>
          <w:szCs w:val="20"/>
        </w:rPr>
        <w:t xml:space="preserve">. </w:t>
      </w:r>
      <w:r>
        <w:rPr>
          <w:rStyle w:val="Strong"/>
          <w:rFonts w:ascii="Arial" w:hAnsi="Arial" w:cs="Arial"/>
          <w:b w:val="0"/>
          <w:bCs w:val="0"/>
          <w:sz w:val="20"/>
          <w:szCs w:val="20"/>
        </w:rPr>
        <w:t xml:space="preserve">International Journal of Design &amp; Nature and </w:t>
      </w:r>
      <w:proofErr w:type="spellStart"/>
      <w:r>
        <w:rPr>
          <w:rStyle w:val="Strong"/>
          <w:rFonts w:ascii="Arial" w:hAnsi="Arial" w:cs="Arial"/>
          <w:b w:val="0"/>
          <w:bCs w:val="0"/>
          <w:sz w:val="20"/>
          <w:szCs w:val="20"/>
        </w:rPr>
        <w:t>Ecodynamics</w:t>
      </w:r>
      <w:proofErr w:type="spellEnd"/>
      <w:r>
        <w:rPr>
          <w:rStyle w:val="Strong"/>
          <w:rFonts w:ascii="Arial" w:hAnsi="Arial" w:cs="Arial"/>
          <w:b w:val="0"/>
          <w:bCs w:val="0"/>
          <w:sz w:val="20"/>
          <w:szCs w:val="20"/>
        </w:rPr>
        <w:t>, 18</w:t>
      </w:r>
      <w:r>
        <w:rPr>
          <w:rFonts w:ascii="Arial" w:hAnsi="Arial" w:cs="Arial"/>
          <w:sz w:val="20"/>
          <w:szCs w:val="20"/>
        </w:rPr>
        <w:t xml:space="preserve">(5), 1151. </w:t>
      </w:r>
      <w:hyperlink r:id="rId52" w:tgtFrame="C:\Users\Dell\AppData\Local\Temp\_new" w:history="1">
        <w:r>
          <w:rPr>
            <w:rStyle w:val="Hyperlink"/>
            <w:rFonts w:ascii="Arial" w:hAnsi="Arial" w:cs="Arial"/>
            <w:color w:val="auto"/>
            <w:sz w:val="20"/>
            <w:szCs w:val="20"/>
          </w:rPr>
          <w:t>https://doi.org/10.18280/ijdne.180516</w:t>
        </w:r>
      </w:hyperlink>
    </w:p>
    <w:p w14:paraId="3752D622"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Irnawati</w:t>
      </w:r>
      <w:proofErr w:type="spellEnd"/>
      <w:r>
        <w:rPr>
          <w:rFonts w:ascii="Arial" w:hAnsi="Arial" w:cs="Arial"/>
          <w:sz w:val="20"/>
          <w:szCs w:val="20"/>
        </w:rPr>
        <w:t xml:space="preserve">, I., </w:t>
      </w:r>
      <w:proofErr w:type="spellStart"/>
      <w:r>
        <w:rPr>
          <w:rFonts w:ascii="Arial" w:hAnsi="Arial" w:cs="Arial"/>
          <w:sz w:val="20"/>
          <w:szCs w:val="20"/>
        </w:rPr>
        <w:t>Rispawati</w:t>
      </w:r>
      <w:proofErr w:type="spellEnd"/>
      <w:r>
        <w:rPr>
          <w:rFonts w:ascii="Arial" w:hAnsi="Arial" w:cs="Arial"/>
          <w:sz w:val="20"/>
          <w:szCs w:val="20"/>
        </w:rPr>
        <w:t xml:space="preserve">, R., </w:t>
      </w:r>
      <w:proofErr w:type="spellStart"/>
      <w:r>
        <w:rPr>
          <w:rFonts w:ascii="Arial" w:hAnsi="Arial" w:cs="Arial"/>
          <w:sz w:val="20"/>
          <w:szCs w:val="20"/>
        </w:rPr>
        <w:t>Alqadri</w:t>
      </w:r>
      <w:proofErr w:type="spellEnd"/>
      <w:r>
        <w:rPr>
          <w:rFonts w:ascii="Arial" w:hAnsi="Arial" w:cs="Arial"/>
          <w:sz w:val="20"/>
          <w:szCs w:val="20"/>
        </w:rPr>
        <w:t xml:space="preserve">, B., &amp; </w:t>
      </w:r>
      <w:proofErr w:type="spellStart"/>
      <w:r>
        <w:rPr>
          <w:rFonts w:ascii="Arial" w:hAnsi="Arial" w:cs="Arial"/>
          <w:sz w:val="20"/>
          <w:szCs w:val="20"/>
        </w:rPr>
        <w:t>Atsar</w:t>
      </w:r>
      <w:proofErr w:type="spellEnd"/>
      <w:r>
        <w:rPr>
          <w:rFonts w:ascii="Arial" w:hAnsi="Arial" w:cs="Arial"/>
          <w:sz w:val="20"/>
          <w:szCs w:val="20"/>
        </w:rPr>
        <w:t xml:space="preserve">, A. (2025). </w:t>
      </w:r>
      <w:r>
        <w:rPr>
          <w:rStyle w:val="Emphasis"/>
          <w:rFonts w:ascii="Arial" w:hAnsi="Arial" w:cs="Arial"/>
          <w:sz w:val="20"/>
          <w:szCs w:val="20"/>
        </w:rPr>
        <w:t>Implementation of Bima City Regional Regulation No. 1 of 2022 on sustainable food agricultural land protection</w:t>
      </w:r>
      <w:r>
        <w:rPr>
          <w:rFonts w:ascii="Arial" w:hAnsi="Arial" w:cs="Arial"/>
          <w:sz w:val="20"/>
          <w:szCs w:val="20"/>
        </w:rPr>
        <w:t xml:space="preserve">. </w:t>
      </w:r>
      <w:r>
        <w:rPr>
          <w:rStyle w:val="Strong"/>
          <w:rFonts w:ascii="Arial" w:hAnsi="Arial" w:cs="Arial"/>
          <w:b w:val="0"/>
          <w:bCs w:val="0"/>
          <w:sz w:val="20"/>
          <w:szCs w:val="20"/>
        </w:rPr>
        <w:t>SOCIAL: Journal of Social Studies Education Innovation, 5</w:t>
      </w:r>
      <w:r>
        <w:rPr>
          <w:rFonts w:ascii="Arial" w:hAnsi="Arial" w:cs="Arial"/>
          <w:sz w:val="20"/>
          <w:szCs w:val="20"/>
        </w:rPr>
        <w:t xml:space="preserve">(1), 266. </w:t>
      </w:r>
      <w:hyperlink r:id="rId53" w:tgtFrame="C:\Users\Dell\AppData\Local\Temp\_new" w:history="1">
        <w:r>
          <w:rPr>
            <w:rStyle w:val="Hyperlink"/>
            <w:rFonts w:ascii="Arial" w:hAnsi="Arial" w:cs="Arial"/>
            <w:color w:val="auto"/>
            <w:sz w:val="20"/>
            <w:szCs w:val="20"/>
          </w:rPr>
          <w:t>https://doi.org/10.51878/social.v5i1.5149</w:t>
        </w:r>
      </w:hyperlink>
    </w:p>
    <w:p w14:paraId="7FED97E9"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Isda</w:t>
      </w:r>
      <w:proofErr w:type="spellEnd"/>
      <w:r>
        <w:rPr>
          <w:rFonts w:ascii="Arial" w:hAnsi="Arial" w:cs="Arial"/>
          <w:sz w:val="20"/>
          <w:szCs w:val="20"/>
        </w:rPr>
        <w:t xml:space="preserve">, M. N., </w:t>
      </w:r>
      <w:proofErr w:type="spellStart"/>
      <w:r>
        <w:rPr>
          <w:rFonts w:ascii="Arial" w:hAnsi="Arial" w:cs="Arial"/>
          <w:sz w:val="20"/>
          <w:szCs w:val="20"/>
        </w:rPr>
        <w:t>Fatonah</w:t>
      </w:r>
      <w:proofErr w:type="spellEnd"/>
      <w:r>
        <w:rPr>
          <w:rFonts w:ascii="Arial" w:hAnsi="Arial" w:cs="Arial"/>
          <w:sz w:val="20"/>
          <w:szCs w:val="20"/>
        </w:rPr>
        <w:t xml:space="preserve">, S., &amp; Fitri, R. (2013). </w:t>
      </w:r>
      <w:r>
        <w:rPr>
          <w:rStyle w:val="Emphasis"/>
          <w:rFonts w:ascii="Arial" w:hAnsi="Arial" w:cs="Arial"/>
          <w:sz w:val="20"/>
          <w:szCs w:val="20"/>
        </w:rPr>
        <w:t xml:space="preserve">Allelopathic potential of </w:t>
      </w:r>
      <w:proofErr w:type="spellStart"/>
      <w:r>
        <w:rPr>
          <w:rStyle w:val="Emphasis"/>
          <w:rFonts w:ascii="Arial" w:hAnsi="Arial" w:cs="Arial"/>
          <w:sz w:val="20"/>
          <w:szCs w:val="20"/>
        </w:rPr>
        <w:t>billygoat</w:t>
      </w:r>
      <w:proofErr w:type="spellEnd"/>
      <w:r>
        <w:rPr>
          <w:rStyle w:val="Emphasis"/>
          <w:rFonts w:ascii="Arial" w:hAnsi="Arial" w:cs="Arial"/>
          <w:sz w:val="20"/>
          <w:szCs w:val="20"/>
        </w:rPr>
        <w:t xml:space="preserve"> weed (Ageratum </w:t>
      </w:r>
      <w:proofErr w:type="spellStart"/>
      <w:r>
        <w:rPr>
          <w:rStyle w:val="Emphasis"/>
          <w:rFonts w:ascii="Arial" w:hAnsi="Arial" w:cs="Arial"/>
          <w:sz w:val="20"/>
          <w:szCs w:val="20"/>
        </w:rPr>
        <w:t>conyzoides</w:t>
      </w:r>
      <w:proofErr w:type="spellEnd"/>
      <w:r>
        <w:rPr>
          <w:rStyle w:val="Emphasis"/>
          <w:rFonts w:ascii="Arial" w:hAnsi="Arial" w:cs="Arial"/>
          <w:sz w:val="20"/>
          <w:szCs w:val="20"/>
        </w:rPr>
        <w:t xml:space="preserve"> L.) leaf extract on germination and growth of</w:t>
      </w:r>
      <w:r>
        <w:rPr>
          <w:rFonts w:ascii="Arial" w:hAnsi="Arial" w:cs="Arial"/>
          <w:sz w:val="20"/>
          <w:szCs w:val="20"/>
        </w:rPr>
        <w:t xml:space="preserve"> </w:t>
      </w:r>
      <w:proofErr w:type="spellStart"/>
      <w:r>
        <w:rPr>
          <w:rStyle w:val="Emphasis"/>
          <w:rFonts w:ascii="Arial" w:hAnsi="Arial" w:cs="Arial"/>
          <w:sz w:val="20"/>
          <w:szCs w:val="20"/>
        </w:rPr>
        <w:t>Paspalum</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conjugatum</w:t>
      </w:r>
      <w:proofErr w:type="spellEnd"/>
      <w:r>
        <w:rPr>
          <w:rFonts w:ascii="Arial" w:hAnsi="Arial" w:cs="Arial"/>
          <w:sz w:val="20"/>
          <w:szCs w:val="20"/>
        </w:rPr>
        <w:t xml:space="preserve"> Berg. </w:t>
      </w:r>
      <w:proofErr w:type="spellStart"/>
      <w:r>
        <w:rPr>
          <w:rStyle w:val="Strong"/>
          <w:rFonts w:ascii="Arial" w:hAnsi="Arial" w:cs="Arial"/>
          <w:b w:val="0"/>
          <w:bCs w:val="0"/>
          <w:sz w:val="20"/>
          <w:szCs w:val="20"/>
        </w:rPr>
        <w:t>Jurnal</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Kauniyah</w:t>
      </w:r>
      <w:proofErr w:type="spellEnd"/>
      <w:r>
        <w:rPr>
          <w:rStyle w:val="Strong"/>
          <w:rFonts w:ascii="Arial" w:hAnsi="Arial" w:cs="Arial"/>
          <w:b w:val="0"/>
          <w:bCs w:val="0"/>
          <w:sz w:val="20"/>
          <w:szCs w:val="20"/>
        </w:rPr>
        <w:t>, 6</w:t>
      </w:r>
      <w:r>
        <w:rPr>
          <w:rFonts w:ascii="Arial" w:hAnsi="Arial" w:cs="Arial"/>
          <w:sz w:val="20"/>
          <w:szCs w:val="20"/>
        </w:rPr>
        <w:t xml:space="preserve">(2). </w:t>
      </w:r>
      <w:hyperlink r:id="rId54" w:tgtFrame="C:\Users\Dell\AppData\Local\Temp\_new" w:history="1">
        <w:r>
          <w:rPr>
            <w:rStyle w:val="Hyperlink"/>
            <w:rFonts w:ascii="Arial" w:hAnsi="Arial" w:cs="Arial"/>
            <w:color w:val="auto"/>
            <w:sz w:val="20"/>
            <w:szCs w:val="20"/>
          </w:rPr>
          <w:t>https://doi.org/10.15408/kauniyah.v6i2.2752</w:t>
        </w:r>
      </w:hyperlink>
    </w:p>
    <w:p w14:paraId="58E9CED6"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lastRenderedPageBreak/>
        <w:t xml:space="preserve">Jahro, I. S., </w:t>
      </w:r>
      <w:proofErr w:type="spellStart"/>
      <w:r>
        <w:rPr>
          <w:rFonts w:ascii="Arial" w:hAnsi="Arial" w:cs="Arial"/>
          <w:sz w:val="20"/>
          <w:szCs w:val="20"/>
        </w:rPr>
        <w:t>Simanullang</w:t>
      </w:r>
      <w:proofErr w:type="spellEnd"/>
      <w:r>
        <w:rPr>
          <w:rFonts w:ascii="Arial" w:hAnsi="Arial" w:cs="Arial"/>
          <w:sz w:val="20"/>
          <w:szCs w:val="20"/>
        </w:rPr>
        <w:t xml:space="preserve">, S., </w:t>
      </w:r>
      <w:proofErr w:type="spellStart"/>
      <w:r>
        <w:rPr>
          <w:rFonts w:ascii="Arial" w:hAnsi="Arial" w:cs="Arial"/>
          <w:sz w:val="20"/>
          <w:szCs w:val="20"/>
        </w:rPr>
        <w:t>Hutagalung</w:t>
      </w:r>
      <w:proofErr w:type="spellEnd"/>
      <w:r>
        <w:rPr>
          <w:rFonts w:ascii="Arial" w:hAnsi="Arial" w:cs="Arial"/>
          <w:sz w:val="20"/>
          <w:szCs w:val="20"/>
        </w:rPr>
        <w:t xml:space="preserve">, T. P., Simanjuntak, P., Sati, N., Pratama, M. R., &amp; </w:t>
      </w:r>
      <w:proofErr w:type="spellStart"/>
      <w:r>
        <w:rPr>
          <w:rFonts w:ascii="Arial" w:hAnsi="Arial" w:cs="Arial"/>
          <w:sz w:val="20"/>
          <w:szCs w:val="20"/>
        </w:rPr>
        <w:t>Daeli</w:t>
      </w:r>
      <w:proofErr w:type="spellEnd"/>
      <w:r>
        <w:rPr>
          <w:rFonts w:ascii="Arial" w:hAnsi="Arial" w:cs="Arial"/>
          <w:sz w:val="20"/>
          <w:szCs w:val="20"/>
        </w:rPr>
        <w:t xml:space="preserve">, D. (2025). </w:t>
      </w:r>
      <w:r>
        <w:rPr>
          <w:rStyle w:val="Emphasis"/>
          <w:rFonts w:ascii="Arial" w:hAnsi="Arial" w:cs="Arial"/>
          <w:sz w:val="20"/>
          <w:szCs w:val="20"/>
        </w:rPr>
        <w:t>Analysis of electrolyte and non-electrolyte contents in family medicinal plants (TOGA)</w:t>
      </w:r>
      <w:r>
        <w:rPr>
          <w:rFonts w:ascii="Arial" w:hAnsi="Arial" w:cs="Arial"/>
          <w:sz w:val="20"/>
          <w:szCs w:val="20"/>
        </w:rPr>
        <w:t xml:space="preserve">. </w:t>
      </w:r>
      <w:r>
        <w:rPr>
          <w:rStyle w:val="Strong"/>
          <w:rFonts w:ascii="Arial" w:hAnsi="Arial" w:cs="Arial"/>
          <w:b w:val="0"/>
          <w:bCs w:val="0"/>
          <w:sz w:val="20"/>
          <w:szCs w:val="20"/>
        </w:rPr>
        <w:t>SCIENCE: Journal of Innovation in Mathematics and Science Education, 5</w:t>
      </w:r>
      <w:r>
        <w:rPr>
          <w:rFonts w:ascii="Arial" w:hAnsi="Arial" w:cs="Arial"/>
          <w:sz w:val="20"/>
          <w:szCs w:val="20"/>
        </w:rPr>
        <w:t xml:space="preserve">(1), 224. </w:t>
      </w:r>
      <w:hyperlink r:id="rId55" w:tgtFrame="C:\Users\Dell\AppData\Local\Temp\_new" w:history="1">
        <w:r>
          <w:rPr>
            <w:rStyle w:val="Hyperlink"/>
            <w:rFonts w:ascii="Arial" w:hAnsi="Arial" w:cs="Arial"/>
            <w:color w:val="auto"/>
            <w:sz w:val="20"/>
            <w:szCs w:val="20"/>
          </w:rPr>
          <w:t>https://doi.org/10.51878/science.v5i1.4524</w:t>
        </w:r>
      </w:hyperlink>
    </w:p>
    <w:p w14:paraId="1CB0D810"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Jahro, I. S., Sinaga, S., Syafriani, S., </w:t>
      </w:r>
      <w:proofErr w:type="spellStart"/>
      <w:r>
        <w:rPr>
          <w:rFonts w:ascii="Arial" w:hAnsi="Arial" w:cs="Arial"/>
          <w:sz w:val="20"/>
          <w:szCs w:val="20"/>
        </w:rPr>
        <w:t>Harahap</w:t>
      </w:r>
      <w:proofErr w:type="spellEnd"/>
      <w:r>
        <w:rPr>
          <w:rFonts w:ascii="Arial" w:hAnsi="Arial" w:cs="Arial"/>
          <w:sz w:val="20"/>
          <w:szCs w:val="20"/>
        </w:rPr>
        <w:t xml:space="preserve">, D. H., Zahra, S. A., Damanik, H., &amp; Panjaitan, N. S. (2025). </w:t>
      </w:r>
      <w:r>
        <w:rPr>
          <w:rStyle w:val="Emphasis"/>
          <w:rFonts w:ascii="Arial" w:hAnsi="Arial" w:cs="Arial"/>
          <w:sz w:val="20"/>
          <w:szCs w:val="20"/>
        </w:rPr>
        <w:t>Analysis of electrolyte and non-electrolyte contents in local fruits using simple laboratory equipment</w:t>
      </w:r>
      <w:r>
        <w:rPr>
          <w:rFonts w:ascii="Arial" w:hAnsi="Arial" w:cs="Arial"/>
          <w:sz w:val="20"/>
          <w:szCs w:val="20"/>
        </w:rPr>
        <w:t xml:space="preserve">. </w:t>
      </w:r>
      <w:r>
        <w:rPr>
          <w:rStyle w:val="Strong"/>
          <w:rFonts w:ascii="Arial" w:hAnsi="Arial" w:cs="Arial"/>
          <w:b w:val="0"/>
          <w:bCs w:val="0"/>
          <w:sz w:val="20"/>
          <w:szCs w:val="20"/>
        </w:rPr>
        <w:t>[Journal name not specified]</w:t>
      </w:r>
      <w:r>
        <w:rPr>
          <w:rFonts w:ascii="Arial" w:hAnsi="Arial" w:cs="Arial"/>
          <w:sz w:val="20"/>
          <w:szCs w:val="20"/>
        </w:rPr>
        <w:t>.</w:t>
      </w:r>
    </w:p>
    <w:p w14:paraId="475D9C01"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Jaswadi</w:t>
      </w:r>
      <w:proofErr w:type="spellEnd"/>
      <w:r>
        <w:rPr>
          <w:rFonts w:ascii="Arial" w:hAnsi="Arial" w:cs="Arial"/>
          <w:sz w:val="20"/>
          <w:szCs w:val="20"/>
        </w:rPr>
        <w:t xml:space="preserve">, J., Muhajir, A., Fitri, A. Z., Jabbar, M. R. A. A., &amp; Nadir, N. (2025). </w:t>
      </w:r>
      <w:r>
        <w:rPr>
          <w:rStyle w:val="Emphasis"/>
          <w:rFonts w:ascii="Arial" w:hAnsi="Arial" w:cs="Arial"/>
          <w:sz w:val="20"/>
          <w:szCs w:val="20"/>
        </w:rPr>
        <w:t xml:space="preserve">The influence of prophetic leadership on educational quality in </w:t>
      </w:r>
      <w:proofErr w:type="spellStart"/>
      <w:r>
        <w:rPr>
          <w:rStyle w:val="Emphasis"/>
          <w:rFonts w:ascii="Arial" w:hAnsi="Arial" w:cs="Arial"/>
          <w:sz w:val="20"/>
          <w:szCs w:val="20"/>
        </w:rPr>
        <w:t>Ma’had</w:t>
      </w:r>
      <w:proofErr w:type="spellEnd"/>
      <w:r>
        <w:rPr>
          <w:rStyle w:val="Emphasis"/>
          <w:rFonts w:ascii="Arial" w:hAnsi="Arial" w:cs="Arial"/>
          <w:sz w:val="20"/>
          <w:szCs w:val="20"/>
        </w:rPr>
        <w:t xml:space="preserve"> Aly and </w:t>
      </w:r>
      <w:proofErr w:type="spellStart"/>
      <w:r>
        <w:rPr>
          <w:rStyle w:val="Emphasis"/>
          <w:rFonts w:ascii="Arial" w:hAnsi="Arial" w:cs="Arial"/>
          <w:sz w:val="20"/>
          <w:szCs w:val="20"/>
        </w:rPr>
        <w:t>Ma’had</w:t>
      </w:r>
      <w:proofErr w:type="spellEnd"/>
      <w:r>
        <w:rPr>
          <w:rStyle w:val="Emphasis"/>
          <w:rFonts w:ascii="Arial" w:hAnsi="Arial" w:cs="Arial"/>
          <w:sz w:val="20"/>
          <w:szCs w:val="20"/>
        </w:rPr>
        <w:t xml:space="preserve"> Al-Jami’ah: A systematic literature review</w:t>
      </w:r>
      <w:r>
        <w:rPr>
          <w:rFonts w:ascii="Arial" w:hAnsi="Arial" w:cs="Arial"/>
          <w:sz w:val="20"/>
          <w:szCs w:val="20"/>
        </w:rPr>
        <w:t xml:space="preserve">. </w:t>
      </w:r>
      <w:r>
        <w:rPr>
          <w:rStyle w:val="Strong"/>
          <w:rFonts w:ascii="Arial" w:hAnsi="Arial" w:cs="Arial"/>
          <w:b w:val="0"/>
          <w:bCs w:val="0"/>
          <w:sz w:val="20"/>
          <w:szCs w:val="20"/>
        </w:rPr>
        <w:t>MANAJERIAL: Journal of Innovation in Educational Management and Supervision, 5</w:t>
      </w:r>
      <w:r>
        <w:rPr>
          <w:rFonts w:ascii="Arial" w:hAnsi="Arial" w:cs="Arial"/>
          <w:sz w:val="20"/>
          <w:szCs w:val="20"/>
        </w:rPr>
        <w:t xml:space="preserve">(3), 728. </w:t>
      </w:r>
      <w:hyperlink r:id="rId56" w:tgtFrame="C:\Users\Dell\AppData\Local\Temp\_new" w:history="1">
        <w:r>
          <w:rPr>
            <w:rStyle w:val="Hyperlink"/>
            <w:rFonts w:ascii="Arial" w:hAnsi="Arial" w:cs="Arial"/>
            <w:color w:val="auto"/>
            <w:sz w:val="20"/>
            <w:szCs w:val="20"/>
          </w:rPr>
          <w:t>https://doi.org/10.51878/manajerial.v5i3.6943</w:t>
        </w:r>
      </w:hyperlink>
    </w:p>
    <w:p w14:paraId="6D36A30F"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Kartikasari</w:t>
      </w:r>
      <w:proofErr w:type="spellEnd"/>
      <w:r>
        <w:rPr>
          <w:rFonts w:ascii="Arial" w:hAnsi="Arial" w:cs="Arial"/>
          <w:sz w:val="20"/>
          <w:szCs w:val="20"/>
        </w:rPr>
        <w:t xml:space="preserve">, D., Rahman, I. R., &amp; Ridha, A. (2022). </w:t>
      </w:r>
      <w:r>
        <w:rPr>
          <w:rStyle w:val="Emphasis"/>
          <w:rFonts w:ascii="Arial" w:hAnsi="Arial" w:cs="Arial"/>
          <w:sz w:val="20"/>
          <w:szCs w:val="20"/>
        </w:rPr>
        <w:t xml:space="preserve">Phytochemical screening of </w:t>
      </w:r>
      <w:proofErr w:type="spellStart"/>
      <w:r>
        <w:rPr>
          <w:rStyle w:val="Emphasis"/>
          <w:rFonts w:ascii="Arial" w:hAnsi="Arial" w:cs="Arial"/>
          <w:sz w:val="20"/>
          <w:szCs w:val="20"/>
        </w:rPr>
        <w:t>kesum</w:t>
      </w:r>
      <w:proofErr w:type="spellEnd"/>
      <w:r>
        <w:rPr>
          <w:rStyle w:val="Emphasis"/>
          <w:rFonts w:ascii="Arial" w:hAnsi="Arial" w:cs="Arial"/>
          <w:sz w:val="20"/>
          <w:szCs w:val="20"/>
        </w:rPr>
        <w:t xml:space="preserve"> leaves (Polygonum minus </w:t>
      </w:r>
      <w:proofErr w:type="spellStart"/>
      <w:r>
        <w:rPr>
          <w:rStyle w:val="Emphasis"/>
          <w:rFonts w:ascii="Arial" w:hAnsi="Arial" w:cs="Arial"/>
          <w:sz w:val="20"/>
          <w:szCs w:val="20"/>
        </w:rPr>
        <w:t>Huds</w:t>
      </w:r>
      <w:proofErr w:type="spellEnd"/>
      <w:r>
        <w:rPr>
          <w:rStyle w:val="Emphasis"/>
          <w:rFonts w:ascii="Arial" w:hAnsi="Arial" w:cs="Arial"/>
          <w:sz w:val="20"/>
          <w:szCs w:val="20"/>
        </w:rPr>
        <w:t>.) from West Kalimantan</w:t>
      </w:r>
      <w:r>
        <w:rPr>
          <w:rFonts w:ascii="Arial" w:hAnsi="Arial" w:cs="Arial"/>
          <w:sz w:val="20"/>
          <w:szCs w:val="20"/>
        </w:rPr>
        <w:t xml:space="preserve">. </w:t>
      </w:r>
      <w:r>
        <w:rPr>
          <w:rStyle w:val="Strong"/>
          <w:rFonts w:ascii="Arial" w:hAnsi="Arial" w:cs="Arial"/>
          <w:b w:val="0"/>
          <w:bCs w:val="0"/>
          <w:sz w:val="20"/>
          <w:szCs w:val="20"/>
        </w:rPr>
        <w:t>Indonesian Journal of Pharmacy Practice, 5</w:t>
      </w:r>
      <w:r>
        <w:rPr>
          <w:rFonts w:ascii="Arial" w:hAnsi="Arial" w:cs="Arial"/>
          <w:sz w:val="20"/>
          <w:szCs w:val="20"/>
        </w:rPr>
        <w:t xml:space="preserve">(1), 35. </w:t>
      </w:r>
      <w:hyperlink r:id="rId57" w:tgtFrame="C:\Users\Dell\AppData\Local\Temp\_new" w:history="1">
        <w:r>
          <w:rPr>
            <w:rStyle w:val="Hyperlink"/>
            <w:rFonts w:ascii="Arial" w:hAnsi="Arial" w:cs="Arial"/>
            <w:color w:val="auto"/>
            <w:sz w:val="20"/>
            <w:szCs w:val="20"/>
          </w:rPr>
          <w:t>https://doi.org/10.36387/jifi.v5i1.912</w:t>
        </w:r>
      </w:hyperlink>
    </w:p>
    <w:p w14:paraId="641A6857"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Khamare, Y., Chen, J., &amp; Marble, C. (2022). </w:t>
      </w:r>
      <w:r>
        <w:rPr>
          <w:rStyle w:val="Emphasis"/>
          <w:rFonts w:ascii="Arial" w:hAnsi="Arial" w:cs="Arial"/>
          <w:sz w:val="20"/>
          <w:szCs w:val="20"/>
        </w:rPr>
        <w:t>Allelopathy and its application as a weed management tool: A review</w:t>
      </w:r>
      <w:r>
        <w:rPr>
          <w:rFonts w:ascii="Arial" w:hAnsi="Arial" w:cs="Arial"/>
          <w:sz w:val="20"/>
          <w:szCs w:val="20"/>
        </w:rPr>
        <w:t xml:space="preserve">. </w:t>
      </w:r>
      <w:r>
        <w:rPr>
          <w:rStyle w:val="Strong"/>
          <w:rFonts w:ascii="Arial" w:hAnsi="Arial" w:cs="Arial"/>
          <w:b w:val="0"/>
          <w:bCs w:val="0"/>
          <w:sz w:val="20"/>
          <w:szCs w:val="20"/>
        </w:rPr>
        <w:t>Frontiers in Plant Science, 13</w:t>
      </w:r>
      <w:r>
        <w:rPr>
          <w:rFonts w:ascii="Arial" w:hAnsi="Arial" w:cs="Arial"/>
          <w:sz w:val="20"/>
          <w:szCs w:val="20"/>
        </w:rPr>
        <w:t xml:space="preserve">, Article 1034649. </w:t>
      </w:r>
      <w:hyperlink r:id="rId58" w:tgtFrame="C:\Users\Dell\AppData\Local\Temp\_new" w:history="1">
        <w:r>
          <w:rPr>
            <w:rStyle w:val="Hyperlink"/>
            <w:rFonts w:ascii="Arial" w:hAnsi="Arial" w:cs="Arial"/>
            <w:color w:val="auto"/>
            <w:sz w:val="20"/>
            <w:szCs w:val="20"/>
          </w:rPr>
          <w:t>https://doi.org/10.3389/fpls.2022.1034649</w:t>
        </w:r>
      </w:hyperlink>
    </w:p>
    <w:p w14:paraId="6421AF0A"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Khan, S., Shinwari, M. I., Ali, K. W., Rana, T., Kalsoom, S., &amp; Khan, S. A. (2019). </w:t>
      </w:r>
      <w:r>
        <w:rPr>
          <w:rStyle w:val="Emphasis"/>
          <w:rFonts w:ascii="Arial" w:hAnsi="Arial" w:cs="Arial"/>
          <w:sz w:val="20"/>
          <w:szCs w:val="20"/>
        </w:rPr>
        <w:t>Allelopathic potential of 73 weed species in Pakistan</w:t>
      </w:r>
      <w:r>
        <w:rPr>
          <w:rFonts w:ascii="Arial" w:hAnsi="Arial" w:cs="Arial"/>
          <w:sz w:val="20"/>
          <w:szCs w:val="20"/>
        </w:rPr>
        <w:t xml:space="preserve">. </w:t>
      </w:r>
      <w:proofErr w:type="spellStart"/>
      <w:r>
        <w:rPr>
          <w:rStyle w:val="Strong"/>
          <w:rFonts w:ascii="Arial" w:hAnsi="Arial" w:cs="Arial"/>
          <w:b w:val="0"/>
          <w:bCs w:val="0"/>
          <w:sz w:val="20"/>
          <w:szCs w:val="20"/>
        </w:rPr>
        <w:t>Revista</w:t>
      </w:r>
      <w:proofErr w:type="spellEnd"/>
      <w:r>
        <w:rPr>
          <w:rStyle w:val="Strong"/>
          <w:rFonts w:ascii="Arial" w:hAnsi="Arial" w:cs="Arial"/>
          <w:b w:val="0"/>
          <w:bCs w:val="0"/>
          <w:sz w:val="20"/>
          <w:szCs w:val="20"/>
        </w:rPr>
        <w:t xml:space="preserve"> de </w:t>
      </w:r>
      <w:proofErr w:type="spellStart"/>
      <w:r>
        <w:rPr>
          <w:rStyle w:val="Strong"/>
          <w:rFonts w:ascii="Arial" w:hAnsi="Arial" w:cs="Arial"/>
          <w:b w:val="0"/>
          <w:bCs w:val="0"/>
          <w:sz w:val="20"/>
          <w:szCs w:val="20"/>
        </w:rPr>
        <w:t>Biología</w:t>
      </w:r>
      <w:proofErr w:type="spellEnd"/>
      <w:r>
        <w:rPr>
          <w:rStyle w:val="Strong"/>
          <w:rFonts w:ascii="Arial" w:hAnsi="Arial" w:cs="Arial"/>
          <w:b w:val="0"/>
          <w:bCs w:val="0"/>
          <w:sz w:val="20"/>
          <w:szCs w:val="20"/>
        </w:rPr>
        <w:t xml:space="preserve"> Tropical, 67</w:t>
      </w:r>
      <w:r>
        <w:rPr>
          <w:rFonts w:ascii="Arial" w:hAnsi="Arial" w:cs="Arial"/>
          <w:sz w:val="20"/>
          <w:szCs w:val="20"/>
        </w:rPr>
        <w:t xml:space="preserve">(6). </w:t>
      </w:r>
      <w:hyperlink r:id="rId59" w:tgtFrame="C:\Users\Dell\AppData\Local\Temp\_new" w:history="1">
        <w:r>
          <w:rPr>
            <w:rStyle w:val="Hyperlink"/>
            <w:rFonts w:ascii="Arial" w:hAnsi="Arial" w:cs="Arial"/>
            <w:color w:val="auto"/>
            <w:sz w:val="20"/>
            <w:szCs w:val="20"/>
          </w:rPr>
          <w:t>https://doi.org/10.15517/rbt.v67i6.34787</w:t>
        </w:r>
      </w:hyperlink>
    </w:p>
    <w:p w14:paraId="7B44FFE0"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Kostina-Bednarz, M., </w:t>
      </w:r>
      <w:proofErr w:type="spellStart"/>
      <w:r>
        <w:rPr>
          <w:rFonts w:ascii="Arial" w:hAnsi="Arial" w:cs="Arial"/>
          <w:sz w:val="20"/>
          <w:szCs w:val="20"/>
        </w:rPr>
        <w:t>Płonka</w:t>
      </w:r>
      <w:proofErr w:type="spellEnd"/>
      <w:r>
        <w:rPr>
          <w:rFonts w:ascii="Arial" w:hAnsi="Arial" w:cs="Arial"/>
          <w:sz w:val="20"/>
          <w:szCs w:val="20"/>
        </w:rPr>
        <w:t xml:space="preserve">, J., &amp; </w:t>
      </w:r>
      <w:proofErr w:type="spellStart"/>
      <w:r>
        <w:rPr>
          <w:rFonts w:ascii="Arial" w:hAnsi="Arial" w:cs="Arial"/>
          <w:sz w:val="20"/>
          <w:szCs w:val="20"/>
        </w:rPr>
        <w:t>Barchañska</w:t>
      </w:r>
      <w:proofErr w:type="spellEnd"/>
      <w:r>
        <w:rPr>
          <w:rFonts w:ascii="Arial" w:hAnsi="Arial" w:cs="Arial"/>
          <w:sz w:val="20"/>
          <w:szCs w:val="20"/>
        </w:rPr>
        <w:t xml:space="preserve">, H. (2023). </w:t>
      </w:r>
      <w:r>
        <w:rPr>
          <w:rStyle w:val="Emphasis"/>
          <w:rFonts w:ascii="Arial" w:hAnsi="Arial" w:cs="Arial"/>
          <w:sz w:val="20"/>
          <w:szCs w:val="20"/>
        </w:rPr>
        <w:t>Allelopathy as a source of bioherbicides: Challenges and prospects for sustainable agriculture</w:t>
      </w:r>
      <w:r>
        <w:rPr>
          <w:rFonts w:ascii="Arial" w:hAnsi="Arial" w:cs="Arial"/>
          <w:sz w:val="20"/>
          <w:szCs w:val="20"/>
        </w:rPr>
        <w:t xml:space="preserve">. </w:t>
      </w:r>
      <w:r>
        <w:rPr>
          <w:rStyle w:val="Strong"/>
          <w:rFonts w:ascii="Arial" w:hAnsi="Arial" w:cs="Arial"/>
          <w:b w:val="0"/>
          <w:bCs w:val="0"/>
          <w:sz w:val="20"/>
          <w:szCs w:val="20"/>
        </w:rPr>
        <w:t>Reviews in Environmental Science and Bio/Technology, 22</w:t>
      </w:r>
      <w:r>
        <w:rPr>
          <w:rFonts w:ascii="Arial" w:hAnsi="Arial" w:cs="Arial"/>
          <w:sz w:val="20"/>
          <w:szCs w:val="20"/>
        </w:rPr>
        <w:t xml:space="preserve">(2), 471. </w:t>
      </w:r>
      <w:hyperlink r:id="rId60" w:tgtFrame="C:\Users\Dell\AppData\Local\Temp\_new" w:history="1">
        <w:r>
          <w:rPr>
            <w:rStyle w:val="Hyperlink"/>
            <w:rFonts w:ascii="Arial" w:hAnsi="Arial" w:cs="Arial"/>
            <w:color w:val="auto"/>
            <w:sz w:val="20"/>
            <w:szCs w:val="20"/>
          </w:rPr>
          <w:t>https://doi.org/10.1007/s11157-023-09656-1</w:t>
        </w:r>
      </w:hyperlink>
    </w:p>
    <w:p w14:paraId="21192E23"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Kristianto</w:t>
      </w:r>
      <w:proofErr w:type="spellEnd"/>
      <w:r>
        <w:rPr>
          <w:rFonts w:ascii="Arial" w:hAnsi="Arial" w:cs="Arial"/>
          <w:sz w:val="20"/>
          <w:szCs w:val="20"/>
        </w:rPr>
        <w:t xml:space="preserve">, H., Jennifer, A., </w:t>
      </w:r>
      <w:proofErr w:type="spellStart"/>
      <w:r>
        <w:rPr>
          <w:rFonts w:ascii="Arial" w:hAnsi="Arial" w:cs="Arial"/>
          <w:sz w:val="20"/>
          <w:szCs w:val="20"/>
        </w:rPr>
        <w:t>Sugih</w:t>
      </w:r>
      <w:proofErr w:type="spellEnd"/>
      <w:r>
        <w:rPr>
          <w:rFonts w:ascii="Arial" w:hAnsi="Arial" w:cs="Arial"/>
          <w:sz w:val="20"/>
          <w:szCs w:val="20"/>
        </w:rPr>
        <w:t xml:space="preserve">, A. K., &amp; </w:t>
      </w:r>
      <w:proofErr w:type="spellStart"/>
      <w:r>
        <w:rPr>
          <w:rFonts w:ascii="Arial" w:hAnsi="Arial" w:cs="Arial"/>
          <w:sz w:val="20"/>
          <w:szCs w:val="20"/>
        </w:rPr>
        <w:t>Prasetyo</w:t>
      </w:r>
      <w:proofErr w:type="spellEnd"/>
      <w:r>
        <w:rPr>
          <w:rFonts w:ascii="Arial" w:hAnsi="Arial" w:cs="Arial"/>
          <w:sz w:val="20"/>
          <w:szCs w:val="20"/>
        </w:rPr>
        <w:t xml:space="preserve">, S. (2020). </w:t>
      </w:r>
      <w:r>
        <w:rPr>
          <w:rStyle w:val="Emphasis"/>
          <w:rFonts w:ascii="Arial" w:hAnsi="Arial" w:cs="Arial"/>
          <w:sz w:val="20"/>
          <w:szCs w:val="20"/>
        </w:rPr>
        <w:t>Polysaccharide potential from fruit waste as a natural coagulant for water and wastewater treatment: A review</w:t>
      </w:r>
      <w:r>
        <w:rPr>
          <w:rFonts w:ascii="Arial" w:hAnsi="Arial" w:cs="Arial"/>
          <w:sz w:val="20"/>
          <w:szCs w:val="20"/>
        </w:rPr>
        <w:t xml:space="preserve">. </w:t>
      </w:r>
      <w:proofErr w:type="spellStart"/>
      <w:r>
        <w:rPr>
          <w:rStyle w:val="Strong"/>
          <w:rFonts w:ascii="Arial" w:hAnsi="Arial" w:cs="Arial"/>
          <w:b w:val="0"/>
          <w:bCs w:val="0"/>
          <w:sz w:val="20"/>
          <w:szCs w:val="20"/>
        </w:rPr>
        <w:t>Jurnal</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Rekayasa</w:t>
      </w:r>
      <w:proofErr w:type="spellEnd"/>
      <w:r>
        <w:rPr>
          <w:rStyle w:val="Strong"/>
          <w:rFonts w:ascii="Arial" w:hAnsi="Arial" w:cs="Arial"/>
          <w:b w:val="0"/>
          <w:bCs w:val="0"/>
          <w:sz w:val="20"/>
          <w:szCs w:val="20"/>
        </w:rPr>
        <w:t xml:space="preserve"> Proses, 14</w:t>
      </w:r>
      <w:r>
        <w:rPr>
          <w:rFonts w:ascii="Arial" w:hAnsi="Arial" w:cs="Arial"/>
          <w:sz w:val="20"/>
          <w:szCs w:val="20"/>
        </w:rPr>
        <w:t xml:space="preserve">(2), 108. </w:t>
      </w:r>
      <w:hyperlink r:id="rId61" w:tgtFrame="C:\Users\Dell\AppData\Local\Temp\_new" w:history="1">
        <w:r>
          <w:rPr>
            <w:rStyle w:val="Hyperlink"/>
            <w:rFonts w:ascii="Arial" w:hAnsi="Arial" w:cs="Arial"/>
            <w:color w:val="auto"/>
            <w:sz w:val="20"/>
            <w:szCs w:val="20"/>
          </w:rPr>
          <w:t>https://doi.org/10.22146/jrekpros.57798</w:t>
        </w:r>
      </w:hyperlink>
    </w:p>
    <w:p w14:paraId="5E0BAEA2"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Liniger, H., Studer, R. M., Moll, P., &amp; Zander, U. (2017). </w:t>
      </w:r>
      <w:r>
        <w:rPr>
          <w:rStyle w:val="Emphasis"/>
          <w:rFonts w:ascii="Arial" w:hAnsi="Arial" w:cs="Arial"/>
          <w:sz w:val="20"/>
          <w:szCs w:val="20"/>
        </w:rPr>
        <w:t>Making sense of research for sustainable land management</w:t>
      </w:r>
      <w:r>
        <w:rPr>
          <w:rFonts w:ascii="Arial" w:hAnsi="Arial" w:cs="Arial"/>
          <w:sz w:val="20"/>
          <w:szCs w:val="20"/>
        </w:rPr>
        <w:t xml:space="preserve">. </w:t>
      </w:r>
      <w:r>
        <w:rPr>
          <w:rStyle w:val="Strong"/>
          <w:rFonts w:ascii="Arial" w:hAnsi="Arial" w:cs="Arial"/>
          <w:b w:val="0"/>
          <w:bCs w:val="0"/>
          <w:sz w:val="20"/>
          <w:szCs w:val="20"/>
        </w:rPr>
        <w:t>University of Bern</w:t>
      </w:r>
      <w:r>
        <w:rPr>
          <w:rFonts w:ascii="Arial" w:hAnsi="Arial" w:cs="Arial"/>
          <w:sz w:val="20"/>
          <w:szCs w:val="20"/>
        </w:rPr>
        <w:t xml:space="preserve">. </w:t>
      </w:r>
      <w:hyperlink r:id="rId62" w:tgtFrame="C:\Users\Dell\AppData\Local\Temp\_new" w:history="1">
        <w:r>
          <w:rPr>
            <w:rStyle w:val="Hyperlink"/>
            <w:rFonts w:ascii="Arial" w:hAnsi="Arial" w:cs="Arial"/>
            <w:color w:val="auto"/>
            <w:sz w:val="20"/>
            <w:szCs w:val="20"/>
          </w:rPr>
          <w:t>https://doi.org/10.7892/boris.94494</w:t>
        </w:r>
      </w:hyperlink>
    </w:p>
    <w:p w14:paraId="0137665B"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Lopes, R. W. N., Morais, E. M., Lacerda, J. J. de J., &amp; Araújo, F. D. da S. (2022). </w:t>
      </w:r>
      <w:r>
        <w:rPr>
          <w:rStyle w:val="Emphasis"/>
          <w:rFonts w:ascii="Arial" w:hAnsi="Arial" w:cs="Arial"/>
          <w:sz w:val="20"/>
          <w:szCs w:val="20"/>
        </w:rPr>
        <w:t>Bioherbicidal potential of plant species with allelopathic effects on the weed</w:t>
      </w:r>
      <w:r>
        <w:rPr>
          <w:rFonts w:ascii="Arial" w:hAnsi="Arial" w:cs="Arial"/>
          <w:sz w:val="20"/>
          <w:szCs w:val="20"/>
        </w:rPr>
        <w:t xml:space="preserve"> </w:t>
      </w:r>
      <w:proofErr w:type="spellStart"/>
      <w:r>
        <w:rPr>
          <w:rStyle w:val="Emphasis"/>
          <w:rFonts w:ascii="Arial" w:hAnsi="Arial" w:cs="Arial"/>
          <w:sz w:val="20"/>
          <w:szCs w:val="20"/>
        </w:rPr>
        <w:t>Bidens</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bipinnata</w:t>
      </w:r>
      <w:proofErr w:type="spellEnd"/>
      <w:r>
        <w:rPr>
          <w:rFonts w:ascii="Arial" w:hAnsi="Arial" w:cs="Arial"/>
          <w:sz w:val="20"/>
          <w:szCs w:val="20"/>
        </w:rPr>
        <w:t xml:space="preserve"> L. </w:t>
      </w:r>
      <w:r>
        <w:rPr>
          <w:rStyle w:val="Strong"/>
          <w:rFonts w:ascii="Arial" w:hAnsi="Arial" w:cs="Arial"/>
          <w:b w:val="0"/>
          <w:bCs w:val="0"/>
          <w:sz w:val="20"/>
          <w:szCs w:val="20"/>
        </w:rPr>
        <w:t>Scientific Reports, 12</w:t>
      </w:r>
      <w:r>
        <w:rPr>
          <w:rFonts w:ascii="Arial" w:hAnsi="Arial" w:cs="Arial"/>
          <w:sz w:val="20"/>
          <w:szCs w:val="20"/>
        </w:rPr>
        <w:t xml:space="preserve">(1). </w:t>
      </w:r>
      <w:hyperlink r:id="rId63" w:tgtFrame="C:\Users\Dell\AppData\Local\Temp\_new" w:history="1">
        <w:r>
          <w:rPr>
            <w:rStyle w:val="Hyperlink"/>
            <w:rFonts w:ascii="Arial" w:hAnsi="Arial" w:cs="Arial"/>
            <w:color w:val="auto"/>
            <w:sz w:val="20"/>
            <w:szCs w:val="20"/>
          </w:rPr>
          <w:t>https://doi.org/10.1038/s41598-022-16203-5</w:t>
        </w:r>
      </w:hyperlink>
    </w:p>
    <w:p w14:paraId="455E5AF2"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MacLaren, C., Storkey, J., </w:t>
      </w:r>
      <w:proofErr w:type="spellStart"/>
      <w:r>
        <w:rPr>
          <w:rFonts w:ascii="Arial" w:hAnsi="Arial" w:cs="Arial"/>
          <w:sz w:val="20"/>
          <w:szCs w:val="20"/>
        </w:rPr>
        <w:t>Menegat</w:t>
      </w:r>
      <w:proofErr w:type="spellEnd"/>
      <w:r>
        <w:rPr>
          <w:rFonts w:ascii="Arial" w:hAnsi="Arial" w:cs="Arial"/>
          <w:sz w:val="20"/>
          <w:szCs w:val="20"/>
        </w:rPr>
        <w:t xml:space="preserve">, A., Metcalfe, H., &amp; </w:t>
      </w:r>
      <w:proofErr w:type="spellStart"/>
      <w:r>
        <w:rPr>
          <w:rFonts w:ascii="Arial" w:hAnsi="Arial" w:cs="Arial"/>
          <w:sz w:val="20"/>
          <w:szCs w:val="20"/>
        </w:rPr>
        <w:t>Dehnen</w:t>
      </w:r>
      <w:proofErr w:type="spellEnd"/>
      <w:r>
        <w:rPr>
          <w:rFonts w:ascii="Arial" w:hAnsi="Arial" w:cs="Arial"/>
          <w:sz w:val="20"/>
          <w:szCs w:val="20"/>
        </w:rPr>
        <w:t xml:space="preserve">-Schmutz, K. (2020). </w:t>
      </w:r>
      <w:r>
        <w:rPr>
          <w:rStyle w:val="Emphasis"/>
          <w:rFonts w:ascii="Arial" w:hAnsi="Arial" w:cs="Arial"/>
          <w:sz w:val="20"/>
          <w:szCs w:val="20"/>
        </w:rPr>
        <w:t>An ecological future for weed science to sustain crop production and the environment: A review</w:t>
      </w:r>
      <w:r>
        <w:rPr>
          <w:rFonts w:ascii="Arial" w:hAnsi="Arial" w:cs="Arial"/>
          <w:sz w:val="20"/>
          <w:szCs w:val="20"/>
        </w:rPr>
        <w:t xml:space="preserve">. </w:t>
      </w:r>
      <w:r>
        <w:rPr>
          <w:rStyle w:val="Strong"/>
          <w:rFonts w:ascii="Arial" w:hAnsi="Arial" w:cs="Arial"/>
          <w:b w:val="0"/>
          <w:bCs w:val="0"/>
          <w:sz w:val="20"/>
          <w:szCs w:val="20"/>
        </w:rPr>
        <w:t>Agronomy for Sustainable Development, 40</w:t>
      </w:r>
      <w:r>
        <w:rPr>
          <w:rFonts w:ascii="Arial" w:hAnsi="Arial" w:cs="Arial"/>
          <w:sz w:val="20"/>
          <w:szCs w:val="20"/>
        </w:rPr>
        <w:t xml:space="preserve">(4). </w:t>
      </w:r>
      <w:hyperlink r:id="rId64" w:tgtFrame="C:\Users\Dell\AppData\Local\Temp\_new" w:history="1">
        <w:r>
          <w:rPr>
            <w:rStyle w:val="Hyperlink"/>
            <w:rFonts w:ascii="Arial" w:hAnsi="Arial" w:cs="Arial"/>
            <w:color w:val="auto"/>
            <w:sz w:val="20"/>
            <w:szCs w:val="20"/>
          </w:rPr>
          <w:t>https://doi.org/10.1007/s13593-020-00631-6</w:t>
        </w:r>
      </w:hyperlink>
    </w:p>
    <w:p w14:paraId="4FD3BDFF"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Mahé, I., Chauvel, B., Colbach, N., Cordeau, S., Gfeller, A., Reiss, A., &amp; Moreau, D. (2022). </w:t>
      </w:r>
      <w:r>
        <w:rPr>
          <w:rStyle w:val="Emphasis"/>
          <w:rFonts w:ascii="Arial" w:hAnsi="Arial" w:cs="Arial"/>
          <w:sz w:val="20"/>
          <w:szCs w:val="20"/>
        </w:rPr>
        <w:t>Deciphering field-based evidence for crop allelopathy in weed regulation: A review</w:t>
      </w:r>
      <w:r>
        <w:rPr>
          <w:rFonts w:ascii="Arial" w:hAnsi="Arial" w:cs="Arial"/>
          <w:sz w:val="20"/>
          <w:szCs w:val="20"/>
        </w:rPr>
        <w:t xml:space="preserve">. </w:t>
      </w:r>
      <w:r>
        <w:rPr>
          <w:rStyle w:val="Strong"/>
          <w:rFonts w:ascii="Arial" w:hAnsi="Arial" w:cs="Arial"/>
          <w:b w:val="0"/>
          <w:bCs w:val="0"/>
          <w:sz w:val="20"/>
          <w:szCs w:val="20"/>
        </w:rPr>
        <w:t>Agronomy for Sustainable Development, 42</w:t>
      </w:r>
      <w:r>
        <w:rPr>
          <w:rFonts w:ascii="Arial" w:hAnsi="Arial" w:cs="Arial"/>
          <w:sz w:val="20"/>
          <w:szCs w:val="20"/>
        </w:rPr>
        <w:t xml:space="preserve">(3). </w:t>
      </w:r>
      <w:hyperlink r:id="rId65" w:tgtFrame="C:\Users\Dell\AppData\Local\Temp\_new" w:history="1">
        <w:r>
          <w:rPr>
            <w:rStyle w:val="Hyperlink"/>
            <w:rFonts w:ascii="Arial" w:hAnsi="Arial" w:cs="Arial"/>
            <w:color w:val="auto"/>
            <w:sz w:val="20"/>
            <w:szCs w:val="20"/>
          </w:rPr>
          <w:t>https://doi.org/10.1007/s13593-021-00749-1</w:t>
        </w:r>
      </w:hyperlink>
    </w:p>
    <w:p w14:paraId="092CBAE7"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Marsuki</w:t>
      </w:r>
      <w:proofErr w:type="spellEnd"/>
      <w:r>
        <w:rPr>
          <w:rFonts w:ascii="Arial" w:hAnsi="Arial" w:cs="Arial"/>
          <w:sz w:val="20"/>
          <w:szCs w:val="20"/>
        </w:rPr>
        <w:t xml:space="preserve">, M., Torano, F. M., &amp; Hidayah, H. (2025). </w:t>
      </w:r>
      <w:r>
        <w:rPr>
          <w:rStyle w:val="Emphasis"/>
          <w:rFonts w:ascii="Arial" w:hAnsi="Arial" w:cs="Arial"/>
          <w:sz w:val="20"/>
          <w:szCs w:val="20"/>
        </w:rPr>
        <w:t>Training on artificial intelligence (AI)-based instructional video development for physical education teachers</w:t>
      </w:r>
      <w:r>
        <w:rPr>
          <w:rFonts w:ascii="Arial" w:hAnsi="Arial" w:cs="Arial"/>
          <w:sz w:val="20"/>
          <w:szCs w:val="20"/>
        </w:rPr>
        <w:t xml:space="preserve">. </w:t>
      </w:r>
      <w:r>
        <w:rPr>
          <w:rStyle w:val="Strong"/>
          <w:rFonts w:ascii="Arial" w:hAnsi="Arial" w:cs="Arial"/>
          <w:b w:val="0"/>
          <w:bCs w:val="0"/>
          <w:sz w:val="20"/>
          <w:szCs w:val="20"/>
        </w:rPr>
        <w:t>Community: Journal of Community Service, 5</w:t>
      </w:r>
      <w:r>
        <w:rPr>
          <w:rFonts w:ascii="Arial" w:hAnsi="Arial" w:cs="Arial"/>
          <w:sz w:val="20"/>
          <w:szCs w:val="20"/>
        </w:rPr>
        <w:t xml:space="preserve">(2), 570. </w:t>
      </w:r>
      <w:hyperlink r:id="rId66" w:tgtFrame="C:\Users\Dell\AppData\Local\Temp\_new" w:history="1">
        <w:r>
          <w:rPr>
            <w:rStyle w:val="Hyperlink"/>
            <w:rFonts w:ascii="Arial" w:hAnsi="Arial" w:cs="Arial"/>
            <w:color w:val="auto"/>
            <w:sz w:val="20"/>
            <w:szCs w:val="20"/>
          </w:rPr>
          <w:t>https://doi.org/10.51878/community.v5i2.7319</w:t>
        </w:r>
      </w:hyperlink>
    </w:p>
    <w:p w14:paraId="140AEC8A"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Martin, P. A., Shackelford, G. E., Bullock, J. M., Gallardo, B., Aldridge, D. C., &amp; Sutherland, W. J. (2020). </w:t>
      </w:r>
      <w:r>
        <w:rPr>
          <w:rStyle w:val="Emphasis"/>
          <w:rFonts w:ascii="Arial" w:hAnsi="Arial" w:cs="Arial"/>
          <w:sz w:val="20"/>
          <w:szCs w:val="20"/>
        </w:rPr>
        <w:t>Management of UK priority invasive alien plants: A systematic review protocol</w:t>
      </w:r>
      <w:r>
        <w:rPr>
          <w:rFonts w:ascii="Arial" w:hAnsi="Arial" w:cs="Arial"/>
          <w:sz w:val="20"/>
          <w:szCs w:val="20"/>
        </w:rPr>
        <w:t xml:space="preserve">. </w:t>
      </w:r>
      <w:r>
        <w:rPr>
          <w:rStyle w:val="Strong"/>
          <w:rFonts w:ascii="Arial" w:hAnsi="Arial" w:cs="Arial"/>
          <w:b w:val="0"/>
          <w:bCs w:val="0"/>
          <w:sz w:val="20"/>
          <w:szCs w:val="20"/>
        </w:rPr>
        <w:t>Environmental Evidence, 9</w:t>
      </w:r>
      <w:r>
        <w:rPr>
          <w:rFonts w:ascii="Arial" w:hAnsi="Arial" w:cs="Arial"/>
          <w:sz w:val="20"/>
          <w:szCs w:val="20"/>
        </w:rPr>
        <w:t xml:space="preserve">(1). </w:t>
      </w:r>
      <w:hyperlink r:id="rId67" w:tgtFrame="C:\Users\Dell\AppData\Local\Temp\_new" w:history="1">
        <w:r>
          <w:rPr>
            <w:rStyle w:val="Hyperlink"/>
            <w:rFonts w:ascii="Arial" w:hAnsi="Arial" w:cs="Arial"/>
            <w:color w:val="auto"/>
            <w:sz w:val="20"/>
            <w:szCs w:val="20"/>
          </w:rPr>
          <w:t>https://doi.org/10.1186/s13750-020-0186-y</w:t>
        </w:r>
      </w:hyperlink>
    </w:p>
    <w:p w14:paraId="02211B97"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Motmainna</w:t>
      </w:r>
      <w:proofErr w:type="spellEnd"/>
      <w:r>
        <w:rPr>
          <w:rFonts w:ascii="Arial" w:hAnsi="Arial" w:cs="Arial"/>
          <w:sz w:val="20"/>
          <w:szCs w:val="20"/>
        </w:rPr>
        <w:t xml:space="preserve">, M., Juraimi, A. S., Uddin, M. K., </w:t>
      </w:r>
      <w:proofErr w:type="spellStart"/>
      <w:r>
        <w:rPr>
          <w:rFonts w:ascii="Arial" w:hAnsi="Arial" w:cs="Arial"/>
          <w:sz w:val="20"/>
          <w:szCs w:val="20"/>
        </w:rPr>
        <w:t>Asib</w:t>
      </w:r>
      <w:proofErr w:type="spellEnd"/>
      <w:r>
        <w:rPr>
          <w:rFonts w:ascii="Arial" w:hAnsi="Arial" w:cs="Arial"/>
          <w:sz w:val="20"/>
          <w:szCs w:val="20"/>
        </w:rPr>
        <w:t xml:space="preserve">, N., Islam, A. K. M. M., &amp; Hasan, M. (2021). </w:t>
      </w:r>
      <w:r>
        <w:rPr>
          <w:rStyle w:val="Emphasis"/>
          <w:rFonts w:ascii="Arial" w:hAnsi="Arial" w:cs="Arial"/>
          <w:sz w:val="20"/>
          <w:szCs w:val="20"/>
        </w:rPr>
        <w:t>Bioherbicidal properties of</w:t>
      </w:r>
      <w:r>
        <w:rPr>
          <w:rFonts w:ascii="Arial" w:hAnsi="Arial" w:cs="Arial"/>
          <w:sz w:val="20"/>
          <w:szCs w:val="20"/>
        </w:rPr>
        <w:t xml:space="preserve"> </w:t>
      </w:r>
      <w:r>
        <w:rPr>
          <w:rFonts w:ascii="Arial" w:hAnsi="Arial" w:cs="Arial"/>
          <w:i/>
          <w:sz w:val="20"/>
          <w:szCs w:val="20"/>
        </w:rPr>
        <w:t xml:space="preserve">Parthenium </w:t>
      </w:r>
      <w:proofErr w:type="spellStart"/>
      <w:r>
        <w:rPr>
          <w:rFonts w:ascii="Arial" w:hAnsi="Arial" w:cs="Arial"/>
          <w:i/>
          <w:sz w:val="20"/>
          <w:szCs w:val="20"/>
        </w:rPr>
        <w:t>hysterophorus</w:t>
      </w:r>
      <w:proofErr w:type="spellEnd"/>
      <w:r>
        <w:rPr>
          <w:rFonts w:ascii="Arial" w:hAnsi="Arial" w:cs="Arial"/>
          <w:sz w:val="20"/>
          <w:szCs w:val="20"/>
        </w:rPr>
        <w:t xml:space="preserve">, </w:t>
      </w:r>
      <w:r>
        <w:rPr>
          <w:rStyle w:val="Emphasis"/>
          <w:rFonts w:ascii="Arial" w:hAnsi="Arial" w:cs="Arial"/>
          <w:sz w:val="20"/>
          <w:szCs w:val="20"/>
        </w:rPr>
        <w:t xml:space="preserve">Cleome </w:t>
      </w:r>
      <w:proofErr w:type="spellStart"/>
      <w:r>
        <w:rPr>
          <w:rStyle w:val="Emphasis"/>
          <w:rFonts w:ascii="Arial" w:hAnsi="Arial" w:cs="Arial"/>
          <w:sz w:val="20"/>
          <w:szCs w:val="20"/>
        </w:rPr>
        <w:t>rutidosperma</w:t>
      </w:r>
      <w:proofErr w:type="spellEnd"/>
      <w:r>
        <w:rPr>
          <w:rStyle w:val="Emphasis"/>
          <w:rFonts w:ascii="Arial" w:hAnsi="Arial" w:cs="Arial"/>
          <w:sz w:val="20"/>
          <w:szCs w:val="20"/>
        </w:rPr>
        <w:t>, and</w:t>
      </w:r>
      <w:r>
        <w:rPr>
          <w:rFonts w:ascii="Arial" w:hAnsi="Arial" w:cs="Arial"/>
          <w:sz w:val="20"/>
          <w:szCs w:val="20"/>
        </w:rPr>
        <w:t xml:space="preserve"> </w:t>
      </w:r>
      <w:r>
        <w:rPr>
          <w:rFonts w:ascii="Arial" w:hAnsi="Arial" w:cs="Arial"/>
          <w:i/>
          <w:sz w:val="20"/>
          <w:szCs w:val="20"/>
        </w:rPr>
        <w:t>Borreria alata</w:t>
      </w:r>
      <w:r>
        <w:rPr>
          <w:rFonts w:ascii="Arial" w:hAnsi="Arial" w:cs="Arial"/>
          <w:sz w:val="20"/>
          <w:szCs w:val="20"/>
        </w:rPr>
        <w:t xml:space="preserve"> </w:t>
      </w:r>
      <w:r>
        <w:rPr>
          <w:rStyle w:val="Emphasis"/>
          <w:rFonts w:ascii="Arial" w:hAnsi="Arial" w:cs="Arial"/>
          <w:sz w:val="20"/>
          <w:szCs w:val="20"/>
        </w:rPr>
        <w:t>extracts on selected crop and weed species</w:t>
      </w:r>
      <w:r>
        <w:rPr>
          <w:rFonts w:ascii="Arial" w:hAnsi="Arial" w:cs="Arial"/>
          <w:sz w:val="20"/>
          <w:szCs w:val="20"/>
        </w:rPr>
        <w:t xml:space="preserve">. </w:t>
      </w:r>
      <w:r>
        <w:rPr>
          <w:rStyle w:val="Strong"/>
          <w:rFonts w:ascii="Arial" w:hAnsi="Arial" w:cs="Arial"/>
          <w:b w:val="0"/>
          <w:bCs w:val="0"/>
          <w:sz w:val="20"/>
          <w:szCs w:val="20"/>
        </w:rPr>
        <w:t>Agronomy, 11</w:t>
      </w:r>
      <w:r>
        <w:rPr>
          <w:rFonts w:ascii="Arial" w:hAnsi="Arial" w:cs="Arial"/>
          <w:sz w:val="20"/>
          <w:szCs w:val="20"/>
        </w:rPr>
        <w:t xml:space="preserve">(4), 643. </w:t>
      </w:r>
      <w:hyperlink r:id="rId68" w:tgtFrame="C:\Users\Dell\AppData\Local\Temp\_new" w:history="1">
        <w:r>
          <w:rPr>
            <w:rStyle w:val="Hyperlink"/>
            <w:rFonts w:ascii="Arial" w:hAnsi="Arial" w:cs="Arial"/>
            <w:color w:val="auto"/>
            <w:sz w:val="20"/>
            <w:szCs w:val="20"/>
          </w:rPr>
          <w:t>https://doi.org/10.3390/agronomy11040643</w:t>
        </w:r>
      </w:hyperlink>
    </w:p>
    <w:p w14:paraId="4B2C1ED6"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lastRenderedPageBreak/>
        <w:t>Mudaningrat</w:t>
      </w:r>
      <w:proofErr w:type="spellEnd"/>
      <w:r>
        <w:rPr>
          <w:rFonts w:ascii="Arial" w:hAnsi="Arial" w:cs="Arial"/>
          <w:sz w:val="20"/>
          <w:szCs w:val="20"/>
        </w:rPr>
        <w:t xml:space="preserve">, A., </w:t>
      </w:r>
      <w:proofErr w:type="spellStart"/>
      <w:r>
        <w:rPr>
          <w:rFonts w:ascii="Arial" w:hAnsi="Arial" w:cs="Arial"/>
          <w:sz w:val="20"/>
          <w:szCs w:val="20"/>
        </w:rPr>
        <w:t>Indriani</w:t>
      </w:r>
      <w:proofErr w:type="spellEnd"/>
      <w:r>
        <w:rPr>
          <w:rFonts w:ascii="Arial" w:hAnsi="Arial" w:cs="Arial"/>
          <w:sz w:val="20"/>
          <w:szCs w:val="20"/>
        </w:rPr>
        <w:t xml:space="preserve">, B. S., </w:t>
      </w:r>
      <w:proofErr w:type="spellStart"/>
      <w:r>
        <w:rPr>
          <w:rFonts w:ascii="Arial" w:hAnsi="Arial" w:cs="Arial"/>
          <w:sz w:val="20"/>
          <w:szCs w:val="20"/>
        </w:rPr>
        <w:t>Istianah</w:t>
      </w:r>
      <w:proofErr w:type="spellEnd"/>
      <w:r>
        <w:rPr>
          <w:rFonts w:ascii="Arial" w:hAnsi="Arial" w:cs="Arial"/>
          <w:sz w:val="20"/>
          <w:szCs w:val="20"/>
        </w:rPr>
        <w:t xml:space="preserve">, N., </w:t>
      </w:r>
      <w:proofErr w:type="spellStart"/>
      <w:r>
        <w:rPr>
          <w:rFonts w:ascii="Arial" w:hAnsi="Arial" w:cs="Arial"/>
          <w:sz w:val="20"/>
          <w:szCs w:val="20"/>
        </w:rPr>
        <w:t>Retnoningsih</w:t>
      </w:r>
      <w:proofErr w:type="spellEnd"/>
      <w:r>
        <w:rPr>
          <w:rFonts w:ascii="Arial" w:hAnsi="Arial" w:cs="Arial"/>
          <w:sz w:val="20"/>
          <w:szCs w:val="20"/>
        </w:rPr>
        <w:t xml:space="preserve">, A., &amp; Rahayu, E. S. (2023). </w:t>
      </w:r>
      <w:r>
        <w:rPr>
          <w:rStyle w:val="Emphasis"/>
          <w:rFonts w:ascii="Arial" w:hAnsi="Arial" w:cs="Arial"/>
          <w:sz w:val="20"/>
          <w:szCs w:val="20"/>
        </w:rPr>
        <w:t>Literature review on the utilization of</w:t>
      </w:r>
      <w:r>
        <w:rPr>
          <w:rFonts w:ascii="Arial" w:hAnsi="Arial" w:cs="Arial"/>
          <w:sz w:val="20"/>
          <w:szCs w:val="20"/>
        </w:rPr>
        <w:t xml:space="preserve"> Syzygium </w:t>
      </w:r>
      <w:r>
        <w:rPr>
          <w:rStyle w:val="Emphasis"/>
          <w:rFonts w:ascii="Arial" w:hAnsi="Arial" w:cs="Arial"/>
          <w:sz w:val="20"/>
          <w:szCs w:val="20"/>
        </w:rPr>
        <w:t>species in Indonesia</w:t>
      </w:r>
      <w:r>
        <w:rPr>
          <w:rFonts w:ascii="Arial" w:hAnsi="Arial" w:cs="Arial"/>
          <w:sz w:val="20"/>
          <w:szCs w:val="20"/>
        </w:rPr>
        <w:t xml:space="preserve">. </w:t>
      </w:r>
      <w:r>
        <w:rPr>
          <w:rStyle w:val="Strong"/>
          <w:rFonts w:ascii="Arial" w:hAnsi="Arial" w:cs="Arial"/>
          <w:b w:val="0"/>
          <w:bCs w:val="0"/>
          <w:sz w:val="20"/>
          <w:szCs w:val="20"/>
        </w:rPr>
        <w:t>Journal of Biology and Biology Education (JB&amp;P), 10</w:t>
      </w:r>
      <w:r>
        <w:rPr>
          <w:rFonts w:ascii="Arial" w:hAnsi="Arial" w:cs="Arial"/>
          <w:sz w:val="20"/>
          <w:szCs w:val="20"/>
        </w:rPr>
        <w:t xml:space="preserve">(2), 135. </w:t>
      </w:r>
      <w:hyperlink r:id="rId69" w:tgtFrame="C:\Users\Dell\AppData\Local\Temp\_new" w:history="1">
        <w:r>
          <w:rPr>
            <w:rStyle w:val="Hyperlink"/>
            <w:rFonts w:ascii="Arial" w:hAnsi="Arial" w:cs="Arial"/>
            <w:color w:val="auto"/>
            <w:sz w:val="20"/>
            <w:szCs w:val="20"/>
          </w:rPr>
          <w:t>https://doi.org/10.29407/jbp.v10i2.20815</w:t>
        </w:r>
      </w:hyperlink>
    </w:p>
    <w:p w14:paraId="76A7CD4F"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Mujiafiat</w:t>
      </w:r>
      <w:proofErr w:type="spellEnd"/>
      <w:r>
        <w:rPr>
          <w:rFonts w:ascii="Arial" w:hAnsi="Arial" w:cs="Arial"/>
          <w:sz w:val="20"/>
          <w:szCs w:val="20"/>
        </w:rPr>
        <w:t xml:space="preserve">, K. A., &amp; </w:t>
      </w:r>
      <w:proofErr w:type="spellStart"/>
      <w:r>
        <w:rPr>
          <w:rFonts w:ascii="Arial" w:hAnsi="Arial" w:cs="Arial"/>
          <w:sz w:val="20"/>
          <w:szCs w:val="20"/>
        </w:rPr>
        <w:t>Yoenanto</w:t>
      </w:r>
      <w:proofErr w:type="spellEnd"/>
      <w:r>
        <w:rPr>
          <w:rFonts w:ascii="Arial" w:hAnsi="Arial" w:cs="Arial"/>
          <w:sz w:val="20"/>
          <w:szCs w:val="20"/>
        </w:rPr>
        <w:t xml:space="preserve">, N. H. (2023). </w:t>
      </w:r>
      <w:r>
        <w:rPr>
          <w:rStyle w:val="Emphasis"/>
          <w:rFonts w:ascii="Arial" w:hAnsi="Arial" w:cs="Arial"/>
          <w:sz w:val="20"/>
          <w:szCs w:val="20"/>
        </w:rPr>
        <w:t>Teachers’ readiness for the implementation of inclusive education</w:t>
      </w:r>
      <w:r>
        <w:rPr>
          <w:rFonts w:ascii="Arial" w:hAnsi="Arial" w:cs="Arial"/>
          <w:sz w:val="20"/>
          <w:szCs w:val="20"/>
        </w:rPr>
        <w:t xml:space="preserve">. </w:t>
      </w:r>
      <w:r>
        <w:rPr>
          <w:rStyle w:val="Strong"/>
          <w:rFonts w:ascii="Arial" w:hAnsi="Arial" w:cs="Arial"/>
          <w:b w:val="0"/>
          <w:bCs w:val="0"/>
          <w:sz w:val="20"/>
          <w:szCs w:val="20"/>
        </w:rPr>
        <w:t>EDUKATIF: Journal of Educational Sciences, 5</w:t>
      </w:r>
      <w:r>
        <w:rPr>
          <w:rFonts w:ascii="Arial" w:hAnsi="Arial" w:cs="Arial"/>
          <w:sz w:val="20"/>
          <w:szCs w:val="20"/>
        </w:rPr>
        <w:t xml:space="preserve">(2), 1108. </w:t>
      </w:r>
      <w:hyperlink r:id="rId70" w:tgtFrame="C:\Users\Dell\AppData\Local\Temp\_new" w:history="1">
        <w:r>
          <w:rPr>
            <w:rStyle w:val="Hyperlink"/>
            <w:rFonts w:ascii="Arial" w:hAnsi="Arial" w:cs="Arial"/>
            <w:color w:val="auto"/>
            <w:sz w:val="20"/>
            <w:szCs w:val="20"/>
          </w:rPr>
          <w:t>https://doi.org/10.31004/edukatif.v5i2.4918</w:t>
        </w:r>
      </w:hyperlink>
    </w:p>
    <w:p w14:paraId="1E7C512D"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Najib, A., Budi, G. P., </w:t>
      </w:r>
      <w:proofErr w:type="spellStart"/>
      <w:r>
        <w:rPr>
          <w:rFonts w:ascii="Arial" w:hAnsi="Arial" w:cs="Arial"/>
          <w:sz w:val="20"/>
          <w:szCs w:val="20"/>
        </w:rPr>
        <w:t>Pribadi</w:t>
      </w:r>
      <w:proofErr w:type="spellEnd"/>
      <w:r>
        <w:rPr>
          <w:rFonts w:ascii="Arial" w:hAnsi="Arial" w:cs="Arial"/>
          <w:sz w:val="20"/>
          <w:szCs w:val="20"/>
        </w:rPr>
        <w:t xml:space="preserve">, T., &amp; </w:t>
      </w:r>
      <w:proofErr w:type="spellStart"/>
      <w:r>
        <w:rPr>
          <w:rFonts w:ascii="Arial" w:hAnsi="Arial" w:cs="Arial"/>
          <w:sz w:val="20"/>
          <w:szCs w:val="20"/>
        </w:rPr>
        <w:t>Hajoeningtijas</w:t>
      </w:r>
      <w:proofErr w:type="spellEnd"/>
      <w:r>
        <w:rPr>
          <w:rFonts w:ascii="Arial" w:hAnsi="Arial" w:cs="Arial"/>
          <w:sz w:val="20"/>
          <w:szCs w:val="20"/>
        </w:rPr>
        <w:t xml:space="preserve">, O. D. (2025). </w:t>
      </w:r>
      <w:r>
        <w:rPr>
          <w:rStyle w:val="Emphasis"/>
          <w:rFonts w:ascii="Arial" w:hAnsi="Arial" w:cs="Arial"/>
          <w:sz w:val="20"/>
          <w:szCs w:val="20"/>
        </w:rPr>
        <w:t>Evaluation of several weed extracts as botanical herbicides on growth and yield of eggplant (Solanum melongena L.) under different weeding combinations</w:t>
      </w:r>
      <w:r>
        <w:rPr>
          <w:rFonts w:ascii="Arial" w:hAnsi="Arial" w:cs="Arial"/>
          <w:sz w:val="20"/>
          <w:szCs w:val="20"/>
        </w:rPr>
        <w:t xml:space="preserve">. </w:t>
      </w:r>
      <w:r>
        <w:rPr>
          <w:rStyle w:val="Strong"/>
          <w:rFonts w:ascii="Arial" w:hAnsi="Arial" w:cs="Arial"/>
          <w:b w:val="0"/>
          <w:bCs w:val="0"/>
          <w:sz w:val="20"/>
          <w:szCs w:val="20"/>
        </w:rPr>
        <w:t>Proceedings Series on Physical &amp; Formal Sciences, 8</w:t>
      </w:r>
      <w:r>
        <w:rPr>
          <w:rFonts w:ascii="Arial" w:hAnsi="Arial" w:cs="Arial"/>
          <w:sz w:val="20"/>
          <w:szCs w:val="20"/>
        </w:rPr>
        <w:t xml:space="preserve">, 149. </w:t>
      </w:r>
      <w:hyperlink r:id="rId71" w:tgtFrame="C:\Users\Dell\AppData\Local\Temp\_new" w:history="1">
        <w:r>
          <w:rPr>
            <w:rStyle w:val="Hyperlink"/>
            <w:rFonts w:ascii="Arial" w:hAnsi="Arial" w:cs="Arial"/>
            <w:color w:val="auto"/>
            <w:sz w:val="20"/>
            <w:szCs w:val="20"/>
          </w:rPr>
          <w:t>https://doi.org/10.30595/pspfs.v8i.1488</w:t>
        </w:r>
      </w:hyperlink>
    </w:p>
    <w:p w14:paraId="22430065"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Nikolić, L., </w:t>
      </w:r>
      <w:proofErr w:type="spellStart"/>
      <w:r>
        <w:rPr>
          <w:rFonts w:ascii="Arial" w:hAnsi="Arial" w:cs="Arial"/>
          <w:sz w:val="20"/>
          <w:szCs w:val="20"/>
        </w:rPr>
        <w:t>Šeremešić</w:t>
      </w:r>
      <w:proofErr w:type="spellEnd"/>
      <w:r>
        <w:rPr>
          <w:rFonts w:ascii="Arial" w:hAnsi="Arial" w:cs="Arial"/>
          <w:sz w:val="20"/>
          <w:szCs w:val="20"/>
        </w:rPr>
        <w:t xml:space="preserve">, S., </w:t>
      </w:r>
      <w:proofErr w:type="spellStart"/>
      <w:r>
        <w:rPr>
          <w:rFonts w:ascii="Arial" w:hAnsi="Arial" w:cs="Arial"/>
          <w:sz w:val="20"/>
          <w:szCs w:val="20"/>
        </w:rPr>
        <w:t>Đžigurski</w:t>
      </w:r>
      <w:proofErr w:type="spellEnd"/>
      <w:r>
        <w:rPr>
          <w:rFonts w:ascii="Arial" w:hAnsi="Arial" w:cs="Arial"/>
          <w:sz w:val="20"/>
          <w:szCs w:val="20"/>
        </w:rPr>
        <w:t xml:space="preserve">, D., Vojnov, B., &amp; Vasiljević, M. (2023). </w:t>
      </w:r>
      <w:r>
        <w:rPr>
          <w:rStyle w:val="Emphasis"/>
          <w:rFonts w:ascii="Arial" w:hAnsi="Arial" w:cs="Arial"/>
          <w:sz w:val="20"/>
          <w:szCs w:val="20"/>
        </w:rPr>
        <w:t>Weeds as bioindicators of ecological conditions in organic carrot and onion crops</w:t>
      </w:r>
      <w:r>
        <w:rPr>
          <w:rFonts w:ascii="Arial" w:hAnsi="Arial" w:cs="Arial"/>
          <w:sz w:val="20"/>
          <w:szCs w:val="20"/>
        </w:rPr>
        <w:t xml:space="preserve">. </w:t>
      </w:r>
      <w:r>
        <w:rPr>
          <w:rStyle w:val="Strong"/>
          <w:rFonts w:ascii="Arial" w:hAnsi="Arial" w:cs="Arial"/>
          <w:b w:val="0"/>
          <w:bCs w:val="0"/>
          <w:sz w:val="20"/>
          <w:szCs w:val="20"/>
        </w:rPr>
        <w:t>Contemporary Agriculture, 72</w:t>
      </w:r>
      <w:r>
        <w:rPr>
          <w:rFonts w:ascii="Arial" w:hAnsi="Arial" w:cs="Arial"/>
          <w:sz w:val="20"/>
          <w:szCs w:val="20"/>
        </w:rPr>
        <w:t xml:space="preserve">(3), 89. </w:t>
      </w:r>
      <w:hyperlink r:id="rId72" w:tgtFrame="C:\Users\Dell\AppData\Local\Temp\_new" w:history="1">
        <w:r>
          <w:rPr>
            <w:rStyle w:val="Hyperlink"/>
            <w:rFonts w:ascii="Arial" w:hAnsi="Arial" w:cs="Arial"/>
            <w:color w:val="auto"/>
            <w:sz w:val="20"/>
            <w:szCs w:val="20"/>
          </w:rPr>
          <w:t>https://doi.org/10.2478/contagri-2023-0012</w:t>
        </w:r>
      </w:hyperlink>
    </w:p>
    <w:p w14:paraId="7F72DC62"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Paiman, P., Hidayat, A. K., </w:t>
      </w:r>
      <w:proofErr w:type="spellStart"/>
      <w:r>
        <w:rPr>
          <w:rFonts w:ascii="Arial" w:hAnsi="Arial" w:cs="Arial"/>
          <w:sz w:val="20"/>
          <w:szCs w:val="20"/>
        </w:rPr>
        <w:t>Shobirin</w:t>
      </w:r>
      <w:proofErr w:type="spellEnd"/>
      <w:r>
        <w:rPr>
          <w:rFonts w:ascii="Arial" w:hAnsi="Arial" w:cs="Arial"/>
          <w:sz w:val="20"/>
          <w:szCs w:val="20"/>
        </w:rPr>
        <w:t xml:space="preserve">, S. S., &amp; </w:t>
      </w:r>
      <w:proofErr w:type="spellStart"/>
      <w:r>
        <w:rPr>
          <w:rFonts w:ascii="Arial" w:hAnsi="Arial" w:cs="Arial"/>
          <w:sz w:val="20"/>
          <w:szCs w:val="20"/>
        </w:rPr>
        <w:t>Khasanah</w:t>
      </w:r>
      <w:proofErr w:type="spellEnd"/>
      <w:r>
        <w:rPr>
          <w:rFonts w:ascii="Arial" w:hAnsi="Arial" w:cs="Arial"/>
          <w:sz w:val="20"/>
          <w:szCs w:val="20"/>
        </w:rPr>
        <w:t xml:space="preserve">, S. I. (2022a). </w:t>
      </w:r>
      <w:r>
        <w:rPr>
          <w:rStyle w:val="Emphasis"/>
          <w:rFonts w:ascii="Arial" w:hAnsi="Arial" w:cs="Arial"/>
          <w:sz w:val="20"/>
          <w:szCs w:val="20"/>
        </w:rPr>
        <w:t>Efficacy of weed extracts as bioherbicides in rice (Oryza sativa L.) cultivation</w:t>
      </w:r>
      <w:r>
        <w:rPr>
          <w:rFonts w:ascii="Arial" w:hAnsi="Arial" w:cs="Arial"/>
          <w:sz w:val="20"/>
          <w:szCs w:val="20"/>
        </w:rPr>
        <w:t xml:space="preserve">. </w:t>
      </w:r>
      <w:r>
        <w:rPr>
          <w:rStyle w:val="Strong"/>
          <w:rFonts w:ascii="Arial" w:hAnsi="Arial" w:cs="Arial"/>
          <w:b w:val="0"/>
          <w:bCs w:val="0"/>
          <w:sz w:val="20"/>
          <w:szCs w:val="20"/>
        </w:rPr>
        <w:t>Research on Crops</w:t>
      </w:r>
      <w:r>
        <w:rPr>
          <w:rFonts w:ascii="Arial" w:hAnsi="Arial" w:cs="Arial"/>
          <w:sz w:val="20"/>
          <w:szCs w:val="20"/>
        </w:rPr>
        <w:t xml:space="preserve">. </w:t>
      </w:r>
      <w:hyperlink r:id="rId73" w:tgtFrame="C:\Users\Dell\AppData\Local\Temp\_new" w:history="1">
        <w:r>
          <w:rPr>
            <w:rStyle w:val="Hyperlink"/>
            <w:rFonts w:ascii="Arial" w:hAnsi="Arial" w:cs="Arial"/>
            <w:color w:val="auto"/>
            <w:sz w:val="20"/>
            <w:szCs w:val="20"/>
          </w:rPr>
          <w:t>https://doi.org/10.31830/2454-1761.2022.roc-860</w:t>
        </w:r>
      </w:hyperlink>
    </w:p>
    <w:p w14:paraId="747D968E"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Paiman, P., Hidayat, A. K., </w:t>
      </w:r>
      <w:proofErr w:type="spellStart"/>
      <w:r>
        <w:rPr>
          <w:rFonts w:ascii="Arial" w:hAnsi="Arial" w:cs="Arial"/>
          <w:sz w:val="20"/>
          <w:szCs w:val="20"/>
        </w:rPr>
        <w:t>Shobirin</w:t>
      </w:r>
      <w:proofErr w:type="spellEnd"/>
      <w:r>
        <w:rPr>
          <w:rFonts w:ascii="Arial" w:hAnsi="Arial" w:cs="Arial"/>
          <w:sz w:val="20"/>
          <w:szCs w:val="20"/>
        </w:rPr>
        <w:t xml:space="preserve">, S. S., &amp; </w:t>
      </w:r>
      <w:proofErr w:type="spellStart"/>
      <w:r>
        <w:rPr>
          <w:rFonts w:ascii="Arial" w:hAnsi="Arial" w:cs="Arial"/>
          <w:sz w:val="20"/>
          <w:szCs w:val="20"/>
        </w:rPr>
        <w:t>Khasanah</w:t>
      </w:r>
      <w:proofErr w:type="spellEnd"/>
      <w:r>
        <w:rPr>
          <w:rFonts w:ascii="Arial" w:hAnsi="Arial" w:cs="Arial"/>
          <w:sz w:val="20"/>
          <w:szCs w:val="20"/>
        </w:rPr>
        <w:t xml:space="preserve">, S. I. (2022b). </w:t>
      </w:r>
      <w:r>
        <w:rPr>
          <w:rStyle w:val="Emphasis"/>
          <w:rFonts w:ascii="Arial" w:hAnsi="Arial" w:cs="Arial"/>
          <w:sz w:val="20"/>
          <w:szCs w:val="20"/>
        </w:rPr>
        <w:t>Efficacy of weed extracts as bioherbicides in rice (Oryza sativa L.) cultivation</w:t>
      </w:r>
      <w:r>
        <w:rPr>
          <w:rFonts w:ascii="Arial" w:hAnsi="Arial" w:cs="Arial"/>
          <w:sz w:val="20"/>
          <w:szCs w:val="20"/>
        </w:rPr>
        <w:t xml:space="preserve">. </w:t>
      </w:r>
      <w:r>
        <w:rPr>
          <w:rStyle w:val="Strong"/>
          <w:rFonts w:ascii="Arial" w:hAnsi="Arial" w:cs="Arial"/>
          <w:b w:val="0"/>
          <w:bCs w:val="0"/>
          <w:sz w:val="20"/>
          <w:szCs w:val="20"/>
        </w:rPr>
        <w:t>Research on Crops</w:t>
      </w:r>
      <w:r>
        <w:rPr>
          <w:rFonts w:ascii="Arial" w:hAnsi="Arial" w:cs="Arial"/>
          <w:sz w:val="20"/>
          <w:szCs w:val="20"/>
        </w:rPr>
        <w:t xml:space="preserve">. </w:t>
      </w:r>
      <w:hyperlink r:id="rId74" w:tgtFrame="C:\Users\Dell\AppData\Local\Temp\_new" w:history="1">
        <w:r>
          <w:rPr>
            <w:rStyle w:val="Hyperlink"/>
            <w:rFonts w:ascii="Arial" w:hAnsi="Arial" w:cs="Arial"/>
            <w:color w:val="auto"/>
            <w:sz w:val="20"/>
            <w:szCs w:val="20"/>
          </w:rPr>
          <w:t>https://doi.org/10.31830/2348-7542.2022.roc-860</w:t>
        </w:r>
      </w:hyperlink>
    </w:p>
    <w:p w14:paraId="1105C8A4"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Pambudi</w:t>
      </w:r>
      <w:proofErr w:type="spellEnd"/>
      <w:r>
        <w:rPr>
          <w:rFonts w:ascii="Arial" w:hAnsi="Arial" w:cs="Arial"/>
          <w:sz w:val="20"/>
          <w:szCs w:val="20"/>
        </w:rPr>
        <w:t xml:space="preserve">, P. A., Utomo, S. W., </w:t>
      </w:r>
      <w:proofErr w:type="spellStart"/>
      <w:r>
        <w:rPr>
          <w:rFonts w:ascii="Arial" w:hAnsi="Arial" w:cs="Arial"/>
          <w:sz w:val="20"/>
          <w:szCs w:val="20"/>
        </w:rPr>
        <w:t>Waryono</w:t>
      </w:r>
      <w:proofErr w:type="spellEnd"/>
      <w:r>
        <w:rPr>
          <w:rFonts w:ascii="Arial" w:hAnsi="Arial" w:cs="Arial"/>
          <w:sz w:val="20"/>
          <w:szCs w:val="20"/>
        </w:rPr>
        <w:t xml:space="preserve">, T., &amp; Hartono, D. M. (2019). </w:t>
      </w:r>
      <w:r>
        <w:rPr>
          <w:rStyle w:val="Emphasis"/>
          <w:rFonts w:ascii="Arial" w:hAnsi="Arial" w:cs="Arial"/>
          <w:sz w:val="20"/>
          <w:szCs w:val="20"/>
        </w:rPr>
        <w:t>Weed management in dryland paddy farming for environmental conservation</w:t>
      </w:r>
      <w:r>
        <w:rPr>
          <w:rFonts w:ascii="Arial" w:hAnsi="Arial" w:cs="Arial"/>
          <w:sz w:val="20"/>
          <w:szCs w:val="20"/>
        </w:rPr>
        <w:t xml:space="preserve">. </w:t>
      </w:r>
      <w:r>
        <w:rPr>
          <w:rStyle w:val="Strong"/>
          <w:rFonts w:ascii="Arial" w:hAnsi="Arial" w:cs="Arial"/>
          <w:b w:val="0"/>
          <w:bCs w:val="0"/>
          <w:sz w:val="20"/>
          <w:szCs w:val="20"/>
        </w:rPr>
        <w:t>IOP Conference Series: Earth and Environmental Science, 239</w:t>
      </w:r>
      <w:r>
        <w:rPr>
          <w:rFonts w:ascii="Arial" w:hAnsi="Arial" w:cs="Arial"/>
          <w:sz w:val="20"/>
          <w:szCs w:val="20"/>
        </w:rPr>
        <w:t xml:space="preserve">, 012013. </w:t>
      </w:r>
      <w:hyperlink r:id="rId75" w:tgtFrame="C:\Users\Dell\AppData\Local\Temp\_new" w:history="1">
        <w:r>
          <w:rPr>
            <w:rStyle w:val="Hyperlink"/>
            <w:rFonts w:ascii="Arial" w:hAnsi="Arial" w:cs="Arial"/>
            <w:color w:val="auto"/>
            <w:sz w:val="20"/>
            <w:szCs w:val="20"/>
          </w:rPr>
          <w:t>https://doi.org/10.1088/1755-1315/239/1/012013</w:t>
        </w:r>
      </w:hyperlink>
    </w:p>
    <w:p w14:paraId="25EEE338"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Parajuli, S., Shrestha, J., Subedi, S., &amp; Pandey, M. (2022). </w:t>
      </w:r>
      <w:r>
        <w:rPr>
          <w:rStyle w:val="Emphasis"/>
          <w:rFonts w:ascii="Arial" w:hAnsi="Arial" w:cs="Arial"/>
          <w:sz w:val="20"/>
          <w:szCs w:val="20"/>
        </w:rPr>
        <w:t>Biopesticides: A sustainable approach for pest management</w:t>
      </w:r>
      <w:r>
        <w:rPr>
          <w:rFonts w:ascii="Arial" w:hAnsi="Arial" w:cs="Arial"/>
          <w:sz w:val="20"/>
          <w:szCs w:val="20"/>
        </w:rPr>
        <w:t xml:space="preserve">. </w:t>
      </w:r>
      <w:r>
        <w:rPr>
          <w:rStyle w:val="Strong"/>
          <w:rFonts w:ascii="Arial" w:hAnsi="Arial" w:cs="Arial"/>
          <w:b w:val="0"/>
          <w:bCs w:val="0"/>
          <w:sz w:val="20"/>
          <w:szCs w:val="20"/>
        </w:rPr>
        <w:t>SAARC Journal of Agriculture, 20</w:t>
      </w:r>
      <w:r>
        <w:rPr>
          <w:rFonts w:ascii="Arial" w:hAnsi="Arial" w:cs="Arial"/>
          <w:sz w:val="20"/>
          <w:szCs w:val="20"/>
        </w:rPr>
        <w:t xml:space="preserve">(1), 1–14. </w:t>
      </w:r>
      <w:hyperlink r:id="rId76" w:tgtFrame="C:\Users\Dell\AppData\Local\Temp\_new" w:history="1">
        <w:r>
          <w:rPr>
            <w:rStyle w:val="Hyperlink"/>
            <w:rFonts w:ascii="Arial" w:hAnsi="Arial" w:cs="Arial"/>
            <w:color w:val="auto"/>
            <w:sz w:val="20"/>
            <w:szCs w:val="20"/>
          </w:rPr>
          <w:t>https://doi.org/10.3329/sja.v20i1.60526</w:t>
        </w:r>
      </w:hyperlink>
    </w:p>
    <w:p w14:paraId="588F9231"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Poli, E. F., &amp; </w:t>
      </w:r>
      <w:proofErr w:type="spellStart"/>
      <w:r>
        <w:rPr>
          <w:rFonts w:ascii="Arial" w:hAnsi="Arial" w:cs="Arial"/>
          <w:sz w:val="20"/>
          <w:szCs w:val="20"/>
        </w:rPr>
        <w:t>Fontefrancesco</w:t>
      </w:r>
      <w:proofErr w:type="spellEnd"/>
      <w:r>
        <w:rPr>
          <w:rFonts w:ascii="Arial" w:hAnsi="Arial" w:cs="Arial"/>
          <w:sz w:val="20"/>
          <w:szCs w:val="20"/>
        </w:rPr>
        <w:t xml:space="preserve">, M. F. (2024). </w:t>
      </w:r>
      <w:r>
        <w:rPr>
          <w:rStyle w:val="Emphasis"/>
          <w:rFonts w:ascii="Arial" w:hAnsi="Arial" w:cs="Arial"/>
          <w:sz w:val="20"/>
          <w:szCs w:val="20"/>
        </w:rPr>
        <w:t>Trends in the implementation of biopesticides in the Euro-Mediterranean region: A narrative literature review</w:t>
      </w:r>
      <w:r>
        <w:rPr>
          <w:rFonts w:ascii="Arial" w:hAnsi="Arial" w:cs="Arial"/>
          <w:sz w:val="20"/>
          <w:szCs w:val="20"/>
        </w:rPr>
        <w:t xml:space="preserve">. </w:t>
      </w:r>
      <w:r>
        <w:rPr>
          <w:rStyle w:val="Strong"/>
          <w:rFonts w:ascii="Arial" w:hAnsi="Arial" w:cs="Arial"/>
          <w:b w:val="0"/>
          <w:bCs w:val="0"/>
          <w:sz w:val="20"/>
          <w:szCs w:val="20"/>
        </w:rPr>
        <w:t>Sustainable Earth Reviews, 7</w:t>
      </w:r>
      <w:r>
        <w:rPr>
          <w:rFonts w:ascii="Arial" w:hAnsi="Arial" w:cs="Arial"/>
          <w:sz w:val="20"/>
          <w:szCs w:val="20"/>
        </w:rPr>
        <w:t xml:space="preserve">(1). </w:t>
      </w:r>
      <w:hyperlink r:id="rId77" w:tgtFrame="C:\Users\Dell\AppData\Local\Temp\_new" w:history="1">
        <w:r>
          <w:rPr>
            <w:rStyle w:val="Hyperlink"/>
            <w:rFonts w:ascii="Arial" w:hAnsi="Arial" w:cs="Arial"/>
            <w:color w:val="auto"/>
            <w:sz w:val="20"/>
            <w:szCs w:val="20"/>
          </w:rPr>
          <w:t>https://doi.org/10.1186/s42055-024-00085-8</w:t>
        </w:r>
      </w:hyperlink>
    </w:p>
    <w:p w14:paraId="16E83A25"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Puspitasari</w:t>
      </w:r>
      <w:proofErr w:type="spellEnd"/>
      <w:r>
        <w:rPr>
          <w:rFonts w:ascii="Arial" w:hAnsi="Arial" w:cs="Arial"/>
          <w:sz w:val="20"/>
          <w:szCs w:val="20"/>
        </w:rPr>
        <w:t xml:space="preserve">, V., &amp; </w:t>
      </w:r>
      <w:proofErr w:type="spellStart"/>
      <w:r>
        <w:rPr>
          <w:rFonts w:ascii="Arial" w:hAnsi="Arial" w:cs="Arial"/>
          <w:sz w:val="20"/>
          <w:szCs w:val="20"/>
        </w:rPr>
        <w:t>Choerunisa</w:t>
      </w:r>
      <w:proofErr w:type="spellEnd"/>
      <w:r>
        <w:rPr>
          <w:rFonts w:ascii="Arial" w:hAnsi="Arial" w:cs="Arial"/>
          <w:sz w:val="20"/>
          <w:szCs w:val="20"/>
        </w:rPr>
        <w:t xml:space="preserve">, N. (2021). </w:t>
      </w:r>
      <w:r>
        <w:rPr>
          <w:rStyle w:val="Emphasis"/>
          <w:rFonts w:ascii="Arial" w:hAnsi="Arial" w:cs="Arial"/>
          <w:sz w:val="20"/>
          <w:szCs w:val="20"/>
        </w:rPr>
        <w:t xml:space="preserve">Systematic review of the antidiabetic effects of bitter melon (Momordica </w:t>
      </w:r>
      <w:proofErr w:type="spellStart"/>
      <w:r>
        <w:rPr>
          <w:rStyle w:val="Emphasis"/>
          <w:rFonts w:ascii="Arial" w:hAnsi="Arial" w:cs="Arial"/>
          <w:sz w:val="20"/>
          <w:szCs w:val="20"/>
        </w:rPr>
        <w:t>charantia</w:t>
      </w:r>
      <w:proofErr w:type="spellEnd"/>
      <w:r>
        <w:rPr>
          <w:rStyle w:val="Emphasis"/>
          <w:rFonts w:ascii="Arial" w:hAnsi="Arial" w:cs="Arial"/>
          <w:sz w:val="20"/>
          <w:szCs w:val="20"/>
        </w:rPr>
        <w:t xml:space="preserve"> Linn.) on blood glucose levels in alloxan-induced rats</w:t>
      </w:r>
      <w:r>
        <w:rPr>
          <w:rFonts w:ascii="Arial" w:hAnsi="Arial" w:cs="Arial"/>
          <w:sz w:val="20"/>
          <w:szCs w:val="20"/>
        </w:rPr>
        <w:t xml:space="preserve">. </w:t>
      </w:r>
      <w:r>
        <w:rPr>
          <w:rStyle w:val="Strong"/>
          <w:rFonts w:ascii="Arial" w:hAnsi="Arial" w:cs="Arial"/>
          <w:b w:val="0"/>
          <w:bCs w:val="0"/>
          <w:sz w:val="20"/>
          <w:szCs w:val="20"/>
        </w:rPr>
        <w:t>Generics: Journal of Research in Pharmacy, 1</w:t>
      </w:r>
      <w:r>
        <w:rPr>
          <w:rFonts w:ascii="Arial" w:hAnsi="Arial" w:cs="Arial"/>
          <w:sz w:val="20"/>
          <w:szCs w:val="20"/>
        </w:rPr>
        <w:t xml:space="preserve">(2), 18–26. </w:t>
      </w:r>
      <w:hyperlink r:id="rId78" w:tgtFrame="C:\Users\Dell\AppData\Local\Temp\_new" w:history="1">
        <w:r>
          <w:rPr>
            <w:rStyle w:val="Hyperlink"/>
            <w:rFonts w:ascii="Arial" w:hAnsi="Arial" w:cs="Arial"/>
            <w:color w:val="auto"/>
            <w:sz w:val="20"/>
            <w:szCs w:val="20"/>
          </w:rPr>
          <w:t>https://doi.org/10.14710/genres.v1i2.11052</w:t>
        </w:r>
      </w:hyperlink>
    </w:p>
    <w:p w14:paraId="660B56D6"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Putra, A. S. E., Hanif, C. U., &amp; </w:t>
      </w:r>
      <w:proofErr w:type="spellStart"/>
      <w:r>
        <w:rPr>
          <w:rFonts w:ascii="Arial" w:hAnsi="Arial" w:cs="Arial"/>
          <w:sz w:val="20"/>
          <w:szCs w:val="20"/>
        </w:rPr>
        <w:t>Racmadhani</w:t>
      </w:r>
      <w:proofErr w:type="spellEnd"/>
      <w:r>
        <w:rPr>
          <w:rFonts w:ascii="Arial" w:hAnsi="Arial" w:cs="Arial"/>
          <w:sz w:val="20"/>
          <w:szCs w:val="20"/>
        </w:rPr>
        <w:t xml:space="preserve">, M. A. M. (2024). </w:t>
      </w:r>
      <w:r>
        <w:rPr>
          <w:rStyle w:val="Emphasis"/>
          <w:rFonts w:ascii="Arial" w:hAnsi="Arial" w:cs="Arial"/>
          <w:sz w:val="20"/>
          <w:szCs w:val="20"/>
        </w:rPr>
        <w:t>Application of artificial intelligence to improve productivity and sustainability of agriculture in Indonesia</w:t>
      </w:r>
      <w:r>
        <w:rPr>
          <w:rFonts w:ascii="Arial" w:hAnsi="Arial" w:cs="Arial"/>
          <w:sz w:val="20"/>
          <w:szCs w:val="20"/>
        </w:rPr>
        <w:t xml:space="preserve">. </w:t>
      </w:r>
      <w:r>
        <w:rPr>
          <w:rStyle w:val="Strong"/>
          <w:rFonts w:ascii="Arial" w:hAnsi="Arial" w:cs="Arial"/>
          <w:b w:val="0"/>
          <w:bCs w:val="0"/>
          <w:sz w:val="20"/>
          <w:szCs w:val="20"/>
        </w:rPr>
        <w:t>JATI (Journal of Informatics Engineering Students), 9</w:t>
      </w:r>
      <w:r>
        <w:rPr>
          <w:rFonts w:ascii="Arial" w:hAnsi="Arial" w:cs="Arial"/>
          <w:sz w:val="20"/>
          <w:szCs w:val="20"/>
        </w:rPr>
        <w:t xml:space="preserve">(1), 407–414. </w:t>
      </w:r>
      <w:hyperlink r:id="rId79" w:tgtFrame="C:\Users\Dell\AppData\Local\Temp\_new" w:history="1">
        <w:r>
          <w:rPr>
            <w:rStyle w:val="Hyperlink"/>
            <w:rFonts w:ascii="Arial" w:hAnsi="Arial" w:cs="Arial"/>
            <w:color w:val="auto"/>
            <w:sz w:val="20"/>
            <w:szCs w:val="20"/>
          </w:rPr>
          <w:t>https://doi.org/10.36040/jati.v9i1.12339</w:t>
        </w:r>
      </w:hyperlink>
    </w:p>
    <w:p w14:paraId="5C0F2ED3"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Putri, A., &amp; </w:t>
      </w:r>
      <w:proofErr w:type="spellStart"/>
      <w:r>
        <w:rPr>
          <w:rFonts w:ascii="Arial" w:hAnsi="Arial" w:cs="Arial"/>
          <w:sz w:val="20"/>
          <w:szCs w:val="20"/>
        </w:rPr>
        <w:t>Malichatin</w:t>
      </w:r>
      <w:proofErr w:type="spellEnd"/>
      <w:r>
        <w:rPr>
          <w:rFonts w:ascii="Arial" w:hAnsi="Arial" w:cs="Arial"/>
          <w:sz w:val="20"/>
          <w:szCs w:val="20"/>
        </w:rPr>
        <w:t xml:space="preserve">, H. (2025). </w:t>
      </w:r>
      <w:r>
        <w:rPr>
          <w:rStyle w:val="Emphasis"/>
          <w:rFonts w:ascii="Arial" w:hAnsi="Arial" w:cs="Arial"/>
          <w:sz w:val="20"/>
          <w:szCs w:val="20"/>
        </w:rPr>
        <w:t>Implementation of STEM-based mini projects: Production of orange peel-based biopesticides to enhance science literacy and environmental awareness among junior high school students</w:t>
      </w:r>
      <w:r>
        <w:rPr>
          <w:rFonts w:ascii="Arial" w:hAnsi="Arial" w:cs="Arial"/>
          <w:sz w:val="20"/>
          <w:szCs w:val="20"/>
        </w:rPr>
        <w:t xml:space="preserve">. </w:t>
      </w:r>
      <w:r>
        <w:rPr>
          <w:rStyle w:val="Strong"/>
          <w:rFonts w:ascii="Arial" w:hAnsi="Arial" w:cs="Arial"/>
          <w:b w:val="0"/>
          <w:bCs w:val="0"/>
          <w:sz w:val="20"/>
          <w:szCs w:val="20"/>
        </w:rPr>
        <w:t>SCIENCE: Journal of Innovation in Mathematics and Science Education, 5</w:t>
      </w:r>
      <w:r>
        <w:rPr>
          <w:rFonts w:ascii="Arial" w:hAnsi="Arial" w:cs="Arial"/>
          <w:sz w:val="20"/>
          <w:szCs w:val="20"/>
        </w:rPr>
        <w:t xml:space="preserve">(4), 1958–1968. </w:t>
      </w:r>
      <w:hyperlink r:id="rId80" w:tgtFrame="C:\Users\Dell\AppData\Local\Temp\_new" w:history="1">
        <w:r>
          <w:rPr>
            <w:rStyle w:val="Hyperlink"/>
            <w:rFonts w:ascii="Arial" w:hAnsi="Arial" w:cs="Arial"/>
            <w:color w:val="auto"/>
            <w:sz w:val="20"/>
            <w:szCs w:val="20"/>
          </w:rPr>
          <w:t>https://doi.org/10.51878/science.v5i4.6116</w:t>
        </w:r>
      </w:hyperlink>
    </w:p>
    <w:p w14:paraId="4D8441BF"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Putri, S. M. P., &amp; </w:t>
      </w:r>
      <w:proofErr w:type="spellStart"/>
      <w:r>
        <w:rPr>
          <w:rFonts w:ascii="Arial" w:hAnsi="Arial" w:cs="Arial"/>
          <w:sz w:val="20"/>
          <w:szCs w:val="20"/>
        </w:rPr>
        <w:t>Rohmah</w:t>
      </w:r>
      <w:proofErr w:type="spellEnd"/>
      <w:r>
        <w:rPr>
          <w:rFonts w:ascii="Arial" w:hAnsi="Arial" w:cs="Arial"/>
          <w:sz w:val="20"/>
          <w:szCs w:val="20"/>
        </w:rPr>
        <w:t xml:space="preserve">, N. (2025). </w:t>
      </w:r>
      <w:r>
        <w:rPr>
          <w:rStyle w:val="Emphasis"/>
          <w:rFonts w:ascii="Arial" w:hAnsi="Arial" w:cs="Arial"/>
          <w:sz w:val="20"/>
          <w:szCs w:val="20"/>
        </w:rPr>
        <w:t>Systematic literature review (SLR): Implementation of agriculture-related fields in early childhood education</w:t>
      </w:r>
      <w:r>
        <w:rPr>
          <w:rFonts w:ascii="Arial" w:hAnsi="Arial" w:cs="Arial"/>
          <w:sz w:val="20"/>
          <w:szCs w:val="20"/>
        </w:rPr>
        <w:t xml:space="preserve">. </w:t>
      </w:r>
      <w:proofErr w:type="spellStart"/>
      <w:r>
        <w:rPr>
          <w:rStyle w:val="Strong"/>
          <w:rFonts w:ascii="Arial" w:hAnsi="Arial" w:cs="Arial"/>
          <w:b w:val="0"/>
          <w:bCs w:val="0"/>
          <w:sz w:val="20"/>
          <w:szCs w:val="20"/>
        </w:rPr>
        <w:t>Educatio</w:t>
      </w:r>
      <w:proofErr w:type="spellEnd"/>
      <w:r>
        <w:rPr>
          <w:rStyle w:val="Strong"/>
          <w:rFonts w:ascii="Arial" w:hAnsi="Arial" w:cs="Arial"/>
          <w:b w:val="0"/>
          <w:bCs w:val="0"/>
          <w:sz w:val="20"/>
          <w:szCs w:val="20"/>
        </w:rPr>
        <w:t>, 20</w:t>
      </w:r>
      <w:r>
        <w:rPr>
          <w:rFonts w:ascii="Arial" w:hAnsi="Arial" w:cs="Arial"/>
          <w:sz w:val="20"/>
          <w:szCs w:val="20"/>
        </w:rPr>
        <w:t xml:space="preserve">(2), 304–314. </w:t>
      </w:r>
      <w:hyperlink r:id="rId81" w:tgtFrame="C:\Users\Dell\AppData\Local\Temp\_new" w:history="1">
        <w:r>
          <w:rPr>
            <w:rStyle w:val="Hyperlink"/>
            <w:rFonts w:ascii="Arial" w:hAnsi="Arial" w:cs="Arial"/>
            <w:color w:val="auto"/>
            <w:sz w:val="20"/>
            <w:szCs w:val="20"/>
          </w:rPr>
          <w:t>https://doi.org/10.29408/edc.v20i2.31299</w:t>
        </w:r>
      </w:hyperlink>
    </w:p>
    <w:p w14:paraId="65DB2835"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Rajakumar, D., Gomathy, M., &amp; Sabarinathan, K. G. (2025). </w:t>
      </w:r>
      <w:r>
        <w:rPr>
          <w:rStyle w:val="Emphasis"/>
          <w:rFonts w:ascii="Arial" w:hAnsi="Arial" w:cs="Arial"/>
          <w:sz w:val="20"/>
          <w:szCs w:val="20"/>
        </w:rPr>
        <w:t>Microbial allelopathy: A review of eco-friendly and sustainable weed management strategies</w:t>
      </w:r>
      <w:r>
        <w:rPr>
          <w:rFonts w:ascii="Arial" w:hAnsi="Arial" w:cs="Arial"/>
          <w:sz w:val="20"/>
          <w:szCs w:val="20"/>
        </w:rPr>
        <w:t xml:space="preserve">. </w:t>
      </w:r>
      <w:r>
        <w:rPr>
          <w:rStyle w:val="Strong"/>
          <w:rFonts w:ascii="Arial" w:hAnsi="Arial" w:cs="Arial"/>
          <w:b w:val="0"/>
          <w:bCs w:val="0"/>
          <w:sz w:val="20"/>
          <w:szCs w:val="20"/>
        </w:rPr>
        <w:t>Applied Ecology and Environmental Research, 23</w:t>
      </w:r>
      <w:r>
        <w:rPr>
          <w:rFonts w:ascii="Arial" w:hAnsi="Arial" w:cs="Arial"/>
          <w:sz w:val="20"/>
          <w:szCs w:val="20"/>
        </w:rPr>
        <w:t xml:space="preserve">(1), 621–635. </w:t>
      </w:r>
      <w:hyperlink r:id="rId82" w:tgtFrame="C:\Users\Dell\AppData\Local\Temp\_new" w:history="1">
        <w:r>
          <w:rPr>
            <w:rStyle w:val="Hyperlink"/>
            <w:rFonts w:ascii="Arial" w:hAnsi="Arial" w:cs="Arial"/>
            <w:color w:val="auto"/>
            <w:sz w:val="20"/>
            <w:szCs w:val="20"/>
          </w:rPr>
          <w:t>https://doi.org/10.15666/aeer/2301_621635</w:t>
        </w:r>
      </w:hyperlink>
    </w:p>
    <w:p w14:paraId="23A261B5"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Rhioui</w:t>
      </w:r>
      <w:proofErr w:type="spellEnd"/>
      <w:r>
        <w:rPr>
          <w:rFonts w:ascii="Arial" w:hAnsi="Arial" w:cs="Arial"/>
          <w:sz w:val="20"/>
          <w:szCs w:val="20"/>
        </w:rPr>
        <w:t xml:space="preserve">, W., </w:t>
      </w:r>
      <w:proofErr w:type="spellStart"/>
      <w:r>
        <w:rPr>
          <w:rFonts w:ascii="Arial" w:hAnsi="Arial" w:cs="Arial"/>
          <w:sz w:val="20"/>
          <w:szCs w:val="20"/>
        </w:rPr>
        <w:t>Figuigui</w:t>
      </w:r>
      <w:proofErr w:type="spellEnd"/>
      <w:r>
        <w:rPr>
          <w:rFonts w:ascii="Arial" w:hAnsi="Arial" w:cs="Arial"/>
          <w:sz w:val="20"/>
          <w:szCs w:val="20"/>
        </w:rPr>
        <w:t xml:space="preserve">, J. A., &amp; </w:t>
      </w:r>
      <w:proofErr w:type="spellStart"/>
      <w:r>
        <w:rPr>
          <w:rFonts w:ascii="Arial" w:hAnsi="Arial" w:cs="Arial"/>
          <w:sz w:val="20"/>
          <w:szCs w:val="20"/>
        </w:rPr>
        <w:t>Belmalha</w:t>
      </w:r>
      <w:proofErr w:type="spellEnd"/>
      <w:r>
        <w:rPr>
          <w:rFonts w:ascii="Arial" w:hAnsi="Arial" w:cs="Arial"/>
          <w:sz w:val="20"/>
          <w:szCs w:val="20"/>
        </w:rPr>
        <w:t xml:space="preserve">, S. (2024). </w:t>
      </w:r>
      <w:r>
        <w:rPr>
          <w:rStyle w:val="Emphasis"/>
          <w:rFonts w:ascii="Arial" w:hAnsi="Arial" w:cs="Arial"/>
          <w:sz w:val="20"/>
          <w:szCs w:val="20"/>
        </w:rPr>
        <w:t xml:space="preserve">Assessing the impact of organic and chemical herbicides on agronomic parameters, yield, and weed control efficiency in lentil (Lens </w:t>
      </w:r>
      <w:proofErr w:type="spellStart"/>
      <w:r>
        <w:rPr>
          <w:rStyle w:val="Emphasis"/>
          <w:rFonts w:ascii="Arial" w:hAnsi="Arial" w:cs="Arial"/>
          <w:sz w:val="20"/>
          <w:szCs w:val="20"/>
        </w:rPr>
        <w:t>culinaris</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Medik</w:t>
      </w:r>
      <w:proofErr w:type="spellEnd"/>
      <w:r>
        <w:rPr>
          <w:rStyle w:val="Emphasis"/>
          <w:rFonts w:ascii="Arial" w:hAnsi="Arial" w:cs="Arial"/>
          <w:sz w:val="20"/>
          <w:szCs w:val="20"/>
        </w:rPr>
        <w:t>.) under a direct-seeding system: A comparative analysis</w:t>
      </w:r>
      <w:r>
        <w:rPr>
          <w:rFonts w:ascii="Arial" w:hAnsi="Arial" w:cs="Arial"/>
          <w:sz w:val="20"/>
          <w:szCs w:val="20"/>
        </w:rPr>
        <w:t xml:space="preserve">. </w:t>
      </w:r>
      <w:r>
        <w:rPr>
          <w:rStyle w:val="Strong"/>
          <w:rFonts w:ascii="Arial" w:hAnsi="Arial" w:cs="Arial"/>
          <w:b w:val="0"/>
          <w:bCs w:val="0"/>
          <w:sz w:val="20"/>
          <w:szCs w:val="20"/>
        </w:rPr>
        <w:t>BIO Web of Conferences, 109</w:t>
      </w:r>
      <w:r>
        <w:rPr>
          <w:rFonts w:ascii="Arial" w:hAnsi="Arial" w:cs="Arial"/>
          <w:sz w:val="20"/>
          <w:szCs w:val="20"/>
        </w:rPr>
        <w:t xml:space="preserve">, 01033. </w:t>
      </w:r>
      <w:hyperlink r:id="rId83" w:tgtFrame="C:\Users\Dell\AppData\Local\Temp\_new" w:history="1">
        <w:r>
          <w:rPr>
            <w:rStyle w:val="Hyperlink"/>
            <w:rFonts w:ascii="Arial" w:hAnsi="Arial" w:cs="Arial"/>
            <w:color w:val="auto"/>
            <w:sz w:val="20"/>
            <w:szCs w:val="20"/>
          </w:rPr>
          <w:t>https://doi.org/10.1051/bioconf/202410901033</w:t>
        </w:r>
      </w:hyperlink>
    </w:p>
    <w:p w14:paraId="278B182D"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lastRenderedPageBreak/>
        <w:t>Riyamol</w:t>
      </w:r>
      <w:proofErr w:type="spellEnd"/>
      <w:r>
        <w:rPr>
          <w:rFonts w:ascii="Arial" w:hAnsi="Arial" w:cs="Arial"/>
          <w:sz w:val="20"/>
          <w:szCs w:val="20"/>
        </w:rPr>
        <w:t xml:space="preserve">, </w:t>
      </w:r>
      <w:proofErr w:type="spellStart"/>
      <w:r>
        <w:rPr>
          <w:rFonts w:ascii="Arial" w:hAnsi="Arial" w:cs="Arial"/>
          <w:sz w:val="20"/>
          <w:szCs w:val="20"/>
        </w:rPr>
        <w:t>Chengaiyan</w:t>
      </w:r>
      <w:proofErr w:type="spellEnd"/>
      <w:r>
        <w:rPr>
          <w:rFonts w:ascii="Arial" w:hAnsi="Arial" w:cs="Arial"/>
          <w:sz w:val="20"/>
          <w:szCs w:val="20"/>
        </w:rPr>
        <w:t xml:space="preserve">, J. G., Rana, S. S., Ahmad, F., Haque, S., &amp; Çapanoğlu, E. (2023). </w:t>
      </w:r>
      <w:r>
        <w:rPr>
          <w:rStyle w:val="Emphasis"/>
          <w:rFonts w:ascii="Arial" w:hAnsi="Arial" w:cs="Arial"/>
          <w:sz w:val="20"/>
          <w:szCs w:val="20"/>
        </w:rPr>
        <w:t>Recent advances in pectin extraction from various sources and its industrial applications</w:t>
      </w:r>
      <w:r>
        <w:rPr>
          <w:rFonts w:ascii="Arial" w:hAnsi="Arial" w:cs="Arial"/>
          <w:sz w:val="20"/>
          <w:szCs w:val="20"/>
        </w:rPr>
        <w:t xml:space="preserve">. </w:t>
      </w:r>
      <w:r>
        <w:rPr>
          <w:rStyle w:val="Strong"/>
          <w:rFonts w:ascii="Arial" w:hAnsi="Arial" w:cs="Arial"/>
          <w:b w:val="0"/>
          <w:bCs w:val="0"/>
          <w:sz w:val="20"/>
          <w:szCs w:val="20"/>
        </w:rPr>
        <w:t>ACS Omega, 8</w:t>
      </w:r>
      <w:r>
        <w:rPr>
          <w:rFonts w:ascii="Arial" w:hAnsi="Arial" w:cs="Arial"/>
          <w:sz w:val="20"/>
          <w:szCs w:val="20"/>
        </w:rPr>
        <w:t xml:space="preserve">(49), 46309–46330. </w:t>
      </w:r>
      <w:hyperlink r:id="rId84" w:tgtFrame="C:\Users\Dell\AppData\Local\Temp\_new" w:history="1">
        <w:r>
          <w:rPr>
            <w:rStyle w:val="Hyperlink"/>
            <w:rFonts w:ascii="Arial" w:hAnsi="Arial" w:cs="Arial"/>
            <w:color w:val="auto"/>
            <w:sz w:val="20"/>
            <w:szCs w:val="20"/>
          </w:rPr>
          <w:t>https://doi.org/10.1021/acsomega.3c04010</w:t>
        </w:r>
      </w:hyperlink>
    </w:p>
    <w:p w14:paraId="1E2B2B66"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Rohim, A. N., Bumi, D. C. B. B., &amp; </w:t>
      </w:r>
      <w:proofErr w:type="spellStart"/>
      <w:r>
        <w:rPr>
          <w:rFonts w:ascii="Arial" w:hAnsi="Arial" w:cs="Arial"/>
          <w:sz w:val="20"/>
          <w:szCs w:val="20"/>
        </w:rPr>
        <w:t>Thohari</w:t>
      </w:r>
      <w:proofErr w:type="spellEnd"/>
      <w:r>
        <w:rPr>
          <w:rFonts w:ascii="Arial" w:hAnsi="Arial" w:cs="Arial"/>
          <w:sz w:val="20"/>
          <w:szCs w:val="20"/>
        </w:rPr>
        <w:t xml:space="preserve">, R. A. (2022). </w:t>
      </w:r>
      <w:r>
        <w:rPr>
          <w:rStyle w:val="Emphasis"/>
          <w:rFonts w:ascii="Arial" w:hAnsi="Arial" w:cs="Arial"/>
          <w:sz w:val="20"/>
          <w:szCs w:val="20"/>
        </w:rPr>
        <w:t xml:space="preserve">Analysis of weed vegetation in kenaf (Hibiscus cannabinus L.) plantations in </w:t>
      </w:r>
      <w:proofErr w:type="spellStart"/>
      <w:r>
        <w:rPr>
          <w:rStyle w:val="Emphasis"/>
          <w:rFonts w:ascii="Arial" w:hAnsi="Arial" w:cs="Arial"/>
          <w:sz w:val="20"/>
          <w:szCs w:val="20"/>
        </w:rPr>
        <w:t>Dlimas</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Ceper</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Klaten</w:t>
      </w:r>
      <w:proofErr w:type="spellEnd"/>
      <w:r>
        <w:rPr>
          <w:rStyle w:val="Emphasis"/>
          <w:rFonts w:ascii="Arial" w:hAnsi="Arial" w:cs="Arial"/>
          <w:sz w:val="20"/>
          <w:szCs w:val="20"/>
        </w:rPr>
        <w:t>, Central Java</w:t>
      </w:r>
      <w:r>
        <w:rPr>
          <w:rFonts w:ascii="Arial" w:hAnsi="Arial" w:cs="Arial"/>
          <w:sz w:val="20"/>
          <w:szCs w:val="20"/>
        </w:rPr>
        <w:t xml:space="preserve">. </w:t>
      </w:r>
      <w:proofErr w:type="spellStart"/>
      <w:r>
        <w:rPr>
          <w:rStyle w:val="Strong"/>
          <w:rFonts w:ascii="Arial" w:hAnsi="Arial" w:cs="Arial"/>
          <w:b w:val="0"/>
          <w:bCs w:val="0"/>
          <w:sz w:val="20"/>
          <w:szCs w:val="20"/>
        </w:rPr>
        <w:t>Agrivet</w:t>
      </w:r>
      <w:proofErr w:type="spellEnd"/>
      <w:r>
        <w:rPr>
          <w:rStyle w:val="Strong"/>
          <w:rFonts w:ascii="Arial" w:hAnsi="Arial" w:cs="Arial"/>
          <w:b w:val="0"/>
          <w:bCs w:val="0"/>
          <w:sz w:val="20"/>
          <w:szCs w:val="20"/>
        </w:rPr>
        <w:t>, 28</w:t>
      </w:r>
      <w:r>
        <w:rPr>
          <w:rFonts w:ascii="Arial" w:hAnsi="Arial" w:cs="Arial"/>
          <w:sz w:val="20"/>
          <w:szCs w:val="20"/>
        </w:rPr>
        <w:t xml:space="preserve">(1), 59–67. </w:t>
      </w:r>
      <w:hyperlink r:id="rId85" w:tgtFrame="C:\Users\Dell\AppData\Local\Temp\_new" w:history="1">
        <w:r>
          <w:rPr>
            <w:rStyle w:val="Hyperlink"/>
            <w:rFonts w:ascii="Arial" w:hAnsi="Arial" w:cs="Arial"/>
            <w:color w:val="auto"/>
            <w:sz w:val="20"/>
            <w:szCs w:val="20"/>
          </w:rPr>
          <w:t>https://doi.org/10.31315/agrivet.v28i1.6875</w:t>
        </w:r>
      </w:hyperlink>
    </w:p>
    <w:p w14:paraId="792CB29B"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Rukmana</w:t>
      </w:r>
      <w:proofErr w:type="spellEnd"/>
      <w:r>
        <w:rPr>
          <w:rFonts w:ascii="Arial" w:hAnsi="Arial" w:cs="Arial"/>
          <w:sz w:val="20"/>
          <w:szCs w:val="20"/>
        </w:rPr>
        <w:t xml:space="preserve">, A. Y., </w:t>
      </w:r>
      <w:proofErr w:type="spellStart"/>
      <w:r>
        <w:rPr>
          <w:rFonts w:ascii="Arial" w:hAnsi="Arial" w:cs="Arial"/>
          <w:sz w:val="20"/>
          <w:szCs w:val="20"/>
        </w:rPr>
        <w:t>Supriandi</w:t>
      </w:r>
      <w:proofErr w:type="spellEnd"/>
      <w:r>
        <w:rPr>
          <w:rFonts w:ascii="Arial" w:hAnsi="Arial" w:cs="Arial"/>
          <w:sz w:val="20"/>
          <w:szCs w:val="20"/>
        </w:rPr>
        <w:t xml:space="preserve">, &amp; </w:t>
      </w:r>
      <w:proofErr w:type="spellStart"/>
      <w:r>
        <w:rPr>
          <w:rFonts w:ascii="Arial" w:hAnsi="Arial" w:cs="Arial"/>
          <w:sz w:val="20"/>
          <w:szCs w:val="20"/>
        </w:rPr>
        <w:t>Wirawan</w:t>
      </w:r>
      <w:proofErr w:type="spellEnd"/>
      <w:r>
        <w:rPr>
          <w:rFonts w:ascii="Arial" w:hAnsi="Arial" w:cs="Arial"/>
          <w:sz w:val="20"/>
          <w:szCs w:val="20"/>
        </w:rPr>
        <w:t xml:space="preserve">, R. (2023). </w:t>
      </w:r>
      <w:r>
        <w:rPr>
          <w:rStyle w:val="Emphasis"/>
          <w:rFonts w:ascii="Arial" w:hAnsi="Arial" w:cs="Arial"/>
          <w:sz w:val="20"/>
          <w:szCs w:val="20"/>
        </w:rPr>
        <w:t>The use of technology in education: A literature analysis on effectiveness and implementation</w:t>
      </w:r>
      <w:r>
        <w:rPr>
          <w:rFonts w:ascii="Arial" w:hAnsi="Arial" w:cs="Arial"/>
          <w:sz w:val="20"/>
          <w:szCs w:val="20"/>
        </w:rPr>
        <w:t xml:space="preserve">. </w:t>
      </w:r>
      <w:proofErr w:type="spellStart"/>
      <w:r>
        <w:rPr>
          <w:rStyle w:val="Strong"/>
          <w:rFonts w:ascii="Arial" w:hAnsi="Arial" w:cs="Arial"/>
          <w:b w:val="0"/>
          <w:bCs w:val="0"/>
          <w:sz w:val="20"/>
          <w:szCs w:val="20"/>
        </w:rPr>
        <w:t>Jurnal</w:t>
      </w:r>
      <w:proofErr w:type="spellEnd"/>
      <w:r>
        <w:rPr>
          <w:rStyle w:val="Strong"/>
          <w:rFonts w:ascii="Arial" w:hAnsi="Arial" w:cs="Arial"/>
          <w:b w:val="0"/>
          <w:bCs w:val="0"/>
          <w:sz w:val="20"/>
          <w:szCs w:val="20"/>
        </w:rPr>
        <w:t xml:space="preserve"> Pendidikan West Science, 1</w:t>
      </w:r>
      <w:r>
        <w:rPr>
          <w:rFonts w:ascii="Arial" w:hAnsi="Arial" w:cs="Arial"/>
          <w:sz w:val="20"/>
          <w:szCs w:val="20"/>
        </w:rPr>
        <w:t xml:space="preserve">(7), 460–468. </w:t>
      </w:r>
      <w:hyperlink r:id="rId86" w:tgtFrame="C:\Users\Dell\AppData\Local\Temp\_new" w:history="1">
        <w:r>
          <w:rPr>
            <w:rStyle w:val="Hyperlink"/>
            <w:rFonts w:ascii="Arial" w:hAnsi="Arial" w:cs="Arial"/>
            <w:color w:val="auto"/>
            <w:sz w:val="20"/>
            <w:szCs w:val="20"/>
          </w:rPr>
          <w:t>https://doi.org/10.58812/jpdws.v1i07.541</w:t>
        </w:r>
      </w:hyperlink>
    </w:p>
    <w:p w14:paraId="42CCDA3F"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Sahrir</w:t>
      </w:r>
      <w:proofErr w:type="spellEnd"/>
      <w:r>
        <w:rPr>
          <w:rFonts w:ascii="Arial" w:hAnsi="Arial" w:cs="Arial"/>
          <w:sz w:val="20"/>
          <w:szCs w:val="20"/>
        </w:rPr>
        <w:t xml:space="preserve">, M. A. S., Yusoff, N., &amp; Azizan, K. A. (2023). </w:t>
      </w:r>
      <w:r>
        <w:rPr>
          <w:rStyle w:val="Emphasis"/>
          <w:rFonts w:ascii="Arial" w:hAnsi="Arial" w:cs="Arial"/>
          <w:sz w:val="20"/>
          <w:szCs w:val="20"/>
        </w:rPr>
        <w:t>Allelopathic activity under laboratory, greenhouse, and field conditions: A review</w:t>
      </w:r>
      <w:r>
        <w:rPr>
          <w:rFonts w:ascii="Arial" w:hAnsi="Arial" w:cs="Arial"/>
          <w:sz w:val="20"/>
          <w:szCs w:val="20"/>
        </w:rPr>
        <w:t xml:space="preserve">. </w:t>
      </w:r>
      <w:r>
        <w:rPr>
          <w:rStyle w:val="Strong"/>
          <w:rFonts w:ascii="Arial" w:hAnsi="Arial" w:cs="Arial"/>
          <w:b w:val="0"/>
          <w:bCs w:val="0"/>
          <w:sz w:val="20"/>
          <w:szCs w:val="20"/>
        </w:rPr>
        <w:t>AIMS Agriculture and Food, 8</w:t>
      </w:r>
      <w:r>
        <w:rPr>
          <w:rFonts w:ascii="Arial" w:hAnsi="Arial" w:cs="Arial"/>
          <w:sz w:val="20"/>
          <w:szCs w:val="20"/>
        </w:rPr>
        <w:t xml:space="preserve">(1), 78–101. </w:t>
      </w:r>
      <w:hyperlink r:id="rId87" w:tgtFrame="C:\Users\Dell\AppData\Local\Temp\_new" w:history="1">
        <w:r>
          <w:rPr>
            <w:rStyle w:val="Hyperlink"/>
            <w:rFonts w:ascii="Arial" w:hAnsi="Arial" w:cs="Arial"/>
            <w:color w:val="auto"/>
            <w:sz w:val="20"/>
            <w:szCs w:val="20"/>
          </w:rPr>
          <w:t>https://doi.org/10.3934/agrfood.2023004</w:t>
        </w:r>
      </w:hyperlink>
    </w:p>
    <w:p w14:paraId="47DD7921"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Saini, R., &amp; Singh, S. (2019). </w:t>
      </w:r>
      <w:r>
        <w:rPr>
          <w:rStyle w:val="Emphasis"/>
          <w:rFonts w:ascii="Arial" w:hAnsi="Arial" w:cs="Arial"/>
          <w:sz w:val="20"/>
          <w:szCs w:val="20"/>
        </w:rPr>
        <w:t>Use of natural products for weed management in high-value crops: An overview</w:t>
      </w:r>
      <w:r>
        <w:rPr>
          <w:rFonts w:ascii="Arial" w:hAnsi="Arial" w:cs="Arial"/>
          <w:sz w:val="20"/>
          <w:szCs w:val="20"/>
        </w:rPr>
        <w:t xml:space="preserve">. </w:t>
      </w:r>
      <w:r>
        <w:rPr>
          <w:rStyle w:val="Strong"/>
          <w:rFonts w:ascii="Arial" w:hAnsi="Arial" w:cs="Arial"/>
          <w:b w:val="0"/>
          <w:bCs w:val="0"/>
          <w:sz w:val="20"/>
          <w:szCs w:val="20"/>
        </w:rPr>
        <w:t>American Journal of Agricultural Research</w:t>
      </w:r>
      <w:r>
        <w:rPr>
          <w:rFonts w:ascii="Arial" w:hAnsi="Arial" w:cs="Arial"/>
          <w:sz w:val="20"/>
          <w:szCs w:val="20"/>
        </w:rPr>
        <w:t xml:space="preserve">. </w:t>
      </w:r>
      <w:hyperlink r:id="rId88" w:tgtFrame="C:\Users\Dell\AppData\Local\Temp\_new" w:history="1">
        <w:r>
          <w:rPr>
            <w:rStyle w:val="Hyperlink"/>
            <w:rFonts w:ascii="Arial" w:hAnsi="Arial" w:cs="Arial"/>
            <w:color w:val="auto"/>
            <w:sz w:val="20"/>
            <w:szCs w:val="20"/>
          </w:rPr>
          <w:t>https://doi.org/10.28933/ajar-2018-11-2808</w:t>
        </w:r>
      </w:hyperlink>
    </w:p>
    <w:p w14:paraId="167CC374"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Sarmah, K. C., Anbalagan, T., Murugan, M., Paramasivam, M., Suganthi, A., &amp; Sendhilvel, V. (2024). </w:t>
      </w:r>
      <w:r>
        <w:rPr>
          <w:rStyle w:val="Emphasis"/>
          <w:rFonts w:ascii="Arial" w:hAnsi="Arial" w:cs="Arial"/>
          <w:sz w:val="20"/>
          <w:szCs w:val="20"/>
        </w:rPr>
        <w:t>Innovative formulation strategies for botanical- and essential oil-based insecticides</w:t>
      </w:r>
      <w:r>
        <w:rPr>
          <w:rFonts w:ascii="Arial" w:hAnsi="Arial" w:cs="Arial"/>
          <w:sz w:val="20"/>
          <w:szCs w:val="20"/>
        </w:rPr>
        <w:t xml:space="preserve">. </w:t>
      </w:r>
      <w:r>
        <w:rPr>
          <w:rStyle w:val="Strong"/>
          <w:rFonts w:ascii="Arial" w:hAnsi="Arial" w:cs="Arial"/>
          <w:b w:val="0"/>
          <w:bCs w:val="0"/>
          <w:sz w:val="20"/>
          <w:szCs w:val="20"/>
        </w:rPr>
        <w:t>Journal of Pest Science, 98</w:t>
      </w:r>
      <w:r>
        <w:rPr>
          <w:rFonts w:ascii="Arial" w:hAnsi="Arial" w:cs="Arial"/>
          <w:sz w:val="20"/>
          <w:szCs w:val="20"/>
        </w:rPr>
        <w:t xml:space="preserve">(1), 1–20. </w:t>
      </w:r>
      <w:hyperlink r:id="rId89" w:tgtFrame="C:\Users\Dell\AppData\Local\Temp\_new" w:history="1">
        <w:r>
          <w:rPr>
            <w:rStyle w:val="Hyperlink"/>
            <w:rFonts w:ascii="Arial" w:hAnsi="Arial" w:cs="Arial"/>
            <w:color w:val="auto"/>
            <w:sz w:val="20"/>
            <w:szCs w:val="20"/>
          </w:rPr>
          <w:t>https://doi.org/10.1007/s10340-024-01846-2</w:t>
        </w:r>
      </w:hyperlink>
    </w:p>
    <w:p w14:paraId="4B62F229"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Sekar, S., Jeyachandran, S., Giri, J., &amp; Aman, M. (2025). </w:t>
      </w:r>
      <w:r>
        <w:rPr>
          <w:rStyle w:val="Emphasis"/>
          <w:rFonts w:ascii="Arial" w:hAnsi="Arial" w:cs="Arial"/>
          <w:sz w:val="20"/>
          <w:szCs w:val="20"/>
        </w:rPr>
        <w:t>Advancing sustainable agriculture: The potential of seaweed-derived biopesticides from marine biomass</w:t>
      </w:r>
      <w:r>
        <w:rPr>
          <w:rFonts w:ascii="Arial" w:hAnsi="Arial" w:cs="Arial"/>
          <w:sz w:val="20"/>
          <w:szCs w:val="20"/>
        </w:rPr>
        <w:t xml:space="preserve">. </w:t>
      </w:r>
      <w:r>
        <w:rPr>
          <w:rStyle w:val="Strong"/>
          <w:rFonts w:ascii="Arial" w:hAnsi="Arial" w:cs="Arial"/>
          <w:b w:val="0"/>
          <w:bCs w:val="0"/>
          <w:sz w:val="20"/>
          <w:szCs w:val="20"/>
        </w:rPr>
        <w:t>Bioresources and Bioprocessing, 12</w:t>
      </w:r>
      <w:r>
        <w:rPr>
          <w:rFonts w:ascii="Arial" w:hAnsi="Arial" w:cs="Arial"/>
          <w:sz w:val="20"/>
          <w:szCs w:val="20"/>
        </w:rPr>
        <w:t xml:space="preserve">(1), Article 1. </w:t>
      </w:r>
      <w:hyperlink r:id="rId90" w:tgtFrame="C:\Users\Dell\AppData\Local\Temp\_new" w:history="1">
        <w:r>
          <w:rPr>
            <w:rStyle w:val="Hyperlink"/>
            <w:rFonts w:ascii="Arial" w:hAnsi="Arial" w:cs="Arial"/>
            <w:color w:val="auto"/>
            <w:sz w:val="20"/>
            <w:szCs w:val="20"/>
          </w:rPr>
          <w:t>https://doi.org/10.1186/s40643-025-00849-w</w:t>
        </w:r>
      </w:hyperlink>
    </w:p>
    <w:p w14:paraId="2DF0F180"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Septiani</w:t>
      </w:r>
      <w:proofErr w:type="spellEnd"/>
      <w:r>
        <w:rPr>
          <w:rFonts w:ascii="Arial" w:hAnsi="Arial" w:cs="Arial"/>
          <w:sz w:val="20"/>
          <w:szCs w:val="20"/>
        </w:rPr>
        <w:t xml:space="preserve">, D., </w:t>
      </w:r>
      <w:proofErr w:type="spellStart"/>
      <w:r>
        <w:rPr>
          <w:rFonts w:ascii="Arial" w:hAnsi="Arial" w:cs="Arial"/>
          <w:sz w:val="20"/>
          <w:szCs w:val="20"/>
        </w:rPr>
        <w:t>Hastuti</w:t>
      </w:r>
      <w:proofErr w:type="spellEnd"/>
      <w:r>
        <w:rPr>
          <w:rFonts w:ascii="Arial" w:hAnsi="Arial" w:cs="Arial"/>
          <w:sz w:val="20"/>
          <w:szCs w:val="20"/>
        </w:rPr>
        <w:t xml:space="preserve">, E. D., &amp; </w:t>
      </w:r>
      <w:proofErr w:type="spellStart"/>
      <w:r>
        <w:rPr>
          <w:rFonts w:ascii="Arial" w:hAnsi="Arial" w:cs="Arial"/>
          <w:sz w:val="20"/>
          <w:szCs w:val="20"/>
        </w:rPr>
        <w:t>Darmanti</w:t>
      </w:r>
      <w:proofErr w:type="spellEnd"/>
      <w:r>
        <w:rPr>
          <w:rFonts w:ascii="Arial" w:hAnsi="Arial" w:cs="Arial"/>
          <w:sz w:val="20"/>
          <w:szCs w:val="20"/>
        </w:rPr>
        <w:t xml:space="preserve">, S. (2019). </w:t>
      </w:r>
      <w:r>
        <w:rPr>
          <w:rStyle w:val="Emphasis"/>
          <w:rFonts w:ascii="Arial" w:hAnsi="Arial" w:cs="Arial"/>
          <w:sz w:val="20"/>
          <w:szCs w:val="20"/>
        </w:rPr>
        <w:t xml:space="preserve">Allelochemical effects of Ageratum </w:t>
      </w:r>
      <w:proofErr w:type="spellStart"/>
      <w:r>
        <w:rPr>
          <w:rStyle w:val="Emphasis"/>
          <w:rFonts w:ascii="Arial" w:hAnsi="Arial" w:cs="Arial"/>
          <w:sz w:val="20"/>
          <w:szCs w:val="20"/>
        </w:rPr>
        <w:t>conyzoides</w:t>
      </w:r>
      <w:proofErr w:type="spellEnd"/>
      <w:r>
        <w:rPr>
          <w:rStyle w:val="Emphasis"/>
          <w:rFonts w:ascii="Arial" w:hAnsi="Arial" w:cs="Arial"/>
          <w:sz w:val="20"/>
          <w:szCs w:val="20"/>
        </w:rPr>
        <w:t xml:space="preserve"> L. leaf extract on photosynthetic pigment content and growth of goosegrass (Eleusine indica (L.) </w:t>
      </w:r>
      <w:proofErr w:type="spellStart"/>
      <w:r>
        <w:rPr>
          <w:rStyle w:val="Emphasis"/>
          <w:rFonts w:ascii="Arial" w:hAnsi="Arial" w:cs="Arial"/>
          <w:sz w:val="20"/>
          <w:szCs w:val="20"/>
        </w:rPr>
        <w:t>Gaertn</w:t>
      </w:r>
      <w:proofErr w:type="spellEnd"/>
      <w:r>
        <w:rPr>
          <w:rStyle w:val="Emphasis"/>
          <w:rFonts w:ascii="Arial" w:hAnsi="Arial" w:cs="Arial"/>
          <w:sz w:val="20"/>
          <w:szCs w:val="20"/>
        </w:rPr>
        <w:t>.)</w:t>
      </w:r>
      <w:r>
        <w:rPr>
          <w:rFonts w:ascii="Arial" w:hAnsi="Arial" w:cs="Arial"/>
          <w:sz w:val="20"/>
          <w:szCs w:val="20"/>
        </w:rPr>
        <w:t xml:space="preserve">. </w:t>
      </w:r>
      <w:proofErr w:type="spellStart"/>
      <w:r>
        <w:rPr>
          <w:rStyle w:val="Strong"/>
          <w:rFonts w:ascii="Arial" w:hAnsi="Arial" w:cs="Arial"/>
          <w:b w:val="0"/>
          <w:bCs w:val="0"/>
          <w:sz w:val="20"/>
          <w:szCs w:val="20"/>
        </w:rPr>
        <w:t>Buletin</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Anatomi</w:t>
      </w:r>
      <w:proofErr w:type="spellEnd"/>
      <w:r>
        <w:rPr>
          <w:rStyle w:val="Strong"/>
          <w:rFonts w:ascii="Arial" w:hAnsi="Arial" w:cs="Arial"/>
          <w:b w:val="0"/>
          <w:bCs w:val="0"/>
          <w:sz w:val="20"/>
          <w:szCs w:val="20"/>
        </w:rPr>
        <w:t xml:space="preserve"> dan </w:t>
      </w:r>
      <w:proofErr w:type="spellStart"/>
      <w:r>
        <w:rPr>
          <w:rStyle w:val="Strong"/>
          <w:rFonts w:ascii="Arial" w:hAnsi="Arial" w:cs="Arial"/>
          <w:b w:val="0"/>
          <w:bCs w:val="0"/>
          <w:sz w:val="20"/>
          <w:szCs w:val="20"/>
        </w:rPr>
        <w:t>Fisiologi</w:t>
      </w:r>
      <w:proofErr w:type="spellEnd"/>
      <w:r>
        <w:rPr>
          <w:rStyle w:val="Strong"/>
          <w:rFonts w:ascii="Arial" w:hAnsi="Arial" w:cs="Arial"/>
          <w:b w:val="0"/>
          <w:bCs w:val="0"/>
          <w:sz w:val="20"/>
          <w:szCs w:val="20"/>
        </w:rPr>
        <w:t>, 4</w:t>
      </w:r>
      <w:r>
        <w:rPr>
          <w:rFonts w:ascii="Arial" w:hAnsi="Arial" w:cs="Arial"/>
          <w:sz w:val="20"/>
          <w:szCs w:val="20"/>
        </w:rPr>
        <w:t xml:space="preserve">(1), 1–7. </w:t>
      </w:r>
      <w:hyperlink r:id="rId91" w:tgtFrame="C:\Users\Dell\AppData\Local\Temp\_new" w:history="1">
        <w:r>
          <w:rPr>
            <w:rStyle w:val="Hyperlink"/>
            <w:rFonts w:ascii="Arial" w:hAnsi="Arial" w:cs="Arial"/>
            <w:color w:val="auto"/>
            <w:sz w:val="20"/>
            <w:szCs w:val="20"/>
          </w:rPr>
          <w:t>https://doi.org/10.14710/baf.4.1.2019.1-7</w:t>
        </w:r>
      </w:hyperlink>
    </w:p>
    <w:p w14:paraId="0F6D96D7"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Sihombing</w:t>
      </w:r>
      <w:proofErr w:type="spellEnd"/>
      <w:r>
        <w:rPr>
          <w:rFonts w:ascii="Arial" w:hAnsi="Arial" w:cs="Arial"/>
          <w:sz w:val="20"/>
          <w:szCs w:val="20"/>
        </w:rPr>
        <w:t xml:space="preserve">, C. M., Jahro, I. S., </w:t>
      </w:r>
      <w:proofErr w:type="spellStart"/>
      <w:r>
        <w:rPr>
          <w:rFonts w:ascii="Arial" w:hAnsi="Arial" w:cs="Arial"/>
          <w:sz w:val="20"/>
          <w:szCs w:val="20"/>
        </w:rPr>
        <w:t>Gurning</w:t>
      </w:r>
      <w:proofErr w:type="spellEnd"/>
      <w:r>
        <w:rPr>
          <w:rFonts w:ascii="Arial" w:hAnsi="Arial" w:cs="Arial"/>
          <w:sz w:val="20"/>
          <w:szCs w:val="20"/>
        </w:rPr>
        <w:t xml:space="preserve">, M. A., </w:t>
      </w:r>
      <w:proofErr w:type="spellStart"/>
      <w:r>
        <w:rPr>
          <w:rFonts w:ascii="Arial" w:hAnsi="Arial" w:cs="Arial"/>
          <w:sz w:val="20"/>
          <w:szCs w:val="20"/>
        </w:rPr>
        <w:t>Aulianti</w:t>
      </w:r>
      <w:proofErr w:type="spellEnd"/>
      <w:r>
        <w:rPr>
          <w:rFonts w:ascii="Arial" w:hAnsi="Arial" w:cs="Arial"/>
          <w:sz w:val="20"/>
          <w:szCs w:val="20"/>
        </w:rPr>
        <w:t xml:space="preserve">, D., </w:t>
      </w:r>
      <w:proofErr w:type="spellStart"/>
      <w:r>
        <w:rPr>
          <w:rFonts w:ascii="Arial" w:hAnsi="Arial" w:cs="Arial"/>
          <w:sz w:val="20"/>
          <w:szCs w:val="20"/>
        </w:rPr>
        <w:t>Situmorang</w:t>
      </w:r>
      <w:proofErr w:type="spellEnd"/>
      <w:r>
        <w:rPr>
          <w:rFonts w:ascii="Arial" w:hAnsi="Arial" w:cs="Arial"/>
          <w:sz w:val="20"/>
          <w:szCs w:val="20"/>
        </w:rPr>
        <w:t xml:space="preserve">, E. H. N., </w:t>
      </w:r>
      <w:proofErr w:type="spellStart"/>
      <w:r>
        <w:rPr>
          <w:rFonts w:ascii="Arial" w:hAnsi="Arial" w:cs="Arial"/>
          <w:sz w:val="20"/>
          <w:szCs w:val="20"/>
        </w:rPr>
        <w:t>Simaremare</w:t>
      </w:r>
      <w:proofErr w:type="spellEnd"/>
      <w:r>
        <w:rPr>
          <w:rFonts w:ascii="Arial" w:hAnsi="Arial" w:cs="Arial"/>
          <w:sz w:val="20"/>
          <w:szCs w:val="20"/>
        </w:rPr>
        <w:t xml:space="preserve">, H. G. M., &amp; Syafitri, A. (2025). </w:t>
      </w:r>
      <w:r>
        <w:rPr>
          <w:rStyle w:val="Emphasis"/>
          <w:rFonts w:ascii="Arial" w:hAnsi="Arial" w:cs="Arial"/>
          <w:sz w:val="20"/>
          <w:szCs w:val="20"/>
        </w:rPr>
        <w:t>Comprehensive analysis of polar and nonpolar covalent compounds in family medicinal plants: Identification and potential applications</w:t>
      </w:r>
      <w:r>
        <w:rPr>
          <w:rFonts w:ascii="Arial" w:hAnsi="Arial" w:cs="Arial"/>
          <w:sz w:val="20"/>
          <w:szCs w:val="20"/>
        </w:rPr>
        <w:t xml:space="preserve">. </w:t>
      </w:r>
      <w:r>
        <w:rPr>
          <w:rStyle w:val="Strong"/>
          <w:rFonts w:ascii="Arial" w:hAnsi="Arial" w:cs="Arial"/>
          <w:b w:val="0"/>
          <w:bCs w:val="0"/>
          <w:sz w:val="20"/>
          <w:szCs w:val="20"/>
        </w:rPr>
        <w:t xml:space="preserve">SCIENCE: </w:t>
      </w:r>
      <w:proofErr w:type="spellStart"/>
      <w:r>
        <w:rPr>
          <w:rStyle w:val="Strong"/>
          <w:rFonts w:ascii="Arial" w:hAnsi="Arial" w:cs="Arial"/>
          <w:b w:val="0"/>
          <w:bCs w:val="0"/>
          <w:sz w:val="20"/>
          <w:szCs w:val="20"/>
        </w:rPr>
        <w:t>Jurnal</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Inovasi</w:t>
      </w:r>
      <w:proofErr w:type="spellEnd"/>
      <w:r>
        <w:rPr>
          <w:rStyle w:val="Strong"/>
          <w:rFonts w:ascii="Arial" w:hAnsi="Arial" w:cs="Arial"/>
          <w:b w:val="0"/>
          <w:bCs w:val="0"/>
          <w:sz w:val="20"/>
          <w:szCs w:val="20"/>
        </w:rPr>
        <w:t xml:space="preserve"> Pendidikan </w:t>
      </w:r>
      <w:proofErr w:type="spellStart"/>
      <w:r>
        <w:rPr>
          <w:rStyle w:val="Strong"/>
          <w:rFonts w:ascii="Arial" w:hAnsi="Arial" w:cs="Arial"/>
          <w:b w:val="0"/>
          <w:bCs w:val="0"/>
          <w:sz w:val="20"/>
          <w:szCs w:val="20"/>
        </w:rPr>
        <w:t>Matematika</w:t>
      </w:r>
      <w:proofErr w:type="spellEnd"/>
      <w:r>
        <w:rPr>
          <w:rStyle w:val="Strong"/>
          <w:rFonts w:ascii="Arial" w:hAnsi="Arial" w:cs="Arial"/>
          <w:b w:val="0"/>
          <w:bCs w:val="0"/>
          <w:sz w:val="20"/>
          <w:szCs w:val="20"/>
        </w:rPr>
        <w:t xml:space="preserve"> dan IPA, 5</w:t>
      </w:r>
      <w:r>
        <w:rPr>
          <w:rFonts w:ascii="Arial" w:hAnsi="Arial" w:cs="Arial"/>
          <w:sz w:val="20"/>
          <w:szCs w:val="20"/>
        </w:rPr>
        <w:t xml:space="preserve">(1), 157–170. </w:t>
      </w:r>
      <w:hyperlink r:id="rId92" w:tgtFrame="C:\Users\Dell\AppData\Local\Temp\_new" w:history="1">
        <w:r>
          <w:rPr>
            <w:rStyle w:val="Hyperlink"/>
            <w:rFonts w:ascii="Arial" w:hAnsi="Arial" w:cs="Arial"/>
            <w:color w:val="auto"/>
            <w:sz w:val="20"/>
            <w:szCs w:val="20"/>
          </w:rPr>
          <w:t>https://doi.org/10.51878/science.v5i1.4525</w:t>
        </w:r>
      </w:hyperlink>
    </w:p>
    <w:p w14:paraId="7A4079B0"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Silva, A. C. M. da, Bezerra, J. J. L., Prata, A. P. do N., Souza, R. C. de, Paulino, C. L. de A., Nascimento, T. G. do, Silva, S. A. S. da, Costa, V. C. de O., &amp; Duarte, M. C. (2020). </w:t>
      </w:r>
      <w:r>
        <w:rPr>
          <w:rStyle w:val="Emphasis"/>
          <w:rFonts w:ascii="Arial" w:hAnsi="Arial" w:cs="Arial"/>
          <w:sz w:val="20"/>
          <w:szCs w:val="20"/>
        </w:rPr>
        <w:t>Phytochemical profile and allelopathic effects of three species of the genus Cyperus (Cyperaceae)</w:t>
      </w:r>
      <w:r>
        <w:rPr>
          <w:rFonts w:ascii="Arial" w:hAnsi="Arial" w:cs="Arial"/>
          <w:sz w:val="20"/>
          <w:szCs w:val="20"/>
        </w:rPr>
        <w:t xml:space="preserve">. </w:t>
      </w:r>
      <w:r>
        <w:rPr>
          <w:rStyle w:val="Strong"/>
          <w:rFonts w:ascii="Arial" w:hAnsi="Arial" w:cs="Arial"/>
          <w:b w:val="0"/>
          <w:bCs w:val="0"/>
          <w:sz w:val="20"/>
          <w:szCs w:val="20"/>
        </w:rPr>
        <w:t>Journal of Agricultural Studies, 8</w:t>
      </w:r>
      <w:r>
        <w:rPr>
          <w:rFonts w:ascii="Arial" w:hAnsi="Arial" w:cs="Arial"/>
          <w:sz w:val="20"/>
          <w:szCs w:val="20"/>
        </w:rPr>
        <w:t xml:space="preserve">(3), 569–585. </w:t>
      </w:r>
      <w:hyperlink r:id="rId93" w:tgtFrame="C:\Users\Dell\AppData\Local\Temp\_new" w:history="1">
        <w:r>
          <w:rPr>
            <w:rStyle w:val="Hyperlink"/>
            <w:rFonts w:ascii="Arial" w:hAnsi="Arial" w:cs="Arial"/>
            <w:color w:val="auto"/>
            <w:sz w:val="20"/>
            <w:szCs w:val="20"/>
          </w:rPr>
          <w:t>https://doi.org/10.5296/jas.v8i3.16724</w:t>
        </w:r>
      </w:hyperlink>
    </w:p>
    <w:p w14:paraId="16894F00"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Situmorang</w:t>
      </w:r>
      <w:proofErr w:type="spellEnd"/>
      <w:r>
        <w:rPr>
          <w:rFonts w:ascii="Arial" w:hAnsi="Arial" w:cs="Arial"/>
          <w:sz w:val="20"/>
          <w:szCs w:val="20"/>
        </w:rPr>
        <w:t xml:space="preserve">, M. T. N., &amp; </w:t>
      </w:r>
      <w:proofErr w:type="spellStart"/>
      <w:r>
        <w:rPr>
          <w:rFonts w:ascii="Arial" w:hAnsi="Arial" w:cs="Arial"/>
          <w:sz w:val="20"/>
          <w:szCs w:val="20"/>
        </w:rPr>
        <w:t>Noviana</w:t>
      </w:r>
      <w:proofErr w:type="spellEnd"/>
      <w:r>
        <w:rPr>
          <w:rFonts w:ascii="Arial" w:hAnsi="Arial" w:cs="Arial"/>
          <w:sz w:val="20"/>
          <w:szCs w:val="20"/>
        </w:rPr>
        <w:t xml:space="preserve">, L. (2025). </w:t>
      </w:r>
      <w:r>
        <w:rPr>
          <w:rStyle w:val="Emphasis"/>
          <w:rFonts w:ascii="Arial" w:hAnsi="Arial" w:cs="Arial"/>
          <w:sz w:val="20"/>
          <w:szCs w:val="20"/>
        </w:rPr>
        <w:t xml:space="preserve">Analysis of ecological corridor management models in </w:t>
      </w:r>
      <w:proofErr w:type="spellStart"/>
      <w:r>
        <w:rPr>
          <w:rStyle w:val="Emphasis"/>
          <w:rFonts w:ascii="Arial" w:hAnsi="Arial" w:cs="Arial"/>
          <w:sz w:val="20"/>
          <w:szCs w:val="20"/>
        </w:rPr>
        <w:t>Gunung</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Halimun</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Salak</w:t>
      </w:r>
      <w:proofErr w:type="spellEnd"/>
      <w:r>
        <w:rPr>
          <w:rStyle w:val="Emphasis"/>
          <w:rFonts w:ascii="Arial" w:hAnsi="Arial" w:cs="Arial"/>
          <w:sz w:val="20"/>
          <w:szCs w:val="20"/>
        </w:rPr>
        <w:t xml:space="preserve"> National Park</w:t>
      </w:r>
      <w:r>
        <w:rPr>
          <w:rFonts w:ascii="Arial" w:hAnsi="Arial" w:cs="Arial"/>
          <w:sz w:val="20"/>
          <w:szCs w:val="20"/>
        </w:rPr>
        <w:t xml:space="preserve">. </w:t>
      </w:r>
      <w:proofErr w:type="spellStart"/>
      <w:r>
        <w:rPr>
          <w:rStyle w:val="Strong"/>
          <w:rFonts w:ascii="Arial" w:hAnsi="Arial" w:cs="Arial"/>
          <w:b w:val="0"/>
          <w:bCs w:val="0"/>
          <w:sz w:val="20"/>
          <w:szCs w:val="20"/>
        </w:rPr>
        <w:t>Cendekia</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Jurnal</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Ilmu</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Pengetahuan</w:t>
      </w:r>
      <w:proofErr w:type="spellEnd"/>
      <w:r>
        <w:rPr>
          <w:rStyle w:val="Strong"/>
          <w:rFonts w:ascii="Arial" w:hAnsi="Arial" w:cs="Arial"/>
          <w:b w:val="0"/>
          <w:bCs w:val="0"/>
          <w:sz w:val="20"/>
          <w:szCs w:val="20"/>
        </w:rPr>
        <w:t>, 5</w:t>
      </w:r>
      <w:r>
        <w:rPr>
          <w:rFonts w:ascii="Arial" w:hAnsi="Arial" w:cs="Arial"/>
          <w:sz w:val="20"/>
          <w:szCs w:val="20"/>
        </w:rPr>
        <w:t xml:space="preserve">(3), 1362–1376. </w:t>
      </w:r>
      <w:hyperlink r:id="rId94" w:tgtFrame="C:\Users\Dell\AppData\Local\Temp\_new" w:history="1">
        <w:r>
          <w:rPr>
            <w:rStyle w:val="Hyperlink"/>
            <w:rFonts w:ascii="Arial" w:hAnsi="Arial" w:cs="Arial"/>
            <w:color w:val="auto"/>
            <w:sz w:val="20"/>
            <w:szCs w:val="20"/>
          </w:rPr>
          <w:t>https://doi.org/10.51878/cendekia.v5i3.6824</w:t>
        </w:r>
      </w:hyperlink>
    </w:p>
    <w:p w14:paraId="2CA8626E"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Stefanski, F. S., Camargo, A. F., Scapini, T., </w:t>
      </w:r>
      <w:proofErr w:type="spellStart"/>
      <w:r>
        <w:rPr>
          <w:rFonts w:ascii="Arial" w:hAnsi="Arial" w:cs="Arial"/>
          <w:sz w:val="20"/>
          <w:szCs w:val="20"/>
        </w:rPr>
        <w:t>Bonatto</w:t>
      </w:r>
      <w:proofErr w:type="spellEnd"/>
      <w:r>
        <w:rPr>
          <w:rFonts w:ascii="Arial" w:hAnsi="Arial" w:cs="Arial"/>
          <w:sz w:val="20"/>
          <w:szCs w:val="20"/>
        </w:rPr>
        <w:t xml:space="preserve">, C., Venturin, B., Weirich, S. N., </w:t>
      </w:r>
      <w:proofErr w:type="spellStart"/>
      <w:r>
        <w:rPr>
          <w:rFonts w:ascii="Arial" w:hAnsi="Arial" w:cs="Arial"/>
          <w:sz w:val="20"/>
          <w:szCs w:val="20"/>
        </w:rPr>
        <w:t>Ulkovski</w:t>
      </w:r>
      <w:proofErr w:type="spellEnd"/>
      <w:r>
        <w:rPr>
          <w:rFonts w:ascii="Arial" w:hAnsi="Arial" w:cs="Arial"/>
          <w:sz w:val="20"/>
          <w:szCs w:val="20"/>
        </w:rPr>
        <w:t xml:space="preserve">, C., </w:t>
      </w:r>
      <w:proofErr w:type="spellStart"/>
      <w:r>
        <w:rPr>
          <w:rFonts w:ascii="Arial" w:hAnsi="Arial" w:cs="Arial"/>
          <w:sz w:val="20"/>
          <w:szCs w:val="20"/>
        </w:rPr>
        <w:t>Carezia</w:t>
      </w:r>
      <w:proofErr w:type="spellEnd"/>
      <w:r>
        <w:rPr>
          <w:rFonts w:ascii="Arial" w:hAnsi="Arial" w:cs="Arial"/>
          <w:sz w:val="20"/>
          <w:szCs w:val="20"/>
        </w:rPr>
        <w:t xml:space="preserve">, C., Ulrich, A., Michelon, W., Soares, H. M., Mathiensen, A., </w:t>
      </w:r>
      <w:proofErr w:type="spellStart"/>
      <w:r>
        <w:rPr>
          <w:rFonts w:ascii="Arial" w:hAnsi="Arial" w:cs="Arial"/>
          <w:sz w:val="20"/>
          <w:szCs w:val="20"/>
        </w:rPr>
        <w:t>Fongaro</w:t>
      </w:r>
      <w:proofErr w:type="spellEnd"/>
      <w:r>
        <w:rPr>
          <w:rFonts w:ascii="Arial" w:hAnsi="Arial" w:cs="Arial"/>
          <w:sz w:val="20"/>
          <w:szCs w:val="20"/>
        </w:rPr>
        <w:t xml:space="preserve">, G., Mossi, A. J., &amp; Treichel, H. (2020). </w:t>
      </w:r>
      <w:r>
        <w:rPr>
          <w:rStyle w:val="Emphasis"/>
          <w:rFonts w:ascii="Arial" w:hAnsi="Arial" w:cs="Arial"/>
          <w:sz w:val="20"/>
          <w:szCs w:val="20"/>
        </w:rPr>
        <w:t>Potential use of biological herbicides within a circular economy framework: A sustainable approach</w:t>
      </w:r>
      <w:r>
        <w:rPr>
          <w:rFonts w:ascii="Arial" w:hAnsi="Arial" w:cs="Arial"/>
          <w:sz w:val="20"/>
          <w:szCs w:val="20"/>
        </w:rPr>
        <w:t xml:space="preserve">. </w:t>
      </w:r>
      <w:r>
        <w:rPr>
          <w:rStyle w:val="Strong"/>
          <w:rFonts w:ascii="Arial" w:hAnsi="Arial" w:cs="Arial"/>
          <w:b w:val="0"/>
          <w:bCs w:val="0"/>
          <w:sz w:val="20"/>
          <w:szCs w:val="20"/>
        </w:rPr>
        <w:t>Frontiers in Sustainable Food Systems, 4</w:t>
      </w:r>
      <w:r>
        <w:rPr>
          <w:rFonts w:ascii="Arial" w:hAnsi="Arial" w:cs="Arial"/>
          <w:sz w:val="20"/>
          <w:szCs w:val="20"/>
        </w:rPr>
        <w:t xml:space="preserve">, Article 521102. </w:t>
      </w:r>
      <w:hyperlink r:id="rId95" w:tgtFrame="C:\Users\Dell\AppData\Local\Temp\_new" w:history="1">
        <w:r>
          <w:rPr>
            <w:rStyle w:val="Hyperlink"/>
            <w:rFonts w:ascii="Arial" w:hAnsi="Arial" w:cs="Arial"/>
            <w:color w:val="auto"/>
            <w:sz w:val="20"/>
            <w:szCs w:val="20"/>
          </w:rPr>
          <w:t>https://doi.org/10.3389/fsufs.2020.521102</w:t>
        </w:r>
      </w:hyperlink>
    </w:p>
    <w:p w14:paraId="52D4EEFA"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Sukiastini</w:t>
      </w:r>
      <w:proofErr w:type="spellEnd"/>
      <w:r>
        <w:rPr>
          <w:rFonts w:ascii="Arial" w:hAnsi="Arial" w:cs="Arial"/>
          <w:sz w:val="20"/>
          <w:szCs w:val="20"/>
        </w:rPr>
        <w:t xml:space="preserve">, I. G. A. N. K., Tika, I. N., &amp; </w:t>
      </w:r>
      <w:proofErr w:type="spellStart"/>
      <w:r>
        <w:rPr>
          <w:rFonts w:ascii="Arial" w:hAnsi="Arial" w:cs="Arial"/>
          <w:sz w:val="20"/>
          <w:szCs w:val="20"/>
        </w:rPr>
        <w:t>Artawan</w:t>
      </w:r>
      <w:proofErr w:type="spellEnd"/>
      <w:r>
        <w:rPr>
          <w:rFonts w:ascii="Arial" w:hAnsi="Arial" w:cs="Arial"/>
          <w:sz w:val="20"/>
          <w:szCs w:val="20"/>
        </w:rPr>
        <w:t xml:space="preserve">, P. (2024). </w:t>
      </w:r>
      <w:r>
        <w:rPr>
          <w:rStyle w:val="Emphasis"/>
          <w:rFonts w:ascii="Arial" w:hAnsi="Arial" w:cs="Arial"/>
          <w:sz w:val="20"/>
          <w:szCs w:val="20"/>
        </w:rPr>
        <w:t>Integrating science learning models with digitalization and local wisdom to address future challenges: A literature review</w:t>
      </w:r>
      <w:r>
        <w:rPr>
          <w:rFonts w:ascii="Arial" w:hAnsi="Arial" w:cs="Arial"/>
          <w:sz w:val="20"/>
          <w:szCs w:val="20"/>
        </w:rPr>
        <w:t xml:space="preserve">. </w:t>
      </w:r>
      <w:r>
        <w:rPr>
          <w:rStyle w:val="Strong"/>
          <w:rFonts w:ascii="Arial" w:hAnsi="Arial" w:cs="Arial"/>
          <w:b w:val="0"/>
          <w:bCs w:val="0"/>
          <w:sz w:val="20"/>
          <w:szCs w:val="20"/>
        </w:rPr>
        <w:t xml:space="preserve">SCIENCE: </w:t>
      </w:r>
      <w:proofErr w:type="spellStart"/>
      <w:r>
        <w:rPr>
          <w:rStyle w:val="Strong"/>
          <w:rFonts w:ascii="Arial" w:hAnsi="Arial" w:cs="Arial"/>
          <w:b w:val="0"/>
          <w:bCs w:val="0"/>
          <w:sz w:val="20"/>
          <w:szCs w:val="20"/>
        </w:rPr>
        <w:t>Jurnal</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Inovasi</w:t>
      </w:r>
      <w:proofErr w:type="spellEnd"/>
      <w:r>
        <w:rPr>
          <w:rStyle w:val="Strong"/>
          <w:rFonts w:ascii="Arial" w:hAnsi="Arial" w:cs="Arial"/>
          <w:b w:val="0"/>
          <w:bCs w:val="0"/>
          <w:sz w:val="20"/>
          <w:szCs w:val="20"/>
        </w:rPr>
        <w:t xml:space="preserve"> Pendidikan </w:t>
      </w:r>
      <w:proofErr w:type="spellStart"/>
      <w:r>
        <w:rPr>
          <w:rStyle w:val="Strong"/>
          <w:rFonts w:ascii="Arial" w:hAnsi="Arial" w:cs="Arial"/>
          <w:b w:val="0"/>
          <w:bCs w:val="0"/>
          <w:sz w:val="20"/>
          <w:szCs w:val="20"/>
        </w:rPr>
        <w:t>Matematika</w:t>
      </w:r>
      <w:proofErr w:type="spellEnd"/>
      <w:r>
        <w:rPr>
          <w:rStyle w:val="Strong"/>
          <w:rFonts w:ascii="Arial" w:hAnsi="Arial" w:cs="Arial"/>
          <w:b w:val="0"/>
          <w:bCs w:val="0"/>
          <w:sz w:val="20"/>
          <w:szCs w:val="20"/>
        </w:rPr>
        <w:t xml:space="preserve"> dan IPA, 4</w:t>
      </w:r>
      <w:r>
        <w:rPr>
          <w:rFonts w:ascii="Arial" w:hAnsi="Arial" w:cs="Arial"/>
          <w:sz w:val="20"/>
          <w:szCs w:val="20"/>
        </w:rPr>
        <w:t xml:space="preserve">(4), 318–330. </w:t>
      </w:r>
      <w:hyperlink r:id="rId96" w:tgtFrame="C:\Users\Dell\AppData\Local\Temp\_new" w:history="1">
        <w:r>
          <w:rPr>
            <w:rStyle w:val="Hyperlink"/>
            <w:rFonts w:ascii="Arial" w:hAnsi="Arial" w:cs="Arial"/>
            <w:color w:val="auto"/>
            <w:sz w:val="20"/>
            <w:szCs w:val="20"/>
          </w:rPr>
          <w:t>https://doi.org/10.51878/science.v4i4.3343</w:t>
        </w:r>
      </w:hyperlink>
    </w:p>
    <w:p w14:paraId="4DE0BE91"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Sukkhaeng</w:t>
      </w:r>
      <w:proofErr w:type="spellEnd"/>
      <w:r>
        <w:rPr>
          <w:rFonts w:ascii="Arial" w:hAnsi="Arial" w:cs="Arial"/>
          <w:sz w:val="20"/>
          <w:szCs w:val="20"/>
        </w:rPr>
        <w:t xml:space="preserve">, S., </w:t>
      </w:r>
      <w:proofErr w:type="spellStart"/>
      <w:r>
        <w:rPr>
          <w:rFonts w:ascii="Arial" w:hAnsi="Arial" w:cs="Arial"/>
          <w:sz w:val="20"/>
          <w:szCs w:val="20"/>
        </w:rPr>
        <w:t>Promdang</w:t>
      </w:r>
      <w:proofErr w:type="spellEnd"/>
      <w:r>
        <w:rPr>
          <w:rFonts w:ascii="Arial" w:hAnsi="Arial" w:cs="Arial"/>
          <w:sz w:val="20"/>
          <w:szCs w:val="20"/>
        </w:rPr>
        <w:t xml:space="preserve">, S., </w:t>
      </w:r>
      <w:proofErr w:type="spellStart"/>
      <w:r>
        <w:rPr>
          <w:rFonts w:ascii="Arial" w:hAnsi="Arial" w:cs="Arial"/>
          <w:sz w:val="20"/>
          <w:szCs w:val="20"/>
        </w:rPr>
        <w:t>Saejiw</w:t>
      </w:r>
      <w:proofErr w:type="spellEnd"/>
      <w:r>
        <w:rPr>
          <w:rFonts w:ascii="Arial" w:hAnsi="Arial" w:cs="Arial"/>
          <w:sz w:val="20"/>
          <w:szCs w:val="20"/>
        </w:rPr>
        <w:t xml:space="preserve">, A., </w:t>
      </w:r>
      <w:proofErr w:type="spellStart"/>
      <w:r>
        <w:rPr>
          <w:rFonts w:ascii="Arial" w:hAnsi="Arial" w:cs="Arial"/>
          <w:sz w:val="20"/>
          <w:szCs w:val="20"/>
        </w:rPr>
        <w:t>Thanomchat</w:t>
      </w:r>
      <w:proofErr w:type="spellEnd"/>
      <w:r>
        <w:rPr>
          <w:rFonts w:ascii="Arial" w:hAnsi="Arial" w:cs="Arial"/>
          <w:sz w:val="20"/>
          <w:szCs w:val="20"/>
        </w:rPr>
        <w:t xml:space="preserve">, P., &amp; </w:t>
      </w:r>
      <w:proofErr w:type="spellStart"/>
      <w:r>
        <w:rPr>
          <w:rFonts w:ascii="Arial" w:hAnsi="Arial" w:cs="Arial"/>
          <w:sz w:val="20"/>
          <w:szCs w:val="20"/>
        </w:rPr>
        <w:t>Suwanwong</w:t>
      </w:r>
      <w:proofErr w:type="spellEnd"/>
      <w:r>
        <w:rPr>
          <w:rFonts w:ascii="Arial" w:hAnsi="Arial" w:cs="Arial"/>
          <w:sz w:val="20"/>
          <w:szCs w:val="20"/>
        </w:rPr>
        <w:t xml:space="preserve">, S. (2023). </w:t>
      </w:r>
      <w:r>
        <w:rPr>
          <w:rStyle w:val="Emphasis"/>
          <w:rFonts w:ascii="Arial" w:hAnsi="Arial" w:cs="Arial"/>
          <w:sz w:val="20"/>
          <w:szCs w:val="20"/>
        </w:rPr>
        <w:t>Allelopathic effects of tamarind husk, lemongrass, and citronella residues on weed emergence and early growth</w:t>
      </w:r>
      <w:r>
        <w:rPr>
          <w:rFonts w:ascii="Arial" w:hAnsi="Arial" w:cs="Arial"/>
          <w:sz w:val="20"/>
          <w:szCs w:val="20"/>
        </w:rPr>
        <w:t xml:space="preserve">. </w:t>
      </w:r>
      <w:r>
        <w:rPr>
          <w:rStyle w:val="Strong"/>
          <w:rFonts w:ascii="Arial" w:hAnsi="Arial" w:cs="Arial"/>
          <w:b w:val="0"/>
          <w:bCs w:val="0"/>
          <w:sz w:val="20"/>
          <w:szCs w:val="20"/>
        </w:rPr>
        <w:t>Australian Journal of Crop Science, 17</w:t>
      </w:r>
      <w:r>
        <w:rPr>
          <w:rFonts w:ascii="Arial" w:hAnsi="Arial" w:cs="Arial"/>
          <w:sz w:val="20"/>
          <w:szCs w:val="20"/>
        </w:rPr>
        <w:t xml:space="preserve">(2), 146–154. </w:t>
      </w:r>
      <w:hyperlink r:id="rId97" w:tgtFrame="C:\Users\Dell\AppData\Local\Temp\_new" w:history="1">
        <w:r>
          <w:rPr>
            <w:rStyle w:val="Hyperlink"/>
            <w:rFonts w:ascii="Arial" w:hAnsi="Arial" w:cs="Arial"/>
            <w:color w:val="auto"/>
            <w:sz w:val="20"/>
            <w:szCs w:val="20"/>
          </w:rPr>
          <w:t>https://doi.org/10.21475/ajcs.23.17.02.p3718</w:t>
        </w:r>
      </w:hyperlink>
    </w:p>
    <w:p w14:paraId="41FBA109"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lastRenderedPageBreak/>
        <w:t>Sulistyowati</w:t>
      </w:r>
      <w:proofErr w:type="spellEnd"/>
      <w:r>
        <w:rPr>
          <w:rFonts w:ascii="Arial" w:hAnsi="Arial" w:cs="Arial"/>
          <w:sz w:val="20"/>
          <w:szCs w:val="20"/>
        </w:rPr>
        <w:t xml:space="preserve">, R. W., </w:t>
      </w:r>
      <w:proofErr w:type="spellStart"/>
      <w:r>
        <w:rPr>
          <w:rFonts w:ascii="Arial" w:hAnsi="Arial" w:cs="Arial"/>
          <w:sz w:val="20"/>
          <w:szCs w:val="20"/>
        </w:rPr>
        <w:t>Suteki</w:t>
      </w:r>
      <w:proofErr w:type="spellEnd"/>
      <w:r>
        <w:rPr>
          <w:rFonts w:ascii="Arial" w:hAnsi="Arial" w:cs="Arial"/>
          <w:sz w:val="20"/>
          <w:szCs w:val="20"/>
        </w:rPr>
        <w:t xml:space="preserve">, M., &amp; </w:t>
      </w:r>
      <w:proofErr w:type="spellStart"/>
      <w:r>
        <w:rPr>
          <w:rFonts w:ascii="Arial" w:hAnsi="Arial" w:cs="Arial"/>
          <w:sz w:val="20"/>
          <w:szCs w:val="20"/>
        </w:rPr>
        <w:t>Harmawati</w:t>
      </w:r>
      <w:proofErr w:type="spellEnd"/>
      <w:r>
        <w:rPr>
          <w:rFonts w:ascii="Arial" w:hAnsi="Arial" w:cs="Arial"/>
          <w:sz w:val="20"/>
          <w:szCs w:val="20"/>
        </w:rPr>
        <w:t xml:space="preserve">, D. (2025). </w:t>
      </w:r>
      <w:proofErr w:type="spellStart"/>
      <w:r>
        <w:rPr>
          <w:rStyle w:val="Emphasis"/>
          <w:rFonts w:ascii="Arial" w:hAnsi="Arial" w:cs="Arial"/>
          <w:sz w:val="20"/>
          <w:szCs w:val="20"/>
        </w:rPr>
        <w:t>Agroscience</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Kidslab</w:t>
      </w:r>
      <w:proofErr w:type="spellEnd"/>
      <w:r>
        <w:rPr>
          <w:rStyle w:val="Emphasis"/>
          <w:rFonts w:ascii="Arial" w:hAnsi="Arial" w:cs="Arial"/>
          <w:sz w:val="20"/>
          <w:szCs w:val="20"/>
        </w:rPr>
        <w:t xml:space="preserve"> as an integrative innovation of school gardens, science experiments, and mini seed banks for food security and child self-reliance in Papua</w:t>
      </w:r>
      <w:r>
        <w:rPr>
          <w:rFonts w:ascii="Arial" w:hAnsi="Arial" w:cs="Arial"/>
          <w:sz w:val="20"/>
          <w:szCs w:val="20"/>
        </w:rPr>
        <w:t xml:space="preserve">. </w:t>
      </w:r>
      <w:r>
        <w:rPr>
          <w:rStyle w:val="Strong"/>
          <w:rFonts w:ascii="Arial" w:hAnsi="Arial" w:cs="Arial"/>
          <w:b w:val="0"/>
          <w:bCs w:val="0"/>
          <w:sz w:val="20"/>
          <w:szCs w:val="20"/>
        </w:rPr>
        <w:t xml:space="preserve">Community: </w:t>
      </w:r>
      <w:proofErr w:type="spellStart"/>
      <w:r>
        <w:rPr>
          <w:rStyle w:val="Strong"/>
          <w:rFonts w:ascii="Arial" w:hAnsi="Arial" w:cs="Arial"/>
          <w:b w:val="0"/>
          <w:bCs w:val="0"/>
          <w:sz w:val="20"/>
          <w:szCs w:val="20"/>
        </w:rPr>
        <w:t>Jurnal</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Pengabdian</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Kepada</w:t>
      </w:r>
      <w:proofErr w:type="spellEnd"/>
      <w:r>
        <w:rPr>
          <w:rStyle w:val="Strong"/>
          <w:rFonts w:ascii="Arial" w:hAnsi="Arial" w:cs="Arial"/>
          <w:b w:val="0"/>
          <w:bCs w:val="0"/>
          <w:sz w:val="20"/>
          <w:szCs w:val="20"/>
        </w:rPr>
        <w:t xml:space="preserve"> Masyarakat, 5</w:t>
      </w:r>
      <w:r>
        <w:rPr>
          <w:rFonts w:ascii="Arial" w:hAnsi="Arial" w:cs="Arial"/>
          <w:sz w:val="20"/>
          <w:szCs w:val="20"/>
        </w:rPr>
        <w:t xml:space="preserve">(2), 683–695. </w:t>
      </w:r>
      <w:hyperlink r:id="rId98" w:tgtFrame="C:\Users\Dell\AppData\Local\Temp\_new" w:history="1">
        <w:r>
          <w:rPr>
            <w:rStyle w:val="Hyperlink"/>
            <w:rFonts w:ascii="Arial" w:hAnsi="Arial" w:cs="Arial"/>
            <w:color w:val="auto"/>
            <w:sz w:val="20"/>
            <w:szCs w:val="20"/>
          </w:rPr>
          <w:t>https://doi.org/10.51878/community.v5i2.7355</w:t>
        </w:r>
      </w:hyperlink>
    </w:p>
    <w:p w14:paraId="6D5DA05F"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Suminingtyas</w:t>
      </w:r>
      <w:proofErr w:type="spellEnd"/>
      <w:r>
        <w:rPr>
          <w:rFonts w:ascii="Arial" w:hAnsi="Arial" w:cs="Arial"/>
          <w:sz w:val="20"/>
          <w:szCs w:val="20"/>
        </w:rPr>
        <w:t xml:space="preserve">, I. A., &amp; </w:t>
      </w:r>
      <w:proofErr w:type="spellStart"/>
      <w:r>
        <w:rPr>
          <w:rFonts w:ascii="Arial" w:hAnsi="Arial" w:cs="Arial"/>
          <w:sz w:val="20"/>
          <w:szCs w:val="20"/>
        </w:rPr>
        <w:t>Herlina</w:t>
      </w:r>
      <w:proofErr w:type="spellEnd"/>
      <w:r>
        <w:rPr>
          <w:rFonts w:ascii="Arial" w:hAnsi="Arial" w:cs="Arial"/>
          <w:sz w:val="20"/>
          <w:szCs w:val="20"/>
        </w:rPr>
        <w:t xml:space="preserve">, T. (2025). </w:t>
      </w:r>
      <w:r>
        <w:rPr>
          <w:rStyle w:val="Emphasis"/>
          <w:rFonts w:ascii="Arial" w:hAnsi="Arial" w:cs="Arial"/>
          <w:sz w:val="20"/>
          <w:szCs w:val="20"/>
        </w:rPr>
        <w:t>Community behavior in the use of herbal medicine: A review article</w:t>
      </w:r>
      <w:r>
        <w:rPr>
          <w:rFonts w:ascii="Arial" w:hAnsi="Arial" w:cs="Arial"/>
          <w:sz w:val="20"/>
          <w:szCs w:val="20"/>
        </w:rPr>
        <w:t xml:space="preserve">. </w:t>
      </w:r>
      <w:r>
        <w:rPr>
          <w:rStyle w:val="Strong"/>
          <w:rFonts w:ascii="Arial" w:hAnsi="Arial" w:cs="Arial"/>
          <w:b w:val="0"/>
          <w:bCs w:val="0"/>
          <w:sz w:val="20"/>
          <w:szCs w:val="20"/>
        </w:rPr>
        <w:t>INPHARNMED Journal (Indonesian Pharmacy and Natural Medicine Journal), 9</w:t>
      </w:r>
      <w:r>
        <w:rPr>
          <w:rFonts w:ascii="Arial" w:hAnsi="Arial" w:cs="Arial"/>
          <w:sz w:val="20"/>
          <w:szCs w:val="20"/>
        </w:rPr>
        <w:t xml:space="preserve">(1), 15–24. </w:t>
      </w:r>
      <w:hyperlink r:id="rId99" w:tgtFrame="C:\Users\Dell\AppData\Local\Temp\_new" w:history="1">
        <w:r>
          <w:rPr>
            <w:rStyle w:val="Hyperlink"/>
            <w:rFonts w:ascii="Arial" w:hAnsi="Arial" w:cs="Arial"/>
            <w:color w:val="auto"/>
            <w:sz w:val="20"/>
            <w:szCs w:val="20"/>
          </w:rPr>
          <w:t>https://doi.org/10.21927/inpharnmed.v9i1.5555</w:t>
        </w:r>
      </w:hyperlink>
    </w:p>
    <w:p w14:paraId="3BDE4F01"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Supriyono</w:t>
      </w:r>
      <w:proofErr w:type="spellEnd"/>
      <w:r>
        <w:rPr>
          <w:rFonts w:ascii="Arial" w:hAnsi="Arial" w:cs="Arial"/>
          <w:sz w:val="20"/>
          <w:szCs w:val="20"/>
        </w:rPr>
        <w:t xml:space="preserve">, S., Hidayah, N., </w:t>
      </w:r>
      <w:proofErr w:type="spellStart"/>
      <w:r>
        <w:rPr>
          <w:rFonts w:ascii="Arial" w:hAnsi="Arial" w:cs="Arial"/>
          <w:sz w:val="20"/>
          <w:szCs w:val="20"/>
        </w:rPr>
        <w:t>Wijayanti</w:t>
      </w:r>
      <w:proofErr w:type="spellEnd"/>
      <w:r>
        <w:rPr>
          <w:rFonts w:ascii="Arial" w:hAnsi="Arial" w:cs="Arial"/>
          <w:sz w:val="20"/>
          <w:szCs w:val="20"/>
        </w:rPr>
        <w:t xml:space="preserve">, K. S., Sujak, S., Sunarto, D. A., Yulianti, T., </w:t>
      </w:r>
      <w:proofErr w:type="spellStart"/>
      <w:r>
        <w:rPr>
          <w:rFonts w:ascii="Arial" w:hAnsi="Arial" w:cs="Arial"/>
          <w:sz w:val="20"/>
          <w:szCs w:val="20"/>
        </w:rPr>
        <w:t>Subiyakto</w:t>
      </w:r>
      <w:proofErr w:type="spellEnd"/>
      <w:r>
        <w:rPr>
          <w:rFonts w:ascii="Arial" w:hAnsi="Arial" w:cs="Arial"/>
          <w:sz w:val="20"/>
          <w:szCs w:val="20"/>
        </w:rPr>
        <w:t xml:space="preserve">, S., Sari, M. P., &amp; </w:t>
      </w:r>
      <w:proofErr w:type="spellStart"/>
      <w:r>
        <w:rPr>
          <w:rFonts w:ascii="Arial" w:hAnsi="Arial" w:cs="Arial"/>
          <w:sz w:val="20"/>
          <w:szCs w:val="20"/>
        </w:rPr>
        <w:t>Cahyaningrum</w:t>
      </w:r>
      <w:proofErr w:type="spellEnd"/>
      <w:r>
        <w:rPr>
          <w:rFonts w:ascii="Arial" w:hAnsi="Arial" w:cs="Arial"/>
          <w:sz w:val="20"/>
          <w:szCs w:val="20"/>
        </w:rPr>
        <w:t xml:space="preserve">, H. (2024). </w:t>
      </w:r>
      <w:r>
        <w:rPr>
          <w:rStyle w:val="Emphasis"/>
          <w:rFonts w:ascii="Arial" w:hAnsi="Arial" w:cs="Arial"/>
          <w:sz w:val="20"/>
          <w:szCs w:val="20"/>
        </w:rPr>
        <w:t>Research status of botanical insecticides in Indonesia and their commercial constraints</w:t>
      </w:r>
      <w:r>
        <w:rPr>
          <w:rFonts w:ascii="Arial" w:hAnsi="Arial" w:cs="Arial"/>
          <w:sz w:val="20"/>
          <w:szCs w:val="20"/>
        </w:rPr>
        <w:t xml:space="preserve">. </w:t>
      </w:r>
      <w:r>
        <w:rPr>
          <w:rStyle w:val="Strong"/>
          <w:rFonts w:ascii="Arial" w:hAnsi="Arial" w:cs="Arial"/>
          <w:b w:val="0"/>
          <w:bCs w:val="0"/>
          <w:sz w:val="20"/>
          <w:szCs w:val="20"/>
        </w:rPr>
        <w:t>BIO Web of Conferences, 91</w:t>
      </w:r>
      <w:r>
        <w:rPr>
          <w:rFonts w:ascii="Arial" w:hAnsi="Arial" w:cs="Arial"/>
          <w:sz w:val="20"/>
          <w:szCs w:val="20"/>
        </w:rPr>
        <w:t xml:space="preserve">, Article 01019. </w:t>
      </w:r>
      <w:hyperlink r:id="rId100" w:tgtFrame="C:\Users\Dell\AppData\Local\Temp\_new" w:history="1">
        <w:r>
          <w:rPr>
            <w:rStyle w:val="Hyperlink"/>
            <w:rFonts w:ascii="Arial" w:hAnsi="Arial" w:cs="Arial"/>
            <w:color w:val="auto"/>
            <w:sz w:val="20"/>
            <w:szCs w:val="20"/>
          </w:rPr>
          <w:t>https://doi.org/10.1051/bioconf/20249101019</w:t>
        </w:r>
      </w:hyperlink>
    </w:p>
    <w:p w14:paraId="5A89A1D1"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Susilo, E., </w:t>
      </w:r>
      <w:proofErr w:type="spellStart"/>
      <w:r>
        <w:rPr>
          <w:rFonts w:ascii="Arial" w:hAnsi="Arial" w:cs="Arial"/>
          <w:sz w:val="20"/>
          <w:szCs w:val="20"/>
        </w:rPr>
        <w:t>Fahrurrozi</w:t>
      </w:r>
      <w:proofErr w:type="spellEnd"/>
      <w:r>
        <w:rPr>
          <w:rFonts w:ascii="Arial" w:hAnsi="Arial" w:cs="Arial"/>
          <w:sz w:val="20"/>
          <w:szCs w:val="20"/>
        </w:rPr>
        <w:t xml:space="preserve">, F., &amp; Sumardi, S. (2020). </w:t>
      </w:r>
      <w:r>
        <w:rPr>
          <w:rStyle w:val="Emphasis"/>
          <w:rFonts w:ascii="Arial" w:hAnsi="Arial" w:cs="Arial"/>
          <w:sz w:val="20"/>
          <w:szCs w:val="20"/>
        </w:rPr>
        <w:t>Development of sorghum production on swamp land: A study on the use of allelopathy as a bioherbicide</w:t>
      </w:r>
      <w:r>
        <w:rPr>
          <w:rFonts w:ascii="Arial" w:hAnsi="Arial" w:cs="Arial"/>
          <w:sz w:val="20"/>
          <w:szCs w:val="20"/>
        </w:rPr>
        <w:t xml:space="preserve">. </w:t>
      </w:r>
      <w:proofErr w:type="spellStart"/>
      <w:r>
        <w:rPr>
          <w:rStyle w:val="Strong"/>
          <w:rFonts w:ascii="Arial" w:hAnsi="Arial" w:cs="Arial"/>
          <w:b w:val="0"/>
          <w:bCs w:val="0"/>
          <w:sz w:val="20"/>
          <w:szCs w:val="20"/>
        </w:rPr>
        <w:t>Jurnal</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Agroqua</w:t>
      </w:r>
      <w:proofErr w:type="spellEnd"/>
      <w:r>
        <w:rPr>
          <w:rStyle w:val="Strong"/>
          <w:rFonts w:ascii="Arial" w:hAnsi="Arial" w:cs="Arial"/>
          <w:b w:val="0"/>
          <w:bCs w:val="0"/>
          <w:sz w:val="20"/>
          <w:szCs w:val="20"/>
        </w:rPr>
        <w:t>, 18</w:t>
      </w:r>
      <w:r>
        <w:rPr>
          <w:rFonts w:ascii="Arial" w:hAnsi="Arial" w:cs="Arial"/>
          <w:sz w:val="20"/>
          <w:szCs w:val="20"/>
        </w:rPr>
        <w:t>(1), 75–107.</w:t>
      </w:r>
    </w:p>
    <w:p w14:paraId="6D11C190"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Susilo, E., Pujiwati, H., &amp; Rita, W. (2023b). </w:t>
      </w:r>
      <w:r>
        <w:rPr>
          <w:rStyle w:val="Emphasis"/>
          <w:rFonts w:ascii="Arial" w:hAnsi="Arial" w:cs="Arial"/>
          <w:sz w:val="20"/>
          <w:szCs w:val="20"/>
        </w:rPr>
        <w:t>Effects of water table height and raised beds on sorghum growth and yield in swamp land</w:t>
      </w:r>
      <w:r>
        <w:rPr>
          <w:rFonts w:ascii="Arial" w:hAnsi="Arial" w:cs="Arial"/>
          <w:sz w:val="20"/>
          <w:szCs w:val="20"/>
        </w:rPr>
        <w:t xml:space="preserve">. </w:t>
      </w:r>
      <w:proofErr w:type="spellStart"/>
      <w:r>
        <w:rPr>
          <w:rStyle w:val="Strong"/>
          <w:rFonts w:ascii="Arial" w:hAnsi="Arial" w:cs="Arial"/>
          <w:b w:val="0"/>
          <w:bCs w:val="0"/>
          <w:sz w:val="20"/>
          <w:szCs w:val="20"/>
        </w:rPr>
        <w:t>Agro</w:t>
      </w:r>
      <w:proofErr w:type="spellEnd"/>
      <w:r>
        <w:rPr>
          <w:rStyle w:val="Strong"/>
          <w:rFonts w:ascii="Arial" w:hAnsi="Arial" w:cs="Arial"/>
          <w:b w:val="0"/>
          <w:bCs w:val="0"/>
          <w:sz w:val="20"/>
          <w:szCs w:val="20"/>
        </w:rPr>
        <w:t xml:space="preserve"> Bali: Agricultural Journal, 6</w:t>
      </w:r>
      <w:r>
        <w:rPr>
          <w:rFonts w:ascii="Arial" w:hAnsi="Arial" w:cs="Arial"/>
          <w:sz w:val="20"/>
          <w:szCs w:val="20"/>
        </w:rPr>
        <w:t>(1), 116–128.</w:t>
      </w:r>
    </w:p>
    <w:p w14:paraId="5D3BAE11"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Susilo, E., Pujiwati, H., &amp; Rita, W. (2024). </w:t>
      </w:r>
      <w:r>
        <w:rPr>
          <w:rStyle w:val="Emphasis"/>
          <w:rFonts w:ascii="Arial" w:hAnsi="Arial" w:cs="Arial"/>
          <w:sz w:val="20"/>
          <w:szCs w:val="20"/>
        </w:rPr>
        <w:t xml:space="preserve">Bioherbicidal potential of aqueous extracts from sorghum ratoon grown on </w:t>
      </w:r>
      <w:proofErr w:type="spellStart"/>
      <w:r>
        <w:rPr>
          <w:rStyle w:val="Emphasis"/>
          <w:rFonts w:ascii="Arial" w:hAnsi="Arial" w:cs="Arial"/>
          <w:sz w:val="20"/>
          <w:szCs w:val="20"/>
        </w:rPr>
        <w:t>Inceptisols</w:t>
      </w:r>
      <w:proofErr w:type="spellEnd"/>
      <w:r>
        <w:rPr>
          <w:rFonts w:ascii="Arial" w:hAnsi="Arial" w:cs="Arial"/>
          <w:sz w:val="20"/>
          <w:szCs w:val="20"/>
        </w:rPr>
        <w:t xml:space="preserve">. </w:t>
      </w:r>
      <w:proofErr w:type="spellStart"/>
      <w:r>
        <w:rPr>
          <w:rStyle w:val="Strong"/>
          <w:rFonts w:ascii="Arial" w:hAnsi="Arial" w:cs="Arial"/>
          <w:b w:val="0"/>
          <w:bCs w:val="0"/>
          <w:sz w:val="20"/>
          <w:szCs w:val="20"/>
        </w:rPr>
        <w:t>Jurnal</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Agronida</w:t>
      </w:r>
      <w:proofErr w:type="spellEnd"/>
      <w:r>
        <w:rPr>
          <w:rStyle w:val="Strong"/>
          <w:rFonts w:ascii="Arial" w:hAnsi="Arial" w:cs="Arial"/>
          <w:b w:val="0"/>
          <w:bCs w:val="0"/>
          <w:sz w:val="20"/>
          <w:szCs w:val="20"/>
        </w:rPr>
        <w:t>, 10</w:t>
      </w:r>
      <w:r>
        <w:rPr>
          <w:rFonts w:ascii="Arial" w:hAnsi="Arial" w:cs="Arial"/>
          <w:sz w:val="20"/>
          <w:szCs w:val="20"/>
        </w:rPr>
        <w:t>(1), 17–26.</w:t>
      </w:r>
    </w:p>
    <w:p w14:paraId="5591ACA6"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Susilo, E., </w:t>
      </w:r>
      <w:proofErr w:type="spellStart"/>
      <w:r>
        <w:rPr>
          <w:rFonts w:ascii="Arial" w:hAnsi="Arial" w:cs="Arial"/>
          <w:sz w:val="20"/>
          <w:szCs w:val="20"/>
        </w:rPr>
        <w:t>Setyowati</w:t>
      </w:r>
      <w:proofErr w:type="spellEnd"/>
      <w:r>
        <w:rPr>
          <w:rFonts w:ascii="Arial" w:hAnsi="Arial" w:cs="Arial"/>
          <w:sz w:val="20"/>
          <w:szCs w:val="20"/>
        </w:rPr>
        <w:t xml:space="preserve">, N., &amp; </w:t>
      </w:r>
      <w:proofErr w:type="spellStart"/>
      <w:r>
        <w:rPr>
          <w:rFonts w:ascii="Arial" w:hAnsi="Arial" w:cs="Arial"/>
          <w:sz w:val="20"/>
          <w:szCs w:val="20"/>
        </w:rPr>
        <w:t>Supriyanti</w:t>
      </w:r>
      <w:proofErr w:type="spellEnd"/>
      <w:r>
        <w:rPr>
          <w:rFonts w:ascii="Arial" w:hAnsi="Arial" w:cs="Arial"/>
          <w:sz w:val="20"/>
          <w:szCs w:val="20"/>
        </w:rPr>
        <w:t xml:space="preserve">, Y. I. (2025). </w:t>
      </w:r>
      <w:r>
        <w:rPr>
          <w:rStyle w:val="Emphasis"/>
          <w:rFonts w:ascii="Arial" w:hAnsi="Arial" w:cs="Arial"/>
          <w:sz w:val="20"/>
          <w:szCs w:val="20"/>
        </w:rPr>
        <w:t>Effects of water stress and varieties on the bioherbicidal effectiveness of sorghum aqueous extracts</w:t>
      </w:r>
      <w:r>
        <w:rPr>
          <w:rFonts w:ascii="Arial" w:hAnsi="Arial" w:cs="Arial"/>
          <w:sz w:val="20"/>
          <w:szCs w:val="20"/>
        </w:rPr>
        <w:t xml:space="preserve">. </w:t>
      </w:r>
      <w:r>
        <w:rPr>
          <w:rStyle w:val="Strong"/>
          <w:rFonts w:ascii="Arial" w:hAnsi="Arial" w:cs="Arial"/>
          <w:b w:val="0"/>
          <w:bCs w:val="0"/>
          <w:sz w:val="20"/>
          <w:szCs w:val="20"/>
        </w:rPr>
        <w:t>International Journal of Agricultural Technology, 21</w:t>
      </w:r>
      <w:r>
        <w:rPr>
          <w:rFonts w:ascii="Arial" w:hAnsi="Arial" w:cs="Arial"/>
          <w:sz w:val="20"/>
          <w:szCs w:val="20"/>
        </w:rPr>
        <w:t>(1), 317–326.</w:t>
      </w:r>
    </w:p>
    <w:p w14:paraId="50993A6A"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Susilo, E., </w:t>
      </w:r>
      <w:proofErr w:type="spellStart"/>
      <w:r>
        <w:rPr>
          <w:rFonts w:ascii="Arial" w:hAnsi="Arial" w:cs="Arial"/>
          <w:sz w:val="20"/>
          <w:szCs w:val="20"/>
        </w:rPr>
        <w:t>Setyowati</w:t>
      </w:r>
      <w:proofErr w:type="spellEnd"/>
      <w:r>
        <w:rPr>
          <w:rFonts w:ascii="Arial" w:hAnsi="Arial" w:cs="Arial"/>
          <w:sz w:val="20"/>
          <w:szCs w:val="20"/>
        </w:rPr>
        <w:t xml:space="preserve">, N., </w:t>
      </w:r>
      <w:proofErr w:type="spellStart"/>
      <w:r>
        <w:rPr>
          <w:rFonts w:ascii="Arial" w:hAnsi="Arial" w:cs="Arial"/>
          <w:sz w:val="20"/>
          <w:szCs w:val="20"/>
        </w:rPr>
        <w:t>Nurjanah</w:t>
      </w:r>
      <w:proofErr w:type="spellEnd"/>
      <w:r>
        <w:rPr>
          <w:rFonts w:ascii="Arial" w:hAnsi="Arial" w:cs="Arial"/>
          <w:sz w:val="20"/>
          <w:szCs w:val="20"/>
        </w:rPr>
        <w:t xml:space="preserve">, U., </w:t>
      </w:r>
      <w:proofErr w:type="spellStart"/>
      <w:r>
        <w:rPr>
          <w:rFonts w:ascii="Arial" w:hAnsi="Arial" w:cs="Arial"/>
          <w:sz w:val="20"/>
          <w:szCs w:val="20"/>
        </w:rPr>
        <w:t>Riwandi</w:t>
      </w:r>
      <w:proofErr w:type="spellEnd"/>
      <w:r>
        <w:rPr>
          <w:rFonts w:ascii="Arial" w:hAnsi="Arial" w:cs="Arial"/>
          <w:sz w:val="20"/>
          <w:szCs w:val="20"/>
        </w:rPr>
        <w:t xml:space="preserve">, R., &amp; </w:t>
      </w:r>
      <w:proofErr w:type="spellStart"/>
      <w:r>
        <w:rPr>
          <w:rFonts w:ascii="Arial" w:hAnsi="Arial" w:cs="Arial"/>
          <w:sz w:val="20"/>
          <w:szCs w:val="20"/>
        </w:rPr>
        <w:t>Muktamar</w:t>
      </w:r>
      <w:proofErr w:type="spellEnd"/>
      <w:r>
        <w:rPr>
          <w:rFonts w:ascii="Arial" w:hAnsi="Arial" w:cs="Arial"/>
          <w:sz w:val="20"/>
          <w:szCs w:val="20"/>
        </w:rPr>
        <w:t xml:space="preserve">, Z. (2023a). </w:t>
      </w:r>
      <w:r>
        <w:rPr>
          <w:rStyle w:val="Emphasis"/>
          <w:rFonts w:ascii="Arial" w:hAnsi="Arial" w:cs="Arial"/>
          <w:sz w:val="20"/>
          <w:szCs w:val="20"/>
        </w:rPr>
        <w:t>Inhibition of seed germination by aqueous extracts of sorghum (Sorghum bicolor L.) and its ratoon cultivated in swamp land</w:t>
      </w:r>
      <w:r>
        <w:rPr>
          <w:rFonts w:ascii="Arial" w:hAnsi="Arial" w:cs="Arial"/>
          <w:sz w:val="20"/>
          <w:szCs w:val="20"/>
        </w:rPr>
        <w:t xml:space="preserve">. </w:t>
      </w:r>
      <w:r>
        <w:rPr>
          <w:rStyle w:val="Strong"/>
          <w:rFonts w:ascii="Arial" w:hAnsi="Arial" w:cs="Arial"/>
          <w:b w:val="0"/>
          <w:bCs w:val="0"/>
          <w:sz w:val="20"/>
          <w:szCs w:val="20"/>
        </w:rPr>
        <w:t>International Journal of Agricultural Technology, 19</w:t>
      </w:r>
      <w:r>
        <w:rPr>
          <w:rFonts w:ascii="Arial" w:hAnsi="Arial" w:cs="Arial"/>
          <w:sz w:val="20"/>
          <w:szCs w:val="20"/>
        </w:rPr>
        <w:t>(3), 1337–1346.</w:t>
      </w:r>
    </w:p>
    <w:p w14:paraId="2162D3BE"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Susilo, E., </w:t>
      </w:r>
      <w:proofErr w:type="spellStart"/>
      <w:r>
        <w:rPr>
          <w:rFonts w:ascii="Arial" w:hAnsi="Arial" w:cs="Arial"/>
          <w:sz w:val="20"/>
          <w:szCs w:val="20"/>
        </w:rPr>
        <w:t>Setyowati</w:t>
      </w:r>
      <w:proofErr w:type="spellEnd"/>
      <w:r>
        <w:rPr>
          <w:rFonts w:ascii="Arial" w:hAnsi="Arial" w:cs="Arial"/>
          <w:sz w:val="20"/>
          <w:szCs w:val="20"/>
        </w:rPr>
        <w:t xml:space="preserve">, N., </w:t>
      </w:r>
      <w:proofErr w:type="spellStart"/>
      <w:r>
        <w:rPr>
          <w:rFonts w:ascii="Arial" w:hAnsi="Arial" w:cs="Arial"/>
          <w:sz w:val="20"/>
          <w:szCs w:val="20"/>
        </w:rPr>
        <w:t>Nurjannah</w:t>
      </w:r>
      <w:proofErr w:type="spellEnd"/>
      <w:r>
        <w:rPr>
          <w:rFonts w:ascii="Arial" w:hAnsi="Arial" w:cs="Arial"/>
          <w:sz w:val="20"/>
          <w:szCs w:val="20"/>
        </w:rPr>
        <w:t xml:space="preserve">, U., &amp; </w:t>
      </w:r>
      <w:proofErr w:type="spellStart"/>
      <w:r>
        <w:rPr>
          <w:rFonts w:ascii="Arial" w:hAnsi="Arial" w:cs="Arial"/>
          <w:sz w:val="20"/>
          <w:szCs w:val="20"/>
        </w:rPr>
        <w:t>Muktamar</w:t>
      </w:r>
      <w:proofErr w:type="spellEnd"/>
      <w:r>
        <w:rPr>
          <w:rFonts w:ascii="Arial" w:hAnsi="Arial" w:cs="Arial"/>
          <w:sz w:val="20"/>
          <w:szCs w:val="20"/>
        </w:rPr>
        <w:t xml:space="preserve">, Z. (2021). </w:t>
      </w:r>
      <w:r>
        <w:rPr>
          <w:rStyle w:val="Emphasis"/>
          <w:rFonts w:ascii="Arial" w:hAnsi="Arial" w:cs="Arial"/>
          <w:sz w:val="20"/>
          <w:szCs w:val="20"/>
        </w:rPr>
        <w:t>Effects of swamp irrigation patterns and sorghum extract concentrations on sorghum seed germination</w:t>
      </w:r>
      <w:r>
        <w:rPr>
          <w:rFonts w:ascii="Arial" w:hAnsi="Arial" w:cs="Arial"/>
          <w:sz w:val="20"/>
          <w:szCs w:val="20"/>
        </w:rPr>
        <w:t xml:space="preserve">. In </w:t>
      </w:r>
      <w:r>
        <w:rPr>
          <w:rStyle w:val="Strong"/>
          <w:rFonts w:ascii="Arial" w:hAnsi="Arial" w:cs="Arial"/>
          <w:b w:val="0"/>
          <w:bCs w:val="0"/>
          <w:sz w:val="20"/>
          <w:szCs w:val="20"/>
        </w:rPr>
        <w:t>Proceedings of the 3rd KOBI Congress, International and National Conferences (KOBICINC 2020)</w:t>
      </w:r>
      <w:r>
        <w:rPr>
          <w:rFonts w:ascii="Arial" w:hAnsi="Arial" w:cs="Arial"/>
          <w:sz w:val="20"/>
          <w:szCs w:val="20"/>
        </w:rPr>
        <w:t xml:space="preserve"> (pp. 19–25). Atlantis Press.</w:t>
      </w:r>
    </w:p>
    <w:p w14:paraId="6761F4B1"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Syafira, E. A., Jahro, I. S., </w:t>
      </w:r>
      <w:proofErr w:type="spellStart"/>
      <w:r>
        <w:rPr>
          <w:rFonts w:ascii="Arial" w:hAnsi="Arial" w:cs="Arial"/>
          <w:sz w:val="20"/>
          <w:szCs w:val="20"/>
        </w:rPr>
        <w:t>Dwiyanda</w:t>
      </w:r>
      <w:proofErr w:type="spellEnd"/>
      <w:r>
        <w:rPr>
          <w:rFonts w:ascii="Arial" w:hAnsi="Arial" w:cs="Arial"/>
          <w:sz w:val="20"/>
          <w:szCs w:val="20"/>
        </w:rPr>
        <w:t xml:space="preserve">, F., Nikita, A. R., </w:t>
      </w:r>
      <w:proofErr w:type="spellStart"/>
      <w:r>
        <w:rPr>
          <w:rFonts w:ascii="Arial" w:hAnsi="Arial" w:cs="Arial"/>
          <w:sz w:val="20"/>
          <w:szCs w:val="20"/>
        </w:rPr>
        <w:t>Khairani</w:t>
      </w:r>
      <w:proofErr w:type="spellEnd"/>
      <w:r>
        <w:rPr>
          <w:rFonts w:ascii="Arial" w:hAnsi="Arial" w:cs="Arial"/>
          <w:sz w:val="20"/>
          <w:szCs w:val="20"/>
        </w:rPr>
        <w:t xml:space="preserve">, R., </w:t>
      </w:r>
      <w:proofErr w:type="spellStart"/>
      <w:r>
        <w:rPr>
          <w:rFonts w:ascii="Arial" w:hAnsi="Arial" w:cs="Arial"/>
          <w:sz w:val="20"/>
          <w:szCs w:val="20"/>
        </w:rPr>
        <w:t>Rizkia</w:t>
      </w:r>
      <w:proofErr w:type="spellEnd"/>
      <w:r>
        <w:rPr>
          <w:rFonts w:ascii="Arial" w:hAnsi="Arial" w:cs="Arial"/>
          <w:sz w:val="20"/>
          <w:szCs w:val="20"/>
        </w:rPr>
        <w:t xml:space="preserve">, P., &amp; Said, F. H. (2025). </w:t>
      </w:r>
      <w:r>
        <w:rPr>
          <w:rStyle w:val="Emphasis"/>
          <w:rFonts w:ascii="Arial" w:hAnsi="Arial" w:cs="Arial"/>
          <w:sz w:val="20"/>
          <w:szCs w:val="20"/>
        </w:rPr>
        <w:t>Effectiveness of combined solubility testing methods in alcohol, oil, and filter paper: Analysis of polar and nonpolar covalent compounds in local fruits</w:t>
      </w:r>
      <w:r>
        <w:rPr>
          <w:rFonts w:ascii="Arial" w:hAnsi="Arial" w:cs="Arial"/>
          <w:sz w:val="20"/>
          <w:szCs w:val="20"/>
        </w:rPr>
        <w:t xml:space="preserve">. </w:t>
      </w:r>
      <w:r>
        <w:rPr>
          <w:rStyle w:val="Strong"/>
          <w:rFonts w:ascii="Arial" w:hAnsi="Arial" w:cs="Arial"/>
          <w:b w:val="0"/>
          <w:bCs w:val="0"/>
          <w:sz w:val="20"/>
          <w:szCs w:val="20"/>
        </w:rPr>
        <w:t xml:space="preserve">SCIENCE: </w:t>
      </w:r>
      <w:proofErr w:type="spellStart"/>
      <w:r>
        <w:rPr>
          <w:rStyle w:val="Strong"/>
          <w:rFonts w:ascii="Arial" w:hAnsi="Arial" w:cs="Arial"/>
          <w:b w:val="0"/>
          <w:bCs w:val="0"/>
          <w:sz w:val="20"/>
          <w:szCs w:val="20"/>
        </w:rPr>
        <w:t>Jurnal</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Inovasi</w:t>
      </w:r>
      <w:proofErr w:type="spellEnd"/>
      <w:r>
        <w:rPr>
          <w:rStyle w:val="Strong"/>
          <w:rFonts w:ascii="Arial" w:hAnsi="Arial" w:cs="Arial"/>
          <w:b w:val="0"/>
          <w:bCs w:val="0"/>
          <w:sz w:val="20"/>
          <w:szCs w:val="20"/>
        </w:rPr>
        <w:t xml:space="preserve"> Pendidikan </w:t>
      </w:r>
      <w:proofErr w:type="spellStart"/>
      <w:r>
        <w:rPr>
          <w:rStyle w:val="Strong"/>
          <w:rFonts w:ascii="Arial" w:hAnsi="Arial" w:cs="Arial"/>
          <w:b w:val="0"/>
          <w:bCs w:val="0"/>
          <w:sz w:val="20"/>
          <w:szCs w:val="20"/>
        </w:rPr>
        <w:t>Matematika</w:t>
      </w:r>
      <w:proofErr w:type="spellEnd"/>
      <w:r>
        <w:rPr>
          <w:rStyle w:val="Strong"/>
          <w:rFonts w:ascii="Arial" w:hAnsi="Arial" w:cs="Arial"/>
          <w:b w:val="0"/>
          <w:bCs w:val="0"/>
          <w:sz w:val="20"/>
          <w:szCs w:val="20"/>
        </w:rPr>
        <w:t xml:space="preserve"> dan IPA, 5</w:t>
      </w:r>
      <w:r>
        <w:rPr>
          <w:rFonts w:ascii="Arial" w:hAnsi="Arial" w:cs="Arial"/>
          <w:sz w:val="20"/>
          <w:szCs w:val="20"/>
        </w:rPr>
        <w:t xml:space="preserve">(4), 1669–1682. </w:t>
      </w:r>
      <w:hyperlink r:id="rId101" w:tgtFrame="C:\Users\Dell\AppData\Local\Temp\_new" w:history="1">
        <w:r>
          <w:rPr>
            <w:rStyle w:val="Hyperlink"/>
            <w:rFonts w:ascii="Arial" w:hAnsi="Arial" w:cs="Arial"/>
            <w:color w:val="auto"/>
            <w:sz w:val="20"/>
            <w:szCs w:val="20"/>
          </w:rPr>
          <w:t>https://doi.org/10.51878/science.v5i4.7535</w:t>
        </w:r>
      </w:hyperlink>
    </w:p>
    <w:p w14:paraId="33F50DE2"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Syahrir, S., Sari, A. R., &amp; Kasman, A. F. N. (2024). </w:t>
      </w:r>
      <w:r>
        <w:rPr>
          <w:rStyle w:val="Emphasis"/>
          <w:rFonts w:ascii="Arial" w:hAnsi="Arial" w:cs="Arial"/>
          <w:sz w:val="20"/>
          <w:szCs w:val="20"/>
        </w:rPr>
        <w:t xml:space="preserve">Design of an agricultural seed recipient data system at the </w:t>
      </w:r>
      <w:proofErr w:type="spellStart"/>
      <w:r>
        <w:rPr>
          <w:rStyle w:val="Emphasis"/>
          <w:rFonts w:ascii="Arial" w:hAnsi="Arial" w:cs="Arial"/>
          <w:sz w:val="20"/>
          <w:szCs w:val="20"/>
        </w:rPr>
        <w:t>Palopo</w:t>
      </w:r>
      <w:proofErr w:type="spellEnd"/>
      <w:r>
        <w:rPr>
          <w:rStyle w:val="Emphasis"/>
          <w:rFonts w:ascii="Arial" w:hAnsi="Arial" w:cs="Arial"/>
          <w:sz w:val="20"/>
          <w:szCs w:val="20"/>
        </w:rPr>
        <w:t xml:space="preserve"> Agricultural Office</w:t>
      </w:r>
      <w:r>
        <w:rPr>
          <w:rFonts w:ascii="Arial" w:hAnsi="Arial" w:cs="Arial"/>
          <w:sz w:val="20"/>
          <w:szCs w:val="20"/>
        </w:rPr>
        <w:t xml:space="preserve">. </w:t>
      </w:r>
      <w:proofErr w:type="spellStart"/>
      <w:r>
        <w:rPr>
          <w:rStyle w:val="Strong"/>
          <w:rFonts w:ascii="Arial" w:hAnsi="Arial" w:cs="Arial"/>
          <w:b w:val="0"/>
          <w:bCs w:val="0"/>
          <w:sz w:val="20"/>
          <w:szCs w:val="20"/>
        </w:rPr>
        <w:t>Cendekia</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Jurnal</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Ilmu</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Pengetahuan</w:t>
      </w:r>
      <w:proofErr w:type="spellEnd"/>
      <w:r>
        <w:rPr>
          <w:rStyle w:val="Strong"/>
          <w:rFonts w:ascii="Arial" w:hAnsi="Arial" w:cs="Arial"/>
          <w:b w:val="0"/>
          <w:bCs w:val="0"/>
          <w:sz w:val="20"/>
          <w:szCs w:val="20"/>
        </w:rPr>
        <w:t>, 4</w:t>
      </w:r>
      <w:r>
        <w:rPr>
          <w:rFonts w:ascii="Arial" w:hAnsi="Arial" w:cs="Arial"/>
          <w:sz w:val="20"/>
          <w:szCs w:val="20"/>
        </w:rPr>
        <w:t xml:space="preserve">(4), 583–594. </w:t>
      </w:r>
      <w:hyperlink r:id="rId102" w:tgtFrame="C:\Users\Dell\AppData\Local\Temp\_new" w:history="1">
        <w:r>
          <w:rPr>
            <w:rStyle w:val="Hyperlink"/>
            <w:rFonts w:ascii="Arial" w:hAnsi="Arial" w:cs="Arial"/>
            <w:color w:val="auto"/>
            <w:sz w:val="20"/>
            <w:szCs w:val="20"/>
          </w:rPr>
          <w:t>https://doi.org/10.51878/cendekia.v4i4.3736</w:t>
        </w:r>
      </w:hyperlink>
    </w:p>
    <w:p w14:paraId="5B2259F0"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Talahatu</w:t>
      </w:r>
      <w:proofErr w:type="spellEnd"/>
      <w:r>
        <w:rPr>
          <w:rFonts w:ascii="Arial" w:hAnsi="Arial" w:cs="Arial"/>
          <w:sz w:val="20"/>
          <w:szCs w:val="20"/>
        </w:rPr>
        <w:t xml:space="preserve">, D. R., &amp; </w:t>
      </w:r>
      <w:proofErr w:type="spellStart"/>
      <w:r>
        <w:rPr>
          <w:rFonts w:ascii="Arial" w:hAnsi="Arial" w:cs="Arial"/>
          <w:sz w:val="20"/>
          <w:szCs w:val="20"/>
        </w:rPr>
        <w:t>Papilaya</w:t>
      </w:r>
      <w:proofErr w:type="spellEnd"/>
      <w:r>
        <w:rPr>
          <w:rFonts w:ascii="Arial" w:hAnsi="Arial" w:cs="Arial"/>
          <w:sz w:val="20"/>
          <w:szCs w:val="20"/>
        </w:rPr>
        <w:t xml:space="preserve">, P. M. (2015). </w:t>
      </w:r>
      <w:r>
        <w:rPr>
          <w:rStyle w:val="Emphasis"/>
          <w:rFonts w:ascii="Arial" w:hAnsi="Arial" w:cs="Arial"/>
          <w:sz w:val="20"/>
          <w:szCs w:val="20"/>
        </w:rPr>
        <w:t xml:space="preserve">Utilization of </w:t>
      </w:r>
      <w:proofErr w:type="spellStart"/>
      <w:r>
        <w:rPr>
          <w:rStyle w:val="Emphasis"/>
          <w:rFonts w:ascii="Arial" w:hAnsi="Arial" w:cs="Arial"/>
          <w:sz w:val="20"/>
          <w:szCs w:val="20"/>
        </w:rPr>
        <w:t>clove</w:t>
      </w:r>
      <w:proofErr w:type="spellEnd"/>
      <w:r>
        <w:rPr>
          <w:rStyle w:val="Emphasis"/>
          <w:rFonts w:ascii="Arial" w:hAnsi="Arial" w:cs="Arial"/>
          <w:sz w:val="20"/>
          <w:szCs w:val="20"/>
        </w:rPr>
        <w:t xml:space="preserve"> leaf extract (</w:t>
      </w:r>
      <w:proofErr w:type="spellStart"/>
      <w:r>
        <w:rPr>
          <w:rStyle w:val="Emphasis"/>
          <w:rFonts w:ascii="Arial" w:hAnsi="Arial" w:cs="Arial"/>
          <w:sz w:val="20"/>
          <w:szCs w:val="20"/>
        </w:rPr>
        <w:t>Syzygium</w:t>
      </w:r>
      <w:proofErr w:type="spellEnd"/>
      <w:r>
        <w:rPr>
          <w:rStyle w:val="Emphasis"/>
          <w:rFonts w:ascii="Arial" w:hAnsi="Arial" w:cs="Arial"/>
          <w:sz w:val="20"/>
          <w:szCs w:val="20"/>
        </w:rPr>
        <w:t xml:space="preserve"> aromaticum L.) as a natural herbicide against the growth of nut grass (Cyperus rotundus L.)</w:t>
      </w:r>
      <w:r>
        <w:rPr>
          <w:rFonts w:ascii="Arial" w:hAnsi="Arial" w:cs="Arial"/>
          <w:sz w:val="20"/>
          <w:szCs w:val="20"/>
        </w:rPr>
        <w:t xml:space="preserve">. </w:t>
      </w:r>
      <w:proofErr w:type="spellStart"/>
      <w:r>
        <w:rPr>
          <w:rStyle w:val="Strong"/>
          <w:rFonts w:ascii="Arial" w:hAnsi="Arial" w:cs="Arial"/>
          <w:b w:val="0"/>
          <w:bCs w:val="0"/>
          <w:sz w:val="20"/>
          <w:szCs w:val="20"/>
        </w:rPr>
        <w:t>Biopendix</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Jurnal</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Biologi</w:t>
      </w:r>
      <w:proofErr w:type="spellEnd"/>
      <w:r>
        <w:rPr>
          <w:rStyle w:val="Strong"/>
          <w:rFonts w:ascii="Arial" w:hAnsi="Arial" w:cs="Arial"/>
          <w:b w:val="0"/>
          <w:bCs w:val="0"/>
          <w:sz w:val="20"/>
          <w:szCs w:val="20"/>
        </w:rPr>
        <w:t xml:space="preserve"> Pendidikan dan </w:t>
      </w:r>
      <w:proofErr w:type="spellStart"/>
      <w:r>
        <w:rPr>
          <w:rStyle w:val="Strong"/>
          <w:rFonts w:ascii="Arial" w:hAnsi="Arial" w:cs="Arial"/>
          <w:b w:val="0"/>
          <w:bCs w:val="0"/>
          <w:sz w:val="20"/>
          <w:szCs w:val="20"/>
        </w:rPr>
        <w:t>Terapan</w:t>
      </w:r>
      <w:proofErr w:type="spellEnd"/>
      <w:r>
        <w:rPr>
          <w:rStyle w:val="Strong"/>
          <w:rFonts w:ascii="Arial" w:hAnsi="Arial" w:cs="Arial"/>
          <w:b w:val="0"/>
          <w:bCs w:val="0"/>
          <w:sz w:val="20"/>
          <w:szCs w:val="20"/>
        </w:rPr>
        <w:t>, 1</w:t>
      </w:r>
      <w:r>
        <w:rPr>
          <w:rFonts w:ascii="Arial" w:hAnsi="Arial" w:cs="Arial"/>
          <w:sz w:val="20"/>
          <w:szCs w:val="20"/>
        </w:rPr>
        <w:t xml:space="preserve">(2), 160–170. </w:t>
      </w:r>
      <w:hyperlink r:id="rId103" w:tgtFrame="C:\Users\Dell\AppData\Local\Temp\_new" w:history="1">
        <w:r>
          <w:rPr>
            <w:rStyle w:val="Hyperlink"/>
            <w:rFonts w:ascii="Arial" w:hAnsi="Arial" w:cs="Arial"/>
            <w:color w:val="auto"/>
            <w:sz w:val="20"/>
            <w:szCs w:val="20"/>
          </w:rPr>
          <w:t>https://doi.org/10.30598/biopendixvol1issue2page160-170</w:t>
        </w:r>
      </w:hyperlink>
    </w:p>
    <w:p w14:paraId="4FE126ED"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Vasileiou, M., </w:t>
      </w:r>
      <w:proofErr w:type="spellStart"/>
      <w:r>
        <w:rPr>
          <w:rFonts w:ascii="Arial" w:hAnsi="Arial" w:cs="Arial"/>
          <w:sz w:val="20"/>
          <w:szCs w:val="20"/>
        </w:rPr>
        <w:t>Kyrgiakos</w:t>
      </w:r>
      <w:proofErr w:type="spellEnd"/>
      <w:r>
        <w:rPr>
          <w:rFonts w:ascii="Arial" w:hAnsi="Arial" w:cs="Arial"/>
          <w:sz w:val="20"/>
          <w:szCs w:val="20"/>
        </w:rPr>
        <w:t xml:space="preserve">, L. S., </w:t>
      </w:r>
      <w:proofErr w:type="spellStart"/>
      <w:r>
        <w:rPr>
          <w:rFonts w:ascii="Arial" w:hAnsi="Arial" w:cs="Arial"/>
          <w:sz w:val="20"/>
          <w:szCs w:val="20"/>
        </w:rPr>
        <w:t>Kleisiari</w:t>
      </w:r>
      <w:proofErr w:type="spellEnd"/>
      <w:r>
        <w:rPr>
          <w:rFonts w:ascii="Arial" w:hAnsi="Arial" w:cs="Arial"/>
          <w:sz w:val="20"/>
          <w:szCs w:val="20"/>
        </w:rPr>
        <w:t xml:space="preserve">, C., </w:t>
      </w:r>
      <w:proofErr w:type="spellStart"/>
      <w:r>
        <w:rPr>
          <w:rFonts w:ascii="Arial" w:hAnsi="Arial" w:cs="Arial"/>
          <w:sz w:val="20"/>
          <w:szCs w:val="20"/>
        </w:rPr>
        <w:t>Kleftodimos</w:t>
      </w:r>
      <w:proofErr w:type="spellEnd"/>
      <w:r>
        <w:rPr>
          <w:rFonts w:ascii="Arial" w:hAnsi="Arial" w:cs="Arial"/>
          <w:sz w:val="20"/>
          <w:szCs w:val="20"/>
        </w:rPr>
        <w:t xml:space="preserve">, G., Vlontzos, G., </w:t>
      </w:r>
      <w:proofErr w:type="spellStart"/>
      <w:r>
        <w:rPr>
          <w:rFonts w:ascii="Arial" w:hAnsi="Arial" w:cs="Arial"/>
          <w:sz w:val="20"/>
          <w:szCs w:val="20"/>
        </w:rPr>
        <w:t>Belhouchette</w:t>
      </w:r>
      <w:proofErr w:type="spellEnd"/>
      <w:r>
        <w:rPr>
          <w:rFonts w:ascii="Arial" w:hAnsi="Arial" w:cs="Arial"/>
          <w:sz w:val="20"/>
          <w:szCs w:val="20"/>
        </w:rPr>
        <w:t xml:space="preserve">, H., &amp; </w:t>
      </w:r>
      <w:proofErr w:type="spellStart"/>
      <w:r>
        <w:rPr>
          <w:rFonts w:ascii="Arial" w:hAnsi="Arial" w:cs="Arial"/>
          <w:sz w:val="20"/>
          <w:szCs w:val="20"/>
        </w:rPr>
        <w:t>Pardalos</w:t>
      </w:r>
      <w:proofErr w:type="spellEnd"/>
      <w:r>
        <w:rPr>
          <w:rFonts w:ascii="Arial" w:hAnsi="Arial" w:cs="Arial"/>
          <w:sz w:val="20"/>
          <w:szCs w:val="20"/>
        </w:rPr>
        <w:t xml:space="preserve">, P. M. (2023). </w:t>
      </w:r>
      <w:r>
        <w:rPr>
          <w:rStyle w:val="Emphasis"/>
          <w:rFonts w:ascii="Arial" w:hAnsi="Arial" w:cs="Arial"/>
          <w:sz w:val="20"/>
          <w:szCs w:val="20"/>
        </w:rPr>
        <w:t>Transforming weed management in sustainable agriculture with artificial intelligence: A systematic literature review toward weed identification and deep learning</w:t>
      </w:r>
      <w:r>
        <w:rPr>
          <w:rFonts w:ascii="Arial" w:hAnsi="Arial" w:cs="Arial"/>
          <w:sz w:val="20"/>
          <w:szCs w:val="20"/>
        </w:rPr>
        <w:t xml:space="preserve">. </w:t>
      </w:r>
      <w:r>
        <w:rPr>
          <w:rStyle w:val="Strong"/>
          <w:rFonts w:ascii="Arial" w:hAnsi="Arial" w:cs="Arial"/>
          <w:b w:val="0"/>
          <w:bCs w:val="0"/>
          <w:sz w:val="20"/>
          <w:szCs w:val="20"/>
        </w:rPr>
        <w:t>Crop Protection, 176</w:t>
      </w:r>
      <w:r>
        <w:rPr>
          <w:rFonts w:ascii="Arial" w:hAnsi="Arial" w:cs="Arial"/>
          <w:sz w:val="20"/>
          <w:szCs w:val="20"/>
        </w:rPr>
        <w:t xml:space="preserve">, 106522. </w:t>
      </w:r>
      <w:hyperlink r:id="rId104" w:tgtFrame="C:\Users\Dell\AppData\Local\Temp\_new" w:history="1">
        <w:r>
          <w:rPr>
            <w:rStyle w:val="Hyperlink"/>
            <w:rFonts w:ascii="Arial" w:hAnsi="Arial" w:cs="Arial"/>
            <w:color w:val="auto"/>
            <w:sz w:val="20"/>
            <w:szCs w:val="20"/>
          </w:rPr>
          <w:t>https://doi.org/10.1016/j.cropro.2023.106522</w:t>
        </w:r>
      </w:hyperlink>
    </w:p>
    <w:p w14:paraId="0B9F2AAB"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Wihartiko</w:t>
      </w:r>
      <w:proofErr w:type="spellEnd"/>
      <w:r>
        <w:rPr>
          <w:rFonts w:ascii="Arial" w:hAnsi="Arial" w:cs="Arial"/>
          <w:sz w:val="20"/>
          <w:szCs w:val="20"/>
        </w:rPr>
        <w:t xml:space="preserve">, F. D., </w:t>
      </w:r>
      <w:proofErr w:type="spellStart"/>
      <w:r>
        <w:rPr>
          <w:rFonts w:ascii="Arial" w:hAnsi="Arial" w:cs="Arial"/>
          <w:sz w:val="20"/>
          <w:szCs w:val="20"/>
        </w:rPr>
        <w:t>Nurdiati</w:t>
      </w:r>
      <w:proofErr w:type="spellEnd"/>
      <w:r>
        <w:rPr>
          <w:rFonts w:ascii="Arial" w:hAnsi="Arial" w:cs="Arial"/>
          <w:sz w:val="20"/>
          <w:szCs w:val="20"/>
        </w:rPr>
        <w:t xml:space="preserve">, S., Buono, A., &amp; Santosa, E. (2021). </w:t>
      </w:r>
      <w:r>
        <w:rPr>
          <w:rStyle w:val="Emphasis"/>
          <w:rFonts w:ascii="Arial" w:hAnsi="Arial" w:cs="Arial"/>
          <w:sz w:val="20"/>
          <w:szCs w:val="20"/>
        </w:rPr>
        <w:t>Blockchain and artificial intelligence in agriculture: A literature review</w:t>
      </w:r>
      <w:r>
        <w:rPr>
          <w:rFonts w:ascii="Arial" w:hAnsi="Arial" w:cs="Arial"/>
          <w:sz w:val="20"/>
          <w:szCs w:val="20"/>
        </w:rPr>
        <w:t xml:space="preserve">. </w:t>
      </w:r>
      <w:proofErr w:type="spellStart"/>
      <w:r>
        <w:rPr>
          <w:rStyle w:val="Strong"/>
          <w:rFonts w:ascii="Arial" w:hAnsi="Arial" w:cs="Arial"/>
          <w:b w:val="0"/>
          <w:bCs w:val="0"/>
          <w:sz w:val="20"/>
          <w:szCs w:val="20"/>
        </w:rPr>
        <w:t>Jurnal</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Teknologi</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Informasi</w:t>
      </w:r>
      <w:proofErr w:type="spellEnd"/>
      <w:r>
        <w:rPr>
          <w:rStyle w:val="Strong"/>
          <w:rFonts w:ascii="Arial" w:hAnsi="Arial" w:cs="Arial"/>
          <w:b w:val="0"/>
          <w:bCs w:val="0"/>
          <w:sz w:val="20"/>
          <w:szCs w:val="20"/>
        </w:rPr>
        <w:t xml:space="preserve"> dan </w:t>
      </w:r>
      <w:proofErr w:type="spellStart"/>
      <w:r>
        <w:rPr>
          <w:rStyle w:val="Strong"/>
          <w:rFonts w:ascii="Arial" w:hAnsi="Arial" w:cs="Arial"/>
          <w:b w:val="0"/>
          <w:bCs w:val="0"/>
          <w:sz w:val="20"/>
          <w:szCs w:val="20"/>
        </w:rPr>
        <w:t>Ilmu</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Komputer</w:t>
      </w:r>
      <w:proofErr w:type="spellEnd"/>
      <w:r>
        <w:rPr>
          <w:rStyle w:val="Strong"/>
          <w:rFonts w:ascii="Arial" w:hAnsi="Arial" w:cs="Arial"/>
          <w:b w:val="0"/>
          <w:bCs w:val="0"/>
          <w:sz w:val="20"/>
          <w:szCs w:val="20"/>
        </w:rPr>
        <w:t>, 8</w:t>
      </w:r>
      <w:r>
        <w:rPr>
          <w:rFonts w:ascii="Arial" w:hAnsi="Arial" w:cs="Arial"/>
          <w:sz w:val="20"/>
          <w:szCs w:val="20"/>
        </w:rPr>
        <w:t xml:space="preserve">(1), 177–186. </w:t>
      </w:r>
      <w:hyperlink r:id="rId105" w:tgtFrame="C:\Users\Dell\AppData\Local\Temp\_new" w:history="1">
        <w:r>
          <w:rPr>
            <w:rStyle w:val="Hyperlink"/>
            <w:rFonts w:ascii="Arial" w:hAnsi="Arial" w:cs="Arial"/>
            <w:color w:val="auto"/>
            <w:sz w:val="20"/>
            <w:szCs w:val="20"/>
          </w:rPr>
          <w:t>https://doi.org/10.25126/jtiik.0814059</w:t>
        </w:r>
      </w:hyperlink>
    </w:p>
    <w:p w14:paraId="74348A0E"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Yuriansyah</w:t>
      </w:r>
      <w:proofErr w:type="spellEnd"/>
      <w:r>
        <w:rPr>
          <w:rFonts w:ascii="Arial" w:hAnsi="Arial" w:cs="Arial"/>
          <w:sz w:val="20"/>
          <w:szCs w:val="20"/>
        </w:rPr>
        <w:t xml:space="preserve">, Y., </w:t>
      </w:r>
      <w:proofErr w:type="spellStart"/>
      <w:r>
        <w:rPr>
          <w:rFonts w:ascii="Arial" w:hAnsi="Arial" w:cs="Arial"/>
          <w:sz w:val="20"/>
          <w:szCs w:val="20"/>
        </w:rPr>
        <w:t>Dulbari</w:t>
      </w:r>
      <w:proofErr w:type="spellEnd"/>
      <w:r>
        <w:rPr>
          <w:rFonts w:ascii="Arial" w:hAnsi="Arial" w:cs="Arial"/>
          <w:sz w:val="20"/>
          <w:szCs w:val="20"/>
        </w:rPr>
        <w:t xml:space="preserve">, D., Sutrisno, H., &amp; </w:t>
      </w:r>
      <w:proofErr w:type="spellStart"/>
      <w:r>
        <w:rPr>
          <w:rFonts w:ascii="Arial" w:hAnsi="Arial" w:cs="Arial"/>
          <w:sz w:val="20"/>
          <w:szCs w:val="20"/>
        </w:rPr>
        <w:t>Maksum</w:t>
      </w:r>
      <w:proofErr w:type="spellEnd"/>
      <w:r>
        <w:rPr>
          <w:rFonts w:ascii="Arial" w:hAnsi="Arial" w:cs="Arial"/>
          <w:sz w:val="20"/>
          <w:szCs w:val="20"/>
        </w:rPr>
        <w:t xml:space="preserve">, A. (2020). </w:t>
      </w:r>
      <w:r>
        <w:rPr>
          <w:rStyle w:val="Emphasis"/>
          <w:rFonts w:ascii="Arial" w:hAnsi="Arial" w:cs="Arial"/>
          <w:sz w:val="20"/>
          <w:szCs w:val="20"/>
        </w:rPr>
        <w:t>Organic agriculture as a concept of sustainable agriculture</w:t>
      </w:r>
      <w:r>
        <w:rPr>
          <w:rFonts w:ascii="Arial" w:hAnsi="Arial" w:cs="Arial"/>
          <w:sz w:val="20"/>
          <w:szCs w:val="20"/>
        </w:rPr>
        <w:t xml:space="preserve">. </w:t>
      </w:r>
      <w:proofErr w:type="spellStart"/>
      <w:r>
        <w:rPr>
          <w:rStyle w:val="Strong"/>
          <w:rFonts w:ascii="Arial" w:hAnsi="Arial" w:cs="Arial"/>
          <w:b w:val="0"/>
          <w:bCs w:val="0"/>
          <w:sz w:val="20"/>
          <w:szCs w:val="20"/>
        </w:rPr>
        <w:t>PengabdianMu</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Jurnal</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Ilmiah</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Pengabdian</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kepada</w:t>
      </w:r>
      <w:proofErr w:type="spellEnd"/>
      <w:r>
        <w:rPr>
          <w:rStyle w:val="Strong"/>
          <w:rFonts w:ascii="Arial" w:hAnsi="Arial" w:cs="Arial"/>
          <w:b w:val="0"/>
          <w:bCs w:val="0"/>
          <w:sz w:val="20"/>
          <w:szCs w:val="20"/>
        </w:rPr>
        <w:t xml:space="preserve"> Masyarakat, 5</w:t>
      </w:r>
      <w:r>
        <w:rPr>
          <w:rFonts w:ascii="Arial" w:hAnsi="Arial" w:cs="Arial"/>
          <w:sz w:val="20"/>
          <w:szCs w:val="20"/>
        </w:rPr>
        <w:t xml:space="preserve">(2), 127–134. </w:t>
      </w:r>
      <w:hyperlink r:id="rId106" w:tgtFrame="C:\Users\Dell\AppData\Local\Temp\_new" w:history="1">
        <w:r>
          <w:rPr>
            <w:rStyle w:val="Hyperlink"/>
            <w:rFonts w:ascii="Arial" w:hAnsi="Arial" w:cs="Arial"/>
            <w:color w:val="auto"/>
            <w:sz w:val="20"/>
            <w:szCs w:val="20"/>
          </w:rPr>
          <w:t>https://doi.org/10.33084/pengabdianmu.v5i2.1033</w:t>
        </w:r>
      </w:hyperlink>
    </w:p>
    <w:p w14:paraId="1EA1342C"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lastRenderedPageBreak/>
        <w:t xml:space="preserve">Yusoff, N. M., Suleiman, N., Abdul-Hamid, A.-Q., &amp; Ali, M. H. (2025). </w:t>
      </w:r>
      <w:r>
        <w:rPr>
          <w:rStyle w:val="Emphasis"/>
          <w:rFonts w:ascii="Arial" w:hAnsi="Arial" w:cs="Arial"/>
          <w:sz w:val="20"/>
          <w:szCs w:val="20"/>
        </w:rPr>
        <w:t>Mapping the interplay of technical, economic, social, and environmental dimensions in food-sector wastewater reclamation: A systematic literature review</w:t>
      </w:r>
      <w:r>
        <w:rPr>
          <w:rFonts w:ascii="Arial" w:hAnsi="Arial" w:cs="Arial"/>
          <w:sz w:val="20"/>
          <w:szCs w:val="20"/>
        </w:rPr>
        <w:t xml:space="preserve">. </w:t>
      </w:r>
      <w:r>
        <w:rPr>
          <w:rStyle w:val="Strong"/>
          <w:rFonts w:ascii="Arial" w:hAnsi="Arial" w:cs="Arial"/>
          <w:b w:val="0"/>
          <w:bCs w:val="0"/>
          <w:sz w:val="20"/>
          <w:szCs w:val="20"/>
        </w:rPr>
        <w:t>Journal of Environmental Management, 377</w:t>
      </w:r>
      <w:r>
        <w:rPr>
          <w:rFonts w:ascii="Arial" w:hAnsi="Arial" w:cs="Arial"/>
          <w:sz w:val="20"/>
          <w:szCs w:val="20"/>
        </w:rPr>
        <w:t xml:space="preserve">, 124552. </w:t>
      </w:r>
      <w:hyperlink r:id="rId107" w:tgtFrame="C:\Users\Dell\AppData\Local\Temp\_new" w:history="1">
        <w:r>
          <w:rPr>
            <w:rStyle w:val="Hyperlink"/>
            <w:rFonts w:ascii="Arial" w:hAnsi="Arial" w:cs="Arial"/>
            <w:color w:val="auto"/>
            <w:sz w:val="20"/>
            <w:szCs w:val="20"/>
          </w:rPr>
          <w:t>https://doi.org/10.1016/j.jenvman.2025.124552</w:t>
        </w:r>
      </w:hyperlink>
    </w:p>
    <w:p w14:paraId="295B43D8"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Zamzam, A. F., </w:t>
      </w:r>
      <w:proofErr w:type="spellStart"/>
      <w:r>
        <w:rPr>
          <w:rFonts w:ascii="Arial" w:hAnsi="Arial" w:cs="Arial"/>
          <w:sz w:val="20"/>
          <w:szCs w:val="20"/>
        </w:rPr>
        <w:t>Rodli</w:t>
      </w:r>
      <w:proofErr w:type="spellEnd"/>
      <w:r>
        <w:rPr>
          <w:rFonts w:ascii="Arial" w:hAnsi="Arial" w:cs="Arial"/>
          <w:sz w:val="20"/>
          <w:szCs w:val="20"/>
        </w:rPr>
        <w:t xml:space="preserve">, R., </w:t>
      </w:r>
      <w:proofErr w:type="spellStart"/>
      <w:r>
        <w:rPr>
          <w:rFonts w:ascii="Arial" w:hAnsi="Arial" w:cs="Arial"/>
          <w:sz w:val="20"/>
          <w:szCs w:val="20"/>
        </w:rPr>
        <w:t>Sabillah</w:t>
      </w:r>
      <w:proofErr w:type="spellEnd"/>
      <w:r>
        <w:rPr>
          <w:rFonts w:ascii="Arial" w:hAnsi="Arial" w:cs="Arial"/>
          <w:sz w:val="20"/>
          <w:szCs w:val="20"/>
        </w:rPr>
        <w:t xml:space="preserve">, I., Sari, V. N., &amp; </w:t>
      </w:r>
      <w:proofErr w:type="spellStart"/>
      <w:r>
        <w:rPr>
          <w:rFonts w:ascii="Arial" w:hAnsi="Arial" w:cs="Arial"/>
          <w:sz w:val="20"/>
          <w:szCs w:val="20"/>
        </w:rPr>
        <w:t>Zulhaq</w:t>
      </w:r>
      <w:proofErr w:type="spellEnd"/>
      <w:r>
        <w:rPr>
          <w:rFonts w:ascii="Arial" w:hAnsi="Arial" w:cs="Arial"/>
          <w:sz w:val="20"/>
          <w:szCs w:val="20"/>
        </w:rPr>
        <w:t xml:space="preserve">, M. H. (2025). </w:t>
      </w:r>
      <w:r>
        <w:rPr>
          <w:rStyle w:val="Emphasis"/>
          <w:rFonts w:ascii="Arial" w:hAnsi="Arial" w:cs="Arial"/>
          <w:sz w:val="20"/>
          <w:szCs w:val="20"/>
        </w:rPr>
        <w:t xml:space="preserve">Empowering farmers through training on the production of botanical pesticides from neem leaves in </w:t>
      </w:r>
      <w:proofErr w:type="spellStart"/>
      <w:r>
        <w:rPr>
          <w:rStyle w:val="Emphasis"/>
          <w:rFonts w:ascii="Arial" w:hAnsi="Arial" w:cs="Arial"/>
          <w:sz w:val="20"/>
          <w:szCs w:val="20"/>
        </w:rPr>
        <w:t>Lowayu</w:t>
      </w:r>
      <w:proofErr w:type="spellEnd"/>
      <w:r>
        <w:rPr>
          <w:rStyle w:val="Emphasis"/>
          <w:rFonts w:ascii="Arial" w:hAnsi="Arial" w:cs="Arial"/>
          <w:sz w:val="20"/>
          <w:szCs w:val="20"/>
        </w:rPr>
        <w:t xml:space="preserve"> Village, Gresik Regency</w:t>
      </w:r>
      <w:r>
        <w:rPr>
          <w:rFonts w:ascii="Arial" w:hAnsi="Arial" w:cs="Arial"/>
          <w:sz w:val="20"/>
          <w:szCs w:val="20"/>
        </w:rPr>
        <w:t xml:space="preserve">. </w:t>
      </w:r>
      <w:proofErr w:type="spellStart"/>
      <w:r>
        <w:rPr>
          <w:rStyle w:val="Strong"/>
          <w:rFonts w:ascii="Arial" w:hAnsi="Arial" w:cs="Arial"/>
          <w:b w:val="0"/>
          <w:bCs w:val="0"/>
          <w:sz w:val="20"/>
          <w:szCs w:val="20"/>
        </w:rPr>
        <w:t>Abdimas</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Altruis</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Jurnal</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Pengabdian</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kepada</w:t>
      </w:r>
      <w:proofErr w:type="spellEnd"/>
      <w:r>
        <w:rPr>
          <w:rStyle w:val="Strong"/>
          <w:rFonts w:ascii="Arial" w:hAnsi="Arial" w:cs="Arial"/>
          <w:b w:val="0"/>
          <w:bCs w:val="0"/>
          <w:sz w:val="20"/>
          <w:szCs w:val="20"/>
        </w:rPr>
        <w:t xml:space="preserve"> Masyarakat, 8</w:t>
      </w:r>
      <w:r>
        <w:rPr>
          <w:rFonts w:ascii="Arial" w:hAnsi="Arial" w:cs="Arial"/>
          <w:sz w:val="20"/>
          <w:szCs w:val="20"/>
        </w:rPr>
        <w:t xml:space="preserve">(2), 172–181. </w:t>
      </w:r>
      <w:hyperlink r:id="rId108" w:tgtFrame="C:\Users\Dell\AppData\Local\Temp\_new" w:history="1">
        <w:r>
          <w:rPr>
            <w:rStyle w:val="Hyperlink"/>
            <w:rFonts w:ascii="Arial" w:hAnsi="Arial" w:cs="Arial"/>
            <w:color w:val="auto"/>
            <w:sz w:val="20"/>
            <w:szCs w:val="20"/>
          </w:rPr>
          <w:t>https://doi.org/10.24071/aa.v8i2.10931</w:t>
        </w:r>
      </w:hyperlink>
    </w:p>
    <w:p w14:paraId="2D46705D"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Zhang, Z., Becerra-Alvarez, A., &amp; Al-Khatib, K. (2025). </w:t>
      </w:r>
      <w:r>
        <w:rPr>
          <w:rStyle w:val="Emphasis"/>
          <w:rFonts w:ascii="Arial" w:hAnsi="Arial" w:cs="Arial"/>
          <w:sz w:val="20"/>
          <w:szCs w:val="20"/>
        </w:rPr>
        <w:t>Physiological actions of bioherbicides in weed control: A systematic review</w:t>
      </w:r>
      <w:r>
        <w:rPr>
          <w:rFonts w:ascii="Arial" w:hAnsi="Arial" w:cs="Arial"/>
          <w:sz w:val="20"/>
          <w:szCs w:val="20"/>
        </w:rPr>
        <w:t xml:space="preserve">. </w:t>
      </w:r>
      <w:r>
        <w:rPr>
          <w:rStyle w:val="Strong"/>
          <w:rFonts w:ascii="Arial" w:hAnsi="Arial" w:cs="Arial"/>
          <w:b w:val="0"/>
          <w:bCs w:val="0"/>
          <w:sz w:val="20"/>
          <w:szCs w:val="20"/>
        </w:rPr>
        <w:t>Frontiers in Agronomy, 7</w:t>
      </w:r>
      <w:r>
        <w:rPr>
          <w:rFonts w:ascii="Arial" w:hAnsi="Arial" w:cs="Arial"/>
          <w:sz w:val="20"/>
          <w:szCs w:val="20"/>
        </w:rPr>
        <w:t xml:space="preserve">, Article 1633565. </w:t>
      </w:r>
      <w:hyperlink r:id="rId109" w:tgtFrame="C:\Users\Dell\AppData\Local\Temp\_new" w:history="1">
        <w:r>
          <w:rPr>
            <w:rStyle w:val="Hyperlink"/>
            <w:rFonts w:ascii="Arial" w:hAnsi="Arial" w:cs="Arial"/>
            <w:color w:val="auto"/>
            <w:sz w:val="20"/>
            <w:szCs w:val="20"/>
          </w:rPr>
          <w:t>https://doi.org/10.3389/fagro.2025.1633565</w:t>
        </w:r>
      </w:hyperlink>
    </w:p>
    <w:p w14:paraId="025170C9" w14:textId="77777777" w:rsidR="00633CEB" w:rsidRDefault="00633CEB">
      <w:pPr>
        <w:pStyle w:val="NormalWeb"/>
        <w:spacing w:beforeAutospacing="0" w:afterAutospacing="0"/>
        <w:ind w:left="600" w:hangingChars="300" w:hanging="600"/>
        <w:jc w:val="both"/>
        <w:rPr>
          <w:rFonts w:ascii="Arial" w:hAnsi="Arial" w:cs="Arial"/>
          <w:sz w:val="20"/>
          <w:szCs w:val="20"/>
        </w:rPr>
      </w:pPr>
    </w:p>
    <w:p w14:paraId="09609010" w14:textId="77777777" w:rsidR="00633CEB" w:rsidRDefault="00633CEB">
      <w:pPr>
        <w:pStyle w:val="Appendix"/>
        <w:spacing w:after="0"/>
        <w:jc w:val="both"/>
        <w:rPr>
          <w:rFonts w:ascii="Arial" w:hAnsi="Arial" w:cs="Arial"/>
          <w:b w:val="0"/>
        </w:rPr>
        <w:sectPr w:rsidR="00633CEB" w:rsidSect="00C14E7C">
          <w:headerReference w:type="even" r:id="rId110"/>
          <w:headerReference w:type="default" r:id="rId111"/>
          <w:footerReference w:type="default" r:id="rId112"/>
          <w:headerReference w:type="first" r:id="rId113"/>
          <w:type w:val="continuous"/>
          <w:pgSz w:w="12240" w:h="15840"/>
          <w:pgMar w:top="1440" w:right="2016" w:bottom="2016" w:left="2016" w:header="720" w:footer="1123" w:gutter="0"/>
          <w:cols w:space="720"/>
          <w:docGrid w:linePitch="272"/>
        </w:sectPr>
      </w:pPr>
    </w:p>
    <w:p w14:paraId="58835C67" w14:textId="77777777" w:rsidR="00633CEB" w:rsidRDefault="00633CEB">
      <w:pPr>
        <w:pStyle w:val="Appendix"/>
        <w:spacing w:after="0"/>
        <w:jc w:val="both"/>
        <w:rPr>
          <w:rFonts w:ascii="Arial" w:hAnsi="Arial" w:cs="Arial"/>
          <w:b w:val="0"/>
        </w:rPr>
      </w:pPr>
    </w:p>
    <w:sectPr w:rsidR="00633CEB" w:rsidSect="00C14E7C">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asim Kamal Mallick" w:date="2026-01-18T17:17:00Z" w:initials="HM">
    <w:p w14:paraId="5230E158" w14:textId="5244252B" w:rsidR="00151B25" w:rsidRPr="00B56D46" w:rsidRDefault="00151B25">
      <w:pPr>
        <w:pStyle w:val="CommentText"/>
        <w:rPr>
          <w:b/>
          <w:bCs/>
        </w:rPr>
      </w:pPr>
      <w:r w:rsidRPr="00B56D46">
        <w:rPr>
          <w:rStyle w:val="CommentReference"/>
          <w:b/>
          <w:bCs/>
        </w:rPr>
        <w:annotationRef/>
      </w:r>
      <w:r w:rsidRPr="00B56D46">
        <w:rPr>
          <w:b/>
          <w:bCs/>
          <w:lang w:val="en-US"/>
        </w:rPr>
        <w:t xml:space="preserve">A review article does not “find” results directly; it should say </w:t>
      </w:r>
      <w:r w:rsidRPr="00B56D46">
        <w:rPr>
          <w:b/>
          <w:bCs/>
          <w:i/>
          <w:iCs/>
          <w:lang w:val="en-US"/>
        </w:rPr>
        <w:t>“previous studies reported”</w:t>
      </w:r>
      <w:r w:rsidRPr="00B56D46">
        <w:rPr>
          <w:b/>
          <w:bCs/>
          <w:lang w:val="en-US"/>
        </w:rPr>
        <w:t>.</w:t>
      </w:r>
    </w:p>
  </w:comment>
  <w:comment w:id="1" w:author="Hasim Kamal Mallick" w:date="2026-01-18T17:22:00Z" w:initials="HM">
    <w:p w14:paraId="0A56B3C7" w14:textId="6EC6283F" w:rsidR="00115A6B" w:rsidRPr="00B56D46" w:rsidRDefault="00115A6B">
      <w:pPr>
        <w:pStyle w:val="CommentText"/>
        <w:rPr>
          <w:b/>
          <w:bCs/>
        </w:rPr>
      </w:pPr>
      <w:r w:rsidRPr="00B56D46">
        <w:rPr>
          <w:rStyle w:val="CommentReference"/>
          <w:b/>
          <w:bCs/>
        </w:rPr>
        <w:annotationRef/>
      </w:r>
      <w:r w:rsidRPr="00B56D46">
        <w:rPr>
          <w:b/>
          <w:bCs/>
        </w:rPr>
        <w:t>Need references</w:t>
      </w:r>
    </w:p>
  </w:comment>
  <w:comment w:id="2" w:author="Hasim Kamal Mallick" w:date="2026-01-18T17:26:00Z" w:initials="HM">
    <w:p w14:paraId="4302ECE0" w14:textId="711F1089" w:rsidR="00115A6B" w:rsidRPr="00B56D46" w:rsidRDefault="00115A6B">
      <w:pPr>
        <w:pStyle w:val="CommentText"/>
        <w:rPr>
          <w:b/>
          <w:bCs/>
        </w:rPr>
      </w:pPr>
      <w:r w:rsidRPr="00B56D46">
        <w:rPr>
          <w:rStyle w:val="CommentReference"/>
          <w:b/>
          <w:bCs/>
        </w:rPr>
        <w:annotationRef/>
      </w:r>
      <w:r w:rsidRPr="00B56D46">
        <w:rPr>
          <w:b/>
          <w:bCs/>
          <w:lang w:val="en-US"/>
        </w:rPr>
        <w:t>research gap should be emphasized</w:t>
      </w:r>
    </w:p>
  </w:comment>
  <w:comment w:id="3" w:author="Hasim Kamal Mallick" w:date="2026-01-18T17:36:00Z" w:initials="HM">
    <w:p w14:paraId="77102C02" w14:textId="0981A8FE" w:rsidR="002931A6" w:rsidRPr="00B56D46" w:rsidRDefault="002931A6">
      <w:pPr>
        <w:pStyle w:val="CommentText"/>
        <w:rPr>
          <w:b/>
          <w:bCs/>
        </w:rPr>
      </w:pPr>
      <w:r w:rsidRPr="00B56D46">
        <w:rPr>
          <w:rStyle w:val="CommentReference"/>
          <w:b/>
          <w:bCs/>
        </w:rPr>
        <w:annotationRef/>
      </w:r>
      <w:r w:rsidRPr="00B56D46">
        <w:rPr>
          <w:b/>
          <w:bCs/>
          <w:lang w:val="en-US"/>
        </w:rPr>
        <w:t>citations or examples would strengthen credibility.</w:t>
      </w:r>
    </w:p>
  </w:comment>
  <w:comment w:id="4" w:author="Hasim Kamal Mallick" w:date="2026-01-18T17:43:00Z" w:initials="HM">
    <w:p w14:paraId="334F526C" w14:textId="32351CF0" w:rsidR="002931A6" w:rsidRPr="00B56D46" w:rsidRDefault="002931A6">
      <w:pPr>
        <w:pStyle w:val="CommentText"/>
        <w:rPr>
          <w:b/>
          <w:bCs/>
        </w:rPr>
      </w:pPr>
      <w:r w:rsidRPr="00B56D46">
        <w:rPr>
          <w:rStyle w:val="CommentReference"/>
          <w:b/>
          <w:bCs/>
        </w:rPr>
        <w:annotationRef/>
      </w:r>
      <w:r w:rsidRPr="00B56D46">
        <w:rPr>
          <w:b/>
          <w:bCs/>
          <w:lang w:val="en-US"/>
        </w:rPr>
        <w:t>Correct statement, but lacks explanation of PRISMA stages used (identification, screening, etc.).</w:t>
      </w:r>
    </w:p>
  </w:comment>
  <w:comment w:id="5" w:author="Hasim Kamal Mallick" w:date="2026-01-18T17:51:00Z" w:initials="HM">
    <w:p w14:paraId="4F14978A" w14:textId="77777777" w:rsidR="006333D3" w:rsidRPr="00B56D46" w:rsidRDefault="006333D3" w:rsidP="006333D3">
      <w:pPr>
        <w:pStyle w:val="CommentText"/>
        <w:rPr>
          <w:b/>
          <w:bCs/>
          <w:lang w:val="en-IN"/>
        </w:rPr>
      </w:pPr>
      <w:r w:rsidRPr="00B56D46">
        <w:rPr>
          <w:rStyle w:val="CommentReference"/>
          <w:b/>
          <w:bCs/>
        </w:rPr>
        <w:annotationRef/>
      </w:r>
      <w:r w:rsidRPr="00B56D46">
        <w:rPr>
          <w:b/>
          <w:bCs/>
          <w:lang w:val="en-IN"/>
        </w:rPr>
        <w:t>Good information, but search period and publication years are missing.</w:t>
      </w:r>
    </w:p>
    <w:p w14:paraId="62EA9DF0" w14:textId="640677CD" w:rsidR="006333D3" w:rsidRPr="00B56D46" w:rsidRDefault="006333D3">
      <w:pPr>
        <w:pStyle w:val="CommentText"/>
        <w:rPr>
          <w:b/>
          <w:bCs/>
        </w:rPr>
      </w:pPr>
    </w:p>
  </w:comment>
  <w:comment w:id="6" w:author="Hasim Kamal Mallick" w:date="2026-01-18T17:56:00Z" w:initials="HM">
    <w:p w14:paraId="31958432" w14:textId="4A3FE83E" w:rsidR="006333D3" w:rsidRPr="00B56D46" w:rsidRDefault="006333D3">
      <w:pPr>
        <w:pStyle w:val="CommentText"/>
        <w:rPr>
          <w:b/>
          <w:bCs/>
        </w:rPr>
      </w:pPr>
      <w:r w:rsidRPr="00B56D46">
        <w:rPr>
          <w:rStyle w:val="CommentReference"/>
          <w:b/>
          <w:bCs/>
        </w:rPr>
        <w:annotationRef/>
      </w:r>
      <w:r w:rsidRPr="00B56D46">
        <w:rPr>
          <w:b/>
          <w:bCs/>
          <w:lang w:val="en-US"/>
        </w:rPr>
        <w:t>Term “water-mountain weed extracts” is unclear.</w:t>
      </w:r>
    </w:p>
  </w:comment>
  <w:comment w:id="7" w:author="Hasim Kamal Mallick" w:date="2026-01-18T18:01:00Z" w:initials="HM">
    <w:p w14:paraId="2617F347" w14:textId="526B4663" w:rsidR="007A59DB" w:rsidRPr="00B56D46" w:rsidRDefault="007A59DB">
      <w:pPr>
        <w:pStyle w:val="CommentText"/>
        <w:rPr>
          <w:b/>
          <w:bCs/>
        </w:rPr>
      </w:pPr>
      <w:r w:rsidRPr="00B56D46">
        <w:rPr>
          <w:rStyle w:val="CommentReference"/>
          <w:b/>
          <w:bCs/>
        </w:rPr>
        <w:annotationRef/>
      </w:r>
      <w:r w:rsidRPr="00B56D46">
        <w:rPr>
          <w:b/>
          <w:bCs/>
          <w:lang w:val="en-US"/>
        </w:rPr>
        <w:t>Claim is too absolute and should be supported with comparative results from the reviewed studies</w:t>
      </w:r>
    </w:p>
  </w:comment>
  <w:comment w:id="8" w:author="Hasim Kamal Mallick" w:date="2026-01-18T18:01:00Z" w:initials="HM">
    <w:p w14:paraId="7878333B" w14:textId="5EE9E66D" w:rsidR="007A59DB" w:rsidRPr="00B56D46" w:rsidRDefault="007A59DB">
      <w:pPr>
        <w:pStyle w:val="CommentText"/>
        <w:rPr>
          <w:b/>
          <w:bCs/>
        </w:rPr>
      </w:pPr>
      <w:r w:rsidRPr="00B56D46">
        <w:rPr>
          <w:rStyle w:val="CommentReference"/>
          <w:b/>
          <w:bCs/>
        </w:rPr>
        <w:annotationRef/>
      </w:r>
      <w:r w:rsidRPr="00B56D46">
        <w:rPr>
          <w:b/>
          <w:bCs/>
          <w:lang w:val="en-US"/>
        </w:rPr>
        <w:t>Phrase “primary secondary metabolites” is conceptually incorrect; should be “major secondary metabolites.”</w:t>
      </w:r>
    </w:p>
  </w:comment>
  <w:comment w:id="9" w:author="Hasim Kamal Mallick" w:date="2026-01-18T18:05:00Z" w:initials="HM">
    <w:p w14:paraId="06ABA84C" w14:textId="552A7E54" w:rsidR="007A59DB" w:rsidRPr="00B56D46" w:rsidRDefault="007A59DB">
      <w:pPr>
        <w:pStyle w:val="CommentText"/>
        <w:rPr>
          <w:b/>
          <w:bCs/>
        </w:rPr>
      </w:pPr>
      <w:r w:rsidRPr="00B56D46">
        <w:rPr>
          <w:rStyle w:val="CommentReference"/>
          <w:b/>
          <w:bCs/>
        </w:rPr>
        <w:annotationRef/>
      </w:r>
      <w:r w:rsidRPr="00B56D46">
        <w:rPr>
          <w:b/>
          <w:bCs/>
        </w:rPr>
        <w:t xml:space="preserve">Check it once, </w:t>
      </w:r>
      <w:r w:rsidRPr="00B56D46">
        <w:rPr>
          <w:b/>
          <w:bCs/>
          <w:lang w:val="en-US"/>
        </w:rPr>
        <w:t>sentence is meaningless.</w:t>
      </w:r>
    </w:p>
  </w:comment>
  <w:comment w:id="10" w:author="Hasim Kamal Mallick" w:date="2026-01-18T18:06:00Z" w:initials="HM">
    <w:p w14:paraId="19397E25" w14:textId="259827AA" w:rsidR="007A59DB" w:rsidRPr="00B56D46" w:rsidRDefault="007A59DB">
      <w:pPr>
        <w:pStyle w:val="CommentText"/>
        <w:rPr>
          <w:b/>
          <w:bCs/>
        </w:rPr>
      </w:pPr>
      <w:r w:rsidRPr="00B56D46">
        <w:rPr>
          <w:rStyle w:val="CommentReference"/>
          <w:b/>
          <w:bCs/>
        </w:rPr>
        <w:annotationRef/>
      </w:r>
      <w:r w:rsidRPr="00B56D46">
        <w:rPr>
          <w:b/>
          <w:bCs/>
          <w:lang w:val="en-US"/>
        </w:rPr>
        <w:t>Incorrect numbering; this section should be 3.x, not 2.3.</w:t>
      </w:r>
    </w:p>
  </w:comment>
  <w:comment w:id="11" w:author="Hasim Kamal Mallick" w:date="2026-01-18T18:11:00Z" w:initials="HM">
    <w:p w14:paraId="6F4E5371" w14:textId="39D9B42D" w:rsidR="00FA7451" w:rsidRPr="00B56D46" w:rsidRDefault="00FA7451">
      <w:pPr>
        <w:pStyle w:val="CommentText"/>
        <w:rPr>
          <w:b/>
          <w:bCs/>
        </w:rPr>
      </w:pPr>
      <w:r w:rsidRPr="00B56D46">
        <w:rPr>
          <w:rStyle w:val="CommentReference"/>
          <w:b/>
          <w:bCs/>
        </w:rPr>
        <w:annotationRef/>
      </w:r>
      <w:r w:rsidRPr="00B56D46">
        <w:rPr>
          <w:b/>
          <w:bCs/>
          <w:lang w:val="en-US"/>
        </w:rPr>
        <w:t>Incorrect numbering; should be 3.1.2 or 3.2 to maintain structural consistence</w:t>
      </w:r>
    </w:p>
  </w:comment>
  <w:comment w:id="12" w:author="Hasim Kamal Mallick" w:date="2026-01-18T18:14:00Z" w:initials="HM">
    <w:p w14:paraId="59F59CE9" w14:textId="0BF6CAAD" w:rsidR="00FA7451" w:rsidRPr="00B56D46" w:rsidRDefault="00FA7451">
      <w:pPr>
        <w:pStyle w:val="CommentText"/>
        <w:rPr>
          <w:b/>
          <w:bCs/>
        </w:rPr>
      </w:pPr>
      <w:r w:rsidRPr="00B56D46">
        <w:rPr>
          <w:rStyle w:val="CommentReference"/>
          <w:b/>
          <w:bCs/>
        </w:rPr>
        <w:annotationRef/>
      </w:r>
      <w:r w:rsidRPr="00B56D46">
        <w:rPr>
          <w:b/>
          <w:bCs/>
          <w:lang w:val="en-US"/>
        </w:rPr>
        <w:t xml:space="preserve">Scientific mismatch: </w:t>
      </w:r>
      <w:proofErr w:type="spellStart"/>
      <w:r w:rsidRPr="00B56D46">
        <w:rPr>
          <w:b/>
          <w:bCs/>
          <w:lang w:val="en-US"/>
        </w:rPr>
        <w:t>Imperata</w:t>
      </w:r>
      <w:proofErr w:type="spellEnd"/>
      <w:r w:rsidRPr="00B56D46">
        <w:rPr>
          <w:b/>
          <w:bCs/>
          <w:lang w:val="en-US"/>
        </w:rPr>
        <w:t xml:space="preserve"> </w:t>
      </w:r>
      <w:proofErr w:type="spellStart"/>
      <w:r w:rsidRPr="00B56D46">
        <w:rPr>
          <w:b/>
          <w:bCs/>
          <w:lang w:val="en-US"/>
        </w:rPr>
        <w:t>cylindrica</w:t>
      </w:r>
      <w:proofErr w:type="spellEnd"/>
      <w:r w:rsidRPr="00B56D46">
        <w:rPr>
          <w:b/>
          <w:bCs/>
          <w:lang w:val="en-US"/>
        </w:rPr>
        <w:t xml:space="preserve"> is </w:t>
      </w:r>
      <w:proofErr w:type="spellStart"/>
      <w:r w:rsidRPr="00B56D46">
        <w:rPr>
          <w:b/>
          <w:bCs/>
          <w:lang w:val="en-US"/>
        </w:rPr>
        <w:t>cogongrass</w:t>
      </w:r>
      <w:proofErr w:type="spellEnd"/>
      <w:r w:rsidRPr="00B56D46">
        <w:rPr>
          <w:b/>
          <w:bCs/>
          <w:lang w:val="en-US"/>
        </w:rPr>
        <w:t>, not barnyard grass.</w:t>
      </w:r>
    </w:p>
  </w:comment>
  <w:comment w:id="13" w:author="Hasim Kamal Mallick" w:date="2026-01-18T18:16:00Z" w:initials="HM">
    <w:p w14:paraId="2E85A21F" w14:textId="61A6CAE2" w:rsidR="00FA7451" w:rsidRPr="00B56D46" w:rsidRDefault="00FA7451">
      <w:pPr>
        <w:pStyle w:val="CommentText"/>
        <w:rPr>
          <w:b/>
          <w:bCs/>
        </w:rPr>
      </w:pPr>
      <w:r w:rsidRPr="00B56D46">
        <w:rPr>
          <w:rStyle w:val="CommentReference"/>
          <w:b/>
          <w:bCs/>
        </w:rPr>
        <w:annotationRef/>
      </w:r>
      <w:r w:rsidRPr="00B56D46">
        <w:rPr>
          <w:b/>
          <w:bCs/>
        </w:rPr>
        <w:t>Good quantitative evidence; citation context should be strengthened.</w:t>
      </w:r>
    </w:p>
  </w:comment>
  <w:comment w:id="14" w:author="Hasim Kamal Mallick" w:date="2026-01-18T18:17:00Z" w:initials="HM">
    <w:p w14:paraId="56004ED6" w14:textId="1F7417F5" w:rsidR="00FA7451" w:rsidRPr="00B56D46" w:rsidRDefault="00FA7451">
      <w:pPr>
        <w:pStyle w:val="CommentText"/>
        <w:rPr>
          <w:b/>
          <w:bCs/>
        </w:rPr>
      </w:pPr>
      <w:r w:rsidRPr="00B56D46">
        <w:rPr>
          <w:rStyle w:val="CommentReference"/>
          <w:b/>
          <w:bCs/>
        </w:rPr>
        <w:annotationRef/>
      </w:r>
      <w:r w:rsidRPr="00B56D46">
        <w:rPr>
          <w:b/>
          <w:bCs/>
        </w:rPr>
        <w:t>These are broadleaf plants; classification under grass weeds is inaccurate.</w:t>
      </w:r>
    </w:p>
  </w:comment>
  <w:comment w:id="15" w:author="Hasim Kamal Mallick" w:date="2026-01-18T18:20:00Z" w:initials="HM">
    <w:p w14:paraId="18FA9BDA" w14:textId="15960D75" w:rsidR="003D00C4" w:rsidRPr="00B56D46" w:rsidRDefault="003D00C4">
      <w:pPr>
        <w:pStyle w:val="CommentText"/>
        <w:rPr>
          <w:b/>
          <w:bCs/>
        </w:rPr>
      </w:pPr>
      <w:r w:rsidRPr="00B56D46">
        <w:rPr>
          <w:rStyle w:val="CommentReference"/>
          <w:b/>
          <w:bCs/>
        </w:rPr>
        <w:annotationRef/>
      </w:r>
      <w:r w:rsidRPr="00B56D46">
        <w:rPr>
          <w:b/>
          <w:bCs/>
        </w:rPr>
        <w:t>“Important candidate” is evaluative; should be expressed more objectively.</w:t>
      </w:r>
    </w:p>
  </w:comment>
  <w:comment w:id="16" w:author="Hasim Kamal Mallick" w:date="2026-01-18T18:22:00Z" w:initials="HM">
    <w:p w14:paraId="099DD9BC" w14:textId="6C56AD69" w:rsidR="003D00C4" w:rsidRPr="00B56D46" w:rsidRDefault="003D00C4">
      <w:pPr>
        <w:pStyle w:val="CommentText"/>
        <w:rPr>
          <w:b/>
          <w:bCs/>
        </w:rPr>
      </w:pPr>
      <w:r w:rsidRPr="00B56D46">
        <w:rPr>
          <w:rStyle w:val="CommentReference"/>
          <w:b/>
          <w:bCs/>
        </w:rPr>
        <w:annotationRef/>
      </w:r>
      <w:r w:rsidRPr="00B56D46">
        <w:rPr>
          <w:b/>
          <w:bCs/>
        </w:rPr>
        <w:t>Numbering is inconsistent; this section should follow Section 3 (e.g., 3.3).</w:t>
      </w:r>
    </w:p>
  </w:comment>
  <w:comment w:id="17" w:author="Hasim Kamal Mallick" w:date="2026-01-18T18:25:00Z" w:initials="HM">
    <w:p w14:paraId="54477D12" w14:textId="6271BD21" w:rsidR="003D00C4" w:rsidRPr="00B56D46" w:rsidRDefault="003D00C4">
      <w:pPr>
        <w:pStyle w:val="CommentText"/>
        <w:rPr>
          <w:b/>
          <w:bCs/>
        </w:rPr>
      </w:pPr>
      <w:r w:rsidRPr="00B56D46">
        <w:rPr>
          <w:rStyle w:val="CommentReference"/>
          <w:b/>
          <w:bCs/>
        </w:rPr>
        <w:annotationRef/>
      </w:r>
      <w:r w:rsidRPr="00B56D46">
        <w:rPr>
          <w:b/>
          <w:bCs/>
        </w:rPr>
        <w:t>Abnormal seeds” should be defined more precisely.</w:t>
      </w:r>
    </w:p>
  </w:comment>
  <w:comment w:id="18" w:author="Hasim Kamal Mallick" w:date="2026-01-18T19:16:00Z" w:initials="HM">
    <w:p w14:paraId="1F3B5758" w14:textId="029E0FC0" w:rsidR="00B56D46" w:rsidRPr="00B56D46" w:rsidRDefault="00B56D46">
      <w:pPr>
        <w:pStyle w:val="CommentText"/>
      </w:pPr>
      <w:r w:rsidRPr="00B56D46">
        <w:rPr>
          <w:rStyle w:val="CommentReference"/>
          <w:b/>
          <w:bCs/>
        </w:rPr>
        <w:annotationRef/>
      </w:r>
      <w:r w:rsidRPr="00B56D46">
        <w:rPr>
          <w:lang w:val="en-US"/>
        </w:rPr>
        <w:t xml:space="preserve">Term “antagonistic proteins” is scientifically </w:t>
      </w:r>
      <w:r w:rsidR="00213268">
        <w:rPr>
          <w:lang w:val="en-US"/>
        </w:rPr>
        <w:t>unclear</w:t>
      </w:r>
      <w:bookmarkStart w:id="19" w:name="_GoBack"/>
      <w:bookmarkEnd w:id="19"/>
      <w:r w:rsidRPr="00B56D46">
        <w:rPr>
          <w:lang w:val="en-US"/>
        </w:rPr>
        <w:t xml:space="preserve"> and needs clarification or replacement.</w:t>
      </w:r>
    </w:p>
  </w:comment>
  <w:comment w:id="20" w:author="Hasim Kamal Mallick" w:date="2026-01-18T19:17:00Z" w:initials="HM">
    <w:p w14:paraId="0DDC371F" w14:textId="29123A63" w:rsidR="00B56D46" w:rsidRDefault="00B56D46">
      <w:pPr>
        <w:pStyle w:val="CommentText"/>
      </w:pPr>
      <w:r>
        <w:rPr>
          <w:rStyle w:val="CommentReference"/>
        </w:rPr>
        <w:annotationRef/>
      </w:r>
      <w:r w:rsidRPr="00B56D46">
        <w:rPr>
          <w:lang w:val="en-US"/>
        </w:rPr>
        <w:t>Biochemically inaccurate; flavonoids are phenolic compounds, not breakdown products.</w:t>
      </w:r>
    </w:p>
  </w:comment>
  <w:comment w:id="21" w:author="Hasim Kamal Mallick" w:date="2026-01-18T19:18:00Z" w:initials="HM">
    <w:p w14:paraId="319557A1" w14:textId="7A71E279" w:rsidR="00B56D46" w:rsidRDefault="00B56D46">
      <w:pPr>
        <w:pStyle w:val="CommentText"/>
      </w:pPr>
      <w:r>
        <w:rPr>
          <w:rStyle w:val="CommentReference"/>
        </w:rPr>
        <w:annotationRef/>
      </w:r>
      <w:r w:rsidRPr="00B56D46">
        <w:rPr>
          <w:lang w:val="en-US"/>
        </w:rPr>
        <w:t>Correct mechanism, but needs clearer citation linkage.</w:t>
      </w:r>
    </w:p>
  </w:comment>
  <w:comment w:id="22" w:author="Hasim Kamal Mallick" w:date="2026-01-18T20:15:00Z" w:initials="HM">
    <w:p w14:paraId="560D3ECD" w14:textId="588801A5" w:rsidR="008E1312" w:rsidRDefault="008E1312">
      <w:pPr>
        <w:pStyle w:val="CommentText"/>
      </w:pPr>
      <w:r>
        <w:rPr>
          <w:rStyle w:val="CommentReference"/>
        </w:rPr>
        <w:annotationRef/>
      </w:r>
      <w:r w:rsidRPr="008E1312">
        <w:rPr>
          <w:lang w:val="en-US"/>
        </w:rPr>
        <w:t>Typographical error (“pre-cg”) and unclear terminology</w:t>
      </w:r>
      <w:r>
        <w:rPr>
          <w:lang w:val="en-US"/>
        </w:rPr>
        <w:t xml:space="preserve">, </w:t>
      </w:r>
      <w:r w:rsidRPr="008E1312">
        <w:rPr>
          <w:lang w:val="en-US"/>
        </w:rPr>
        <w:t>should be corrected</w:t>
      </w:r>
    </w:p>
  </w:comment>
  <w:comment w:id="23" w:author="Hasim Kamal Mallick" w:date="2026-01-18T20:17:00Z" w:initials="HM">
    <w:p w14:paraId="32616BBE" w14:textId="4FBF37A1" w:rsidR="008E1312" w:rsidRDefault="008E1312">
      <w:pPr>
        <w:pStyle w:val="CommentText"/>
      </w:pPr>
      <w:r>
        <w:rPr>
          <w:rStyle w:val="CommentReference"/>
        </w:rPr>
        <w:annotationRef/>
      </w:r>
      <w:r w:rsidRPr="008E1312">
        <w:rPr>
          <w:lang w:val="en-US"/>
        </w:rPr>
        <w:t>Acceptable, but could be supported with references.</w:t>
      </w:r>
    </w:p>
  </w:comment>
  <w:comment w:id="24" w:author="Hasim Kamal Mallick" w:date="2026-01-18T20:28:00Z" w:initials="HM">
    <w:p w14:paraId="6EE12E08" w14:textId="6A24E159" w:rsidR="00A576C6" w:rsidRDefault="00A576C6">
      <w:pPr>
        <w:pStyle w:val="CommentText"/>
      </w:pPr>
      <w:r>
        <w:rPr>
          <w:rStyle w:val="CommentReference"/>
        </w:rPr>
        <w:annotationRef/>
      </w:r>
      <w:r w:rsidRPr="00A576C6">
        <w:rPr>
          <w:lang w:val="en-US"/>
        </w:rPr>
        <w:t>Risky absolute statement</w:t>
      </w:r>
      <w:r>
        <w:rPr>
          <w:lang w:val="en-US"/>
        </w:rPr>
        <w:t>,</w:t>
      </w:r>
      <w:r w:rsidRPr="00A576C6">
        <w:rPr>
          <w:lang w:val="en-US"/>
        </w:rPr>
        <w:t xml:space="preserve"> certification depends on formulation and approval.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30E158" w15:done="0"/>
  <w15:commentEx w15:paraId="0A56B3C7" w15:done="0"/>
  <w15:commentEx w15:paraId="4302ECE0" w15:done="0"/>
  <w15:commentEx w15:paraId="77102C02" w15:done="0"/>
  <w15:commentEx w15:paraId="334F526C" w15:done="0"/>
  <w15:commentEx w15:paraId="62EA9DF0" w15:done="0"/>
  <w15:commentEx w15:paraId="31958432" w15:done="0"/>
  <w15:commentEx w15:paraId="2617F347" w15:done="0"/>
  <w15:commentEx w15:paraId="7878333B" w15:done="0"/>
  <w15:commentEx w15:paraId="06ABA84C" w15:done="0"/>
  <w15:commentEx w15:paraId="19397E25" w15:done="0"/>
  <w15:commentEx w15:paraId="6F4E5371" w15:done="0"/>
  <w15:commentEx w15:paraId="59F59CE9" w15:done="0"/>
  <w15:commentEx w15:paraId="2E85A21F" w15:done="0"/>
  <w15:commentEx w15:paraId="56004ED6" w15:done="0"/>
  <w15:commentEx w15:paraId="18FA9BDA" w15:done="0"/>
  <w15:commentEx w15:paraId="099DD9BC" w15:done="0"/>
  <w15:commentEx w15:paraId="54477D12" w15:done="0"/>
  <w15:commentEx w15:paraId="1F3B5758" w15:done="0"/>
  <w15:commentEx w15:paraId="0DDC371F" w15:done="0"/>
  <w15:commentEx w15:paraId="319557A1" w15:done="0"/>
  <w15:commentEx w15:paraId="560D3ECD" w15:done="0"/>
  <w15:commentEx w15:paraId="32616BBE" w15:done="0"/>
  <w15:commentEx w15:paraId="6EE12E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CD3E7C" w16cex:dateUtc="2026-01-18T11:47:00Z"/>
  <w16cex:commentExtensible w16cex:durableId="0908FA5E" w16cex:dateUtc="2026-01-18T11:52:00Z"/>
  <w16cex:commentExtensible w16cex:durableId="084C7323" w16cex:dateUtc="2026-01-18T11:56:00Z"/>
  <w16cex:commentExtensible w16cex:durableId="6E22054D" w16cex:dateUtc="2026-01-18T12:06:00Z"/>
  <w16cex:commentExtensible w16cex:durableId="5ECF2689" w16cex:dateUtc="2026-01-18T12:13:00Z"/>
  <w16cex:commentExtensible w16cex:durableId="0A1F6C7A" w16cex:dateUtc="2026-01-18T12:21:00Z"/>
  <w16cex:commentExtensible w16cex:durableId="2EB690D4" w16cex:dateUtc="2026-01-18T12:26:00Z"/>
  <w16cex:commentExtensible w16cex:durableId="78F8956F" w16cex:dateUtc="2026-01-18T12:31:00Z"/>
  <w16cex:commentExtensible w16cex:durableId="38149544" w16cex:dateUtc="2026-01-18T12:31:00Z"/>
  <w16cex:commentExtensible w16cex:durableId="25C82BED" w16cex:dateUtc="2026-01-18T12:35:00Z"/>
  <w16cex:commentExtensible w16cex:durableId="64C571DC" w16cex:dateUtc="2026-01-18T12:36:00Z"/>
  <w16cex:commentExtensible w16cex:durableId="222F497C" w16cex:dateUtc="2026-01-18T12:41:00Z"/>
  <w16cex:commentExtensible w16cex:durableId="14CF37E2" w16cex:dateUtc="2026-01-18T12:44:00Z"/>
  <w16cex:commentExtensible w16cex:durableId="379541F9" w16cex:dateUtc="2026-01-18T12:46:00Z"/>
  <w16cex:commentExtensible w16cex:durableId="3767E414" w16cex:dateUtc="2026-01-18T12:47:00Z"/>
  <w16cex:commentExtensible w16cex:durableId="3F1AC93E" w16cex:dateUtc="2026-01-18T12:50:00Z"/>
  <w16cex:commentExtensible w16cex:durableId="41FB4D3D" w16cex:dateUtc="2026-01-18T12:52:00Z"/>
  <w16cex:commentExtensible w16cex:durableId="0A00272E" w16cex:dateUtc="2026-01-18T12:55:00Z"/>
  <w16cex:commentExtensible w16cex:durableId="76CB3C55" w16cex:dateUtc="2026-01-18T13:46:00Z"/>
  <w16cex:commentExtensible w16cex:durableId="4A8745A6" w16cex:dateUtc="2026-01-18T13:47:00Z"/>
  <w16cex:commentExtensible w16cex:durableId="578E4A5F" w16cex:dateUtc="2026-01-18T13:48:00Z"/>
  <w16cex:commentExtensible w16cex:durableId="30EEC5E3" w16cex:dateUtc="2026-01-18T14:45:00Z"/>
  <w16cex:commentExtensible w16cex:durableId="29486508" w16cex:dateUtc="2026-01-18T14:47:00Z"/>
  <w16cex:commentExtensible w16cex:durableId="2E3CBF45" w16cex:dateUtc="2026-01-18T1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30E158" w16cid:durableId="0FCD3E7C"/>
  <w16cid:commentId w16cid:paraId="0A56B3C7" w16cid:durableId="0908FA5E"/>
  <w16cid:commentId w16cid:paraId="4302ECE0" w16cid:durableId="084C7323"/>
  <w16cid:commentId w16cid:paraId="77102C02" w16cid:durableId="6E22054D"/>
  <w16cid:commentId w16cid:paraId="334F526C" w16cid:durableId="5ECF2689"/>
  <w16cid:commentId w16cid:paraId="62EA9DF0" w16cid:durableId="0A1F6C7A"/>
  <w16cid:commentId w16cid:paraId="31958432" w16cid:durableId="2EB690D4"/>
  <w16cid:commentId w16cid:paraId="2617F347" w16cid:durableId="78F8956F"/>
  <w16cid:commentId w16cid:paraId="7878333B" w16cid:durableId="38149544"/>
  <w16cid:commentId w16cid:paraId="06ABA84C" w16cid:durableId="25C82BED"/>
  <w16cid:commentId w16cid:paraId="19397E25" w16cid:durableId="64C571DC"/>
  <w16cid:commentId w16cid:paraId="6F4E5371" w16cid:durableId="222F497C"/>
  <w16cid:commentId w16cid:paraId="59F59CE9" w16cid:durableId="14CF37E2"/>
  <w16cid:commentId w16cid:paraId="2E85A21F" w16cid:durableId="379541F9"/>
  <w16cid:commentId w16cid:paraId="56004ED6" w16cid:durableId="3767E414"/>
  <w16cid:commentId w16cid:paraId="18FA9BDA" w16cid:durableId="3F1AC93E"/>
  <w16cid:commentId w16cid:paraId="099DD9BC" w16cid:durableId="41FB4D3D"/>
  <w16cid:commentId w16cid:paraId="54477D12" w16cid:durableId="0A00272E"/>
  <w16cid:commentId w16cid:paraId="1F3B5758" w16cid:durableId="76CB3C55"/>
  <w16cid:commentId w16cid:paraId="0DDC371F" w16cid:durableId="4A8745A6"/>
  <w16cid:commentId w16cid:paraId="319557A1" w16cid:durableId="578E4A5F"/>
  <w16cid:commentId w16cid:paraId="560D3ECD" w16cid:durableId="30EEC5E3"/>
  <w16cid:commentId w16cid:paraId="32616BBE" w16cid:durableId="29486508"/>
  <w16cid:commentId w16cid:paraId="6EE12E08" w16cid:durableId="2E3CBF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10529" w14:textId="77777777" w:rsidR="003C7A0C" w:rsidRDefault="003C7A0C">
      <w:r>
        <w:separator/>
      </w:r>
    </w:p>
  </w:endnote>
  <w:endnote w:type="continuationSeparator" w:id="0">
    <w:p w14:paraId="0107880D" w14:textId="77777777" w:rsidR="003C7A0C" w:rsidRDefault="003C7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113F1" w14:textId="77777777" w:rsidR="00C14E7C" w:rsidRDefault="00C14E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F625C" w14:textId="77777777" w:rsidR="00C14E7C" w:rsidRDefault="00C14E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67585" w14:textId="38C6DBC2" w:rsidR="00633CEB" w:rsidRPr="00C14E7C" w:rsidRDefault="00633CEB" w:rsidP="00C14E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688FD" w14:textId="77777777" w:rsidR="00633CEB" w:rsidRDefault="00633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2F6ED" w14:textId="77777777" w:rsidR="003C7A0C" w:rsidRDefault="003C7A0C">
      <w:r>
        <w:separator/>
      </w:r>
    </w:p>
  </w:footnote>
  <w:footnote w:type="continuationSeparator" w:id="0">
    <w:p w14:paraId="2C6DEDF6" w14:textId="77777777" w:rsidR="003C7A0C" w:rsidRDefault="003C7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5F7BB" w14:textId="54B101F5" w:rsidR="00C14E7C" w:rsidRDefault="003C7A0C">
    <w:pPr>
      <w:pStyle w:val="Header"/>
    </w:pPr>
    <w:r>
      <w:rPr>
        <w:noProof/>
      </w:rPr>
      <w:pict w14:anchorId="0B1C38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11161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5D35B" w14:textId="3E8266F2" w:rsidR="00C14E7C" w:rsidRDefault="003C7A0C">
    <w:pPr>
      <w:pStyle w:val="Header"/>
    </w:pPr>
    <w:r>
      <w:rPr>
        <w:noProof/>
      </w:rPr>
      <w:pict w14:anchorId="47B9D0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11161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AAE20" w14:textId="405F7684" w:rsidR="00633CEB" w:rsidRDefault="003C7A0C">
    <w:pPr>
      <w:ind w:left="2160"/>
      <w:jc w:val="center"/>
      <w:rPr>
        <w:rFonts w:ascii="Times New Roman" w:eastAsia="Calibri" w:hAnsi="Times New Roman"/>
        <w:i/>
        <w:sz w:val="18"/>
        <w:szCs w:val="22"/>
      </w:rPr>
    </w:pPr>
    <w:r>
      <w:rPr>
        <w:noProof/>
      </w:rPr>
      <w:pict w14:anchorId="68131D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11160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366E474" w14:textId="77777777" w:rsidR="00633CEB" w:rsidRDefault="004C60E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7D572661" w14:textId="77777777" w:rsidR="00633CEB" w:rsidRDefault="004C60E9">
    <w:pPr>
      <w:jc w:val="center"/>
      <w:rPr>
        <w:rFonts w:ascii="Times New Roman" w:eastAsia="Calibri" w:hAnsi="Times New Roman"/>
        <w:i/>
        <w:sz w:val="18"/>
        <w:szCs w:val="22"/>
      </w:rPr>
    </w:pPr>
    <w:r>
      <w:rPr>
        <w:rFonts w:ascii="Times New Roman" w:eastAsia="Calibri" w:hAnsi="Times New Roman"/>
        <w:i/>
        <w:sz w:val="18"/>
        <w:szCs w:val="22"/>
      </w:rPr>
      <w:t>.</w:t>
    </w:r>
  </w:p>
  <w:p w14:paraId="13685B31" w14:textId="77777777" w:rsidR="00633CEB" w:rsidRDefault="004C60E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257F1555" w14:textId="77777777" w:rsidR="00633CEB" w:rsidRDefault="004C60E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17623001" w14:textId="77777777" w:rsidR="00633CEB" w:rsidRDefault="004C60E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CD84CD6" w14:textId="77777777" w:rsidR="00633CEB" w:rsidRDefault="004C60E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418A3" w14:textId="7958F0F4" w:rsidR="00C14E7C" w:rsidRDefault="003C7A0C">
    <w:pPr>
      <w:pStyle w:val="Header"/>
    </w:pPr>
    <w:r>
      <w:rPr>
        <w:noProof/>
      </w:rPr>
      <w:pict w14:anchorId="1641E7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111613"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03BDB" w14:textId="0BD30080" w:rsidR="00C14E7C" w:rsidRDefault="003C7A0C">
    <w:pPr>
      <w:pStyle w:val="Header"/>
    </w:pPr>
    <w:r>
      <w:rPr>
        <w:noProof/>
      </w:rPr>
      <w:pict w14:anchorId="00EC7F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111614"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B2D23" w14:textId="1D00EF71" w:rsidR="00C14E7C" w:rsidRDefault="003C7A0C">
    <w:pPr>
      <w:pStyle w:val="Header"/>
    </w:pPr>
    <w:r>
      <w:rPr>
        <w:noProof/>
      </w:rPr>
      <w:pict w14:anchorId="0846BE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111612"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280F96"/>
    <w:multiLevelType w:val="multilevel"/>
    <w:tmpl w:val="3C280F96"/>
    <w:lvl w:ilvl="0">
      <w:start w:val="2"/>
      <w:numFmt w:val="decimal"/>
      <w:suff w:val="space"/>
      <w:lvlText w:val="%1."/>
      <w:lvlJc w:val="left"/>
      <w:rPr>
        <w:rFonts w:hint="default"/>
        <w:sz w:val="22"/>
        <w:szCs w:val="22"/>
      </w:rPr>
    </w:lvl>
    <w:lvl w:ilvl="1">
      <w:start w:val="1"/>
      <w:numFmt w:val="decimal"/>
      <w:suff w:val="space"/>
      <w:lvlText w:val="%1.%2."/>
      <w:lvlJc w:val="left"/>
      <w:pPr>
        <w:ind w:left="90" w:firstLine="0"/>
      </w:pPr>
      <w:rPr>
        <w:rFonts w:hint="default"/>
        <w:sz w:val="22"/>
        <w:szCs w:val="22"/>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sim Kamal Mallick">
    <w15:presenceInfo w15:providerId="Windows Live" w15:userId="3ba2afbab14181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F8F"/>
    <w:rsid w:val="00030174"/>
    <w:rsid w:val="0004579C"/>
    <w:rsid w:val="000A47FA"/>
    <w:rsid w:val="000A65D3"/>
    <w:rsid w:val="000B1E33"/>
    <w:rsid w:val="000C057D"/>
    <w:rsid w:val="000D689F"/>
    <w:rsid w:val="000E7B7B"/>
    <w:rsid w:val="000E7D62"/>
    <w:rsid w:val="00103357"/>
    <w:rsid w:val="00115A6B"/>
    <w:rsid w:val="00123C9F"/>
    <w:rsid w:val="00126190"/>
    <w:rsid w:val="00130F17"/>
    <w:rsid w:val="001320BF"/>
    <w:rsid w:val="00151B25"/>
    <w:rsid w:val="00163BC4"/>
    <w:rsid w:val="00172A27"/>
    <w:rsid w:val="00191062"/>
    <w:rsid w:val="00192B72"/>
    <w:rsid w:val="001A29D8"/>
    <w:rsid w:val="001A5CAA"/>
    <w:rsid w:val="001B0427"/>
    <w:rsid w:val="001D3A51"/>
    <w:rsid w:val="001E10D2"/>
    <w:rsid w:val="001E25B4"/>
    <w:rsid w:val="001E44FE"/>
    <w:rsid w:val="00200595"/>
    <w:rsid w:val="00204835"/>
    <w:rsid w:val="00213268"/>
    <w:rsid w:val="00231920"/>
    <w:rsid w:val="0023195C"/>
    <w:rsid w:val="0024282C"/>
    <w:rsid w:val="002460DC"/>
    <w:rsid w:val="00250985"/>
    <w:rsid w:val="002556F6"/>
    <w:rsid w:val="00283105"/>
    <w:rsid w:val="00284C4C"/>
    <w:rsid w:val="00287E68"/>
    <w:rsid w:val="002931A6"/>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C7A0C"/>
    <w:rsid w:val="003D00C4"/>
    <w:rsid w:val="003E2904"/>
    <w:rsid w:val="00401927"/>
    <w:rsid w:val="0041027F"/>
    <w:rsid w:val="00412475"/>
    <w:rsid w:val="00423789"/>
    <w:rsid w:val="00440F43"/>
    <w:rsid w:val="00441B6F"/>
    <w:rsid w:val="00446221"/>
    <w:rsid w:val="00450E62"/>
    <w:rsid w:val="004539DB"/>
    <w:rsid w:val="00471A80"/>
    <w:rsid w:val="004C60E9"/>
    <w:rsid w:val="004D305E"/>
    <w:rsid w:val="004D4277"/>
    <w:rsid w:val="00502516"/>
    <w:rsid w:val="00505F06"/>
    <w:rsid w:val="00506828"/>
    <w:rsid w:val="0053056E"/>
    <w:rsid w:val="00554FDA"/>
    <w:rsid w:val="005C784C"/>
    <w:rsid w:val="005D17F6"/>
    <w:rsid w:val="005E5539"/>
    <w:rsid w:val="00602BF5"/>
    <w:rsid w:val="00617FDD"/>
    <w:rsid w:val="006333D3"/>
    <w:rsid w:val="00633614"/>
    <w:rsid w:val="00633CEB"/>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A59DB"/>
    <w:rsid w:val="007D2288"/>
    <w:rsid w:val="007E088F"/>
    <w:rsid w:val="007E5178"/>
    <w:rsid w:val="007F7B32"/>
    <w:rsid w:val="00804BC2"/>
    <w:rsid w:val="0081431A"/>
    <w:rsid w:val="0083216F"/>
    <w:rsid w:val="00860000"/>
    <w:rsid w:val="00863BD3"/>
    <w:rsid w:val="008641ED"/>
    <w:rsid w:val="00866D66"/>
    <w:rsid w:val="008671C6"/>
    <w:rsid w:val="00875803"/>
    <w:rsid w:val="008B459E"/>
    <w:rsid w:val="008E1312"/>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76C6"/>
    <w:rsid w:val="00A94063"/>
    <w:rsid w:val="00AA6219"/>
    <w:rsid w:val="00AA74E0"/>
    <w:rsid w:val="00AB703F"/>
    <w:rsid w:val="00AC6BB8"/>
    <w:rsid w:val="00AE008F"/>
    <w:rsid w:val="00B01FCD"/>
    <w:rsid w:val="00B1776C"/>
    <w:rsid w:val="00B272D4"/>
    <w:rsid w:val="00B52583"/>
    <w:rsid w:val="00B52896"/>
    <w:rsid w:val="00B56D46"/>
    <w:rsid w:val="00B87A33"/>
    <w:rsid w:val="00B95236"/>
    <w:rsid w:val="00B96BD9"/>
    <w:rsid w:val="00BA1B01"/>
    <w:rsid w:val="00BA2641"/>
    <w:rsid w:val="00BB37AA"/>
    <w:rsid w:val="00BC53A0"/>
    <w:rsid w:val="00BE62AD"/>
    <w:rsid w:val="00BF121F"/>
    <w:rsid w:val="00BF1F80"/>
    <w:rsid w:val="00C14E7C"/>
    <w:rsid w:val="00C166EF"/>
    <w:rsid w:val="00C17EB0"/>
    <w:rsid w:val="00C27F5F"/>
    <w:rsid w:val="00C30A0F"/>
    <w:rsid w:val="00C37E61"/>
    <w:rsid w:val="00C70F1B"/>
    <w:rsid w:val="00C71A47"/>
    <w:rsid w:val="00C7464C"/>
    <w:rsid w:val="00C85588"/>
    <w:rsid w:val="00CD6755"/>
    <w:rsid w:val="00CD6856"/>
    <w:rsid w:val="00CE0089"/>
    <w:rsid w:val="00CE793C"/>
    <w:rsid w:val="00CF13F5"/>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A7451"/>
    <w:rsid w:val="00FB3A86"/>
    <w:rsid w:val="00FD36C8"/>
    <w:rsid w:val="01F01003"/>
    <w:rsid w:val="04744CCE"/>
    <w:rsid w:val="06785309"/>
    <w:rsid w:val="07D13FD6"/>
    <w:rsid w:val="08AD4359"/>
    <w:rsid w:val="09496BF2"/>
    <w:rsid w:val="0A3343B7"/>
    <w:rsid w:val="0C9F039B"/>
    <w:rsid w:val="1074050C"/>
    <w:rsid w:val="137C1212"/>
    <w:rsid w:val="1BD318B3"/>
    <w:rsid w:val="1E6E6339"/>
    <w:rsid w:val="1FF264D5"/>
    <w:rsid w:val="201C0D03"/>
    <w:rsid w:val="20AD7527"/>
    <w:rsid w:val="21831648"/>
    <w:rsid w:val="2285748D"/>
    <w:rsid w:val="23086287"/>
    <w:rsid w:val="244C7392"/>
    <w:rsid w:val="247D48D7"/>
    <w:rsid w:val="27C15D6B"/>
    <w:rsid w:val="28202223"/>
    <w:rsid w:val="28D65D4B"/>
    <w:rsid w:val="2A497BA1"/>
    <w:rsid w:val="2B3134E9"/>
    <w:rsid w:val="2B917A70"/>
    <w:rsid w:val="2FEC4DD6"/>
    <w:rsid w:val="300165C7"/>
    <w:rsid w:val="31FE2D39"/>
    <w:rsid w:val="335175BB"/>
    <w:rsid w:val="3437715C"/>
    <w:rsid w:val="343C31BC"/>
    <w:rsid w:val="34473025"/>
    <w:rsid w:val="34A64D70"/>
    <w:rsid w:val="35733C5E"/>
    <w:rsid w:val="3E6721AE"/>
    <w:rsid w:val="3F5120E5"/>
    <w:rsid w:val="42DA15C5"/>
    <w:rsid w:val="430B098D"/>
    <w:rsid w:val="438A0859"/>
    <w:rsid w:val="43FF1BAC"/>
    <w:rsid w:val="4DCB0F30"/>
    <w:rsid w:val="4E152629"/>
    <w:rsid w:val="518D60D8"/>
    <w:rsid w:val="5897186E"/>
    <w:rsid w:val="5C6A01AA"/>
    <w:rsid w:val="62E62FCC"/>
    <w:rsid w:val="69A27DD9"/>
    <w:rsid w:val="6AFA041C"/>
    <w:rsid w:val="6BB51B5F"/>
    <w:rsid w:val="712C479A"/>
    <w:rsid w:val="71DE6DD1"/>
    <w:rsid w:val="71F64CD2"/>
    <w:rsid w:val="74887305"/>
    <w:rsid w:val="784F0903"/>
    <w:rsid w:val="79E3438D"/>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64161259"/>
  <w15:docId w15:val="{79818BFF-1B39-465C-B492-10C6768CF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qFormat/>
    <w:pPr>
      <w:spacing w:beforeAutospacing="1" w:afterAutospacing="1"/>
    </w:pPr>
    <w:rPr>
      <w:rFonts w:ascii="Times New Roman" w:eastAsia="SimSun" w:hAnsi="Times New Roman"/>
      <w:sz w:val="24"/>
      <w:szCs w:val="24"/>
      <w:lang w:eastAsia="zh-CN"/>
    </w:rPr>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Default">
    <w:name w:val="Default"/>
    <w:uiPriority w:val="99"/>
    <w:unhideWhenUsed/>
    <w:pPr>
      <w:widowControl w:val="0"/>
      <w:autoSpaceDE w:val="0"/>
      <w:autoSpaceDN w:val="0"/>
      <w:adjustRightInd w:val="0"/>
    </w:pPr>
    <w:rPr>
      <w:rFonts w:ascii="Arial" w:hAnsi="Arial"/>
      <w:color w:val="000000"/>
      <w:sz w:val="24"/>
      <w:szCs w:val="24"/>
    </w:rPr>
  </w:style>
  <w:style w:type="character" w:styleId="UnresolvedMention">
    <w:name w:val="Unresolved Mention"/>
    <w:basedOn w:val="DefaultParagraphFont"/>
    <w:uiPriority w:val="99"/>
    <w:semiHidden/>
    <w:unhideWhenUsed/>
    <w:rsid w:val="000C057D"/>
    <w:rPr>
      <w:color w:val="605E5C"/>
      <w:shd w:val="clear" w:color="auto" w:fill="E1DFDD"/>
    </w:rPr>
  </w:style>
  <w:style w:type="paragraph" w:styleId="CommentSubject">
    <w:name w:val="annotation subject"/>
    <w:basedOn w:val="CommentText"/>
    <w:next w:val="CommentText"/>
    <w:link w:val="CommentSubjectChar"/>
    <w:semiHidden/>
    <w:unhideWhenUsed/>
    <w:rsid w:val="00151B25"/>
    <w:rPr>
      <w:rFonts w:ascii="Helvetica" w:hAnsi="Helvetica"/>
      <w:b/>
      <w:bCs/>
      <w:lang w:val="en-US" w:eastAsia="en-US"/>
    </w:rPr>
  </w:style>
  <w:style w:type="character" w:customStyle="1" w:styleId="CommentSubjectChar">
    <w:name w:val="Comment Subject Char"/>
    <w:basedOn w:val="CommentTextChar"/>
    <w:link w:val="CommentSubject"/>
    <w:semiHidden/>
    <w:rsid w:val="00151B25"/>
    <w:rPr>
      <w:rFonts w:ascii="Helvetica" w:eastAsia="Times New Roman" w:hAnsi="Helvetica"/>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doi.org/10.1007/s10658-024-02924-y" TargetMode="External"/><Relationship Id="rId117" Type="http://schemas.microsoft.com/office/2018/08/relationships/commentsExtensible" Target="commentsExtensible.xml"/><Relationship Id="rId21" Type="http://schemas.openxmlformats.org/officeDocument/2006/relationships/hyperlink" Target="https://doi.org/10.21323/2618-9771-2025-8-3-407-413" TargetMode="External"/><Relationship Id="rId42" Type="http://schemas.openxmlformats.org/officeDocument/2006/relationships/hyperlink" Target="https://doi.org/10.26877/e-dimas.v14i3.16717" TargetMode="External"/><Relationship Id="rId47" Type="http://schemas.openxmlformats.org/officeDocument/2006/relationships/hyperlink" Target="https://doi.org/10.51878/learning.v5i3.6625" TargetMode="External"/><Relationship Id="rId63" Type="http://schemas.openxmlformats.org/officeDocument/2006/relationships/hyperlink" Target="https://doi.org/10.1038/s41598-022-16203-5" TargetMode="External"/><Relationship Id="rId68" Type="http://schemas.openxmlformats.org/officeDocument/2006/relationships/hyperlink" Target="https://doi.org/10.3390/agronomy11040643" TargetMode="External"/><Relationship Id="rId84" Type="http://schemas.openxmlformats.org/officeDocument/2006/relationships/hyperlink" Target="https://doi.org/10.1021/acsomega.3c04010" TargetMode="External"/><Relationship Id="rId89" Type="http://schemas.openxmlformats.org/officeDocument/2006/relationships/hyperlink" Target="https://doi.org/10.1007/s10340-024-01846-2" TargetMode="External"/><Relationship Id="rId112" Type="http://schemas.openxmlformats.org/officeDocument/2006/relationships/footer" Target="footer4.xml"/><Relationship Id="rId16" Type="http://schemas.microsoft.com/office/2011/relationships/commentsExtended" Target="commentsExtended.xml"/><Relationship Id="rId107" Type="http://schemas.openxmlformats.org/officeDocument/2006/relationships/hyperlink" Target="https://doi.org/10.1016/j.jenvman.2025.124552" TargetMode="External"/><Relationship Id="rId11" Type="http://schemas.openxmlformats.org/officeDocument/2006/relationships/footer" Target="footer1.xml"/><Relationship Id="rId32" Type="http://schemas.openxmlformats.org/officeDocument/2006/relationships/hyperlink" Target="https://doi.org/10.3390/plants13152133" TargetMode="External"/><Relationship Id="rId37" Type="http://schemas.openxmlformats.org/officeDocument/2006/relationships/hyperlink" Target="https://doi.org/10.15575/25635" TargetMode="External"/><Relationship Id="rId53" Type="http://schemas.openxmlformats.org/officeDocument/2006/relationships/hyperlink" Target="https://doi.org/10.51878/social.v5i1.5149" TargetMode="External"/><Relationship Id="rId58" Type="http://schemas.openxmlformats.org/officeDocument/2006/relationships/hyperlink" Target="https://doi.org/10.3389/fpls.2022.1034649" TargetMode="External"/><Relationship Id="rId74" Type="http://schemas.openxmlformats.org/officeDocument/2006/relationships/hyperlink" Target="https://doi.org/10.31830/2348-7542.2022.roc-860" TargetMode="External"/><Relationship Id="rId79" Type="http://schemas.openxmlformats.org/officeDocument/2006/relationships/hyperlink" Target="https://doi.org/10.36040/jati.v9i1.12339" TargetMode="External"/><Relationship Id="rId102" Type="http://schemas.openxmlformats.org/officeDocument/2006/relationships/hyperlink" Target="https://doi.org/10.51878/cendekia.v4i4.3736" TargetMode="External"/><Relationship Id="rId5" Type="http://schemas.openxmlformats.org/officeDocument/2006/relationships/settings" Target="settings.xml"/><Relationship Id="rId90" Type="http://schemas.openxmlformats.org/officeDocument/2006/relationships/hyperlink" Target="https://doi.org/10.1186/s40643-025-00849-w" TargetMode="External"/><Relationship Id="rId95" Type="http://schemas.openxmlformats.org/officeDocument/2006/relationships/hyperlink" Target="https://doi.org/10.3389/fsufs.2020.521102" TargetMode="External"/><Relationship Id="rId22" Type="http://schemas.openxmlformats.org/officeDocument/2006/relationships/hyperlink" Target="https://doi.org/10.4067/S0717-97072023000205847" TargetMode="External"/><Relationship Id="rId27" Type="http://schemas.openxmlformats.org/officeDocument/2006/relationships/hyperlink" Target="https://doi.org/10.51878/community.v4i2.3816" TargetMode="External"/><Relationship Id="rId43" Type="http://schemas.openxmlformats.org/officeDocument/2006/relationships/hyperlink" Target="https://doi.org/10.29312/remexca.v14i5.3090" TargetMode="External"/><Relationship Id="rId48" Type="http://schemas.openxmlformats.org/officeDocument/2006/relationships/hyperlink" Target="https://doi.org/10.3389/fpls.2015.00659" TargetMode="External"/><Relationship Id="rId64" Type="http://schemas.openxmlformats.org/officeDocument/2006/relationships/hyperlink" Target="https://doi.org/10.1007/s13593-020-00631-6" TargetMode="External"/><Relationship Id="rId69" Type="http://schemas.openxmlformats.org/officeDocument/2006/relationships/hyperlink" Target="https://doi.org/10.29407/jbp.v10i2.20815" TargetMode="External"/><Relationship Id="rId113" Type="http://schemas.openxmlformats.org/officeDocument/2006/relationships/header" Target="header6.xml"/><Relationship Id="rId80" Type="http://schemas.openxmlformats.org/officeDocument/2006/relationships/hyperlink" Target="https://doi.org/10.51878/science.v5i4.6116" TargetMode="External"/><Relationship Id="rId85" Type="http://schemas.openxmlformats.org/officeDocument/2006/relationships/hyperlink" Target="https://doi.org/10.31315/agrivet.v28i1.6875" TargetMode="External"/><Relationship Id="rId12" Type="http://schemas.openxmlformats.org/officeDocument/2006/relationships/footer" Target="footer2.xml"/><Relationship Id="rId17" Type="http://schemas.microsoft.com/office/2016/09/relationships/commentsIds" Target="commentsIds.xml"/><Relationship Id="rId33" Type="http://schemas.openxmlformats.org/officeDocument/2006/relationships/hyperlink" Target="https://theses.hal.science/tel-04095473" TargetMode="External"/><Relationship Id="rId38" Type="http://schemas.openxmlformats.org/officeDocument/2006/relationships/hyperlink" Target="https://doi.org/10.1017/wsc.2024.1" TargetMode="External"/><Relationship Id="rId59" Type="http://schemas.openxmlformats.org/officeDocument/2006/relationships/hyperlink" Target="https://doi.org/10.15517/rbt.v67i6.34787" TargetMode="External"/><Relationship Id="rId103" Type="http://schemas.openxmlformats.org/officeDocument/2006/relationships/hyperlink" Target="https://doi.org/10.30598/biopendixvol1issue2page160-170" TargetMode="External"/><Relationship Id="rId108" Type="http://schemas.openxmlformats.org/officeDocument/2006/relationships/hyperlink" Target="https://doi.org/10.24071/aa.v8i2.10931" TargetMode="External"/><Relationship Id="rId54" Type="http://schemas.openxmlformats.org/officeDocument/2006/relationships/hyperlink" Target="https://doi.org/10.15408/kauniyah.v6i2.2752" TargetMode="External"/><Relationship Id="rId70" Type="http://schemas.openxmlformats.org/officeDocument/2006/relationships/hyperlink" Target="https://doi.org/10.31004/edukatif.v5i2.4918" TargetMode="External"/><Relationship Id="rId75" Type="http://schemas.openxmlformats.org/officeDocument/2006/relationships/hyperlink" Target="https://doi.org/10.1088/1755-1315/239/1/012013" TargetMode="External"/><Relationship Id="rId91" Type="http://schemas.openxmlformats.org/officeDocument/2006/relationships/hyperlink" Target="https://doi.org/10.14710/baf.4.1.2019.1-7" TargetMode="External"/><Relationship Id="rId96" Type="http://schemas.openxmlformats.org/officeDocument/2006/relationships/hyperlink" Target="https://doi.org/10.51878/science.v4i4.3343"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doi.org/10.30742/6zjn2m95" TargetMode="External"/><Relationship Id="rId28" Type="http://schemas.openxmlformats.org/officeDocument/2006/relationships/hyperlink" Target="https://doi.org/10.51878/social.v5i3.6930" TargetMode="External"/><Relationship Id="rId49" Type="http://schemas.openxmlformats.org/officeDocument/2006/relationships/hyperlink" Target="https://doi.org/10.1007/s44279-025-00187-7" TargetMode="External"/><Relationship Id="rId114" Type="http://schemas.openxmlformats.org/officeDocument/2006/relationships/fontTable" Target="fontTable.xml"/><Relationship Id="rId10" Type="http://schemas.openxmlformats.org/officeDocument/2006/relationships/header" Target="header2.xml"/><Relationship Id="rId31" Type="http://schemas.openxmlformats.org/officeDocument/2006/relationships/hyperlink" Target="https://doi.org/10.1371/journal.pone.0280159" TargetMode="External"/><Relationship Id="rId44" Type="http://schemas.openxmlformats.org/officeDocument/2006/relationships/hyperlink" Target="https://doi.org/10.15294/ijc.v13i1.6957" TargetMode="External"/><Relationship Id="rId52" Type="http://schemas.openxmlformats.org/officeDocument/2006/relationships/hyperlink" Target="https://doi.org/10.18280/ijdne.180516" TargetMode="External"/><Relationship Id="rId60" Type="http://schemas.openxmlformats.org/officeDocument/2006/relationships/hyperlink" Target="https://doi.org/10.1007/s11157-023-09656-1" TargetMode="External"/><Relationship Id="rId65" Type="http://schemas.openxmlformats.org/officeDocument/2006/relationships/hyperlink" Target="https://doi.org/10.1007/s13593-021-00749-1" TargetMode="External"/><Relationship Id="rId73" Type="http://schemas.openxmlformats.org/officeDocument/2006/relationships/hyperlink" Target="https://doi.org/10.31830/2454-1761.2022.roc-860" TargetMode="External"/><Relationship Id="rId78" Type="http://schemas.openxmlformats.org/officeDocument/2006/relationships/hyperlink" Target="https://doi.org/10.14710/genres.v1i2.11052" TargetMode="External"/><Relationship Id="rId81" Type="http://schemas.openxmlformats.org/officeDocument/2006/relationships/hyperlink" Target="https://doi.org/10.29408/edc.v20i2.31299" TargetMode="External"/><Relationship Id="rId86" Type="http://schemas.openxmlformats.org/officeDocument/2006/relationships/hyperlink" Target="https://doi.org/10.58812/jpdws.v1i07.541" TargetMode="External"/><Relationship Id="rId94" Type="http://schemas.openxmlformats.org/officeDocument/2006/relationships/hyperlink" Target="https://doi.org/10.51878/cendekia.v5i3.6824" TargetMode="External"/><Relationship Id="rId99" Type="http://schemas.openxmlformats.org/officeDocument/2006/relationships/hyperlink" Target="https://doi.org/10.21927/inpharnmed.v9i1.5555" TargetMode="External"/><Relationship Id="rId101" Type="http://schemas.openxmlformats.org/officeDocument/2006/relationships/hyperlink" Target="https://doi.org/10.51878/science.v5i4.7535" TargetMode="Externa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doi.org/10.3389/fpls.2023.1286105" TargetMode="External"/><Relationship Id="rId39" Type="http://schemas.openxmlformats.org/officeDocument/2006/relationships/hyperlink" Target="https://doi.org/10.23850/22565035.3648" TargetMode="External"/><Relationship Id="rId109" Type="http://schemas.openxmlformats.org/officeDocument/2006/relationships/hyperlink" Target="https://doi.org/10.3389/fagro.2025.1633565" TargetMode="External"/><Relationship Id="rId34" Type="http://schemas.openxmlformats.org/officeDocument/2006/relationships/hyperlink" Target="https://doi.org/10.1007/s13593-023-00941-5" TargetMode="External"/><Relationship Id="rId50" Type="http://schemas.openxmlformats.org/officeDocument/2006/relationships/hyperlink" Target="https://doi.org/10.30742/japt.v2i1.77" TargetMode="External"/><Relationship Id="rId55" Type="http://schemas.openxmlformats.org/officeDocument/2006/relationships/hyperlink" Target="https://doi.org/10.51878/science.v5i1.4524" TargetMode="External"/><Relationship Id="rId76" Type="http://schemas.openxmlformats.org/officeDocument/2006/relationships/hyperlink" Target="https://doi.org/10.3329/sja.v20i1.60526" TargetMode="External"/><Relationship Id="rId97" Type="http://schemas.openxmlformats.org/officeDocument/2006/relationships/hyperlink" Target="https://doi.org/10.21475/ajcs.23.17.02.p3718" TargetMode="External"/><Relationship Id="rId104" Type="http://schemas.openxmlformats.org/officeDocument/2006/relationships/hyperlink" Target="https://doi.org/10.1016/j.cropro.2023.106522" TargetMode="External"/><Relationship Id="rId7" Type="http://schemas.openxmlformats.org/officeDocument/2006/relationships/footnotes" Target="footnotes.xml"/><Relationship Id="rId71" Type="http://schemas.openxmlformats.org/officeDocument/2006/relationships/hyperlink" Target="https://doi.org/10.30595/pspfs.v8i.1488" TargetMode="External"/><Relationship Id="rId92" Type="http://schemas.openxmlformats.org/officeDocument/2006/relationships/hyperlink" Target="https://doi.org/10.51878/science.v5i1.4525" TargetMode="External"/><Relationship Id="rId2" Type="http://schemas.openxmlformats.org/officeDocument/2006/relationships/customXml" Target="../customXml/item2.xml"/><Relationship Id="rId29" Type="http://schemas.openxmlformats.org/officeDocument/2006/relationships/hyperlink" Target="https://doi.org/10.24014/jej.v5i2.37799" TargetMode="External"/><Relationship Id="rId24" Type="http://schemas.openxmlformats.org/officeDocument/2006/relationships/hyperlink" Target="https://doi.org/10.24843/jrma.2021.v09.i02.p04" TargetMode="External"/><Relationship Id="rId40" Type="http://schemas.openxmlformats.org/officeDocument/2006/relationships/hyperlink" Target="https://doi.org/10.51878/community.v5i2.7004" TargetMode="External"/><Relationship Id="rId45" Type="http://schemas.openxmlformats.org/officeDocument/2006/relationships/hyperlink" Target="https://theses.hal.science/tel-03937412" TargetMode="External"/><Relationship Id="rId66" Type="http://schemas.openxmlformats.org/officeDocument/2006/relationships/hyperlink" Target="https://doi.org/10.51878/community.v5i2.7319" TargetMode="External"/><Relationship Id="rId87" Type="http://schemas.openxmlformats.org/officeDocument/2006/relationships/hyperlink" Target="https://doi.org/10.3934/agrfood.2023004" TargetMode="External"/><Relationship Id="rId110" Type="http://schemas.openxmlformats.org/officeDocument/2006/relationships/header" Target="header4.xml"/><Relationship Id="rId115" Type="http://schemas.microsoft.com/office/2011/relationships/people" Target="people.xml"/><Relationship Id="rId61" Type="http://schemas.openxmlformats.org/officeDocument/2006/relationships/hyperlink" Target="https://doi.org/10.22146/jrekpros.57798" TargetMode="External"/><Relationship Id="rId82" Type="http://schemas.openxmlformats.org/officeDocument/2006/relationships/hyperlink" Target="https://doi.org/10.15666/aeer/2301_621635" TargetMode="External"/><Relationship Id="rId19" Type="http://schemas.openxmlformats.org/officeDocument/2006/relationships/hyperlink" Target="https://doi.org/10.20961/agrotechresj.v4i2.44976" TargetMode="External"/><Relationship Id="rId14" Type="http://schemas.openxmlformats.org/officeDocument/2006/relationships/footer" Target="footer3.xml"/><Relationship Id="rId30" Type="http://schemas.openxmlformats.org/officeDocument/2006/relationships/hyperlink" Target="https://doi.org/10.51878/community.v4i2.4105" TargetMode="External"/><Relationship Id="rId35" Type="http://schemas.openxmlformats.org/officeDocument/2006/relationships/hyperlink" Target="https://doi.org/10.24127/bioedukasi.v13i1.5307" TargetMode="External"/><Relationship Id="rId56" Type="http://schemas.openxmlformats.org/officeDocument/2006/relationships/hyperlink" Target="https://doi.org/10.51878/manajerial.v5i3.6943" TargetMode="External"/><Relationship Id="rId77" Type="http://schemas.openxmlformats.org/officeDocument/2006/relationships/hyperlink" Target="https://doi.org/10.1186/s42055-024-00085-8" TargetMode="External"/><Relationship Id="rId100" Type="http://schemas.openxmlformats.org/officeDocument/2006/relationships/hyperlink" Target="https://doi.org/10.1051/bioconf/20249101019" TargetMode="External"/><Relationship Id="rId105" Type="http://schemas.openxmlformats.org/officeDocument/2006/relationships/hyperlink" Target="https://doi.org/10.25126/jtiik.0814059" TargetMode="External"/><Relationship Id="rId8" Type="http://schemas.openxmlformats.org/officeDocument/2006/relationships/endnotes" Target="endnotes.xml"/><Relationship Id="rId51" Type="http://schemas.openxmlformats.org/officeDocument/2006/relationships/hyperlink" Target="https://doi.org/10.1017/wet.2024.20" TargetMode="External"/><Relationship Id="rId72" Type="http://schemas.openxmlformats.org/officeDocument/2006/relationships/hyperlink" Target="https://doi.org/10.2478/contagri-2023-0012" TargetMode="External"/><Relationship Id="rId93" Type="http://schemas.openxmlformats.org/officeDocument/2006/relationships/hyperlink" Target="https://doi.org/10.5296/jas.v8i3.16724" TargetMode="External"/><Relationship Id="rId98" Type="http://schemas.openxmlformats.org/officeDocument/2006/relationships/hyperlink" Target="https://doi.org/10.51878/community.v5i2.7355" TargetMode="External"/><Relationship Id="rId3" Type="http://schemas.openxmlformats.org/officeDocument/2006/relationships/numbering" Target="numbering.xml"/><Relationship Id="rId25" Type="http://schemas.openxmlformats.org/officeDocument/2006/relationships/hyperlink" Target="https://doi.org/10.3389/fpls.2021.632390" TargetMode="External"/><Relationship Id="rId46" Type="http://schemas.openxmlformats.org/officeDocument/2006/relationships/hyperlink" Target="https://doi.org/10.31788/rjc.2020.1345763" TargetMode="External"/><Relationship Id="rId67" Type="http://schemas.openxmlformats.org/officeDocument/2006/relationships/hyperlink" Target="https://doi.org/10.1186/s13750-020-0186-y" TargetMode="External"/><Relationship Id="rId116" Type="http://schemas.openxmlformats.org/officeDocument/2006/relationships/theme" Target="theme/theme1.xml"/><Relationship Id="rId20" Type="http://schemas.openxmlformats.org/officeDocument/2006/relationships/hyperlink" Target="https://doi.org/10.51878/learning.v5i4.7498" TargetMode="External"/><Relationship Id="rId41" Type="http://schemas.openxmlformats.org/officeDocument/2006/relationships/hyperlink" Target="https://doi.org/10.51878/science.v5i4.7831" TargetMode="External"/><Relationship Id="rId62" Type="http://schemas.openxmlformats.org/officeDocument/2006/relationships/hyperlink" Target="https://doi.org/10.7892/boris.94494" TargetMode="External"/><Relationship Id="rId83" Type="http://schemas.openxmlformats.org/officeDocument/2006/relationships/hyperlink" Target="https://doi.org/10.1051/bioconf/202410901033" TargetMode="External"/><Relationship Id="rId88" Type="http://schemas.openxmlformats.org/officeDocument/2006/relationships/hyperlink" Target="https://doi.org/10.28933/ajar-2018-11-2808" TargetMode="External"/><Relationship Id="rId111" Type="http://schemas.openxmlformats.org/officeDocument/2006/relationships/header" Target="header5.xml"/><Relationship Id="rId15" Type="http://schemas.openxmlformats.org/officeDocument/2006/relationships/comments" Target="comments.xml"/><Relationship Id="rId36" Type="http://schemas.openxmlformats.org/officeDocument/2006/relationships/hyperlink" Target="https://doi.org/10.21897/rta.v24i2.1356" TargetMode="External"/><Relationship Id="rId57" Type="http://schemas.openxmlformats.org/officeDocument/2006/relationships/hyperlink" Target="https://doi.org/10.36387/jifi.v5i1.912" TargetMode="External"/><Relationship Id="rId106" Type="http://schemas.openxmlformats.org/officeDocument/2006/relationships/hyperlink" Target="https://doi.org/10.33084/pengabdianmu.v5i2.10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AEF71B-7C82-432E-9075-9A982905C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13541</Words>
  <Characters>77185</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1167</cp:lastModifiedBy>
  <cp:revision>3</cp:revision>
  <cp:lastPrinted>1999-07-06T11:00:00Z</cp:lastPrinted>
  <dcterms:created xsi:type="dcterms:W3CDTF">2026-01-18T15:04:00Z</dcterms:created>
  <dcterms:modified xsi:type="dcterms:W3CDTF">2026-01-19T12:18:00Z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2A032763BAD443EAACB9D29FC8E09715_13</vt:lpwstr>
  </property>
</Properties>
</file>