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599F6" w14:textId="77777777" w:rsidR="00754C9A" w:rsidRDefault="00754C9A" w:rsidP="00441B6F">
      <w:pPr>
        <w:pStyle w:val="Title"/>
        <w:spacing w:after="0"/>
        <w:jc w:val="both"/>
        <w:rPr>
          <w:rFonts w:ascii="Arial" w:hAnsi="Arial" w:cs="Arial"/>
        </w:rPr>
      </w:pPr>
    </w:p>
    <w:p w14:paraId="38904071" w14:textId="77777777" w:rsidR="001826F4" w:rsidRDefault="00064964" w:rsidP="001826F4">
      <w:pPr>
        <w:jc w:val="right"/>
        <w:rPr>
          <w:rFonts w:ascii="Times New Roman" w:hAnsi="Times New Roman"/>
          <w:color w:val="000000" w:themeColor="text1"/>
          <w:sz w:val="28"/>
        </w:rPr>
      </w:pPr>
      <w:commentRangeStart w:id="0"/>
      <w:r w:rsidRPr="00064964">
        <w:rPr>
          <w:rFonts w:ascii="Times New Roman" w:hAnsi="Times New Roman"/>
          <w:color w:val="000000" w:themeColor="text1"/>
          <w:sz w:val="28"/>
        </w:rPr>
        <w:t>Growth Response and Yield of Shallots (</w:t>
      </w:r>
      <w:r w:rsidRPr="00064964">
        <w:rPr>
          <w:rFonts w:ascii="Times New Roman" w:hAnsi="Times New Roman"/>
          <w:i/>
          <w:color w:val="000000" w:themeColor="text1"/>
          <w:sz w:val="28"/>
        </w:rPr>
        <w:t xml:space="preserve">Allium </w:t>
      </w:r>
      <w:proofErr w:type="gramStart"/>
      <w:r w:rsidRPr="00064964">
        <w:rPr>
          <w:rFonts w:ascii="Times New Roman" w:hAnsi="Times New Roman"/>
          <w:i/>
          <w:color w:val="000000" w:themeColor="text1"/>
          <w:sz w:val="28"/>
        </w:rPr>
        <w:t>cepa</w:t>
      </w:r>
      <w:r w:rsidRPr="00064964">
        <w:rPr>
          <w:rFonts w:ascii="Times New Roman" w:hAnsi="Times New Roman"/>
          <w:color w:val="000000" w:themeColor="text1"/>
          <w:sz w:val="28"/>
        </w:rPr>
        <w:t xml:space="preserve"> .L</w:t>
      </w:r>
      <w:proofErr w:type="gramEnd"/>
      <w:r w:rsidRPr="00064964">
        <w:rPr>
          <w:rFonts w:ascii="Times New Roman" w:hAnsi="Times New Roman"/>
          <w:color w:val="000000" w:themeColor="text1"/>
          <w:sz w:val="28"/>
        </w:rPr>
        <w:t>) on Sandy Soil Using Several Soil Conditioner Compositions</w:t>
      </w:r>
      <w:commentRangeEnd w:id="0"/>
      <w:r w:rsidR="00EE0E44">
        <w:rPr>
          <w:rStyle w:val="CommentReference"/>
          <w:rFonts w:ascii="Times New Roman" w:hAnsi="Times New Roman"/>
          <w:lang w:val="nb-NO" w:eastAsia="nb-NO"/>
        </w:rPr>
        <w:commentReference w:id="0"/>
      </w:r>
    </w:p>
    <w:p w14:paraId="1105133C" w14:textId="77777777" w:rsidR="00064964" w:rsidRDefault="00064964" w:rsidP="001826F4">
      <w:pPr>
        <w:jc w:val="right"/>
        <w:rPr>
          <w:rFonts w:ascii="Times New Roman" w:hAnsi="Times New Roman"/>
          <w:color w:val="000000" w:themeColor="text1"/>
          <w:sz w:val="28"/>
        </w:rPr>
      </w:pPr>
    </w:p>
    <w:p w14:paraId="0ABF92A8" w14:textId="77777777" w:rsidR="00064964" w:rsidRDefault="00064964" w:rsidP="001826F4">
      <w:pPr>
        <w:jc w:val="right"/>
        <w:rPr>
          <w:rFonts w:ascii="Times New Roman" w:hAnsi="Times New Roman"/>
          <w:bCs/>
          <w:kern w:val="2"/>
          <w:sz w:val="24"/>
          <w:szCs w:val="24"/>
          <w:lang w:val="en-ID" w:bidi="th-TH"/>
        </w:rPr>
      </w:pPr>
    </w:p>
    <w:p w14:paraId="70BA8F9B" w14:textId="77777777" w:rsidR="002C57D2" w:rsidRPr="00FB3A86" w:rsidRDefault="002C57D2" w:rsidP="00441B6F">
      <w:pPr>
        <w:pStyle w:val="Affiliation"/>
        <w:spacing w:after="0" w:line="240" w:lineRule="auto"/>
        <w:jc w:val="both"/>
        <w:rPr>
          <w:rFonts w:ascii="Arial" w:hAnsi="Arial" w:cs="Arial"/>
        </w:rPr>
      </w:pPr>
    </w:p>
    <w:p w14:paraId="40241BE7" w14:textId="77777777" w:rsidR="00B01FCD" w:rsidRPr="00FB3A86" w:rsidRDefault="00305722" w:rsidP="00441B6F">
      <w:pPr>
        <w:pStyle w:val="Copyright"/>
        <w:spacing w:after="0" w:line="240" w:lineRule="auto"/>
        <w:jc w:val="both"/>
        <w:rPr>
          <w:rFonts w:ascii="Arial" w:hAnsi="Arial" w:cs="Arial"/>
        </w:rPr>
        <w:sectPr w:rsidR="00B01FCD" w:rsidRPr="00FB3A86" w:rsidSect="00F76215">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4A1533" wp14:editId="421C2A75">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840780C"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p>
    <w:p w14:paraId="444F4AA7" w14:textId="77777777" w:rsidR="001826F4" w:rsidRDefault="001826F4" w:rsidP="00441B6F">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1826F4" w14:paraId="7A5BD781" w14:textId="77777777" w:rsidTr="00F265DC">
        <w:tc>
          <w:tcPr>
            <w:tcW w:w="8424" w:type="dxa"/>
            <w:shd w:val="clear" w:color="auto" w:fill="F2F2F2"/>
          </w:tcPr>
          <w:p w14:paraId="30EFCB6D" w14:textId="77777777" w:rsidR="001826F4" w:rsidRPr="00064964" w:rsidRDefault="00197832" w:rsidP="00064964">
            <w:pPr>
              <w:ind w:left="-17"/>
              <w:jc w:val="both"/>
              <w:rPr>
                <w:rFonts w:ascii="Arial" w:eastAsia="Calibri" w:hAnsi="Arial" w:cs="Arial"/>
                <w:b/>
                <w:bCs/>
                <w:szCs w:val="22"/>
              </w:rPr>
            </w:pPr>
            <w:r w:rsidRPr="00197832">
              <w:rPr>
                <w:rFonts w:ascii="Arial" w:eastAsia="Calibri" w:hAnsi="Arial" w:cs="Arial"/>
                <w:b/>
                <w:bCs/>
                <w:szCs w:val="22"/>
              </w:rPr>
              <w:t>This study aims to determine the best soil conditioner composition that can improve the growth and yield of shallots (</w:t>
            </w:r>
            <w:r w:rsidRPr="00197832">
              <w:rPr>
                <w:rFonts w:ascii="Arial" w:eastAsia="Calibri" w:hAnsi="Arial" w:cs="Arial"/>
                <w:b/>
                <w:bCs/>
                <w:i/>
                <w:szCs w:val="22"/>
              </w:rPr>
              <w:t>Allium cepa</w:t>
            </w:r>
            <w:r w:rsidRPr="00197832">
              <w:rPr>
                <w:rFonts w:ascii="Arial" w:eastAsia="Calibri" w:hAnsi="Arial" w:cs="Arial"/>
                <w:b/>
                <w:bCs/>
                <w:szCs w:val="22"/>
              </w:rPr>
              <w:t xml:space="preserve"> L.) in sandy soil, as well as to evaluate the effectiveness of weed conditioners and chicken manure on the growth and yield of shallots.</w:t>
            </w:r>
            <w:r w:rsidR="00064964" w:rsidRPr="00064964">
              <w:rPr>
                <w:rFonts w:ascii="Arial" w:eastAsia="Calibri" w:hAnsi="Arial" w:cs="Arial"/>
                <w:b/>
                <w:bCs/>
                <w:szCs w:val="22"/>
              </w:rPr>
              <w:t xml:space="preserve"> This study was conducted from June to September 2025 in Sungai Hitam, </w:t>
            </w:r>
            <w:proofErr w:type="spellStart"/>
            <w:r w:rsidR="00064964" w:rsidRPr="00064964">
              <w:rPr>
                <w:rFonts w:ascii="Arial" w:eastAsia="Calibri" w:hAnsi="Arial" w:cs="Arial"/>
                <w:b/>
                <w:bCs/>
                <w:szCs w:val="22"/>
              </w:rPr>
              <w:t>Beringin</w:t>
            </w:r>
            <w:proofErr w:type="spellEnd"/>
            <w:r w:rsidR="00064964" w:rsidRPr="00064964">
              <w:rPr>
                <w:rFonts w:ascii="Arial" w:eastAsia="Calibri" w:hAnsi="Arial" w:cs="Arial"/>
                <w:b/>
                <w:bCs/>
                <w:szCs w:val="22"/>
              </w:rPr>
              <w:t xml:space="preserve"> Raya Village, Muara </w:t>
            </w:r>
            <w:proofErr w:type="spellStart"/>
            <w:r w:rsidR="00064964" w:rsidRPr="00064964">
              <w:rPr>
                <w:rFonts w:ascii="Arial" w:eastAsia="Calibri" w:hAnsi="Arial" w:cs="Arial"/>
                <w:b/>
                <w:bCs/>
                <w:szCs w:val="22"/>
              </w:rPr>
              <w:t>Bangkahulu</w:t>
            </w:r>
            <w:proofErr w:type="spellEnd"/>
            <w:r w:rsidR="00064964" w:rsidRPr="00064964">
              <w:rPr>
                <w:rFonts w:ascii="Arial" w:eastAsia="Calibri" w:hAnsi="Arial" w:cs="Arial"/>
                <w:b/>
                <w:bCs/>
                <w:szCs w:val="22"/>
              </w:rPr>
              <w:t xml:space="preserve"> District, Bengkulu City, Indonesia, at an altitude of ±10 m above sea level. Soil analysis was carried out at the Soil Science Laboratory of Bengkulu University, Indonesia. This study used a completely randomized block design (CRBD) with one factor consisting of seven treatment levels, namely the composition of sandy soil, </w:t>
            </w:r>
            <w:proofErr w:type="spellStart"/>
            <w:r w:rsidR="00064964" w:rsidRPr="00064964">
              <w:rPr>
                <w:rFonts w:ascii="Arial" w:eastAsia="Calibri" w:hAnsi="Arial" w:cs="Arial"/>
                <w:b/>
                <w:bCs/>
                <w:szCs w:val="22"/>
              </w:rPr>
              <w:t>ultisol</w:t>
            </w:r>
            <w:proofErr w:type="spellEnd"/>
            <w:r w:rsidR="00064964" w:rsidRPr="00064964">
              <w:rPr>
                <w:rFonts w:ascii="Arial" w:eastAsia="Calibri" w:hAnsi="Arial" w:cs="Arial"/>
                <w:b/>
                <w:bCs/>
                <w:szCs w:val="22"/>
              </w:rPr>
              <w:t xml:space="preserve">, weed amendments, and chicken manure. Data were analyzed using ANOVA, followed by a 5% DMRT test and a 5% t-test. The results of the study indicate that the composition of the soil conditioner has a significant effect on all growth parameters and yields of shallots, including plant height, number of leaves, number of tillers, average bulb diameter, largest bulb diameter, number of bulbs per clump, wet bulb weight, dry bulb weight, bulb weight loss, and bulb yield per hectare. The best composition for shallot growth and yield was obtained with a composition of 220 kg of sandy soil + 40 kg of </w:t>
            </w:r>
            <w:proofErr w:type="spellStart"/>
            <w:r w:rsidR="00064964" w:rsidRPr="00064964">
              <w:rPr>
                <w:rFonts w:ascii="Arial" w:eastAsia="Calibri" w:hAnsi="Arial" w:cs="Arial"/>
                <w:b/>
                <w:bCs/>
                <w:szCs w:val="22"/>
              </w:rPr>
              <w:t>ultisol</w:t>
            </w:r>
            <w:proofErr w:type="spellEnd"/>
            <w:r w:rsidR="00064964" w:rsidRPr="00064964">
              <w:rPr>
                <w:rFonts w:ascii="Arial" w:eastAsia="Calibri" w:hAnsi="Arial" w:cs="Arial"/>
                <w:b/>
                <w:bCs/>
                <w:szCs w:val="22"/>
              </w:rPr>
              <w:t xml:space="preserve"> + 30 kg of weed ameliorant with the variables of plant height (32.40 cm), number of leaves (</w:t>
            </w:r>
            <w:r w:rsidR="00495F7F">
              <w:rPr>
                <w:rFonts w:ascii="Arial" w:eastAsia="Calibri" w:hAnsi="Arial" w:cs="Arial"/>
                <w:b/>
                <w:bCs/>
                <w:szCs w:val="22"/>
              </w:rPr>
              <w:t>31.8</w:t>
            </w:r>
            <w:r w:rsidR="00064964" w:rsidRPr="00064964">
              <w:rPr>
                <w:rFonts w:ascii="Arial" w:eastAsia="Calibri" w:hAnsi="Arial" w:cs="Arial"/>
                <w:b/>
                <w:bCs/>
                <w:szCs w:val="22"/>
              </w:rPr>
              <w:t xml:space="preserve"> leaves), number of tillers (9.93 tillers), average bulb diameter (21.84 mm), largest bulb diameter (29.28 mm), number of bulbs per clump (12.13 bulbs), wet bulb weight (138.28 g), dry bulb weight (110.88 g), dry plot weight (2772.08 g), and bulb production per hectare (22.18 g). In addition, the weed ameliorant composition had a better effect on the growth and yield of shallots compared to the chicken manure fertilizer composition.</w:t>
            </w:r>
          </w:p>
        </w:tc>
      </w:tr>
    </w:tbl>
    <w:p w14:paraId="306777EF" w14:textId="77777777" w:rsidR="00A25B14" w:rsidRPr="000F0D7A" w:rsidRDefault="00F265DC" w:rsidP="000F0D7A">
      <w:pPr>
        <w:spacing w:line="276" w:lineRule="auto"/>
        <w:jc w:val="both"/>
        <w:rPr>
          <w:rFonts w:ascii="Times New Roman" w:hAnsi="Times New Roman"/>
          <w:i/>
        </w:rPr>
      </w:pPr>
      <w:r w:rsidRPr="00F265DC">
        <w:rPr>
          <w:rStyle w:val="Strong"/>
          <w:rFonts w:ascii="Times New Roman" w:hAnsi="Times New Roman"/>
          <w:i/>
        </w:rPr>
        <w:t>Keywords:</w:t>
      </w:r>
      <w:r w:rsidR="00BA10E7">
        <w:rPr>
          <w:rStyle w:val="Strong"/>
          <w:rFonts w:ascii="Times New Roman" w:hAnsi="Times New Roman"/>
          <w:i/>
        </w:rPr>
        <w:t xml:space="preserve"> </w:t>
      </w:r>
      <w:r w:rsidR="00197832" w:rsidRPr="00197832">
        <w:rPr>
          <w:rStyle w:val="Strong"/>
          <w:rFonts w:ascii="Times New Roman" w:hAnsi="Times New Roman"/>
          <w:b w:val="0"/>
          <w:i/>
        </w:rPr>
        <w:t xml:space="preserve">Tuber, </w:t>
      </w:r>
      <w:proofErr w:type="spellStart"/>
      <w:r w:rsidR="00197832" w:rsidRPr="00197832">
        <w:rPr>
          <w:rStyle w:val="Strong"/>
          <w:rFonts w:ascii="Times New Roman" w:hAnsi="Times New Roman"/>
          <w:b w:val="0"/>
          <w:i/>
        </w:rPr>
        <w:t>ultisol</w:t>
      </w:r>
      <w:proofErr w:type="spellEnd"/>
      <w:r w:rsidR="00197832" w:rsidRPr="00197832">
        <w:rPr>
          <w:rStyle w:val="Strong"/>
          <w:rFonts w:ascii="Times New Roman" w:hAnsi="Times New Roman"/>
          <w:b w:val="0"/>
          <w:i/>
        </w:rPr>
        <w:t>, soil conditioner.</w:t>
      </w:r>
    </w:p>
    <w:p w14:paraId="0C70E046" w14:textId="77777777" w:rsidR="00A477D6" w:rsidRPr="00A477D6" w:rsidRDefault="00902823" w:rsidP="00064964">
      <w:pPr>
        <w:pStyle w:val="AbstHead"/>
        <w:tabs>
          <w:tab w:val="left" w:pos="3315"/>
        </w:tabs>
        <w:spacing w:after="0"/>
        <w:jc w:val="both"/>
        <w:rPr>
          <w:rFonts w:ascii="Arial" w:hAnsi="Arial" w:cs="Arial"/>
        </w:rPr>
      </w:pPr>
      <w:r>
        <w:rPr>
          <w:rFonts w:ascii="Arial" w:hAnsi="Arial" w:cs="Arial"/>
        </w:rPr>
        <w:t xml:space="preserve">1. </w:t>
      </w:r>
      <w:r w:rsidR="00064964" w:rsidRPr="00064964">
        <w:rPr>
          <w:rFonts w:ascii="Arial" w:hAnsi="Arial" w:cs="Arial"/>
        </w:rPr>
        <w:t>INTRODUCTION</w:t>
      </w:r>
      <w:r w:rsidR="00305722">
        <w:rPr>
          <w:rFonts w:ascii="Arial" w:hAnsi="Arial" w:cs="Arial"/>
        </w:rPr>
        <w:t xml:space="preserve"> </w:t>
      </w:r>
      <w:r w:rsidR="00064964">
        <w:rPr>
          <w:rFonts w:ascii="Arial" w:hAnsi="Arial" w:cs="Arial"/>
        </w:rPr>
        <w:tab/>
      </w:r>
    </w:p>
    <w:p w14:paraId="615885BD" w14:textId="77777777" w:rsidR="00A85AA2" w:rsidRPr="00A85AA2" w:rsidRDefault="00064964" w:rsidP="00A85AA2">
      <w:pPr>
        <w:pStyle w:val="ListParagraph"/>
        <w:tabs>
          <w:tab w:val="left" w:pos="3402"/>
        </w:tabs>
        <w:spacing w:line="276" w:lineRule="auto"/>
        <w:ind w:left="0" w:firstLine="567"/>
        <w:jc w:val="both"/>
        <w:rPr>
          <w:rFonts w:ascii="Arial" w:hAnsi="Arial" w:cs="Arial"/>
          <w:sz w:val="20"/>
          <w:szCs w:val="28"/>
        </w:rPr>
      </w:pPr>
      <w:r w:rsidRPr="00064964">
        <w:rPr>
          <w:rFonts w:ascii="Arial" w:hAnsi="Arial" w:cs="Arial"/>
          <w:sz w:val="20"/>
          <w:szCs w:val="28"/>
        </w:rPr>
        <w:t>Shallots are a high-value agricultural commodity in Indonesia. Their bulbs are often used as a cooking ingredient and have health benefits. Red shallots contain substances that can help prevent cancer, act as a substitute for antibiotics, lower blood pressure, regulate cholesterol, and control blood sugar</w:t>
      </w:r>
      <w:r>
        <w:rPr>
          <w:rFonts w:ascii="Arial" w:hAnsi="Arial" w:cs="Arial"/>
          <w:sz w:val="20"/>
          <w:szCs w:val="28"/>
        </w:rPr>
        <w:t xml:space="preserve"> </w:t>
      </w:r>
      <w:r w:rsidR="00293ADB">
        <w:rPr>
          <w:rFonts w:ascii="Arial" w:hAnsi="Arial" w:cs="Arial"/>
          <w:sz w:val="20"/>
          <w:szCs w:val="28"/>
          <w:lang w:val="id-ID"/>
        </w:rPr>
        <w:fldChar w:fldCharType="begin" w:fldLock="1"/>
      </w:r>
      <w:r w:rsidR="00293ADB">
        <w:rPr>
          <w:rFonts w:ascii="Arial" w:hAnsi="Arial" w:cs="Arial"/>
          <w:sz w:val="20"/>
          <w:szCs w:val="28"/>
          <w:lang w:val="id-ID"/>
        </w:rPr>
        <w:instrText>ADDIN CSL_CITATION { "citationItems" : [ { "id" : "ITEM-1", "itemData" : { "author" : [ { "dropping-particle" : "", "family" : "Thamrin", "given" : "M.", "non-dropping-particle" : "", "parse-names" : false, "suffix" : "" }, { "dropping-particle" : "", "family" : "Asikin", "given" : "S.", "non-dropping-particle" : "", "parse-names" : false, "suffix" : "" }, { "dropping-particle" : "", "family" : "Wilis", "given" : "M", "non-dropping-particle" : "", "parse-names" : false, "suffix" : "" } ], "container-title" : "Jurnal Penelitian dan Pengembangan Pertanian", "id" : "ITEM-1", "issue" : "2", "issued" : { "date-parts" : [ [ "2013" ] ] }, "page" : "112-121", "title" : "Tumbuhan Kirinyu Chromolaena Odorata (L) (Asteraceae: Asterales) Sebagai Insektisida Nabati Untuk Mengendalikan Ulat Grayak Spodoptera Litura", "type" : "article-journal", "volume" : "32" }, "uris" : [ "http://www.mendeley.com/documents/?uuid=15510829-a5e7-48e7-819d-09d2c6792a54" ] } ], "mendeley" : { "formattedCitation" : "(Thamrin et al., 2013)", "plainTextFormattedCitation" : "(Thamrin et al., 2013)", "previouslyFormattedCitation" : "(Thamrin et al., 2013)" }, "properties" : { "noteIndex" : 0 }, "schema" : "https://github.com/citation-style-language/schema/raw/master/csl-citation.json" }</w:instrText>
      </w:r>
      <w:r w:rsidR="00293ADB">
        <w:rPr>
          <w:rFonts w:ascii="Arial" w:hAnsi="Arial" w:cs="Arial"/>
          <w:sz w:val="20"/>
          <w:szCs w:val="28"/>
          <w:lang w:val="id-ID"/>
        </w:rPr>
        <w:fldChar w:fldCharType="separate"/>
      </w:r>
      <w:r w:rsidR="00293ADB" w:rsidRPr="00293ADB">
        <w:rPr>
          <w:rFonts w:ascii="Arial" w:hAnsi="Arial" w:cs="Arial"/>
          <w:noProof/>
          <w:sz w:val="20"/>
          <w:szCs w:val="28"/>
          <w:lang w:val="id-ID"/>
        </w:rPr>
        <w:t xml:space="preserve">(Thamrin </w:t>
      </w:r>
      <w:r w:rsidR="00293ADB" w:rsidRPr="00293ADB">
        <w:rPr>
          <w:rFonts w:ascii="Arial" w:hAnsi="Arial" w:cs="Arial"/>
          <w:i/>
          <w:noProof/>
          <w:sz w:val="20"/>
          <w:szCs w:val="28"/>
          <w:lang w:val="id-ID"/>
        </w:rPr>
        <w:t>et</w:t>
      </w:r>
      <w:r w:rsidR="00293ADB" w:rsidRPr="00293ADB">
        <w:rPr>
          <w:rFonts w:ascii="Arial" w:hAnsi="Arial" w:cs="Arial"/>
          <w:noProof/>
          <w:sz w:val="20"/>
          <w:szCs w:val="28"/>
          <w:lang w:val="id-ID"/>
        </w:rPr>
        <w:t xml:space="preserve"> </w:t>
      </w:r>
      <w:r w:rsidR="00293ADB" w:rsidRPr="00293ADB">
        <w:rPr>
          <w:rFonts w:ascii="Arial" w:hAnsi="Arial" w:cs="Arial"/>
          <w:i/>
          <w:noProof/>
          <w:sz w:val="20"/>
          <w:szCs w:val="28"/>
          <w:lang w:val="id-ID"/>
        </w:rPr>
        <w:t>al</w:t>
      </w:r>
      <w:r w:rsidR="00293ADB" w:rsidRPr="00293ADB">
        <w:rPr>
          <w:rFonts w:ascii="Arial" w:hAnsi="Arial" w:cs="Arial"/>
          <w:noProof/>
          <w:sz w:val="20"/>
          <w:szCs w:val="28"/>
          <w:lang w:val="id-ID"/>
        </w:rPr>
        <w:t>., 2013)</w:t>
      </w:r>
      <w:r w:rsidR="00293ADB">
        <w:rPr>
          <w:rFonts w:ascii="Arial" w:hAnsi="Arial" w:cs="Arial"/>
          <w:sz w:val="20"/>
          <w:szCs w:val="28"/>
          <w:lang w:val="id-ID"/>
        </w:rPr>
        <w:fldChar w:fldCharType="end"/>
      </w:r>
      <w:r w:rsidR="00FE1888">
        <w:rPr>
          <w:rFonts w:ascii="Arial" w:hAnsi="Arial" w:cs="Arial"/>
          <w:sz w:val="20"/>
          <w:szCs w:val="28"/>
        </w:rPr>
        <w:t xml:space="preserve">.  </w:t>
      </w:r>
      <w:r w:rsidRPr="00064964">
        <w:rPr>
          <w:rFonts w:ascii="Arial" w:hAnsi="Arial" w:cs="Arial"/>
          <w:sz w:val="20"/>
          <w:szCs w:val="28"/>
        </w:rPr>
        <w:t>Shallot production in Bengkulu Province is still relatively low compared to several other regions in Indonesia. Shallot production in Bengkulu Province fluctuated during the period from 2021 to 2024. In 2021, total production was recorded at 990 tons, increasing to 1,023 tons in 2022. However, in 2023, there was a significant decline to 671 tons, followed by a slight increase to 710.8 tons in 2024</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"BPS", "given" : "", "non-dropping-particle" : "", "parse-names" : false, "suffix" : "" } ], "container-title" : "Badan Pusat Statistika", "id" : "ITEM-1", "issued" : { "date-parts" : [ [ "2025" ] ] }, "title" : "Produksi Tanaman Sayuran dan Buah-Buahan Semusim Menurut Provinsi dan Jenis Tanaman", "type" : "webpage" }, "uris" : [ "http://www.mendeley.com/documents/?uuid=6373db4f-9774-4a22-80f9-f1761f178c7b" ] } ], "mendeley" : { "formattedCitation" : "(BPS, 2025)", "plainTextFormattedCitation" : "(BPS, 2025)", "previouslyFormattedCitation" : "(BPS, 2025)" }, "properties" : { "noteIndex" : 0 }, "schema" : "https://github.com/citation-style-language/schema/raw/master/csl-citation.json" }</w:instrText>
      </w:r>
      <w:r w:rsidR="00293ADB">
        <w:rPr>
          <w:rFonts w:ascii="Arial" w:hAnsi="Arial" w:cs="Arial"/>
          <w:sz w:val="20"/>
          <w:szCs w:val="28"/>
        </w:rPr>
        <w:fldChar w:fldCharType="separate"/>
      </w:r>
      <w:r w:rsidR="005245BB">
        <w:rPr>
          <w:rFonts w:ascii="Arial" w:hAnsi="Arial" w:cs="Arial"/>
          <w:noProof/>
          <w:sz w:val="20"/>
          <w:szCs w:val="28"/>
        </w:rPr>
        <w:t>(CSA</w:t>
      </w:r>
      <w:r w:rsidR="00293ADB" w:rsidRPr="00293ADB">
        <w:rPr>
          <w:rFonts w:ascii="Arial" w:hAnsi="Arial" w:cs="Arial"/>
          <w:noProof/>
          <w:sz w:val="20"/>
          <w:szCs w:val="28"/>
        </w:rPr>
        <w:t>, 2025)</w:t>
      </w:r>
      <w:r w:rsidR="00293ADB">
        <w:rPr>
          <w:rFonts w:ascii="Arial" w:hAnsi="Arial" w:cs="Arial"/>
          <w:sz w:val="20"/>
          <w:szCs w:val="28"/>
        </w:rPr>
        <w:fldChar w:fldCharType="end"/>
      </w:r>
      <w:r w:rsidR="00FE1888" w:rsidRPr="00FE1888">
        <w:rPr>
          <w:rFonts w:ascii="Arial" w:hAnsi="Arial" w:cs="Arial"/>
          <w:sz w:val="20"/>
          <w:szCs w:val="28"/>
        </w:rPr>
        <w:t xml:space="preserve">. </w:t>
      </w:r>
      <w:r w:rsidR="00A85AA2" w:rsidRPr="00A85AA2">
        <w:rPr>
          <w:rFonts w:ascii="Arial" w:hAnsi="Arial" w:cs="Arial"/>
          <w:sz w:val="20"/>
          <w:szCs w:val="28"/>
        </w:rPr>
        <w:t xml:space="preserve">The decline in production was caused by limited productive agricultural land and a high rate of tuber damage due to decay. However, there is still potential to increase production by utilizing marginal land, such as coastal land. </w:t>
      </w:r>
    </w:p>
    <w:p w14:paraId="1C0F993A" w14:textId="77777777" w:rsidR="00A85AA2" w:rsidRPr="00A85AA2" w:rsidRDefault="00A85AA2" w:rsidP="00A85AA2">
      <w:pPr>
        <w:pStyle w:val="ListParagraph"/>
        <w:tabs>
          <w:tab w:val="left" w:pos="3402"/>
        </w:tabs>
        <w:spacing w:line="276" w:lineRule="auto"/>
        <w:ind w:left="0" w:firstLine="567"/>
        <w:jc w:val="both"/>
        <w:rPr>
          <w:rFonts w:ascii="Arial" w:hAnsi="Arial" w:cs="Arial"/>
          <w:sz w:val="20"/>
          <w:szCs w:val="28"/>
        </w:rPr>
      </w:pPr>
      <w:r w:rsidRPr="00A85AA2">
        <w:rPr>
          <w:rFonts w:ascii="Arial" w:hAnsi="Arial" w:cs="Arial"/>
          <w:sz w:val="20"/>
          <w:szCs w:val="28"/>
        </w:rPr>
        <w:t>One of the obstacles to increasing shallot production in Bengkulu is the lack of optimal land. Bengkulu has a coastline of 586 km, stretching from the border of West Sumatra to Lampung</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"Supiyati", "given" : "", "non-dropping-particle" : "", "parse-names" : false, "suffix" : "" }, { "dropping-particle" : "", "family" : "Sulistyo", "given" : "Bambang", "non-dropping-particle" : "", "parse-names" : false, "suffix" : "" }, { "dropping-particle" : "", "family" : "Oktami", "given" : "Risky", "non-dropping-particle" : "", "parse-names" : false, "suffix" : "" } ], "container-title" : "E-JournalSNF", "id" : "ITEM-1", "issued" : { "date-parts" : [ [ "2017" ] ] }, "page" : "139-146", "title" : "Analisis perubahan garis pantai Kabupaten Kaur Provinsi Bengkulu selama 10 tahun (2006-2016)", "type" : "article-journal", "volume" : "VI" }, "uris" : [ "http://www.mendeley.com/documents/?uuid=f8d16bd5-12cd-433d-bba9-ebdc42e13f92" ] } ], "mendeley" : { "formattedCitation" : "(Supiyati et al., 2017)", "plainTextFormattedCitation" : "(Supiyati et al., 2017)", "previouslyFormattedCitation" : "(Supiyati et al., 2017)"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 xml:space="preserve">(Supiyati </w:t>
      </w:r>
      <w:r w:rsidR="00293ADB" w:rsidRPr="00293ADB">
        <w:rPr>
          <w:rFonts w:ascii="Arial" w:hAnsi="Arial" w:cs="Arial"/>
          <w:i/>
          <w:noProof/>
          <w:sz w:val="20"/>
          <w:szCs w:val="28"/>
        </w:rPr>
        <w:t>et</w:t>
      </w:r>
      <w:r w:rsidR="00293ADB" w:rsidRPr="00293ADB">
        <w:rPr>
          <w:rFonts w:ascii="Arial" w:hAnsi="Arial" w:cs="Arial"/>
          <w:noProof/>
          <w:sz w:val="20"/>
          <w:szCs w:val="28"/>
        </w:rPr>
        <w:t xml:space="preserve"> </w:t>
      </w:r>
      <w:r w:rsidR="00293ADB" w:rsidRPr="00293ADB">
        <w:rPr>
          <w:rFonts w:ascii="Arial" w:hAnsi="Arial" w:cs="Arial"/>
          <w:i/>
          <w:noProof/>
          <w:sz w:val="20"/>
          <w:szCs w:val="28"/>
        </w:rPr>
        <w:t>al</w:t>
      </w:r>
      <w:r w:rsidR="00293ADB" w:rsidRPr="00293ADB">
        <w:rPr>
          <w:rFonts w:ascii="Arial" w:hAnsi="Arial" w:cs="Arial"/>
          <w:noProof/>
          <w:sz w:val="20"/>
          <w:szCs w:val="28"/>
        </w:rPr>
        <w:t>., 2017)</w:t>
      </w:r>
      <w:r w:rsidR="00293ADB">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Some beaches in Bengkulu include Panjang Beach, Pasir Putih Beach, Jakat Beach, </w:t>
      </w:r>
      <w:proofErr w:type="spellStart"/>
      <w:r w:rsidRPr="00A85AA2">
        <w:rPr>
          <w:rFonts w:ascii="Arial" w:hAnsi="Arial" w:cs="Arial"/>
          <w:sz w:val="20"/>
          <w:szCs w:val="28"/>
        </w:rPr>
        <w:t>Malabero</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Tapak</w:t>
      </w:r>
      <w:proofErr w:type="spellEnd"/>
      <w:r w:rsidRPr="00A85AA2">
        <w:rPr>
          <w:rFonts w:ascii="Arial" w:hAnsi="Arial" w:cs="Arial"/>
          <w:sz w:val="20"/>
          <w:szCs w:val="28"/>
        </w:rPr>
        <w:t xml:space="preserve"> </w:t>
      </w:r>
      <w:proofErr w:type="spellStart"/>
      <w:r w:rsidRPr="00A85AA2">
        <w:rPr>
          <w:rFonts w:ascii="Arial" w:hAnsi="Arial" w:cs="Arial"/>
          <w:sz w:val="20"/>
          <w:szCs w:val="28"/>
        </w:rPr>
        <w:t>Paderi</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Cemara</w:t>
      </w:r>
      <w:proofErr w:type="spellEnd"/>
      <w:r w:rsidRPr="00A85AA2">
        <w:rPr>
          <w:rFonts w:ascii="Arial" w:hAnsi="Arial" w:cs="Arial"/>
          <w:sz w:val="20"/>
          <w:szCs w:val="28"/>
        </w:rPr>
        <w:t xml:space="preserve"> Sungai Serut Beach, </w:t>
      </w:r>
      <w:proofErr w:type="spellStart"/>
      <w:r w:rsidRPr="00A85AA2">
        <w:rPr>
          <w:rFonts w:ascii="Arial" w:hAnsi="Arial" w:cs="Arial"/>
          <w:sz w:val="20"/>
          <w:szCs w:val="28"/>
        </w:rPr>
        <w:t>Berkas</w:t>
      </w:r>
      <w:proofErr w:type="spellEnd"/>
      <w:r w:rsidRPr="00A85AA2">
        <w:rPr>
          <w:rFonts w:ascii="Arial" w:hAnsi="Arial" w:cs="Arial"/>
          <w:sz w:val="20"/>
          <w:szCs w:val="28"/>
        </w:rPr>
        <w:t xml:space="preserve"> Beach, Muara </w:t>
      </w:r>
      <w:proofErr w:type="spellStart"/>
      <w:r w:rsidRPr="00A85AA2">
        <w:rPr>
          <w:rFonts w:ascii="Arial" w:hAnsi="Arial" w:cs="Arial"/>
          <w:sz w:val="20"/>
          <w:szCs w:val="28"/>
        </w:rPr>
        <w:t>Jenggalu</w:t>
      </w:r>
      <w:proofErr w:type="spellEnd"/>
      <w:r w:rsidRPr="00A85AA2">
        <w:rPr>
          <w:rFonts w:ascii="Arial" w:hAnsi="Arial" w:cs="Arial"/>
          <w:sz w:val="20"/>
          <w:szCs w:val="28"/>
        </w:rPr>
        <w:t xml:space="preserve"> Beach, and </w:t>
      </w:r>
      <w:proofErr w:type="spellStart"/>
      <w:r w:rsidRPr="00A85AA2">
        <w:rPr>
          <w:rFonts w:ascii="Arial" w:hAnsi="Arial" w:cs="Arial"/>
          <w:sz w:val="20"/>
          <w:szCs w:val="28"/>
        </w:rPr>
        <w:t>Lentara</w:t>
      </w:r>
      <w:proofErr w:type="spellEnd"/>
      <w:r w:rsidRPr="00A85AA2">
        <w:rPr>
          <w:rFonts w:ascii="Arial" w:hAnsi="Arial" w:cs="Arial"/>
          <w:sz w:val="20"/>
          <w:szCs w:val="28"/>
        </w:rPr>
        <w:t xml:space="preserve"> Merah Beach on Baai Island</w:t>
      </w:r>
      <w:r>
        <w:rPr>
          <w:rFonts w:ascii="Arial" w:hAnsi="Arial" w:cs="Arial"/>
          <w:sz w:val="20"/>
          <w:szCs w:val="28"/>
        </w:rPr>
        <w:t xml:space="preserve"> </w:t>
      </w:r>
      <w:commentRangeStart w:id="1"/>
      <w:r w:rsidR="00293ADB">
        <w:rPr>
          <w:rFonts w:ascii="Arial" w:hAnsi="Arial" w:cs="Arial"/>
          <w:sz w:val="20"/>
          <w:szCs w:val="28"/>
        </w:rPr>
        <w:lastRenderedPageBreak/>
        <w:fldChar w:fldCharType="begin" w:fldLock="1"/>
      </w:r>
      <w:r w:rsidR="00293ADB">
        <w:rPr>
          <w:rFonts w:ascii="Arial" w:hAnsi="Arial" w:cs="Arial"/>
          <w:sz w:val="20"/>
          <w:szCs w:val="28"/>
        </w:rPr>
        <w:instrText>ADDIN CSL_CITATION { "citationItems" : [ { "id" : "ITEM-1", "itemData" : { "author" : [ { "dropping-particle" : "", "family" : "Sutaryo", "given" : "", "non-dropping-particle" : "", "parse-names" : false, "suffix" : "" }, { "dropping-particle" : "", "family" : "Yolandari", "given" : "Rani", "non-dropping-particle" : "", "parse-names" : false, "suffix" : "" } ], "container-title" : "Jurnal Ilmiah Plano Krisna", "id" : "ITEM-1", "issue" : "2", "issued" : { "date-parts" : [ [ "2020" ] ] }, "page" : "151-161", "title" : "Analisis Pengembangan Objek Pariwisata Di Kota Bengkulu", "type" : "article-journal", "volume" : "16" }, "uris" : [ "http://www.mendeley.com/documents/?uuid=0ca9eda6-2b8e-4db7-9f6c-4be3e0003b00" ] } ], "mendeley" : { "formattedCitation" : "(Sutaryo &amp; Yolandari, 2020)", "manualFormatting" : "(Sutaryo dan Yolandari, 2020)", "plainTextFormattedCitation" : "(Sutaryo &amp; Yolandari, 2020)", "previouslyFormattedCitation" : "(Sutaryo &amp; Yolandari, 2020)"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 xml:space="preserve">(Sutaryo </w:t>
      </w:r>
      <w:r w:rsidR="00293ADB">
        <w:rPr>
          <w:rFonts w:ascii="Arial" w:hAnsi="Arial" w:cs="Arial"/>
          <w:noProof/>
          <w:sz w:val="20"/>
          <w:szCs w:val="28"/>
          <w:lang w:val="id-ID"/>
        </w:rPr>
        <w:t>dan</w:t>
      </w:r>
      <w:r w:rsidR="00293ADB" w:rsidRPr="00293ADB">
        <w:rPr>
          <w:rFonts w:ascii="Arial" w:hAnsi="Arial" w:cs="Arial"/>
          <w:noProof/>
          <w:sz w:val="20"/>
          <w:szCs w:val="28"/>
        </w:rPr>
        <w:t xml:space="preserve"> Yolandari, 2020)</w:t>
      </w:r>
      <w:r w:rsidR="00293ADB">
        <w:rPr>
          <w:rFonts w:ascii="Arial" w:hAnsi="Arial" w:cs="Arial"/>
          <w:sz w:val="20"/>
          <w:szCs w:val="28"/>
        </w:rPr>
        <w:fldChar w:fldCharType="end"/>
      </w:r>
      <w:commentRangeEnd w:id="1"/>
      <w:r w:rsidR="0069309B">
        <w:rPr>
          <w:rStyle w:val="CommentReference"/>
          <w:rFonts w:ascii="Times New Roman" w:eastAsia="Times New Roman" w:hAnsi="Times New Roman" w:cs="Times New Roman"/>
          <w:lang w:val="nb-NO" w:eastAsia="nb-NO"/>
        </w:rPr>
        <w:commentReference w:id="1"/>
      </w:r>
      <w:r w:rsidR="00293ADB">
        <w:rPr>
          <w:rFonts w:ascii="Arial" w:hAnsi="Arial" w:cs="Arial"/>
          <w:sz w:val="20"/>
          <w:szCs w:val="28"/>
          <w:lang w:val="id-ID"/>
        </w:rPr>
        <w:t>.</w:t>
      </w:r>
      <w:r w:rsidR="00FE1888">
        <w:rPr>
          <w:rFonts w:ascii="Arial" w:hAnsi="Arial" w:cs="Arial"/>
          <w:sz w:val="20"/>
          <w:szCs w:val="28"/>
        </w:rPr>
        <w:t xml:space="preserve"> </w:t>
      </w:r>
      <w:r w:rsidRPr="00A85AA2">
        <w:rPr>
          <w:rFonts w:ascii="Arial" w:hAnsi="Arial" w:cs="Arial"/>
          <w:sz w:val="20"/>
          <w:szCs w:val="28"/>
        </w:rPr>
        <w:t>Coastal land is classified as marginal land with loose sandy soil, low cation exchange capacity, low water retention, and high temperatures</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"Yuwono", "given" : "Nasih Widya", "non-dropping-particle" : "", "parse-names" : false, "suffix" : "" } ], "container-title" : "Jurnal Ilmu Tanah dan Lingkungan", "id" : "ITEM-1", "issue" : "2", "issued" : { "date-parts" : [ [ "2009" ] ] }, "page" : "137-141", "title" : "Membangun kesuburan tanah di lahan marginal", "type" : "article-journal", "volume" : "9" }, "uris" : [ "http://www.mendeley.com/documents/?uuid=3dcf9b10-acca-43ca-b131-851d5c319ff7" ] } ], "mendeley" : { "formattedCitation" : "(Yuwono, 2009)", "plainTextFormattedCitation" : "(Yuwono, 2009)", "previouslyFormattedCitation" : "(Yuwono, 2009)"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(Yuwono, 2009)</w:t>
      </w:r>
      <w:r w:rsidR="00293ADB">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The productivity of sandy soils is influenced by parent material and pedogenic environment </w:t>
      </w:r>
      <w:r w:rsidR="00293ADB">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"Siregar", "given" : "Raesa Sakinah", "non-dropping-particle" : "", "parse-names" : false, "suffix" : "" } ], "container-title" : "Jurnal Ilmiah Pertanian", "id" : "ITEM-1", "issue" : "2", "issued" : { "date-parts" : [ [ "2023" ] ] }, "page" : "177-188", "title" : "Improving the chemical quality of sandy-textured soil and shallot (Allium cepa L.) yields using biochar and clay", "type" : "article-journal", "volume" : "20" }, "uris" : [ "http://www.mendeley.com/documents/?uuid=81f688b9-7316-4074-8454-565ac96aa624" ] } ], "mendeley" : { "formattedCitation" : "(Siregar, 2023)", "plainTextFormattedCitation" : "(Siregar, 2023)", "previouslyFormattedCitation" : "(Siregar, 2023)"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(Siregar, 2023)</w:t>
      </w:r>
      <w:r w:rsidR="00293ADB">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as well as water content, air, nutrients, and diseases </w:t>
      </w:r>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"Santari", "given" : "Putri Tria", "non-dropping-particle" : "", "parse-names" : false, "suffix" : "" }, { "dropping-particle" : "", "family" : "Amin", "given" : "Mirawanty", "non-dropping-particle" : "", "parse-names" : false, "suffix" : "" }, { "dropping-particle" : "", "family" : "Mulyawan", "given" : "Ronny", "non-dropping-particle" : "", "parse-names" : false, "suffix" : "" } ], "container-title" : "Seminar Nasional Lahan Suboptimal", "id" : "ITEM-1", "issued" : { "date-parts" : [ [ "2021" ] ] }, "page" : "854-862", "title" : "Perbaikan Sifat Tanah pada Lahan Berpasir Dengan Pemberian Pupuk Kandang dan Pupuk Hayati", "type" : "paper-conference", "volume" : "9" }, "uris" : [ "http://www.mendeley.com/documents/?uuid=42491d72-d3ec-4674-9ef4-144dc3a40655" ] } ], "mendeley" : { "formattedCitation" : "(Santari et al., 2021)", "plainTextFormattedCitation" : "(Santari et al., 2021)", "previouslyFormattedCitation" : "(Santari et al., 2021)"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(Santari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2021)</w:t>
      </w:r>
      <w:r w:rsidR="00876E77">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This soil is coarse-textured, large-pored, loose, nutrient-poor, and low in organic matter </w:t>
      </w:r>
      <w:commentRangeStart w:id="2"/>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"Putra", "given" : "Perdana Rio", "non-dropping-particle" : "", "parse-names" : false, "suffix" : "" }, { "dropping-particle" : "", "family" : "Rahayu", "given" : "Enny", "non-dropping-particle" : "", "parse-names" : false, "suffix" : "" } ], "container-title" : "Jurnal Agromast", "id" : "ITEM-1", "issue" : "1", "issued" : { "date-parts" : [ [ "2017" ] ] }, "title" : "Pengaruh Macam dan Perbandingan Media Pada Tanah Pasiran Untuk Pertumbuhan Pueraria Javanica", "type" : "article-journal", "volume" : "2" }, "uris" : [ "http://www.mendeley.com/documents/?uuid=26536290-ce56-432c-8ac2-edac2219735c" ] } ], "mendeley" : { "formattedCitation" : "(Putra &amp; Rahayu, 2017)", "manualFormatting" : "(Putra dan Rahayu, 2017)", "plainTextFormattedCitation" : "(Putra &amp; Rahayu, 2017)", "previouslyFormattedCitation" : "(Putra &amp; Rahayu, 2017)"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(Putra </w:t>
      </w:r>
      <w:r w:rsidR="00876E77">
        <w:rPr>
          <w:rFonts w:ascii="Arial" w:hAnsi="Arial" w:cs="Arial"/>
          <w:noProof/>
          <w:sz w:val="20"/>
          <w:szCs w:val="28"/>
          <w:lang w:val="id-ID"/>
        </w:rPr>
        <w:t>dan</w:t>
      </w:r>
      <w:r w:rsidR="00876E77" w:rsidRPr="00876E77">
        <w:rPr>
          <w:rFonts w:ascii="Arial" w:hAnsi="Arial" w:cs="Arial"/>
          <w:noProof/>
          <w:sz w:val="20"/>
          <w:szCs w:val="28"/>
        </w:rPr>
        <w:t xml:space="preserve"> Rahayu, 2017)</w:t>
      </w:r>
      <w:r w:rsidR="00876E77">
        <w:rPr>
          <w:rFonts w:ascii="Arial" w:hAnsi="Arial" w:cs="Arial"/>
          <w:sz w:val="20"/>
          <w:szCs w:val="28"/>
        </w:rPr>
        <w:fldChar w:fldCharType="end"/>
      </w:r>
      <w:commentRangeEnd w:id="2"/>
      <w:r w:rsidR="0069309B">
        <w:rPr>
          <w:rStyle w:val="CommentReference"/>
          <w:rFonts w:ascii="Times New Roman" w:eastAsia="Times New Roman" w:hAnsi="Times New Roman" w:cs="Times New Roman"/>
          <w:lang w:val="nb-NO" w:eastAsia="nb-NO"/>
        </w:rPr>
        <w:commentReference w:id="2"/>
      </w:r>
      <w:r w:rsidR="00FE1888" w:rsidRPr="00FE1888">
        <w:rPr>
          <w:rFonts w:ascii="Arial" w:hAnsi="Arial" w:cs="Arial"/>
          <w:sz w:val="20"/>
          <w:szCs w:val="28"/>
        </w:rPr>
        <w:t xml:space="preserve">. </w:t>
      </w:r>
      <w:r w:rsidRPr="00A85AA2">
        <w:rPr>
          <w:rFonts w:ascii="Arial" w:hAnsi="Arial" w:cs="Arial"/>
          <w:sz w:val="20"/>
          <w:szCs w:val="28"/>
        </w:rPr>
        <w:t xml:space="preserve">Coastal land problems can be addressed with ameliorants, both organic and inorganic, to improve the physical and chemical properties of the soil </w:t>
      </w:r>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"Sari", "given" : "Purnama Yunita", "non-dropping-particle" : "", "parse-names" : false, "suffix" : "" }, { "dropping-particle" : "", "family" : "Haryadi", "given" : "", "non-dropping-particle" : "", "parse-names" : false, "suffix" : "" }, { "dropping-particle" : "", "family" : "Arfianto", "given" : "Fahruddin", "non-dropping-particle" : "", "parse-names" : false, "suffix" : "" } ], "container-title" : "Jurnal Ilmiah Pertanian dan Kehutanan", "id" : "ITEM-1", "issue" : "2", "issued" : { "date-parts" : [ [ "2019" ] ] }, "page" : "160-171", "title" : "Pengaruh Pemberian Jenis Amelioran Terhadap Pertumbuhan Dan Produksi Bayam (Amaranthus tricolor L.) Pada Tanah Gambut", "type" : "article-journal", "volume" : "6" }, "uris" : [ "http://www.mendeley.com/documents/?uuid=e4fd3a53-608e-42f3-9f80-bbc2e62b25f6" ] } ], "mendeley" : { "formattedCitation" : "(Sari et al., 2019)", "plainTextFormattedCitation" : "(Sari et al., 2019)", "previouslyFormattedCitation" : "(Sari et al., 2019)"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(Sari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2019)</w:t>
      </w:r>
      <w:r w:rsidR="00876E77">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Coastal land is considered to have the potential to be developed as cultivated land due to its relatively flat characteristics, adequate area, high intensity of sunlight, and shallow groundwater depth </w:t>
      </w:r>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"Rajiman", "given" : "", "non-dropping-particle" : "", "parse-names" : false, "suffix" : "" }, { "dropping-particle" : "", "family" : "Yudono", "given" : "Prapto", "non-dropping-particle" : "", "parse-names" : false, "suffix" : "" }, { "dropping-particle" : "", "family" : "Sulistyaningsih", "given" : "Endang", "non-dropping-particle" : "", "parse-names" : false, "suffix" : "" }, { "dropping-particle" : "", "family" : "Hanudin", "given" : "Eko", "non-dropping-particle" : "", "parse-names" : false, "suffix" : "" } ], "container-title" : "J. Agrin", "id" : "ITEM-1", "issue" : "1", "issued" : { "date-parts" : [ [ "2008" ] ] }, "page" : "67-77", "title" : "Pengaruh Pembenah Tanah Terhadap Sifat Fisika Tanah dan Hasil Bawang Merah Pada Lahan Pasir Pantai Bugel Kabupaten Kulon Progo", "type" : "article-journal", "volume" : "12" }, "uris" : [ "http://www.mendeley.com/documents/?uuid=acd0994c-b044-4940-b206-ee22ee109656" ] } ], "mendeley" : { "formattedCitation" : "(Rajiman et al., 2008)", "plainTextFormattedCitation" : "(Rajiman et al., 2008)", "previouslyFormattedCitation" : "(Rajiman et al., 2008)"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(Rajiman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2008)</w:t>
      </w:r>
      <w:r w:rsidR="00876E77">
        <w:rPr>
          <w:rFonts w:ascii="Arial" w:hAnsi="Arial" w:cs="Arial"/>
          <w:sz w:val="20"/>
          <w:szCs w:val="28"/>
        </w:rPr>
        <w:fldChar w:fldCharType="end"/>
      </w:r>
      <w:r w:rsidR="00FE1888" w:rsidRPr="00FE1888">
        <w:rPr>
          <w:rFonts w:ascii="Arial" w:hAnsi="Arial" w:cs="Arial"/>
          <w:sz w:val="20"/>
          <w:szCs w:val="28"/>
        </w:rPr>
        <w:t>.</w:t>
      </w:r>
      <w:r w:rsidR="00FE1888">
        <w:rPr>
          <w:rFonts w:ascii="Arial" w:hAnsi="Arial" w:cs="Arial"/>
          <w:sz w:val="20"/>
          <w:szCs w:val="28"/>
        </w:rPr>
        <w:t xml:space="preserve"> </w:t>
      </w:r>
      <w:r w:rsidRPr="00A85AA2">
        <w:rPr>
          <w:rFonts w:ascii="Arial" w:hAnsi="Arial" w:cs="Arial"/>
          <w:sz w:val="20"/>
          <w:szCs w:val="28"/>
        </w:rPr>
        <w:t xml:space="preserve">The addition of mineral soil helps improve sandy soil with water-binding clay content </w:t>
      </w:r>
      <w:r w:rsidR="00876E77">
        <w:rPr>
          <w:rFonts w:ascii="Arial" w:hAnsi="Arial" w:cs="Arial"/>
          <w:sz w:val="20"/>
          <w:szCs w:val="28"/>
        </w:rPr>
        <w:fldChar w:fldCharType="begin" w:fldLock="1"/>
      </w:r>
      <w:r w:rsidR="00D30E25">
        <w:rPr>
          <w:rFonts w:ascii="Arial" w:hAnsi="Arial" w:cs="Arial"/>
          <w:sz w:val="20"/>
          <w:szCs w:val="28"/>
        </w:rPr>
        <w:instrText>ADDIN CSL_CITATION { "citationItems" : [ { "id" : "ITEM-1", "itemData" : { "DOI" : "10.26418/jspe.v11i4.58201", "author" : [ { "dropping-particle" : "", "family" : "Khairiyah", "given" : "H", "non-dropping-particle" : "", "parse-names" : false, "suffix" : "" }, { "dropping-particle" : "", "family" : "Radian", "given" : "", "non-dropping-particle" : "", "parse-names" : false, "suffix" : "" }, { "dropping-particle" : "", "family" : "Tatang", "given" : "A", "non-dropping-particle" : "", "parse-names" : false, "suffix" : "" } ], "container-title" : ". Sains Pertan. Equator", "id" : "ITEM-1", "issue" : "4", "issued" : { "date-parts" : [ [ "2022" ] ] }, "page" : "124-131", "title" : "Pertumbuhan Dan Hasil Bawang Merah Dengan Pemberian Tanah Mineral Pada Berbagai Tingkat Kematangan Tanah Gambut", "type" : "article-journal", "volume" : "11" }, "uris" : [ "http://www.mendeley.com/documents/?uuid=6f2b0af5-8739-4fb0-8fdc-f4b10c9314d0" ] } ], "mendeley" : { "formattedCitation" : "(Khairiyah et al., 2022)", "plainTextFormattedCitation" : "(Khairiyah et al., 2022)", "previouslyFormattedCitation" : "(Khairiyah et al., 2022)"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(Khairiyah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2022)</w:t>
      </w:r>
      <w:r w:rsidR="00876E77">
        <w:rPr>
          <w:rFonts w:ascii="Arial" w:hAnsi="Arial" w:cs="Arial"/>
          <w:sz w:val="20"/>
          <w:szCs w:val="28"/>
        </w:rPr>
        <w:fldChar w:fldCharType="end"/>
      </w:r>
      <w:r w:rsidR="00876E77">
        <w:rPr>
          <w:rFonts w:ascii="Arial" w:hAnsi="Arial" w:cs="Arial"/>
          <w:sz w:val="20"/>
          <w:szCs w:val="28"/>
          <w:lang w:val="id-ID"/>
        </w:rPr>
        <w:t>.</w:t>
      </w:r>
      <w:r w:rsidR="00FE1888" w:rsidRPr="00FE1888">
        <w:rPr>
          <w:rFonts w:ascii="Arial" w:hAnsi="Arial" w:cs="Arial"/>
          <w:sz w:val="20"/>
          <w:szCs w:val="28"/>
        </w:rPr>
        <w:t xml:space="preserve"> </w:t>
      </w:r>
      <w:commentRangeStart w:id="3"/>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"Nugroho", "given" : "", "non-dropping-particle" : "", "parse-names" : false, "suffix" : "" } ], "container-title" : "Indonesian Forest Rehabilitation Journal", "id" : "ITEM-1", "issue" : "1", "issued" : { "date-parts" : [ [ "2013" ] ] }, "page" : "113-125", "title" : "Pengaruh Komposisi Media Tanam Terhadap Pertumbuhan Awal Cemara Udang (Casuarina equisetifolia Var. Incana) Pada Gumuk Pasir Pantai", "type" : "article-journal", "volume" : "1" }, "uris" : [ "http://www.mendeley.com/documents/?uuid=e91d7d79-53c9-4f51-a127-9f56dc4c2449" ] } ], "mendeley" : { "formattedCitation" : "(Nugroho, 2013)", "manualFormatting" : "Nugroho (2013)", "plainTextFormattedCitation" : "(Nugroho, 2013)", "previouslyFormattedCitation" : "(Nugroho, 2013)" }, "properties" : { "noteIndex" : 0 }, "schema" : "https://github.com/citation-style-language/schema/raw/master/csl-citation.json" }</w:instrText>
      </w:r>
      <w:r w:rsidR="00D30E25">
        <w:rPr>
          <w:rFonts w:ascii="Arial" w:hAnsi="Arial" w:cs="Arial"/>
          <w:sz w:val="20"/>
          <w:szCs w:val="28"/>
        </w:rPr>
        <w:fldChar w:fldCharType="separate"/>
      </w:r>
      <w:r w:rsidR="00D30E25">
        <w:rPr>
          <w:rFonts w:ascii="Arial" w:hAnsi="Arial" w:cs="Arial"/>
          <w:noProof/>
          <w:sz w:val="20"/>
          <w:szCs w:val="28"/>
        </w:rPr>
        <w:t>Nugroho</w:t>
      </w:r>
      <w:r w:rsidR="00D30E25" w:rsidRPr="00D30E25">
        <w:rPr>
          <w:rFonts w:ascii="Arial" w:hAnsi="Arial" w:cs="Arial"/>
          <w:noProof/>
          <w:sz w:val="20"/>
          <w:szCs w:val="28"/>
        </w:rPr>
        <w:t xml:space="preserve"> </w:t>
      </w:r>
      <w:r w:rsidR="00D30E25">
        <w:rPr>
          <w:rFonts w:ascii="Arial" w:hAnsi="Arial" w:cs="Arial"/>
          <w:noProof/>
          <w:sz w:val="20"/>
          <w:szCs w:val="28"/>
          <w:lang w:val="id-ID"/>
        </w:rPr>
        <w:t>(</w:t>
      </w:r>
      <w:r w:rsidR="00D30E25" w:rsidRPr="00D30E25">
        <w:rPr>
          <w:rFonts w:ascii="Arial" w:hAnsi="Arial" w:cs="Arial"/>
          <w:noProof/>
          <w:sz w:val="20"/>
          <w:szCs w:val="28"/>
        </w:rPr>
        <w:t>2013)</w:t>
      </w:r>
      <w:r w:rsidR="00D30E25">
        <w:rPr>
          <w:rFonts w:ascii="Arial" w:hAnsi="Arial" w:cs="Arial"/>
          <w:sz w:val="20"/>
          <w:szCs w:val="28"/>
        </w:rPr>
        <w:fldChar w:fldCharType="end"/>
      </w:r>
      <w:r w:rsidR="00FE1888" w:rsidRPr="00FE1888">
        <w:rPr>
          <w:rFonts w:ascii="Arial" w:hAnsi="Arial" w:cs="Arial"/>
          <w:sz w:val="20"/>
          <w:szCs w:val="28"/>
        </w:rPr>
        <w:t xml:space="preserve"> </w:t>
      </w:r>
      <w:r>
        <w:rPr>
          <w:rFonts w:ascii="Arial" w:hAnsi="Arial" w:cs="Arial"/>
          <w:sz w:val="20"/>
          <w:szCs w:val="28"/>
        </w:rPr>
        <w:t>a</w:t>
      </w:r>
      <w:r w:rsidRPr="00A85AA2">
        <w:rPr>
          <w:rFonts w:ascii="Arial" w:hAnsi="Arial" w:cs="Arial"/>
          <w:sz w:val="20"/>
          <w:szCs w:val="28"/>
        </w:rPr>
        <w:t xml:space="preserve"> mixture </w:t>
      </w:r>
      <w:commentRangeEnd w:id="3"/>
      <w:r w:rsidR="0069309B">
        <w:rPr>
          <w:rStyle w:val="CommentReference"/>
          <w:rFonts w:ascii="Times New Roman" w:eastAsia="Times New Roman" w:hAnsi="Times New Roman" w:cs="Times New Roman"/>
          <w:lang w:val="nb-NO" w:eastAsia="nb-NO"/>
        </w:rPr>
        <w:commentReference w:id="3"/>
      </w:r>
      <w:r w:rsidRPr="00A85AA2">
        <w:rPr>
          <w:rFonts w:ascii="Arial" w:hAnsi="Arial" w:cs="Arial"/>
          <w:sz w:val="20"/>
          <w:szCs w:val="28"/>
        </w:rPr>
        <w:t xml:space="preserve">of 20% mineral soil and 30% organic matter provides the best growth for shallots. </w:t>
      </w:r>
      <w:proofErr w:type="spellStart"/>
      <w:r w:rsidRPr="00A85AA2">
        <w:rPr>
          <w:rFonts w:ascii="Arial" w:hAnsi="Arial" w:cs="Arial"/>
          <w:sz w:val="20"/>
          <w:szCs w:val="28"/>
        </w:rPr>
        <w:t>Ultisol</w:t>
      </w:r>
      <w:proofErr w:type="spellEnd"/>
      <w:r w:rsidRPr="00A85AA2">
        <w:rPr>
          <w:rFonts w:ascii="Arial" w:hAnsi="Arial" w:cs="Arial"/>
          <w:sz w:val="20"/>
          <w:szCs w:val="28"/>
        </w:rPr>
        <w:t xml:space="preserve"> soil, which is rich in clay, is also effective in improving soil structure.</w:t>
      </w:r>
    </w:p>
    <w:p w14:paraId="1D75F953" w14:textId="77777777" w:rsidR="00FE1888" w:rsidRPr="00FE1888" w:rsidRDefault="00A85AA2" w:rsidP="00A85AA2">
      <w:pPr>
        <w:pStyle w:val="ListParagraph"/>
        <w:tabs>
          <w:tab w:val="left" w:pos="3402"/>
        </w:tabs>
        <w:spacing w:line="276" w:lineRule="auto"/>
        <w:ind w:left="0" w:firstLine="567"/>
        <w:jc w:val="both"/>
        <w:rPr>
          <w:rFonts w:ascii="Arial" w:hAnsi="Arial" w:cs="Arial"/>
          <w:sz w:val="20"/>
          <w:szCs w:val="28"/>
        </w:rPr>
      </w:pPr>
      <w:r w:rsidRPr="00A85AA2">
        <w:rPr>
          <w:rFonts w:ascii="Arial" w:hAnsi="Arial" w:cs="Arial"/>
          <w:sz w:val="20"/>
          <w:szCs w:val="28"/>
        </w:rPr>
        <w:t>In addition to mineral soil, organic matter is also important for improving soil fertility. Chicken manure can improve the physical and chemical properties of sandy soil and support</w:t>
      </w:r>
      <w:r>
        <w:rPr>
          <w:rFonts w:ascii="Arial" w:hAnsi="Arial" w:cs="Arial"/>
          <w:sz w:val="20"/>
          <w:szCs w:val="28"/>
        </w:rPr>
        <w:t xml:space="preserve"> plant growth in marginal lands</w:t>
      </w:r>
      <w:r w:rsidRPr="00A85AA2">
        <w:rPr>
          <w:rFonts w:ascii="Arial" w:hAnsi="Arial" w:cs="Arial"/>
          <w:sz w:val="20"/>
          <w:szCs w:val="28"/>
        </w:rPr>
        <w:t xml:space="preserve"> </w:t>
      </w:r>
      <w:commentRangeStart w:id="4"/>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"Prasetyo", "given" : "Aldriany Healty", "non-dropping-particle" : "", "parse-names" : false, "suffix" : "" }, { "dropping-particle" : "", "family" : "Sinaga", "given" : "Lamindo Leonardo", "non-dropping-particle" : "", "parse-names" : false, "suffix" : "" } ], "container-title" : "Jurnal Agroteknosains", "id" : "ITEM-1", "issue" : "01", "issued" : { "date-parts" : [ [ "2017" ] ] }, "page" : "69-77", "title" : "Respon pemberian jenis dan dosis pupuk organik terhadap pertumbuhan dan produksi bawang merah (Allium ascalonicum L.)", "type" : "article-journal", "volume" : "01" }, "uris" : [ "http://www.mendeley.com/documents/?uuid=73233471-eb6a-4103-83cd-7a0a051535c0" ] } ], "mendeley" : { "formattedCitation" : "(Prasetyo &amp; Sinaga, 2017)", "manualFormatting" : "(Prasetyo dan Sinaga, 2017)", "plainTextFormattedCitation" : "(Prasetyo &amp; Sinaga, 2017)", "previouslyFormattedCitation" : "(Prasetyo &amp; Sinaga, 2017)"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(Prasetyo</w:t>
      </w:r>
      <w:r w:rsidR="00D30E25">
        <w:rPr>
          <w:rFonts w:ascii="Arial" w:hAnsi="Arial" w:cs="Arial"/>
          <w:noProof/>
          <w:sz w:val="20"/>
          <w:szCs w:val="28"/>
          <w:lang w:val="id-ID"/>
        </w:rPr>
        <w:t xml:space="preserve"> dan</w:t>
      </w:r>
      <w:r w:rsidR="00D30E25" w:rsidRPr="00D30E25">
        <w:rPr>
          <w:rFonts w:ascii="Arial" w:hAnsi="Arial" w:cs="Arial"/>
          <w:noProof/>
          <w:sz w:val="20"/>
          <w:szCs w:val="28"/>
        </w:rPr>
        <w:t xml:space="preserve"> Sinaga, 2017)</w:t>
      </w:r>
      <w:r w:rsidR="00D30E25">
        <w:rPr>
          <w:rFonts w:ascii="Arial" w:hAnsi="Arial" w:cs="Arial"/>
          <w:sz w:val="20"/>
          <w:szCs w:val="28"/>
        </w:rPr>
        <w:fldChar w:fldCharType="end"/>
      </w:r>
      <w:commentRangeEnd w:id="4"/>
      <w:r w:rsidR="0069309B">
        <w:rPr>
          <w:rStyle w:val="CommentReference"/>
          <w:rFonts w:ascii="Times New Roman" w:eastAsia="Times New Roman" w:hAnsi="Times New Roman" w:cs="Times New Roman"/>
          <w:lang w:val="nb-NO" w:eastAsia="nb-NO"/>
        </w:rPr>
        <w:commentReference w:id="4"/>
      </w:r>
      <w:r w:rsidR="00FE1888" w:rsidRPr="00FE1888">
        <w:rPr>
          <w:rFonts w:ascii="Arial" w:hAnsi="Arial" w:cs="Arial"/>
          <w:sz w:val="20"/>
          <w:szCs w:val="28"/>
        </w:rPr>
        <w:t xml:space="preserve">. </w:t>
      </w:r>
      <w:r w:rsidR="00197832">
        <w:rPr>
          <w:rFonts w:ascii="Arial" w:hAnsi="Arial" w:cs="Arial"/>
          <w:sz w:val="20"/>
          <w:szCs w:val="28"/>
          <w:lang w:val="id-ID"/>
        </w:rPr>
        <w:fldChar w:fldCharType="begin" w:fldLock="1"/>
      </w:r>
      <w:r w:rsidR="00197832">
        <w:rPr>
          <w:rFonts w:ascii="Arial" w:hAnsi="Arial" w:cs="Arial"/>
          <w:sz w:val="20"/>
          <w:szCs w:val="28"/>
          <w:lang w:val="id-ID"/>
        </w:rPr>
        <w:instrText>ADDIN CSL_CITATION { "citationItems" : [ { "id" : "ITEM-1", "itemData" : { "author" : [ { "dropping-particle" : "", "family" : "Rahmah", "given" : "Ashrafida", "non-dropping-particle" : "", "parse-names" : false, "suffix" : "" }, { "dropping-particle" : "", "family" : "Sipayung", "given" : "Rosita", "non-dropping-particle" : "", "parse-names" : false, "suffix" : "" }, { "dropping-particle" : "", "family" : "Simanungkalit", "given" : "Toga", "non-dropping-particle" : "", "parse-names" : false, "suffix" : "" } ], "container-title" : "Jurnal Online Agroekoteknologi", "id" : "ITEM-1", "issue" : "4", "issued" : { "date-parts" : [ [ "2013" ] ] }, "page" : "952-963", "title" : "Pertumbuhan dan Produksi Bawang Merah (Allium ascalonicum L.) Dengan Pemberian Pupuk Kandang Ayam dan Em4 (Effective Microorganisms4)", "type" : "article-journal", "volume" : "1" }, "uris" : [ "http://www.mendeley.com/documents/?uuid=aa7496e7-b0e5-4488-a556-fa46f35f82cf" ] } ], "mendeley" : { "formattedCitation" : "(Rahmah et al., 2013)", "manualFormatting" : "Rahmah et al. (2013)", "plainTextFormattedCitation" : "(Rahmah et al., 2013)", "previouslyFormattedCitation" : "(Rahmah et al., 2013)" }, "properties" : { "noteIndex" : 0 }, "schema" : "https://github.com/citation-style-language/schema/raw/master/csl-citation.json" }</w:instrText>
      </w:r>
      <w:r w:rsidR="00197832">
        <w:rPr>
          <w:rFonts w:ascii="Arial" w:hAnsi="Arial" w:cs="Arial"/>
          <w:sz w:val="20"/>
          <w:szCs w:val="28"/>
          <w:lang w:val="id-ID"/>
        </w:rPr>
        <w:fldChar w:fldCharType="separate"/>
      </w:r>
      <w:r w:rsidR="00197832">
        <w:rPr>
          <w:rFonts w:ascii="Arial" w:hAnsi="Arial" w:cs="Arial"/>
          <w:noProof/>
          <w:sz w:val="20"/>
          <w:szCs w:val="28"/>
          <w:lang w:val="id-ID"/>
        </w:rPr>
        <w:t xml:space="preserve">Rahmah </w:t>
      </w:r>
      <w:r w:rsidR="00197832" w:rsidRPr="00D30E25">
        <w:rPr>
          <w:rFonts w:ascii="Arial" w:hAnsi="Arial" w:cs="Arial"/>
          <w:i/>
          <w:noProof/>
          <w:sz w:val="20"/>
          <w:szCs w:val="28"/>
          <w:lang w:val="id-ID"/>
        </w:rPr>
        <w:t>et</w:t>
      </w:r>
      <w:r w:rsidR="00197832">
        <w:rPr>
          <w:rFonts w:ascii="Arial" w:hAnsi="Arial" w:cs="Arial"/>
          <w:noProof/>
          <w:sz w:val="20"/>
          <w:szCs w:val="28"/>
          <w:lang w:val="id-ID"/>
        </w:rPr>
        <w:t xml:space="preserve"> </w:t>
      </w:r>
      <w:r w:rsidR="00197832" w:rsidRPr="00D30E25">
        <w:rPr>
          <w:rFonts w:ascii="Arial" w:hAnsi="Arial" w:cs="Arial"/>
          <w:i/>
          <w:noProof/>
          <w:sz w:val="20"/>
          <w:szCs w:val="28"/>
          <w:lang w:val="id-ID"/>
        </w:rPr>
        <w:t>al</w:t>
      </w:r>
      <w:r w:rsidR="00197832">
        <w:rPr>
          <w:rFonts w:ascii="Arial" w:hAnsi="Arial" w:cs="Arial"/>
          <w:noProof/>
          <w:sz w:val="20"/>
          <w:szCs w:val="28"/>
          <w:lang w:val="id-ID"/>
        </w:rPr>
        <w:t>. (</w:t>
      </w:r>
      <w:r w:rsidR="00197832" w:rsidRPr="00D30E25">
        <w:rPr>
          <w:rFonts w:ascii="Arial" w:hAnsi="Arial" w:cs="Arial"/>
          <w:noProof/>
          <w:sz w:val="20"/>
          <w:szCs w:val="28"/>
          <w:lang w:val="id-ID"/>
        </w:rPr>
        <w:t>2013)</w:t>
      </w:r>
      <w:r w:rsidR="00197832">
        <w:rPr>
          <w:rFonts w:ascii="Arial" w:hAnsi="Arial" w:cs="Arial"/>
          <w:sz w:val="20"/>
          <w:szCs w:val="28"/>
          <w:lang w:val="id-ID"/>
        </w:rPr>
        <w:fldChar w:fldCharType="end"/>
      </w:r>
      <w:r w:rsidR="00197832" w:rsidRPr="00FE1888">
        <w:rPr>
          <w:rFonts w:ascii="Arial" w:hAnsi="Arial" w:cs="Arial"/>
          <w:sz w:val="20"/>
          <w:szCs w:val="28"/>
        </w:rPr>
        <w:t xml:space="preserve"> </w:t>
      </w:r>
      <w:r w:rsidR="00197832" w:rsidRPr="00A85AA2">
        <w:rPr>
          <w:rFonts w:ascii="Arial" w:hAnsi="Arial" w:cs="Arial"/>
          <w:sz w:val="20"/>
          <w:szCs w:val="28"/>
        </w:rPr>
        <w:t>also found that chicken manure increased plant height, number of shoots, leaves, and tuber weight. Applying 120 g of chicken manure per plant can increase the growth and yield of shallots.</w:t>
      </w:r>
      <w:r w:rsidR="00197832">
        <w:rPr>
          <w:rFonts w:ascii="Arial" w:hAnsi="Arial" w:cs="Arial"/>
          <w:sz w:val="20"/>
          <w:szCs w:val="28"/>
        </w:rPr>
        <w:t xml:space="preserve"> </w:t>
      </w:r>
      <w:r w:rsidRPr="00A85AA2">
        <w:rPr>
          <w:rFonts w:ascii="Arial" w:hAnsi="Arial" w:cs="Arial"/>
          <w:sz w:val="20"/>
          <w:szCs w:val="28"/>
        </w:rPr>
        <w:t>Applying 10 tons/ha of chicken manure can increase shallot production to 10.33 tons/ha</w:t>
      </w:r>
      <w:r>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"Srifatriati", "given" : "", "non-dropping-particle" : "", "parse-names" : false, "suffix" : "" }, { "dropping-particle" : "", "family" : "Ernita", "given" : "Milda", "non-dropping-particle" : "", "parse-names" : false, "suffix" : "" }, { "dropping-particle" : "", "family" : "Mutia", "given" : "Dwi Yopa", "non-dropping-particle" : "", "parse-names" : false, "suffix" : "" } ], "container-title" : "Jurnal embrio", "id" : "ITEM-1", "issue" : "2", "issued" : { "date-parts" : [ [ "2024" ] ] }, "page" : "84-99", "title" : "Pengaruh Pupuk Kandang Ayam dan Tepung Cangkang Kerang Terhadap Pertumbuhan Dan Hasil Tanaman Bawang Merah (Allium ascalonicum L.)", "type" : "article-journal", "volume" : "16" }, "uris" : [ "http://www.mendeley.com/documents/?uuid=eebe6ef2-56db-422e-8e0f-31072922dbba" ] } ], "mendeley" : { "formattedCitation" : "(Srifatriati et al., 2024)", "plainTextFormattedCitation" : "(Srifatriati et al., 2024)", "previouslyFormattedCitation" : "(Srifatriati et al., 2024)"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 xml:space="preserve">(Srifatriati </w:t>
      </w:r>
      <w:r w:rsidR="00D30E25" w:rsidRPr="00B751EA">
        <w:rPr>
          <w:rFonts w:ascii="Arial" w:hAnsi="Arial" w:cs="Arial"/>
          <w:i/>
          <w:noProof/>
          <w:sz w:val="20"/>
          <w:szCs w:val="28"/>
        </w:rPr>
        <w:t>et</w:t>
      </w:r>
      <w:r w:rsidR="00D30E25" w:rsidRPr="00D30E25">
        <w:rPr>
          <w:rFonts w:ascii="Arial" w:hAnsi="Arial" w:cs="Arial"/>
          <w:noProof/>
          <w:sz w:val="20"/>
          <w:szCs w:val="28"/>
        </w:rPr>
        <w:t xml:space="preserve"> </w:t>
      </w:r>
      <w:r w:rsidR="00D30E25" w:rsidRPr="00B751EA">
        <w:rPr>
          <w:rFonts w:ascii="Arial" w:hAnsi="Arial" w:cs="Arial"/>
          <w:i/>
          <w:noProof/>
          <w:sz w:val="20"/>
          <w:szCs w:val="28"/>
        </w:rPr>
        <w:t>al</w:t>
      </w:r>
      <w:r w:rsidR="00D30E25" w:rsidRPr="00D30E25">
        <w:rPr>
          <w:rFonts w:ascii="Arial" w:hAnsi="Arial" w:cs="Arial"/>
          <w:noProof/>
          <w:sz w:val="20"/>
          <w:szCs w:val="28"/>
        </w:rPr>
        <w:t>., 2024)</w:t>
      </w:r>
      <w:r w:rsidR="00D30E25">
        <w:rPr>
          <w:rFonts w:ascii="Arial" w:hAnsi="Arial" w:cs="Arial"/>
          <w:sz w:val="20"/>
          <w:szCs w:val="28"/>
        </w:rPr>
        <w:fldChar w:fldCharType="end"/>
      </w:r>
      <w:r w:rsidR="00D30E25">
        <w:rPr>
          <w:rFonts w:ascii="Arial" w:hAnsi="Arial" w:cs="Arial"/>
          <w:sz w:val="20"/>
          <w:szCs w:val="28"/>
          <w:lang w:val="id-ID"/>
        </w:rPr>
        <w:t xml:space="preserve">. </w:t>
      </w:r>
      <w:r w:rsidRPr="00A85AA2">
        <w:rPr>
          <w:rFonts w:ascii="Arial" w:hAnsi="Arial" w:cs="Arial"/>
          <w:sz w:val="20"/>
          <w:szCs w:val="28"/>
        </w:rPr>
        <w:t>In addition to chicken manure, weeds can also be used to improve soil and increase crop yields.</w:t>
      </w:r>
      <w:r w:rsidR="00FE1888" w:rsidRPr="00FE1888">
        <w:rPr>
          <w:rFonts w:ascii="Arial" w:hAnsi="Arial" w:cs="Arial"/>
          <w:sz w:val="20"/>
          <w:szCs w:val="28"/>
        </w:rPr>
        <w:t xml:space="preserve"> </w:t>
      </w:r>
      <w:r w:rsidRPr="00A85AA2">
        <w:rPr>
          <w:rFonts w:ascii="Arial" w:hAnsi="Arial" w:cs="Arial"/>
          <w:sz w:val="20"/>
          <w:szCs w:val="28"/>
        </w:rPr>
        <w:t xml:space="preserve">Weeds have many benefits in the ecosystem, such as serving as organic material, biofilters, biopesticides, shelters for natural enemies, and raw materials for </w:t>
      </w:r>
      <w:proofErr w:type="spellStart"/>
      <w:r w:rsidRPr="00A85AA2">
        <w:rPr>
          <w:rFonts w:ascii="Arial" w:hAnsi="Arial" w:cs="Arial"/>
          <w:sz w:val="20"/>
          <w:szCs w:val="28"/>
        </w:rPr>
        <w:t>in</w:t>
      </w:r>
      <w:r w:rsidR="00495F7F">
        <w:rPr>
          <w:rFonts w:ascii="Arial" w:hAnsi="Arial" w:cs="Arial"/>
          <w:sz w:val="20"/>
          <w:szCs w:val="28"/>
        </w:rPr>
        <w:t>silt</w:t>
      </w:r>
      <w:r w:rsidRPr="00A85AA2">
        <w:rPr>
          <w:rFonts w:ascii="Arial" w:hAnsi="Arial" w:cs="Arial"/>
          <w:sz w:val="20"/>
          <w:szCs w:val="28"/>
        </w:rPr>
        <w:t>ry</w:t>
      </w:r>
      <w:proofErr w:type="spellEnd"/>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"ISBN" : "9786021520758", "author" : [ { "dropping-particle" : "", "family" : "Mukhlis", "given" : "", "non-dropping-particle" : "", "parse-names" : false, "suffix" : "" }, { "dropping-particle" : "", "family" : "Noor", "given" : "M", "non-dropping-particle" : "", "parse-names" : false, "suffix" : "" }, { "dropping-particle" : "", "family" : "Alwi", "given" : "", "non-dropping-particle" : "", "parse-names" : false, "suffix" : "" }, { "dropping-particle" : "", "family" : "Thamrin", "given" : "", "non-dropping-particle" : "", "parse-names" : false, "suffix" : "" }, { "dropping-particle" : "", "family" : "Nuesyamsi", "given" : "", "non-dropping-particle" : "", "parse-names" : false, "suffix" : "" }, { "dropping-particle" : "", "family" : "Haryono", "given" : "", "non-dropping-particle" : "", "parse-names" : false, "suffix" : "" } ], "id" : "ITEM-1", "issued" : { "date-parts" : [ [ "2014" ] ] }, "number-of-pages" : "98-123", "publisher" : "BIODIVERSITI RAWA", "title" : "Gulma rawa: keragaman, manfaat, dan cara pengelolaannya", "type" : "book" }, "uris" : [ "http://www.mendeley.com/documents/?uuid=319bf44a-2256-4d3f-a9a2-d62859a74b5c" ] } ], "mendeley" : { "formattedCitation" : "(Mukhlis et al., 2014)", "manualFormatting" : " (Mukhlis et al., 2014)", "plainTextFormattedCitation" : "(Mukhlis et al., 2014)", "previouslyFormattedCitation" : "(Mukhlis et al., 2014)" }, "properties" : { "noteIndex" : 0 }, "schema" : "https://github.com/citation-style-language/schema/raw/master/csl-citation.json" }</w:instrText>
      </w:r>
      <w:r w:rsidR="00D30E25">
        <w:rPr>
          <w:rFonts w:ascii="Arial" w:hAnsi="Arial" w:cs="Arial"/>
          <w:sz w:val="20"/>
          <w:szCs w:val="28"/>
        </w:rPr>
        <w:fldChar w:fldCharType="separate"/>
      </w:r>
      <w:r w:rsidR="00D30E25">
        <w:rPr>
          <w:rFonts w:ascii="Arial" w:hAnsi="Arial" w:cs="Arial"/>
          <w:noProof/>
          <w:sz w:val="20"/>
          <w:szCs w:val="28"/>
          <w:lang w:val="id-ID"/>
        </w:rPr>
        <w:t xml:space="preserve"> </w:t>
      </w:r>
      <w:r w:rsidR="00D30E25" w:rsidRPr="00D30E25">
        <w:rPr>
          <w:rFonts w:ascii="Arial" w:hAnsi="Arial" w:cs="Arial"/>
          <w:noProof/>
          <w:sz w:val="20"/>
          <w:szCs w:val="28"/>
        </w:rPr>
        <w:t xml:space="preserve">(Mukhlis </w:t>
      </w:r>
      <w:r w:rsidR="00D30E25" w:rsidRPr="00D30E25">
        <w:rPr>
          <w:rFonts w:ascii="Arial" w:hAnsi="Arial" w:cs="Arial"/>
          <w:i/>
          <w:noProof/>
          <w:sz w:val="20"/>
          <w:szCs w:val="28"/>
        </w:rPr>
        <w:t>et</w:t>
      </w:r>
      <w:r w:rsidR="00D30E25" w:rsidRPr="00D30E25">
        <w:rPr>
          <w:rFonts w:ascii="Arial" w:hAnsi="Arial" w:cs="Arial"/>
          <w:noProof/>
          <w:sz w:val="20"/>
          <w:szCs w:val="28"/>
        </w:rPr>
        <w:t xml:space="preserve"> </w:t>
      </w:r>
      <w:r w:rsidR="00D30E25" w:rsidRPr="00D30E25">
        <w:rPr>
          <w:rFonts w:ascii="Arial" w:hAnsi="Arial" w:cs="Arial"/>
          <w:i/>
          <w:noProof/>
          <w:sz w:val="20"/>
          <w:szCs w:val="28"/>
        </w:rPr>
        <w:t>al</w:t>
      </w:r>
      <w:r w:rsidR="00D30E25" w:rsidRPr="00D30E25">
        <w:rPr>
          <w:rFonts w:ascii="Arial" w:hAnsi="Arial" w:cs="Arial"/>
          <w:noProof/>
          <w:sz w:val="20"/>
          <w:szCs w:val="28"/>
        </w:rPr>
        <w:t>., 2014)</w:t>
      </w:r>
      <w:r w:rsidR="00D30E25">
        <w:rPr>
          <w:rFonts w:ascii="Arial" w:hAnsi="Arial" w:cs="Arial"/>
          <w:sz w:val="20"/>
          <w:szCs w:val="28"/>
        </w:rPr>
        <w:fldChar w:fldCharType="end"/>
      </w:r>
      <w:r w:rsidR="00D30E25">
        <w:rPr>
          <w:rFonts w:ascii="Arial" w:hAnsi="Arial" w:cs="Arial"/>
          <w:sz w:val="20"/>
          <w:szCs w:val="28"/>
          <w:lang w:val="id-ID"/>
        </w:rPr>
        <w:t xml:space="preserve">. </w:t>
      </w:r>
      <w:r w:rsidRPr="00A85AA2">
        <w:rPr>
          <w:rFonts w:ascii="Arial" w:hAnsi="Arial" w:cs="Arial"/>
          <w:sz w:val="20"/>
          <w:szCs w:val="28"/>
        </w:rPr>
        <w:t>Weed biomass can be used as an ameliorant to improve soil fertility. The selected weed species should contain high levels of N, P, and K nutrients</w:t>
      </w:r>
      <w:commentRangeStart w:id="5"/>
      <w:r w:rsidRPr="00A85AA2">
        <w:rPr>
          <w:rFonts w:ascii="Arial" w:hAnsi="Arial" w:cs="Arial"/>
          <w:sz w:val="20"/>
          <w:szCs w:val="28"/>
        </w:rPr>
        <w:t>.</w:t>
      </w:r>
      <w:commentRangeEnd w:id="5"/>
      <w:r w:rsidR="0069309B">
        <w:rPr>
          <w:rStyle w:val="CommentReference"/>
          <w:rFonts w:ascii="Times New Roman" w:eastAsia="Times New Roman" w:hAnsi="Times New Roman" w:cs="Times New Roman"/>
          <w:lang w:val="nb-NO" w:eastAsia="nb-NO"/>
        </w:rPr>
        <w:commentReference w:id="5"/>
      </w:r>
      <w:r w:rsidRPr="00A85AA2">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"Bau", "given" : "Agnesia Nadia", "non-dropping-particle" : "", "parse-names" : false, "suffix" : "" }, { "dropping-particle" : "", "family" : "Mendonca", "given" : "Anagin M", "non-dropping-particle" : "", "parse-names" : false, "suffix" : "" }, { "dropping-particle" : "", "family" : "Dabe", "given" : "Fenny", "non-dropping-particle" : "", "parse-names" : false, "suffix" : "" }, { "dropping-particle" : "", "family" : "Kiuk", "given" : "Yosni", "non-dropping-particle" : "", "parse-names" : false, "suffix" : "" } ], "container-title" : "Prosiding Seminar Nasional Kontribusi", "id" : "ITEM-1", "issued" : { "date-parts" : [ [ "2024" ] ] }, "page" : "11-15", "publisher-place" : "Belu", "title" : "Identifikasi Dan Pemanfaatan Gulma Pada Lahan Pusat Pelatihan Pertanian Dan Pedesaan Swadaya (P4S) GS Organik Kupang", "type" : "paper-conference" }, "uris" : [ "http://www.mendeley.com/documents/?uuid=6174fdd9-0e97-400d-b654-c417a23b0762" ] } ], "mendeley" : { "formattedCitation" : "(Bau et al., 2024)", "plainTextFormattedCitation" : "(Bau et al., 2024)", "previouslyFormattedCitation" : "(Bau et al., 2024)"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 xml:space="preserve">(Bau </w:t>
      </w:r>
      <w:r w:rsidR="00D30E25" w:rsidRPr="00D30E25">
        <w:rPr>
          <w:rFonts w:ascii="Arial" w:hAnsi="Arial" w:cs="Arial"/>
          <w:i/>
          <w:noProof/>
          <w:sz w:val="20"/>
          <w:szCs w:val="28"/>
        </w:rPr>
        <w:t>et</w:t>
      </w:r>
      <w:r w:rsidR="00D30E25" w:rsidRPr="00D30E25">
        <w:rPr>
          <w:rFonts w:ascii="Arial" w:hAnsi="Arial" w:cs="Arial"/>
          <w:noProof/>
          <w:sz w:val="20"/>
          <w:szCs w:val="28"/>
        </w:rPr>
        <w:t xml:space="preserve"> </w:t>
      </w:r>
      <w:r w:rsidR="00D30E25" w:rsidRPr="00D30E25">
        <w:rPr>
          <w:rFonts w:ascii="Arial" w:hAnsi="Arial" w:cs="Arial"/>
          <w:i/>
          <w:noProof/>
          <w:sz w:val="20"/>
          <w:szCs w:val="28"/>
        </w:rPr>
        <w:t>al</w:t>
      </w:r>
      <w:r w:rsidR="00D30E25" w:rsidRPr="00D30E25">
        <w:rPr>
          <w:rFonts w:ascii="Arial" w:hAnsi="Arial" w:cs="Arial"/>
          <w:noProof/>
          <w:sz w:val="20"/>
          <w:szCs w:val="28"/>
        </w:rPr>
        <w:t>., 2024)</w:t>
      </w:r>
      <w:r w:rsidR="00D30E25">
        <w:rPr>
          <w:rFonts w:ascii="Arial" w:hAnsi="Arial" w:cs="Arial"/>
          <w:sz w:val="20"/>
          <w:szCs w:val="28"/>
        </w:rPr>
        <w:fldChar w:fldCharType="end"/>
      </w:r>
      <w:r w:rsidR="00D30E25">
        <w:rPr>
          <w:rFonts w:ascii="Arial" w:hAnsi="Arial" w:cs="Arial"/>
          <w:sz w:val="20"/>
          <w:szCs w:val="28"/>
          <w:lang w:val="id-ID"/>
        </w:rPr>
        <w:t>.</w:t>
      </w:r>
      <w:r w:rsidR="00FE1888" w:rsidRPr="00FE1888">
        <w:rPr>
          <w:rFonts w:ascii="Arial" w:hAnsi="Arial" w:cs="Arial"/>
          <w:sz w:val="20"/>
          <w:szCs w:val="28"/>
        </w:rPr>
        <w:t xml:space="preserve"> </w:t>
      </w:r>
      <w:r w:rsidRPr="00A85AA2">
        <w:rPr>
          <w:rFonts w:ascii="Arial" w:hAnsi="Arial" w:cs="Arial"/>
          <w:sz w:val="20"/>
          <w:szCs w:val="28"/>
        </w:rPr>
        <w:t xml:space="preserve">The use of soil amendments, such as broadleaf weed compost and clay soil, significantly improves soil structure as well as the growth parameters and yield of shallots. As a result, shallot productivity in a growing medium with a composition of (76%) </w:t>
      </w:r>
      <w:proofErr w:type="spellStart"/>
      <w:r w:rsidRPr="00A85AA2">
        <w:rPr>
          <w:rFonts w:ascii="Arial" w:hAnsi="Arial" w:cs="Arial"/>
          <w:sz w:val="20"/>
          <w:szCs w:val="28"/>
        </w:rPr>
        <w:t>Entisols</w:t>
      </w:r>
      <w:proofErr w:type="spellEnd"/>
      <w:r w:rsidRPr="00A85AA2">
        <w:rPr>
          <w:rFonts w:ascii="Arial" w:hAnsi="Arial" w:cs="Arial"/>
          <w:sz w:val="20"/>
          <w:szCs w:val="28"/>
        </w:rPr>
        <w:t xml:space="preserve"> + (13%) Clay + (11%) weed compost is higher than in a growing medium without soil ameliorants</w:t>
      </w:r>
      <w:r>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"plainTextFormattedCitation" : "(Nurjanah et al., 2024)", "previouslyFormattedCitation" : "(Nurjanah et al., 2024)"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 xml:space="preserve">(Nurjanah </w:t>
      </w:r>
      <w:r w:rsidR="00D30E25" w:rsidRPr="00D30E25">
        <w:rPr>
          <w:rFonts w:ascii="Arial" w:hAnsi="Arial" w:cs="Arial"/>
          <w:i/>
          <w:noProof/>
          <w:sz w:val="20"/>
          <w:szCs w:val="28"/>
        </w:rPr>
        <w:t>et</w:t>
      </w:r>
      <w:r w:rsidR="00D30E25" w:rsidRPr="00D30E25">
        <w:rPr>
          <w:rFonts w:ascii="Arial" w:hAnsi="Arial" w:cs="Arial"/>
          <w:noProof/>
          <w:sz w:val="20"/>
          <w:szCs w:val="28"/>
        </w:rPr>
        <w:t xml:space="preserve"> </w:t>
      </w:r>
      <w:r w:rsidR="00D30E25" w:rsidRPr="00D30E25">
        <w:rPr>
          <w:rFonts w:ascii="Arial" w:hAnsi="Arial" w:cs="Arial"/>
          <w:i/>
          <w:noProof/>
          <w:sz w:val="20"/>
          <w:szCs w:val="28"/>
        </w:rPr>
        <w:t>al</w:t>
      </w:r>
      <w:r w:rsidR="00D30E25" w:rsidRPr="00D30E25">
        <w:rPr>
          <w:rFonts w:ascii="Arial" w:hAnsi="Arial" w:cs="Arial"/>
          <w:noProof/>
          <w:sz w:val="20"/>
          <w:szCs w:val="28"/>
        </w:rPr>
        <w:t>., 2024)</w:t>
      </w:r>
      <w:r w:rsidR="00D30E25">
        <w:rPr>
          <w:rFonts w:ascii="Arial" w:hAnsi="Arial" w:cs="Arial"/>
          <w:sz w:val="20"/>
          <w:szCs w:val="28"/>
        </w:rPr>
        <w:fldChar w:fldCharType="end"/>
      </w:r>
      <w:r w:rsidR="00FE1888" w:rsidRPr="00FE1888">
        <w:rPr>
          <w:rFonts w:ascii="Arial" w:hAnsi="Arial" w:cs="Arial"/>
          <w:sz w:val="20"/>
          <w:szCs w:val="28"/>
        </w:rPr>
        <w:t>.</w:t>
      </w:r>
    </w:p>
    <w:p w14:paraId="51EAA1EB" w14:textId="77777777" w:rsidR="00B47600" w:rsidRPr="00B47600" w:rsidRDefault="00A85AA2" w:rsidP="00B47600">
      <w:pPr>
        <w:pStyle w:val="ListParagraph"/>
        <w:tabs>
          <w:tab w:val="left" w:pos="3402"/>
        </w:tabs>
        <w:spacing w:line="276" w:lineRule="auto"/>
        <w:ind w:left="0" w:firstLine="567"/>
        <w:jc w:val="both"/>
        <w:rPr>
          <w:rFonts w:ascii="Arial" w:hAnsi="Arial" w:cs="Arial"/>
          <w:sz w:val="20"/>
          <w:szCs w:val="28"/>
        </w:rPr>
      </w:pPr>
      <w:commentRangeStart w:id="6"/>
      <w:r w:rsidRPr="00A85AA2">
        <w:rPr>
          <w:rFonts w:ascii="Arial" w:hAnsi="Arial" w:cs="Arial"/>
          <w:sz w:val="20"/>
          <w:szCs w:val="28"/>
        </w:rPr>
        <w:t>Based on the results of the study</w:t>
      </w:r>
      <w:r w:rsidR="00FE1888" w:rsidRPr="00FE1888">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"Wulandari", "given" : "Retno", "non-dropping-particle" : "", "parse-names" : false, "suffix" : "" } ], "id" : "ITEM-1", "issued" : { "date-parts" : [ [ "2023" ] ] }, "publisher" : "Universitas Bengkulu", "title" : "Pertumbuhan Dan Hasil Tiga Varietas Bawang Merah Pada Komposisi Media Pasir", "type" : "thesis" }, "uris" : [ "http://www.mendeley.com/documents/?uuid=67c982ba-9779-42ec-8c9f-bc5b3c4cf357" ] } ], "mendeley" : { "formattedCitation" : "(Wulandari, 2023)", "manualFormatting" : "Wulandari (2023)", "plainTextFormattedCitation" : "(Wulandari, 2023)", "previouslyFormattedCitation" : "(Wulandari, 2023)" }, "properties" : { "noteIndex" : 0 }, "schema" : "https://github.com/citation-style-language/schema/raw/master/csl-citation.json" }</w:instrText>
      </w:r>
      <w:r w:rsidR="00D30E25">
        <w:rPr>
          <w:rFonts w:ascii="Arial" w:hAnsi="Arial" w:cs="Arial"/>
          <w:sz w:val="20"/>
          <w:szCs w:val="28"/>
        </w:rPr>
        <w:fldChar w:fldCharType="separate"/>
      </w:r>
      <w:r w:rsidR="00D30E25">
        <w:rPr>
          <w:rFonts w:ascii="Arial" w:hAnsi="Arial" w:cs="Arial"/>
          <w:noProof/>
          <w:sz w:val="20"/>
          <w:szCs w:val="28"/>
        </w:rPr>
        <w:t>Wulandari</w:t>
      </w:r>
      <w:r w:rsidR="00D30E25">
        <w:rPr>
          <w:rFonts w:ascii="Arial" w:hAnsi="Arial" w:cs="Arial"/>
          <w:noProof/>
          <w:sz w:val="20"/>
          <w:szCs w:val="28"/>
          <w:lang w:val="id-ID"/>
        </w:rPr>
        <w:t xml:space="preserve"> (</w:t>
      </w:r>
      <w:r w:rsidR="00D30E25" w:rsidRPr="00D30E25">
        <w:rPr>
          <w:rFonts w:ascii="Arial" w:hAnsi="Arial" w:cs="Arial"/>
          <w:noProof/>
          <w:sz w:val="20"/>
          <w:szCs w:val="28"/>
        </w:rPr>
        <w:t>2023)</w:t>
      </w:r>
      <w:r w:rsidR="00D30E25">
        <w:rPr>
          <w:rFonts w:ascii="Arial" w:hAnsi="Arial" w:cs="Arial"/>
          <w:sz w:val="20"/>
          <w:szCs w:val="28"/>
        </w:rPr>
        <w:fldChar w:fldCharType="end"/>
      </w:r>
      <w:r w:rsidR="00D30E25">
        <w:rPr>
          <w:rFonts w:ascii="Arial" w:hAnsi="Arial" w:cs="Arial"/>
          <w:sz w:val="20"/>
          <w:szCs w:val="28"/>
          <w:lang w:val="id-ID"/>
        </w:rPr>
        <w:t xml:space="preserve"> </w:t>
      </w:r>
      <w:r w:rsidR="00BC5279" w:rsidRPr="00BC5279">
        <w:rPr>
          <w:rFonts w:ascii="Arial" w:hAnsi="Arial" w:cs="Arial"/>
          <w:sz w:val="20"/>
          <w:szCs w:val="28"/>
        </w:rPr>
        <w:t xml:space="preserve">on the growth and yield of three varieties of shallots using sand as a medium, the compositions studied were (100%) sandy soil, (84%) sandy soil + (9%)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(7%) weed compost, (76%) sandy soil + (13%)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(11%) weed compost, (74%) sandy soil + (15%)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(13%) weed compost.</w:t>
      </w:r>
      <w:commentRangeEnd w:id="6"/>
      <w:r w:rsidR="0069309B">
        <w:rPr>
          <w:rStyle w:val="CommentReference"/>
          <w:rFonts w:ascii="Times New Roman" w:eastAsia="Times New Roman" w:hAnsi="Times New Roman" w:cs="Times New Roman"/>
          <w:lang w:val="nb-NO" w:eastAsia="nb-NO"/>
        </w:rPr>
        <w:commentReference w:id="6"/>
      </w:r>
      <w:r w:rsidR="00BC5279" w:rsidRPr="00BC5279">
        <w:rPr>
          <w:rFonts w:ascii="Arial" w:hAnsi="Arial" w:cs="Arial"/>
          <w:sz w:val="20"/>
          <w:szCs w:val="28"/>
        </w:rPr>
        <w:t xml:space="preserve"> </w:t>
      </w:r>
      <w:commentRangeStart w:id="7"/>
      <w:r w:rsidR="00BC5279" w:rsidRPr="00BC5279">
        <w:rPr>
          <w:rFonts w:ascii="Arial" w:hAnsi="Arial" w:cs="Arial"/>
          <w:sz w:val="20"/>
          <w:szCs w:val="28"/>
        </w:rPr>
        <w:t xml:space="preserve">The best dry bulb weight was obtained by the Super Philip variety with a medium composition of (76%) sandy soil + (13%)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(11%) weed compost, which was 65.72 g, equivalent to 25.8 tons/ha. </w:t>
      </w:r>
      <w:commentRangeEnd w:id="7"/>
      <w:r w:rsidR="00445E18">
        <w:rPr>
          <w:rStyle w:val="CommentReference"/>
          <w:rFonts w:ascii="Times New Roman" w:eastAsia="Times New Roman" w:hAnsi="Times New Roman" w:cs="Times New Roman"/>
          <w:lang w:val="nb-NO" w:eastAsia="nb-NO"/>
        </w:rPr>
        <w:commentReference w:id="7"/>
      </w:r>
      <w:r w:rsidR="00BC5279" w:rsidRPr="00BC5279">
        <w:rPr>
          <w:rFonts w:ascii="Arial" w:hAnsi="Arial" w:cs="Arial"/>
          <w:sz w:val="20"/>
          <w:szCs w:val="28"/>
        </w:rPr>
        <w:t xml:space="preserve">This composition also produced the lowest bulb weight loss and was better than (100%) sandy soil. The optimal composition for improving sandy soil and enhancing shallot growth is (84%) sandy soil + (9%)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(7%) weed compost. </w:t>
      </w:r>
      <w:r w:rsidR="00B47600" w:rsidRPr="00B47600">
        <w:rPr>
          <w:rFonts w:ascii="Arial" w:hAnsi="Arial" w:cs="Arial"/>
          <w:sz w:val="20"/>
          <w:szCs w:val="28"/>
        </w:rPr>
        <w:t>These findings prove that the addition of soil amendments such as weed compost, mineral soil, and chicken manure can increase productivity by improving the physical and chemical properties of the soil. Therefore, field trials are needed to determine the optimal soil amendment composition for improving the growth and yield of shallots and to evaluate the effectiveness of weed compost compared to chicken manure compost on the growth and yield of shallots.</w:t>
      </w:r>
    </w:p>
    <w:p w14:paraId="31529A20" w14:textId="77777777" w:rsidR="00F81B4F" w:rsidRDefault="00F81B4F" w:rsidP="00F81B4F">
      <w:pPr>
        <w:pStyle w:val="AbstHead"/>
        <w:spacing w:after="0"/>
        <w:jc w:val="both"/>
        <w:rPr>
          <w:rFonts w:ascii="Arial" w:hAnsi="Arial" w:cs="Arial"/>
          <w:lang w:val="id-ID"/>
        </w:rPr>
      </w:pPr>
      <w:r>
        <w:rPr>
          <w:rFonts w:ascii="Arial" w:hAnsi="Arial" w:cs="Arial"/>
          <w:lang w:val="id-ID"/>
        </w:rPr>
        <w:t xml:space="preserve">2. </w:t>
      </w:r>
      <w:r w:rsidR="00733132" w:rsidRPr="00733132">
        <w:rPr>
          <w:rFonts w:ascii="Arial" w:hAnsi="Arial" w:cs="Arial"/>
          <w:lang w:val="id-ID"/>
        </w:rPr>
        <w:t>MATERIALS AND METHODS</w:t>
      </w:r>
    </w:p>
    <w:p w14:paraId="48EF8ABA" w14:textId="77777777" w:rsidR="00733132" w:rsidRDefault="00F81B4F" w:rsidP="00733132">
      <w:pPr>
        <w:tabs>
          <w:tab w:val="left" w:pos="851"/>
          <w:tab w:val="left" w:pos="1560"/>
        </w:tabs>
        <w:spacing w:line="276" w:lineRule="auto"/>
        <w:jc w:val="both"/>
        <w:rPr>
          <w:rFonts w:ascii="Arial" w:hAnsi="Arial" w:cs="Arial"/>
          <w:b/>
          <w:color w:val="000000"/>
          <w:sz w:val="22"/>
        </w:rPr>
      </w:pPr>
      <w:r>
        <w:rPr>
          <w:rFonts w:ascii="Arial" w:hAnsi="Arial" w:cs="Arial"/>
          <w:b/>
          <w:color w:val="000000"/>
          <w:sz w:val="22"/>
          <w:lang w:val="id-ID"/>
        </w:rPr>
        <w:t xml:space="preserve">2.1 </w:t>
      </w:r>
      <w:r w:rsidR="00733132" w:rsidRPr="00733132">
        <w:rPr>
          <w:rFonts w:ascii="Arial" w:hAnsi="Arial" w:cs="Arial"/>
          <w:b/>
          <w:color w:val="000000"/>
          <w:sz w:val="22"/>
          <w:lang w:val="id-ID"/>
        </w:rPr>
        <w:t>Time, Location, and Research Design</w:t>
      </w:r>
    </w:p>
    <w:p w14:paraId="28A9D7E4" w14:textId="77777777" w:rsidR="00F81B4F" w:rsidRDefault="00F37C8E" w:rsidP="00733132">
      <w:pPr>
        <w:tabs>
          <w:tab w:val="left" w:pos="567"/>
          <w:tab w:val="left" w:pos="1560"/>
        </w:tabs>
        <w:spacing w:line="276" w:lineRule="auto"/>
        <w:jc w:val="both"/>
        <w:rPr>
          <w:rFonts w:ascii="Arial" w:hAnsi="Arial" w:cs="Arial"/>
          <w:color w:val="000000"/>
        </w:rPr>
      </w:pPr>
      <w:r>
        <w:rPr>
          <w:rFonts w:ascii="Arial" w:hAnsi="Arial" w:cs="Arial"/>
          <w:color w:val="000000"/>
        </w:rPr>
        <w:lastRenderedPageBreak/>
        <w:tab/>
      </w:r>
      <w:r w:rsidR="00733132" w:rsidRPr="00733132">
        <w:rPr>
          <w:rFonts w:ascii="Arial" w:hAnsi="Arial" w:cs="Arial"/>
          <w:color w:val="000000"/>
        </w:rPr>
        <w:t xml:space="preserve">This study was conducted from June 2025 to September 2025. The research location was in Sungai Hitam, </w:t>
      </w:r>
      <w:proofErr w:type="spellStart"/>
      <w:r w:rsidR="00733132" w:rsidRPr="00733132">
        <w:rPr>
          <w:rFonts w:ascii="Arial" w:hAnsi="Arial" w:cs="Arial"/>
          <w:color w:val="000000"/>
        </w:rPr>
        <w:t>Beringin</w:t>
      </w:r>
      <w:proofErr w:type="spellEnd"/>
      <w:r w:rsidR="00733132" w:rsidRPr="00733132">
        <w:rPr>
          <w:rFonts w:ascii="Arial" w:hAnsi="Arial" w:cs="Arial"/>
          <w:color w:val="000000"/>
        </w:rPr>
        <w:t xml:space="preserve"> Raya Village, Muara </w:t>
      </w:r>
      <w:proofErr w:type="spellStart"/>
      <w:r w:rsidR="00733132" w:rsidRPr="00733132">
        <w:rPr>
          <w:rFonts w:ascii="Arial" w:hAnsi="Arial" w:cs="Arial"/>
          <w:color w:val="000000"/>
        </w:rPr>
        <w:t>Bangkahulu</w:t>
      </w:r>
      <w:proofErr w:type="spellEnd"/>
      <w:r w:rsidR="00733132" w:rsidRPr="00733132">
        <w:rPr>
          <w:rFonts w:ascii="Arial" w:hAnsi="Arial" w:cs="Arial"/>
          <w:color w:val="000000"/>
        </w:rPr>
        <w:t xml:space="preserve"> District, Bengkulu City, Indonesia, at an altitude of ± 10 meters above sea level. The study was conducted using a completely randomized block design (CRBD) with one independent variable, consisting of seven treatment levels, namely P</w:t>
      </w:r>
      <w:r w:rsidR="00733132" w:rsidRPr="005245BB">
        <w:rPr>
          <w:rFonts w:ascii="Arial" w:hAnsi="Arial" w:cs="Arial"/>
          <w:color w:val="000000"/>
          <w:vertAlign w:val="subscript"/>
        </w:rPr>
        <w:t>0</w:t>
      </w:r>
      <w:r w:rsidR="00733132" w:rsidRPr="00733132">
        <w:rPr>
          <w:rFonts w:ascii="Arial" w:hAnsi="Arial" w:cs="Arial"/>
          <w:color w:val="000000"/>
        </w:rPr>
        <w:t xml:space="preserve"> (220 kg of sandy soil), P</w:t>
      </w:r>
      <w:r w:rsidR="00733132" w:rsidRPr="005245BB">
        <w:rPr>
          <w:rFonts w:ascii="Arial" w:hAnsi="Arial" w:cs="Arial"/>
          <w:color w:val="000000"/>
          <w:vertAlign w:val="subscript"/>
        </w:rPr>
        <w:t>1</w:t>
      </w:r>
      <w:r w:rsidR="00733132" w:rsidRPr="00733132">
        <w:rPr>
          <w:rFonts w:ascii="Arial" w:hAnsi="Arial" w:cs="Arial"/>
          <w:color w:val="000000"/>
        </w:rPr>
        <w:t xml:space="preserve"> (220 kg of sandy soil + 20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+ 10 kg of weed ameliorant), P</w:t>
      </w:r>
      <w:r w:rsidR="00733132" w:rsidRPr="005245BB">
        <w:rPr>
          <w:rFonts w:ascii="Arial" w:hAnsi="Arial" w:cs="Arial"/>
          <w:color w:val="000000"/>
          <w:vertAlign w:val="subscript"/>
        </w:rPr>
        <w:t>2</w:t>
      </w:r>
      <w:r w:rsidR="00733132" w:rsidRPr="00733132">
        <w:rPr>
          <w:rFonts w:ascii="Arial" w:hAnsi="Arial" w:cs="Arial"/>
          <w:color w:val="000000"/>
        </w:rPr>
        <w:t xml:space="preserve"> (220 kg of sandy soil + 20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+ 10 kg of chicken manure), P</w:t>
      </w:r>
      <w:r w:rsidR="00733132" w:rsidRPr="005245BB">
        <w:rPr>
          <w:rFonts w:ascii="Arial" w:hAnsi="Arial" w:cs="Arial"/>
          <w:color w:val="000000"/>
          <w:vertAlign w:val="subscript"/>
        </w:rPr>
        <w:t>3</w:t>
      </w:r>
      <w:r w:rsidR="00733132" w:rsidRPr="00733132">
        <w:rPr>
          <w:rFonts w:ascii="Arial" w:hAnsi="Arial" w:cs="Arial"/>
          <w:color w:val="000000"/>
        </w:rPr>
        <w:t xml:space="preserve"> (220 kg of sandy soil + 30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+ 20 kg of weed ameliorant), P</w:t>
      </w:r>
      <w:r w:rsidR="00733132" w:rsidRPr="005245BB">
        <w:rPr>
          <w:rFonts w:ascii="Arial" w:hAnsi="Arial" w:cs="Arial"/>
          <w:color w:val="000000"/>
          <w:vertAlign w:val="subscript"/>
        </w:rPr>
        <w:t>4</w:t>
      </w:r>
      <w:r w:rsidR="00733132" w:rsidRPr="00733132">
        <w:rPr>
          <w:rFonts w:ascii="Arial" w:hAnsi="Arial" w:cs="Arial"/>
          <w:color w:val="000000"/>
        </w:rPr>
        <w:t xml:space="preserve"> (220 kg of sandy soil + 30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+ 20 kg of chicken manure), P</w:t>
      </w:r>
      <w:r w:rsidR="00733132" w:rsidRPr="005245BB">
        <w:rPr>
          <w:rFonts w:ascii="Arial" w:hAnsi="Arial" w:cs="Arial"/>
          <w:color w:val="000000"/>
          <w:vertAlign w:val="subscript"/>
        </w:rPr>
        <w:t>5</w:t>
      </w:r>
      <w:r w:rsidR="00733132" w:rsidRPr="00733132">
        <w:rPr>
          <w:rFonts w:ascii="Arial" w:hAnsi="Arial" w:cs="Arial"/>
          <w:color w:val="000000"/>
        </w:rPr>
        <w:t xml:space="preserve"> (220 kg of sandy soil + 40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+ 30 kg of weed ameliorant), P</w:t>
      </w:r>
      <w:r w:rsidR="00733132" w:rsidRPr="005245BB">
        <w:rPr>
          <w:rFonts w:ascii="Arial" w:hAnsi="Arial" w:cs="Arial"/>
          <w:color w:val="000000"/>
          <w:vertAlign w:val="subscript"/>
        </w:rPr>
        <w:t>6</w:t>
      </w:r>
      <w:r w:rsidR="00733132" w:rsidRPr="00733132">
        <w:rPr>
          <w:rFonts w:ascii="Arial" w:hAnsi="Arial" w:cs="Arial"/>
          <w:color w:val="000000"/>
        </w:rPr>
        <w:t xml:space="preserve"> (220 kg of sandy soil + 40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+ 30 kg of chicken manure). Each treatment </w:t>
      </w:r>
      <w:commentRangeStart w:id="8"/>
      <w:r w:rsidR="00733132" w:rsidRPr="00733132">
        <w:rPr>
          <w:rFonts w:ascii="Arial" w:hAnsi="Arial" w:cs="Arial"/>
          <w:color w:val="000000"/>
        </w:rPr>
        <w:t xml:space="preserve">will be </w:t>
      </w:r>
      <w:commentRangeEnd w:id="8"/>
      <w:r w:rsidR="00445E18">
        <w:rPr>
          <w:rStyle w:val="CommentReference"/>
          <w:rFonts w:ascii="Times New Roman" w:hAnsi="Times New Roman"/>
          <w:lang w:val="nb-NO" w:eastAsia="nb-NO"/>
        </w:rPr>
        <w:commentReference w:id="8"/>
      </w:r>
      <w:r w:rsidR="00733132" w:rsidRPr="00733132">
        <w:rPr>
          <w:rFonts w:ascii="Arial" w:hAnsi="Arial" w:cs="Arial"/>
          <w:color w:val="000000"/>
        </w:rPr>
        <w:t xml:space="preserve">repeated 3 times, resulting in 21 experimental plots. </w:t>
      </w:r>
      <w:commentRangeStart w:id="9"/>
      <w:r w:rsidR="00733132" w:rsidRPr="00733132">
        <w:rPr>
          <w:rFonts w:ascii="Arial" w:hAnsi="Arial" w:cs="Arial"/>
          <w:color w:val="000000"/>
        </w:rPr>
        <w:t>There are 25 plants in each plot</w:t>
      </w:r>
      <w:commentRangeEnd w:id="9"/>
      <w:r w:rsidR="002F1CC3">
        <w:rPr>
          <w:rStyle w:val="CommentReference"/>
          <w:rFonts w:ascii="Times New Roman" w:hAnsi="Times New Roman"/>
          <w:lang w:val="nb-NO" w:eastAsia="nb-NO"/>
        </w:rPr>
        <w:commentReference w:id="9"/>
      </w:r>
      <w:r w:rsidR="00733132" w:rsidRPr="00733132">
        <w:rPr>
          <w:rFonts w:ascii="Arial" w:hAnsi="Arial" w:cs="Arial"/>
          <w:color w:val="000000"/>
        </w:rPr>
        <w:t xml:space="preserve">. </w:t>
      </w:r>
      <w:commentRangeStart w:id="10"/>
      <w:r w:rsidR="00733132" w:rsidRPr="00733132">
        <w:rPr>
          <w:rFonts w:ascii="Arial" w:hAnsi="Arial" w:cs="Arial"/>
          <w:color w:val="000000"/>
        </w:rPr>
        <w:t>The number of plants sampled is 20% of the total population, so there are 5 samples in each plot.</w:t>
      </w:r>
      <w:commentRangeEnd w:id="10"/>
      <w:r w:rsidR="002F1CC3">
        <w:rPr>
          <w:rStyle w:val="CommentReference"/>
          <w:rFonts w:ascii="Times New Roman" w:hAnsi="Times New Roman"/>
          <w:lang w:val="nb-NO" w:eastAsia="nb-NO"/>
        </w:rPr>
        <w:commentReference w:id="10"/>
      </w:r>
    </w:p>
    <w:p w14:paraId="16CC02E6" w14:textId="77777777" w:rsidR="00386303" w:rsidRPr="007005A7" w:rsidRDefault="00386303" w:rsidP="009D1BAD">
      <w:pPr>
        <w:pBdr>
          <w:top w:val="nil"/>
          <w:left w:val="nil"/>
          <w:bottom w:val="nil"/>
          <w:right w:val="nil"/>
          <w:between w:val="nil"/>
        </w:pBdr>
        <w:tabs>
          <w:tab w:val="left" w:pos="851"/>
        </w:tabs>
        <w:spacing w:line="276" w:lineRule="auto"/>
        <w:jc w:val="both"/>
        <w:rPr>
          <w:rFonts w:ascii="Arial" w:hAnsi="Arial" w:cs="Arial"/>
          <w:b/>
          <w:color w:val="000000"/>
        </w:rPr>
      </w:pPr>
      <w:r w:rsidRPr="007005A7">
        <w:rPr>
          <w:rFonts w:ascii="Arial" w:hAnsi="Arial" w:cs="Arial"/>
          <w:b/>
          <w:color w:val="000000"/>
          <w:sz w:val="22"/>
        </w:rPr>
        <w:t xml:space="preserve">2.2 </w:t>
      </w:r>
      <w:r w:rsidR="00733132" w:rsidRPr="00733132">
        <w:rPr>
          <w:rFonts w:ascii="Arial" w:hAnsi="Arial" w:cs="Arial"/>
          <w:b/>
          <w:color w:val="000000"/>
          <w:sz w:val="22"/>
        </w:rPr>
        <w:t>Research Stage</w:t>
      </w:r>
    </w:p>
    <w:p w14:paraId="2B97E675" w14:textId="77777777" w:rsidR="00386303" w:rsidRPr="007005A7" w:rsidRDefault="0085192E" w:rsidP="009D1BAD">
      <w:pPr>
        <w:pBdr>
          <w:top w:val="nil"/>
          <w:left w:val="nil"/>
          <w:bottom w:val="nil"/>
          <w:right w:val="nil"/>
          <w:between w:val="nil"/>
        </w:pBdr>
        <w:tabs>
          <w:tab w:val="left" w:pos="851"/>
        </w:tabs>
        <w:spacing w:line="276" w:lineRule="auto"/>
        <w:jc w:val="both"/>
        <w:rPr>
          <w:rFonts w:ascii="Arial" w:hAnsi="Arial" w:cs="Arial"/>
          <w:b/>
          <w:color w:val="000000"/>
        </w:rPr>
      </w:pPr>
      <w:r>
        <w:rPr>
          <w:rFonts w:ascii="Arial" w:hAnsi="Arial" w:cs="Arial"/>
          <w:b/>
          <w:color w:val="000000"/>
        </w:rPr>
        <w:t xml:space="preserve">2.2.1 </w:t>
      </w:r>
      <w:r w:rsidR="00733132" w:rsidRPr="00733132">
        <w:rPr>
          <w:rFonts w:ascii="Arial" w:hAnsi="Arial" w:cs="Arial"/>
          <w:b/>
          <w:color w:val="000000"/>
        </w:rPr>
        <w:t>Weed ameliorant production</w:t>
      </w:r>
    </w:p>
    <w:p w14:paraId="7D70D31E" w14:textId="77777777" w:rsidR="0085192E" w:rsidRDefault="00733132" w:rsidP="009D1BAD">
      <w:pPr>
        <w:pBdr>
          <w:top w:val="nil"/>
          <w:left w:val="nil"/>
          <w:bottom w:val="nil"/>
          <w:right w:val="nil"/>
          <w:between w:val="nil"/>
        </w:pBdr>
        <w:spacing w:line="276" w:lineRule="auto"/>
        <w:ind w:firstLine="567"/>
        <w:jc w:val="both"/>
        <w:rPr>
          <w:rFonts w:ascii="Arial" w:hAnsi="Arial" w:cs="Arial"/>
          <w:color w:val="000000"/>
        </w:rPr>
      </w:pPr>
      <w:r w:rsidRPr="00733132">
        <w:rPr>
          <w:rFonts w:ascii="Arial" w:hAnsi="Arial" w:cs="Arial"/>
          <w:color w:val="000000"/>
        </w:rPr>
        <w:t xml:space="preserve">The weed ameliorants for broadleaf and narrowleaf weeds consist of </w:t>
      </w:r>
      <w:proofErr w:type="spellStart"/>
      <w:r w:rsidRPr="00733132">
        <w:rPr>
          <w:rFonts w:ascii="Arial" w:hAnsi="Arial" w:cs="Arial"/>
          <w:color w:val="000000"/>
        </w:rPr>
        <w:t>kirinyuh</w:t>
      </w:r>
      <w:proofErr w:type="spellEnd"/>
      <w:r w:rsidRPr="00733132">
        <w:rPr>
          <w:rFonts w:ascii="Arial" w:hAnsi="Arial" w:cs="Arial"/>
          <w:color w:val="000000"/>
        </w:rPr>
        <w:t xml:space="preserve"> (</w:t>
      </w:r>
      <w:proofErr w:type="spellStart"/>
      <w:r w:rsidRPr="00733132">
        <w:rPr>
          <w:rFonts w:ascii="Arial" w:hAnsi="Arial" w:cs="Arial"/>
          <w:i/>
          <w:color w:val="000000"/>
        </w:rPr>
        <w:t>Chromolaena</w:t>
      </w:r>
      <w:proofErr w:type="spellEnd"/>
      <w:r w:rsidRPr="00733132">
        <w:rPr>
          <w:rFonts w:ascii="Arial" w:hAnsi="Arial" w:cs="Arial"/>
          <w:i/>
          <w:color w:val="000000"/>
        </w:rPr>
        <w:t xml:space="preserve"> odorata</w:t>
      </w:r>
      <w:r w:rsidRPr="00733132">
        <w:rPr>
          <w:rFonts w:ascii="Arial" w:hAnsi="Arial" w:cs="Arial"/>
          <w:color w:val="000000"/>
        </w:rPr>
        <w:t xml:space="preserve">), </w:t>
      </w:r>
      <w:proofErr w:type="spellStart"/>
      <w:r w:rsidRPr="00733132">
        <w:rPr>
          <w:rFonts w:ascii="Arial" w:hAnsi="Arial" w:cs="Arial"/>
          <w:color w:val="000000"/>
        </w:rPr>
        <w:t>alang-alang</w:t>
      </w:r>
      <w:proofErr w:type="spellEnd"/>
      <w:r w:rsidRPr="00733132">
        <w:rPr>
          <w:rFonts w:ascii="Arial" w:hAnsi="Arial" w:cs="Arial"/>
          <w:color w:val="000000"/>
        </w:rPr>
        <w:t xml:space="preserve"> (</w:t>
      </w:r>
      <w:proofErr w:type="spellStart"/>
      <w:r w:rsidRPr="00733132">
        <w:rPr>
          <w:rFonts w:ascii="Arial" w:hAnsi="Arial" w:cs="Arial"/>
          <w:i/>
          <w:color w:val="000000"/>
        </w:rPr>
        <w:t>Imperata</w:t>
      </w:r>
      <w:proofErr w:type="spellEnd"/>
      <w:r w:rsidRPr="00733132">
        <w:rPr>
          <w:rFonts w:ascii="Arial" w:hAnsi="Arial" w:cs="Arial"/>
          <w:i/>
          <w:color w:val="000000"/>
        </w:rPr>
        <w:t xml:space="preserve"> cylindrica</w:t>
      </w:r>
      <w:r w:rsidRPr="00733132">
        <w:rPr>
          <w:rFonts w:ascii="Arial" w:hAnsi="Arial" w:cs="Arial"/>
          <w:color w:val="000000"/>
        </w:rPr>
        <w:t xml:space="preserve">), and </w:t>
      </w:r>
      <w:proofErr w:type="spellStart"/>
      <w:r w:rsidRPr="00733132">
        <w:rPr>
          <w:rFonts w:ascii="Arial" w:hAnsi="Arial" w:cs="Arial"/>
          <w:color w:val="000000"/>
        </w:rPr>
        <w:t>paitan</w:t>
      </w:r>
      <w:proofErr w:type="spellEnd"/>
      <w:r w:rsidRPr="00733132">
        <w:rPr>
          <w:rFonts w:ascii="Arial" w:hAnsi="Arial" w:cs="Arial"/>
          <w:color w:val="000000"/>
        </w:rPr>
        <w:t xml:space="preserve"> (</w:t>
      </w:r>
      <w:r w:rsidRPr="00733132">
        <w:rPr>
          <w:rFonts w:ascii="Arial" w:hAnsi="Arial" w:cs="Arial"/>
          <w:i/>
          <w:color w:val="000000"/>
        </w:rPr>
        <w:t xml:space="preserve">Tithonia </w:t>
      </w:r>
      <w:proofErr w:type="spellStart"/>
      <w:r w:rsidRPr="00733132">
        <w:rPr>
          <w:rFonts w:ascii="Arial" w:hAnsi="Arial" w:cs="Arial"/>
          <w:i/>
          <w:color w:val="000000"/>
        </w:rPr>
        <w:t>diversifolia</w:t>
      </w:r>
      <w:proofErr w:type="spellEnd"/>
      <w:r w:rsidRPr="00733132">
        <w:rPr>
          <w:rFonts w:ascii="Arial" w:hAnsi="Arial" w:cs="Arial"/>
          <w:color w:val="000000"/>
        </w:rPr>
        <w:t xml:space="preserve">). The weeds are cut into 2 cm pieces and composted using a mixture of 200 ml EM-4 + 200 ml molasses + 10 liters of water </w:t>
      </w:r>
      <w:r w:rsidR="00D30E25">
        <w:rPr>
          <w:rFonts w:ascii="Arial" w:hAnsi="Arial" w:cs="Arial"/>
          <w:color w:val="000000"/>
        </w:rPr>
        <w:fldChar w:fldCharType="begin" w:fldLock="1"/>
      </w:r>
      <w:r w:rsidR="00FF7EF5">
        <w:rPr>
          <w:rFonts w:ascii="Arial" w:hAnsi="Arial" w:cs="Arial"/>
          <w:color w:val="000000"/>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"plainTextFormattedCitation" : "(Nurjanah et al., 2024)", "previouslyFormattedCitation" : "(Nurjanah et al., 2024)" }, "properties" : { "noteIndex" : 0 }, "schema" : "https://github.com/citation-style-language/schema/raw/master/csl-citation.json" }</w:instrText>
      </w:r>
      <w:r w:rsidR="00D30E25">
        <w:rPr>
          <w:rFonts w:ascii="Arial" w:hAnsi="Arial" w:cs="Arial"/>
          <w:color w:val="000000"/>
        </w:rPr>
        <w:fldChar w:fldCharType="separate"/>
      </w:r>
      <w:r w:rsidR="00D30E25" w:rsidRPr="00D30E25">
        <w:rPr>
          <w:rFonts w:ascii="Arial" w:hAnsi="Arial" w:cs="Arial"/>
          <w:noProof/>
          <w:color w:val="000000"/>
        </w:rPr>
        <w:t xml:space="preserve">(Nurjanah </w:t>
      </w:r>
      <w:r w:rsidR="00D30E25" w:rsidRPr="00D30E25">
        <w:rPr>
          <w:rFonts w:ascii="Arial" w:hAnsi="Arial" w:cs="Arial"/>
          <w:i/>
          <w:noProof/>
          <w:color w:val="000000"/>
        </w:rPr>
        <w:t>et</w:t>
      </w:r>
      <w:r w:rsidR="00D30E25" w:rsidRPr="00D30E25">
        <w:rPr>
          <w:rFonts w:ascii="Arial" w:hAnsi="Arial" w:cs="Arial"/>
          <w:noProof/>
          <w:color w:val="000000"/>
        </w:rPr>
        <w:t xml:space="preserve"> </w:t>
      </w:r>
      <w:r w:rsidR="00D30E25" w:rsidRPr="00D30E25">
        <w:rPr>
          <w:rFonts w:ascii="Arial" w:hAnsi="Arial" w:cs="Arial"/>
          <w:i/>
          <w:noProof/>
          <w:color w:val="000000"/>
        </w:rPr>
        <w:t>al</w:t>
      </w:r>
      <w:r w:rsidR="00D30E25" w:rsidRPr="00D30E25">
        <w:rPr>
          <w:rFonts w:ascii="Arial" w:hAnsi="Arial" w:cs="Arial"/>
          <w:noProof/>
          <w:color w:val="000000"/>
        </w:rPr>
        <w:t>., 2024)</w:t>
      </w:r>
      <w:r w:rsidR="00D30E25">
        <w:rPr>
          <w:rFonts w:ascii="Arial" w:hAnsi="Arial" w:cs="Arial"/>
          <w:color w:val="000000"/>
        </w:rPr>
        <w:fldChar w:fldCharType="end"/>
      </w:r>
      <w:r w:rsidR="00D30E25">
        <w:rPr>
          <w:rFonts w:ascii="Arial" w:hAnsi="Arial" w:cs="Arial"/>
          <w:color w:val="000000"/>
          <w:lang w:val="id-ID"/>
        </w:rPr>
        <w:t xml:space="preserve">. </w:t>
      </w:r>
      <w:r w:rsidRPr="00733132">
        <w:rPr>
          <w:rFonts w:ascii="Arial" w:hAnsi="Arial" w:cs="Arial"/>
          <w:color w:val="000000"/>
        </w:rPr>
        <w:t xml:space="preserve">After mixing thoroughly, the materials are covered, tied up, and placed in large sacks. Compost is made using a ratio of broadleaf </w:t>
      </w:r>
      <w:proofErr w:type="gramStart"/>
      <w:r w:rsidRPr="00733132">
        <w:rPr>
          <w:rFonts w:ascii="Arial" w:hAnsi="Arial" w:cs="Arial"/>
          <w:color w:val="000000"/>
        </w:rPr>
        <w:t>weeds :</w:t>
      </w:r>
      <w:proofErr w:type="gramEnd"/>
      <w:r w:rsidRPr="00733132">
        <w:rPr>
          <w:rFonts w:ascii="Arial" w:hAnsi="Arial" w:cs="Arial"/>
          <w:color w:val="000000"/>
        </w:rPr>
        <w:t xml:space="preserve"> </w:t>
      </w:r>
      <w:proofErr w:type="gramStart"/>
      <w:r w:rsidRPr="00733132">
        <w:rPr>
          <w:rFonts w:ascii="Arial" w:hAnsi="Arial" w:cs="Arial"/>
          <w:color w:val="000000"/>
        </w:rPr>
        <w:t>sedges :</w:t>
      </w:r>
      <w:proofErr w:type="gramEnd"/>
      <w:r w:rsidRPr="00733132">
        <w:rPr>
          <w:rFonts w:ascii="Arial" w:hAnsi="Arial" w:cs="Arial"/>
          <w:color w:val="000000"/>
        </w:rPr>
        <w:t xml:space="preserve"> grass weeds of 2:1:1. Once a week, the sacks are opened an</w:t>
      </w:r>
      <w:r>
        <w:rPr>
          <w:rFonts w:ascii="Arial" w:hAnsi="Arial" w:cs="Arial"/>
          <w:color w:val="000000"/>
        </w:rPr>
        <w:t>d the contents are turned over.</w:t>
      </w:r>
    </w:p>
    <w:p w14:paraId="6C602413" w14:textId="77777777" w:rsidR="00A477D6" w:rsidRPr="007005A7" w:rsidRDefault="007005A7" w:rsidP="009D1BAD">
      <w:pPr>
        <w:pBdr>
          <w:top w:val="nil"/>
          <w:left w:val="nil"/>
          <w:bottom w:val="nil"/>
          <w:right w:val="nil"/>
          <w:between w:val="nil"/>
        </w:pBdr>
        <w:spacing w:line="276" w:lineRule="auto"/>
        <w:jc w:val="both"/>
        <w:rPr>
          <w:rFonts w:ascii="Arial" w:hAnsi="Arial" w:cs="Arial"/>
          <w:b/>
          <w:color w:val="000000"/>
          <w:szCs w:val="22"/>
        </w:rPr>
      </w:pPr>
      <w:r w:rsidRPr="007005A7">
        <w:rPr>
          <w:rFonts w:ascii="Arial" w:hAnsi="Arial" w:cs="Arial"/>
          <w:b/>
          <w:color w:val="000000"/>
          <w:szCs w:val="22"/>
        </w:rPr>
        <w:t xml:space="preserve">2.2.2 </w:t>
      </w:r>
      <w:r w:rsidR="00733132" w:rsidRPr="00733132">
        <w:rPr>
          <w:rFonts w:ascii="Arial" w:hAnsi="Arial" w:cs="Arial"/>
          <w:b/>
          <w:color w:val="000000"/>
          <w:szCs w:val="22"/>
        </w:rPr>
        <w:t>Soil analysis</w:t>
      </w:r>
    </w:p>
    <w:p w14:paraId="3F54E89C" w14:textId="77777777" w:rsidR="0086303B" w:rsidRDefault="00733132" w:rsidP="009D1BAD">
      <w:pPr>
        <w:pBdr>
          <w:top w:val="nil"/>
          <w:left w:val="nil"/>
          <w:bottom w:val="nil"/>
          <w:right w:val="nil"/>
          <w:between w:val="nil"/>
        </w:pBdr>
        <w:spacing w:line="276" w:lineRule="auto"/>
        <w:jc w:val="both"/>
        <w:rPr>
          <w:rFonts w:ascii="Arial" w:hAnsi="Arial" w:cs="Arial"/>
          <w:color w:val="000000"/>
        </w:rPr>
      </w:pPr>
      <w:r w:rsidRPr="00733132">
        <w:rPr>
          <w:rFonts w:ascii="Arial" w:hAnsi="Arial" w:cs="Arial"/>
          <w:color w:val="000000"/>
        </w:rPr>
        <w:t>Soil samples P</w:t>
      </w:r>
      <w:r w:rsidRPr="005245BB">
        <w:rPr>
          <w:rFonts w:ascii="Arial" w:hAnsi="Arial" w:cs="Arial"/>
          <w:color w:val="000000"/>
          <w:vertAlign w:val="subscript"/>
        </w:rPr>
        <w:t>0</w:t>
      </w:r>
      <w:r w:rsidRPr="00733132">
        <w:rPr>
          <w:rFonts w:ascii="Arial" w:hAnsi="Arial" w:cs="Arial"/>
          <w:color w:val="000000"/>
        </w:rPr>
        <w:t xml:space="preserve"> were taken at a depth of 0–20 cm from 5 points on the land, each weighing 0.5 kg, then mixed and taken to the Soil Science Laboratory at Bengkulu University, Indonesia. Soil samples P</w:t>
      </w:r>
      <w:r w:rsidRPr="005245BB">
        <w:rPr>
          <w:rFonts w:ascii="Arial" w:hAnsi="Arial" w:cs="Arial"/>
          <w:color w:val="000000"/>
          <w:vertAlign w:val="subscript"/>
        </w:rPr>
        <w:t>1</w:t>
      </w:r>
      <w:r w:rsidRPr="00733132">
        <w:rPr>
          <w:rFonts w:ascii="Arial" w:hAnsi="Arial" w:cs="Arial"/>
          <w:color w:val="000000"/>
        </w:rPr>
        <w:t>–P</w:t>
      </w:r>
      <w:r w:rsidRPr="005245BB">
        <w:rPr>
          <w:rFonts w:ascii="Arial" w:hAnsi="Arial" w:cs="Arial"/>
          <w:color w:val="000000"/>
          <w:vertAlign w:val="subscript"/>
        </w:rPr>
        <w:t>6</w:t>
      </w:r>
      <w:r w:rsidRPr="00733132">
        <w:rPr>
          <w:rFonts w:ascii="Arial" w:hAnsi="Arial" w:cs="Arial"/>
          <w:color w:val="000000"/>
        </w:rPr>
        <w:t xml:space="preserve"> were taken as composites of 2 kg per treatment and analyzed in the same laboratory. The analysis included permeability, moisture content, soil texture, and pH H</w:t>
      </w:r>
      <w:r w:rsidRPr="00733132">
        <w:rPr>
          <w:rFonts w:ascii="Cambria Math" w:hAnsi="Cambria Math" w:cs="Cambria Math"/>
          <w:color w:val="000000"/>
        </w:rPr>
        <w:t>₂</w:t>
      </w:r>
      <w:r w:rsidRPr="00733132">
        <w:rPr>
          <w:rFonts w:ascii="Arial" w:hAnsi="Arial" w:cs="Arial"/>
          <w:color w:val="000000"/>
        </w:rPr>
        <w:t>O, which were measured using a soil tester at a depth of 0–10 cm at five points in each treatment plot.</w:t>
      </w:r>
    </w:p>
    <w:p w14:paraId="376C7E51" w14:textId="77777777" w:rsidR="00A477D6" w:rsidRPr="007005A7" w:rsidRDefault="007005A7" w:rsidP="009D1BAD">
      <w:pPr>
        <w:pBdr>
          <w:top w:val="nil"/>
          <w:left w:val="nil"/>
          <w:bottom w:val="nil"/>
          <w:right w:val="nil"/>
          <w:between w:val="nil"/>
        </w:pBdr>
        <w:spacing w:line="276" w:lineRule="auto"/>
        <w:jc w:val="both"/>
        <w:rPr>
          <w:rFonts w:ascii="Arial" w:hAnsi="Arial" w:cs="Arial"/>
          <w:b/>
          <w:color w:val="000000"/>
          <w:szCs w:val="22"/>
        </w:rPr>
      </w:pPr>
      <w:r w:rsidRPr="007005A7">
        <w:rPr>
          <w:rFonts w:ascii="Arial" w:hAnsi="Arial" w:cs="Arial"/>
          <w:b/>
          <w:color w:val="000000"/>
          <w:szCs w:val="22"/>
        </w:rPr>
        <w:t xml:space="preserve">2.2.3 </w:t>
      </w:r>
      <w:r w:rsidR="00733132" w:rsidRPr="00733132">
        <w:rPr>
          <w:rFonts w:ascii="Arial" w:hAnsi="Arial" w:cs="Arial"/>
          <w:b/>
          <w:color w:val="000000"/>
          <w:szCs w:val="22"/>
        </w:rPr>
        <w:t>Planting</w:t>
      </w:r>
    </w:p>
    <w:p w14:paraId="5836B481" w14:textId="77777777" w:rsidR="00733132" w:rsidRDefault="00733132" w:rsidP="00733132">
      <w:pPr>
        <w:spacing w:line="276" w:lineRule="auto"/>
        <w:ind w:firstLine="567"/>
        <w:jc w:val="both"/>
        <w:rPr>
          <w:rFonts w:ascii="Arial" w:hAnsi="Arial" w:cs="Arial"/>
          <w:color w:val="000000"/>
        </w:rPr>
      </w:pPr>
      <w:r w:rsidRPr="00733132">
        <w:rPr>
          <w:rFonts w:ascii="Arial" w:hAnsi="Arial" w:cs="Arial"/>
          <w:color w:val="000000"/>
        </w:rPr>
        <w:t xml:space="preserve">Land preparation is carried out two weeks before planting by hoeing the soil and making 1 m × 1 m plots, spaced 0.5 m between plots and 1 m between blocks, then fenced with netting and labeled. Ameliorants are mixed one week before planting according to treatment, then the plots are covered with black plastic mulch to suppress weeds. Red </w:t>
      </w:r>
      <w:r w:rsidR="00004A75">
        <w:rPr>
          <w:rFonts w:ascii="Arial" w:hAnsi="Arial" w:cs="Arial"/>
          <w:color w:val="000000"/>
        </w:rPr>
        <w:t>shallot</w:t>
      </w:r>
      <w:r w:rsidRPr="00733132">
        <w:rPr>
          <w:rFonts w:ascii="Arial" w:hAnsi="Arial" w:cs="Arial"/>
          <w:color w:val="000000"/>
        </w:rPr>
        <w:t xml:space="preserve"> seedlings are cut ¼ of the way from the tip, coated with 70</w:t>
      </w:r>
      <w:r>
        <w:rPr>
          <w:rFonts w:ascii="Arial" w:hAnsi="Arial" w:cs="Arial"/>
          <w:color w:val="000000"/>
        </w:rPr>
        <w:t>% Propineb fungicide, and dried</w:t>
      </w:r>
      <w:r w:rsidR="001028C8">
        <w:rPr>
          <w:rFonts w:ascii="Arial" w:hAnsi="Arial" w:cs="Arial"/>
          <w:color w:val="000000"/>
        </w:rPr>
        <w:t xml:space="preserve"> </w:t>
      </w:r>
      <w:r w:rsidR="00FF7EF5">
        <w:rPr>
          <w:rFonts w:ascii="Arial" w:hAnsi="Arial" w:cs="Arial"/>
          <w:color w:val="000000"/>
        </w:rPr>
        <w:fldChar w:fldCharType="begin" w:fldLock="1"/>
      </w:r>
      <w:r w:rsidR="00FF7EF5">
        <w:rPr>
          <w:rFonts w:ascii="Arial" w:hAnsi="Arial" w:cs="Arial"/>
          <w:color w:val="000000"/>
        </w:rPr>
        <w:instrText>ADDIN CSL_CITATION { "citationItems" : [ { "id" : "ITEM-1", "itemData" : { "author" : [ { "dropping-particle" : "", "family" : "Jumini", "given" : "", "non-dropping-particle" : "", "parse-names" : false, "suffix" : "" }, { "dropping-particle" : "", "family" : "Sufyati", "given" : "Yenni", "non-dropping-particle" : "", "parse-names" : false, "suffix" : "" }, { "dropping-particle" : "", "family" : "Fajri", "given" : "Nurul", "non-dropping-particle" : "", "parse-names" : false, "suffix" : "" } ], "container-title" : "J. Floratek", "id" : "ITEM-1", "issue" : "5", "issued" : { "date-parts" : [ [ "2010" ] ] }, "page" : "164-171", "title" : "Pengaruh Pemotongan Umbi Bibit Dan Jenis Pupuk Organik Terhadap Pertumbuhan Dan Hasil Bawang Merah", "type" : "article-journal" }, "uris" : [ "http://www.mendeley.com/documents/?uuid=1efc5e34-4965-45b8-8b29-4c0e749ce6ee" ] } ], "mendeley" : { "formattedCitation" : "(Jumini et al., 2010)", "plainTextFormattedCitation" : "(Jumini et al., 2010)", "previouslyFormattedCitation" : "(Jumini et al., 2010)" }, "properties" : { "noteIndex" : 0 }, "schema" : "https://github.com/citation-style-language/schema/raw/master/csl-citation.json" }</w:instrText>
      </w:r>
      <w:r w:rsidR="00FF7EF5">
        <w:rPr>
          <w:rFonts w:ascii="Arial" w:hAnsi="Arial" w:cs="Arial"/>
          <w:color w:val="000000"/>
        </w:rPr>
        <w:fldChar w:fldCharType="separate"/>
      </w:r>
      <w:r w:rsidR="00FF7EF5" w:rsidRPr="00FF7EF5">
        <w:rPr>
          <w:rFonts w:ascii="Arial" w:hAnsi="Arial" w:cs="Arial"/>
          <w:noProof/>
          <w:color w:val="000000"/>
        </w:rPr>
        <w:t xml:space="preserve">(Jumini </w:t>
      </w:r>
      <w:r w:rsidR="00FF7EF5" w:rsidRPr="00FF7EF5">
        <w:rPr>
          <w:rFonts w:ascii="Arial" w:hAnsi="Arial" w:cs="Arial"/>
          <w:i/>
          <w:noProof/>
          <w:color w:val="000000"/>
        </w:rPr>
        <w:t>et</w:t>
      </w:r>
      <w:r w:rsidR="00FF7EF5" w:rsidRPr="00FF7EF5">
        <w:rPr>
          <w:rFonts w:ascii="Arial" w:hAnsi="Arial" w:cs="Arial"/>
          <w:noProof/>
          <w:color w:val="000000"/>
        </w:rPr>
        <w:t xml:space="preserve"> </w:t>
      </w:r>
      <w:r w:rsidR="00FF7EF5" w:rsidRPr="00FF7EF5">
        <w:rPr>
          <w:rFonts w:ascii="Arial" w:hAnsi="Arial" w:cs="Arial"/>
          <w:i/>
          <w:noProof/>
          <w:color w:val="000000"/>
        </w:rPr>
        <w:t>al</w:t>
      </w:r>
      <w:r w:rsidR="00FF7EF5" w:rsidRPr="00FF7EF5">
        <w:rPr>
          <w:rFonts w:ascii="Arial" w:hAnsi="Arial" w:cs="Arial"/>
          <w:noProof/>
          <w:color w:val="000000"/>
        </w:rPr>
        <w:t>., 2010)</w:t>
      </w:r>
      <w:r w:rsidR="00FF7EF5">
        <w:rPr>
          <w:rFonts w:ascii="Arial" w:hAnsi="Arial" w:cs="Arial"/>
          <w:color w:val="000000"/>
        </w:rPr>
        <w:fldChar w:fldCharType="end"/>
      </w:r>
      <w:r w:rsidR="001028C8" w:rsidRPr="001028C8">
        <w:rPr>
          <w:rFonts w:ascii="Arial" w:hAnsi="Arial" w:cs="Arial"/>
          <w:color w:val="000000"/>
        </w:rPr>
        <w:t xml:space="preserve">. </w:t>
      </w:r>
      <w:r w:rsidRPr="00733132">
        <w:rPr>
          <w:rFonts w:ascii="Arial" w:hAnsi="Arial" w:cs="Arial"/>
          <w:color w:val="000000"/>
        </w:rPr>
        <w:t xml:space="preserve">Planting was carried out at a distance of 20 × 20 cm, one seedling per hole 2–4 cm deep, plus 5 grains of </w:t>
      </w:r>
      <w:proofErr w:type="spellStart"/>
      <w:r w:rsidRPr="00733132">
        <w:rPr>
          <w:rFonts w:ascii="Arial" w:hAnsi="Arial" w:cs="Arial"/>
          <w:color w:val="000000"/>
        </w:rPr>
        <w:t>furadan</w:t>
      </w:r>
      <w:proofErr w:type="spellEnd"/>
      <w:r w:rsidRPr="00733132">
        <w:rPr>
          <w:rFonts w:ascii="Arial" w:hAnsi="Arial" w:cs="Arial"/>
          <w:color w:val="000000"/>
        </w:rPr>
        <w:t xml:space="preserve"> before covering with soil. </w:t>
      </w:r>
      <w:commentRangeStart w:id="11"/>
      <w:r w:rsidRPr="00733132">
        <w:rPr>
          <w:rFonts w:ascii="Arial" w:hAnsi="Arial" w:cs="Arial"/>
          <w:color w:val="000000"/>
        </w:rPr>
        <w:t xml:space="preserve">There were 25 plants in one plot. Samples were taken randomly </w:t>
      </w:r>
      <w:proofErr w:type="gramStart"/>
      <w:r w:rsidRPr="00733132">
        <w:rPr>
          <w:rFonts w:ascii="Arial" w:hAnsi="Arial" w:cs="Arial"/>
          <w:color w:val="000000"/>
        </w:rPr>
        <w:t>from</w:t>
      </w:r>
      <w:proofErr w:type="gramEnd"/>
      <w:r w:rsidRPr="00733132">
        <w:rPr>
          <w:rFonts w:ascii="Arial" w:hAnsi="Arial" w:cs="Arial"/>
          <w:color w:val="000000"/>
        </w:rPr>
        <w:t xml:space="preserve"> 20% of the population (5 plants per plot).</w:t>
      </w:r>
      <w:commentRangeEnd w:id="11"/>
      <w:r w:rsidR="001D600D">
        <w:rPr>
          <w:rStyle w:val="CommentReference"/>
          <w:rFonts w:ascii="Times New Roman" w:hAnsi="Times New Roman"/>
          <w:lang w:val="nb-NO" w:eastAsia="nb-NO"/>
        </w:rPr>
        <w:commentReference w:id="11"/>
      </w:r>
    </w:p>
    <w:p w14:paraId="45B792DA" w14:textId="77777777" w:rsidR="00A477D6" w:rsidRPr="00C669F4" w:rsidRDefault="007005A7" w:rsidP="00733132">
      <w:pPr>
        <w:spacing w:line="276" w:lineRule="auto"/>
        <w:jc w:val="both"/>
        <w:rPr>
          <w:rFonts w:ascii="Arial" w:hAnsi="Arial" w:cs="Arial"/>
          <w:color w:val="000000" w:themeColor="text1"/>
          <w:sz w:val="22"/>
          <w:szCs w:val="24"/>
        </w:rPr>
      </w:pPr>
      <w:r>
        <w:rPr>
          <w:rFonts w:ascii="Arial" w:hAnsi="Arial" w:cs="Arial"/>
          <w:b/>
          <w:color w:val="000000" w:themeColor="text1"/>
          <w:szCs w:val="24"/>
        </w:rPr>
        <w:t xml:space="preserve">2.2.4 </w:t>
      </w:r>
      <w:r w:rsidR="00733132">
        <w:rPr>
          <w:rFonts w:ascii="Arial" w:hAnsi="Arial" w:cs="Arial"/>
          <w:b/>
          <w:color w:val="000000" w:themeColor="text1"/>
          <w:szCs w:val="24"/>
        </w:rPr>
        <w:t>Maintenance</w:t>
      </w:r>
    </w:p>
    <w:p w14:paraId="2E8994CE" w14:textId="77777777" w:rsidR="00733132" w:rsidRDefault="00733132" w:rsidP="00733132">
      <w:pPr>
        <w:shd w:val="clear" w:color="auto" w:fill="FFFFFF"/>
        <w:spacing w:line="276" w:lineRule="auto"/>
        <w:ind w:firstLine="567"/>
        <w:jc w:val="both"/>
        <w:rPr>
          <w:rFonts w:ascii="Arial" w:hAnsi="Arial" w:cs="Arial"/>
          <w:color w:val="000000" w:themeColor="text1"/>
          <w:szCs w:val="24"/>
        </w:rPr>
      </w:pPr>
      <w:r w:rsidRPr="00733132">
        <w:rPr>
          <w:rFonts w:ascii="Arial" w:hAnsi="Arial" w:cs="Arial"/>
          <w:color w:val="000000" w:themeColor="text1"/>
          <w:szCs w:val="24"/>
        </w:rPr>
        <w:t xml:space="preserve">Maintenance includes watering, fertilizing, pruning, and controlling weeds, pests, and diseases. </w:t>
      </w:r>
      <w:commentRangeStart w:id="12"/>
      <w:r w:rsidRPr="00733132">
        <w:rPr>
          <w:rFonts w:ascii="Arial" w:hAnsi="Arial" w:cs="Arial"/>
          <w:color w:val="000000" w:themeColor="text1"/>
          <w:szCs w:val="24"/>
        </w:rPr>
        <w:t>Watering is done every morning and evening, 200 ml per plant</w:t>
      </w:r>
      <w:commentRangeEnd w:id="12"/>
      <w:r w:rsidR="003D6C63">
        <w:rPr>
          <w:rStyle w:val="CommentReference"/>
          <w:rFonts w:ascii="Times New Roman" w:hAnsi="Times New Roman"/>
          <w:lang w:val="nb-NO" w:eastAsia="nb-NO"/>
        </w:rPr>
        <w:commentReference w:id="12"/>
      </w:r>
      <w:r w:rsidRPr="00733132">
        <w:rPr>
          <w:rFonts w:ascii="Arial" w:hAnsi="Arial" w:cs="Arial"/>
          <w:color w:val="000000" w:themeColor="text1"/>
          <w:szCs w:val="24"/>
        </w:rPr>
        <w:t xml:space="preserve">. Fertilization uses urea, TSP, and KCl according to the recommended dosage </w:t>
      </w:r>
      <w:r w:rsidR="00FD535F">
        <w:rPr>
          <w:rFonts w:ascii="Arial" w:hAnsi="Arial" w:cs="Arial"/>
          <w:color w:val="000000" w:themeColor="text1"/>
          <w:szCs w:val="24"/>
          <w:lang w:val="id-ID"/>
        </w:rPr>
        <w:t>(</w:t>
      </w:r>
      <w:r w:rsidR="00B751EA">
        <w:rPr>
          <w:rFonts w:ascii="Arial" w:hAnsi="Arial" w:cs="Arial"/>
          <w:color w:val="000000" w:themeColor="text1"/>
          <w:szCs w:val="24"/>
        </w:rPr>
        <w:fldChar w:fldCharType="begin" w:fldLock="1"/>
      </w:r>
      <w:r w:rsidR="00B751EA">
        <w:rPr>
          <w:rFonts w:ascii="Arial" w:hAnsi="Arial" w:cs="Arial"/>
          <w:color w:val="000000" w:themeColor="text1"/>
          <w:szCs w:val="24"/>
        </w:rPr>
        <w:instrText>ADDIN CSL_CITATION { "citationItems" : [ { "id" : "ITEM-1", "itemData" : { "author" : [ { "dropping-particle" : "", "family" : "Situmorang", "given" : "Armando", "non-dropping-particle" : "", "parse-names" : false, "suffix" : "" } ], "id" : "ITEM-1", "issued" : { "date-parts" : [ [ "2024" ] ] }, "publisher" : "Universitas Bengkulu", "title" : "Respon pertumbuhan dan pembentukan bunga tiga varietas bawang merah (Allium cepa var. Aggregatum) terhadap perlakuan lama vernalisasi di dataran tinggi", "type" : "thesis" }, "uris" : [ "http://www.mendeley.com/documents/?uuid=3a1a7f2a-240b-4181-a0a2-b28e01223561" ] } ], "mendeley" : { "formattedCitation" : "(Situmorang, 2024)", "manualFormatting" : "Situmorang (2024)", "plainTextFormattedCitation" : "(Situmorang, 2024)", "previouslyFormattedCitation" : "(Situmorang, 2024)" }, "properties" : { "noteIndex" : 0 }, "schema" : "https://github.com/citation-style-language/schema/raw/master/csl-citation.json" }</w:instrText>
      </w:r>
      <w:r w:rsidR="00B751EA">
        <w:rPr>
          <w:rFonts w:ascii="Arial" w:hAnsi="Arial" w:cs="Arial"/>
          <w:color w:val="000000" w:themeColor="text1"/>
          <w:szCs w:val="24"/>
        </w:rPr>
        <w:fldChar w:fldCharType="separate"/>
      </w:r>
      <w:r w:rsidR="00B751EA">
        <w:rPr>
          <w:rFonts w:ascii="Arial" w:hAnsi="Arial" w:cs="Arial"/>
          <w:noProof/>
          <w:color w:val="000000" w:themeColor="text1"/>
          <w:szCs w:val="24"/>
        </w:rPr>
        <w:t>Situmorang</w:t>
      </w:r>
      <w:r w:rsidR="00FD535F">
        <w:rPr>
          <w:rFonts w:ascii="Arial" w:hAnsi="Arial" w:cs="Arial"/>
          <w:noProof/>
          <w:color w:val="000000" w:themeColor="text1"/>
          <w:szCs w:val="24"/>
          <w:lang w:val="id-ID"/>
        </w:rPr>
        <w:t xml:space="preserve">, </w:t>
      </w:r>
      <w:r w:rsidR="00B751EA" w:rsidRPr="00B751EA">
        <w:rPr>
          <w:rFonts w:ascii="Arial" w:hAnsi="Arial" w:cs="Arial"/>
          <w:noProof/>
          <w:color w:val="000000" w:themeColor="text1"/>
          <w:szCs w:val="24"/>
        </w:rPr>
        <w:t>2024)</w:t>
      </w:r>
      <w:r w:rsidR="00B751EA">
        <w:rPr>
          <w:rFonts w:ascii="Arial" w:hAnsi="Arial" w:cs="Arial"/>
          <w:color w:val="000000" w:themeColor="text1"/>
          <w:szCs w:val="24"/>
        </w:rPr>
        <w:fldChar w:fldCharType="end"/>
      </w:r>
      <w:r w:rsidR="00FD535F">
        <w:rPr>
          <w:rFonts w:ascii="Arial" w:hAnsi="Arial" w:cs="Arial"/>
          <w:color w:val="000000" w:themeColor="text1"/>
          <w:szCs w:val="24"/>
          <w:lang w:val="id-ID"/>
        </w:rPr>
        <w:t>.</w:t>
      </w:r>
      <w:r w:rsidR="00B751EA">
        <w:rPr>
          <w:rFonts w:ascii="Arial" w:hAnsi="Arial" w:cs="Arial"/>
          <w:color w:val="000000" w:themeColor="text1"/>
          <w:szCs w:val="24"/>
          <w:lang w:val="id-ID"/>
        </w:rPr>
        <w:t xml:space="preserve"> </w:t>
      </w:r>
      <w:r w:rsidRPr="00733132">
        <w:rPr>
          <w:rFonts w:ascii="Arial" w:hAnsi="Arial" w:cs="Arial"/>
          <w:color w:val="000000" w:themeColor="text1"/>
          <w:szCs w:val="24"/>
        </w:rPr>
        <w:t>Urea was appli</w:t>
      </w:r>
      <w:r w:rsidR="002F4BFE">
        <w:rPr>
          <w:rFonts w:ascii="Arial" w:hAnsi="Arial" w:cs="Arial"/>
          <w:color w:val="000000" w:themeColor="text1"/>
          <w:szCs w:val="24"/>
        </w:rPr>
        <w:t xml:space="preserve">ed twice, at 6.7 g/plot at 2 </w:t>
      </w:r>
      <w:commentRangeStart w:id="13"/>
      <w:r w:rsidR="002F4BFE">
        <w:rPr>
          <w:rFonts w:ascii="Arial" w:hAnsi="Arial" w:cs="Arial"/>
          <w:color w:val="000000" w:themeColor="text1"/>
          <w:szCs w:val="24"/>
        </w:rPr>
        <w:t>WAP</w:t>
      </w:r>
      <w:commentRangeEnd w:id="13"/>
      <w:r w:rsidR="003D6C63">
        <w:rPr>
          <w:rStyle w:val="CommentReference"/>
          <w:rFonts w:ascii="Times New Roman" w:hAnsi="Times New Roman"/>
          <w:lang w:val="nb-NO" w:eastAsia="nb-NO"/>
        </w:rPr>
        <w:commentReference w:id="13"/>
      </w:r>
      <w:r w:rsidR="002F4BFE">
        <w:rPr>
          <w:rFonts w:ascii="Arial" w:hAnsi="Arial" w:cs="Arial"/>
          <w:color w:val="000000" w:themeColor="text1"/>
          <w:szCs w:val="24"/>
        </w:rPr>
        <w:t xml:space="preserve"> and 13.4 g/plot at 4 WAP</w:t>
      </w:r>
      <w:r w:rsidRPr="00733132">
        <w:rPr>
          <w:rFonts w:ascii="Arial" w:hAnsi="Arial" w:cs="Arial"/>
          <w:color w:val="000000" w:themeColor="text1"/>
          <w:szCs w:val="24"/>
        </w:rPr>
        <w:t>. TSP and KCl were ea</w:t>
      </w:r>
      <w:r w:rsidR="005245BB">
        <w:rPr>
          <w:rFonts w:ascii="Arial" w:hAnsi="Arial" w:cs="Arial"/>
          <w:color w:val="000000" w:themeColor="text1"/>
          <w:szCs w:val="24"/>
        </w:rPr>
        <w:t>ch applied at 15 g/plot at 2 WAP</w:t>
      </w:r>
      <w:r w:rsidRPr="00733132">
        <w:rPr>
          <w:rFonts w:ascii="Arial" w:hAnsi="Arial" w:cs="Arial"/>
          <w:color w:val="000000" w:themeColor="text1"/>
          <w:szCs w:val="24"/>
        </w:rPr>
        <w:t xml:space="preserve">. All fertilizers were dissolved in 5 liters of water, then poured around the plants at a volume of 200 ml per plant. Transplanting was carried out at 7 days after transplanting using reserve plants that had been prepared in polybags according to the </w:t>
      </w:r>
      <w:r w:rsidRPr="00733132">
        <w:rPr>
          <w:rFonts w:ascii="Arial" w:hAnsi="Arial" w:cs="Arial"/>
          <w:color w:val="000000" w:themeColor="text1"/>
          <w:szCs w:val="24"/>
        </w:rPr>
        <w:lastRenderedPageBreak/>
        <w:t>treatment. Weeds were manually removed around the plots. Disease control was carried out with a fungicide containing 64% mancozeb + 4% mef</w:t>
      </w:r>
      <w:r w:rsidR="008F3EBD">
        <w:rPr>
          <w:rFonts w:ascii="Arial" w:hAnsi="Arial" w:cs="Arial"/>
          <w:color w:val="000000" w:themeColor="text1"/>
          <w:szCs w:val="24"/>
        </w:rPr>
        <w:t>enoxam every 5 DAP to</w:t>
      </w:r>
      <w:r w:rsidR="002F4BFE">
        <w:rPr>
          <w:rFonts w:ascii="Arial" w:hAnsi="Arial" w:cs="Arial"/>
          <w:color w:val="000000" w:themeColor="text1"/>
          <w:szCs w:val="24"/>
        </w:rPr>
        <w:t xml:space="preserve"> 7 WAP </w:t>
      </w:r>
      <w:r w:rsidRPr="00733132">
        <w:rPr>
          <w:rFonts w:ascii="Arial" w:hAnsi="Arial" w:cs="Arial"/>
          <w:color w:val="000000" w:themeColor="text1"/>
          <w:szCs w:val="24"/>
        </w:rPr>
        <w:t>at a concentration of 2 g/liter of water using a hand sprayer.</w:t>
      </w:r>
    </w:p>
    <w:p w14:paraId="6F1E73FB" w14:textId="77777777" w:rsidR="00A477D6" w:rsidRPr="00E970C7" w:rsidRDefault="00E970C7" w:rsidP="00733132">
      <w:pPr>
        <w:shd w:val="clear" w:color="auto" w:fill="FFFFFF"/>
        <w:spacing w:line="276" w:lineRule="auto"/>
        <w:jc w:val="both"/>
        <w:rPr>
          <w:rFonts w:ascii="Arial" w:hAnsi="Arial" w:cs="Arial"/>
          <w:color w:val="000000" w:themeColor="text1"/>
          <w:szCs w:val="22"/>
        </w:rPr>
      </w:pPr>
      <w:r w:rsidRPr="00E970C7">
        <w:rPr>
          <w:rFonts w:ascii="Arial" w:hAnsi="Arial" w:cs="Arial"/>
          <w:b/>
          <w:bCs/>
          <w:color w:val="000000" w:themeColor="text1"/>
          <w:szCs w:val="22"/>
        </w:rPr>
        <w:t>2.2.5</w:t>
      </w:r>
      <w:r w:rsidR="007005A7" w:rsidRPr="00E970C7">
        <w:rPr>
          <w:rFonts w:ascii="Arial" w:hAnsi="Arial" w:cs="Arial"/>
          <w:b/>
          <w:bCs/>
          <w:color w:val="000000" w:themeColor="text1"/>
          <w:szCs w:val="22"/>
        </w:rPr>
        <w:t xml:space="preserve"> </w:t>
      </w:r>
      <w:r w:rsidR="00E948E9" w:rsidRPr="00E948E9">
        <w:rPr>
          <w:rFonts w:ascii="Arial" w:hAnsi="Arial" w:cs="Arial"/>
          <w:b/>
          <w:bCs/>
          <w:color w:val="000000" w:themeColor="text1"/>
          <w:szCs w:val="22"/>
        </w:rPr>
        <w:t>Harvesting</w:t>
      </w:r>
    </w:p>
    <w:p w14:paraId="7E545985" w14:textId="77777777" w:rsidR="00733132" w:rsidRDefault="00733132" w:rsidP="00875543">
      <w:pPr>
        <w:spacing w:line="276" w:lineRule="auto"/>
        <w:ind w:firstLine="567"/>
        <w:jc w:val="both"/>
        <w:rPr>
          <w:rFonts w:ascii="Arial" w:hAnsi="Arial" w:cs="Arial"/>
          <w:bCs/>
          <w:szCs w:val="24"/>
        </w:rPr>
      </w:pPr>
      <w:r w:rsidRPr="00733132">
        <w:rPr>
          <w:rFonts w:ascii="Arial" w:hAnsi="Arial" w:cs="Arial"/>
          <w:bCs/>
          <w:szCs w:val="24"/>
        </w:rPr>
        <w:t>Shallots are harvested at 60 days after planting, when the leaves turn yellow or fall over and some of the tubers appear on the surface of the soil. This study observed various growth and yield variables, including plant height, number of leaves, number of tillers, average and largest bulb diameter, number of bulbs, wet weight and dry weight of bulbs per clump, bulb weight loss, bulb weight per plot, and dry bulb yield per hectare. In addition, supporting data on soil physical properties such as moisture content, permeability, texture, and pH H</w:t>
      </w:r>
      <w:r w:rsidRPr="00733132">
        <w:rPr>
          <w:rFonts w:ascii="Cambria Math" w:hAnsi="Cambria Math" w:cs="Cambria Math"/>
          <w:bCs/>
          <w:szCs w:val="24"/>
        </w:rPr>
        <w:t>₂</w:t>
      </w:r>
      <w:r w:rsidRPr="00733132">
        <w:rPr>
          <w:rFonts w:ascii="Arial" w:hAnsi="Arial" w:cs="Arial"/>
          <w:bCs/>
          <w:szCs w:val="24"/>
        </w:rPr>
        <w:t>O were analyzed at the Soil Science Laboratory of Bengkulu University, Indonesia. Agroclimatic data covering rainfall, temperature, and air humidity during June–September</w:t>
      </w:r>
      <w:r w:rsidR="00E948E9">
        <w:rPr>
          <w:rFonts w:ascii="Arial" w:hAnsi="Arial" w:cs="Arial"/>
          <w:bCs/>
          <w:szCs w:val="24"/>
        </w:rPr>
        <w:t xml:space="preserve"> 2025</w:t>
      </w:r>
      <w:r w:rsidR="00983748">
        <w:rPr>
          <w:rFonts w:ascii="Arial" w:hAnsi="Arial" w:cs="Arial"/>
          <w:bCs/>
          <w:szCs w:val="24"/>
        </w:rPr>
        <w:t xml:space="preserve"> were obtained from the MCGA</w:t>
      </w:r>
      <w:r w:rsidRPr="00733132">
        <w:rPr>
          <w:rFonts w:ascii="Arial" w:hAnsi="Arial" w:cs="Arial"/>
          <w:bCs/>
          <w:szCs w:val="24"/>
        </w:rPr>
        <w:t xml:space="preserve"> Pulau Baai Bengkulu Indonesia.</w:t>
      </w:r>
    </w:p>
    <w:p w14:paraId="04FB2E8B" w14:textId="77777777" w:rsidR="00A477D6" w:rsidRPr="00C669F4" w:rsidRDefault="00901C8C" w:rsidP="00C669F4">
      <w:pPr>
        <w:spacing w:line="276" w:lineRule="auto"/>
        <w:jc w:val="both"/>
        <w:rPr>
          <w:rFonts w:ascii="Arial" w:hAnsi="Arial" w:cs="Arial"/>
          <w:b/>
          <w:sz w:val="22"/>
          <w:szCs w:val="24"/>
        </w:rPr>
      </w:pPr>
      <w:r>
        <w:rPr>
          <w:rFonts w:ascii="Arial" w:hAnsi="Arial" w:cs="Arial"/>
          <w:b/>
          <w:sz w:val="22"/>
          <w:szCs w:val="24"/>
        </w:rPr>
        <w:t>2.3</w:t>
      </w:r>
      <w:r w:rsidR="007005A7">
        <w:rPr>
          <w:rFonts w:ascii="Arial" w:hAnsi="Arial" w:cs="Arial"/>
          <w:b/>
          <w:sz w:val="22"/>
          <w:szCs w:val="24"/>
        </w:rPr>
        <w:t xml:space="preserve"> </w:t>
      </w:r>
      <w:r w:rsidR="00875543" w:rsidRPr="00875543">
        <w:rPr>
          <w:rFonts w:ascii="Arial" w:hAnsi="Arial" w:cs="Arial"/>
          <w:b/>
          <w:sz w:val="22"/>
          <w:szCs w:val="24"/>
        </w:rPr>
        <w:t>Data Analysis</w:t>
      </w:r>
    </w:p>
    <w:p w14:paraId="33353B47" w14:textId="77777777" w:rsidR="00875543" w:rsidRDefault="00875543" w:rsidP="00875543">
      <w:pPr>
        <w:pStyle w:val="ListParagraph"/>
        <w:spacing w:line="276" w:lineRule="auto"/>
        <w:ind w:left="0" w:firstLine="567"/>
        <w:jc w:val="both"/>
        <w:rPr>
          <w:rFonts w:ascii="Arial" w:eastAsia="Times New Roman" w:hAnsi="Arial" w:cs="Arial"/>
          <w:color w:val="000000"/>
          <w:sz w:val="20"/>
          <w:szCs w:val="20"/>
        </w:rPr>
      </w:pPr>
      <w:r w:rsidRPr="00875543">
        <w:rPr>
          <w:rFonts w:ascii="Arial" w:eastAsia="Times New Roman" w:hAnsi="Arial" w:cs="Arial"/>
          <w:color w:val="000000"/>
          <w:sz w:val="20"/>
          <w:szCs w:val="20"/>
        </w:rPr>
        <w:t xml:space="preserve">The observation data were analyzed for diversity using ANOVA at the 5% and 1% levels. Further tests were conducted using the DMRT test at the 5% level and the t-test at the 5% level. </w:t>
      </w:r>
    </w:p>
    <w:p w14:paraId="1C2FCFCA" w14:textId="77777777" w:rsidR="00E970C7" w:rsidRPr="00FF7EF5" w:rsidRDefault="00875543" w:rsidP="001C3303">
      <w:pPr>
        <w:pStyle w:val="ListParagraph"/>
        <w:spacing w:line="276" w:lineRule="auto"/>
        <w:ind w:left="0"/>
        <w:jc w:val="both"/>
        <w:rPr>
          <w:rFonts w:ascii="Arial" w:eastAsia="Times New Roman" w:hAnsi="Arial" w:cs="Arial"/>
          <w:sz w:val="20"/>
          <w:szCs w:val="24"/>
          <w:lang w:val="id-ID"/>
        </w:rPr>
      </w:pPr>
      <w:commentRangeStart w:id="14"/>
      <w:r w:rsidRPr="00875543">
        <w:rPr>
          <w:rFonts w:ascii="Arial" w:hAnsi="Arial" w:cs="Arial"/>
          <w:sz w:val="20"/>
          <w:szCs w:val="24"/>
        </w:rPr>
        <w:t xml:space="preserve">Weight Loss (%) </w:t>
      </w:r>
      <w:r w:rsidR="00E970C7" w:rsidRPr="00E970C7">
        <w:rPr>
          <w:rFonts w:ascii="Arial" w:eastAsia="Times New Roman" w:hAnsi="Arial" w:cs="Arial"/>
          <w:bCs/>
          <w:sz w:val="20"/>
          <w:szCs w:val="24"/>
        </w:rPr>
        <w:t>=</w:t>
      </w:r>
      <w:r w:rsidR="00E970C7" w:rsidRPr="00E970C7">
        <w:rPr>
          <w:rFonts w:asciiTheme="majorBidi" w:eastAsia="Times New Roman" w:hAnsiTheme="majorBidi" w:cstheme="majorBidi"/>
          <w:bCs/>
          <w:szCs w:val="24"/>
        </w:rPr>
        <w:t xml:space="preserve"> </w:t>
      </w: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 xml:space="preserve">Wet Weight of Tubers-Dry Weight of Tubers </m:t>
            </m:r>
          </m:num>
          <m:den>
            <m:r>
              <w:rPr>
                <w:rFonts w:ascii="Cambria Math" w:eastAsia="Times New Roman" w:hAnsi="Cambria Math" w:cs="Times New Roman"/>
                <w:sz w:val="24"/>
                <w:szCs w:val="24"/>
              </w:rPr>
              <m:t>Wet Weight of Tubers</m:t>
            </m:r>
          </m:den>
        </m:f>
      </m:oMath>
      <w:r w:rsidR="00E970C7" w:rsidRPr="002716CD">
        <w:rPr>
          <w:rFonts w:asciiTheme="majorBidi" w:eastAsia="Times New Roman" w:hAnsiTheme="majorBidi" w:cstheme="majorBidi"/>
          <w:bCs/>
          <w:sz w:val="24"/>
          <w:szCs w:val="24"/>
        </w:rPr>
        <w:t xml:space="preserve"> </w:t>
      </w:r>
      <w:r w:rsidR="00E970C7" w:rsidRPr="00E970C7">
        <w:rPr>
          <w:rFonts w:ascii="Arial" w:eastAsia="Times New Roman" w:hAnsi="Arial" w:cs="Arial"/>
          <w:bCs/>
          <w:sz w:val="20"/>
          <w:szCs w:val="24"/>
        </w:rPr>
        <w:t>x 100%</w:t>
      </w:r>
      <w:r w:rsidR="00E970C7">
        <w:rPr>
          <w:rFonts w:ascii="Arial" w:eastAsia="Times New Roman" w:hAnsi="Arial" w:cs="Arial"/>
          <w:bCs/>
          <w:sz w:val="20"/>
          <w:szCs w:val="24"/>
        </w:rPr>
        <w:t xml:space="preserve"> </w:t>
      </w:r>
      <w:r w:rsidR="00FF7EF5">
        <w:rPr>
          <w:rFonts w:ascii="Arial" w:eastAsia="Times New Roman" w:hAnsi="Arial" w:cs="Arial"/>
          <w:bCs/>
          <w:sz w:val="20"/>
          <w:szCs w:val="24"/>
        </w:rPr>
        <w:fldChar w:fldCharType="begin" w:fldLock="1"/>
      </w:r>
      <w:r w:rsidR="00FF7EF5">
        <w:rPr>
          <w:rFonts w:ascii="Arial" w:eastAsia="Times New Roman" w:hAnsi="Arial" w:cs="Arial"/>
          <w:bCs/>
          <w:sz w:val="20"/>
          <w:szCs w:val="24"/>
        </w:rPr>
        <w:instrText>ADDIN CSL_CITATION { "citationItems" : [ { "id" : "ITEM-1", "itemData" : { "author" : [ { "dropping-particle" : "", "family" : "Mokoagow", "given" : "Nurvazria", "non-dropping-particle" : "", "parse-names" : false, "suffix" : "" }, { "dropping-particle" : "", "family" : "Lengkey", "given" : "Lady", "non-dropping-particle" : "", "parse-names" : false, "suffix" : "" }, { "dropping-particle" : "", "family" : "Longdong", "given" : "Ireine", "non-dropping-particle" : "", "parse-names" : false, "suffix" : "" } ], "id" : "ITEM-1", "issued" : { "date-parts" : [ [ "2024" ] ] }, "number-of-pages" : "175-186", "publisher" : "Unsrat Manado", "title" : "Kehilangan hasil dan susut bobot pada proses panen dan pasca panen bawang (Allium ascalonicum L.) Di desa tungoi II kecamatan lolayan kabupaten bolaang mongondow", "type" : "thesis" }, "uris" : [ "http://www.mendeley.com/documents/?uuid=f7261067-f74c-4837-af1e-b19fd70f9422" ] } ], "mendeley" : { "formattedCitation" : "(Mokoagow et al., 2024)", "plainTextFormattedCitation" : "(Mokoagow et al., 2024)", "previouslyFormattedCitation" : "(Mokoagow et al., 2024)" }, "properties" : { "noteIndex" : 0 }, "schema" : "https://github.com/citation-style-language/schema/raw/master/csl-citation.json" }</w:instrText>
      </w:r>
      <w:r w:rsidR="00FF7EF5">
        <w:rPr>
          <w:rFonts w:ascii="Arial" w:eastAsia="Times New Roman" w:hAnsi="Arial" w:cs="Arial"/>
          <w:bCs/>
          <w:sz w:val="20"/>
          <w:szCs w:val="24"/>
        </w:rPr>
        <w:fldChar w:fldCharType="separate"/>
      </w:r>
      <w:r w:rsidR="00FF7EF5" w:rsidRPr="00FF7EF5">
        <w:rPr>
          <w:rFonts w:ascii="Arial" w:eastAsia="Times New Roman" w:hAnsi="Arial" w:cs="Arial"/>
          <w:bCs/>
          <w:noProof/>
          <w:sz w:val="20"/>
          <w:szCs w:val="24"/>
        </w:rPr>
        <w:t xml:space="preserve">(Mokoagow </w:t>
      </w:r>
      <w:r w:rsidR="00FF7EF5" w:rsidRPr="00FF7EF5">
        <w:rPr>
          <w:rFonts w:ascii="Arial" w:eastAsia="Times New Roman" w:hAnsi="Arial" w:cs="Arial"/>
          <w:bCs/>
          <w:i/>
          <w:noProof/>
          <w:sz w:val="20"/>
          <w:szCs w:val="24"/>
        </w:rPr>
        <w:t>et</w:t>
      </w:r>
      <w:r w:rsidR="00FF7EF5" w:rsidRPr="00FF7EF5">
        <w:rPr>
          <w:rFonts w:ascii="Arial" w:eastAsia="Times New Roman" w:hAnsi="Arial" w:cs="Arial"/>
          <w:bCs/>
          <w:noProof/>
          <w:sz w:val="20"/>
          <w:szCs w:val="24"/>
        </w:rPr>
        <w:t xml:space="preserve"> </w:t>
      </w:r>
      <w:r w:rsidR="00FF7EF5" w:rsidRPr="00FF7EF5">
        <w:rPr>
          <w:rFonts w:ascii="Arial" w:eastAsia="Times New Roman" w:hAnsi="Arial" w:cs="Arial"/>
          <w:bCs/>
          <w:i/>
          <w:noProof/>
          <w:sz w:val="20"/>
          <w:szCs w:val="24"/>
        </w:rPr>
        <w:t>al</w:t>
      </w:r>
      <w:r w:rsidR="00FF7EF5" w:rsidRPr="00FF7EF5">
        <w:rPr>
          <w:rFonts w:ascii="Arial" w:eastAsia="Times New Roman" w:hAnsi="Arial" w:cs="Arial"/>
          <w:bCs/>
          <w:noProof/>
          <w:sz w:val="20"/>
          <w:szCs w:val="24"/>
        </w:rPr>
        <w:t>., 2024)</w:t>
      </w:r>
      <w:r w:rsidR="00FF7EF5">
        <w:rPr>
          <w:rFonts w:ascii="Arial" w:eastAsia="Times New Roman" w:hAnsi="Arial" w:cs="Arial"/>
          <w:bCs/>
          <w:sz w:val="20"/>
          <w:szCs w:val="24"/>
        </w:rPr>
        <w:fldChar w:fldCharType="end"/>
      </w:r>
    </w:p>
    <w:p w14:paraId="71432650" w14:textId="77777777" w:rsidR="00E970C7" w:rsidRPr="00FF7EF5" w:rsidRDefault="00875543" w:rsidP="001C3303">
      <w:pPr>
        <w:pStyle w:val="ListParagraph"/>
        <w:spacing w:line="276" w:lineRule="auto"/>
        <w:ind w:left="0"/>
        <w:rPr>
          <w:rFonts w:ascii="Arial" w:hAnsi="Arial" w:cs="Arial"/>
          <w:b/>
          <w:bCs/>
          <w:szCs w:val="24"/>
          <w:lang w:val="id-ID"/>
        </w:rPr>
      </w:pPr>
      <w:r w:rsidRPr="00875543">
        <w:rPr>
          <w:rFonts w:ascii="Arial" w:hAnsi="Arial" w:cs="Arial"/>
          <w:bCs/>
          <w:sz w:val="20"/>
          <w:szCs w:val="24"/>
          <w:lang w:val="id-ID"/>
        </w:rPr>
        <w:t>Tuber Weight per Plot</w:t>
      </w:r>
      <w:r w:rsidR="00E970C7" w:rsidRPr="00E970C7">
        <w:rPr>
          <w:rFonts w:ascii="Arial" w:hAnsi="Arial" w:cs="Arial"/>
          <w:bCs/>
          <w:sz w:val="20"/>
          <w:szCs w:val="24"/>
          <w:lang w:val="id-ID"/>
        </w:rPr>
        <w:t xml:space="preserve"> =</w:t>
      </w:r>
      <w:r w:rsidR="00E970C7" w:rsidRPr="00E970C7">
        <w:rPr>
          <w:rFonts w:ascii="Arial" w:hAnsi="Arial" w:cs="Arial"/>
          <w:b/>
          <w:bCs/>
          <w:sz w:val="20"/>
          <w:szCs w:val="24"/>
          <w:lang w:val="id-ID"/>
        </w:rPr>
        <w:t xml:space="preserve"> </w:t>
      </w:r>
      <m:oMath>
        <m:f>
          <m:fPr>
            <m:ctrlPr>
              <w:rPr>
                <w:rFonts w:ascii="Cambria Math" w:hAnsi="Cambria Math" w:cs="Arial"/>
                <w:bCs/>
                <w:i/>
                <w:szCs w:val="24"/>
                <w:lang w:val="id-ID"/>
              </w:rPr>
            </m:ctrlPr>
          </m:fPr>
          <m:num>
            <m:r>
              <w:rPr>
                <w:rFonts w:ascii="Cambria Math" w:hAnsi="Cambria Math" w:cs="Arial"/>
                <w:szCs w:val="24"/>
                <w:lang w:val="id-ID"/>
              </w:rPr>
              <m:t xml:space="preserve">Plot area (cm2) </m:t>
            </m:r>
          </m:num>
          <m:den>
            <m:r>
              <w:rPr>
                <w:rFonts w:ascii="Cambria Math" w:hAnsi="Cambria Math" w:cs="Arial"/>
                <w:szCs w:val="24"/>
                <w:lang w:val="id-ID"/>
              </w:rPr>
              <m:t>Planting Distance (cm2)</m:t>
            </m:r>
          </m:den>
        </m:f>
      </m:oMath>
      <w:r w:rsidR="00E970C7" w:rsidRPr="00E970C7">
        <w:rPr>
          <w:rFonts w:ascii="Arial" w:hAnsi="Arial" w:cs="Arial"/>
          <w:b/>
          <w:bCs/>
          <w:szCs w:val="24"/>
          <w:lang w:val="id-ID"/>
        </w:rPr>
        <w:t xml:space="preserve"> </w:t>
      </w:r>
      <w:r w:rsidR="00E970C7" w:rsidRPr="00E970C7">
        <w:rPr>
          <w:rFonts w:ascii="Arial" w:hAnsi="Arial" w:cs="Arial"/>
          <w:bCs/>
          <w:sz w:val="20"/>
          <w:szCs w:val="24"/>
          <w:lang w:val="id-ID"/>
        </w:rPr>
        <w:t xml:space="preserve">x </w:t>
      </w:r>
      <w:r w:rsidRPr="00875543">
        <w:rPr>
          <w:rFonts w:ascii="Arial" w:hAnsi="Arial" w:cs="Arial"/>
          <w:bCs/>
          <w:sz w:val="20"/>
          <w:szCs w:val="24"/>
        </w:rPr>
        <w:t>Dry tuber weight (g)</w:t>
      </w:r>
      <w:r w:rsidR="00FF7EF5" w:rsidRPr="00FF7EF5">
        <w:rPr>
          <w:rFonts w:ascii="Arial" w:hAnsi="Arial" w:cs="Arial"/>
          <w:bCs/>
          <w:sz w:val="20"/>
          <w:szCs w:val="20"/>
          <w:lang w:val="id-ID"/>
        </w:rPr>
        <w:t xml:space="preserve"> </w:t>
      </w:r>
      <w:r w:rsidR="00FF7EF5" w:rsidRPr="00FF7EF5">
        <w:rPr>
          <w:rFonts w:ascii="Arial" w:hAnsi="Arial" w:cs="Arial"/>
          <w:bCs/>
          <w:sz w:val="20"/>
          <w:szCs w:val="20"/>
          <w:lang w:val="id-ID"/>
        </w:rPr>
        <w:fldChar w:fldCharType="begin" w:fldLock="1"/>
      </w:r>
      <w:r w:rsidR="00FF7EF5" w:rsidRPr="00FF7EF5">
        <w:rPr>
          <w:rFonts w:ascii="Arial" w:hAnsi="Arial" w:cs="Arial"/>
          <w:bCs/>
          <w:sz w:val="20"/>
          <w:szCs w:val="20"/>
          <w:lang w:val="id-ID"/>
        </w:rPr>
        <w:instrText>ADDIN CSL_CITATION { "citationItems" : [ { "id" : "ITEM-1", "itemData" : { "author" : [ { "dropping-particle" : "", "family" : "Sugino", "given" : "", "non-dropping-particle" : "", "parse-names" : false, "suffix" : "" }, { "dropping-particle" : "", "family" : "Sumarna", "given" : "Pandu", "non-dropping-particle" : "", "parse-names" : false, "suffix" : "" }, { "dropping-particle" : "", "family" : "Laila", "given" : "Fadhillah", "non-dropping-particle" : "", "parse-names" : false, "suffix" : "" }, { "dropping-particle" : "", "family" : "Mahmud", "given" : "Yudhi", "non-dropping-particle" : "", "parse-names" : false, "suffix" : "" }, { "dropping-particle" : "Al", "family" : "Asad", "given" : "Faisal", "non-dropping-particle" : "", "parse-names" : false, "suffix" : "" } ], "container-title" : "Jurnal Agro Wiralodra", "id" : "ITEM-1", "issue" : "May 2024", "issued" : { "date-parts" : [ [ "2025" ] ] }, "page" : "6-11", "title" : "Pengaruh berbagai jarak tanam terhadap pertumbuhan dan hasil tanaman bawang merah (Allium ascalonicum L.) varietas bima brebes", "type" : "article-journal", "volume" : "8" }, "uris" : [ "http://www.mendeley.com/documents/?uuid=0d6a96a4-a360-48a3-bfa6-d77bb973b02a" ] } ], "mendeley" : { "formattedCitation" : "(Sugino et al., 2025)", "plainTextFormattedCitation" : "(Sugino et al., 2025)", "previouslyFormattedCitation" : "(Sugino et al., 2025)" }, "properties" : { "noteIndex" : 0 }, "schema" : "https://github.com/citation-style-language/schema/raw/master/csl-citation.json" }</w:instrText>
      </w:r>
      <w:r w:rsidR="00FF7EF5" w:rsidRPr="00FF7EF5">
        <w:rPr>
          <w:rFonts w:ascii="Arial" w:hAnsi="Arial" w:cs="Arial"/>
          <w:bCs/>
          <w:sz w:val="20"/>
          <w:szCs w:val="20"/>
          <w:lang w:val="id-ID"/>
        </w:rPr>
        <w:fldChar w:fldCharType="separate"/>
      </w:r>
      <w:r w:rsidR="00FF7EF5" w:rsidRPr="00FF7EF5">
        <w:rPr>
          <w:rFonts w:ascii="Arial" w:hAnsi="Arial" w:cs="Arial"/>
          <w:bCs/>
          <w:noProof/>
          <w:sz w:val="20"/>
          <w:szCs w:val="20"/>
          <w:lang w:val="id-ID"/>
        </w:rPr>
        <w:t xml:space="preserve">(Sugino </w:t>
      </w:r>
      <w:r w:rsidR="00FF7EF5" w:rsidRPr="00FF7EF5">
        <w:rPr>
          <w:rFonts w:ascii="Arial" w:hAnsi="Arial" w:cs="Arial"/>
          <w:bCs/>
          <w:i/>
          <w:noProof/>
          <w:sz w:val="20"/>
          <w:szCs w:val="20"/>
          <w:lang w:val="id-ID"/>
        </w:rPr>
        <w:t>et</w:t>
      </w:r>
      <w:r w:rsidR="00FF7EF5" w:rsidRPr="00FF7EF5">
        <w:rPr>
          <w:rFonts w:ascii="Arial" w:hAnsi="Arial" w:cs="Arial"/>
          <w:bCs/>
          <w:noProof/>
          <w:sz w:val="20"/>
          <w:szCs w:val="20"/>
          <w:lang w:val="id-ID"/>
        </w:rPr>
        <w:t xml:space="preserve"> </w:t>
      </w:r>
      <w:r w:rsidR="00FF7EF5" w:rsidRPr="00FF7EF5">
        <w:rPr>
          <w:rFonts w:ascii="Arial" w:hAnsi="Arial" w:cs="Arial"/>
          <w:bCs/>
          <w:i/>
          <w:noProof/>
          <w:sz w:val="20"/>
          <w:szCs w:val="20"/>
          <w:lang w:val="id-ID"/>
        </w:rPr>
        <w:t>al</w:t>
      </w:r>
      <w:r w:rsidR="00FF7EF5" w:rsidRPr="00FF7EF5">
        <w:rPr>
          <w:rFonts w:ascii="Arial" w:hAnsi="Arial" w:cs="Arial"/>
          <w:bCs/>
          <w:noProof/>
          <w:sz w:val="20"/>
          <w:szCs w:val="20"/>
          <w:lang w:val="id-ID"/>
        </w:rPr>
        <w:t>., 2025)</w:t>
      </w:r>
      <w:r w:rsidR="00FF7EF5" w:rsidRPr="00FF7EF5">
        <w:rPr>
          <w:rFonts w:ascii="Arial" w:hAnsi="Arial" w:cs="Arial"/>
          <w:bCs/>
          <w:sz w:val="20"/>
          <w:szCs w:val="20"/>
          <w:lang w:val="id-ID"/>
        </w:rPr>
        <w:fldChar w:fldCharType="end"/>
      </w:r>
    </w:p>
    <w:p w14:paraId="3821B22A" w14:textId="77777777" w:rsidR="009D1BAD" w:rsidRPr="00FF7EF5" w:rsidRDefault="00875543" w:rsidP="001C3303">
      <w:pPr>
        <w:pStyle w:val="ListParagraph"/>
        <w:spacing w:line="276" w:lineRule="auto"/>
        <w:ind w:left="0"/>
        <w:rPr>
          <w:rFonts w:ascii="Arial" w:hAnsi="Arial" w:cs="Arial"/>
          <w:bCs/>
          <w:sz w:val="20"/>
          <w:szCs w:val="24"/>
          <w:lang w:val="id-ID"/>
        </w:rPr>
      </w:pPr>
      <w:r w:rsidRPr="00875543">
        <w:rPr>
          <w:rFonts w:ascii="Arial" w:eastAsia="Times New Roman" w:hAnsi="Arial" w:cs="Arial"/>
          <w:bCs/>
          <w:sz w:val="20"/>
          <w:szCs w:val="24"/>
        </w:rPr>
        <w:t>Conversion (tons/hectare)</w:t>
      </w:r>
      <w:r>
        <w:rPr>
          <w:rFonts w:ascii="Arial" w:eastAsia="Times New Roman" w:hAnsi="Arial" w:cs="Arial"/>
          <w:bCs/>
          <w:sz w:val="20"/>
          <w:szCs w:val="24"/>
        </w:rPr>
        <w:t xml:space="preserve"> </w:t>
      </w:r>
      <w:r w:rsidR="002827CD" w:rsidRPr="002827CD">
        <w:rPr>
          <w:rFonts w:ascii="Arial" w:eastAsia="Times New Roman" w:hAnsi="Arial" w:cs="Arial"/>
          <w:bCs/>
          <w:sz w:val="20"/>
          <w:szCs w:val="24"/>
        </w:rPr>
        <w:t>=</w:t>
      </w:r>
      <w:r w:rsidR="002827CD" w:rsidRPr="002827CD">
        <w:rPr>
          <w:rFonts w:asciiTheme="majorBidi" w:eastAsia="Times New Roman" w:hAnsiTheme="majorBidi" w:cstheme="majorBidi"/>
          <w:bCs/>
          <w:sz w:val="20"/>
          <w:szCs w:val="24"/>
        </w:rPr>
        <w:t xml:space="preserve"> </w:t>
      </w:r>
      <m:oMath>
        <m:f>
          <m:fPr>
            <m:ctrlPr>
              <w:rPr>
                <w:rFonts w:ascii="Cambria Math" w:eastAsia="Times New Roman" w:hAnsi="Cambria Math" w:cstheme="majorBidi"/>
                <w:bCs/>
                <w:i/>
                <w:sz w:val="24"/>
                <w:szCs w:val="24"/>
              </w:rPr>
            </m:ctrlPr>
          </m:fPr>
          <m:num>
            <m:r>
              <w:rPr>
                <w:rFonts w:ascii="Cambria Math" w:eastAsia="Times New Roman" w:hAnsi="Cambria Math" w:cstheme="majorBidi"/>
                <w:sz w:val="24"/>
                <w:szCs w:val="24"/>
              </w:rPr>
              <m:t>10.000 m2</m:t>
            </m:r>
          </m:num>
          <m:den>
            <m:r>
              <w:rPr>
                <w:rFonts w:ascii="Cambria Math" w:eastAsia="Times New Roman" w:hAnsi="Cambria Math" w:cstheme="majorBidi"/>
                <w:sz w:val="24"/>
                <w:szCs w:val="24"/>
              </w:rPr>
              <m:t>area of the plot m2</m:t>
            </m:r>
          </m:den>
        </m:f>
      </m:oMath>
      <w:r w:rsidR="002827CD">
        <w:rPr>
          <w:rFonts w:asciiTheme="majorBidi" w:eastAsia="Times New Roman" w:hAnsiTheme="majorBidi" w:cstheme="majorBidi"/>
          <w:bCs/>
          <w:sz w:val="24"/>
          <w:szCs w:val="24"/>
        </w:rPr>
        <w:t xml:space="preserve"> </w:t>
      </w:r>
      <w:r w:rsidR="002827CD" w:rsidRPr="002827CD">
        <w:rPr>
          <w:rFonts w:ascii="Arial" w:eastAsia="Times New Roman" w:hAnsi="Arial" w:cs="Arial"/>
          <w:bCs/>
          <w:sz w:val="20"/>
          <w:szCs w:val="24"/>
        </w:rPr>
        <w:t xml:space="preserve">x </w:t>
      </w:r>
      <w:r w:rsidRPr="00875543">
        <w:rPr>
          <w:rFonts w:ascii="Arial" w:eastAsia="Times New Roman" w:hAnsi="Arial" w:cs="Arial"/>
          <w:bCs/>
          <w:sz w:val="20"/>
          <w:szCs w:val="24"/>
        </w:rPr>
        <w:t>Yield per plot (tons)</w:t>
      </w:r>
      <w:r w:rsidR="002827CD" w:rsidRPr="002827CD">
        <w:rPr>
          <w:rFonts w:ascii="Arial" w:eastAsia="Times New Roman" w:hAnsi="Arial" w:cs="Arial"/>
          <w:bCs/>
          <w:sz w:val="20"/>
          <w:szCs w:val="24"/>
        </w:rPr>
        <w:t xml:space="preserve"> x 80%</w:t>
      </w:r>
      <w:r w:rsidR="002827CD">
        <w:rPr>
          <w:rFonts w:ascii="Arial" w:eastAsia="Times New Roman" w:hAnsi="Arial" w:cs="Arial"/>
          <w:bCs/>
          <w:sz w:val="20"/>
          <w:szCs w:val="24"/>
        </w:rPr>
        <w:t xml:space="preserve"> </w:t>
      </w:r>
      <w:r w:rsidR="00FF7EF5">
        <w:rPr>
          <w:rFonts w:ascii="Arial" w:hAnsi="Arial" w:cs="Arial"/>
          <w:bCs/>
          <w:sz w:val="20"/>
          <w:szCs w:val="24"/>
          <w:lang w:val="id-ID"/>
        </w:rPr>
        <w:fldChar w:fldCharType="begin" w:fldLock="1"/>
      </w:r>
      <w:r w:rsidR="00FF7EF5">
        <w:rPr>
          <w:rFonts w:ascii="Arial" w:hAnsi="Arial" w:cs="Arial"/>
          <w:bCs/>
          <w:sz w:val="20"/>
          <w:szCs w:val="24"/>
          <w:lang w:val="id-ID"/>
        </w:rPr>
        <w:instrText>ADDIN CSL_CITATION { "citationItems" : [ { "id" : "ITEM-1", "itemData" : { "author" : [ { "dropping-particle" : "", "family" : "Sugino", "given" : "", "non-dropping-particle" : "", "parse-names" : false, "suffix" : "" }, { "dropping-particle" : "", "family" : "Sumarna", "given" : "Pandu", "non-dropping-particle" : "", "parse-names" : false, "suffix" : "" }, { "dropping-particle" : "", "family" : "Laila", "given" : "Fadhillah", "non-dropping-particle" : "", "parse-names" : false, "suffix" : "" }, { "dropping-particle" : "", "family" : "Mahmud", "given" : "Yudhi", "non-dropping-particle" : "", "parse-names" : false, "suffix" : "" }, { "dropping-particle" : "Al", "family" : "Asad", "given" : "Faisal", "non-dropping-particle" : "", "parse-names" : false, "suffix" : "" } ], "container-title" : "Jurnal Agro Wiralodra", "id" : "ITEM-1", "issue" : "May 2024", "issued" : { "date-parts" : [ [ "2025" ] ] }, "page" : "6-11", "title" : "Pengaruh berbagai jarak tanam terhadap pertumbuhan dan hasil tanaman bawang merah (Allium ascalonicum L.) varietas bima brebes", "type" : "article-journal", "volume" : "8" }, "uris" : [ "http://www.mendeley.com/documents/?uuid=0d6a96a4-a360-48a3-bfa6-d77bb973b02a" ] } ], "mendeley" : { "formattedCitation" : "(Sugino et al., 2025)", "plainTextFormattedCitation" : "(Sugino et al., 2025)", "previouslyFormattedCitation" : "(Sugino et al., 2025)" }, "properties" : { "noteIndex" : 0 }, "schema" : "https://github.com/citation-style-language/schema/raw/master/csl-citation.json" }</w:instrText>
      </w:r>
      <w:r w:rsidR="00FF7EF5">
        <w:rPr>
          <w:rFonts w:ascii="Arial" w:hAnsi="Arial" w:cs="Arial"/>
          <w:bCs/>
          <w:sz w:val="20"/>
          <w:szCs w:val="24"/>
          <w:lang w:val="id-ID"/>
        </w:rPr>
        <w:fldChar w:fldCharType="separate"/>
      </w:r>
      <w:r w:rsidR="00FF7EF5" w:rsidRPr="00FF7EF5">
        <w:rPr>
          <w:rFonts w:ascii="Arial" w:hAnsi="Arial" w:cs="Arial"/>
          <w:bCs/>
          <w:noProof/>
          <w:sz w:val="20"/>
          <w:szCs w:val="24"/>
          <w:lang w:val="id-ID"/>
        </w:rPr>
        <w:t xml:space="preserve">(Sugino </w:t>
      </w:r>
      <w:r w:rsidR="00FF7EF5" w:rsidRPr="00FF7EF5">
        <w:rPr>
          <w:rFonts w:ascii="Arial" w:hAnsi="Arial" w:cs="Arial"/>
          <w:bCs/>
          <w:i/>
          <w:noProof/>
          <w:sz w:val="20"/>
          <w:szCs w:val="24"/>
          <w:lang w:val="id-ID"/>
        </w:rPr>
        <w:t>et</w:t>
      </w:r>
      <w:r w:rsidR="00FF7EF5" w:rsidRPr="00FF7EF5">
        <w:rPr>
          <w:rFonts w:ascii="Arial" w:hAnsi="Arial" w:cs="Arial"/>
          <w:bCs/>
          <w:noProof/>
          <w:sz w:val="20"/>
          <w:szCs w:val="24"/>
          <w:lang w:val="id-ID"/>
        </w:rPr>
        <w:t xml:space="preserve"> </w:t>
      </w:r>
      <w:r w:rsidR="00FF7EF5" w:rsidRPr="00FF7EF5">
        <w:rPr>
          <w:rFonts w:ascii="Arial" w:hAnsi="Arial" w:cs="Arial"/>
          <w:bCs/>
          <w:i/>
          <w:noProof/>
          <w:sz w:val="20"/>
          <w:szCs w:val="24"/>
          <w:lang w:val="id-ID"/>
        </w:rPr>
        <w:t>al</w:t>
      </w:r>
      <w:r w:rsidR="00FF7EF5" w:rsidRPr="00FF7EF5">
        <w:rPr>
          <w:rFonts w:ascii="Arial" w:hAnsi="Arial" w:cs="Arial"/>
          <w:bCs/>
          <w:noProof/>
          <w:sz w:val="20"/>
          <w:szCs w:val="24"/>
          <w:lang w:val="id-ID"/>
        </w:rPr>
        <w:t>., 2025)</w:t>
      </w:r>
      <w:r w:rsidR="00FF7EF5">
        <w:rPr>
          <w:rFonts w:ascii="Arial" w:hAnsi="Arial" w:cs="Arial"/>
          <w:bCs/>
          <w:sz w:val="20"/>
          <w:szCs w:val="24"/>
          <w:lang w:val="id-ID"/>
        </w:rPr>
        <w:fldChar w:fldCharType="end"/>
      </w:r>
      <w:commentRangeEnd w:id="14"/>
      <w:r w:rsidR="003D6C63">
        <w:rPr>
          <w:rStyle w:val="CommentReference"/>
          <w:rFonts w:ascii="Times New Roman" w:eastAsia="Times New Roman" w:hAnsi="Times New Roman" w:cs="Times New Roman"/>
          <w:lang w:val="nb-NO" w:eastAsia="nb-NO"/>
        </w:rPr>
        <w:commentReference w:id="14"/>
      </w:r>
    </w:p>
    <w:p w14:paraId="7FBCCCB2" w14:textId="77777777" w:rsidR="009A734B" w:rsidRPr="009D1BAD" w:rsidRDefault="00AA2E48" w:rsidP="00E83F3F">
      <w:pPr>
        <w:pStyle w:val="ListParagraph"/>
        <w:spacing w:before="240" w:after="0" w:line="276" w:lineRule="auto"/>
        <w:ind w:left="0"/>
        <w:rPr>
          <w:rFonts w:ascii="Arial" w:eastAsia="Times New Roman" w:hAnsi="Arial" w:cs="Arial"/>
          <w:b/>
          <w:bCs/>
          <w:sz w:val="20"/>
          <w:szCs w:val="24"/>
        </w:rPr>
      </w:pPr>
      <w:r>
        <w:rPr>
          <w:rFonts w:ascii="Arial" w:hAnsi="Arial" w:cs="Arial"/>
          <w:b/>
        </w:rPr>
        <w:t xml:space="preserve">3. </w:t>
      </w:r>
      <w:r w:rsidR="00875543" w:rsidRPr="00875543">
        <w:rPr>
          <w:rFonts w:ascii="Arial" w:hAnsi="Arial" w:cs="Arial"/>
          <w:b/>
        </w:rPr>
        <w:t>RESULTS AND DISCUSSION</w:t>
      </w:r>
    </w:p>
    <w:p w14:paraId="0905C7E5" w14:textId="77777777" w:rsidR="009A734B" w:rsidRDefault="00875543" w:rsidP="009A734B">
      <w:pPr>
        <w:pStyle w:val="Head1"/>
        <w:spacing w:after="0" w:line="276" w:lineRule="auto"/>
        <w:ind w:firstLine="567"/>
        <w:jc w:val="both"/>
        <w:rPr>
          <w:rFonts w:ascii="Arial" w:hAnsi="Arial" w:cs="Arial"/>
          <w:b w:val="0"/>
          <w:caps w:val="0"/>
          <w:sz w:val="20"/>
        </w:rPr>
      </w:pPr>
      <w:r w:rsidRPr="00875543">
        <w:rPr>
          <w:rFonts w:ascii="Arial" w:hAnsi="Arial" w:cs="Arial"/>
          <w:b w:val="0"/>
          <w:caps w:val="0"/>
          <w:sz w:val="20"/>
        </w:rPr>
        <w:t>The sandy soil used had a bulk density of 1.10 g/cm³. The study was conducted during the dry season with a monthly temperature of 26–27°C, rainfall of 10–34 mm/month (very lo</w:t>
      </w:r>
      <w:r w:rsidR="002E2FF7">
        <w:rPr>
          <w:rFonts w:ascii="Arial" w:hAnsi="Arial" w:cs="Arial"/>
          <w:b w:val="0"/>
          <w:caps w:val="0"/>
          <w:sz w:val="20"/>
        </w:rPr>
        <w:t>w), and humidity of 85–88% (MCGA</w:t>
      </w:r>
      <w:r w:rsidRPr="00875543">
        <w:rPr>
          <w:rFonts w:ascii="Arial" w:hAnsi="Arial" w:cs="Arial"/>
          <w:b w:val="0"/>
          <w:caps w:val="0"/>
          <w:sz w:val="20"/>
        </w:rPr>
        <w:t xml:space="preserve">, 2025). These conditions are less than optimal for shallots because this plant requires rainfall of 350–600 mm/year </w:t>
      </w:r>
      <w:r w:rsidR="009A734B" w:rsidRPr="006936EA">
        <w:rPr>
          <w:rFonts w:ascii="Arial" w:hAnsi="Arial" w:cs="Arial"/>
          <w:b w:val="0"/>
          <w:caps w:val="0"/>
          <w:sz w:val="20"/>
        </w:rPr>
        <w:t xml:space="preserve">(arjuna </w:t>
      </w:r>
      <w:r w:rsidR="009A734B" w:rsidRPr="006936EA">
        <w:rPr>
          <w:rFonts w:ascii="Arial" w:hAnsi="Arial" w:cs="Arial"/>
          <w:b w:val="0"/>
          <w:i/>
          <w:caps w:val="0"/>
          <w:sz w:val="20"/>
        </w:rPr>
        <w:t>et al</w:t>
      </w:r>
      <w:r w:rsidR="009A734B" w:rsidRPr="006936EA">
        <w:rPr>
          <w:rFonts w:ascii="Arial" w:hAnsi="Arial" w:cs="Arial"/>
          <w:b w:val="0"/>
          <w:caps w:val="0"/>
          <w:sz w:val="20"/>
        </w:rPr>
        <w:t xml:space="preserve">., 2024) </w:t>
      </w:r>
      <w:r w:rsidRPr="00875543">
        <w:rPr>
          <w:rFonts w:ascii="Arial" w:hAnsi="Arial" w:cs="Arial"/>
          <w:b w:val="0"/>
          <w:caps w:val="0"/>
          <w:sz w:val="20"/>
        </w:rPr>
        <w:t>as well as a temperature of 25–32°C and humidity of 50–70%</w:t>
      </w:r>
      <w:r w:rsidR="00FF7EF5">
        <w:rPr>
          <w:rFonts w:ascii="Arial" w:hAnsi="Arial" w:cs="Arial"/>
          <w:b w:val="0"/>
          <w:caps w:val="0"/>
          <w:sz w:val="20"/>
          <w:lang w:val="id-ID"/>
        </w:rPr>
        <w:t xml:space="preserve"> </w:t>
      </w:r>
      <w:r w:rsidR="00FF7EF5">
        <w:rPr>
          <w:rFonts w:ascii="Arial" w:hAnsi="Arial" w:cs="Arial"/>
          <w:b w:val="0"/>
          <w:caps w:val="0"/>
          <w:sz w:val="20"/>
          <w:lang w:val="id-ID"/>
        </w:rPr>
        <w:fldChar w:fldCharType="begin" w:fldLock="1"/>
      </w:r>
      <w:r w:rsidR="00044AE5">
        <w:rPr>
          <w:rFonts w:ascii="Arial" w:hAnsi="Arial" w:cs="Arial"/>
          <w:b w:val="0"/>
          <w:caps w:val="0"/>
          <w:sz w:val="20"/>
          <w:lang w:val="id-ID"/>
        </w:rPr>
        <w:instrText>ADDIN CSL_CITATION { "citationItems" : [ { "id" : "ITEM-1", "itemData" : { "author" : [ { "dropping-particle" : "", "family" : "Suharto", "given" : "", "non-dropping-particle" : "", "parse-names" : false, "suffix" : "" }, { "dropping-particle" : "", "family" : "Faizati", "given" : "Aulia Rahma", "non-dropping-particle" : "", "parse-names" : false, "suffix" : "" }, { "dropping-particle" : "", "family" : "Wijaya", "given" : "Tania Kana", "non-dropping-particle" : "", "parse-names" : false, "suffix" : "" } ], "container-title" : "Dedikasi : Community Service Report", "id" : "ITEM-1", "issue" : "1", "issued" : { "date-parts" : [ [ "2022" ] ] }, "page" : "39-48", "title" : "Penyuluhan Pertanian Teknik Budidaya Bawang Merah Pada Ibu-Ibu Pembinaan Kesejahteraan Keluarga (Pkk) Desa Kalibeji", "type" : "article-journal", "volume" : "4" }, "uris" : [ "http://www.mendeley.com/documents/?uuid=9195fd2f-5c78-44f6-9583-3a58aea61442" ] } ], "mendeley" : { "formattedCitation" : "(Suharto et al., 2022)", "plainTextFormattedCitation" : "(Suharto et al., 2022)", "previouslyFormattedCitation" : "(Suharto et al., 2022)" }, "properties" : { "noteIndex" : 0 }, "schema" : "https://github.com/citation-style-language/schema/raw/master/csl-citation.json" }</w:instrText>
      </w:r>
      <w:r w:rsidR="00FF7EF5">
        <w:rPr>
          <w:rFonts w:ascii="Arial" w:hAnsi="Arial" w:cs="Arial"/>
          <w:b w:val="0"/>
          <w:caps w:val="0"/>
          <w:sz w:val="20"/>
          <w:lang w:val="id-ID"/>
        </w:rPr>
        <w:fldChar w:fldCharType="separate"/>
      </w:r>
      <w:r w:rsidR="00FF7EF5" w:rsidRPr="00FF7EF5">
        <w:rPr>
          <w:rFonts w:ascii="Arial" w:hAnsi="Arial" w:cs="Arial"/>
          <w:b w:val="0"/>
          <w:caps w:val="0"/>
          <w:noProof/>
          <w:sz w:val="20"/>
          <w:lang w:val="id-ID"/>
        </w:rPr>
        <w:t xml:space="preserve">(Suharto </w:t>
      </w:r>
      <w:r w:rsidR="00FF7EF5" w:rsidRPr="00FF7EF5">
        <w:rPr>
          <w:rFonts w:ascii="Arial" w:hAnsi="Arial" w:cs="Arial"/>
          <w:b w:val="0"/>
          <w:i/>
          <w:caps w:val="0"/>
          <w:noProof/>
          <w:sz w:val="20"/>
          <w:lang w:val="id-ID"/>
        </w:rPr>
        <w:t>et</w:t>
      </w:r>
      <w:r w:rsidR="00FF7EF5" w:rsidRPr="00FF7EF5">
        <w:rPr>
          <w:rFonts w:ascii="Arial" w:hAnsi="Arial" w:cs="Arial"/>
          <w:b w:val="0"/>
          <w:caps w:val="0"/>
          <w:noProof/>
          <w:sz w:val="20"/>
          <w:lang w:val="id-ID"/>
        </w:rPr>
        <w:t xml:space="preserve"> </w:t>
      </w:r>
      <w:r w:rsidR="00FF7EF5" w:rsidRPr="00FF7EF5">
        <w:rPr>
          <w:rFonts w:ascii="Arial" w:hAnsi="Arial" w:cs="Arial"/>
          <w:b w:val="0"/>
          <w:i/>
          <w:caps w:val="0"/>
          <w:noProof/>
          <w:sz w:val="20"/>
          <w:lang w:val="id-ID"/>
        </w:rPr>
        <w:t>al</w:t>
      </w:r>
      <w:r w:rsidR="00FF7EF5" w:rsidRPr="00FF7EF5">
        <w:rPr>
          <w:rFonts w:ascii="Arial" w:hAnsi="Arial" w:cs="Arial"/>
          <w:b w:val="0"/>
          <w:caps w:val="0"/>
          <w:noProof/>
          <w:sz w:val="20"/>
          <w:lang w:val="id-ID"/>
        </w:rPr>
        <w:t>., 2022)</w:t>
      </w:r>
      <w:r w:rsidR="00FF7EF5">
        <w:rPr>
          <w:rFonts w:ascii="Arial" w:hAnsi="Arial" w:cs="Arial"/>
          <w:b w:val="0"/>
          <w:caps w:val="0"/>
          <w:sz w:val="20"/>
          <w:lang w:val="id-ID"/>
        </w:rPr>
        <w:fldChar w:fldCharType="end"/>
      </w:r>
      <w:r w:rsidR="009A734B" w:rsidRPr="006936EA">
        <w:rPr>
          <w:rFonts w:ascii="Arial" w:hAnsi="Arial" w:cs="Arial"/>
          <w:b w:val="0"/>
          <w:caps w:val="0"/>
          <w:sz w:val="20"/>
        </w:rPr>
        <w:t xml:space="preserve">. </w:t>
      </w:r>
      <w:r w:rsidRPr="00875543">
        <w:rPr>
          <w:rFonts w:ascii="Arial" w:hAnsi="Arial" w:cs="Arial"/>
          <w:b w:val="0"/>
          <w:caps w:val="0"/>
          <w:sz w:val="20"/>
        </w:rPr>
        <w:t>To maintain adequate water supply, watering is done in the mo</w:t>
      </w:r>
      <w:r w:rsidR="008F3EBD">
        <w:rPr>
          <w:rFonts w:ascii="Arial" w:hAnsi="Arial" w:cs="Arial"/>
          <w:b w:val="0"/>
          <w:caps w:val="0"/>
          <w:sz w:val="20"/>
        </w:rPr>
        <w:t xml:space="preserve">rning and evening at 1–6 WAP </w:t>
      </w:r>
      <w:r w:rsidRPr="00875543">
        <w:rPr>
          <w:rFonts w:ascii="Arial" w:hAnsi="Arial" w:cs="Arial"/>
          <w:b w:val="0"/>
          <w:caps w:val="0"/>
          <w:sz w:val="20"/>
        </w:rPr>
        <w:t>of age and in t</w:t>
      </w:r>
      <w:r w:rsidR="008F3EBD">
        <w:rPr>
          <w:rFonts w:ascii="Arial" w:hAnsi="Arial" w:cs="Arial"/>
          <w:b w:val="0"/>
          <w:caps w:val="0"/>
          <w:sz w:val="20"/>
        </w:rPr>
        <w:t>he morning at 6–9 WAP.</w:t>
      </w:r>
    </w:p>
    <w:p w14:paraId="3DD26027"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4ABF8857"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30DE5915"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5D0C4E8C"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3C2E3B7C"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54ACC9BB"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03C3E1EE"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0CBF1685"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19CFA27E"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4D997BC3"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142DC654" w14:textId="77777777" w:rsidR="00265272" w:rsidRPr="00DD7585" w:rsidRDefault="0022255C" w:rsidP="00EC4810">
      <w:pPr>
        <w:pStyle w:val="ListParagraph"/>
        <w:spacing w:after="0" w:line="276" w:lineRule="auto"/>
        <w:ind w:left="426"/>
        <w:jc w:val="both"/>
        <w:rPr>
          <w:rFonts w:ascii="Arial" w:eastAsia="Times New Roman" w:hAnsi="Arial" w:cs="Arial"/>
          <w:sz w:val="20"/>
          <w:szCs w:val="20"/>
        </w:rPr>
      </w:pPr>
      <w:r w:rsidRPr="0022255C">
        <w:rPr>
          <w:rFonts w:ascii="Arial" w:eastAsia="Times New Roman" w:hAnsi="Arial" w:cs="Arial"/>
          <w:sz w:val="20"/>
          <w:szCs w:val="20"/>
        </w:rPr>
        <w:t>Table 1. Analysis of soil permeability and texture</w:t>
      </w:r>
    </w:p>
    <w:tbl>
      <w:tblPr>
        <w:tblW w:w="7554" w:type="dxa"/>
        <w:tblInd w:w="492" w:type="dxa"/>
        <w:tblLayout w:type="fixed"/>
        <w:tblLook w:val="04A0" w:firstRow="1" w:lastRow="0" w:firstColumn="1" w:lastColumn="0" w:noHBand="0" w:noVBand="1"/>
      </w:tblPr>
      <w:tblGrid>
        <w:gridCol w:w="2310"/>
        <w:gridCol w:w="992"/>
        <w:gridCol w:w="425"/>
        <w:gridCol w:w="425"/>
        <w:gridCol w:w="993"/>
        <w:gridCol w:w="2409"/>
      </w:tblGrid>
      <w:tr w:rsidR="00265272" w:rsidRPr="00DD7585" w14:paraId="0341A3EB" w14:textId="77777777" w:rsidTr="00676668">
        <w:trPr>
          <w:trHeight w:val="575"/>
        </w:trPr>
        <w:tc>
          <w:tcPr>
            <w:tcW w:w="2310" w:type="dxa"/>
            <w:tcBorders>
              <w:top w:val="single" w:sz="4" w:space="0" w:color="auto"/>
              <w:left w:val="nil"/>
              <w:bottom w:val="single" w:sz="4" w:space="0" w:color="000000"/>
              <w:right w:val="nil"/>
            </w:tcBorders>
            <w:vAlign w:val="center"/>
            <w:hideMark/>
          </w:tcPr>
          <w:p w14:paraId="3B1E39DD" w14:textId="77777777" w:rsidR="0022255C" w:rsidRPr="0022255C" w:rsidRDefault="0022255C" w:rsidP="0022255C">
            <w:pPr>
              <w:jc w:val="center"/>
              <w:rPr>
                <w:rFonts w:ascii="Arial" w:hAnsi="Arial" w:cs="Arial"/>
                <w:color w:val="000000"/>
              </w:rPr>
            </w:pPr>
            <w:r w:rsidRPr="0022255C">
              <w:rPr>
                <w:rFonts w:ascii="Arial" w:hAnsi="Arial" w:cs="Arial"/>
                <w:color w:val="000000"/>
              </w:rPr>
              <w:t>Composition of growing media</w:t>
            </w:r>
          </w:p>
          <w:p w14:paraId="119EB9B7" w14:textId="77777777" w:rsidR="00265272" w:rsidRPr="00DD7585" w:rsidRDefault="00265272" w:rsidP="009D1BAD">
            <w:pPr>
              <w:jc w:val="center"/>
              <w:rPr>
                <w:rFonts w:ascii="Arial" w:hAnsi="Arial" w:cs="Arial"/>
                <w:color w:val="000000"/>
              </w:rPr>
            </w:pPr>
          </w:p>
        </w:tc>
        <w:tc>
          <w:tcPr>
            <w:tcW w:w="1417" w:type="dxa"/>
            <w:gridSpan w:val="2"/>
            <w:tcBorders>
              <w:top w:val="single" w:sz="4" w:space="0" w:color="auto"/>
              <w:left w:val="nil"/>
              <w:bottom w:val="single" w:sz="4" w:space="0" w:color="000000"/>
              <w:right w:val="nil"/>
            </w:tcBorders>
            <w:vAlign w:val="center"/>
            <w:hideMark/>
          </w:tcPr>
          <w:p w14:paraId="11476093" w14:textId="77777777" w:rsidR="00265272" w:rsidRPr="00DD7585" w:rsidRDefault="00676668" w:rsidP="0022255C">
            <w:pPr>
              <w:jc w:val="center"/>
              <w:rPr>
                <w:rFonts w:ascii="Arial" w:hAnsi="Arial" w:cs="Arial"/>
                <w:color w:val="000000"/>
              </w:rPr>
            </w:pPr>
            <w:r>
              <w:rPr>
                <w:rFonts w:ascii="Arial" w:hAnsi="Arial" w:cs="Arial"/>
                <w:color w:val="000000"/>
              </w:rPr>
              <w:t xml:space="preserve">Water </w:t>
            </w:r>
            <w:r w:rsidR="0022255C" w:rsidRPr="0022255C">
              <w:rPr>
                <w:rFonts w:ascii="Arial" w:hAnsi="Arial" w:cs="Arial"/>
                <w:color w:val="000000"/>
              </w:rPr>
              <w:t>content (%)</w:t>
            </w:r>
          </w:p>
        </w:tc>
        <w:tc>
          <w:tcPr>
            <w:tcW w:w="1418" w:type="dxa"/>
            <w:gridSpan w:val="2"/>
            <w:tcBorders>
              <w:top w:val="single" w:sz="4" w:space="0" w:color="auto"/>
              <w:left w:val="nil"/>
              <w:bottom w:val="single" w:sz="4" w:space="0" w:color="000000"/>
              <w:right w:val="nil"/>
            </w:tcBorders>
            <w:vAlign w:val="center"/>
            <w:hideMark/>
          </w:tcPr>
          <w:p w14:paraId="7A5098A1" w14:textId="77777777" w:rsidR="0022255C" w:rsidRPr="0022255C" w:rsidRDefault="0022255C" w:rsidP="0022255C">
            <w:pPr>
              <w:jc w:val="center"/>
              <w:rPr>
                <w:rFonts w:ascii="Arial" w:hAnsi="Arial" w:cs="Arial"/>
                <w:color w:val="000000"/>
              </w:rPr>
            </w:pPr>
            <w:r w:rsidRPr="0022255C">
              <w:rPr>
                <w:rFonts w:ascii="Arial" w:hAnsi="Arial" w:cs="Arial"/>
                <w:color w:val="000000"/>
              </w:rPr>
              <w:t xml:space="preserve">Permeability </w:t>
            </w:r>
          </w:p>
          <w:p w14:paraId="00FC3F4B" w14:textId="77777777" w:rsidR="00265272" w:rsidRPr="00DD7585" w:rsidRDefault="0022255C" w:rsidP="0022255C">
            <w:pPr>
              <w:jc w:val="center"/>
              <w:rPr>
                <w:rFonts w:ascii="Arial" w:hAnsi="Arial" w:cs="Arial"/>
                <w:color w:val="000000"/>
              </w:rPr>
            </w:pPr>
            <w:r w:rsidRPr="0022255C">
              <w:rPr>
                <w:rFonts w:ascii="Arial" w:hAnsi="Arial" w:cs="Arial"/>
                <w:color w:val="000000"/>
              </w:rPr>
              <w:t>(cm/hour)</w:t>
            </w:r>
          </w:p>
        </w:tc>
        <w:tc>
          <w:tcPr>
            <w:tcW w:w="2409" w:type="dxa"/>
            <w:tcBorders>
              <w:top w:val="single" w:sz="4" w:space="0" w:color="auto"/>
              <w:left w:val="nil"/>
              <w:bottom w:val="single" w:sz="4" w:space="0" w:color="000000"/>
              <w:right w:val="nil"/>
            </w:tcBorders>
            <w:vAlign w:val="center"/>
          </w:tcPr>
          <w:p w14:paraId="6814DBD0" w14:textId="77777777" w:rsidR="00265272" w:rsidRPr="00DD7585" w:rsidRDefault="00676668" w:rsidP="009D1BAD">
            <w:pPr>
              <w:jc w:val="center"/>
              <w:rPr>
                <w:rFonts w:ascii="Arial" w:hAnsi="Arial" w:cs="Arial"/>
                <w:color w:val="000000"/>
              </w:rPr>
            </w:pPr>
            <w:r w:rsidRPr="00676668">
              <w:rPr>
                <w:rFonts w:ascii="Arial" w:hAnsi="Arial" w:cs="Arial"/>
                <w:color w:val="000000"/>
              </w:rPr>
              <w:t>Permeability criteria</w:t>
            </w:r>
          </w:p>
        </w:tc>
      </w:tr>
      <w:tr w:rsidR="00676668" w:rsidRPr="00DD7585" w14:paraId="4087E8B2" w14:textId="77777777" w:rsidTr="00676668">
        <w:trPr>
          <w:trHeight w:val="205"/>
        </w:trPr>
        <w:tc>
          <w:tcPr>
            <w:tcW w:w="2310" w:type="dxa"/>
            <w:tcBorders>
              <w:top w:val="nil"/>
              <w:left w:val="nil"/>
              <w:bottom w:val="nil"/>
              <w:right w:val="nil"/>
            </w:tcBorders>
            <w:noWrap/>
            <w:vAlign w:val="center"/>
            <w:hideMark/>
          </w:tcPr>
          <w:p w14:paraId="083A15CA"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1417" w:type="dxa"/>
            <w:gridSpan w:val="2"/>
            <w:tcBorders>
              <w:top w:val="nil"/>
              <w:left w:val="nil"/>
              <w:bottom w:val="nil"/>
              <w:right w:val="nil"/>
            </w:tcBorders>
            <w:noWrap/>
            <w:vAlign w:val="bottom"/>
            <w:hideMark/>
          </w:tcPr>
          <w:p w14:paraId="37628854" w14:textId="77777777" w:rsidR="00676668" w:rsidRPr="00DD7585" w:rsidRDefault="00676668" w:rsidP="009D1BAD">
            <w:pPr>
              <w:jc w:val="center"/>
              <w:rPr>
                <w:rFonts w:ascii="Arial" w:hAnsi="Arial" w:cs="Arial"/>
                <w:color w:val="000000"/>
              </w:rPr>
            </w:pPr>
            <w:r w:rsidRPr="00DD7585">
              <w:rPr>
                <w:rFonts w:ascii="Arial" w:hAnsi="Arial" w:cs="Arial"/>
                <w:color w:val="000000"/>
              </w:rPr>
              <w:t>3,75</w:t>
            </w:r>
          </w:p>
        </w:tc>
        <w:tc>
          <w:tcPr>
            <w:tcW w:w="1418" w:type="dxa"/>
            <w:gridSpan w:val="2"/>
            <w:tcBorders>
              <w:top w:val="nil"/>
              <w:left w:val="nil"/>
              <w:bottom w:val="nil"/>
              <w:right w:val="nil"/>
            </w:tcBorders>
            <w:noWrap/>
            <w:vAlign w:val="bottom"/>
            <w:hideMark/>
          </w:tcPr>
          <w:p w14:paraId="5A14D3D9" w14:textId="77777777" w:rsidR="00676668" w:rsidRPr="00DD7585" w:rsidRDefault="00495F7F" w:rsidP="009D1BAD">
            <w:pPr>
              <w:jc w:val="center"/>
              <w:rPr>
                <w:rFonts w:ascii="Arial" w:hAnsi="Arial" w:cs="Arial"/>
                <w:color w:val="000000"/>
              </w:rPr>
            </w:pPr>
            <w:r>
              <w:rPr>
                <w:rFonts w:ascii="Arial" w:hAnsi="Arial" w:cs="Arial"/>
                <w:color w:val="000000"/>
              </w:rPr>
              <w:t>59.4</w:t>
            </w:r>
          </w:p>
        </w:tc>
        <w:tc>
          <w:tcPr>
            <w:tcW w:w="2409" w:type="dxa"/>
            <w:tcBorders>
              <w:top w:val="nil"/>
              <w:left w:val="nil"/>
              <w:bottom w:val="nil"/>
              <w:right w:val="nil"/>
            </w:tcBorders>
          </w:tcPr>
          <w:p w14:paraId="6C10187A"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7457740C" w14:textId="77777777" w:rsidTr="00676668">
        <w:trPr>
          <w:trHeight w:val="119"/>
        </w:trPr>
        <w:tc>
          <w:tcPr>
            <w:tcW w:w="2310" w:type="dxa"/>
            <w:tcBorders>
              <w:top w:val="nil"/>
              <w:left w:val="nil"/>
              <w:bottom w:val="nil"/>
              <w:right w:val="nil"/>
            </w:tcBorders>
            <w:noWrap/>
            <w:vAlign w:val="center"/>
            <w:hideMark/>
          </w:tcPr>
          <w:p w14:paraId="38F6CF8E" w14:textId="77777777" w:rsidR="00676668" w:rsidRPr="00DD7585" w:rsidRDefault="00676668" w:rsidP="009D1BAD">
            <w:pPr>
              <w:jc w:val="center"/>
              <w:rPr>
                <w:rFonts w:ascii="Arial" w:hAnsi="Arial" w:cs="Arial"/>
                <w:color w:val="000000"/>
              </w:rPr>
            </w:pPr>
            <w:r w:rsidRPr="00DD7585">
              <w:rPr>
                <w:rFonts w:ascii="Arial" w:hAnsi="Arial" w:cs="Arial"/>
                <w:color w:val="000000"/>
              </w:rPr>
              <w:lastRenderedPageBreak/>
              <w:t>P</w:t>
            </w:r>
            <w:r w:rsidRPr="00DD7585">
              <w:rPr>
                <w:rFonts w:ascii="Arial" w:hAnsi="Arial" w:cs="Arial"/>
                <w:color w:val="000000"/>
                <w:vertAlign w:val="subscript"/>
              </w:rPr>
              <w:t>1</w:t>
            </w:r>
          </w:p>
        </w:tc>
        <w:tc>
          <w:tcPr>
            <w:tcW w:w="1417" w:type="dxa"/>
            <w:gridSpan w:val="2"/>
            <w:tcBorders>
              <w:top w:val="nil"/>
              <w:left w:val="nil"/>
              <w:bottom w:val="nil"/>
              <w:right w:val="nil"/>
            </w:tcBorders>
            <w:noWrap/>
            <w:vAlign w:val="bottom"/>
            <w:hideMark/>
          </w:tcPr>
          <w:p w14:paraId="6F853AB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652AB7A0" w14:textId="77777777" w:rsidR="00676668" w:rsidRPr="00DD7585" w:rsidRDefault="00676668" w:rsidP="009D1BAD">
            <w:pPr>
              <w:jc w:val="center"/>
              <w:rPr>
                <w:rFonts w:ascii="Arial" w:hAnsi="Arial" w:cs="Arial"/>
                <w:color w:val="000000"/>
              </w:rPr>
            </w:pPr>
            <w:r w:rsidRPr="00DD7585">
              <w:rPr>
                <w:rFonts w:ascii="Arial" w:hAnsi="Arial" w:cs="Arial"/>
                <w:color w:val="000000"/>
              </w:rPr>
              <w:t>38.59</w:t>
            </w:r>
          </w:p>
        </w:tc>
        <w:tc>
          <w:tcPr>
            <w:tcW w:w="2409" w:type="dxa"/>
            <w:tcBorders>
              <w:top w:val="nil"/>
              <w:left w:val="nil"/>
              <w:bottom w:val="nil"/>
              <w:right w:val="nil"/>
            </w:tcBorders>
          </w:tcPr>
          <w:p w14:paraId="32D36F09"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76EF00AD" w14:textId="77777777" w:rsidTr="00676668">
        <w:trPr>
          <w:trHeight w:val="179"/>
        </w:trPr>
        <w:tc>
          <w:tcPr>
            <w:tcW w:w="2310" w:type="dxa"/>
            <w:tcBorders>
              <w:top w:val="nil"/>
              <w:left w:val="nil"/>
              <w:bottom w:val="nil"/>
              <w:right w:val="nil"/>
            </w:tcBorders>
            <w:noWrap/>
            <w:vAlign w:val="center"/>
            <w:hideMark/>
          </w:tcPr>
          <w:p w14:paraId="5A0BF103"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1417" w:type="dxa"/>
            <w:gridSpan w:val="2"/>
            <w:tcBorders>
              <w:top w:val="nil"/>
              <w:left w:val="nil"/>
              <w:bottom w:val="nil"/>
              <w:right w:val="nil"/>
            </w:tcBorders>
            <w:noWrap/>
            <w:vAlign w:val="bottom"/>
            <w:hideMark/>
          </w:tcPr>
          <w:p w14:paraId="1729D54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3AE81927" w14:textId="77777777" w:rsidR="00676668" w:rsidRPr="00DD7585" w:rsidRDefault="00676668" w:rsidP="009D1BAD">
            <w:pPr>
              <w:jc w:val="center"/>
              <w:rPr>
                <w:rFonts w:ascii="Arial" w:hAnsi="Arial" w:cs="Arial"/>
                <w:color w:val="000000"/>
              </w:rPr>
            </w:pPr>
            <w:r w:rsidRPr="00DD7585">
              <w:rPr>
                <w:rFonts w:ascii="Arial" w:hAnsi="Arial" w:cs="Arial"/>
                <w:color w:val="000000"/>
              </w:rPr>
              <w:t>33.00</w:t>
            </w:r>
          </w:p>
        </w:tc>
        <w:tc>
          <w:tcPr>
            <w:tcW w:w="2409" w:type="dxa"/>
            <w:tcBorders>
              <w:top w:val="nil"/>
              <w:left w:val="nil"/>
              <w:bottom w:val="nil"/>
              <w:right w:val="nil"/>
            </w:tcBorders>
          </w:tcPr>
          <w:p w14:paraId="7519B984"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0F09FA95" w14:textId="77777777" w:rsidTr="00676668">
        <w:trPr>
          <w:trHeight w:val="83"/>
        </w:trPr>
        <w:tc>
          <w:tcPr>
            <w:tcW w:w="2310" w:type="dxa"/>
            <w:tcBorders>
              <w:top w:val="nil"/>
              <w:left w:val="nil"/>
              <w:bottom w:val="nil"/>
              <w:right w:val="nil"/>
            </w:tcBorders>
            <w:noWrap/>
            <w:vAlign w:val="center"/>
            <w:hideMark/>
          </w:tcPr>
          <w:p w14:paraId="49F9D346"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1417" w:type="dxa"/>
            <w:gridSpan w:val="2"/>
            <w:tcBorders>
              <w:top w:val="nil"/>
              <w:left w:val="nil"/>
              <w:bottom w:val="nil"/>
              <w:right w:val="nil"/>
            </w:tcBorders>
            <w:noWrap/>
            <w:vAlign w:val="bottom"/>
            <w:hideMark/>
          </w:tcPr>
          <w:p w14:paraId="102B09F6" w14:textId="77777777" w:rsidR="00676668" w:rsidRPr="00DD7585" w:rsidRDefault="00676668" w:rsidP="00EC4810">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5E29DA90" w14:textId="77777777" w:rsidR="00676668" w:rsidRPr="00DD7585" w:rsidRDefault="00676668" w:rsidP="009D1BAD">
            <w:pPr>
              <w:jc w:val="center"/>
              <w:rPr>
                <w:rFonts w:ascii="Arial" w:hAnsi="Arial" w:cs="Arial"/>
                <w:color w:val="000000"/>
              </w:rPr>
            </w:pPr>
            <w:r w:rsidRPr="00DD7585">
              <w:rPr>
                <w:rFonts w:ascii="Arial" w:hAnsi="Arial" w:cs="Arial"/>
                <w:color w:val="000000"/>
              </w:rPr>
              <w:t>21.32</w:t>
            </w:r>
          </w:p>
        </w:tc>
        <w:tc>
          <w:tcPr>
            <w:tcW w:w="2409" w:type="dxa"/>
            <w:tcBorders>
              <w:top w:val="nil"/>
              <w:left w:val="nil"/>
              <w:bottom w:val="nil"/>
              <w:right w:val="nil"/>
            </w:tcBorders>
          </w:tcPr>
          <w:p w14:paraId="06B2A8FF"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High</w:t>
            </w:r>
          </w:p>
        </w:tc>
      </w:tr>
      <w:tr w:rsidR="00676668" w:rsidRPr="00DD7585" w14:paraId="7937EE47" w14:textId="77777777" w:rsidTr="00676668">
        <w:trPr>
          <w:trHeight w:val="143"/>
        </w:trPr>
        <w:tc>
          <w:tcPr>
            <w:tcW w:w="2310" w:type="dxa"/>
            <w:tcBorders>
              <w:top w:val="nil"/>
              <w:left w:val="nil"/>
              <w:bottom w:val="nil"/>
              <w:right w:val="nil"/>
            </w:tcBorders>
            <w:noWrap/>
            <w:vAlign w:val="center"/>
            <w:hideMark/>
          </w:tcPr>
          <w:p w14:paraId="0CDEE599"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1417" w:type="dxa"/>
            <w:gridSpan w:val="2"/>
            <w:tcBorders>
              <w:top w:val="nil"/>
              <w:left w:val="nil"/>
              <w:bottom w:val="nil"/>
              <w:right w:val="nil"/>
            </w:tcBorders>
            <w:noWrap/>
            <w:vAlign w:val="bottom"/>
            <w:hideMark/>
          </w:tcPr>
          <w:p w14:paraId="5E1ACC4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451C0514" w14:textId="77777777" w:rsidR="00676668" w:rsidRPr="00DD7585" w:rsidRDefault="00676668" w:rsidP="009D1BAD">
            <w:pPr>
              <w:jc w:val="center"/>
              <w:rPr>
                <w:rFonts w:ascii="Arial" w:hAnsi="Arial" w:cs="Arial"/>
                <w:color w:val="000000"/>
              </w:rPr>
            </w:pPr>
            <w:r w:rsidRPr="00DD7585">
              <w:rPr>
                <w:rFonts w:ascii="Arial" w:hAnsi="Arial" w:cs="Arial"/>
                <w:color w:val="000000"/>
              </w:rPr>
              <w:t>18.28</w:t>
            </w:r>
          </w:p>
        </w:tc>
        <w:tc>
          <w:tcPr>
            <w:tcW w:w="2409" w:type="dxa"/>
            <w:tcBorders>
              <w:top w:val="nil"/>
              <w:left w:val="nil"/>
              <w:bottom w:val="nil"/>
              <w:right w:val="nil"/>
            </w:tcBorders>
          </w:tcPr>
          <w:p w14:paraId="5EFBB412"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High</w:t>
            </w:r>
          </w:p>
        </w:tc>
      </w:tr>
      <w:tr w:rsidR="00676668" w:rsidRPr="00DD7585" w14:paraId="374D5398" w14:textId="77777777" w:rsidTr="00676668">
        <w:trPr>
          <w:trHeight w:val="190"/>
        </w:trPr>
        <w:tc>
          <w:tcPr>
            <w:tcW w:w="2310" w:type="dxa"/>
            <w:tcBorders>
              <w:top w:val="nil"/>
              <w:left w:val="nil"/>
              <w:bottom w:val="nil"/>
              <w:right w:val="nil"/>
            </w:tcBorders>
            <w:noWrap/>
            <w:vAlign w:val="center"/>
            <w:hideMark/>
          </w:tcPr>
          <w:p w14:paraId="71BD0E87"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1417" w:type="dxa"/>
            <w:gridSpan w:val="2"/>
            <w:tcBorders>
              <w:top w:val="nil"/>
              <w:left w:val="nil"/>
              <w:bottom w:val="nil"/>
              <w:right w:val="nil"/>
            </w:tcBorders>
            <w:noWrap/>
            <w:vAlign w:val="bottom"/>
            <w:hideMark/>
          </w:tcPr>
          <w:p w14:paraId="7CE3513E"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37B0AFA2" w14:textId="77777777" w:rsidR="00676668" w:rsidRPr="00DD7585" w:rsidRDefault="00676668" w:rsidP="009D1BAD">
            <w:pPr>
              <w:jc w:val="center"/>
              <w:rPr>
                <w:rFonts w:ascii="Arial" w:hAnsi="Arial" w:cs="Arial"/>
                <w:color w:val="000000"/>
              </w:rPr>
            </w:pPr>
            <w:r w:rsidRPr="00DD7585">
              <w:rPr>
                <w:rFonts w:ascii="Arial" w:hAnsi="Arial" w:cs="Arial"/>
                <w:color w:val="000000"/>
              </w:rPr>
              <w:t>9.65</w:t>
            </w:r>
          </w:p>
        </w:tc>
        <w:tc>
          <w:tcPr>
            <w:tcW w:w="2409" w:type="dxa"/>
            <w:tcBorders>
              <w:top w:val="nil"/>
              <w:left w:val="nil"/>
              <w:bottom w:val="nil"/>
              <w:right w:val="nil"/>
            </w:tcBorders>
          </w:tcPr>
          <w:p w14:paraId="104EBA4A"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Currently</w:t>
            </w:r>
          </w:p>
        </w:tc>
      </w:tr>
      <w:tr w:rsidR="00676668" w:rsidRPr="00DD7585" w14:paraId="6B99721F" w14:textId="77777777" w:rsidTr="00B47600">
        <w:trPr>
          <w:trHeight w:val="107"/>
        </w:trPr>
        <w:tc>
          <w:tcPr>
            <w:tcW w:w="2310" w:type="dxa"/>
            <w:tcBorders>
              <w:top w:val="nil"/>
              <w:left w:val="nil"/>
              <w:bottom w:val="single" w:sz="4" w:space="0" w:color="auto"/>
              <w:right w:val="nil"/>
            </w:tcBorders>
            <w:noWrap/>
            <w:vAlign w:val="center"/>
            <w:hideMark/>
          </w:tcPr>
          <w:p w14:paraId="2C8CB63A"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1417" w:type="dxa"/>
            <w:gridSpan w:val="2"/>
            <w:tcBorders>
              <w:top w:val="nil"/>
              <w:left w:val="nil"/>
              <w:bottom w:val="single" w:sz="4" w:space="0" w:color="auto"/>
              <w:right w:val="nil"/>
            </w:tcBorders>
            <w:noWrap/>
            <w:vAlign w:val="bottom"/>
            <w:hideMark/>
          </w:tcPr>
          <w:p w14:paraId="2D3797E7" w14:textId="77777777" w:rsidR="00676668" w:rsidRPr="00DD7585" w:rsidRDefault="00676668" w:rsidP="009D1BAD">
            <w:pPr>
              <w:jc w:val="center"/>
              <w:rPr>
                <w:rFonts w:ascii="Arial" w:hAnsi="Arial" w:cs="Arial"/>
                <w:color w:val="000000"/>
              </w:rPr>
            </w:pPr>
            <w:r w:rsidRPr="00DD7585">
              <w:rPr>
                <w:rFonts w:ascii="Arial" w:hAnsi="Arial" w:cs="Arial"/>
                <w:color w:val="000000"/>
              </w:rPr>
              <w:t> </w:t>
            </w:r>
          </w:p>
        </w:tc>
        <w:tc>
          <w:tcPr>
            <w:tcW w:w="1418" w:type="dxa"/>
            <w:gridSpan w:val="2"/>
            <w:tcBorders>
              <w:top w:val="nil"/>
              <w:left w:val="nil"/>
              <w:bottom w:val="single" w:sz="4" w:space="0" w:color="auto"/>
              <w:right w:val="nil"/>
            </w:tcBorders>
            <w:noWrap/>
            <w:vAlign w:val="bottom"/>
            <w:hideMark/>
          </w:tcPr>
          <w:p w14:paraId="48CB41AC" w14:textId="77777777" w:rsidR="00676668" w:rsidRPr="00DD7585" w:rsidRDefault="00676668" w:rsidP="009D1BAD">
            <w:pPr>
              <w:jc w:val="center"/>
              <w:rPr>
                <w:rFonts w:ascii="Arial" w:hAnsi="Arial" w:cs="Arial"/>
                <w:color w:val="000000"/>
              </w:rPr>
            </w:pPr>
            <w:r w:rsidRPr="00DD7585">
              <w:rPr>
                <w:rFonts w:ascii="Arial" w:hAnsi="Arial" w:cs="Arial"/>
                <w:color w:val="000000"/>
              </w:rPr>
              <w:t>10.66</w:t>
            </w:r>
          </w:p>
        </w:tc>
        <w:tc>
          <w:tcPr>
            <w:tcW w:w="2409" w:type="dxa"/>
            <w:tcBorders>
              <w:top w:val="nil"/>
              <w:left w:val="nil"/>
              <w:bottom w:val="single" w:sz="4" w:space="0" w:color="auto"/>
              <w:right w:val="nil"/>
            </w:tcBorders>
            <w:vAlign w:val="center"/>
          </w:tcPr>
          <w:p w14:paraId="38A34BA3"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Currently</w:t>
            </w:r>
          </w:p>
        </w:tc>
      </w:tr>
      <w:tr w:rsidR="00676668" w:rsidRPr="00DD7585" w14:paraId="733D79D8" w14:textId="77777777" w:rsidTr="00B47600">
        <w:trPr>
          <w:trHeight w:val="143"/>
        </w:trPr>
        <w:tc>
          <w:tcPr>
            <w:tcW w:w="2310" w:type="dxa"/>
            <w:vMerge w:val="restart"/>
            <w:tcBorders>
              <w:top w:val="single" w:sz="4" w:space="0" w:color="auto"/>
              <w:left w:val="nil"/>
              <w:bottom w:val="single" w:sz="4" w:space="0" w:color="auto"/>
              <w:right w:val="nil"/>
            </w:tcBorders>
            <w:noWrap/>
            <w:vAlign w:val="center"/>
          </w:tcPr>
          <w:p w14:paraId="78BBFB28" w14:textId="77777777" w:rsidR="00676668" w:rsidRPr="00DD7585" w:rsidRDefault="00676668" w:rsidP="009D1BAD">
            <w:pPr>
              <w:jc w:val="center"/>
              <w:rPr>
                <w:rFonts w:ascii="Arial" w:hAnsi="Arial" w:cs="Arial"/>
                <w:color w:val="000000"/>
              </w:rPr>
            </w:pPr>
            <w:r w:rsidRPr="0022255C">
              <w:rPr>
                <w:rFonts w:ascii="Arial" w:hAnsi="Arial" w:cs="Arial"/>
                <w:color w:val="000000"/>
              </w:rPr>
              <w:t>Composition of growing media</w:t>
            </w:r>
          </w:p>
        </w:tc>
        <w:tc>
          <w:tcPr>
            <w:tcW w:w="2835" w:type="dxa"/>
            <w:gridSpan w:val="4"/>
            <w:tcBorders>
              <w:top w:val="single" w:sz="4" w:space="0" w:color="auto"/>
              <w:left w:val="nil"/>
              <w:bottom w:val="single" w:sz="4" w:space="0" w:color="auto"/>
              <w:right w:val="nil"/>
            </w:tcBorders>
            <w:noWrap/>
            <w:vAlign w:val="center"/>
          </w:tcPr>
          <w:p w14:paraId="5E9F1CF3" w14:textId="77777777" w:rsidR="00676668" w:rsidRPr="00DD7585" w:rsidRDefault="00676668" w:rsidP="009D1BAD">
            <w:pPr>
              <w:jc w:val="center"/>
              <w:rPr>
                <w:rFonts w:ascii="Arial" w:hAnsi="Arial" w:cs="Arial"/>
                <w:color w:val="000000"/>
              </w:rPr>
            </w:pPr>
            <w:r>
              <w:rPr>
                <w:rFonts w:ascii="Arial" w:hAnsi="Arial" w:cs="Arial"/>
                <w:color w:val="000000"/>
              </w:rPr>
              <w:t>S</w:t>
            </w:r>
            <w:r w:rsidRPr="00676668">
              <w:rPr>
                <w:rFonts w:ascii="Arial" w:hAnsi="Arial" w:cs="Arial"/>
                <w:color w:val="000000"/>
              </w:rPr>
              <w:t>oil fraction</w:t>
            </w:r>
          </w:p>
        </w:tc>
        <w:tc>
          <w:tcPr>
            <w:tcW w:w="2409" w:type="dxa"/>
            <w:vMerge w:val="restart"/>
            <w:tcBorders>
              <w:top w:val="single" w:sz="4" w:space="0" w:color="auto"/>
              <w:left w:val="nil"/>
              <w:bottom w:val="single" w:sz="4" w:space="0" w:color="auto"/>
              <w:right w:val="nil"/>
            </w:tcBorders>
            <w:vAlign w:val="center"/>
          </w:tcPr>
          <w:p w14:paraId="19267404" w14:textId="77777777" w:rsidR="00676668" w:rsidRPr="00676668" w:rsidRDefault="00676668" w:rsidP="009D1BAD">
            <w:pPr>
              <w:jc w:val="center"/>
              <w:rPr>
                <w:rFonts w:ascii="Arial" w:hAnsi="Arial" w:cs="Arial"/>
                <w:color w:val="000000"/>
              </w:rPr>
            </w:pPr>
            <w:r>
              <w:rPr>
                <w:rFonts w:ascii="Arial" w:hAnsi="Arial" w:cs="Arial"/>
                <w:color w:val="000000"/>
              </w:rPr>
              <w:t>Soil texture class</w:t>
            </w:r>
          </w:p>
        </w:tc>
      </w:tr>
      <w:tr w:rsidR="00265272" w:rsidRPr="00DD7585" w14:paraId="6980993C" w14:textId="77777777" w:rsidTr="00B47600">
        <w:trPr>
          <w:trHeight w:val="189"/>
        </w:trPr>
        <w:tc>
          <w:tcPr>
            <w:tcW w:w="2310" w:type="dxa"/>
            <w:vMerge/>
            <w:tcBorders>
              <w:left w:val="nil"/>
              <w:bottom w:val="single" w:sz="4" w:space="0" w:color="auto"/>
              <w:right w:val="nil"/>
            </w:tcBorders>
            <w:noWrap/>
            <w:vAlign w:val="center"/>
          </w:tcPr>
          <w:p w14:paraId="18783CBF" w14:textId="77777777" w:rsidR="00265272" w:rsidRPr="00DD7585" w:rsidRDefault="00265272" w:rsidP="009D1BAD">
            <w:pPr>
              <w:jc w:val="center"/>
              <w:rPr>
                <w:rFonts w:ascii="Arial" w:hAnsi="Arial" w:cs="Arial"/>
                <w:color w:val="000000"/>
              </w:rPr>
            </w:pPr>
          </w:p>
        </w:tc>
        <w:tc>
          <w:tcPr>
            <w:tcW w:w="992" w:type="dxa"/>
            <w:tcBorders>
              <w:top w:val="single" w:sz="4" w:space="0" w:color="auto"/>
              <w:left w:val="nil"/>
              <w:bottom w:val="single" w:sz="4" w:space="0" w:color="auto"/>
              <w:right w:val="nil"/>
            </w:tcBorders>
            <w:noWrap/>
            <w:vAlign w:val="center"/>
          </w:tcPr>
          <w:p w14:paraId="57BF26CE"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676668">
              <w:rPr>
                <w:rFonts w:ascii="Arial" w:hAnsi="Arial" w:cs="Arial"/>
                <w:color w:val="000000"/>
              </w:rPr>
              <w:t>Sand</w:t>
            </w:r>
          </w:p>
        </w:tc>
        <w:tc>
          <w:tcPr>
            <w:tcW w:w="850" w:type="dxa"/>
            <w:gridSpan w:val="2"/>
            <w:tcBorders>
              <w:top w:val="single" w:sz="4" w:space="0" w:color="auto"/>
              <w:left w:val="nil"/>
              <w:bottom w:val="single" w:sz="4" w:space="0" w:color="auto"/>
              <w:right w:val="nil"/>
            </w:tcBorders>
            <w:noWrap/>
            <w:vAlign w:val="center"/>
          </w:tcPr>
          <w:p w14:paraId="5B40883F"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676668">
              <w:rPr>
                <w:rFonts w:ascii="Arial" w:hAnsi="Arial" w:cs="Arial"/>
                <w:color w:val="000000"/>
              </w:rPr>
              <w:t>Clay</w:t>
            </w:r>
          </w:p>
        </w:tc>
        <w:tc>
          <w:tcPr>
            <w:tcW w:w="993" w:type="dxa"/>
            <w:tcBorders>
              <w:top w:val="single" w:sz="4" w:space="0" w:color="auto"/>
              <w:left w:val="nil"/>
              <w:bottom w:val="single" w:sz="4" w:space="0" w:color="auto"/>
              <w:right w:val="nil"/>
            </w:tcBorders>
            <w:vAlign w:val="center"/>
          </w:tcPr>
          <w:p w14:paraId="55B7C9CD"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495F7F">
              <w:rPr>
                <w:rFonts w:ascii="Arial" w:hAnsi="Arial" w:cs="Arial"/>
                <w:color w:val="000000"/>
              </w:rPr>
              <w:t>Silt</w:t>
            </w:r>
          </w:p>
        </w:tc>
        <w:tc>
          <w:tcPr>
            <w:tcW w:w="2409" w:type="dxa"/>
            <w:vMerge/>
            <w:tcBorders>
              <w:left w:val="nil"/>
              <w:bottom w:val="single" w:sz="4" w:space="0" w:color="auto"/>
              <w:right w:val="nil"/>
            </w:tcBorders>
            <w:vAlign w:val="center"/>
          </w:tcPr>
          <w:p w14:paraId="06C5B36A" w14:textId="77777777" w:rsidR="00265272" w:rsidRPr="00DD7585" w:rsidRDefault="00265272" w:rsidP="009D1BAD">
            <w:pPr>
              <w:jc w:val="center"/>
              <w:rPr>
                <w:rFonts w:ascii="Arial" w:hAnsi="Arial" w:cs="Arial"/>
                <w:color w:val="000000"/>
              </w:rPr>
            </w:pPr>
          </w:p>
        </w:tc>
      </w:tr>
      <w:tr w:rsidR="00265272" w:rsidRPr="00DD7585" w14:paraId="4DD07514" w14:textId="77777777" w:rsidTr="00B47600">
        <w:trPr>
          <w:trHeight w:val="93"/>
        </w:trPr>
        <w:tc>
          <w:tcPr>
            <w:tcW w:w="2310" w:type="dxa"/>
            <w:tcBorders>
              <w:top w:val="single" w:sz="4" w:space="0" w:color="auto"/>
              <w:left w:val="nil"/>
              <w:right w:val="nil"/>
            </w:tcBorders>
            <w:noWrap/>
            <w:vAlign w:val="center"/>
          </w:tcPr>
          <w:p w14:paraId="058387B0"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992" w:type="dxa"/>
            <w:tcBorders>
              <w:top w:val="single" w:sz="4" w:space="0" w:color="auto"/>
              <w:left w:val="nil"/>
              <w:right w:val="nil"/>
            </w:tcBorders>
            <w:noWrap/>
            <w:vAlign w:val="bottom"/>
          </w:tcPr>
          <w:p w14:paraId="21F92C34" w14:textId="77777777" w:rsidR="00265272" w:rsidRPr="00DD7585" w:rsidRDefault="00265272" w:rsidP="009D1BAD">
            <w:pPr>
              <w:jc w:val="center"/>
              <w:rPr>
                <w:rFonts w:ascii="Arial" w:hAnsi="Arial" w:cs="Arial"/>
                <w:color w:val="000000"/>
              </w:rPr>
            </w:pPr>
            <w:r w:rsidRPr="00DD7585">
              <w:rPr>
                <w:rFonts w:ascii="Arial" w:hAnsi="Arial" w:cs="Arial"/>
                <w:color w:val="000000"/>
              </w:rPr>
              <w:t>81.78</w:t>
            </w:r>
          </w:p>
        </w:tc>
        <w:tc>
          <w:tcPr>
            <w:tcW w:w="850" w:type="dxa"/>
            <w:gridSpan w:val="2"/>
            <w:tcBorders>
              <w:top w:val="single" w:sz="4" w:space="0" w:color="auto"/>
              <w:left w:val="nil"/>
              <w:right w:val="nil"/>
            </w:tcBorders>
            <w:noWrap/>
            <w:vAlign w:val="bottom"/>
          </w:tcPr>
          <w:p w14:paraId="6F218262" w14:textId="77777777" w:rsidR="00265272" w:rsidRPr="00DD7585" w:rsidRDefault="00265272" w:rsidP="009D1BAD">
            <w:pPr>
              <w:jc w:val="center"/>
              <w:rPr>
                <w:rFonts w:ascii="Arial" w:hAnsi="Arial" w:cs="Arial"/>
                <w:color w:val="000000"/>
              </w:rPr>
            </w:pPr>
            <w:r w:rsidRPr="00DD7585">
              <w:rPr>
                <w:rFonts w:ascii="Arial" w:hAnsi="Arial" w:cs="Arial"/>
                <w:color w:val="000000"/>
              </w:rPr>
              <w:t>8.13</w:t>
            </w:r>
          </w:p>
        </w:tc>
        <w:tc>
          <w:tcPr>
            <w:tcW w:w="993" w:type="dxa"/>
            <w:tcBorders>
              <w:top w:val="single" w:sz="4" w:space="0" w:color="auto"/>
              <w:left w:val="nil"/>
              <w:right w:val="nil"/>
            </w:tcBorders>
            <w:vAlign w:val="bottom"/>
          </w:tcPr>
          <w:p w14:paraId="7393CBFB" w14:textId="77777777" w:rsidR="00265272" w:rsidRPr="00DD7585" w:rsidRDefault="00265272" w:rsidP="009D1BAD">
            <w:pPr>
              <w:jc w:val="center"/>
              <w:rPr>
                <w:rFonts w:ascii="Arial" w:hAnsi="Arial" w:cs="Arial"/>
                <w:color w:val="000000"/>
              </w:rPr>
            </w:pPr>
            <w:r w:rsidRPr="00DD7585">
              <w:rPr>
                <w:rFonts w:ascii="Arial" w:hAnsi="Arial" w:cs="Arial"/>
                <w:color w:val="000000"/>
              </w:rPr>
              <w:t>10.09</w:t>
            </w:r>
          </w:p>
        </w:tc>
        <w:tc>
          <w:tcPr>
            <w:tcW w:w="2409" w:type="dxa"/>
            <w:tcBorders>
              <w:top w:val="single" w:sz="4" w:space="0" w:color="auto"/>
              <w:left w:val="nil"/>
              <w:right w:val="nil"/>
            </w:tcBorders>
          </w:tcPr>
          <w:p w14:paraId="0805490F" w14:textId="77777777" w:rsidR="00265272" w:rsidRPr="00676668" w:rsidRDefault="00265272" w:rsidP="009D1BAD">
            <w:pPr>
              <w:jc w:val="center"/>
              <w:rPr>
                <w:rFonts w:ascii="Arial" w:hAnsi="Arial" w:cs="Arial"/>
                <w:color w:val="000000"/>
              </w:rPr>
            </w:pPr>
            <w:r w:rsidRPr="00676668">
              <w:rPr>
                <w:rFonts w:ascii="Arial" w:hAnsi="Arial" w:cs="Arial"/>
                <w:color w:val="000000"/>
              </w:rPr>
              <w:t>Sandy</w:t>
            </w:r>
          </w:p>
        </w:tc>
      </w:tr>
      <w:tr w:rsidR="00265272" w:rsidRPr="00DD7585" w14:paraId="0BABC886" w14:textId="77777777" w:rsidTr="00B47600">
        <w:trPr>
          <w:trHeight w:val="125"/>
        </w:trPr>
        <w:tc>
          <w:tcPr>
            <w:tcW w:w="2310" w:type="dxa"/>
            <w:tcBorders>
              <w:top w:val="nil"/>
              <w:left w:val="nil"/>
              <w:right w:val="nil"/>
            </w:tcBorders>
            <w:noWrap/>
            <w:vAlign w:val="center"/>
          </w:tcPr>
          <w:p w14:paraId="512855AF"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1</w:t>
            </w:r>
          </w:p>
        </w:tc>
        <w:tc>
          <w:tcPr>
            <w:tcW w:w="992" w:type="dxa"/>
            <w:tcBorders>
              <w:top w:val="nil"/>
              <w:left w:val="nil"/>
              <w:right w:val="nil"/>
            </w:tcBorders>
            <w:noWrap/>
            <w:vAlign w:val="bottom"/>
          </w:tcPr>
          <w:p w14:paraId="136BF71D" w14:textId="77777777" w:rsidR="00265272" w:rsidRPr="00DD7585" w:rsidRDefault="00265272" w:rsidP="009D1BAD">
            <w:pPr>
              <w:jc w:val="center"/>
              <w:rPr>
                <w:rFonts w:ascii="Arial" w:hAnsi="Arial" w:cs="Arial"/>
                <w:color w:val="000000"/>
              </w:rPr>
            </w:pPr>
            <w:r w:rsidRPr="00DD7585">
              <w:rPr>
                <w:rFonts w:ascii="Arial" w:hAnsi="Arial" w:cs="Arial"/>
                <w:color w:val="000000"/>
              </w:rPr>
              <w:t>71.93</w:t>
            </w:r>
          </w:p>
        </w:tc>
        <w:tc>
          <w:tcPr>
            <w:tcW w:w="850" w:type="dxa"/>
            <w:gridSpan w:val="2"/>
            <w:tcBorders>
              <w:top w:val="nil"/>
              <w:left w:val="nil"/>
              <w:right w:val="nil"/>
            </w:tcBorders>
            <w:noWrap/>
            <w:vAlign w:val="bottom"/>
          </w:tcPr>
          <w:p w14:paraId="2FF3D386" w14:textId="77777777" w:rsidR="00265272" w:rsidRPr="00DD7585" w:rsidRDefault="00265272" w:rsidP="009D1BAD">
            <w:pPr>
              <w:jc w:val="center"/>
              <w:rPr>
                <w:rFonts w:ascii="Arial" w:hAnsi="Arial" w:cs="Arial"/>
                <w:color w:val="000000"/>
              </w:rPr>
            </w:pPr>
            <w:r w:rsidRPr="00DD7585">
              <w:rPr>
                <w:rFonts w:ascii="Arial" w:hAnsi="Arial" w:cs="Arial"/>
                <w:color w:val="000000"/>
              </w:rPr>
              <w:t>14.09</w:t>
            </w:r>
          </w:p>
        </w:tc>
        <w:tc>
          <w:tcPr>
            <w:tcW w:w="993" w:type="dxa"/>
            <w:tcBorders>
              <w:top w:val="nil"/>
              <w:left w:val="nil"/>
              <w:right w:val="nil"/>
            </w:tcBorders>
            <w:vAlign w:val="bottom"/>
          </w:tcPr>
          <w:p w14:paraId="38069A2A" w14:textId="77777777" w:rsidR="00265272" w:rsidRPr="00DD7585" w:rsidRDefault="00265272" w:rsidP="009D1BAD">
            <w:pPr>
              <w:jc w:val="center"/>
              <w:rPr>
                <w:rFonts w:ascii="Arial" w:hAnsi="Arial" w:cs="Arial"/>
                <w:color w:val="000000"/>
              </w:rPr>
            </w:pPr>
            <w:r w:rsidRPr="00DD7585">
              <w:rPr>
                <w:rFonts w:ascii="Arial" w:hAnsi="Arial" w:cs="Arial"/>
                <w:color w:val="000000"/>
              </w:rPr>
              <w:t>13.98</w:t>
            </w:r>
          </w:p>
        </w:tc>
        <w:tc>
          <w:tcPr>
            <w:tcW w:w="2409" w:type="dxa"/>
            <w:tcBorders>
              <w:top w:val="nil"/>
              <w:left w:val="nil"/>
              <w:right w:val="nil"/>
            </w:tcBorders>
          </w:tcPr>
          <w:p w14:paraId="705518F8" w14:textId="77777777" w:rsidR="00265272" w:rsidRPr="00676668" w:rsidRDefault="00FD535F" w:rsidP="009D1BAD">
            <w:pPr>
              <w:jc w:val="center"/>
              <w:rPr>
                <w:rFonts w:ascii="Arial" w:hAnsi="Arial" w:cs="Arial"/>
                <w:color w:val="000000"/>
              </w:rPr>
            </w:pPr>
            <w:r w:rsidRPr="00676668">
              <w:rPr>
                <w:rFonts w:ascii="Arial" w:hAnsi="Arial" w:cs="Arial"/>
                <w:lang w:val="id-ID"/>
              </w:rPr>
              <w:t>L</w:t>
            </w:r>
            <w:proofErr w:type="spellStart"/>
            <w:r w:rsidR="00265272" w:rsidRPr="00676668">
              <w:rPr>
                <w:rFonts w:ascii="Arial" w:hAnsi="Arial" w:cs="Arial"/>
              </w:rPr>
              <w:t>oamy</w:t>
            </w:r>
            <w:proofErr w:type="spellEnd"/>
            <w:r w:rsidR="00265272" w:rsidRPr="00676668">
              <w:rPr>
                <w:rFonts w:ascii="Arial" w:hAnsi="Arial" w:cs="Arial"/>
              </w:rPr>
              <w:t xml:space="preserve"> sand</w:t>
            </w:r>
          </w:p>
        </w:tc>
      </w:tr>
      <w:tr w:rsidR="00265272" w:rsidRPr="00DD7585" w14:paraId="7D79EF83" w14:textId="77777777" w:rsidTr="00B47600">
        <w:trPr>
          <w:trHeight w:val="56"/>
        </w:trPr>
        <w:tc>
          <w:tcPr>
            <w:tcW w:w="2310" w:type="dxa"/>
            <w:tcBorders>
              <w:top w:val="nil"/>
              <w:left w:val="nil"/>
              <w:right w:val="nil"/>
            </w:tcBorders>
            <w:noWrap/>
            <w:vAlign w:val="center"/>
          </w:tcPr>
          <w:p w14:paraId="58387BD8"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992" w:type="dxa"/>
            <w:tcBorders>
              <w:top w:val="nil"/>
              <w:left w:val="nil"/>
              <w:right w:val="nil"/>
            </w:tcBorders>
            <w:noWrap/>
            <w:vAlign w:val="bottom"/>
          </w:tcPr>
          <w:p w14:paraId="09F3EC08" w14:textId="77777777" w:rsidR="00265272" w:rsidRPr="00DD7585" w:rsidRDefault="00265272" w:rsidP="009D1BAD">
            <w:pPr>
              <w:jc w:val="center"/>
              <w:rPr>
                <w:rFonts w:ascii="Arial" w:hAnsi="Arial" w:cs="Arial"/>
                <w:color w:val="000000"/>
              </w:rPr>
            </w:pPr>
            <w:r w:rsidRPr="00DD7585">
              <w:rPr>
                <w:rFonts w:ascii="Arial" w:hAnsi="Arial" w:cs="Arial"/>
                <w:color w:val="000000"/>
              </w:rPr>
              <w:t>68.73</w:t>
            </w:r>
          </w:p>
        </w:tc>
        <w:tc>
          <w:tcPr>
            <w:tcW w:w="850" w:type="dxa"/>
            <w:gridSpan w:val="2"/>
            <w:tcBorders>
              <w:top w:val="nil"/>
              <w:left w:val="nil"/>
              <w:right w:val="nil"/>
            </w:tcBorders>
            <w:noWrap/>
            <w:vAlign w:val="bottom"/>
          </w:tcPr>
          <w:p w14:paraId="6DB2AB39" w14:textId="77777777" w:rsidR="00265272" w:rsidRPr="00DD7585" w:rsidRDefault="00265272" w:rsidP="009D1BAD">
            <w:pPr>
              <w:jc w:val="center"/>
              <w:rPr>
                <w:rFonts w:ascii="Arial" w:hAnsi="Arial" w:cs="Arial"/>
                <w:color w:val="000000"/>
              </w:rPr>
            </w:pPr>
            <w:r w:rsidRPr="00DD7585">
              <w:rPr>
                <w:rFonts w:ascii="Arial" w:hAnsi="Arial" w:cs="Arial"/>
                <w:color w:val="000000"/>
              </w:rPr>
              <w:t>18.86</w:t>
            </w:r>
          </w:p>
        </w:tc>
        <w:tc>
          <w:tcPr>
            <w:tcW w:w="993" w:type="dxa"/>
            <w:tcBorders>
              <w:top w:val="nil"/>
              <w:left w:val="nil"/>
              <w:right w:val="nil"/>
            </w:tcBorders>
            <w:vAlign w:val="bottom"/>
          </w:tcPr>
          <w:p w14:paraId="7A5F8C02" w14:textId="77777777" w:rsidR="00265272" w:rsidRPr="00DD7585" w:rsidRDefault="00265272" w:rsidP="009D1BAD">
            <w:pPr>
              <w:jc w:val="center"/>
              <w:rPr>
                <w:rFonts w:ascii="Arial" w:hAnsi="Arial" w:cs="Arial"/>
                <w:color w:val="000000"/>
              </w:rPr>
            </w:pPr>
            <w:r w:rsidRPr="00DD7585">
              <w:rPr>
                <w:rFonts w:ascii="Arial" w:hAnsi="Arial" w:cs="Arial"/>
                <w:color w:val="000000"/>
              </w:rPr>
              <w:t>12.40</w:t>
            </w:r>
          </w:p>
        </w:tc>
        <w:tc>
          <w:tcPr>
            <w:tcW w:w="2409" w:type="dxa"/>
            <w:tcBorders>
              <w:top w:val="nil"/>
              <w:left w:val="nil"/>
              <w:right w:val="nil"/>
            </w:tcBorders>
          </w:tcPr>
          <w:p w14:paraId="3E8B34EB" w14:textId="77777777" w:rsidR="00265272" w:rsidRPr="00676668" w:rsidRDefault="00265272" w:rsidP="009D1BAD">
            <w:pPr>
              <w:jc w:val="center"/>
              <w:rPr>
                <w:rFonts w:ascii="Arial" w:hAnsi="Arial" w:cs="Arial"/>
                <w:color w:val="000000"/>
              </w:rPr>
            </w:pPr>
            <w:r w:rsidRPr="00676668">
              <w:rPr>
                <w:rFonts w:ascii="Arial" w:hAnsi="Arial" w:cs="Arial"/>
                <w:color w:val="000000"/>
              </w:rPr>
              <w:t>Sandy loam</w:t>
            </w:r>
          </w:p>
        </w:tc>
      </w:tr>
      <w:tr w:rsidR="00265272" w:rsidRPr="00DD7585" w14:paraId="741E7D84" w14:textId="77777777" w:rsidTr="00B47600">
        <w:trPr>
          <w:trHeight w:val="90"/>
        </w:trPr>
        <w:tc>
          <w:tcPr>
            <w:tcW w:w="2310" w:type="dxa"/>
            <w:tcBorders>
              <w:top w:val="nil"/>
              <w:left w:val="nil"/>
              <w:right w:val="nil"/>
            </w:tcBorders>
            <w:noWrap/>
            <w:vAlign w:val="center"/>
          </w:tcPr>
          <w:p w14:paraId="49E6741E"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992" w:type="dxa"/>
            <w:tcBorders>
              <w:top w:val="nil"/>
              <w:left w:val="nil"/>
              <w:right w:val="nil"/>
            </w:tcBorders>
            <w:noWrap/>
            <w:vAlign w:val="bottom"/>
          </w:tcPr>
          <w:p w14:paraId="290182BC" w14:textId="77777777" w:rsidR="00265272" w:rsidRPr="00DD7585" w:rsidRDefault="00265272" w:rsidP="009D1BAD">
            <w:pPr>
              <w:jc w:val="center"/>
              <w:rPr>
                <w:rFonts w:ascii="Arial" w:hAnsi="Arial" w:cs="Arial"/>
                <w:color w:val="000000"/>
              </w:rPr>
            </w:pPr>
            <w:r w:rsidRPr="00DD7585">
              <w:rPr>
                <w:rFonts w:ascii="Arial" w:hAnsi="Arial" w:cs="Arial"/>
                <w:color w:val="000000"/>
              </w:rPr>
              <w:t>60.23</w:t>
            </w:r>
          </w:p>
        </w:tc>
        <w:tc>
          <w:tcPr>
            <w:tcW w:w="850" w:type="dxa"/>
            <w:gridSpan w:val="2"/>
            <w:tcBorders>
              <w:top w:val="nil"/>
              <w:left w:val="nil"/>
              <w:right w:val="nil"/>
            </w:tcBorders>
            <w:noWrap/>
            <w:vAlign w:val="bottom"/>
          </w:tcPr>
          <w:p w14:paraId="3A0125FD" w14:textId="77777777" w:rsidR="00265272" w:rsidRPr="00DD7585" w:rsidRDefault="00265272" w:rsidP="009D1BAD">
            <w:pPr>
              <w:jc w:val="center"/>
              <w:rPr>
                <w:rFonts w:ascii="Arial" w:hAnsi="Arial" w:cs="Arial"/>
                <w:color w:val="000000"/>
              </w:rPr>
            </w:pPr>
            <w:r w:rsidRPr="00DD7585">
              <w:rPr>
                <w:rFonts w:ascii="Arial" w:hAnsi="Arial" w:cs="Arial"/>
                <w:color w:val="000000"/>
              </w:rPr>
              <w:t>23.12</w:t>
            </w:r>
          </w:p>
        </w:tc>
        <w:tc>
          <w:tcPr>
            <w:tcW w:w="993" w:type="dxa"/>
            <w:tcBorders>
              <w:top w:val="nil"/>
              <w:left w:val="nil"/>
              <w:right w:val="nil"/>
            </w:tcBorders>
            <w:vAlign w:val="bottom"/>
          </w:tcPr>
          <w:p w14:paraId="591B1D85" w14:textId="77777777" w:rsidR="00265272" w:rsidRPr="00DD7585" w:rsidRDefault="00265272" w:rsidP="009D1BAD">
            <w:pPr>
              <w:jc w:val="center"/>
              <w:rPr>
                <w:rFonts w:ascii="Arial" w:hAnsi="Arial" w:cs="Arial"/>
                <w:color w:val="000000"/>
              </w:rPr>
            </w:pPr>
            <w:r w:rsidRPr="00DD7585">
              <w:rPr>
                <w:rFonts w:ascii="Arial" w:hAnsi="Arial" w:cs="Arial"/>
                <w:color w:val="000000"/>
              </w:rPr>
              <w:t>16.65</w:t>
            </w:r>
          </w:p>
        </w:tc>
        <w:tc>
          <w:tcPr>
            <w:tcW w:w="2409" w:type="dxa"/>
            <w:tcBorders>
              <w:top w:val="nil"/>
              <w:left w:val="nil"/>
              <w:right w:val="nil"/>
            </w:tcBorders>
          </w:tcPr>
          <w:p w14:paraId="00486384"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r w:rsidR="00265272" w:rsidRPr="00DD7585" w14:paraId="7B8C32B1" w14:textId="77777777" w:rsidTr="00B47600">
        <w:trPr>
          <w:trHeight w:val="56"/>
        </w:trPr>
        <w:tc>
          <w:tcPr>
            <w:tcW w:w="2310" w:type="dxa"/>
            <w:tcBorders>
              <w:top w:val="nil"/>
              <w:left w:val="nil"/>
              <w:right w:val="nil"/>
            </w:tcBorders>
            <w:noWrap/>
            <w:vAlign w:val="center"/>
          </w:tcPr>
          <w:p w14:paraId="50C2247E"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992" w:type="dxa"/>
            <w:tcBorders>
              <w:top w:val="nil"/>
              <w:left w:val="nil"/>
              <w:right w:val="nil"/>
            </w:tcBorders>
            <w:noWrap/>
            <w:vAlign w:val="bottom"/>
          </w:tcPr>
          <w:p w14:paraId="42FEE172" w14:textId="77777777" w:rsidR="00265272" w:rsidRPr="00DD7585" w:rsidRDefault="00265272" w:rsidP="009D1BAD">
            <w:pPr>
              <w:jc w:val="center"/>
              <w:rPr>
                <w:rFonts w:ascii="Arial" w:hAnsi="Arial" w:cs="Arial"/>
                <w:color w:val="000000"/>
              </w:rPr>
            </w:pPr>
            <w:r w:rsidRPr="00DD7585">
              <w:rPr>
                <w:rFonts w:ascii="Arial" w:hAnsi="Arial" w:cs="Arial"/>
                <w:color w:val="000000"/>
              </w:rPr>
              <w:t>61.65</w:t>
            </w:r>
          </w:p>
        </w:tc>
        <w:tc>
          <w:tcPr>
            <w:tcW w:w="850" w:type="dxa"/>
            <w:gridSpan w:val="2"/>
            <w:tcBorders>
              <w:top w:val="nil"/>
              <w:left w:val="nil"/>
              <w:right w:val="nil"/>
            </w:tcBorders>
            <w:noWrap/>
            <w:vAlign w:val="bottom"/>
          </w:tcPr>
          <w:p w14:paraId="471BACED" w14:textId="77777777" w:rsidR="00265272" w:rsidRPr="00DD7585" w:rsidRDefault="00265272" w:rsidP="009D1BAD">
            <w:pPr>
              <w:jc w:val="center"/>
              <w:rPr>
                <w:rFonts w:ascii="Arial" w:hAnsi="Arial" w:cs="Arial"/>
                <w:color w:val="000000"/>
              </w:rPr>
            </w:pPr>
            <w:r w:rsidRPr="00DD7585">
              <w:rPr>
                <w:rFonts w:ascii="Arial" w:hAnsi="Arial" w:cs="Arial"/>
                <w:color w:val="000000"/>
              </w:rPr>
              <w:t>19.23</w:t>
            </w:r>
          </w:p>
        </w:tc>
        <w:tc>
          <w:tcPr>
            <w:tcW w:w="993" w:type="dxa"/>
            <w:tcBorders>
              <w:top w:val="nil"/>
              <w:left w:val="nil"/>
              <w:right w:val="nil"/>
            </w:tcBorders>
            <w:vAlign w:val="bottom"/>
          </w:tcPr>
          <w:p w14:paraId="0BC5EA20" w14:textId="77777777" w:rsidR="00265272" w:rsidRPr="00DD7585" w:rsidRDefault="00265272" w:rsidP="009D1BAD">
            <w:pPr>
              <w:jc w:val="center"/>
              <w:rPr>
                <w:rFonts w:ascii="Arial" w:hAnsi="Arial" w:cs="Arial"/>
                <w:color w:val="000000"/>
              </w:rPr>
            </w:pPr>
            <w:r w:rsidRPr="00DD7585">
              <w:rPr>
                <w:rFonts w:ascii="Arial" w:hAnsi="Arial" w:cs="Arial"/>
                <w:color w:val="000000"/>
              </w:rPr>
              <w:t>19.12</w:t>
            </w:r>
          </w:p>
        </w:tc>
        <w:tc>
          <w:tcPr>
            <w:tcW w:w="2409" w:type="dxa"/>
            <w:tcBorders>
              <w:top w:val="nil"/>
              <w:left w:val="nil"/>
              <w:right w:val="nil"/>
            </w:tcBorders>
          </w:tcPr>
          <w:p w14:paraId="42B381ED" w14:textId="77777777" w:rsidR="00265272" w:rsidRPr="00676668" w:rsidRDefault="00265272" w:rsidP="009D1BAD">
            <w:pPr>
              <w:jc w:val="center"/>
              <w:rPr>
                <w:rFonts w:ascii="Arial" w:hAnsi="Arial" w:cs="Arial"/>
                <w:color w:val="000000"/>
              </w:rPr>
            </w:pPr>
            <w:r w:rsidRPr="00676668">
              <w:rPr>
                <w:rFonts w:ascii="Arial" w:hAnsi="Arial" w:cs="Arial"/>
                <w:color w:val="000000"/>
              </w:rPr>
              <w:t>Sandy loam</w:t>
            </w:r>
          </w:p>
        </w:tc>
      </w:tr>
      <w:tr w:rsidR="00265272" w:rsidRPr="00DD7585" w14:paraId="282D38B2" w14:textId="77777777" w:rsidTr="00B47600">
        <w:trPr>
          <w:trHeight w:val="167"/>
        </w:trPr>
        <w:tc>
          <w:tcPr>
            <w:tcW w:w="2310" w:type="dxa"/>
            <w:tcBorders>
              <w:top w:val="nil"/>
              <w:left w:val="nil"/>
              <w:right w:val="nil"/>
            </w:tcBorders>
            <w:noWrap/>
            <w:vAlign w:val="center"/>
          </w:tcPr>
          <w:p w14:paraId="4C81A916"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992" w:type="dxa"/>
            <w:tcBorders>
              <w:top w:val="nil"/>
              <w:left w:val="nil"/>
              <w:right w:val="nil"/>
            </w:tcBorders>
            <w:noWrap/>
            <w:vAlign w:val="bottom"/>
          </w:tcPr>
          <w:p w14:paraId="25408357" w14:textId="77777777" w:rsidR="00265272" w:rsidRPr="00DD7585" w:rsidRDefault="00265272" w:rsidP="009D1BAD">
            <w:pPr>
              <w:jc w:val="center"/>
              <w:rPr>
                <w:rFonts w:ascii="Arial" w:hAnsi="Arial" w:cs="Arial"/>
                <w:color w:val="000000"/>
              </w:rPr>
            </w:pPr>
            <w:r w:rsidRPr="00DD7585">
              <w:rPr>
                <w:rFonts w:ascii="Arial" w:hAnsi="Arial" w:cs="Arial"/>
                <w:color w:val="000000"/>
              </w:rPr>
              <w:t>51.76</w:t>
            </w:r>
          </w:p>
        </w:tc>
        <w:tc>
          <w:tcPr>
            <w:tcW w:w="850" w:type="dxa"/>
            <w:gridSpan w:val="2"/>
            <w:tcBorders>
              <w:top w:val="nil"/>
              <w:left w:val="nil"/>
              <w:right w:val="nil"/>
            </w:tcBorders>
            <w:noWrap/>
            <w:vAlign w:val="bottom"/>
          </w:tcPr>
          <w:p w14:paraId="36FB6BFC" w14:textId="77777777" w:rsidR="00265272" w:rsidRPr="00DD7585" w:rsidRDefault="00265272" w:rsidP="009D1BAD">
            <w:pPr>
              <w:jc w:val="center"/>
              <w:rPr>
                <w:rFonts w:ascii="Arial" w:hAnsi="Arial" w:cs="Arial"/>
                <w:color w:val="000000"/>
              </w:rPr>
            </w:pPr>
            <w:r w:rsidRPr="00DD7585">
              <w:rPr>
                <w:rFonts w:ascii="Arial" w:hAnsi="Arial" w:cs="Arial"/>
                <w:color w:val="000000"/>
              </w:rPr>
              <w:t>25.23</w:t>
            </w:r>
          </w:p>
        </w:tc>
        <w:tc>
          <w:tcPr>
            <w:tcW w:w="993" w:type="dxa"/>
            <w:tcBorders>
              <w:top w:val="nil"/>
              <w:left w:val="nil"/>
              <w:right w:val="nil"/>
            </w:tcBorders>
            <w:vAlign w:val="bottom"/>
          </w:tcPr>
          <w:p w14:paraId="666A720B" w14:textId="77777777" w:rsidR="00265272" w:rsidRPr="00DD7585" w:rsidRDefault="00265272" w:rsidP="009D1BAD">
            <w:pPr>
              <w:jc w:val="center"/>
              <w:rPr>
                <w:rFonts w:ascii="Arial" w:hAnsi="Arial" w:cs="Arial"/>
                <w:color w:val="000000"/>
              </w:rPr>
            </w:pPr>
            <w:r w:rsidRPr="00DD7585">
              <w:rPr>
                <w:rFonts w:ascii="Arial" w:hAnsi="Arial" w:cs="Arial"/>
                <w:color w:val="000000"/>
              </w:rPr>
              <w:t>23.01</w:t>
            </w:r>
          </w:p>
        </w:tc>
        <w:tc>
          <w:tcPr>
            <w:tcW w:w="2409" w:type="dxa"/>
            <w:tcBorders>
              <w:top w:val="nil"/>
              <w:left w:val="nil"/>
              <w:right w:val="nil"/>
            </w:tcBorders>
          </w:tcPr>
          <w:p w14:paraId="1CA6057C"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r w:rsidR="00265272" w:rsidRPr="00DD7585" w14:paraId="494DA696" w14:textId="77777777" w:rsidTr="00B47600">
        <w:trPr>
          <w:trHeight w:val="56"/>
        </w:trPr>
        <w:tc>
          <w:tcPr>
            <w:tcW w:w="2310" w:type="dxa"/>
            <w:tcBorders>
              <w:top w:val="nil"/>
              <w:left w:val="nil"/>
              <w:bottom w:val="single" w:sz="4" w:space="0" w:color="auto"/>
              <w:right w:val="nil"/>
            </w:tcBorders>
            <w:noWrap/>
            <w:vAlign w:val="center"/>
          </w:tcPr>
          <w:p w14:paraId="69E4C58D"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992" w:type="dxa"/>
            <w:tcBorders>
              <w:top w:val="nil"/>
              <w:left w:val="nil"/>
              <w:bottom w:val="single" w:sz="4" w:space="0" w:color="auto"/>
              <w:right w:val="nil"/>
            </w:tcBorders>
            <w:noWrap/>
            <w:vAlign w:val="bottom"/>
          </w:tcPr>
          <w:p w14:paraId="087B979B" w14:textId="77777777" w:rsidR="00265272" w:rsidRPr="00DD7585" w:rsidRDefault="00265272" w:rsidP="009D1BAD">
            <w:pPr>
              <w:jc w:val="center"/>
              <w:rPr>
                <w:rFonts w:ascii="Arial" w:hAnsi="Arial" w:cs="Arial"/>
                <w:color w:val="000000"/>
              </w:rPr>
            </w:pPr>
            <w:r w:rsidRPr="00DD7585">
              <w:rPr>
                <w:rFonts w:ascii="Arial" w:hAnsi="Arial" w:cs="Arial"/>
                <w:color w:val="000000"/>
              </w:rPr>
              <w:t>48.57</w:t>
            </w:r>
          </w:p>
        </w:tc>
        <w:tc>
          <w:tcPr>
            <w:tcW w:w="850" w:type="dxa"/>
            <w:gridSpan w:val="2"/>
            <w:tcBorders>
              <w:top w:val="nil"/>
              <w:left w:val="nil"/>
              <w:bottom w:val="single" w:sz="4" w:space="0" w:color="auto"/>
              <w:right w:val="nil"/>
            </w:tcBorders>
            <w:noWrap/>
            <w:vAlign w:val="bottom"/>
          </w:tcPr>
          <w:p w14:paraId="0873BF92" w14:textId="77777777" w:rsidR="00265272" w:rsidRPr="00DD7585" w:rsidRDefault="00265272" w:rsidP="009D1BAD">
            <w:pPr>
              <w:jc w:val="center"/>
              <w:rPr>
                <w:rFonts w:ascii="Arial" w:hAnsi="Arial" w:cs="Arial"/>
                <w:color w:val="000000"/>
              </w:rPr>
            </w:pPr>
            <w:r w:rsidRPr="00DD7585">
              <w:rPr>
                <w:rFonts w:ascii="Arial" w:hAnsi="Arial" w:cs="Arial"/>
                <w:color w:val="000000"/>
              </w:rPr>
              <w:t>26.81</w:t>
            </w:r>
          </w:p>
        </w:tc>
        <w:tc>
          <w:tcPr>
            <w:tcW w:w="993" w:type="dxa"/>
            <w:tcBorders>
              <w:top w:val="nil"/>
              <w:left w:val="nil"/>
              <w:bottom w:val="single" w:sz="4" w:space="0" w:color="auto"/>
              <w:right w:val="nil"/>
            </w:tcBorders>
            <w:vAlign w:val="bottom"/>
          </w:tcPr>
          <w:p w14:paraId="5B890899" w14:textId="77777777" w:rsidR="00265272" w:rsidRPr="00DD7585" w:rsidRDefault="00265272" w:rsidP="009D1BAD">
            <w:pPr>
              <w:jc w:val="center"/>
              <w:rPr>
                <w:rFonts w:ascii="Arial" w:hAnsi="Arial" w:cs="Arial"/>
                <w:color w:val="000000"/>
              </w:rPr>
            </w:pPr>
            <w:r w:rsidRPr="00DD7585">
              <w:rPr>
                <w:rFonts w:ascii="Arial" w:hAnsi="Arial" w:cs="Arial"/>
                <w:color w:val="000000"/>
              </w:rPr>
              <w:t>24.62</w:t>
            </w:r>
          </w:p>
        </w:tc>
        <w:tc>
          <w:tcPr>
            <w:tcW w:w="2409" w:type="dxa"/>
            <w:tcBorders>
              <w:top w:val="nil"/>
              <w:left w:val="nil"/>
              <w:bottom w:val="single" w:sz="4" w:space="0" w:color="auto"/>
              <w:right w:val="nil"/>
            </w:tcBorders>
          </w:tcPr>
          <w:p w14:paraId="331BB724"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bl>
    <w:p w14:paraId="42FC9F69" w14:textId="77777777" w:rsidR="00676668" w:rsidRPr="00676668" w:rsidRDefault="00676668" w:rsidP="002E2FF7">
      <w:pPr>
        <w:spacing w:line="276" w:lineRule="auto"/>
        <w:ind w:left="426"/>
        <w:jc w:val="both"/>
        <w:rPr>
          <w:rFonts w:ascii="Arial" w:hAnsi="Arial" w:cs="Arial"/>
          <w:i/>
        </w:rPr>
      </w:pPr>
      <w:r w:rsidRPr="00676668">
        <w:rPr>
          <w:rFonts w:ascii="Arial" w:hAnsi="Arial" w:cs="Arial"/>
          <w:i/>
          <w:iCs/>
        </w:rPr>
        <w:t>Source: Soil Science Laboratory, Faculty of Agriculture, Bengkulu University 2025</w:t>
      </w:r>
    </w:p>
    <w:p w14:paraId="707C4D98" w14:textId="77777777" w:rsidR="009632CF" w:rsidRDefault="00676668" w:rsidP="009632CF">
      <w:pPr>
        <w:spacing w:line="276" w:lineRule="auto"/>
        <w:ind w:firstLine="567"/>
        <w:jc w:val="both"/>
        <w:rPr>
          <w:rFonts w:ascii="Arial" w:hAnsi="Arial" w:cs="Arial"/>
        </w:rPr>
      </w:pPr>
      <w:r w:rsidRPr="00676668">
        <w:rPr>
          <w:rFonts w:ascii="Arial" w:hAnsi="Arial" w:cs="Arial"/>
          <w:i/>
        </w:rPr>
        <w:t xml:space="preserve"> </w:t>
      </w:r>
      <w:r w:rsidR="009632CF" w:rsidRPr="009632CF">
        <w:rPr>
          <w:rFonts w:ascii="Arial" w:hAnsi="Arial" w:cs="Arial"/>
        </w:rPr>
        <w:t>Based on Table 1, P</w:t>
      </w:r>
      <w:r w:rsidR="009632CF" w:rsidRPr="002E2FF7">
        <w:rPr>
          <w:rFonts w:ascii="Arial" w:hAnsi="Arial" w:cs="Arial"/>
          <w:vertAlign w:val="subscript"/>
        </w:rPr>
        <w:t>0</w:t>
      </w:r>
      <w:r w:rsidR="009632CF" w:rsidRPr="009632CF">
        <w:rPr>
          <w:rFonts w:ascii="Arial" w:hAnsi="Arial" w:cs="Arial"/>
        </w:rPr>
        <w:t xml:space="preserve"> has a very high sand fraction (81.78%) with a sandy texture and very high permeability. The addition of </w:t>
      </w:r>
      <w:proofErr w:type="spellStart"/>
      <w:r w:rsidR="009632CF" w:rsidRPr="009632CF">
        <w:rPr>
          <w:rFonts w:ascii="Arial" w:hAnsi="Arial" w:cs="Arial"/>
        </w:rPr>
        <w:t>ultisol</w:t>
      </w:r>
      <w:proofErr w:type="spellEnd"/>
      <w:r w:rsidR="009632CF" w:rsidRPr="009632CF">
        <w:rPr>
          <w:rFonts w:ascii="Arial" w:hAnsi="Arial" w:cs="Arial"/>
        </w:rPr>
        <w:t xml:space="preserve"> and ameliorants to P</w:t>
      </w:r>
      <w:r w:rsidR="009632CF" w:rsidRPr="002E2FF7">
        <w:rPr>
          <w:rFonts w:ascii="Arial" w:hAnsi="Arial" w:cs="Arial"/>
          <w:vertAlign w:val="subscript"/>
        </w:rPr>
        <w:t>1</w:t>
      </w:r>
      <w:r w:rsidR="009632CF" w:rsidRPr="009632CF">
        <w:rPr>
          <w:rFonts w:ascii="Arial" w:hAnsi="Arial" w:cs="Arial"/>
        </w:rPr>
        <w:t>, P</w:t>
      </w:r>
      <w:r w:rsidR="009632CF" w:rsidRPr="002E2FF7">
        <w:rPr>
          <w:rFonts w:ascii="Arial" w:hAnsi="Arial" w:cs="Arial"/>
          <w:vertAlign w:val="subscript"/>
        </w:rPr>
        <w:t>2</w:t>
      </w:r>
      <w:r w:rsidR="009632CF" w:rsidRPr="009632CF">
        <w:rPr>
          <w:rFonts w:ascii="Arial" w:hAnsi="Arial" w:cs="Arial"/>
        </w:rPr>
        <w:t>, and P</w:t>
      </w:r>
      <w:r w:rsidR="009632CF" w:rsidRPr="002E2FF7">
        <w:rPr>
          <w:rFonts w:ascii="Arial" w:hAnsi="Arial" w:cs="Arial"/>
          <w:vertAlign w:val="subscript"/>
        </w:rPr>
        <w:t>4</w:t>
      </w:r>
      <w:r w:rsidR="009632CF" w:rsidRPr="009632CF">
        <w:rPr>
          <w:rFonts w:ascii="Arial" w:hAnsi="Arial" w:cs="Arial"/>
        </w:rPr>
        <w:t xml:space="preserve"> reduced the sand fraction and increased the clay and </w:t>
      </w:r>
      <w:r w:rsidR="00495F7F">
        <w:rPr>
          <w:rFonts w:ascii="Arial" w:hAnsi="Arial" w:cs="Arial"/>
        </w:rPr>
        <w:t>silt</w:t>
      </w:r>
      <w:r w:rsidR="009632CF" w:rsidRPr="009632CF">
        <w:rPr>
          <w:rFonts w:ascii="Arial" w:hAnsi="Arial" w:cs="Arial"/>
        </w:rPr>
        <w:t xml:space="preserve"> fractions, changing the texture to loamy sand to sandy loam with lower permeability. P</w:t>
      </w:r>
      <w:r w:rsidR="009632CF" w:rsidRPr="002E2FF7">
        <w:rPr>
          <w:rFonts w:ascii="Arial" w:hAnsi="Arial" w:cs="Arial"/>
          <w:vertAlign w:val="subscript"/>
        </w:rPr>
        <w:t>3</w:t>
      </w:r>
      <w:r w:rsidR="009632CF" w:rsidRPr="009632CF">
        <w:rPr>
          <w:rFonts w:ascii="Arial" w:hAnsi="Arial" w:cs="Arial"/>
        </w:rPr>
        <w:t xml:space="preserve"> has a lower sand fraction and an increase in clay and silt, resulting in a sandy clay loam texture with high permeability. P</w:t>
      </w:r>
      <w:r w:rsidR="009632CF" w:rsidRPr="002E2FF7">
        <w:rPr>
          <w:rFonts w:ascii="Arial" w:hAnsi="Arial" w:cs="Arial"/>
          <w:vertAlign w:val="subscript"/>
        </w:rPr>
        <w:t>5</w:t>
      </w:r>
      <w:r w:rsidR="009632CF" w:rsidRPr="009632CF">
        <w:rPr>
          <w:rFonts w:ascii="Arial" w:hAnsi="Arial" w:cs="Arial"/>
        </w:rPr>
        <w:t xml:space="preserve"> and P</w:t>
      </w:r>
      <w:r w:rsidR="009632CF" w:rsidRPr="002E2FF7">
        <w:rPr>
          <w:rFonts w:ascii="Arial" w:hAnsi="Arial" w:cs="Arial"/>
          <w:vertAlign w:val="subscript"/>
        </w:rPr>
        <w:t>6</w:t>
      </w:r>
      <w:r w:rsidR="009632CF" w:rsidRPr="009632CF">
        <w:rPr>
          <w:rFonts w:ascii="Arial" w:hAnsi="Arial" w:cs="Arial"/>
        </w:rPr>
        <w:t xml:space="preserve"> have the same texture with moderate permeability. The addition of soil conditioners can improve texture and reduce soil permeability.</w:t>
      </w:r>
      <w:r w:rsidR="00265272" w:rsidRPr="00D7358C">
        <w:rPr>
          <w:rFonts w:ascii="Arial" w:hAnsi="Arial" w:cs="Arial"/>
        </w:rPr>
        <w:t xml:space="preserve"> </w:t>
      </w:r>
      <w:r w:rsidR="00044AE5">
        <w:rPr>
          <w:rFonts w:ascii="Arial" w:hAnsi="Arial" w:cs="Arial"/>
        </w:rPr>
        <w:fldChar w:fldCharType="begin" w:fldLock="1"/>
      </w:r>
      <w:r w:rsidR="00044AE5">
        <w:rPr>
          <w:rFonts w:ascii="Arial" w:hAnsi="Arial" w:cs="Arial"/>
        </w:rPr>
        <w:instrText>ADDIN CSL_CITATION { "citationItems" : [ { "id" : "ITEM-1", "itemData" : { "author" : [ { "dropping-particle" : "", "family" : "Suyanto", "given" : "Agus", "non-dropping-particle" : "", "parse-names" : false, "suffix" : "" }, { "dropping-particle" : "", "family" : "Sri", "given" : "Rahayu", "non-dropping-particle" : "", "parse-names" : false, "suffix" : "" }, { "dropping-particle" : "", "family" : "Sutikarini", "given" : "", "non-dropping-particle" : "", "parse-names" : false, "suffix" : "" }, { "dropping-particle" : "", "family" : "Suryani", "given" : "", "non-dropping-particle" : "", "parse-names" : false, "suffix" : "" } ], "container-title" : "PANGAN", "id" : "ITEM-1", "issued" : { "date-parts" : [ [ "2023" ] ] }, "page" : "95-102", "title" : "Efektivitas Penggunaan Pembenah Tanah Organik dalam Meningkatkan Pertumbuhan dan Hasil Tanaman Padi (Oryza sativa L.) pada Tanah Sulfat Masam", "type" : "article-journal", "volume" : "32" }, "uris" : [ "http://www.mendeley.com/documents/?uuid=a6b53045-c078-4c21-ba2e-0ad2d1d758fa" ] } ], "mendeley" : { "formattedCitation" : "(Suyanto et al., 2023)", "manualFormatting" : "Suyanto et al. (2023)", "plainTextFormattedCitation" : "(Suyanto et al., 2023)", "previouslyFormattedCitation" : "(Suyanto et al., 2023)" }, "properties" : { "noteIndex" : 0 }, "schema" : "https://github.com/citation-style-language/schema/raw/master/csl-citation.json" }</w:instrText>
      </w:r>
      <w:r w:rsidR="00044AE5">
        <w:rPr>
          <w:rFonts w:ascii="Arial" w:hAnsi="Arial" w:cs="Arial"/>
        </w:rPr>
        <w:fldChar w:fldCharType="separate"/>
      </w:r>
      <w:r w:rsidR="00044AE5">
        <w:rPr>
          <w:rFonts w:ascii="Arial" w:hAnsi="Arial" w:cs="Arial"/>
          <w:noProof/>
        </w:rPr>
        <w:t xml:space="preserve">Suyanto </w:t>
      </w:r>
      <w:r w:rsidR="00044AE5" w:rsidRPr="00044AE5">
        <w:rPr>
          <w:rFonts w:ascii="Arial" w:hAnsi="Arial" w:cs="Arial"/>
          <w:i/>
          <w:noProof/>
        </w:rPr>
        <w:t>et</w:t>
      </w:r>
      <w:r w:rsidR="00044AE5">
        <w:rPr>
          <w:rFonts w:ascii="Arial" w:hAnsi="Arial" w:cs="Arial"/>
          <w:noProof/>
        </w:rPr>
        <w:t xml:space="preserve"> </w:t>
      </w:r>
      <w:r w:rsidR="00044AE5" w:rsidRPr="00044AE5">
        <w:rPr>
          <w:rFonts w:ascii="Arial" w:hAnsi="Arial" w:cs="Arial"/>
          <w:i/>
          <w:noProof/>
        </w:rPr>
        <w:t>al</w:t>
      </w:r>
      <w:r w:rsidR="00044AE5">
        <w:rPr>
          <w:rFonts w:ascii="Arial" w:hAnsi="Arial" w:cs="Arial"/>
          <w:noProof/>
        </w:rPr>
        <w:t>.</w:t>
      </w:r>
      <w:r w:rsidR="00044AE5" w:rsidRPr="00044AE5">
        <w:rPr>
          <w:rFonts w:ascii="Arial" w:hAnsi="Arial" w:cs="Arial"/>
          <w:noProof/>
        </w:rPr>
        <w:t xml:space="preserve"> </w:t>
      </w:r>
      <w:r w:rsidR="00044AE5">
        <w:rPr>
          <w:rFonts w:ascii="Arial" w:hAnsi="Arial" w:cs="Arial"/>
          <w:noProof/>
          <w:lang w:val="id-ID"/>
        </w:rPr>
        <w:t>(</w:t>
      </w:r>
      <w:r w:rsidR="00044AE5" w:rsidRPr="00044AE5">
        <w:rPr>
          <w:rFonts w:ascii="Arial" w:hAnsi="Arial" w:cs="Arial"/>
          <w:noProof/>
        </w:rPr>
        <w:t>2023)</w:t>
      </w:r>
      <w:r w:rsidR="00044AE5">
        <w:rPr>
          <w:rFonts w:ascii="Arial" w:hAnsi="Arial" w:cs="Arial"/>
        </w:rPr>
        <w:fldChar w:fldCharType="end"/>
      </w:r>
      <w:r w:rsidR="00044AE5">
        <w:rPr>
          <w:rFonts w:ascii="Arial" w:hAnsi="Arial" w:cs="Arial"/>
          <w:lang w:val="id-ID"/>
        </w:rPr>
        <w:t xml:space="preserve"> </w:t>
      </w:r>
      <w:r w:rsidR="009632CF" w:rsidRPr="009632CF">
        <w:rPr>
          <w:rFonts w:ascii="Arial" w:hAnsi="Arial" w:cs="Arial"/>
        </w:rPr>
        <w:t>states that ameliorants increase the soil's water retention capacity and improve permeability.</w:t>
      </w:r>
    </w:p>
    <w:p w14:paraId="6BB9A0E0" w14:textId="77777777" w:rsidR="009632CF" w:rsidRPr="009632CF" w:rsidRDefault="009632CF" w:rsidP="002E2FF7">
      <w:pPr>
        <w:spacing w:line="276" w:lineRule="auto"/>
        <w:ind w:left="426"/>
        <w:jc w:val="both"/>
        <w:rPr>
          <w:rFonts w:ascii="Arial" w:hAnsi="Arial" w:cs="Arial"/>
        </w:rPr>
      </w:pPr>
      <w:r w:rsidRPr="009632CF">
        <w:rPr>
          <w:rFonts w:ascii="Arial" w:hAnsi="Arial" w:cs="Arial"/>
        </w:rPr>
        <w:t>Table 2. pH analysis data</w:t>
      </w:r>
    </w:p>
    <w:tbl>
      <w:tblPr>
        <w:tblW w:w="7512" w:type="dxa"/>
        <w:tblInd w:w="534" w:type="dxa"/>
        <w:tblLook w:val="04A0" w:firstRow="1" w:lastRow="0" w:firstColumn="1" w:lastColumn="0" w:noHBand="0" w:noVBand="1"/>
      </w:tblPr>
      <w:tblGrid>
        <w:gridCol w:w="1531"/>
        <w:gridCol w:w="2424"/>
        <w:gridCol w:w="1242"/>
        <w:gridCol w:w="2687"/>
      </w:tblGrid>
      <w:tr w:rsidR="006936EA" w:rsidRPr="00DD7585" w14:paraId="376C6052" w14:textId="77777777" w:rsidTr="00EC4810">
        <w:trPr>
          <w:trHeight w:val="46"/>
        </w:trPr>
        <w:tc>
          <w:tcPr>
            <w:tcW w:w="1556" w:type="dxa"/>
            <w:tcBorders>
              <w:top w:val="single" w:sz="8" w:space="0" w:color="auto"/>
              <w:left w:val="nil"/>
              <w:bottom w:val="single" w:sz="8" w:space="0" w:color="auto"/>
              <w:right w:val="nil"/>
            </w:tcBorders>
            <w:noWrap/>
            <w:vAlign w:val="bottom"/>
            <w:hideMark/>
          </w:tcPr>
          <w:p w14:paraId="4B5D9780" w14:textId="77777777" w:rsidR="006936EA" w:rsidRPr="00DD7585" w:rsidRDefault="003D2BF5" w:rsidP="00EC4810">
            <w:pPr>
              <w:jc w:val="center"/>
              <w:rPr>
                <w:rFonts w:ascii="Arial" w:hAnsi="Arial" w:cs="Arial"/>
                <w:color w:val="000000"/>
              </w:rPr>
            </w:pPr>
            <w:r w:rsidRPr="003D2BF5">
              <w:rPr>
                <w:rFonts w:ascii="Arial" w:hAnsi="Arial" w:cs="Arial"/>
                <w:color w:val="000000"/>
              </w:rPr>
              <w:t>Parameters</w:t>
            </w:r>
          </w:p>
        </w:tc>
        <w:tc>
          <w:tcPr>
            <w:tcW w:w="2466" w:type="dxa"/>
            <w:tcBorders>
              <w:top w:val="single" w:sz="8" w:space="0" w:color="auto"/>
              <w:left w:val="nil"/>
              <w:bottom w:val="single" w:sz="8" w:space="0" w:color="auto"/>
              <w:right w:val="nil"/>
            </w:tcBorders>
            <w:noWrap/>
            <w:vAlign w:val="bottom"/>
            <w:hideMark/>
          </w:tcPr>
          <w:p w14:paraId="6089F984" w14:textId="77777777" w:rsidR="006936EA" w:rsidRPr="00DD7585" w:rsidRDefault="003D2BF5" w:rsidP="00EC4810">
            <w:pPr>
              <w:jc w:val="center"/>
              <w:rPr>
                <w:rFonts w:ascii="Arial" w:hAnsi="Arial" w:cs="Arial"/>
                <w:color w:val="000000"/>
              </w:rPr>
            </w:pPr>
            <w:r w:rsidRPr="003D2BF5">
              <w:rPr>
                <w:rFonts w:ascii="Arial" w:hAnsi="Arial" w:cs="Arial"/>
                <w:color w:val="000000"/>
              </w:rPr>
              <w:t>Composition of growing media</w:t>
            </w:r>
          </w:p>
        </w:tc>
        <w:tc>
          <w:tcPr>
            <w:tcW w:w="756" w:type="dxa"/>
            <w:tcBorders>
              <w:top w:val="single" w:sz="8" w:space="0" w:color="auto"/>
              <w:left w:val="nil"/>
              <w:bottom w:val="single" w:sz="8" w:space="0" w:color="auto"/>
              <w:right w:val="nil"/>
            </w:tcBorders>
            <w:noWrap/>
            <w:vAlign w:val="bottom"/>
            <w:hideMark/>
          </w:tcPr>
          <w:p w14:paraId="28362C00" w14:textId="77777777" w:rsidR="006936EA" w:rsidRPr="00DD7585" w:rsidRDefault="003D2BF5" w:rsidP="00EC4810">
            <w:pPr>
              <w:jc w:val="center"/>
              <w:rPr>
                <w:rFonts w:ascii="Arial" w:hAnsi="Arial" w:cs="Arial"/>
                <w:color w:val="000000"/>
              </w:rPr>
            </w:pPr>
            <w:commentRangeStart w:id="15"/>
            <w:r w:rsidRPr="003D2BF5">
              <w:rPr>
                <w:rFonts w:ascii="Arial" w:hAnsi="Arial" w:cs="Arial"/>
                <w:color w:val="000000"/>
              </w:rPr>
              <w:t>Value</w:t>
            </w:r>
            <w:commentRangeEnd w:id="15"/>
            <w:r w:rsidR="0035221E">
              <w:rPr>
                <w:rStyle w:val="CommentReference"/>
                <w:rFonts w:ascii="Times New Roman" w:hAnsi="Times New Roman"/>
                <w:lang w:val="nb-NO" w:eastAsia="nb-NO"/>
              </w:rPr>
              <w:commentReference w:id="15"/>
            </w:r>
          </w:p>
        </w:tc>
        <w:tc>
          <w:tcPr>
            <w:tcW w:w="2734" w:type="dxa"/>
            <w:tcBorders>
              <w:top w:val="single" w:sz="4" w:space="0" w:color="auto"/>
              <w:left w:val="nil"/>
              <w:bottom w:val="single" w:sz="8" w:space="0" w:color="auto"/>
              <w:right w:val="nil"/>
            </w:tcBorders>
            <w:noWrap/>
            <w:vAlign w:val="bottom"/>
            <w:hideMark/>
          </w:tcPr>
          <w:p w14:paraId="4142B6D2" w14:textId="77777777" w:rsidR="006936EA" w:rsidRPr="00DD7585" w:rsidRDefault="003D2BF5" w:rsidP="00EC4810">
            <w:pPr>
              <w:jc w:val="center"/>
              <w:rPr>
                <w:rFonts w:ascii="Arial" w:hAnsi="Arial" w:cs="Arial"/>
                <w:color w:val="000000"/>
              </w:rPr>
            </w:pPr>
            <w:r w:rsidRPr="003D2BF5">
              <w:rPr>
                <w:rFonts w:ascii="Arial" w:hAnsi="Arial" w:cs="Arial"/>
                <w:color w:val="000000"/>
              </w:rPr>
              <w:t>Criteria</w:t>
            </w:r>
          </w:p>
        </w:tc>
      </w:tr>
      <w:tr w:rsidR="003D2BF5" w:rsidRPr="00DD7585" w14:paraId="3A3CDA4C" w14:textId="77777777" w:rsidTr="00A76B61">
        <w:trPr>
          <w:trHeight w:val="53"/>
        </w:trPr>
        <w:tc>
          <w:tcPr>
            <w:tcW w:w="1556" w:type="dxa"/>
            <w:vMerge w:val="restart"/>
            <w:tcBorders>
              <w:top w:val="nil"/>
              <w:left w:val="nil"/>
              <w:right w:val="nil"/>
            </w:tcBorders>
            <w:noWrap/>
            <w:vAlign w:val="center"/>
          </w:tcPr>
          <w:p w14:paraId="53B7EEF2" w14:textId="77777777" w:rsidR="003D2BF5" w:rsidRPr="00DD7585" w:rsidRDefault="003D2BF5" w:rsidP="00EC4810">
            <w:pPr>
              <w:jc w:val="center"/>
              <w:rPr>
                <w:rFonts w:ascii="Arial" w:hAnsi="Arial" w:cs="Arial"/>
                <w:color w:val="000000"/>
              </w:rPr>
            </w:pPr>
            <w:r w:rsidRPr="00DD7585">
              <w:rPr>
                <w:rFonts w:ascii="Arial" w:hAnsi="Arial" w:cs="Arial"/>
                <w:color w:val="000000"/>
              </w:rPr>
              <w:t>pH H</w:t>
            </w:r>
            <w:r w:rsidRPr="009C11C7">
              <w:rPr>
                <w:rFonts w:ascii="Arial" w:hAnsi="Arial" w:cs="Arial"/>
                <w:color w:val="000000"/>
                <w:vertAlign w:val="subscript"/>
              </w:rPr>
              <w:t>2</w:t>
            </w:r>
            <w:r w:rsidRPr="00DD7585">
              <w:rPr>
                <w:rFonts w:ascii="Arial" w:hAnsi="Arial" w:cs="Arial"/>
                <w:color w:val="000000"/>
              </w:rPr>
              <w:t xml:space="preserve">O </w:t>
            </w:r>
          </w:p>
        </w:tc>
        <w:tc>
          <w:tcPr>
            <w:tcW w:w="2466" w:type="dxa"/>
            <w:tcBorders>
              <w:top w:val="nil"/>
              <w:left w:val="nil"/>
              <w:bottom w:val="nil"/>
              <w:right w:val="nil"/>
            </w:tcBorders>
            <w:noWrap/>
            <w:vAlign w:val="center"/>
          </w:tcPr>
          <w:p w14:paraId="5256ACDA"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756" w:type="dxa"/>
            <w:tcBorders>
              <w:top w:val="nil"/>
              <w:left w:val="nil"/>
              <w:bottom w:val="nil"/>
              <w:right w:val="nil"/>
            </w:tcBorders>
            <w:noWrap/>
            <w:vAlign w:val="center"/>
          </w:tcPr>
          <w:p w14:paraId="62321976" w14:textId="77777777" w:rsidR="003D2BF5" w:rsidRPr="00DD7585" w:rsidRDefault="003D2BF5" w:rsidP="00EC4810">
            <w:pPr>
              <w:jc w:val="center"/>
              <w:rPr>
                <w:rFonts w:ascii="Arial" w:hAnsi="Arial" w:cs="Arial"/>
                <w:color w:val="000000"/>
              </w:rPr>
            </w:pPr>
            <w:r w:rsidRPr="00DD7585">
              <w:rPr>
                <w:rFonts w:ascii="Arial" w:hAnsi="Arial" w:cs="Arial"/>
                <w:color w:val="000000"/>
              </w:rPr>
              <w:t>6,1</w:t>
            </w:r>
          </w:p>
        </w:tc>
        <w:tc>
          <w:tcPr>
            <w:tcW w:w="2734" w:type="dxa"/>
            <w:tcBorders>
              <w:top w:val="nil"/>
              <w:left w:val="nil"/>
              <w:bottom w:val="nil"/>
              <w:right w:val="nil"/>
            </w:tcBorders>
            <w:noWrap/>
          </w:tcPr>
          <w:p w14:paraId="37079DC8" w14:textId="77777777" w:rsidR="003D2BF5" w:rsidRDefault="003D2BF5" w:rsidP="003D2BF5">
            <w:pPr>
              <w:jc w:val="center"/>
            </w:pPr>
            <w:r w:rsidRPr="008940D9">
              <w:t>Medium sour</w:t>
            </w:r>
          </w:p>
        </w:tc>
      </w:tr>
      <w:tr w:rsidR="003D2BF5" w:rsidRPr="00DD7585" w14:paraId="61D23F13" w14:textId="77777777" w:rsidTr="00A76B61">
        <w:trPr>
          <w:trHeight w:val="105"/>
        </w:trPr>
        <w:tc>
          <w:tcPr>
            <w:tcW w:w="1556" w:type="dxa"/>
            <w:vMerge/>
            <w:tcBorders>
              <w:left w:val="nil"/>
              <w:right w:val="nil"/>
            </w:tcBorders>
            <w:noWrap/>
            <w:vAlign w:val="center"/>
            <w:hideMark/>
          </w:tcPr>
          <w:p w14:paraId="4B8F6AE1"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58040856"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1</w:t>
            </w:r>
          </w:p>
        </w:tc>
        <w:tc>
          <w:tcPr>
            <w:tcW w:w="756" w:type="dxa"/>
            <w:tcBorders>
              <w:top w:val="nil"/>
              <w:left w:val="nil"/>
              <w:bottom w:val="nil"/>
              <w:right w:val="nil"/>
            </w:tcBorders>
            <w:noWrap/>
            <w:vAlign w:val="center"/>
            <w:hideMark/>
          </w:tcPr>
          <w:p w14:paraId="2DC0B9D6" w14:textId="77777777" w:rsidR="003D2BF5" w:rsidRPr="00DD7585" w:rsidRDefault="003D2BF5" w:rsidP="00EC4810">
            <w:pPr>
              <w:jc w:val="center"/>
              <w:rPr>
                <w:rFonts w:ascii="Arial" w:hAnsi="Arial" w:cs="Arial"/>
                <w:color w:val="000000"/>
              </w:rPr>
            </w:pPr>
            <w:r w:rsidRPr="00DD7585">
              <w:rPr>
                <w:rFonts w:ascii="Arial" w:hAnsi="Arial" w:cs="Arial"/>
                <w:color w:val="000000"/>
              </w:rPr>
              <w:t>6,1</w:t>
            </w:r>
          </w:p>
        </w:tc>
        <w:tc>
          <w:tcPr>
            <w:tcW w:w="2734" w:type="dxa"/>
            <w:tcBorders>
              <w:top w:val="nil"/>
              <w:left w:val="nil"/>
              <w:bottom w:val="nil"/>
              <w:right w:val="nil"/>
            </w:tcBorders>
            <w:noWrap/>
            <w:hideMark/>
          </w:tcPr>
          <w:p w14:paraId="55A6247A" w14:textId="77777777" w:rsidR="003D2BF5" w:rsidRDefault="003D2BF5" w:rsidP="003D2BF5">
            <w:pPr>
              <w:jc w:val="center"/>
            </w:pPr>
            <w:r w:rsidRPr="008940D9">
              <w:t>Medium sour</w:t>
            </w:r>
          </w:p>
        </w:tc>
      </w:tr>
      <w:tr w:rsidR="003D2BF5" w:rsidRPr="00DD7585" w14:paraId="2D254ED4" w14:textId="77777777" w:rsidTr="00A76B61">
        <w:trPr>
          <w:trHeight w:val="66"/>
        </w:trPr>
        <w:tc>
          <w:tcPr>
            <w:tcW w:w="1556" w:type="dxa"/>
            <w:vMerge/>
            <w:tcBorders>
              <w:left w:val="nil"/>
              <w:right w:val="nil"/>
            </w:tcBorders>
            <w:noWrap/>
            <w:vAlign w:val="bottom"/>
            <w:hideMark/>
          </w:tcPr>
          <w:p w14:paraId="59CAA52D"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4E2F910E"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756" w:type="dxa"/>
            <w:tcBorders>
              <w:top w:val="nil"/>
              <w:left w:val="nil"/>
              <w:bottom w:val="nil"/>
              <w:right w:val="nil"/>
            </w:tcBorders>
            <w:noWrap/>
            <w:vAlign w:val="center"/>
            <w:hideMark/>
          </w:tcPr>
          <w:p w14:paraId="11DC9A89" w14:textId="77777777" w:rsidR="003D2BF5" w:rsidRPr="00DD7585" w:rsidRDefault="003D2BF5" w:rsidP="00EC4810">
            <w:pPr>
              <w:jc w:val="center"/>
              <w:rPr>
                <w:rFonts w:ascii="Arial" w:hAnsi="Arial" w:cs="Arial"/>
                <w:color w:val="000000"/>
              </w:rPr>
            </w:pPr>
            <w:r w:rsidRPr="00DD7585">
              <w:rPr>
                <w:rFonts w:ascii="Arial" w:hAnsi="Arial" w:cs="Arial"/>
                <w:color w:val="000000"/>
              </w:rPr>
              <w:t>5,6</w:t>
            </w:r>
          </w:p>
        </w:tc>
        <w:tc>
          <w:tcPr>
            <w:tcW w:w="2734" w:type="dxa"/>
            <w:tcBorders>
              <w:top w:val="nil"/>
              <w:left w:val="nil"/>
              <w:bottom w:val="nil"/>
              <w:right w:val="nil"/>
            </w:tcBorders>
            <w:noWrap/>
            <w:hideMark/>
          </w:tcPr>
          <w:p w14:paraId="57212214" w14:textId="77777777" w:rsidR="003D2BF5" w:rsidRDefault="003D2BF5" w:rsidP="003D2BF5">
            <w:pPr>
              <w:jc w:val="center"/>
            </w:pPr>
            <w:r w:rsidRPr="008940D9">
              <w:t>Medium sour</w:t>
            </w:r>
          </w:p>
        </w:tc>
      </w:tr>
      <w:tr w:rsidR="003D2BF5" w:rsidRPr="00DD7585" w14:paraId="357ACC76" w14:textId="77777777" w:rsidTr="00A76B61">
        <w:trPr>
          <w:trHeight w:val="69"/>
        </w:trPr>
        <w:tc>
          <w:tcPr>
            <w:tcW w:w="1556" w:type="dxa"/>
            <w:vMerge/>
            <w:tcBorders>
              <w:left w:val="nil"/>
              <w:right w:val="nil"/>
            </w:tcBorders>
            <w:noWrap/>
            <w:vAlign w:val="bottom"/>
            <w:hideMark/>
          </w:tcPr>
          <w:p w14:paraId="0B4DF4A2"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48AEA79E"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756" w:type="dxa"/>
            <w:tcBorders>
              <w:top w:val="nil"/>
              <w:left w:val="nil"/>
              <w:bottom w:val="nil"/>
              <w:right w:val="nil"/>
            </w:tcBorders>
            <w:noWrap/>
            <w:vAlign w:val="center"/>
            <w:hideMark/>
          </w:tcPr>
          <w:p w14:paraId="6F613E26" w14:textId="77777777" w:rsidR="003D2BF5" w:rsidRPr="00DD7585" w:rsidRDefault="003D2BF5" w:rsidP="00EC4810">
            <w:pPr>
              <w:jc w:val="center"/>
              <w:rPr>
                <w:rFonts w:ascii="Arial" w:hAnsi="Arial" w:cs="Arial"/>
                <w:color w:val="000000"/>
              </w:rPr>
            </w:pPr>
            <w:r w:rsidRPr="00DD7585">
              <w:rPr>
                <w:rFonts w:ascii="Arial" w:hAnsi="Arial" w:cs="Arial"/>
                <w:color w:val="000000"/>
              </w:rPr>
              <w:t>6,2</w:t>
            </w:r>
          </w:p>
        </w:tc>
        <w:tc>
          <w:tcPr>
            <w:tcW w:w="2734" w:type="dxa"/>
            <w:tcBorders>
              <w:top w:val="nil"/>
              <w:left w:val="nil"/>
              <w:bottom w:val="nil"/>
              <w:right w:val="nil"/>
            </w:tcBorders>
            <w:noWrap/>
            <w:hideMark/>
          </w:tcPr>
          <w:p w14:paraId="009A2B46" w14:textId="77777777" w:rsidR="003D2BF5" w:rsidRDefault="003D2BF5" w:rsidP="003D2BF5">
            <w:pPr>
              <w:jc w:val="center"/>
            </w:pPr>
            <w:r w:rsidRPr="008940D9">
              <w:t>Medium sour</w:t>
            </w:r>
          </w:p>
        </w:tc>
      </w:tr>
      <w:tr w:rsidR="006936EA" w:rsidRPr="00DD7585" w14:paraId="3EA8B843" w14:textId="77777777" w:rsidTr="00EC4810">
        <w:trPr>
          <w:trHeight w:val="129"/>
        </w:trPr>
        <w:tc>
          <w:tcPr>
            <w:tcW w:w="1556" w:type="dxa"/>
            <w:vMerge/>
            <w:tcBorders>
              <w:left w:val="nil"/>
              <w:right w:val="nil"/>
            </w:tcBorders>
            <w:noWrap/>
            <w:vAlign w:val="bottom"/>
            <w:hideMark/>
          </w:tcPr>
          <w:p w14:paraId="43028EE7" w14:textId="77777777" w:rsidR="006936EA" w:rsidRPr="00DD7585" w:rsidRDefault="006936EA"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54311686"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756" w:type="dxa"/>
            <w:tcBorders>
              <w:top w:val="nil"/>
              <w:left w:val="nil"/>
              <w:bottom w:val="nil"/>
              <w:right w:val="nil"/>
            </w:tcBorders>
            <w:noWrap/>
            <w:vAlign w:val="center"/>
            <w:hideMark/>
          </w:tcPr>
          <w:p w14:paraId="7A39EE04" w14:textId="77777777" w:rsidR="006936EA" w:rsidRPr="00DD7585" w:rsidRDefault="006936EA" w:rsidP="00EC4810">
            <w:pPr>
              <w:jc w:val="center"/>
              <w:rPr>
                <w:rFonts w:ascii="Arial" w:hAnsi="Arial" w:cs="Arial"/>
                <w:color w:val="000000"/>
              </w:rPr>
            </w:pPr>
            <w:r w:rsidRPr="00DD7585">
              <w:rPr>
                <w:rFonts w:ascii="Arial" w:hAnsi="Arial" w:cs="Arial"/>
                <w:color w:val="000000"/>
              </w:rPr>
              <w:t>4,2</w:t>
            </w:r>
          </w:p>
        </w:tc>
        <w:tc>
          <w:tcPr>
            <w:tcW w:w="2734" w:type="dxa"/>
            <w:tcBorders>
              <w:top w:val="nil"/>
              <w:left w:val="nil"/>
              <w:bottom w:val="nil"/>
              <w:right w:val="nil"/>
            </w:tcBorders>
            <w:noWrap/>
            <w:vAlign w:val="bottom"/>
            <w:hideMark/>
          </w:tcPr>
          <w:p w14:paraId="1B6CF968" w14:textId="77777777" w:rsidR="006936EA" w:rsidRPr="00DD7585" w:rsidRDefault="003D2BF5" w:rsidP="00EC4810">
            <w:pPr>
              <w:jc w:val="center"/>
              <w:rPr>
                <w:rFonts w:ascii="Arial" w:hAnsi="Arial" w:cs="Arial"/>
                <w:color w:val="000000"/>
              </w:rPr>
            </w:pPr>
            <w:r>
              <w:rPr>
                <w:rFonts w:ascii="Arial" w:hAnsi="Arial" w:cs="Arial"/>
                <w:color w:val="000000"/>
              </w:rPr>
              <w:t>Very sour</w:t>
            </w:r>
          </w:p>
        </w:tc>
      </w:tr>
      <w:tr w:rsidR="006936EA" w:rsidRPr="00DD7585" w14:paraId="3E33A797" w14:textId="77777777" w:rsidTr="00EC4810">
        <w:trPr>
          <w:trHeight w:val="66"/>
        </w:trPr>
        <w:tc>
          <w:tcPr>
            <w:tcW w:w="1556" w:type="dxa"/>
            <w:vMerge/>
            <w:tcBorders>
              <w:left w:val="nil"/>
              <w:right w:val="nil"/>
            </w:tcBorders>
            <w:noWrap/>
            <w:vAlign w:val="bottom"/>
            <w:hideMark/>
          </w:tcPr>
          <w:p w14:paraId="69B1C5FE" w14:textId="77777777" w:rsidR="006936EA" w:rsidRPr="00DD7585" w:rsidRDefault="006936EA"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64059170"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756" w:type="dxa"/>
            <w:tcBorders>
              <w:top w:val="nil"/>
              <w:left w:val="nil"/>
              <w:right w:val="nil"/>
            </w:tcBorders>
            <w:noWrap/>
            <w:vAlign w:val="center"/>
            <w:hideMark/>
          </w:tcPr>
          <w:p w14:paraId="44A972AB" w14:textId="77777777" w:rsidR="006936EA" w:rsidRPr="00DD7585" w:rsidRDefault="006936EA" w:rsidP="00EC4810">
            <w:pPr>
              <w:jc w:val="center"/>
              <w:rPr>
                <w:rFonts w:ascii="Arial" w:hAnsi="Arial" w:cs="Arial"/>
                <w:color w:val="000000"/>
              </w:rPr>
            </w:pPr>
            <w:r w:rsidRPr="00DD7585">
              <w:rPr>
                <w:rFonts w:ascii="Arial" w:hAnsi="Arial" w:cs="Arial"/>
                <w:color w:val="000000"/>
              </w:rPr>
              <w:t>6,6</w:t>
            </w:r>
          </w:p>
        </w:tc>
        <w:tc>
          <w:tcPr>
            <w:tcW w:w="2734" w:type="dxa"/>
            <w:tcBorders>
              <w:top w:val="nil"/>
              <w:left w:val="nil"/>
              <w:right w:val="nil"/>
            </w:tcBorders>
            <w:noWrap/>
            <w:vAlign w:val="bottom"/>
            <w:hideMark/>
          </w:tcPr>
          <w:p w14:paraId="33A0E310" w14:textId="77777777" w:rsidR="006936EA" w:rsidRPr="00DD7585" w:rsidRDefault="003D2BF5" w:rsidP="00EC4810">
            <w:pPr>
              <w:jc w:val="center"/>
              <w:rPr>
                <w:rFonts w:ascii="Arial" w:hAnsi="Arial" w:cs="Arial"/>
                <w:color w:val="000000"/>
              </w:rPr>
            </w:pPr>
            <w:r>
              <w:rPr>
                <w:rFonts w:ascii="Arial" w:hAnsi="Arial" w:cs="Arial"/>
                <w:color w:val="000000"/>
              </w:rPr>
              <w:t>Neutral</w:t>
            </w:r>
          </w:p>
        </w:tc>
      </w:tr>
      <w:tr w:rsidR="006936EA" w:rsidRPr="00DD7585" w14:paraId="2196296B" w14:textId="77777777" w:rsidTr="00EC4810">
        <w:trPr>
          <w:trHeight w:val="93"/>
        </w:trPr>
        <w:tc>
          <w:tcPr>
            <w:tcW w:w="1556" w:type="dxa"/>
            <w:vMerge/>
            <w:tcBorders>
              <w:left w:val="nil"/>
              <w:bottom w:val="single" w:sz="4" w:space="0" w:color="auto"/>
              <w:right w:val="nil"/>
            </w:tcBorders>
            <w:noWrap/>
            <w:vAlign w:val="bottom"/>
            <w:hideMark/>
          </w:tcPr>
          <w:p w14:paraId="5EB13055" w14:textId="77777777" w:rsidR="006936EA" w:rsidRPr="00DD7585" w:rsidRDefault="006936EA" w:rsidP="00EC4810">
            <w:pPr>
              <w:jc w:val="center"/>
              <w:rPr>
                <w:rFonts w:ascii="Arial" w:hAnsi="Arial" w:cs="Arial"/>
                <w:color w:val="000000"/>
              </w:rPr>
            </w:pPr>
          </w:p>
        </w:tc>
        <w:tc>
          <w:tcPr>
            <w:tcW w:w="2466" w:type="dxa"/>
            <w:tcBorders>
              <w:top w:val="nil"/>
              <w:left w:val="nil"/>
              <w:bottom w:val="single" w:sz="8" w:space="0" w:color="auto"/>
              <w:right w:val="nil"/>
            </w:tcBorders>
            <w:noWrap/>
            <w:vAlign w:val="center"/>
            <w:hideMark/>
          </w:tcPr>
          <w:p w14:paraId="4E981CF9"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756" w:type="dxa"/>
            <w:tcBorders>
              <w:top w:val="nil"/>
              <w:left w:val="nil"/>
              <w:bottom w:val="single" w:sz="4" w:space="0" w:color="auto"/>
              <w:right w:val="nil"/>
            </w:tcBorders>
            <w:noWrap/>
            <w:vAlign w:val="center"/>
            <w:hideMark/>
          </w:tcPr>
          <w:p w14:paraId="3C9C4C1B" w14:textId="77777777" w:rsidR="006936EA" w:rsidRPr="00DD7585" w:rsidRDefault="006936EA" w:rsidP="00EC4810">
            <w:pPr>
              <w:jc w:val="center"/>
              <w:rPr>
                <w:rFonts w:ascii="Arial" w:hAnsi="Arial" w:cs="Arial"/>
                <w:color w:val="000000"/>
              </w:rPr>
            </w:pPr>
            <w:r w:rsidRPr="00DD7585">
              <w:rPr>
                <w:rFonts w:ascii="Arial" w:hAnsi="Arial" w:cs="Arial"/>
                <w:color w:val="000000"/>
              </w:rPr>
              <w:t>4,8</w:t>
            </w:r>
          </w:p>
        </w:tc>
        <w:tc>
          <w:tcPr>
            <w:tcW w:w="2734" w:type="dxa"/>
            <w:tcBorders>
              <w:top w:val="nil"/>
              <w:left w:val="nil"/>
              <w:bottom w:val="single" w:sz="4" w:space="0" w:color="auto"/>
              <w:right w:val="nil"/>
            </w:tcBorders>
            <w:noWrap/>
            <w:vAlign w:val="bottom"/>
            <w:hideMark/>
          </w:tcPr>
          <w:p w14:paraId="532084DE" w14:textId="77777777" w:rsidR="006936EA" w:rsidRPr="00DD7585" w:rsidRDefault="003D2BF5" w:rsidP="00EC4810">
            <w:pPr>
              <w:jc w:val="center"/>
              <w:rPr>
                <w:rFonts w:ascii="Arial" w:hAnsi="Arial" w:cs="Arial"/>
                <w:color w:val="000000"/>
              </w:rPr>
            </w:pPr>
            <w:r>
              <w:rPr>
                <w:rFonts w:ascii="Arial" w:hAnsi="Arial" w:cs="Arial"/>
                <w:color w:val="000000"/>
              </w:rPr>
              <w:t>Sour</w:t>
            </w:r>
          </w:p>
        </w:tc>
      </w:tr>
    </w:tbl>
    <w:p w14:paraId="18BFAF83" w14:textId="77777777" w:rsidR="002E2FF7" w:rsidRDefault="00DE4EA3" w:rsidP="00DE4EA3">
      <w:pPr>
        <w:pStyle w:val="ListParagraph"/>
        <w:spacing w:after="0" w:line="276" w:lineRule="auto"/>
        <w:ind w:left="0" w:firstLine="426"/>
        <w:jc w:val="both"/>
        <w:rPr>
          <w:rFonts w:ascii="Arial" w:eastAsia="Times New Roman" w:hAnsi="Arial" w:cs="Arial"/>
          <w:i/>
          <w:sz w:val="20"/>
          <w:szCs w:val="20"/>
        </w:rPr>
      </w:pPr>
      <w:r w:rsidRPr="00DE4EA3">
        <w:rPr>
          <w:rFonts w:ascii="Arial" w:eastAsia="Times New Roman" w:hAnsi="Arial" w:cs="Arial"/>
          <w:i/>
          <w:sz w:val="20"/>
          <w:szCs w:val="20"/>
        </w:rPr>
        <w:t xml:space="preserve">Source: Soil Science Laboratory, Faculty of Agriculture, Bengkulu University 2025 </w:t>
      </w:r>
    </w:p>
    <w:p w14:paraId="0CBCEC91" w14:textId="77777777" w:rsidR="00D7358C" w:rsidRPr="00DE4EA3" w:rsidRDefault="002E2FF7" w:rsidP="00DE4EA3">
      <w:pPr>
        <w:pStyle w:val="ListParagraph"/>
        <w:spacing w:after="0" w:line="276" w:lineRule="auto"/>
        <w:ind w:left="0" w:firstLine="426"/>
        <w:jc w:val="both"/>
        <w:rPr>
          <w:rFonts w:ascii="Arial" w:eastAsia="Times New Roman" w:hAnsi="Arial" w:cs="Arial"/>
          <w:sz w:val="20"/>
          <w:szCs w:val="20"/>
        </w:rPr>
      </w:pPr>
      <w:r>
        <w:rPr>
          <w:rFonts w:ascii="Arial" w:eastAsia="Times New Roman" w:hAnsi="Arial" w:cs="Arial"/>
          <w:sz w:val="20"/>
          <w:szCs w:val="20"/>
        </w:rPr>
        <w:t>B</w:t>
      </w:r>
      <w:r w:rsidR="00DE4EA3" w:rsidRPr="00DE4EA3">
        <w:rPr>
          <w:rFonts w:ascii="Arial" w:eastAsia="Times New Roman" w:hAnsi="Arial" w:cs="Arial"/>
          <w:sz w:val="20"/>
          <w:szCs w:val="20"/>
        </w:rPr>
        <w:t>ased on Table 2, growing media P</w:t>
      </w:r>
      <w:r w:rsidR="00DE4EA3" w:rsidRPr="002E2FF7">
        <w:rPr>
          <w:rFonts w:ascii="Arial" w:eastAsia="Times New Roman" w:hAnsi="Arial" w:cs="Arial"/>
          <w:sz w:val="20"/>
          <w:szCs w:val="20"/>
          <w:vertAlign w:val="subscript"/>
        </w:rPr>
        <w:t>0</w:t>
      </w:r>
      <w:r w:rsidR="00DE4EA3" w:rsidRPr="00DE4EA3">
        <w:rPr>
          <w:rFonts w:ascii="Arial" w:eastAsia="Times New Roman" w:hAnsi="Arial" w:cs="Arial"/>
          <w:sz w:val="20"/>
          <w:szCs w:val="20"/>
        </w:rPr>
        <w:t>–P</w:t>
      </w:r>
      <w:r w:rsidR="00DE4EA3" w:rsidRPr="002E2FF7">
        <w:rPr>
          <w:rFonts w:ascii="Arial" w:eastAsia="Times New Roman" w:hAnsi="Arial" w:cs="Arial"/>
          <w:sz w:val="20"/>
          <w:szCs w:val="20"/>
          <w:vertAlign w:val="subscript"/>
        </w:rPr>
        <w:t>3</w:t>
      </w:r>
      <w:r w:rsidR="00DE4EA3" w:rsidRPr="00DE4EA3">
        <w:rPr>
          <w:rFonts w:ascii="Arial" w:eastAsia="Times New Roman" w:hAnsi="Arial" w:cs="Arial"/>
          <w:sz w:val="20"/>
          <w:szCs w:val="20"/>
        </w:rPr>
        <w:t xml:space="preserve"> have </w:t>
      </w:r>
      <w:r w:rsidR="00DE4EA3">
        <w:rPr>
          <w:rFonts w:ascii="Arial" w:eastAsia="Times New Roman" w:hAnsi="Arial" w:cs="Arial"/>
          <w:sz w:val="20"/>
          <w:szCs w:val="20"/>
        </w:rPr>
        <w:t>a pH of 5.6–6.2 (medium sour</w:t>
      </w:r>
      <w:r w:rsidR="00DE4EA3" w:rsidRPr="00DE4EA3">
        <w:rPr>
          <w:rFonts w:ascii="Arial" w:eastAsia="Times New Roman" w:hAnsi="Arial" w:cs="Arial"/>
          <w:sz w:val="20"/>
          <w:szCs w:val="20"/>
        </w:rPr>
        <w:t>) and are still suitable for shallots, while P</w:t>
      </w:r>
      <w:r w:rsidR="00DE4EA3" w:rsidRPr="002E2FF7">
        <w:rPr>
          <w:rFonts w:ascii="Arial" w:eastAsia="Times New Roman" w:hAnsi="Arial" w:cs="Arial"/>
          <w:sz w:val="20"/>
          <w:szCs w:val="20"/>
          <w:vertAlign w:val="subscript"/>
        </w:rPr>
        <w:t>5</w:t>
      </w:r>
      <w:r w:rsidR="00DE4EA3" w:rsidRPr="00DE4EA3">
        <w:rPr>
          <w:rFonts w:ascii="Arial" w:eastAsia="Times New Roman" w:hAnsi="Arial" w:cs="Arial"/>
          <w:sz w:val="20"/>
          <w:szCs w:val="20"/>
        </w:rPr>
        <w:t xml:space="preserve"> shows a neutral pH (6.6) which is the most ideal. This is in line with </w:t>
      </w:r>
      <w:r w:rsidR="00044AE5">
        <w:rPr>
          <w:rFonts w:ascii="Arial" w:eastAsia="Times New Roman" w:hAnsi="Arial" w:cs="Arial"/>
          <w:sz w:val="20"/>
          <w:szCs w:val="20"/>
        </w:rPr>
        <w:fldChar w:fldCharType="begin" w:fldLock="1"/>
      </w:r>
      <w:r w:rsidR="00044AE5">
        <w:rPr>
          <w:rFonts w:ascii="Arial" w:eastAsia="Times New Roman" w:hAnsi="Arial" w:cs="Arial"/>
          <w:sz w:val="20"/>
          <w:szCs w:val="20"/>
        </w:rPr>
        <w:instrText>ADDIN CSL_CITATION { "citationItems" : [ { "id" : "ITEM-1", "itemData" : { "DOI" : "10.5614/sostek.itbj.2017.16.3.7", "author" : [ { "dropping-particle" : "", "family" : "Zakaria", "given" : "Akhmad", "non-dropping-particle" : "", "parse-names" : false, "suffix" : "" }, { "dropping-particle" : "", "family" : "Aditiawati", "given" : "Pingkan", "non-dropping-particle" : "", "parse-names" : false, "suffix" : "" }, { "dropping-particle" : "", "family" : "Rosmiati", "given" : "Mia", "non-dropping-particle" : "", "parse-names" : false, "suffix" : "" } ], "container-title" : "Jurnal Sosioteknologi", "id" : "ITEM-1", "issued" : { "date-parts" : [ [ "2017" ] ] }, "title" : "STRATEGI PENGEMBANGAN USAHA TANI KOPI ARABIKA (KASUS PADA PETANI KOPI DI DESA SUNTENJAYAKECAMATAN LEMBANG KABUPATEN BANDUNG BARAT, PROVINSI JAWA BARAT)", "type" : "article-journal", "volume" : "16" }, "uris" : [ "http://www.mendeley.com/documents/?uuid=1a8bfa3f-6298-42e9-84b2-b451d6b618da" ] } ], "mendeley" : { "formattedCitation" : "(Zakaria et al., 2017)", "manualFormatting" : "Zakaria et al., (2017)", "plainTextFormattedCitation" : "(Zakaria et al., 2017)", "previouslyFormattedCitation" : "(Zakaria et al., 2017)" }, "properties" : { "noteIndex" : 0 }, "schema" : "https://github.com/citation-style-language/schema/raw/master/csl-citation.json" }</w:instrText>
      </w:r>
      <w:r w:rsidR="00044AE5">
        <w:rPr>
          <w:rFonts w:ascii="Arial" w:eastAsia="Times New Roman" w:hAnsi="Arial" w:cs="Arial"/>
          <w:sz w:val="20"/>
          <w:szCs w:val="20"/>
        </w:rPr>
        <w:fldChar w:fldCharType="separate"/>
      </w:r>
      <w:r w:rsidR="00044AE5" w:rsidRPr="00044AE5">
        <w:rPr>
          <w:rFonts w:ascii="Arial" w:eastAsia="Times New Roman" w:hAnsi="Arial" w:cs="Arial"/>
          <w:noProof/>
          <w:sz w:val="20"/>
          <w:szCs w:val="20"/>
        </w:rPr>
        <w:t xml:space="preserve">Zakaria </w:t>
      </w:r>
      <w:r w:rsidR="00044AE5" w:rsidRPr="00044AE5">
        <w:rPr>
          <w:rFonts w:ascii="Arial" w:eastAsia="Times New Roman" w:hAnsi="Arial" w:cs="Arial"/>
          <w:i/>
          <w:noProof/>
          <w:sz w:val="20"/>
          <w:szCs w:val="20"/>
        </w:rPr>
        <w:t>et</w:t>
      </w:r>
      <w:r w:rsidR="00044AE5" w:rsidRPr="00044AE5">
        <w:rPr>
          <w:rFonts w:ascii="Arial" w:eastAsia="Times New Roman" w:hAnsi="Arial" w:cs="Arial"/>
          <w:noProof/>
          <w:sz w:val="20"/>
          <w:szCs w:val="20"/>
        </w:rPr>
        <w:t xml:space="preserve"> </w:t>
      </w:r>
      <w:r w:rsidR="00044AE5" w:rsidRPr="00044AE5">
        <w:rPr>
          <w:rFonts w:ascii="Arial" w:eastAsia="Times New Roman" w:hAnsi="Arial" w:cs="Arial"/>
          <w:i/>
          <w:noProof/>
          <w:sz w:val="20"/>
          <w:szCs w:val="20"/>
        </w:rPr>
        <w:t>al</w:t>
      </w:r>
      <w:r w:rsidR="00044AE5" w:rsidRPr="00044AE5">
        <w:rPr>
          <w:rFonts w:ascii="Arial" w:eastAsia="Times New Roman" w:hAnsi="Arial" w:cs="Arial"/>
          <w:noProof/>
          <w:sz w:val="20"/>
          <w:szCs w:val="20"/>
        </w:rPr>
        <w:t xml:space="preserve">., </w:t>
      </w:r>
      <w:r w:rsidR="00044AE5">
        <w:rPr>
          <w:rFonts w:ascii="Arial" w:eastAsia="Times New Roman" w:hAnsi="Arial" w:cs="Arial"/>
          <w:noProof/>
          <w:sz w:val="20"/>
          <w:szCs w:val="20"/>
          <w:lang w:val="id-ID"/>
        </w:rPr>
        <w:t>(</w:t>
      </w:r>
      <w:r w:rsidR="00044AE5" w:rsidRPr="00044AE5">
        <w:rPr>
          <w:rFonts w:ascii="Arial" w:eastAsia="Times New Roman" w:hAnsi="Arial" w:cs="Arial"/>
          <w:noProof/>
          <w:sz w:val="20"/>
          <w:szCs w:val="20"/>
        </w:rPr>
        <w:t>2017)</w:t>
      </w:r>
      <w:r w:rsidR="00044AE5">
        <w:rPr>
          <w:rFonts w:ascii="Arial" w:eastAsia="Times New Roman" w:hAnsi="Arial" w:cs="Arial"/>
          <w:sz w:val="20"/>
          <w:szCs w:val="20"/>
        </w:rPr>
        <w:fldChar w:fldCharType="end"/>
      </w:r>
      <w:r w:rsidR="00044AE5">
        <w:rPr>
          <w:rFonts w:ascii="Arial" w:eastAsia="Times New Roman" w:hAnsi="Arial" w:cs="Arial"/>
          <w:sz w:val="20"/>
          <w:szCs w:val="20"/>
          <w:lang w:val="id-ID"/>
        </w:rPr>
        <w:t xml:space="preserve"> </w:t>
      </w:r>
      <w:r w:rsidR="00DE4EA3" w:rsidRPr="00DE4EA3">
        <w:rPr>
          <w:rFonts w:ascii="Arial" w:eastAsia="Times New Roman" w:hAnsi="Arial" w:cs="Arial"/>
          <w:sz w:val="20"/>
          <w:szCs w:val="20"/>
        </w:rPr>
        <w:t>shallots grow well at a pH of 5.6–6.8. Meanwhile, P</w:t>
      </w:r>
      <w:r w:rsidR="00DE4EA3" w:rsidRPr="002E2FF7">
        <w:rPr>
          <w:rFonts w:ascii="Arial" w:eastAsia="Times New Roman" w:hAnsi="Arial" w:cs="Arial"/>
          <w:sz w:val="20"/>
          <w:szCs w:val="20"/>
          <w:vertAlign w:val="subscript"/>
        </w:rPr>
        <w:t>4</w:t>
      </w:r>
      <w:r w:rsidR="00DE4EA3" w:rsidRPr="00DE4EA3">
        <w:rPr>
          <w:rFonts w:ascii="Arial" w:eastAsia="Times New Roman" w:hAnsi="Arial" w:cs="Arial"/>
          <w:sz w:val="20"/>
          <w:szCs w:val="20"/>
        </w:rPr>
        <w:t xml:space="preserve"> (pH 4.2) and P</w:t>
      </w:r>
      <w:r w:rsidR="00DE4EA3" w:rsidRPr="002E2FF7">
        <w:rPr>
          <w:rFonts w:ascii="Arial" w:eastAsia="Times New Roman" w:hAnsi="Arial" w:cs="Arial"/>
          <w:sz w:val="20"/>
          <w:szCs w:val="20"/>
          <w:vertAlign w:val="subscript"/>
        </w:rPr>
        <w:t>6</w:t>
      </w:r>
      <w:r w:rsidR="00DE4EA3" w:rsidRPr="00DE4EA3">
        <w:rPr>
          <w:rFonts w:ascii="Arial" w:eastAsia="Times New Roman" w:hAnsi="Arial" w:cs="Arial"/>
          <w:sz w:val="20"/>
          <w:szCs w:val="20"/>
        </w:rPr>
        <w:t xml:space="preserve"> (pH 4.8) are very acidic and sour, which is not conducive to the growth and development of shallots. This is likely due to chicken manure that has not been fully decomposed and still produces acidic compounds.</w:t>
      </w:r>
      <w:r w:rsidR="00980D7C">
        <w:rPr>
          <w:rFonts w:ascii="Arial" w:eastAsia="Times New Roman" w:hAnsi="Arial" w:cs="Arial"/>
          <w:sz w:val="20"/>
          <w:szCs w:val="20"/>
          <w:lang w:val="id-ID"/>
        </w:rPr>
        <w:t xml:space="preserve"> </w:t>
      </w:r>
      <w:commentRangeStart w:id="16"/>
      <w:proofErr w:type="spellStart"/>
      <w:r w:rsidR="00980D7C">
        <w:rPr>
          <w:rFonts w:ascii="Arial" w:eastAsia="Times New Roman" w:hAnsi="Arial" w:cs="Arial"/>
          <w:sz w:val="20"/>
          <w:szCs w:val="20"/>
        </w:rPr>
        <w:t>Menurut</w:t>
      </w:r>
      <w:proofErr w:type="spellEnd"/>
      <w:r w:rsidR="00980D7C">
        <w:rPr>
          <w:rFonts w:ascii="Arial" w:eastAsia="Times New Roman" w:hAnsi="Arial" w:cs="Arial"/>
          <w:sz w:val="20"/>
          <w:szCs w:val="20"/>
        </w:rPr>
        <w:t xml:space="preserve"> </w:t>
      </w:r>
      <w:commentRangeEnd w:id="16"/>
      <w:r w:rsidR="0035221E">
        <w:rPr>
          <w:rStyle w:val="CommentReference"/>
          <w:rFonts w:ascii="Times New Roman" w:eastAsia="Times New Roman" w:hAnsi="Times New Roman" w:cs="Times New Roman"/>
          <w:lang w:val="nb-NO" w:eastAsia="nb-NO"/>
        </w:rPr>
        <w:commentReference w:id="16"/>
      </w:r>
      <w:r w:rsidR="00980D7C" w:rsidRPr="00980D7C">
        <w:rPr>
          <w:rFonts w:ascii="Arial" w:eastAsia="Times New Roman" w:hAnsi="Arial" w:cs="Arial"/>
          <w:sz w:val="20"/>
          <w:szCs w:val="20"/>
          <w:lang w:val="id-ID"/>
        </w:rPr>
        <w:t xml:space="preserve">Dayah </w:t>
      </w:r>
      <w:r w:rsidR="00980D7C" w:rsidRPr="00980D7C">
        <w:rPr>
          <w:rFonts w:ascii="Arial" w:eastAsia="Times New Roman" w:hAnsi="Arial" w:cs="Arial"/>
          <w:i/>
          <w:sz w:val="20"/>
          <w:szCs w:val="20"/>
          <w:lang w:val="id-ID"/>
        </w:rPr>
        <w:t>et al</w:t>
      </w:r>
      <w:r w:rsidR="00980D7C">
        <w:rPr>
          <w:rFonts w:ascii="Arial" w:eastAsia="Times New Roman" w:hAnsi="Arial" w:cs="Arial"/>
          <w:sz w:val="20"/>
          <w:szCs w:val="20"/>
          <w:lang w:val="id-ID"/>
        </w:rPr>
        <w:t>.</w:t>
      </w:r>
      <w:r w:rsidR="00980D7C" w:rsidRPr="00980D7C">
        <w:rPr>
          <w:rFonts w:ascii="Arial" w:eastAsia="Times New Roman" w:hAnsi="Arial" w:cs="Arial"/>
          <w:sz w:val="20"/>
          <w:szCs w:val="20"/>
          <w:lang w:val="id-ID"/>
        </w:rPr>
        <w:t xml:space="preserve"> </w:t>
      </w:r>
      <w:r w:rsidR="00980D7C">
        <w:rPr>
          <w:rFonts w:ascii="Arial" w:eastAsia="Times New Roman" w:hAnsi="Arial" w:cs="Arial"/>
          <w:sz w:val="20"/>
          <w:szCs w:val="20"/>
        </w:rPr>
        <w:t>(</w:t>
      </w:r>
      <w:r w:rsidR="00980D7C" w:rsidRPr="00980D7C">
        <w:rPr>
          <w:rFonts w:ascii="Arial" w:eastAsia="Times New Roman" w:hAnsi="Arial" w:cs="Arial"/>
          <w:sz w:val="20"/>
          <w:szCs w:val="20"/>
          <w:lang w:val="id-ID"/>
        </w:rPr>
        <w:t>2023)</w:t>
      </w:r>
      <w:r w:rsidR="00980D7C">
        <w:rPr>
          <w:rFonts w:ascii="Arial" w:eastAsia="Times New Roman" w:hAnsi="Arial" w:cs="Arial"/>
          <w:sz w:val="20"/>
          <w:szCs w:val="20"/>
        </w:rPr>
        <w:t xml:space="preserve"> </w:t>
      </w:r>
      <w:r w:rsidR="00DE4EA3">
        <w:rPr>
          <w:rFonts w:ascii="Arial" w:eastAsia="Times New Roman" w:hAnsi="Arial" w:cs="Arial"/>
          <w:sz w:val="20"/>
          <w:szCs w:val="20"/>
        </w:rPr>
        <w:t>a</w:t>
      </w:r>
      <w:r w:rsidR="00DE4EA3" w:rsidRPr="00DE4EA3">
        <w:rPr>
          <w:rFonts w:ascii="Arial" w:eastAsia="Times New Roman" w:hAnsi="Arial" w:cs="Arial"/>
          <w:sz w:val="20"/>
          <w:szCs w:val="20"/>
        </w:rPr>
        <w:t xml:space="preserve"> decrease in pH in treatments with chicken manure can occur when organic matter has not been completely decomposed, which can produce organic acids and release H</w:t>
      </w:r>
      <w:r w:rsidR="00DE4EA3" w:rsidRPr="00DE4EA3">
        <w:rPr>
          <w:rFonts w:ascii="Cambria Math" w:eastAsia="Times New Roman" w:hAnsi="Cambria Math" w:cs="Cambria Math"/>
          <w:sz w:val="20"/>
          <w:szCs w:val="20"/>
        </w:rPr>
        <w:t>⁺</w:t>
      </w:r>
      <w:r w:rsidR="00DE4EA3" w:rsidRPr="00DE4EA3">
        <w:rPr>
          <w:rFonts w:ascii="Arial" w:eastAsia="Times New Roman" w:hAnsi="Arial" w:cs="Arial"/>
          <w:sz w:val="20"/>
          <w:szCs w:val="20"/>
        </w:rPr>
        <w:t xml:space="preserve"> ions through the nitrification process, making the medium less suitable for sensitive plants such as shallots.</w:t>
      </w:r>
    </w:p>
    <w:p w14:paraId="46CC1E17" w14:textId="77777777" w:rsidR="00DF6A76" w:rsidRPr="00995882" w:rsidRDefault="00265272" w:rsidP="00EC4810">
      <w:pPr>
        <w:pStyle w:val="ListParagraph"/>
        <w:spacing w:after="0" w:line="276" w:lineRule="auto"/>
        <w:ind w:left="426"/>
        <w:jc w:val="both"/>
        <w:rPr>
          <w:rFonts w:ascii="Arial" w:hAnsi="Arial" w:cs="Arial"/>
          <w:szCs w:val="24"/>
        </w:rPr>
      </w:pPr>
      <w:r w:rsidRPr="00995882">
        <w:rPr>
          <w:rFonts w:ascii="Arial" w:hAnsi="Arial" w:cs="Arial"/>
          <w:noProof/>
          <w:sz w:val="20"/>
        </w:rPr>
        <w:lastRenderedPageBreak/>
        <mc:AlternateContent>
          <mc:Choice Requires="wps">
            <w:drawing>
              <wp:anchor distT="0" distB="0" distL="114300" distR="114300" simplePos="0" relativeHeight="251667456" behindDoc="0" locked="0" layoutInCell="1" allowOverlap="1" wp14:anchorId="4D9597C1" wp14:editId="7EEBAB5D">
                <wp:simplePos x="0" y="0"/>
                <wp:positionH relativeFrom="column">
                  <wp:posOffset>4290060</wp:posOffset>
                </wp:positionH>
                <wp:positionV relativeFrom="paragraph">
                  <wp:posOffset>22225</wp:posOffset>
                </wp:positionV>
                <wp:extent cx="342900" cy="257175"/>
                <wp:effectExtent l="0" t="0" r="0" b="9525"/>
                <wp:wrapNone/>
                <wp:docPr id="65" name="Rectangle 65"/>
                <wp:cNvGraphicFramePr/>
                <a:graphic xmlns:a="http://schemas.openxmlformats.org/drawingml/2006/main">
                  <a:graphicData uri="http://schemas.microsoft.com/office/word/2010/wordprocessingShape">
                    <wps:wsp>
                      <wps:cNvSpPr/>
                      <wps:spPr>
                        <a:xfrm>
                          <a:off x="0" y="0"/>
                          <a:ext cx="34290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267251" w14:textId="77777777" w:rsidR="006A59C9" w:rsidRPr="00416DC8" w:rsidRDefault="006A59C9" w:rsidP="00DF6A76">
                            <w:r>
                              <w:t>P</w:t>
                            </w:r>
                            <w:r>
                              <w:rPr>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97C1" id="Rectangle 65" o:spid="_x0000_s1026" style="position:absolute;left:0;text-align:left;margin-left:337.8pt;margin-top:1.75pt;width:27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" fillcolor="white [3201]" stroked="f" strokeweight="2pt">
                <v:textbox>
                  <w:txbxContent>
                    <w:p w14:paraId="7D267251" w14:textId="77777777" w:rsidR="006A59C9" w:rsidRPr="00416DC8" w:rsidRDefault="006A59C9" w:rsidP="00DF6A76">
                      <w:r>
                        <w:t>P</w:t>
                      </w:r>
                      <w:r>
                        <w:rPr>
                          <w:vertAlign w:val="subscript"/>
                        </w:rPr>
                        <w:t>6</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6432" behindDoc="0" locked="0" layoutInCell="1" allowOverlap="1" wp14:anchorId="321A1056" wp14:editId="2CF18F55">
                <wp:simplePos x="0" y="0"/>
                <wp:positionH relativeFrom="column">
                  <wp:posOffset>3649980</wp:posOffset>
                </wp:positionH>
                <wp:positionV relativeFrom="paragraph">
                  <wp:posOffset>6985</wp:posOffset>
                </wp:positionV>
                <wp:extent cx="342900" cy="2571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342900"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CC400F" w14:textId="77777777" w:rsidR="006A59C9" w:rsidRPr="00416DC8" w:rsidRDefault="006A59C9" w:rsidP="00DF6A76">
                            <w:r>
                              <w:t>P</w:t>
                            </w:r>
                            <w:r>
                              <w:rPr>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1056" id="Rectangle 64" o:spid="_x0000_s1027" style="position:absolute;left:0;text-align:left;margin-left:287.4pt;margin-top:.55pt;width:27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" fillcolor="white [3201]" strokecolor="white [3212]" strokeweight="2pt">
                <v:textbox>
                  <w:txbxContent>
                    <w:p w14:paraId="62CC400F" w14:textId="77777777" w:rsidR="006A59C9" w:rsidRPr="00416DC8" w:rsidRDefault="006A59C9" w:rsidP="00DF6A76">
                      <w:r>
                        <w:t>P</w:t>
                      </w:r>
                      <w:r>
                        <w:rPr>
                          <w:vertAlign w:val="subscript"/>
                        </w:rPr>
                        <w:t>5</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5408" behindDoc="0" locked="0" layoutInCell="1" allowOverlap="1" wp14:anchorId="4A146C6C" wp14:editId="0C903C16">
                <wp:simplePos x="0" y="0"/>
                <wp:positionH relativeFrom="column">
                  <wp:posOffset>2946400</wp:posOffset>
                </wp:positionH>
                <wp:positionV relativeFrom="paragraph">
                  <wp:posOffset>42545</wp:posOffset>
                </wp:positionV>
                <wp:extent cx="342900" cy="2571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42900"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F0DD2B" w14:textId="77777777" w:rsidR="006A59C9" w:rsidRPr="00416DC8" w:rsidRDefault="006A59C9" w:rsidP="00DF6A76">
                            <w:r>
                              <w:t>P</w:t>
                            </w:r>
                            <w:r>
                              <w:rPr>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6C6C" id="Rectangle 60" o:spid="_x0000_s1028" style="position:absolute;left:0;text-align:left;margin-left:232pt;margin-top:3.35pt;width:27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" fillcolor="white [3201]" strokecolor="white [3212]" strokeweight="2pt">
                <v:textbox>
                  <w:txbxContent>
                    <w:p w14:paraId="4AF0DD2B" w14:textId="77777777" w:rsidR="006A59C9" w:rsidRPr="00416DC8" w:rsidRDefault="006A59C9" w:rsidP="00DF6A76">
                      <w:r>
                        <w:t>P</w:t>
                      </w:r>
                      <w:r>
                        <w:rPr>
                          <w:vertAlign w:val="subscript"/>
                        </w:rPr>
                        <w:t>4</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4384" behindDoc="0" locked="0" layoutInCell="1" allowOverlap="1" wp14:anchorId="145DCB19" wp14:editId="6D452CE9">
                <wp:simplePos x="0" y="0"/>
                <wp:positionH relativeFrom="column">
                  <wp:posOffset>2446655</wp:posOffset>
                </wp:positionH>
                <wp:positionV relativeFrom="paragraph">
                  <wp:posOffset>15240</wp:posOffset>
                </wp:positionV>
                <wp:extent cx="371475" cy="2667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37147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9DBAA7" w14:textId="77777777" w:rsidR="006A59C9" w:rsidRPr="00416DC8" w:rsidRDefault="006A59C9" w:rsidP="00DF6A76">
                            <w:r>
                              <w:t>P</w:t>
                            </w:r>
                            <w:r w:rsidRPr="00416DC8">
                              <w:rPr>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DCB19" id="Rectangle 58" o:spid="_x0000_s1029" style="position:absolute;left:0;text-align:left;margin-left:192.65pt;margin-top:1.2pt;width:2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" fillcolor="white [3201]" strokecolor="white [3212]" strokeweight="2pt">
                <v:textbox>
                  <w:txbxContent>
                    <w:p w14:paraId="599DBAA7" w14:textId="77777777" w:rsidR="006A59C9" w:rsidRPr="00416DC8" w:rsidRDefault="006A59C9" w:rsidP="00DF6A76">
                      <w:r>
                        <w:t>P</w:t>
                      </w:r>
                      <w:r w:rsidRPr="00416DC8">
                        <w:rPr>
                          <w:vertAlign w:val="subscript"/>
                        </w:rPr>
                        <w:t>3</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2336" behindDoc="0" locked="0" layoutInCell="1" allowOverlap="1" wp14:anchorId="11D8D4A4" wp14:editId="466263EE">
                <wp:simplePos x="0" y="0"/>
                <wp:positionH relativeFrom="column">
                  <wp:posOffset>1731010</wp:posOffset>
                </wp:positionH>
                <wp:positionV relativeFrom="paragraph">
                  <wp:posOffset>55880</wp:posOffset>
                </wp:positionV>
                <wp:extent cx="342900" cy="266700"/>
                <wp:effectExtent l="0" t="0" r="0" b="0"/>
                <wp:wrapNone/>
                <wp:docPr id="56" name="Rectangle 56"/>
                <wp:cNvGraphicFramePr/>
                <a:graphic xmlns:a="http://schemas.openxmlformats.org/drawingml/2006/main">
                  <a:graphicData uri="http://schemas.microsoft.com/office/word/2010/wordprocessingShape">
                    <wps:wsp>
                      <wps:cNvSpPr/>
                      <wps:spPr>
                        <a:xfrm>
                          <a:off x="0" y="0"/>
                          <a:ext cx="34290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59BF3C" w14:textId="77777777" w:rsidR="006A59C9" w:rsidRPr="00416DC8" w:rsidRDefault="006A59C9" w:rsidP="00DF6A76">
                            <w:r>
                              <w:t>P</w:t>
                            </w:r>
                            <w:r w:rsidRPr="00416DC8">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8D4A4" id="Rectangle 56" o:spid="_x0000_s1030" style="position:absolute;left:0;text-align:left;margin-left:136.3pt;margin-top:4.4pt;width:27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" fillcolor="white [3201]" stroked="f" strokeweight="2pt">
                <v:textbox>
                  <w:txbxContent>
                    <w:p w14:paraId="2E59BF3C" w14:textId="77777777" w:rsidR="006A59C9" w:rsidRPr="00416DC8" w:rsidRDefault="006A59C9" w:rsidP="00DF6A76">
                      <w:r>
                        <w:t>P</w:t>
                      </w:r>
                      <w:r w:rsidRPr="00416DC8">
                        <w:rPr>
                          <w:vertAlign w:val="subscript"/>
                        </w:rPr>
                        <w:t>2</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3360" behindDoc="0" locked="0" layoutInCell="1" allowOverlap="1" wp14:anchorId="47A07ED2" wp14:editId="732E2490">
                <wp:simplePos x="0" y="0"/>
                <wp:positionH relativeFrom="column">
                  <wp:posOffset>1019810</wp:posOffset>
                </wp:positionH>
                <wp:positionV relativeFrom="paragraph">
                  <wp:posOffset>10795</wp:posOffset>
                </wp:positionV>
                <wp:extent cx="361950" cy="257175"/>
                <wp:effectExtent l="0" t="0" r="0" b="9525"/>
                <wp:wrapNone/>
                <wp:docPr id="57" name="Rectangle 57"/>
                <wp:cNvGraphicFramePr/>
                <a:graphic xmlns:a="http://schemas.openxmlformats.org/drawingml/2006/main">
                  <a:graphicData uri="http://schemas.microsoft.com/office/word/2010/wordprocessingShape">
                    <wps:wsp>
                      <wps:cNvSpPr/>
                      <wps:spPr>
                        <a:xfrm>
                          <a:off x="0" y="0"/>
                          <a:ext cx="36195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9E5D3F" w14:textId="77777777" w:rsidR="006A59C9" w:rsidRPr="00416DC8" w:rsidRDefault="006A59C9" w:rsidP="00DF6A76">
                            <w:r>
                              <w:t>P</w:t>
                            </w:r>
                            <w:r w:rsidRPr="00416DC8">
                              <w:rPr>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07ED2" id="Rectangle 57" o:spid="_x0000_s1031" style="position:absolute;left:0;text-align:left;margin-left:80.3pt;margin-top:.85pt;width:28.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" fillcolor="white [3201]" stroked="f" strokeweight="2pt">
                <v:textbox>
                  <w:txbxContent>
                    <w:p w14:paraId="539E5D3F" w14:textId="77777777" w:rsidR="006A59C9" w:rsidRPr="00416DC8" w:rsidRDefault="006A59C9" w:rsidP="00DF6A76">
                      <w:r>
                        <w:t>P</w:t>
                      </w:r>
                      <w:r w:rsidRPr="00416DC8">
                        <w:rPr>
                          <w:vertAlign w:val="subscript"/>
                        </w:rPr>
                        <w:t>1</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1312" behindDoc="0" locked="0" layoutInCell="1" allowOverlap="1" wp14:anchorId="4C3DA631" wp14:editId="741D85A2">
                <wp:simplePos x="0" y="0"/>
                <wp:positionH relativeFrom="column">
                  <wp:posOffset>273685</wp:posOffset>
                </wp:positionH>
                <wp:positionV relativeFrom="paragraph">
                  <wp:posOffset>19685</wp:posOffset>
                </wp:positionV>
                <wp:extent cx="342900" cy="2667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42900" cy="2667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549433C" w14:textId="77777777" w:rsidR="006A59C9" w:rsidRPr="00416DC8" w:rsidRDefault="006A59C9" w:rsidP="00DF6A76">
                            <w:r w:rsidRPr="004D27DC">
                              <w:t>P</w:t>
                            </w:r>
                            <w:r w:rsidRPr="004D27DC">
                              <w:rPr>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DA631" id="Rectangle 55" o:spid="_x0000_s1032" style="position:absolute;left:0;text-align:left;margin-left:21.55pt;margin-top:1.55pt;width:27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" fillcolor="white [3212]" strokecolor="white [3212]" strokeweight="2pt">
                <v:textbox>
                  <w:txbxContent>
                    <w:p w14:paraId="3549433C" w14:textId="77777777" w:rsidR="006A59C9" w:rsidRPr="00416DC8" w:rsidRDefault="006A59C9" w:rsidP="00DF6A76">
                      <w:r w:rsidRPr="004D27DC">
                        <w:t>P</w:t>
                      </w:r>
                      <w:r w:rsidRPr="004D27DC">
                        <w:rPr>
                          <w:vertAlign w:val="subscript"/>
                        </w:rPr>
                        <w:t>0</w:t>
                      </w:r>
                    </w:p>
                  </w:txbxContent>
                </v:textbox>
              </v:rect>
            </w:pict>
          </mc:Fallback>
        </mc:AlternateContent>
      </w:r>
      <w:r w:rsidR="00DF6A76" w:rsidRPr="00995882">
        <w:rPr>
          <w:rFonts w:ascii="Arial" w:hAnsi="Arial" w:cs="Arial"/>
          <w:noProof/>
          <w:sz w:val="20"/>
        </w:rPr>
        <w:drawing>
          <wp:inline distT="0" distB="0" distL="0" distR="0" wp14:anchorId="2B9C7DE8" wp14:editId="2D96F00B">
            <wp:extent cx="709575" cy="93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9304" cy="951165"/>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283A9C5" wp14:editId="6014A0E3">
            <wp:extent cx="680313" cy="898898"/>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00702" cy="925838"/>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26D18C2" wp14:editId="7E5B7A5A">
            <wp:extent cx="658368" cy="872157"/>
            <wp:effectExtent l="0" t="0" r="889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9893" cy="887424"/>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671D186" wp14:editId="277FBADA">
            <wp:extent cx="501362" cy="8631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7330" cy="87346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6A30075F" wp14:editId="4F97C0F8">
            <wp:extent cx="658368" cy="865767"/>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2215" cy="88397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0BD2D4CC" wp14:editId="323A3C66">
            <wp:extent cx="555955" cy="94747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5666" cy="96402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7F2BE7EC" wp14:editId="526D44E4">
            <wp:extent cx="650138" cy="8660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6021" cy="873898"/>
                    </a:xfrm>
                    <a:prstGeom prst="rect">
                      <a:avLst/>
                    </a:prstGeom>
                  </pic:spPr>
                </pic:pic>
              </a:graphicData>
            </a:graphic>
          </wp:inline>
        </w:drawing>
      </w:r>
    </w:p>
    <w:p w14:paraId="1FAB20AA" w14:textId="77777777" w:rsidR="00693681" w:rsidRDefault="00693681" w:rsidP="00EC4810">
      <w:pPr>
        <w:pStyle w:val="ListParagraph"/>
        <w:spacing w:after="0" w:line="276" w:lineRule="auto"/>
        <w:ind w:left="0" w:firstLine="567"/>
        <w:jc w:val="both"/>
        <w:rPr>
          <w:rFonts w:ascii="Arial" w:hAnsi="Arial" w:cs="Arial"/>
          <w:sz w:val="20"/>
          <w:szCs w:val="24"/>
        </w:rPr>
      </w:pPr>
      <w:commentRangeStart w:id="17"/>
      <w:r w:rsidRPr="00693681">
        <w:rPr>
          <w:rFonts w:ascii="Arial" w:hAnsi="Arial" w:cs="Arial"/>
          <w:sz w:val="20"/>
          <w:szCs w:val="24"/>
        </w:rPr>
        <w:t xml:space="preserve">Figure 1. </w:t>
      </w:r>
      <w:commentRangeEnd w:id="17"/>
      <w:r w:rsidR="0060559C">
        <w:rPr>
          <w:rStyle w:val="CommentReference"/>
          <w:rFonts w:ascii="Times New Roman" w:eastAsia="Times New Roman" w:hAnsi="Times New Roman" w:cs="Times New Roman"/>
          <w:lang w:val="nb-NO" w:eastAsia="nb-NO"/>
        </w:rPr>
        <w:commentReference w:id="17"/>
      </w:r>
      <w:r w:rsidRPr="00693681">
        <w:rPr>
          <w:rFonts w:ascii="Arial" w:hAnsi="Arial" w:cs="Arial"/>
          <w:sz w:val="20"/>
          <w:szCs w:val="24"/>
        </w:rPr>
        <w:t xml:space="preserve">Condition of shallot </w:t>
      </w:r>
      <w:proofErr w:type="gramStart"/>
      <w:r w:rsidRPr="00693681">
        <w:rPr>
          <w:rFonts w:ascii="Arial" w:hAnsi="Arial" w:cs="Arial"/>
          <w:sz w:val="20"/>
          <w:szCs w:val="24"/>
        </w:rPr>
        <w:t>plants at</w:t>
      </w:r>
      <w:proofErr w:type="gramEnd"/>
      <w:r w:rsidRPr="00693681">
        <w:rPr>
          <w:rFonts w:ascii="Arial" w:hAnsi="Arial" w:cs="Arial"/>
          <w:sz w:val="20"/>
          <w:szCs w:val="24"/>
        </w:rPr>
        <w:t xml:space="preserve"> 14 days after planting</w:t>
      </w:r>
    </w:p>
    <w:p w14:paraId="0310D81A" w14:textId="77777777" w:rsidR="00DF6A76" w:rsidRPr="00995882" w:rsidRDefault="00693681" w:rsidP="00EC4810">
      <w:pPr>
        <w:pStyle w:val="ListParagraph"/>
        <w:spacing w:after="0" w:line="276" w:lineRule="auto"/>
        <w:ind w:left="0" w:firstLine="567"/>
        <w:jc w:val="both"/>
        <w:rPr>
          <w:rFonts w:ascii="Arial" w:hAnsi="Arial" w:cs="Arial"/>
          <w:sz w:val="20"/>
          <w:szCs w:val="24"/>
        </w:rPr>
      </w:pPr>
      <w:r w:rsidRPr="00693681">
        <w:rPr>
          <w:rFonts w:ascii="Arial" w:hAnsi="Arial" w:cs="Arial"/>
          <w:sz w:val="20"/>
          <w:szCs w:val="24"/>
        </w:rPr>
        <w:t>The results of the observation show that at 7 days after planting (DAP), the first shoots appeared in treatments P</w:t>
      </w:r>
      <w:r w:rsidRPr="002E2FF7">
        <w:rPr>
          <w:rFonts w:ascii="Arial" w:hAnsi="Arial" w:cs="Arial"/>
          <w:sz w:val="20"/>
          <w:szCs w:val="24"/>
          <w:vertAlign w:val="subscript"/>
        </w:rPr>
        <w:t>1</w:t>
      </w:r>
      <w:r w:rsidRPr="00693681">
        <w:rPr>
          <w:rFonts w:ascii="Arial" w:hAnsi="Arial" w:cs="Arial"/>
          <w:sz w:val="20"/>
          <w:szCs w:val="24"/>
        </w:rPr>
        <w:t>, P</w:t>
      </w:r>
      <w:r w:rsidRPr="002E2FF7">
        <w:rPr>
          <w:rFonts w:ascii="Arial" w:hAnsi="Arial" w:cs="Arial"/>
          <w:sz w:val="20"/>
          <w:szCs w:val="24"/>
          <w:vertAlign w:val="subscript"/>
        </w:rPr>
        <w:t>2</w:t>
      </w:r>
      <w:r w:rsidRPr="00693681">
        <w:rPr>
          <w:rFonts w:ascii="Arial" w:hAnsi="Arial" w:cs="Arial"/>
          <w:sz w:val="20"/>
          <w:szCs w:val="24"/>
        </w:rPr>
        <w:t>, P</w:t>
      </w:r>
      <w:r w:rsidRPr="002E2FF7">
        <w:rPr>
          <w:rFonts w:ascii="Arial" w:hAnsi="Arial" w:cs="Arial"/>
          <w:sz w:val="20"/>
          <w:szCs w:val="24"/>
          <w:vertAlign w:val="subscript"/>
        </w:rPr>
        <w:t>3</w:t>
      </w:r>
      <w:r w:rsidRPr="00693681">
        <w:rPr>
          <w:rFonts w:ascii="Arial" w:hAnsi="Arial" w:cs="Arial"/>
          <w:sz w:val="20"/>
          <w:szCs w:val="24"/>
        </w:rPr>
        <w:t>, and P</w:t>
      </w:r>
      <w:r w:rsidRPr="002E2FF7">
        <w:rPr>
          <w:rFonts w:ascii="Arial" w:hAnsi="Arial" w:cs="Arial"/>
          <w:sz w:val="20"/>
          <w:szCs w:val="24"/>
          <w:vertAlign w:val="subscript"/>
        </w:rPr>
        <w:t>5</w:t>
      </w:r>
      <w:r w:rsidRPr="00693681">
        <w:rPr>
          <w:rFonts w:ascii="Arial" w:hAnsi="Arial" w:cs="Arial"/>
          <w:sz w:val="20"/>
          <w:szCs w:val="24"/>
        </w:rPr>
        <w:t>, while in P</w:t>
      </w:r>
      <w:r w:rsidRPr="002E2FF7">
        <w:rPr>
          <w:rFonts w:ascii="Arial" w:hAnsi="Arial" w:cs="Arial"/>
          <w:sz w:val="20"/>
          <w:szCs w:val="24"/>
          <w:vertAlign w:val="subscript"/>
        </w:rPr>
        <w:t>0</w:t>
      </w:r>
      <w:r w:rsidRPr="00693681">
        <w:rPr>
          <w:rFonts w:ascii="Arial" w:hAnsi="Arial" w:cs="Arial"/>
          <w:sz w:val="20"/>
          <w:szCs w:val="24"/>
        </w:rPr>
        <w:t>, P</w:t>
      </w:r>
      <w:r w:rsidRPr="002E2FF7">
        <w:rPr>
          <w:rFonts w:ascii="Arial" w:hAnsi="Arial" w:cs="Arial"/>
          <w:sz w:val="20"/>
          <w:szCs w:val="24"/>
          <w:vertAlign w:val="subscript"/>
        </w:rPr>
        <w:t>4</w:t>
      </w:r>
      <w:r w:rsidRPr="00693681">
        <w:rPr>
          <w:rFonts w:ascii="Arial" w:hAnsi="Arial" w:cs="Arial"/>
          <w:sz w:val="20"/>
          <w:szCs w:val="24"/>
        </w:rPr>
        <w:t>, and P</w:t>
      </w:r>
      <w:r w:rsidRPr="002E2FF7">
        <w:rPr>
          <w:rFonts w:ascii="Arial" w:hAnsi="Arial" w:cs="Arial"/>
          <w:sz w:val="20"/>
          <w:szCs w:val="24"/>
          <w:vertAlign w:val="subscript"/>
        </w:rPr>
        <w:t>6</w:t>
      </w:r>
      <w:r w:rsidRPr="00693681">
        <w:rPr>
          <w:rFonts w:ascii="Arial" w:hAnsi="Arial" w:cs="Arial"/>
          <w:sz w:val="20"/>
          <w:szCs w:val="24"/>
        </w:rPr>
        <w:t>, shoots appeared later, at 10–14 DAP. The accelerated shoot growth in P</w:t>
      </w:r>
      <w:r w:rsidRPr="002E2FF7">
        <w:rPr>
          <w:rFonts w:ascii="Arial" w:hAnsi="Arial" w:cs="Arial"/>
          <w:sz w:val="20"/>
          <w:szCs w:val="24"/>
          <w:vertAlign w:val="subscript"/>
        </w:rPr>
        <w:t>1</w:t>
      </w:r>
      <w:r w:rsidRPr="00693681">
        <w:rPr>
          <w:rFonts w:ascii="Arial" w:hAnsi="Arial" w:cs="Arial"/>
          <w:sz w:val="20"/>
          <w:szCs w:val="24"/>
        </w:rPr>
        <w:t>, P</w:t>
      </w:r>
      <w:r w:rsidRPr="002E2FF7">
        <w:rPr>
          <w:rFonts w:ascii="Arial" w:hAnsi="Arial" w:cs="Arial"/>
          <w:sz w:val="20"/>
          <w:szCs w:val="24"/>
          <w:vertAlign w:val="subscript"/>
        </w:rPr>
        <w:t>2</w:t>
      </w:r>
      <w:r w:rsidRPr="00693681">
        <w:rPr>
          <w:rFonts w:ascii="Arial" w:hAnsi="Arial" w:cs="Arial"/>
          <w:sz w:val="20"/>
          <w:szCs w:val="24"/>
        </w:rPr>
        <w:t>, P</w:t>
      </w:r>
      <w:r w:rsidRPr="002E2FF7">
        <w:rPr>
          <w:rFonts w:ascii="Arial" w:hAnsi="Arial" w:cs="Arial"/>
          <w:sz w:val="20"/>
          <w:szCs w:val="24"/>
          <w:vertAlign w:val="subscript"/>
        </w:rPr>
        <w:t>3</w:t>
      </w:r>
      <w:r w:rsidRPr="00693681">
        <w:rPr>
          <w:rFonts w:ascii="Arial" w:hAnsi="Arial" w:cs="Arial"/>
          <w:sz w:val="20"/>
          <w:szCs w:val="24"/>
        </w:rPr>
        <w:t>, and P</w:t>
      </w:r>
      <w:r w:rsidRPr="002E2FF7">
        <w:rPr>
          <w:rFonts w:ascii="Arial" w:hAnsi="Arial" w:cs="Arial"/>
          <w:sz w:val="20"/>
          <w:szCs w:val="24"/>
          <w:vertAlign w:val="subscript"/>
        </w:rPr>
        <w:t>5</w:t>
      </w:r>
      <w:r w:rsidRPr="00693681">
        <w:rPr>
          <w:rFonts w:ascii="Arial" w:hAnsi="Arial" w:cs="Arial"/>
          <w:sz w:val="20"/>
          <w:szCs w:val="24"/>
        </w:rPr>
        <w:t xml:space="preserve"> was related to soil texture that had a lower sand fraction and higher clay fraction compared to P</w:t>
      </w:r>
      <w:r w:rsidRPr="002E2FF7">
        <w:rPr>
          <w:rFonts w:ascii="Arial" w:hAnsi="Arial" w:cs="Arial"/>
          <w:sz w:val="20"/>
          <w:szCs w:val="24"/>
          <w:vertAlign w:val="subscript"/>
        </w:rPr>
        <w:t>0</w:t>
      </w:r>
      <w:r w:rsidRPr="00693681">
        <w:rPr>
          <w:rFonts w:ascii="Arial" w:hAnsi="Arial" w:cs="Arial"/>
          <w:sz w:val="20"/>
          <w:szCs w:val="24"/>
        </w:rPr>
        <w:t xml:space="preserve"> (Table 1), resulting in better water retention and more stable soil moisture. Conversely, P</w:t>
      </w:r>
      <w:r w:rsidRPr="002E2FF7">
        <w:rPr>
          <w:rFonts w:ascii="Arial" w:hAnsi="Arial" w:cs="Arial"/>
          <w:sz w:val="20"/>
          <w:szCs w:val="24"/>
          <w:vertAlign w:val="subscript"/>
        </w:rPr>
        <w:t>0</w:t>
      </w:r>
      <w:r w:rsidRPr="00693681">
        <w:rPr>
          <w:rFonts w:ascii="Arial" w:hAnsi="Arial" w:cs="Arial"/>
          <w:sz w:val="20"/>
          <w:szCs w:val="24"/>
        </w:rPr>
        <w:t xml:space="preserve"> with a high sand fraction (81.78%) has high porosity and low moisture content, which has the potential to increase soil temperature. In P</w:t>
      </w:r>
      <w:r w:rsidRPr="002E2FF7">
        <w:rPr>
          <w:rFonts w:ascii="Arial" w:hAnsi="Arial" w:cs="Arial"/>
          <w:sz w:val="20"/>
          <w:szCs w:val="24"/>
          <w:vertAlign w:val="subscript"/>
        </w:rPr>
        <w:t>4</w:t>
      </w:r>
      <w:r w:rsidRPr="00693681">
        <w:rPr>
          <w:rFonts w:ascii="Arial" w:hAnsi="Arial" w:cs="Arial"/>
          <w:sz w:val="20"/>
          <w:szCs w:val="24"/>
        </w:rPr>
        <w:t xml:space="preserve"> and P</w:t>
      </w:r>
      <w:r w:rsidRPr="002E2FF7">
        <w:rPr>
          <w:rFonts w:ascii="Arial" w:hAnsi="Arial" w:cs="Arial"/>
          <w:sz w:val="20"/>
          <w:szCs w:val="24"/>
          <w:vertAlign w:val="subscript"/>
        </w:rPr>
        <w:t>6</w:t>
      </w:r>
      <w:r w:rsidRPr="00693681">
        <w:rPr>
          <w:rFonts w:ascii="Arial" w:hAnsi="Arial" w:cs="Arial"/>
          <w:sz w:val="20"/>
          <w:szCs w:val="24"/>
        </w:rPr>
        <w:t xml:space="preserve">, the acidic soil pH (4.2 and 4.8) and the high proportion of unripe manure caused active decomposition, which potentially increased soil temperature and inhibited shoot formation. These findings are consistent with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"author" : [ { "dropping-particle" : "", "family" : "Setiyaningrum", "given" : "A A", "non-dropping-particle" : "", "parse-names" : false, "suffix" : "" }, { "dropping-particle" : "", "family" : "Darmawati", "given" : "A", "non-dropping-particle" : "", "parse-names" : false, "suffix" : "" } ], "container-title" : "Agro Complex", "id" : "ITEM-1", "issued" : { "date-parts" : [ [ "2019" ] ] }, "page" : "75-83", "title" : "Pertumbuhan dan produksi tanaman kailan ( Brassica oleracea ) akibat pemberian mulsa jerami padi dengan takaran yang berbeda", "type" : "article-journal", "volume" : "3" }, "uris" : [ "http://www.mendeley.com/documents/?uuid=e0e97196-36d7-42e0-bff3-7eb6003ae078" ] } ], "mendeley" : { "formattedCitation" : "(Setiyaningrum &amp; Darmawati, 2019)", "manualFormatting" : "Setiyaningrum dan Darmawati (2019)", "plainTextFormattedCitation" : "(Setiyaningrum &amp; Darmawati, 2019)", "previouslyFormattedCitation" : "(Setiyaningrum &amp; Darmawati, 2019)" }, "properties" : { "noteIndex" : 0 }, "schema" : "https://github.com/citation-style-language/schema/raw/master/csl-citation.json" }</w:instrText>
      </w:r>
      <w:r w:rsidR="00EC0019">
        <w:rPr>
          <w:rFonts w:ascii="Arial" w:hAnsi="Arial" w:cs="Arial"/>
          <w:sz w:val="20"/>
          <w:szCs w:val="24"/>
        </w:rPr>
        <w:fldChar w:fldCharType="separate"/>
      </w:r>
      <w:r w:rsidR="00EC0019" w:rsidRPr="00EC0019">
        <w:rPr>
          <w:rFonts w:ascii="Arial" w:hAnsi="Arial" w:cs="Arial"/>
          <w:noProof/>
          <w:sz w:val="20"/>
          <w:szCs w:val="24"/>
        </w:rPr>
        <w:t xml:space="preserve">Setiyaningrum </w:t>
      </w:r>
      <w:r w:rsidR="00EC0019">
        <w:rPr>
          <w:rFonts w:ascii="Arial" w:hAnsi="Arial" w:cs="Arial"/>
          <w:noProof/>
          <w:sz w:val="20"/>
          <w:szCs w:val="24"/>
          <w:lang w:val="id-ID"/>
        </w:rPr>
        <w:t>dan</w:t>
      </w:r>
      <w:r w:rsidR="00EC0019">
        <w:rPr>
          <w:rFonts w:ascii="Arial" w:hAnsi="Arial" w:cs="Arial"/>
          <w:noProof/>
          <w:sz w:val="20"/>
          <w:szCs w:val="24"/>
        </w:rPr>
        <w:t xml:space="preserve"> Darmawati</w:t>
      </w:r>
      <w:r w:rsidR="00EC0019" w:rsidRPr="00EC0019">
        <w:rPr>
          <w:rFonts w:ascii="Arial" w:hAnsi="Arial" w:cs="Arial"/>
          <w:noProof/>
          <w:sz w:val="20"/>
          <w:szCs w:val="24"/>
        </w:rPr>
        <w:t xml:space="preserve"> </w:t>
      </w:r>
      <w:r w:rsidR="00EC0019">
        <w:rPr>
          <w:rFonts w:ascii="Arial" w:hAnsi="Arial" w:cs="Arial"/>
          <w:noProof/>
          <w:sz w:val="20"/>
          <w:szCs w:val="24"/>
          <w:lang w:val="id-ID"/>
        </w:rPr>
        <w:t>(</w:t>
      </w:r>
      <w:r w:rsidR="00EC0019" w:rsidRPr="00EC0019">
        <w:rPr>
          <w:rFonts w:ascii="Arial" w:hAnsi="Arial" w:cs="Arial"/>
          <w:noProof/>
          <w:sz w:val="20"/>
          <w:szCs w:val="24"/>
        </w:rPr>
        <w:t>2019)</w:t>
      </w:r>
      <w:r w:rsidR="00EC0019">
        <w:rPr>
          <w:rFonts w:ascii="Arial" w:hAnsi="Arial" w:cs="Arial"/>
          <w:sz w:val="20"/>
          <w:szCs w:val="24"/>
        </w:rPr>
        <w:fldChar w:fldCharType="end"/>
      </w:r>
      <w:r w:rsidR="00EC0019">
        <w:rPr>
          <w:rFonts w:ascii="Arial" w:hAnsi="Arial" w:cs="Arial"/>
          <w:sz w:val="20"/>
          <w:szCs w:val="24"/>
          <w:lang w:val="id-ID"/>
        </w:rPr>
        <w:t xml:space="preserve"> </w:t>
      </w:r>
      <w:r w:rsidRPr="00693681">
        <w:rPr>
          <w:rFonts w:ascii="Arial" w:hAnsi="Arial" w:cs="Arial"/>
          <w:sz w:val="20"/>
          <w:szCs w:val="24"/>
        </w:rPr>
        <w:t xml:space="preserve">which states that soil temperatures that are too low or too high can inhibit plant growth.  </w:t>
      </w:r>
    </w:p>
    <w:p w14:paraId="383F15B8" w14:textId="77777777" w:rsidR="0049797E" w:rsidRDefault="0049797E" w:rsidP="00265272">
      <w:pPr>
        <w:pStyle w:val="ListParagraph"/>
        <w:spacing w:after="0" w:line="360" w:lineRule="auto"/>
        <w:ind w:left="426"/>
        <w:jc w:val="both"/>
        <w:rPr>
          <w:noProof/>
        </w:rPr>
      </w:pPr>
      <w:r>
        <w:rPr>
          <w:noProof/>
        </w:rPr>
        <mc:AlternateContent>
          <mc:Choice Requires="wps">
            <w:drawing>
              <wp:anchor distT="0" distB="0" distL="114300" distR="114300" simplePos="0" relativeHeight="251674624" behindDoc="0" locked="0" layoutInCell="1" allowOverlap="1" wp14:anchorId="44F8B7EB" wp14:editId="14B48B17">
                <wp:simplePos x="0" y="0"/>
                <wp:positionH relativeFrom="column">
                  <wp:posOffset>3596208</wp:posOffset>
                </wp:positionH>
                <wp:positionV relativeFrom="paragraph">
                  <wp:posOffset>823011</wp:posOffset>
                </wp:positionV>
                <wp:extent cx="270510" cy="233680"/>
                <wp:effectExtent l="0" t="0" r="15240" b="13970"/>
                <wp:wrapNone/>
                <wp:docPr id="14" name="Rectangle 14"/>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AD2CDF" w14:textId="77777777" w:rsidR="006A59C9" w:rsidRDefault="006A59C9" w:rsidP="0049797E">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8B7EB" id="Rectangle 14" o:spid="_x0000_s1033" style="position:absolute;left:0;text-align:left;margin-left:283.15pt;margin-top:64.8pt;width:21.3pt;height:18.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" fillcolor="white [3201]" strokecolor="white [3212]" strokeweight="2pt">
                <v:textbox>
                  <w:txbxContent>
                    <w:p w14:paraId="1AAD2CDF" w14:textId="77777777" w:rsidR="006A59C9" w:rsidRDefault="006A59C9" w:rsidP="0049797E">
                      <w:pPr>
                        <w:jc w:val="center"/>
                      </w:pPr>
                      <w:r>
                        <w:t>e</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D48A73A" wp14:editId="17444CEA">
                <wp:simplePos x="0" y="0"/>
                <wp:positionH relativeFrom="column">
                  <wp:posOffset>2778125</wp:posOffset>
                </wp:positionH>
                <wp:positionV relativeFrom="paragraph">
                  <wp:posOffset>824230</wp:posOffset>
                </wp:positionV>
                <wp:extent cx="270510" cy="233680"/>
                <wp:effectExtent l="0" t="0" r="15240" b="13970"/>
                <wp:wrapNone/>
                <wp:docPr id="13" name="Rectangle 13"/>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AAE95A" w14:textId="77777777" w:rsidR="006A59C9" w:rsidRDefault="006A59C9" w:rsidP="0049797E">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8A73A" id="Rectangle 13" o:spid="_x0000_s1034" style="position:absolute;left:0;text-align:left;margin-left:218.75pt;margin-top:64.9pt;width:21.3pt;height:18.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" fillcolor="white [3201]" strokecolor="white [3212]" strokeweight="2pt">
                <v:textbox>
                  <w:txbxContent>
                    <w:p w14:paraId="74AAE95A" w14:textId="77777777" w:rsidR="006A59C9" w:rsidRDefault="006A59C9" w:rsidP="0049797E">
                      <w:pPr>
                        <w:jc w:val="center"/>
                      </w:pPr>
                      <w:r>
                        <w:t>d</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324775C4" wp14:editId="7A7DA1FD">
                <wp:simplePos x="0" y="0"/>
                <wp:positionH relativeFrom="column">
                  <wp:posOffset>1945640</wp:posOffset>
                </wp:positionH>
                <wp:positionV relativeFrom="paragraph">
                  <wp:posOffset>825500</wp:posOffset>
                </wp:positionV>
                <wp:extent cx="270510" cy="233680"/>
                <wp:effectExtent l="0" t="0" r="15240" b="13970"/>
                <wp:wrapNone/>
                <wp:docPr id="12" name="Rectangle 12"/>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1615B9" w14:textId="77777777" w:rsidR="006A59C9" w:rsidRDefault="006A59C9" w:rsidP="0049797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775C4" id="Rectangle 12" o:spid="_x0000_s1035" style="position:absolute;left:0;text-align:left;margin-left:153.2pt;margin-top:65pt;width:21.3pt;height:1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" fillcolor="white [3201]" strokecolor="white [3212]" strokeweight="2pt">
                <v:textbox>
                  <w:txbxContent>
                    <w:p w14:paraId="011615B9" w14:textId="77777777" w:rsidR="006A59C9" w:rsidRDefault="006A59C9" w:rsidP="0049797E">
                      <w:pPr>
                        <w:jc w:val="center"/>
                      </w:pPr>
                      <w:r>
                        <w:t>c</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0BC532F" wp14:editId="13CFF7B0">
                <wp:simplePos x="0" y="0"/>
                <wp:positionH relativeFrom="column">
                  <wp:posOffset>1082040</wp:posOffset>
                </wp:positionH>
                <wp:positionV relativeFrom="paragraph">
                  <wp:posOffset>825500</wp:posOffset>
                </wp:positionV>
                <wp:extent cx="226695" cy="233680"/>
                <wp:effectExtent l="0" t="0" r="20955" b="13970"/>
                <wp:wrapNone/>
                <wp:docPr id="11" name="Rectangle 11"/>
                <wp:cNvGraphicFramePr/>
                <a:graphic xmlns:a="http://schemas.openxmlformats.org/drawingml/2006/main">
                  <a:graphicData uri="http://schemas.microsoft.com/office/word/2010/wordprocessingShape">
                    <wps:wsp>
                      <wps:cNvSpPr/>
                      <wps:spPr>
                        <a:xfrm>
                          <a:off x="0" y="0"/>
                          <a:ext cx="226695"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CF4C10" w14:textId="77777777" w:rsidR="006A59C9" w:rsidRDefault="006A59C9" w:rsidP="0049797E">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C532F" id="Rectangle 11" o:spid="_x0000_s1036" style="position:absolute;left:0;text-align:left;margin-left:85.2pt;margin-top:65pt;width:17.85pt;height:1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" fillcolor="white [3201]" strokecolor="white [3212]" strokeweight="2pt">
                <v:textbox>
                  <w:txbxContent>
                    <w:p w14:paraId="4DCF4C10" w14:textId="77777777" w:rsidR="006A59C9" w:rsidRDefault="006A59C9" w:rsidP="0049797E">
                      <w:pPr>
                        <w:jc w:val="center"/>
                      </w:pPr>
                      <w:r>
                        <w:t>b</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C5DC499" wp14:editId="244BFB20">
                <wp:simplePos x="0" y="0"/>
                <wp:positionH relativeFrom="column">
                  <wp:posOffset>270510</wp:posOffset>
                </wp:positionH>
                <wp:positionV relativeFrom="paragraph">
                  <wp:posOffset>841375</wp:posOffset>
                </wp:positionV>
                <wp:extent cx="219075" cy="233680"/>
                <wp:effectExtent l="0" t="0" r="28575" b="13970"/>
                <wp:wrapNone/>
                <wp:docPr id="10" name="Rectangle 10"/>
                <wp:cNvGraphicFramePr/>
                <a:graphic xmlns:a="http://schemas.openxmlformats.org/drawingml/2006/main">
                  <a:graphicData uri="http://schemas.microsoft.com/office/word/2010/wordprocessingShape">
                    <wps:wsp>
                      <wps:cNvSpPr/>
                      <wps:spPr>
                        <a:xfrm>
                          <a:off x="0" y="0"/>
                          <a:ext cx="219075"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0D9A27" w14:textId="77777777" w:rsidR="006A59C9" w:rsidRDefault="006A59C9" w:rsidP="0049797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DC499" id="Rectangle 10" o:spid="_x0000_s1037" style="position:absolute;left:0;text-align:left;margin-left:21.3pt;margin-top:66.25pt;width:17.25pt;height:1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" fillcolor="white [3201]" strokecolor="white [3212]" strokeweight="2pt">
                <v:textbox>
                  <w:txbxContent>
                    <w:p w14:paraId="0B0D9A27" w14:textId="77777777" w:rsidR="006A59C9" w:rsidRDefault="006A59C9" w:rsidP="0049797E">
                      <w:pPr>
                        <w:jc w:val="center"/>
                      </w:pPr>
                      <w:r>
                        <w:t>a</w:t>
                      </w:r>
                    </w:p>
                  </w:txbxContent>
                </v:textbox>
              </v:rect>
            </w:pict>
          </mc:Fallback>
        </mc:AlternateContent>
      </w:r>
      <w:r w:rsidR="00265272" w:rsidRPr="00BC05E1">
        <w:rPr>
          <w:noProof/>
        </w:rPr>
        <w:drawing>
          <wp:inline distT="0" distB="0" distL="0" distR="0" wp14:anchorId="11EDB06D" wp14:editId="6696091B">
            <wp:extent cx="749992" cy="1002182"/>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49744" cy="1001851"/>
                    </a:xfrm>
                    <a:prstGeom prst="rect">
                      <a:avLst/>
                    </a:prstGeom>
                  </pic:spPr>
                </pic:pic>
              </a:graphicData>
            </a:graphic>
          </wp:inline>
        </w:drawing>
      </w:r>
      <w:r>
        <w:rPr>
          <w:noProof/>
        </w:rPr>
        <w:t xml:space="preserve"> </w:t>
      </w:r>
      <w:r w:rsidR="00265272" w:rsidRPr="00BC05E1">
        <w:rPr>
          <w:noProof/>
        </w:rPr>
        <w:t xml:space="preserve"> </w:t>
      </w:r>
      <w:r w:rsidR="00265272" w:rsidRPr="00BC05E1">
        <w:rPr>
          <w:noProof/>
        </w:rPr>
        <w:drawing>
          <wp:inline distT="0" distB="0" distL="0" distR="0" wp14:anchorId="24E843E7" wp14:editId="7D81A864">
            <wp:extent cx="794422" cy="1049364"/>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98980" cy="1055384"/>
                    </a:xfrm>
                    <a:prstGeom prst="rect">
                      <a:avLst/>
                    </a:prstGeom>
                  </pic:spPr>
                </pic:pic>
              </a:graphicData>
            </a:graphic>
          </wp:inline>
        </w:drawing>
      </w:r>
      <w:r>
        <w:rPr>
          <w:noProof/>
        </w:rPr>
        <w:t xml:space="preserve"> </w:t>
      </w:r>
      <w:r w:rsidR="00265272" w:rsidRPr="00BC05E1">
        <w:rPr>
          <w:noProof/>
        </w:rPr>
        <w:t xml:space="preserve"> </w:t>
      </w:r>
      <w:r w:rsidR="00265272" w:rsidRPr="00BC05E1">
        <w:rPr>
          <w:noProof/>
        </w:rPr>
        <w:drawing>
          <wp:inline distT="0" distB="0" distL="0" distR="0" wp14:anchorId="7225FC5C" wp14:editId="364F5553">
            <wp:extent cx="795183" cy="1053389"/>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95738" cy="1054124"/>
                    </a:xfrm>
                    <a:prstGeom prst="rect">
                      <a:avLst/>
                    </a:prstGeom>
                  </pic:spPr>
                </pic:pic>
              </a:graphicData>
            </a:graphic>
          </wp:inline>
        </w:drawing>
      </w:r>
      <w:r w:rsidR="00265272" w:rsidRPr="00BC05E1">
        <w:rPr>
          <w:noProof/>
        </w:rPr>
        <w:t xml:space="preserve"> </w:t>
      </w:r>
      <w:r w:rsidRPr="00BC05E1">
        <w:rPr>
          <w:noProof/>
        </w:rPr>
        <w:drawing>
          <wp:inline distT="0" distB="0" distL="0" distR="0" wp14:anchorId="1C892D64" wp14:editId="559F1FCE">
            <wp:extent cx="790042" cy="1046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93182" cy="1050493"/>
                    </a:xfrm>
                    <a:prstGeom prst="rect">
                      <a:avLst/>
                    </a:prstGeom>
                  </pic:spPr>
                </pic:pic>
              </a:graphicData>
            </a:graphic>
          </wp:inline>
        </w:drawing>
      </w:r>
      <w:r>
        <w:rPr>
          <w:noProof/>
        </w:rPr>
        <w:t xml:space="preserve"> </w:t>
      </w:r>
      <w:r w:rsidRPr="00BC05E1">
        <w:rPr>
          <w:noProof/>
        </w:rPr>
        <w:drawing>
          <wp:inline distT="0" distB="0" distL="0" distR="0" wp14:anchorId="549410CE" wp14:editId="4F55890D">
            <wp:extent cx="950081" cy="1082650"/>
            <wp:effectExtent l="0" t="0" r="2540" b="3810"/>
            <wp:docPr id="1815224643" name="Picture 181522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52557" cy="1085472"/>
                    </a:xfrm>
                    <a:prstGeom prst="rect">
                      <a:avLst/>
                    </a:prstGeom>
                  </pic:spPr>
                </pic:pic>
              </a:graphicData>
            </a:graphic>
          </wp:inline>
        </w:drawing>
      </w:r>
    </w:p>
    <w:p w14:paraId="6730F721" w14:textId="77777777" w:rsidR="00BC5CCF" w:rsidRDefault="00BC5CCF" w:rsidP="00BC5CCF">
      <w:pPr>
        <w:pStyle w:val="ListParagraph"/>
        <w:spacing w:line="276" w:lineRule="auto"/>
        <w:ind w:left="426"/>
        <w:jc w:val="both"/>
        <w:rPr>
          <w:rFonts w:ascii="Arial" w:hAnsi="Arial" w:cs="Arial"/>
          <w:sz w:val="20"/>
          <w:szCs w:val="24"/>
        </w:rPr>
      </w:pPr>
      <w:commentRangeStart w:id="18"/>
      <w:r w:rsidRPr="00BC5CCF">
        <w:rPr>
          <w:rFonts w:ascii="Arial" w:hAnsi="Arial" w:cs="Arial"/>
          <w:sz w:val="20"/>
          <w:szCs w:val="24"/>
        </w:rPr>
        <w:t>Figure 2</w:t>
      </w:r>
      <w:commentRangeEnd w:id="18"/>
      <w:r w:rsidR="0060559C">
        <w:rPr>
          <w:rStyle w:val="CommentReference"/>
          <w:rFonts w:ascii="Times New Roman" w:eastAsia="Times New Roman" w:hAnsi="Times New Roman" w:cs="Times New Roman"/>
          <w:lang w:val="nb-NO" w:eastAsia="nb-NO"/>
        </w:rPr>
        <w:commentReference w:id="18"/>
      </w:r>
      <w:r w:rsidRPr="00BC5CCF">
        <w:rPr>
          <w:rFonts w:ascii="Arial" w:hAnsi="Arial" w:cs="Arial"/>
          <w:sz w:val="20"/>
          <w:szCs w:val="24"/>
        </w:rPr>
        <w:t>. Condition of shallot plants (a) healthy plants, (b) plants affected by</w:t>
      </w:r>
      <w:r>
        <w:rPr>
          <w:rFonts w:ascii="Arial" w:hAnsi="Arial" w:cs="Arial"/>
          <w:sz w:val="20"/>
          <w:szCs w:val="24"/>
        </w:rPr>
        <w:t xml:space="preserve"> disease,</w:t>
      </w:r>
    </w:p>
    <w:p w14:paraId="5C85A22D" w14:textId="77777777" w:rsidR="00BC5CCF" w:rsidRDefault="00BC5CCF" w:rsidP="00BC5CCF">
      <w:pPr>
        <w:pStyle w:val="ListParagraph"/>
        <w:spacing w:line="276" w:lineRule="auto"/>
        <w:ind w:left="1276"/>
        <w:jc w:val="both"/>
        <w:rPr>
          <w:rFonts w:ascii="Arial" w:hAnsi="Arial" w:cs="Arial"/>
          <w:sz w:val="20"/>
          <w:szCs w:val="24"/>
        </w:rPr>
      </w:pPr>
      <w:r w:rsidRPr="00BC5CCF">
        <w:rPr>
          <w:rFonts w:ascii="Arial" w:hAnsi="Arial" w:cs="Arial"/>
          <w:sz w:val="20"/>
          <w:szCs w:val="24"/>
        </w:rPr>
        <w:t>(c) plants affected by pests, (d) 6 weeks after planting, (e) ready for harvest</w:t>
      </w:r>
    </w:p>
    <w:p w14:paraId="0DAB757D" w14:textId="77777777" w:rsidR="00BC5CCF" w:rsidRPr="00BC5CCF" w:rsidRDefault="00BC5CCF" w:rsidP="00BC5CCF">
      <w:pPr>
        <w:pStyle w:val="ListParagraph"/>
        <w:spacing w:line="276" w:lineRule="auto"/>
        <w:ind w:left="0" w:firstLine="567"/>
        <w:jc w:val="both"/>
        <w:rPr>
          <w:rFonts w:ascii="Arial" w:hAnsi="Arial" w:cs="Arial"/>
          <w:sz w:val="20"/>
          <w:szCs w:val="24"/>
        </w:rPr>
      </w:pPr>
      <w:r w:rsidRPr="00BC5CCF">
        <w:rPr>
          <w:rFonts w:ascii="Arial" w:hAnsi="Arial" w:cs="Arial"/>
          <w:sz w:val="20"/>
          <w:szCs w:val="24"/>
        </w:rPr>
        <w:t xml:space="preserve">At 2–6 weeks after planting, shallot plants experience fusarium wilt with symptoms of yellowing, wilting, and drooping leaves. The symptoms that appear are in line with the </w:t>
      </w:r>
      <w:commentRangeStart w:id="19"/>
      <w:r w:rsidRPr="00BC5CCF">
        <w:rPr>
          <w:rFonts w:ascii="Arial" w:hAnsi="Arial" w:cs="Arial"/>
          <w:sz w:val="20"/>
          <w:szCs w:val="24"/>
        </w:rPr>
        <w:t>statement</w:t>
      </w:r>
      <w:r w:rsidR="00D046EB" w:rsidRPr="00D046EB">
        <w:rPr>
          <w:rFonts w:ascii="Arial" w:hAnsi="Arial" w:cs="Arial"/>
          <w:sz w:val="20"/>
          <w:szCs w:val="24"/>
        </w:rPr>
        <w:t xml:space="preserve">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"DOI" : "10.21776/ub.jurnalhpt.2022.010.1.4", "author" : [ { "dropping-particle" : "", "family" : "Aprilia", "given" : "Alda Dwi", "non-dropping-particle" : "", "parse-names" : false, "suffix" : "" }, { "dropping-particle" : "", "family" : "Aini", "given" : "Luqman Qurata", "non-dropping-particle" : "", "parse-names" : false, "suffix" : "" } ], "container-title" : "Jurnal HPT", "id" : "ITEM-1", "issue" : "1", "issued" : { "date-parts" : [ [ "2022" ] ] }, "title" : "Pengujian konsorsium bakteri antagonis untuk mengendalikan penyakit layu fusarium pada tanaman bawang merah (Allium ascalonicum L.) di kecamatan dampit, kabupaten malang", "type" : "article-journal", "volume" : "10" }, "uris" : [ "http://www.mendeley.com/documents/?uuid=d4b9f9f5-5eed-49e2-b6bf-df603828c194" ] } ], "mendeley" : { "formattedCitation" : "(Aprilia &amp; Aini, 2022)", "manualFormatting" : "Aprilia dan Aini (2022)", "plainTextFormattedCitation" : "(Aprilia &amp; Aini, 2022)", "previouslyFormattedCitation" : "(Aprilia &amp; Aini, 2022)"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Aprilia </w:t>
      </w:r>
      <w:r w:rsidR="00EC0019">
        <w:rPr>
          <w:rFonts w:ascii="Arial" w:hAnsi="Arial" w:cs="Arial"/>
          <w:noProof/>
          <w:sz w:val="20"/>
          <w:szCs w:val="24"/>
          <w:lang w:val="id-ID"/>
        </w:rPr>
        <w:t>dan</w:t>
      </w:r>
      <w:r w:rsidR="00EC0019">
        <w:rPr>
          <w:rFonts w:ascii="Arial" w:hAnsi="Arial" w:cs="Arial"/>
          <w:noProof/>
          <w:sz w:val="20"/>
          <w:szCs w:val="24"/>
        </w:rPr>
        <w:t xml:space="preserve"> Aini</w:t>
      </w:r>
      <w:r w:rsidR="00EC0019" w:rsidRPr="00EC0019">
        <w:rPr>
          <w:rFonts w:ascii="Arial" w:hAnsi="Arial" w:cs="Arial"/>
          <w:noProof/>
          <w:sz w:val="20"/>
          <w:szCs w:val="24"/>
        </w:rPr>
        <w:t xml:space="preserve"> </w:t>
      </w:r>
      <w:r w:rsidR="00EC0019">
        <w:rPr>
          <w:rFonts w:ascii="Arial" w:hAnsi="Arial" w:cs="Arial"/>
          <w:noProof/>
          <w:sz w:val="20"/>
          <w:szCs w:val="24"/>
          <w:lang w:val="id-ID"/>
        </w:rPr>
        <w:t>(</w:t>
      </w:r>
      <w:r w:rsidR="00EC0019" w:rsidRPr="00EC0019">
        <w:rPr>
          <w:rFonts w:ascii="Arial" w:hAnsi="Arial" w:cs="Arial"/>
          <w:noProof/>
          <w:sz w:val="20"/>
          <w:szCs w:val="24"/>
        </w:rPr>
        <w:t>2022)</w:t>
      </w:r>
      <w:r w:rsidR="00EC0019">
        <w:rPr>
          <w:rFonts w:ascii="Arial" w:hAnsi="Arial" w:cs="Arial"/>
          <w:sz w:val="20"/>
          <w:szCs w:val="24"/>
        </w:rPr>
        <w:fldChar w:fldCharType="end"/>
      </w:r>
      <w:commentRangeEnd w:id="19"/>
      <w:r w:rsidR="0060559C">
        <w:rPr>
          <w:rStyle w:val="CommentReference"/>
          <w:rFonts w:ascii="Times New Roman" w:eastAsia="Times New Roman" w:hAnsi="Times New Roman" w:cs="Times New Roman"/>
          <w:lang w:val="nb-NO" w:eastAsia="nb-NO"/>
        </w:rPr>
        <w:commentReference w:id="19"/>
      </w:r>
      <w:r w:rsidR="00EC0019">
        <w:rPr>
          <w:rFonts w:ascii="Arial" w:hAnsi="Arial" w:cs="Arial"/>
          <w:sz w:val="20"/>
          <w:szCs w:val="24"/>
          <w:lang w:val="id-ID"/>
        </w:rPr>
        <w:t xml:space="preserve"> </w:t>
      </w:r>
      <w:r w:rsidRPr="00BC5CCF">
        <w:rPr>
          <w:rFonts w:ascii="Arial" w:hAnsi="Arial" w:cs="Arial"/>
          <w:sz w:val="20"/>
          <w:szCs w:val="24"/>
        </w:rPr>
        <w:t xml:space="preserve">Fusarium wilt disease is characterized by symptoms such as yellowing, wilting, and drooping of several leaves. Approximately 12% of the population is affected. Control was carried out using a systemic fungicide with 64% mancozeb + 4% mefenoxam active ingredients at a concentration of 2 g/L with an application interval of once every 5 days until 7 weeks after planting. The fungicide was applied using a hand sprayer. After three applications, the intensity of symptoms decreased and the infection rate fell to 5%. </w:t>
      </w:r>
      <w:commentRangeStart w:id="20"/>
      <w:r w:rsidRPr="00BC5CCF">
        <w:rPr>
          <w:rFonts w:ascii="Arial" w:hAnsi="Arial" w:cs="Arial"/>
          <w:sz w:val="20"/>
          <w:szCs w:val="24"/>
        </w:rPr>
        <w:t xml:space="preserve">The effectiveness of mancozeb was in line with the findings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"DOI" : "10.14692/jfi.20.2.57", "author" : [ { "dropping-particle" : "", "family" : "Wijayanti", "given" : "Eka", "non-dropping-particle" : "", "parse-names" : false, "suffix" : "" }, { "dropping-particle" : "", "family" : "Nawangsih", "given" : "Abdjad Asih", "non-dropping-particle" : "", "parse-names" : false, "suffix" : "" }, { "dropping-particle" : "", "family" : "Tondok", "given" : "Efi Toding", "non-dropping-particle" : "", "parse-names" : false, "suffix" : "" } ], "container-title" : "Jurnal Fitopatologi Indonesia", "id" : "ITEM-1", "issued" : { "date-parts" : [ [ "2024" ] ] }, "page" : "57-65", "title" : "Streptomyces spp . sebagai Pengendali Hayati Busuk Fusarium pada Bawang Merah", "type" : "article-journal", "volume" : "20" }, "uris" : [ "http://www.mendeley.com/documents/?uuid=0b8887b9-86f0-45ba-9c68-46f51871f6dd" ] } ], "mendeley" : { "formattedCitation" : "(Wijayanti et al., 2024)", "manualFormatting" : "Wijayanti et al. (2024)", "plainTextFormattedCitation" : "(Wijayanti et al., 2024)", "previouslyFormattedCitation" : "(Wijayanti et al., 2024)"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Wijayanti </w:t>
      </w:r>
      <w:r w:rsidR="00EC0019" w:rsidRPr="00EC0019">
        <w:rPr>
          <w:rFonts w:ascii="Arial" w:hAnsi="Arial" w:cs="Arial"/>
          <w:i/>
          <w:noProof/>
          <w:sz w:val="20"/>
          <w:szCs w:val="24"/>
        </w:rPr>
        <w:t>et</w:t>
      </w:r>
      <w:r w:rsidR="00EC0019">
        <w:rPr>
          <w:rFonts w:ascii="Arial" w:hAnsi="Arial" w:cs="Arial"/>
          <w:noProof/>
          <w:sz w:val="20"/>
          <w:szCs w:val="24"/>
        </w:rPr>
        <w:t xml:space="preserve"> </w:t>
      </w:r>
      <w:r w:rsidR="00EC0019" w:rsidRPr="00EC0019">
        <w:rPr>
          <w:rFonts w:ascii="Arial" w:hAnsi="Arial" w:cs="Arial"/>
          <w:i/>
          <w:noProof/>
          <w:sz w:val="20"/>
          <w:szCs w:val="24"/>
        </w:rPr>
        <w:t>al</w:t>
      </w:r>
      <w:r w:rsidR="00EC0019">
        <w:rPr>
          <w:rFonts w:ascii="Arial" w:hAnsi="Arial" w:cs="Arial"/>
          <w:noProof/>
          <w:sz w:val="20"/>
          <w:szCs w:val="24"/>
        </w:rPr>
        <w:t>.</w:t>
      </w:r>
      <w:r w:rsidR="00EC0019" w:rsidRPr="00EC0019">
        <w:rPr>
          <w:rFonts w:ascii="Arial" w:hAnsi="Arial" w:cs="Arial"/>
          <w:noProof/>
          <w:sz w:val="20"/>
          <w:szCs w:val="24"/>
        </w:rPr>
        <w:t xml:space="preserve"> </w:t>
      </w:r>
      <w:r w:rsidR="00EC0019">
        <w:rPr>
          <w:rFonts w:ascii="Arial" w:hAnsi="Arial" w:cs="Arial"/>
          <w:noProof/>
          <w:sz w:val="20"/>
          <w:szCs w:val="24"/>
          <w:lang w:val="id-ID"/>
        </w:rPr>
        <w:t>(</w:t>
      </w:r>
      <w:r w:rsidR="00EC0019" w:rsidRPr="00EC0019">
        <w:rPr>
          <w:rFonts w:ascii="Arial" w:hAnsi="Arial" w:cs="Arial"/>
          <w:noProof/>
          <w:sz w:val="20"/>
          <w:szCs w:val="24"/>
        </w:rPr>
        <w:t>2024)</w:t>
      </w:r>
      <w:r w:rsidR="00EC0019">
        <w:rPr>
          <w:rFonts w:ascii="Arial" w:hAnsi="Arial" w:cs="Arial"/>
          <w:sz w:val="20"/>
          <w:szCs w:val="24"/>
        </w:rPr>
        <w:fldChar w:fldCharType="end"/>
      </w:r>
      <w:commentRangeEnd w:id="20"/>
      <w:r w:rsidR="0060559C">
        <w:rPr>
          <w:rStyle w:val="CommentReference"/>
          <w:rFonts w:ascii="Times New Roman" w:eastAsia="Times New Roman" w:hAnsi="Times New Roman" w:cs="Times New Roman"/>
          <w:lang w:val="nb-NO" w:eastAsia="nb-NO"/>
        </w:rPr>
        <w:commentReference w:id="20"/>
      </w:r>
      <w:r w:rsidR="0049797E" w:rsidRPr="0049797E">
        <w:rPr>
          <w:rFonts w:ascii="Arial" w:hAnsi="Arial" w:cs="Arial"/>
          <w:sz w:val="20"/>
          <w:szCs w:val="24"/>
        </w:rPr>
        <w:t xml:space="preserve"> </w:t>
      </w:r>
      <w:commentRangeStart w:id="21"/>
      <w:r w:rsidRPr="00BC5CCF">
        <w:rPr>
          <w:rFonts w:ascii="Arial" w:hAnsi="Arial" w:cs="Arial"/>
          <w:sz w:val="20"/>
          <w:szCs w:val="24"/>
        </w:rPr>
        <w:t xml:space="preserve">Fungicides with the active ingredient mancozeb can reduce disease incidence by up to 20% compared to the control of 86.67%. </w:t>
      </w:r>
      <w:commentRangeEnd w:id="21"/>
      <w:r w:rsidR="0060559C">
        <w:rPr>
          <w:rStyle w:val="CommentReference"/>
          <w:rFonts w:ascii="Times New Roman" w:eastAsia="Times New Roman" w:hAnsi="Times New Roman" w:cs="Times New Roman"/>
          <w:lang w:val="nb-NO" w:eastAsia="nb-NO"/>
        </w:rPr>
        <w:commentReference w:id="21"/>
      </w:r>
      <w:r w:rsidRPr="00BC5CCF">
        <w:rPr>
          <w:rFonts w:ascii="Arial" w:hAnsi="Arial" w:cs="Arial"/>
          <w:sz w:val="20"/>
          <w:szCs w:val="24"/>
        </w:rPr>
        <w:t>In addition to disease, weeds and pests also appear. Weeds around the plants are controlled by pulling them out, while weeds in the mulch area are cleared using a sickle once a week. Locusts (</w:t>
      </w:r>
      <w:proofErr w:type="spellStart"/>
      <w:r w:rsidRPr="002E2FF7">
        <w:rPr>
          <w:rFonts w:ascii="Arial" w:hAnsi="Arial" w:cs="Arial"/>
          <w:i/>
          <w:sz w:val="20"/>
          <w:szCs w:val="24"/>
        </w:rPr>
        <w:t>Oxyia</w:t>
      </w:r>
      <w:proofErr w:type="spellEnd"/>
      <w:r w:rsidRPr="002E2FF7">
        <w:rPr>
          <w:rFonts w:ascii="Arial" w:hAnsi="Arial" w:cs="Arial"/>
          <w:i/>
          <w:sz w:val="20"/>
          <w:szCs w:val="24"/>
        </w:rPr>
        <w:t xml:space="preserve"> </w:t>
      </w:r>
      <w:proofErr w:type="spellStart"/>
      <w:r w:rsidRPr="002E2FF7">
        <w:rPr>
          <w:rFonts w:ascii="Arial" w:hAnsi="Arial" w:cs="Arial"/>
          <w:i/>
          <w:sz w:val="20"/>
          <w:szCs w:val="24"/>
        </w:rPr>
        <w:t>serville</w:t>
      </w:r>
      <w:proofErr w:type="spellEnd"/>
      <w:r w:rsidRPr="00BC5CCF">
        <w:rPr>
          <w:rFonts w:ascii="Arial" w:hAnsi="Arial" w:cs="Arial"/>
          <w:sz w:val="20"/>
          <w:szCs w:val="24"/>
        </w:rPr>
        <w:t>) attacked about 0.95% of the plants at the end of the vegetative stage, but the damage was minor, so no further control measures were taken.</w:t>
      </w:r>
    </w:p>
    <w:p w14:paraId="05C6E76C" w14:textId="77777777" w:rsidR="00265272" w:rsidRPr="00BC5CCF" w:rsidRDefault="00BC5CCF" w:rsidP="002E2FF7">
      <w:pPr>
        <w:pStyle w:val="ListParagraph"/>
        <w:spacing w:line="276" w:lineRule="auto"/>
        <w:ind w:left="0" w:firstLine="567"/>
        <w:jc w:val="both"/>
        <w:rPr>
          <w:rFonts w:ascii="Arial" w:hAnsi="Arial" w:cs="Arial"/>
          <w:sz w:val="20"/>
          <w:szCs w:val="24"/>
        </w:rPr>
      </w:pPr>
      <w:r w:rsidRPr="00BC5CCF">
        <w:rPr>
          <w:rFonts w:ascii="Arial" w:hAnsi="Arial" w:cs="Arial"/>
          <w:sz w:val="20"/>
          <w:szCs w:val="24"/>
        </w:rPr>
        <w:t>At 6 weeks after planting, tubers began to appear on the surface of the soil and enlarge, signaling the initial formation of tubers.</w:t>
      </w:r>
      <w:r w:rsidR="00F354BA">
        <w:rPr>
          <w:rFonts w:ascii="Arial" w:hAnsi="Arial" w:cs="Arial"/>
          <w:sz w:val="20"/>
          <w:szCs w:val="24"/>
          <w:lang w:val="id-ID"/>
        </w:rPr>
        <w:t xml:space="preserve"> </w:t>
      </w:r>
      <w:commentRangeStart w:id="22"/>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"ISBN" : "9798304497", "author" : [ { "dropping-particle" : "", "family" : "Sumarni", "given" : "Nani", "non-dropping-particle" : "", "parse-names" : false, "suffix" : "" }, { "dropping-particle" : "", "family" : "Hidayat", "given" : "Achmad Hidayat", "non-dropping-particle" : "", "parse-names" : false, "suffix" : "" } ], "edition" : "3", "id" : "ITEM-1", "issued" : { "date-parts" : [ [ "2005" ] ] }, "publisher" : "Balai Penelitian Tanaman Sayuran", "title" : "Budidaya Bawang Merah", "type" : "book" }, "uris" : [ "http://www.mendeley.com/documents/?uuid=2fe69cfb-e1b4-4e7b-9a55-242d16c24bb8" ] } ], "mendeley" : { "formattedCitation" : "(Sumarni &amp; Hidayat, 2005)", "manualFormatting" : "Sumarni dan Hidayat (2005)", "plainTextFormattedCitation" : "(Sumarni &amp; Hidayat, 2005)", "previouslyFormattedCitation" : "(Sumarni &amp; Hidayat, 2005)"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Sumarni </w:t>
      </w:r>
      <w:r w:rsidR="00EC0019">
        <w:rPr>
          <w:rFonts w:ascii="Arial" w:hAnsi="Arial" w:cs="Arial"/>
          <w:noProof/>
          <w:sz w:val="20"/>
          <w:szCs w:val="24"/>
          <w:lang w:val="id-ID"/>
        </w:rPr>
        <w:t>dan</w:t>
      </w:r>
      <w:r w:rsidR="00EC0019" w:rsidRPr="00EC0019">
        <w:rPr>
          <w:rFonts w:ascii="Arial" w:hAnsi="Arial" w:cs="Arial"/>
          <w:noProof/>
          <w:sz w:val="20"/>
          <w:szCs w:val="24"/>
        </w:rPr>
        <w:t xml:space="preserve"> Hidaya</w:t>
      </w:r>
      <w:r w:rsidR="00EC0019">
        <w:rPr>
          <w:rFonts w:ascii="Arial" w:hAnsi="Arial" w:cs="Arial"/>
          <w:noProof/>
          <w:sz w:val="20"/>
          <w:szCs w:val="24"/>
        </w:rPr>
        <w:t>t</w:t>
      </w:r>
      <w:r w:rsidR="00EC0019">
        <w:rPr>
          <w:rFonts w:ascii="Arial" w:hAnsi="Arial" w:cs="Arial"/>
          <w:noProof/>
          <w:sz w:val="20"/>
          <w:szCs w:val="24"/>
          <w:lang w:val="id-ID"/>
        </w:rPr>
        <w:t xml:space="preserve"> (</w:t>
      </w:r>
      <w:r w:rsidR="00EC0019" w:rsidRPr="00EC0019">
        <w:rPr>
          <w:rFonts w:ascii="Arial" w:hAnsi="Arial" w:cs="Arial"/>
          <w:noProof/>
          <w:sz w:val="20"/>
          <w:szCs w:val="24"/>
        </w:rPr>
        <w:t>2005)</w:t>
      </w:r>
      <w:r w:rsidR="00EC0019">
        <w:rPr>
          <w:rFonts w:ascii="Arial" w:hAnsi="Arial" w:cs="Arial"/>
          <w:sz w:val="20"/>
          <w:szCs w:val="24"/>
        </w:rPr>
        <w:fldChar w:fldCharType="end"/>
      </w:r>
      <w:commentRangeEnd w:id="22"/>
      <w:r w:rsidR="0060559C">
        <w:rPr>
          <w:rStyle w:val="CommentReference"/>
          <w:rFonts w:ascii="Times New Roman" w:eastAsia="Times New Roman" w:hAnsi="Times New Roman" w:cs="Times New Roman"/>
          <w:lang w:val="nb-NO" w:eastAsia="nb-NO"/>
        </w:rPr>
        <w:commentReference w:id="22"/>
      </w:r>
      <w:r w:rsidR="00EC0019">
        <w:rPr>
          <w:rFonts w:ascii="Arial" w:hAnsi="Arial" w:cs="Arial"/>
          <w:sz w:val="20"/>
          <w:szCs w:val="24"/>
          <w:lang w:val="id-ID"/>
        </w:rPr>
        <w:t xml:space="preserve"> </w:t>
      </w:r>
      <w:r w:rsidRPr="00BC5CCF">
        <w:rPr>
          <w:rFonts w:ascii="Arial" w:hAnsi="Arial" w:cs="Arial"/>
          <w:sz w:val="20"/>
          <w:szCs w:val="24"/>
          <w:lang w:val="id-ID"/>
        </w:rPr>
        <w:t xml:space="preserve">states that this phase occurs when plants divert energy from leaf growth to tuber enlargement. At 60 days after planting, approximately 80% of plants show criteria for harvest readiness, such as yellowing, drying, and falling leaves, as well as red tubers appearing on the surface. </w:t>
      </w:r>
      <w:commentRangeStart w:id="23"/>
      <w:r w:rsidRPr="00BC5CCF">
        <w:rPr>
          <w:rFonts w:ascii="Arial" w:hAnsi="Arial" w:cs="Arial"/>
          <w:sz w:val="20"/>
          <w:szCs w:val="24"/>
          <w:lang w:val="id-ID"/>
        </w:rPr>
        <w:t xml:space="preserve">These </w:t>
      </w:r>
      <w:r w:rsidRPr="00BC5CCF">
        <w:rPr>
          <w:rFonts w:ascii="Arial" w:hAnsi="Arial" w:cs="Arial"/>
          <w:sz w:val="20"/>
          <w:szCs w:val="24"/>
          <w:lang w:val="id-ID"/>
        </w:rPr>
        <w:lastRenderedPageBreak/>
        <w:t>characteristics are consistent with the statement</w:t>
      </w:r>
      <w:r w:rsidR="0049797E" w:rsidRPr="0049797E">
        <w:rPr>
          <w:rFonts w:ascii="Arial" w:hAnsi="Arial" w:cs="Arial"/>
          <w:sz w:val="20"/>
          <w:szCs w:val="24"/>
        </w:rPr>
        <w:t xml:space="preserve"> </w:t>
      </w:r>
      <w:commentRangeStart w:id="24"/>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"author" : [ { "dropping-particle" : "", "family" : "Despita", "given" : "Rika", "non-dropping-particle" : "", "parse-names" : false, "suffix" : "" }, { "dropping-particle" : "", "family" : "Rachmadiyanto", "given" : "Arief Noor", "non-dropping-particle" : "", "parse-names" : false, "suffix" : "" } ], "container-title" : "Jurnal Agriekstensia", "id" : "ITEM-1", "issue" : "2", "issued" : { "date-parts" : [ [ "2021" ] ] }, "page" : "150-159", "title" : "Produksi Bawang Merah pada Musim Hujan dengan Aplikasi Rhizobakteria Pemacu Tumbuh Tanaman", "type" : "article-journal", "volume" : "20" }, "uris" : [ "http://www.mendeley.com/documents/?uuid=1b777110-bca6-40a9-9e0d-2af4860defe4" ] } ], "mendeley" : { "formattedCitation" : "(Despita &amp; Rachmadiyanto, 2021)", "manualFormatting" : "Despita dan Rachmadiyanto (2021)", "plainTextFormattedCitation" : "(Despita &amp; Rachmadiyanto, 2021)", "previouslyFormattedCitation" : "(Despita &amp; Rachmadiyanto, 2021)"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Despita </w:t>
      </w:r>
      <w:r w:rsidR="00EC0019">
        <w:rPr>
          <w:rFonts w:ascii="Arial" w:hAnsi="Arial" w:cs="Arial"/>
          <w:noProof/>
          <w:sz w:val="20"/>
          <w:szCs w:val="24"/>
          <w:lang w:val="id-ID"/>
        </w:rPr>
        <w:t>dan</w:t>
      </w:r>
      <w:r w:rsidR="00EC0019">
        <w:rPr>
          <w:rFonts w:ascii="Arial" w:hAnsi="Arial" w:cs="Arial"/>
          <w:noProof/>
          <w:sz w:val="20"/>
          <w:szCs w:val="24"/>
        </w:rPr>
        <w:t xml:space="preserve"> Rachmadiyanto</w:t>
      </w:r>
      <w:r w:rsidR="00EC0019">
        <w:rPr>
          <w:rFonts w:ascii="Arial" w:hAnsi="Arial" w:cs="Arial"/>
          <w:noProof/>
          <w:sz w:val="20"/>
          <w:szCs w:val="24"/>
          <w:lang w:val="id-ID"/>
        </w:rPr>
        <w:t xml:space="preserve"> (</w:t>
      </w:r>
      <w:r w:rsidR="00EC0019" w:rsidRPr="00EC0019">
        <w:rPr>
          <w:rFonts w:ascii="Arial" w:hAnsi="Arial" w:cs="Arial"/>
          <w:noProof/>
          <w:sz w:val="20"/>
          <w:szCs w:val="24"/>
        </w:rPr>
        <w:t>2021)</w:t>
      </w:r>
      <w:r w:rsidR="00EC0019">
        <w:rPr>
          <w:rFonts w:ascii="Arial" w:hAnsi="Arial" w:cs="Arial"/>
          <w:sz w:val="20"/>
          <w:szCs w:val="24"/>
        </w:rPr>
        <w:fldChar w:fldCharType="end"/>
      </w:r>
      <w:commentRangeEnd w:id="24"/>
      <w:r w:rsidR="00180B77">
        <w:rPr>
          <w:rStyle w:val="CommentReference"/>
          <w:rFonts w:ascii="Times New Roman" w:eastAsia="Times New Roman" w:hAnsi="Times New Roman" w:cs="Times New Roman"/>
          <w:lang w:val="nb-NO" w:eastAsia="nb-NO"/>
        </w:rPr>
        <w:commentReference w:id="24"/>
      </w:r>
      <w:r w:rsidR="00EC0019">
        <w:rPr>
          <w:rFonts w:ascii="Arial" w:hAnsi="Arial" w:cs="Arial"/>
          <w:sz w:val="20"/>
          <w:szCs w:val="24"/>
          <w:lang w:val="id-ID"/>
        </w:rPr>
        <w:t xml:space="preserve"> </w:t>
      </w:r>
      <w:r w:rsidRPr="00BC5CCF">
        <w:rPr>
          <w:rFonts w:ascii="Arial" w:hAnsi="Arial" w:cs="Arial"/>
          <w:sz w:val="20"/>
          <w:szCs w:val="24"/>
        </w:rPr>
        <w:t>which states that harvesting is carried out at 60–65 days after planting when the tubers have fully formed and the leaves begin to dry out.</w:t>
      </w:r>
      <w:commentRangeEnd w:id="23"/>
      <w:r w:rsidR="00180B77">
        <w:rPr>
          <w:rStyle w:val="CommentReference"/>
          <w:rFonts w:ascii="Times New Roman" w:eastAsia="Times New Roman" w:hAnsi="Times New Roman" w:cs="Times New Roman"/>
          <w:lang w:val="nb-NO" w:eastAsia="nb-NO"/>
        </w:rPr>
        <w:commentReference w:id="23"/>
      </w:r>
    </w:p>
    <w:p w14:paraId="3AA8D7C0" w14:textId="77777777" w:rsidR="00A90788" w:rsidRDefault="008D5023" w:rsidP="00EC4810">
      <w:pPr>
        <w:widowControl w:val="0"/>
        <w:spacing w:line="276" w:lineRule="auto"/>
        <w:jc w:val="both"/>
        <w:rPr>
          <w:rFonts w:ascii="Arial" w:hAnsi="Arial" w:cs="Arial"/>
          <w:b/>
          <w:sz w:val="22"/>
          <w:szCs w:val="22"/>
        </w:rPr>
      </w:pPr>
      <w:r>
        <w:rPr>
          <w:rFonts w:ascii="Arial" w:hAnsi="Arial" w:cs="Arial"/>
          <w:b/>
          <w:sz w:val="22"/>
          <w:szCs w:val="22"/>
        </w:rPr>
        <w:t xml:space="preserve">3.1 </w:t>
      </w:r>
      <w:bookmarkStart w:id="25" w:name="_Toc175570775"/>
      <w:r w:rsidR="00B41F59" w:rsidRPr="00B41F59">
        <w:rPr>
          <w:rFonts w:ascii="Arial" w:hAnsi="Arial" w:cs="Arial"/>
          <w:b/>
          <w:sz w:val="22"/>
          <w:szCs w:val="22"/>
        </w:rPr>
        <w:t xml:space="preserve">Growth Patterns of Red </w:t>
      </w:r>
      <w:r w:rsidR="00004A75">
        <w:rPr>
          <w:rFonts w:ascii="Arial" w:hAnsi="Arial" w:cs="Arial"/>
          <w:b/>
          <w:sz w:val="22"/>
          <w:szCs w:val="22"/>
        </w:rPr>
        <w:t>Shallot</w:t>
      </w:r>
      <w:r w:rsidR="00B41F59" w:rsidRPr="00B41F59">
        <w:rPr>
          <w:rFonts w:ascii="Arial" w:hAnsi="Arial" w:cs="Arial"/>
          <w:b/>
          <w:sz w:val="22"/>
          <w:szCs w:val="22"/>
        </w:rPr>
        <w:t xml:space="preserve"> Plants</w:t>
      </w:r>
    </w:p>
    <w:bookmarkEnd w:id="25"/>
    <w:p w14:paraId="7A69BF75" w14:textId="77777777" w:rsidR="00B41F59" w:rsidRDefault="00B41F59" w:rsidP="002E2FF7">
      <w:pPr>
        <w:widowControl w:val="0"/>
        <w:spacing w:line="276" w:lineRule="auto"/>
        <w:ind w:firstLine="567"/>
        <w:jc w:val="both"/>
        <w:rPr>
          <w:rFonts w:ascii="Arial" w:eastAsia="Calibri" w:hAnsi="Arial" w:cs="Arial"/>
          <w:bCs/>
        </w:rPr>
      </w:pPr>
      <w:r w:rsidRPr="00B41F59">
        <w:rPr>
          <w:rFonts w:ascii="Arial" w:eastAsia="Calibri" w:hAnsi="Arial" w:cs="Arial"/>
          <w:bCs/>
        </w:rPr>
        <w:t>The growth of shallots can be determined through vegetative indicators, including plant height and number of leaves. Observations wer</w:t>
      </w:r>
      <w:r w:rsidR="002E2FF7">
        <w:rPr>
          <w:rFonts w:ascii="Arial" w:eastAsia="Calibri" w:hAnsi="Arial" w:cs="Arial"/>
          <w:bCs/>
        </w:rPr>
        <w:t>e conducted gradually from 2 WAP to 7 WAP</w:t>
      </w:r>
      <w:r w:rsidRPr="00B41F59">
        <w:rPr>
          <w:rFonts w:ascii="Arial" w:eastAsia="Calibri" w:hAnsi="Arial" w:cs="Arial"/>
          <w:bCs/>
        </w:rPr>
        <w:t xml:space="preserve"> to obtain an overview of plant growth dynamics.</w:t>
      </w:r>
    </w:p>
    <w:p w14:paraId="45E2DC1F" w14:textId="77777777" w:rsidR="007005A7" w:rsidRPr="00D046EB" w:rsidRDefault="007005A7" w:rsidP="00534D5E">
      <w:pPr>
        <w:widowControl w:val="0"/>
        <w:spacing w:line="276" w:lineRule="auto"/>
        <w:jc w:val="both"/>
        <w:rPr>
          <w:rFonts w:ascii="Arial" w:hAnsi="Arial" w:cs="Arial"/>
          <w:b/>
          <w:sz w:val="18"/>
          <w:szCs w:val="22"/>
        </w:rPr>
      </w:pPr>
      <w:r w:rsidRPr="00D046EB">
        <w:rPr>
          <w:rFonts w:ascii="Arial" w:hAnsi="Arial" w:cs="Arial"/>
          <w:b/>
          <w:color w:val="000000"/>
          <w:szCs w:val="24"/>
        </w:rPr>
        <w:t xml:space="preserve">3.1.1 </w:t>
      </w:r>
      <w:r w:rsidR="00B41F59" w:rsidRPr="00B41F59">
        <w:rPr>
          <w:rFonts w:ascii="Arial" w:hAnsi="Arial" w:cs="Arial"/>
          <w:b/>
          <w:color w:val="000000"/>
          <w:szCs w:val="24"/>
        </w:rPr>
        <w:t>Growth Pattern of Shallot Plants (cm)</w:t>
      </w:r>
    </w:p>
    <w:p w14:paraId="2B236B67" w14:textId="1606303F" w:rsidR="00534D5E" w:rsidRDefault="00B41F59" w:rsidP="00EC4810">
      <w:pPr>
        <w:spacing w:line="276" w:lineRule="auto"/>
        <w:ind w:firstLine="567"/>
        <w:jc w:val="both"/>
        <w:rPr>
          <w:rFonts w:ascii="Arial" w:hAnsi="Arial" w:cs="Arial"/>
          <w:szCs w:val="24"/>
        </w:rPr>
      </w:pPr>
      <w:r w:rsidRPr="00B41F59">
        <w:rPr>
          <w:rFonts w:ascii="Arial" w:hAnsi="Arial" w:cs="Arial"/>
          <w:szCs w:val="24"/>
        </w:rPr>
        <w:t xml:space="preserve">The growth pattern of shallots shows continuous crown growth from 2 to 7 weeks after planting (Figure </w:t>
      </w:r>
      <w:r w:rsidR="002D4B89">
        <w:rPr>
          <w:rFonts w:ascii="Arial" w:hAnsi="Arial" w:cs="Arial"/>
          <w:szCs w:val="24"/>
        </w:rPr>
        <w:t>3</w:t>
      </w:r>
      <w:r w:rsidRPr="00B41F59">
        <w:rPr>
          <w:rFonts w:ascii="Arial" w:hAnsi="Arial" w:cs="Arial"/>
          <w:szCs w:val="24"/>
        </w:rPr>
        <w:t>), with growth rates varying according to the composition of the growing medium. Plant growth is an irreversible process of increasing size or morphological volume.</w:t>
      </w:r>
    </w:p>
    <w:p w14:paraId="08DC159B" w14:textId="77777777" w:rsidR="007005A7" w:rsidRPr="00F056DE" w:rsidRDefault="007005A7" w:rsidP="00F056DE">
      <w:pPr>
        <w:spacing w:line="276" w:lineRule="auto"/>
        <w:ind w:firstLine="567"/>
        <w:jc w:val="both"/>
        <w:rPr>
          <w:rFonts w:ascii="Arial" w:hAnsi="Arial" w:cs="Arial"/>
          <w:szCs w:val="24"/>
        </w:rPr>
      </w:pPr>
      <w:r w:rsidRPr="007005A7">
        <w:rPr>
          <w:rFonts w:ascii="Arial" w:hAnsi="Arial" w:cs="Arial"/>
          <w:szCs w:val="24"/>
        </w:rPr>
        <w:t xml:space="preserve"> </w:t>
      </w:r>
    </w:p>
    <w:p w14:paraId="7E357DD9" w14:textId="77777777" w:rsidR="00B41F59" w:rsidRDefault="009908BB" w:rsidP="00B41F59">
      <w:pPr>
        <w:spacing w:line="276" w:lineRule="auto"/>
        <w:ind w:firstLine="567"/>
        <w:jc w:val="both"/>
        <w:rPr>
          <w:rFonts w:ascii="Arial" w:hAnsi="Arial" w:cs="Arial"/>
          <w:szCs w:val="24"/>
        </w:rPr>
      </w:pPr>
      <w:r>
        <w:rPr>
          <w:noProof/>
        </w:rPr>
        <w:drawing>
          <wp:anchor distT="0" distB="0" distL="114300" distR="114300" simplePos="0" relativeHeight="251676672" behindDoc="0" locked="0" layoutInCell="1" allowOverlap="1" wp14:anchorId="1F7785E0" wp14:editId="4757A729">
            <wp:simplePos x="0" y="0"/>
            <wp:positionH relativeFrom="column">
              <wp:posOffset>272415</wp:posOffset>
            </wp:positionH>
            <wp:positionV relativeFrom="paragraph">
              <wp:posOffset>148590</wp:posOffset>
            </wp:positionV>
            <wp:extent cx="4667250" cy="238125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B41F59" w:rsidRPr="00B41F59">
        <w:rPr>
          <w:rFonts w:ascii="Arial" w:hAnsi="Arial" w:cs="Arial"/>
          <w:szCs w:val="24"/>
        </w:rPr>
        <w:t>Figure 3.  Pattern of growth in the height of shallot plants from seven</w:t>
      </w:r>
      <w:r w:rsidR="00B41F59">
        <w:rPr>
          <w:rFonts w:ascii="Arial" w:hAnsi="Arial" w:cs="Arial"/>
          <w:szCs w:val="24"/>
        </w:rPr>
        <w:t xml:space="preserve"> compositions of</w:t>
      </w:r>
    </w:p>
    <w:p w14:paraId="6529E3EB" w14:textId="77777777" w:rsidR="00534D5E" w:rsidRDefault="00B41F59" w:rsidP="00B41F59">
      <w:pPr>
        <w:spacing w:line="276" w:lineRule="auto"/>
        <w:ind w:left="1418"/>
        <w:jc w:val="both"/>
        <w:rPr>
          <w:rFonts w:ascii="Arial" w:hAnsi="Arial" w:cs="Arial"/>
          <w:szCs w:val="24"/>
        </w:rPr>
      </w:pPr>
      <w:r w:rsidRPr="00B41F59">
        <w:rPr>
          <w:rFonts w:ascii="Arial" w:hAnsi="Arial" w:cs="Arial"/>
          <w:szCs w:val="24"/>
        </w:rPr>
        <w:t>planting media</w:t>
      </w:r>
    </w:p>
    <w:p w14:paraId="13199267" w14:textId="77777777" w:rsidR="0085523F" w:rsidRPr="0085523F" w:rsidRDefault="0085523F" w:rsidP="0085523F">
      <w:pPr>
        <w:spacing w:line="276" w:lineRule="auto"/>
        <w:ind w:firstLine="567"/>
        <w:jc w:val="both"/>
        <w:rPr>
          <w:rFonts w:ascii="Arial" w:hAnsi="Arial" w:cs="Arial"/>
          <w:szCs w:val="24"/>
        </w:rPr>
      </w:pPr>
      <w:r w:rsidRPr="0085523F">
        <w:rPr>
          <w:rFonts w:ascii="Arial" w:hAnsi="Arial" w:cs="Arial"/>
          <w:szCs w:val="24"/>
        </w:rPr>
        <w:t xml:space="preserve">The graph showing the increase in red </w:t>
      </w:r>
      <w:r w:rsidR="00004A75">
        <w:rPr>
          <w:rFonts w:ascii="Arial" w:hAnsi="Arial" w:cs="Arial"/>
          <w:szCs w:val="24"/>
        </w:rPr>
        <w:t>shallot</w:t>
      </w:r>
      <w:r w:rsidRPr="0085523F">
        <w:rPr>
          <w:rFonts w:ascii="Arial" w:hAnsi="Arial" w:cs="Arial"/>
          <w:szCs w:val="24"/>
        </w:rPr>
        <w:t xml:space="preserve"> plant height (Figure 3) shows a uniform initial height at 2 WAP, but from 3 WAP onwards, differences in growth rates become apparent. Treatment P</w:t>
      </w:r>
      <w:r w:rsidRPr="00D97BE4">
        <w:rPr>
          <w:rFonts w:ascii="Arial" w:hAnsi="Arial" w:cs="Arial"/>
          <w:szCs w:val="24"/>
          <w:vertAlign w:val="subscript"/>
        </w:rPr>
        <w:t>3</w:t>
      </w:r>
      <w:r w:rsidRPr="0085523F">
        <w:rPr>
          <w:rFonts w:ascii="Arial" w:hAnsi="Arial" w:cs="Arial"/>
          <w:szCs w:val="24"/>
        </w:rPr>
        <w:t xml:space="preserve"> showed consistent height increases from 2 WAP to 7 WAP, with a height of 32.53 cm at 7 WAP. The </w:t>
      </w:r>
      <w:proofErr w:type="spellStart"/>
      <w:r w:rsidRPr="0085523F">
        <w:rPr>
          <w:rFonts w:ascii="Arial" w:hAnsi="Arial" w:cs="Arial"/>
          <w:szCs w:val="24"/>
        </w:rPr>
        <w:t>ultisol</w:t>
      </w:r>
      <w:proofErr w:type="spellEnd"/>
      <w:r w:rsidRPr="0085523F">
        <w:rPr>
          <w:rFonts w:ascii="Arial" w:hAnsi="Arial" w:cs="Arial"/>
          <w:szCs w:val="24"/>
        </w:rPr>
        <w:t xml:space="preserve"> composition and weed ameliorant in this treatment improved the physi</w:t>
      </w:r>
      <w:r>
        <w:rPr>
          <w:rFonts w:ascii="Arial" w:hAnsi="Arial" w:cs="Arial"/>
          <w:szCs w:val="24"/>
        </w:rPr>
        <w:t>cal condition of the sandy soil</w:t>
      </w:r>
      <w:r w:rsidR="00D97BE4">
        <w:rPr>
          <w:rFonts w:ascii="Arial" w:hAnsi="Arial" w:cs="Arial"/>
          <w:szCs w:val="24"/>
        </w:rPr>
        <w:t xml:space="preserve">. </w:t>
      </w:r>
      <w:r w:rsidR="00EC0019">
        <w:rPr>
          <w:rFonts w:ascii="Arial" w:hAnsi="Arial" w:cs="Arial"/>
          <w:szCs w:val="24"/>
        </w:rPr>
        <w:fldChar w:fldCharType="begin" w:fldLock="1"/>
      </w:r>
      <w:r w:rsidR="00367F88">
        <w:rPr>
          <w:rFonts w:ascii="Arial" w:hAnsi="Arial" w:cs="Arial"/>
          <w:szCs w:val="24"/>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EC0019">
        <w:rPr>
          <w:rFonts w:ascii="Arial" w:hAnsi="Arial" w:cs="Arial"/>
          <w:szCs w:val="24"/>
        </w:rPr>
        <w:fldChar w:fldCharType="separate"/>
      </w:r>
      <w:r w:rsidR="00EC0019" w:rsidRPr="00EC0019">
        <w:rPr>
          <w:rFonts w:ascii="Arial" w:hAnsi="Arial" w:cs="Arial"/>
          <w:noProof/>
          <w:szCs w:val="24"/>
        </w:rPr>
        <w:t xml:space="preserve">Nurjanah </w:t>
      </w:r>
      <w:r w:rsidR="00EC0019" w:rsidRPr="00367F88">
        <w:rPr>
          <w:rFonts w:ascii="Arial" w:hAnsi="Arial" w:cs="Arial"/>
          <w:i/>
          <w:noProof/>
          <w:szCs w:val="24"/>
        </w:rPr>
        <w:t>et</w:t>
      </w:r>
      <w:r w:rsidR="00EC0019" w:rsidRPr="00EC0019">
        <w:rPr>
          <w:rFonts w:ascii="Arial" w:hAnsi="Arial" w:cs="Arial"/>
          <w:noProof/>
          <w:szCs w:val="24"/>
        </w:rPr>
        <w:t xml:space="preserve"> </w:t>
      </w:r>
      <w:r w:rsidR="00EC0019" w:rsidRPr="00367F88">
        <w:rPr>
          <w:rFonts w:ascii="Arial" w:hAnsi="Arial" w:cs="Arial"/>
          <w:i/>
          <w:noProof/>
          <w:szCs w:val="24"/>
        </w:rPr>
        <w:t>al</w:t>
      </w:r>
      <w:r w:rsidR="00367F88">
        <w:rPr>
          <w:rFonts w:ascii="Arial" w:hAnsi="Arial" w:cs="Arial"/>
          <w:noProof/>
          <w:szCs w:val="24"/>
        </w:rPr>
        <w:t>.</w:t>
      </w:r>
      <w:r w:rsidR="00EC0019" w:rsidRPr="00EC0019">
        <w:rPr>
          <w:rFonts w:ascii="Arial" w:hAnsi="Arial" w:cs="Arial"/>
          <w:noProof/>
          <w:szCs w:val="24"/>
        </w:rPr>
        <w:t xml:space="preserve"> </w:t>
      </w:r>
      <w:r w:rsidR="00367F88">
        <w:rPr>
          <w:rFonts w:ascii="Arial" w:hAnsi="Arial" w:cs="Arial"/>
          <w:noProof/>
          <w:szCs w:val="24"/>
          <w:lang w:val="id-ID"/>
        </w:rPr>
        <w:t>(</w:t>
      </w:r>
      <w:r w:rsidR="00EC0019" w:rsidRPr="00EC0019">
        <w:rPr>
          <w:rFonts w:ascii="Arial" w:hAnsi="Arial" w:cs="Arial"/>
          <w:noProof/>
          <w:szCs w:val="24"/>
        </w:rPr>
        <w:t>2024)</w:t>
      </w:r>
      <w:r w:rsidR="00EC0019">
        <w:rPr>
          <w:rFonts w:ascii="Arial" w:hAnsi="Arial" w:cs="Arial"/>
          <w:szCs w:val="24"/>
        </w:rPr>
        <w:fldChar w:fldCharType="end"/>
      </w:r>
      <w:r w:rsidR="00367F88">
        <w:rPr>
          <w:rFonts w:ascii="Arial" w:hAnsi="Arial" w:cs="Arial"/>
          <w:szCs w:val="24"/>
          <w:lang w:val="id-ID"/>
        </w:rPr>
        <w:t xml:space="preserve"> </w:t>
      </w:r>
      <w:r w:rsidR="004F536B" w:rsidRPr="004F536B">
        <w:rPr>
          <w:rFonts w:ascii="Arial" w:hAnsi="Arial" w:cs="Arial"/>
          <w:szCs w:val="24"/>
        </w:rPr>
        <w:t xml:space="preserve"> </w:t>
      </w:r>
      <w:r w:rsidRPr="0085523F">
        <w:rPr>
          <w:rFonts w:ascii="Arial" w:hAnsi="Arial" w:cs="Arial"/>
          <w:szCs w:val="24"/>
        </w:rPr>
        <w:t>states that clay amendments and broadleaf weeds can improve soil physical properties, increase microbial activity, and accelerate plant canopy development. Soil analysis showed that P</w:t>
      </w:r>
      <w:r w:rsidRPr="00D97BE4">
        <w:rPr>
          <w:rFonts w:ascii="Arial" w:hAnsi="Arial" w:cs="Arial"/>
          <w:szCs w:val="24"/>
          <w:vertAlign w:val="subscript"/>
        </w:rPr>
        <w:t>3</w:t>
      </w:r>
      <w:r w:rsidRPr="0085523F">
        <w:rPr>
          <w:rFonts w:ascii="Arial" w:hAnsi="Arial" w:cs="Arial"/>
          <w:szCs w:val="24"/>
        </w:rPr>
        <w:t xml:space="preserve"> had a texture composition (60.23% sand; 23.12% clay; 16.65% silt) with a permeability of 21.32 cm/hour and a pH of 6.2, so its water and nutrient retention capacity was better than P</w:t>
      </w:r>
      <w:r w:rsidRPr="00D97BE4">
        <w:rPr>
          <w:rFonts w:ascii="Arial" w:hAnsi="Arial" w:cs="Arial"/>
          <w:szCs w:val="24"/>
          <w:vertAlign w:val="subscript"/>
        </w:rPr>
        <w:t>0</w:t>
      </w:r>
      <w:r w:rsidRPr="0085523F">
        <w:rPr>
          <w:rFonts w:ascii="Arial" w:hAnsi="Arial" w:cs="Arial"/>
          <w:szCs w:val="24"/>
        </w:rPr>
        <w:t>.</w:t>
      </w:r>
    </w:p>
    <w:p w14:paraId="57123FB3" w14:textId="77777777" w:rsidR="001D33F2" w:rsidRDefault="0085523F" w:rsidP="0085523F">
      <w:pPr>
        <w:spacing w:line="276" w:lineRule="auto"/>
        <w:ind w:firstLine="567"/>
        <w:jc w:val="both"/>
        <w:rPr>
          <w:rFonts w:ascii="Arial" w:hAnsi="Arial" w:cs="Arial"/>
          <w:szCs w:val="24"/>
        </w:rPr>
      </w:pPr>
      <w:r w:rsidRPr="0085523F">
        <w:rPr>
          <w:rFonts w:ascii="Arial" w:hAnsi="Arial" w:cs="Arial"/>
          <w:szCs w:val="24"/>
        </w:rPr>
        <w:t>Conversely, the P</w:t>
      </w:r>
      <w:r w:rsidRPr="00D97BE4">
        <w:rPr>
          <w:rFonts w:ascii="Arial" w:hAnsi="Arial" w:cs="Arial"/>
          <w:szCs w:val="24"/>
          <w:vertAlign w:val="subscript"/>
        </w:rPr>
        <w:t>0</w:t>
      </w:r>
      <w:r w:rsidRPr="0085523F">
        <w:rPr>
          <w:rFonts w:ascii="Arial" w:hAnsi="Arial" w:cs="Arial"/>
          <w:szCs w:val="24"/>
        </w:rPr>
        <w:t xml:space="preserve"> treatment began to show slow growth af</w:t>
      </w:r>
      <w:r w:rsidR="00D97BE4">
        <w:rPr>
          <w:rFonts w:ascii="Arial" w:hAnsi="Arial" w:cs="Arial"/>
          <w:szCs w:val="24"/>
        </w:rPr>
        <w:t>ter 4 WAP, and at 7 WAP</w:t>
      </w:r>
      <w:r w:rsidRPr="0085523F">
        <w:rPr>
          <w:rFonts w:ascii="Arial" w:hAnsi="Arial" w:cs="Arial"/>
          <w:szCs w:val="24"/>
        </w:rPr>
        <w:t xml:space="preserve"> it only reached 21.20 cm. This slow growth was influenced by the very sandy texture (81.78% sa</w:t>
      </w:r>
      <w:r w:rsidR="00495F7F">
        <w:rPr>
          <w:rFonts w:ascii="Arial" w:hAnsi="Arial" w:cs="Arial"/>
          <w:szCs w:val="24"/>
        </w:rPr>
        <w:t>nd) and high permeability (59.4</w:t>
      </w:r>
      <w:r w:rsidRPr="0085523F">
        <w:rPr>
          <w:rFonts w:ascii="Arial" w:hAnsi="Arial" w:cs="Arial"/>
          <w:szCs w:val="24"/>
        </w:rPr>
        <w:t xml:space="preserve"> cm/hour), which caused water and nutrients to be lost quickly. This is in line with </w:t>
      </w:r>
      <w:r w:rsidR="00367F88">
        <w:rPr>
          <w:rFonts w:ascii="Arial" w:hAnsi="Arial" w:cs="Arial"/>
          <w:szCs w:val="24"/>
        </w:rPr>
        <w:fldChar w:fldCharType="begin" w:fldLock="1"/>
      </w:r>
      <w:r w:rsidR="00367F88">
        <w:rPr>
          <w:rFonts w:ascii="Arial" w:hAnsi="Arial" w:cs="Arial"/>
          <w:szCs w:val="24"/>
        </w:rPr>
        <w:instrText>ADDIN CSL_CITATION { "citationItems" : [ { "id" : "ITEM-1", "itemData" : { "DOI" : "10.21776/ub.jtsl.2021.008.2.20", "author" : [ { "dropping-particle" : "", "family" : "Alista", "given" : "Febri Ayu", "non-dropping-particle" : "", "parse-names" : false, "suffix" : "" }, { "dropping-particle" : "", "family" : "Soemarno", "given" : "", "non-dropping-particle" : "", "parse-names" : false, "suffix" : "" } ], "container-title" : "Jurnal Tanah dan Sumberdaya Lahan", "id" : "ITEM-1", "issue" : "2", "issued" : { "date-parts" : [ [ "2021" ] ] }, "page" : "493-504", "title" : "Analisis permeabilitas tanah lapisan atas dan bawah di lahan kopi robusta", "type" : "article-journal", "volume" : "8" }, "uris" : [ "http://www.mendeley.com/documents/?uuid=b2a4021d-3221-4365-95f6-4d9f10c4e3cb" ] } ], "mendeley" : { "formattedCitation" : "(Alista &amp; Soemarno, 2021)", "manualFormatting" : "Alista dan Soemarno (2021)", "plainTextFormattedCitation" : "(Alista &amp; Soemarno, 2021)", "previouslyFormattedCitation" : "(Alista &amp; Soemarno, 2021)" }, "properties" : { "noteIndex" : 0 }, "schema" : "https://github.com/citation-style-language/schema/raw/master/csl-citation.json" }</w:instrText>
      </w:r>
      <w:r w:rsidR="00367F88">
        <w:rPr>
          <w:rFonts w:ascii="Arial" w:hAnsi="Arial" w:cs="Arial"/>
          <w:szCs w:val="24"/>
        </w:rPr>
        <w:fldChar w:fldCharType="separate"/>
      </w:r>
      <w:r w:rsidR="00367F88">
        <w:rPr>
          <w:rFonts w:ascii="Arial" w:hAnsi="Arial" w:cs="Arial"/>
          <w:noProof/>
          <w:szCs w:val="24"/>
        </w:rPr>
        <w:t xml:space="preserve">Alista </w:t>
      </w:r>
      <w:r w:rsidR="00367F88">
        <w:rPr>
          <w:rFonts w:ascii="Arial" w:hAnsi="Arial" w:cs="Arial"/>
          <w:noProof/>
          <w:szCs w:val="24"/>
          <w:lang w:val="id-ID"/>
        </w:rPr>
        <w:t>dan</w:t>
      </w:r>
      <w:r w:rsidR="00367F88">
        <w:rPr>
          <w:rFonts w:ascii="Arial" w:hAnsi="Arial" w:cs="Arial"/>
          <w:noProof/>
          <w:szCs w:val="24"/>
        </w:rPr>
        <w:t xml:space="preserve"> Soemarno</w:t>
      </w:r>
      <w:r w:rsidR="00367F88">
        <w:rPr>
          <w:rFonts w:ascii="Arial" w:hAnsi="Arial" w:cs="Arial"/>
          <w:noProof/>
          <w:szCs w:val="24"/>
          <w:lang w:val="id-ID"/>
        </w:rPr>
        <w:t xml:space="preserve"> (</w:t>
      </w:r>
      <w:r w:rsidR="00367F88" w:rsidRPr="00367F88">
        <w:rPr>
          <w:rFonts w:ascii="Arial" w:hAnsi="Arial" w:cs="Arial"/>
          <w:noProof/>
          <w:szCs w:val="24"/>
        </w:rPr>
        <w:t>2021)</w:t>
      </w:r>
      <w:r w:rsidR="00367F88">
        <w:rPr>
          <w:rFonts w:ascii="Arial" w:hAnsi="Arial" w:cs="Arial"/>
          <w:szCs w:val="24"/>
        </w:rPr>
        <w:fldChar w:fldCharType="end"/>
      </w:r>
      <w:r w:rsidR="004F536B" w:rsidRPr="004F536B">
        <w:rPr>
          <w:rFonts w:ascii="Arial" w:hAnsi="Arial" w:cs="Arial"/>
          <w:szCs w:val="24"/>
        </w:rPr>
        <w:t xml:space="preserve"> </w:t>
      </w:r>
      <w:r w:rsidR="00F124CB" w:rsidRPr="00F124CB">
        <w:rPr>
          <w:rFonts w:ascii="Arial" w:hAnsi="Arial" w:cs="Arial"/>
          <w:szCs w:val="24"/>
        </w:rPr>
        <w:t xml:space="preserve">which explains that sandy soil has a high proportion of macro pores, allowing water to move downward easily and not remain around the roots. The climatological conditions of the study, with temperatures of 26.00–27.42°C, humidity of 85.97–87.77%, and low rainfall of 10.28–34.18 mm/month, also </w:t>
      </w:r>
      <w:r w:rsidR="00F124CB" w:rsidRPr="00F124CB">
        <w:rPr>
          <w:rFonts w:ascii="Arial" w:hAnsi="Arial" w:cs="Arial"/>
          <w:szCs w:val="24"/>
        </w:rPr>
        <w:lastRenderedPageBreak/>
        <w:t>affected growth. In sandy media such as P</w:t>
      </w:r>
      <w:r w:rsidR="00F124CB" w:rsidRPr="00D97BE4">
        <w:rPr>
          <w:rFonts w:ascii="Arial" w:hAnsi="Arial" w:cs="Arial"/>
          <w:szCs w:val="24"/>
          <w:vertAlign w:val="subscript"/>
        </w:rPr>
        <w:t>0</w:t>
      </w:r>
      <w:r w:rsidR="00F124CB" w:rsidRPr="00F124CB">
        <w:rPr>
          <w:rFonts w:ascii="Arial" w:hAnsi="Arial" w:cs="Arial"/>
          <w:szCs w:val="24"/>
        </w:rPr>
        <w:t>, low rainfall and high permeability caused faster water lo</w:t>
      </w:r>
      <w:r w:rsidR="00F124CB">
        <w:rPr>
          <w:rFonts w:ascii="Arial" w:hAnsi="Arial" w:cs="Arial"/>
          <w:szCs w:val="24"/>
        </w:rPr>
        <w:t>ss, inhibiting growth from 4 WAP</w:t>
      </w:r>
      <w:r w:rsidR="00F124CB" w:rsidRPr="00F124CB">
        <w:rPr>
          <w:rFonts w:ascii="Arial" w:hAnsi="Arial" w:cs="Arial"/>
          <w:szCs w:val="24"/>
        </w:rPr>
        <w:t xml:space="preserve"> onwards.</w:t>
      </w:r>
    </w:p>
    <w:p w14:paraId="72229E66" w14:textId="77777777" w:rsidR="00F124CB" w:rsidRDefault="004F536B" w:rsidP="00F124CB">
      <w:pPr>
        <w:widowControl w:val="0"/>
        <w:spacing w:line="276" w:lineRule="auto"/>
        <w:jc w:val="both"/>
        <w:rPr>
          <w:rFonts w:ascii="Arial" w:hAnsi="Arial" w:cs="Arial"/>
          <w:b/>
          <w:color w:val="000000"/>
          <w:szCs w:val="24"/>
        </w:rPr>
      </w:pPr>
      <w:r w:rsidRPr="004A095D">
        <w:rPr>
          <w:rFonts w:ascii="Arial" w:hAnsi="Arial" w:cs="Arial"/>
          <w:b/>
          <w:color w:val="000000"/>
          <w:szCs w:val="24"/>
        </w:rPr>
        <w:t xml:space="preserve">3.1.2 </w:t>
      </w:r>
      <w:r w:rsidR="00F124CB" w:rsidRPr="00F124CB">
        <w:rPr>
          <w:rFonts w:ascii="Arial" w:hAnsi="Arial" w:cs="Arial"/>
          <w:b/>
          <w:color w:val="000000"/>
          <w:szCs w:val="24"/>
        </w:rPr>
        <w:t xml:space="preserve">Growth Pattern of Red </w:t>
      </w:r>
      <w:r w:rsidR="00004A75">
        <w:rPr>
          <w:rFonts w:ascii="Arial" w:hAnsi="Arial" w:cs="Arial"/>
          <w:b/>
          <w:color w:val="000000"/>
          <w:szCs w:val="24"/>
        </w:rPr>
        <w:t>Shallot</w:t>
      </w:r>
      <w:r w:rsidR="00F124CB" w:rsidRPr="00F124CB">
        <w:rPr>
          <w:rFonts w:ascii="Arial" w:hAnsi="Arial" w:cs="Arial"/>
          <w:b/>
          <w:color w:val="000000"/>
          <w:szCs w:val="24"/>
        </w:rPr>
        <w:t xml:space="preserve"> Leaf Count (leaves)</w:t>
      </w:r>
    </w:p>
    <w:p w14:paraId="3523B03B" w14:textId="77777777" w:rsidR="001D33F2" w:rsidRPr="001D33F2" w:rsidRDefault="00F124CB" w:rsidP="00F124CB">
      <w:pPr>
        <w:widowControl w:val="0"/>
        <w:spacing w:line="276" w:lineRule="auto"/>
        <w:ind w:firstLine="567"/>
        <w:jc w:val="both"/>
        <w:rPr>
          <w:rFonts w:ascii="Arial" w:hAnsi="Arial" w:cs="Arial"/>
          <w:color w:val="000000"/>
          <w:szCs w:val="24"/>
        </w:rPr>
      </w:pPr>
      <w:r w:rsidRPr="00F124CB">
        <w:rPr>
          <w:rFonts w:ascii="Arial" w:hAnsi="Arial" w:cs="Arial"/>
          <w:color w:val="000000"/>
          <w:szCs w:val="24"/>
        </w:rPr>
        <w:t>Plant growth is indicated by normal leaf development, as leaves play an important role in producing energy through photosynthesis. The pattern of increase in the number of</w:t>
      </w:r>
      <w:r w:rsidR="002E799E">
        <w:rPr>
          <w:rFonts w:ascii="Arial" w:hAnsi="Arial" w:cs="Arial"/>
          <w:color w:val="000000"/>
          <w:szCs w:val="24"/>
        </w:rPr>
        <w:t xml:space="preserve"> shallot leaves from 2 to </w:t>
      </w:r>
      <w:proofErr w:type="gramStart"/>
      <w:r w:rsidR="002E799E">
        <w:rPr>
          <w:rFonts w:ascii="Arial" w:hAnsi="Arial" w:cs="Arial"/>
          <w:color w:val="000000"/>
          <w:szCs w:val="24"/>
        </w:rPr>
        <w:t>7  WAP</w:t>
      </w:r>
      <w:proofErr w:type="gramEnd"/>
      <w:r w:rsidRPr="00F124CB">
        <w:rPr>
          <w:rFonts w:ascii="Arial" w:hAnsi="Arial" w:cs="Arial"/>
          <w:color w:val="000000"/>
          <w:szCs w:val="24"/>
        </w:rPr>
        <w:t xml:space="preserve"> in seven soil compositions can be seen in Figure 4.</w:t>
      </w:r>
    </w:p>
    <w:p w14:paraId="352CA6F8" w14:textId="77777777" w:rsidR="001D33F2" w:rsidRDefault="001D33F2" w:rsidP="004F536B">
      <w:pPr>
        <w:widowControl w:val="0"/>
        <w:spacing w:line="276" w:lineRule="auto"/>
        <w:jc w:val="both"/>
        <w:rPr>
          <w:rFonts w:ascii="Arial" w:hAnsi="Arial" w:cs="Arial"/>
          <w:b/>
          <w:szCs w:val="22"/>
        </w:rPr>
      </w:pPr>
      <w:r>
        <w:rPr>
          <w:noProof/>
        </w:rPr>
        <w:drawing>
          <wp:inline distT="0" distB="0" distL="0" distR="0" wp14:anchorId="08B49FFF" wp14:editId="146AB3C9">
            <wp:extent cx="4562475" cy="26765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0E4247" w14:textId="77777777" w:rsidR="00F124CB" w:rsidRDefault="00F124CB" w:rsidP="00F124CB">
      <w:pPr>
        <w:pStyle w:val="Default"/>
        <w:ind w:left="709"/>
        <w:jc w:val="both"/>
        <w:rPr>
          <w:rFonts w:ascii="Arial" w:hAnsi="Arial" w:cs="Arial"/>
          <w:color w:val="000000" w:themeColor="text1"/>
          <w:sz w:val="20"/>
        </w:rPr>
      </w:pPr>
      <w:r w:rsidRPr="00F124CB">
        <w:rPr>
          <w:rFonts w:ascii="Arial" w:hAnsi="Arial" w:cs="Arial"/>
          <w:color w:val="000000" w:themeColor="text1"/>
          <w:sz w:val="20"/>
        </w:rPr>
        <w:t>Figure 4. Pattern of increase in the number of shallot leaves from seven</w:t>
      </w:r>
      <w:r>
        <w:rPr>
          <w:rFonts w:ascii="Arial" w:hAnsi="Arial" w:cs="Arial"/>
          <w:color w:val="000000" w:themeColor="text1"/>
          <w:sz w:val="20"/>
        </w:rPr>
        <w:t xml:space="preserve"> growing</w:t>
      </w:r>
    </w:p>
    <w:p w14:paraId="77114A86" w14:textId="77777777" w:rsidR="001D33F2" w:rsidRPr="00F124CB" w:rsidRDefault="00F124CB" w:rsidP="00F124CB">
      <w:pPr>
        <w:pStyle w:val="Default"/>
        <w:ind w:left="1560"/>
        <w:jc w:val="both"/>
        <w:rPr>
          <w:rFonts w:ascii="Arial" w:hAnsi="Arial" w:cs="Arial"/>
          <w:color w:val="000000" w:themeColor="text1"/>
          <w:sz w:val="20"/>
        </w:rPr>
      </w:pPr>
      <w:r w:rsidRPr="00F124CB">
        <w:rPr>
          <w:rFonts w:ascii="Arial" w:hAnsi="Arial" w:cs="Arial"/>
          <w:color w:val="000000" w:themeColor="text1"/>
          <w:sz w:val="20"/>
        </w:rPr>
        <w:t>media compositions</w:t>
      </w:r>
    </w:p>
    <w:p w14:paraId="6D64E160" w14:textId="77777777" w:rsidR="00903BC4" w:rsidRPr="00903BC4" w:rsidRDefault="007005A7" w:rsidP="00903BC4">
      <w:pPr>
        <w:spacing w:line="276" w:lineRule="auto"/>
        <w:ind w:firstLine="567"/>
        <w:jc w:val="both"/>
        <w:rPr>
          <w:rFonts w:ascii="Arial" w:hAnsi="Arial" w:cs="Arial"/>
          <w:szCs w:val="24"/>
        </w:rPr>
      </w:pPr>
      <w:r w:rsidRPr="007005A7">
        <w:rPr>
          <w:rFonts w:ascii="Arial" w:hAnsi="Arial" w:cs="Arial"/>
          <w:szCs w:val="24"/>
        </w:rPr>
        <w:t xml:space="preserve"> </w:t>
      </w:r>
      <w:r w:rsidR="00903BC4" w:rsidRPr="00903BC4">
        <w:rPr>
          <w:rFonts w:ascii="Arial" w:hAnsi="Arial" w:cs="Arial"/>
          <w:szCs w:val="24"/>
        </w:rPr>
        <w:t>The pattern of leaf growth in shallot plants from seven different growing media compositions showed significant differences between treatments. At the beginning of the observation period at 2 weeks after planting (WAP), all treatments showed relatively low leaf counts with little difference between them. However, from 3 WAP to 4 WAP, leaf growth in each treatment began to show different patterns. The lowest results were shown by Treatment P</w:t>
      </w:r>
      <w:r w:rsidR="00903BC4" w:rsidRPr="002E799E">
        <w:rPr>
          <w:rFonts w:ascii="Arial" w:hAnsi="Arial" w:cs="Arial"/>
          <w:szCs w:val="24"/>
          <w:vertAlign w:val="subscript"/>
        </w:rPr>
        <w:t>0</w:t>
      </w:r>
      <w:r w:rsidR="00903BC4" w:rsidRPr="00903BC4">
        <w:rPr>
          <w:rFonts w:ascii="Arial" w:hAnsi="Arial" w:cs="Arial"/>
          <w:szCs w:val="24"/>
        </w:rPr>
        <w:t xml:space="preserve">, which experienced a slow increase in the number of leaves, especially after </w:t>
      </w:r>
      <w:r w:rsidR="002E799E">
        <w:rPr>
          <w:rFonts w:ascii="Arial" w:hAnsi="Arial" w:cs="Arial"/>
          <w:szCs w:val="24"/>
        </w:rPr>
        <w:t>4 WAP to 7 WAP</w:t>
      </w:r>
      <w:r w:rsidR="00903BC4" w:rsidRPr="00903BC4">
        <w:rPr>
          <w:rFonts w:ascii="Arial" w:hAnsi="Arial" w:cs="Arial"/>
          <w:szCs w:val="24"/>
        </w:rPr>
        <w:t>. This was due to the low ability of sandy soil to retain water and nutrients, which did not support optimal leaf formation.</w:t>
      </w:r>
    </w:p>
    <w:p w14:paraId="522712E4" w14:textId="77777777" w:rsidR="00903BC4" w:rsidRPr="00903BC4" w:rsidRDefault="00903BC4" w:rsidP="00903BC4">
      <w:pPr>
        <w:spacing w:line="276" w:lineRule="auto"/>
        <w:ind w:firstLine="567"/>
        <w:jc w:val="both"/>
        <w:rPr>
          <w:rFonts w:ascii="Arial" w:hAnsi="Arial" w:cs="Arial"/>
          <w:szCs w:val="24"/>
        </w:rPr>
      </w:pPr>
      <w:r w:rsidRPr="00903BC4">
        <w:rPr>
          <w:rFonts w:ascii="Arial" w:hAnsi="Arial" w:cs="Arial"/>
          <w:szCs w:val="24"/>
        </w:rPr>
        <w:t>Laboratory results showed that sandy soil P</w:t>
      </w:r>
      <w:r w:rsidRPr="002E799E">
        <w:rPr>
          <w:rFonts w:ascii="Arial" w:hAnsi="Arial" w:cs="Arial"/>
          <w:szCs w:val="24"/>
          <w:vertAlign w:val="subscript"/>
        </w:rPr>
        <w:t>0</w:t>
      </w:r>
      <w:r w:rsidRPr="00903BC4">
        <w:rPr>
          <w:rFonts w:ascii="Arial" w:hAnsi="Arial" w:cs="Arial"/>
          <w:szCs w:val="24"/>
        </w:rPr>
        <w:t xml:space="preserve"> had a water content</w:t>
      </w:r>
      <w:r w:rsidR="00495F7F">
        <w:rPr>
          <w:rFonts w:ascii="Arial" w:hAnsi="Arial" w:cs="Arial"/>
          <w:szCs w:val="24"/>
        </w:rPr>
        <w:t xml:space="preserve"> of 3.75%, permeability of 59.4</w:t>
      </w:r>
      <w:r w:rsidRPr="00903BC4">
        <w:rPr>
          <w:rFonts w:ascii="Arial" w:hAnsi="Arial" w:cs="Arial"/>
          <w:szCs w:val="24"/>
        </w:rPr>
        <w:t xml:space="preserve"> cm/hour, texture class of 81.78% sand, 8.13% clay, and 10.09% </w:t>
      </w:r>
      <w:r w:rsidR="00495F7F">
        <w:rPr>
          <w:rFonts w:ascii="Arial" w:hAnsi="Arial" w:cs="Arial"/>
          <w:szCs w:val="24"/>
        </w:rPr>
        <w:t>silt</w:t>
      </w:r>
      <w:r w:rsidRPr="00903BC4">
        <w:rPr>
          <w:rFonts w:ascii="Arial" w:hAnsi="Arial" w:cs="Arial"/>
          <w:szCs w:val="24"/>
        </w:rPr>
        <w:t>, with a pH content of 6.1 (slightly acidic). These values indicate that large-pored soil causes rapid water loss, making nutrients easily leached and difficult for plants to access. This condition inhibits vegetative growth, including leaf formation.</w:t>
      </w:r>
      <w:r w:rsidR="001D33F2" w:rsidRPr="001D33F2">
        <w:rPr>
          <w:rFonts w:ascii="Arial" w:hAnsi="Arial" w:cs="Arial"/>
          <w:szCs w:val="24"/>
        </w:rPr>
        <w:t xml:space="preserve"> </w:t>
      </w:r>
      <w:commentRangeStart w:id="26"/>
      <w:proofErr w:type="spellStart"/>
      <w:r w:rsidR="001D33F2" w:rsidRPr="001D33F2">
        <w:rPr>
          <w:rFonts w:ascii="Arial" w:hAnsi="Arial" w:cs="Arial"/>
          <w:szCs w:val="24"/>
        </w:rPr>
        <w:t>Menurut</w:t>
      </w:r>
      <w:proofErr w:type="spellEnd"/>
      <w:r w:rsidR="00367F88">
        <w:rPr>
          <w:rFonts w:ascii="Arial" w:hAnsi="Arial" w:cs="Arial"/>
          <w:szCs w:val="24"/>
          <w:lang w:val="id-ID"/>
        </w:rPr>
        <w:t xml:space="preserve"> </w:t>
      </w:r>
      <w:commentRangeEnd w:id="26"/>
      <w:r w:rsidR="0004301E">
        <w:rPr>
          <w:rStyle w:val="CommentReference"/>
          <w:rFonts w:ascii="Times New Roman" w:hAnsi="Times New Roman"/>
          <w:lang w:val="nb-NO" w:eastAsia="nb-NO"/>
        </w:rPr>
        <w:commentReference w:id="26"/>
      </w:r>
      <w:r w:rsidR="00367F88">
        <w:rPr>
          <w:rFonts w:ascii="Arial" w:hAnsi="Arial" w:cs="Arial"/>
          <w:szCs w:val="24"/>
          <w:lang w:val="id-ID"/>
        </w:rPr>
        <w:fldChar w:fldCharType="begin" w:fldLock="1"/>
      </w:r>
      <w:r w:rsidR="00367F88">
        <w:rPr>
          <w:rFonts w:ascii="Arial" w:hAnsi="Arial" w:cs="Arial"/>
          <w:szCs w:val="24"/>
          <w:lang w:val="id-ID"/>
        </w:rPr>
        <w:instrText>ADDIN CSL_CITATION { "citationItems" : [ { "id" : "ITEM-1", "itemData" : { "author" : [ { "dropping-particle" : "", "family" : "Faery", "given" : "Dian", "non-dropping-particle" : "", "parse-names" : false, "suffix" : "" }, { "dropping-particle" : "", "family" : "Harefa", "given" : "Chrisnawaty", "non-dropping-particle" : "", "parse-names" : false, "suffix" : "" }, { "dropping-particle" : "", "family" : "Zebua", "given" : "Meiman", "non-dropping-particle" : "", "parse-names" : false, "suffix" : "" } ], "container-title" : "Jurnal Ilmu PErtanian dan Perikanan", "id" : "ITEM-1", "issue" : "1", "issued" : { "date-parts" : [ [ "2024" ] ] }, "page" : "165-170", "title" : "Peran kapasitas tukar kation dalam mempertahankan kesuburan tanah pada berbagai jenis tekstur tanah", "type" : "article-journal", "volume" : "01" }, "uris" : [ "http://www.mendeley.com/documents/?uuid=289d00a9-735f-46ce-a0db-e56373147026" ] } ], "mendeley" : { "formattedCitation" : "(Faery et al., 2024)", "manualFormatting" : "Faery et al. (2024)", "plainTextFormattedCitation" : "(Faery et al., 2024)", "previouslyFormattedCitation" : "(Faery et al., 2024)" }, "properties" : { "noteIndex" : 0 }, "schema" : "https://github.com/citation-style-language/schema/raw/master/csl-citation.json" }</w:instrText>
      </w:r>
      <w:r w:rsidR="00367F88">
        <w:rPr>
          <w:rFonts w:ascii="Arial" w:hAnsi="Arial" w:cs="Arial"/>
          <w:szCs w:val="24"/>
          <w:lang w:val="id-ID"/>
        </w:rPr>
        <w:fldChar w:fldCharType="separate"/>
      </w:r>
      <w:r w:rsidR="00367F88" w:rsidRPr="00367F88">
        <w:rPr>
          <w:rFonts w:ascii="Arial" w:hAnsi="Arial" w:cs="Arial"/>
          <w:noProof/>
          <w:szCs w:val="24"/>
          <w:lang w:val="id-ID"/>
        </w:rPr>
        <w:t xml:space="preserve">Faery </w:t>
      </w:r>
      <w:r w:rsidR="00367F88" w:rsidRPr="00367F88">
        <w:rPr>
          <w:rFonts w:ascii="Arial" w:hAnsi="Arial" w:cs="Arial"/>
          <w:i/>
          <w:noProof/>
          <w:szCs w:val="24"/>
          <w:lang w:val="id-ID"/>
        </w:rPr>
        <w:t>et</w:t>
      </w:r>
      <w:r w:rsidR="00367F88" w:rsidRPr="00367F88">
        <w:rPr>
          <w:rFonts w:ascii="Arial" w:hAnsi="Arial" w:cs="Arial"/>
          <w:noProof/>
          <w:szCs w:val="24"/>
          <w:lang w:val="id-ID"/>
        </w:rPr>
        <w:t xml:space="preserve"> </w:t>
      </w:r>
      <w:r w:rsidR="00367F88" w:rsidRPr="00367F88">
        <w:rPr>
          <w:rFonts w:ascii="Arial" w:hAnsi="Arial" w:cs="Arial"/>
          <w:i/>
          <w:noProof/>
          <w:szCs w:val="24"/>
          <w:lang w:val="id-ID"/>
        </w:rPr>
        <w:t>al</w:t>
      </w:r>
      <w:r w:rsidR="00367F88">
        <w:rPr>
          <w:rFonts w:ascii="Arial" w:hAnsi="Arial" w:cs="Arial"/>
          <w:noProof/>
          <w:szCs w:val="24"/>
          <w:lang w:val="id-ID"/>
        </w:rPr>
        <w:t>.</w:t>
      </w:r>
      <w:r w:rsidR="00367F88" w:rsidRPr="00367F88">
        <w:rPr>
          <w:rFonts w:ascii="Arial" w:hAnsi="Arial" w:cs="Arial"/>
          <w:noProof/>
          <w:szCs w:val="24"/>
          <w:lang w:val="id-ID"/>
        </w:rPr>
        <w:t xml:space="preserve"> </w:t>
      </w:r>
      <w:r w:rsidR="00367F88">
        <w:rPr>
          <w:rFonts w:ascii="Arial" w:hAnsi="Arial" w:cs="Arial"/>
          <w:noProof/>
          <w:szCs w:val="24"/>
          <w:lang w:val="id-ID"/>
        </w:rPr>
        <w:t>(</w:t>
      </w:r>
      <w:r w:rsidR="00367F88" w:rsidRPr="00367F88">
        <w:rPr>
          <w:rFonts w:ascii="Arial" w:hAnsi="Arial" w:cs="Arial"/>
          <w:noProof/>
          <w:szCs w:val="24"/>
          <w:lang w:val="id-ID"/>
        </w:rPr>
        <w:t>2024)</w:t>
      </w:r>
      <w:r w:rsidR="00367F88">
        <w:rPr>
          <w:rFonts w:ascii="Arial" w:hAnsi="Arial" w:cs="Arial"/>
          <w:szCs w:val="24"/>
          <w:lang w:val="id-ID"/>
        </w:rPr>
        <w:fldChar w:fldCharType="end"/>
      </w:r>
      <w:r w:rsidR="001D33F2" w:rsidRPr="001D33F2">
        <w:rPr>
          <w:rFonts w:ascii="Arial" w:hAnsi="Arial" w:cs="Arial"/>
          <w:szCs w:val="24"/>
        </w:rPr>
        <w:t xml:space="preserve"> </w:t>
      </w:r>
      <w:r w:rsidRPr="00903BC4">
        <w:rPr>
          <w:rFonts w:ascii="Arial" w:hAnsi="Arial" w:cs="Arial"/>
          <w:szCs w:val="24"/>
        </w:rPr>
        <w:t>sandy soils have low cation exchange capacity (CEC) and low organic matter content, so their ability to retain water and nutrients is very limited.</w:t>
      </w:r>
    </w:p>
    <w:p w14:paraId="400C87C6" w14:textId="77777777" w:rsidR="00903BC4" w:rsidRPr="00903BC4" w:rsidRDefault="00903BC4" w:rsidP="00903BC4">
      <w:pPr>
        <w:spacing w:line="276" w:lineRule="auto"/>
        <w:ind w:firstLine="567"/>
        <w:jc w:val="both"/>
        <w:rPr>
          <w:rFonts w:ascii="Arial" w:hAnsi="Arial" w:cs="Arial"/>
          <w:szCs w:val="24"/>
        </w:rPr>
      </w:pPr>
      <w:r w:rsidRPr="00903BC4">
        <w:rPr>
          <w:rFonts w:ascii="Arial" w:hAnsi="Arial" w:cs="Arial"/>
          <w:szCs w:val="24"/>
        </w:rPr>
        <w:t>In contrast, treatments that received additional soil amendments showed better growth. The greatest increase in leaf number occurred in the P</w:t>
      </w:r>
      <w:r w:rsidRPr="002E799E">
        <w:rPr>
          <w:rFonts w:ascii="Arial" w:hAnsi="Arial" w:cs="Arial"/>
          <w:szCs w:val="24"/>
          <w:vertAlign w:val="subscript"/>
        </w:rPr>
        <w:t>5</w:t>
      </w:r>
      <w:r w:rsidR="002E799E">
        <w:rPr>
          <w:rFonts w:ascii="Arial" w:hAnsi="Arial" w:cs="Arial"/>
          <w:szCs w:val="24"/>
        </w:rPr>
        <w:t xml:space="preserve"> treatment. At 2 WAP to 4 WAP</w:t>
      </w:r>
      <w:r w:rsidRPr="00903BC4">
        <w:rPr>
          <w:rFonts w:ascii="Arial" w:hAnsi="Arial" w:cs="Arial"/>
          <w:szCs w:val="24"/>
        </w:rPr>
        <w:t>, this treatment began to show faster vegetative growth compared to other treatments, and continued to increase until it reached the h</w:t>
      </w:r>
      <w:r w:rsidR="002E799E">
        <w:rPr>
          <w:rFonts w:ascii="Arial" w:hAnsi="Arial" w:cs="Arial"/>
          <w:szCs w:val="24"/>
        </w:rPr>
        <w:t>ighest number of leaves at 7 WAP</w:t>
      </w:r>
      <w:r w:rsidRPr="00903BC4">
        <w:rPr>
          <w:rFonts w:ascii="Arial" w:hAnsi="Arial" w:cs="Arial"/>
          <w:szCs w:val="24"/>
        </w:rPr>
        <w:t xml:space="preserve"> with an average of </w:t>
      </w:r>
      <w:r w:rsidR="00495F7F">
        <w:rPr>
          <w:rFonts w:ascii="Arial" w:hAnsi="Arial" w:cs="Arial"/>
          <w:szCs w:val="24"/>
        </w:rPr>
        <w:t>31.8</w:t>
      </w:r>
      <w:r w:rsidRPr="00903BC4">
        <w:rPr>
          <w:rFonts w:ascii="Arial" w:hAnsi="Arial" w:cs="Arial"/>
          <w:szCs w:val="24"/>
        </w:rPr>
        <w:t xml:space="preserve"> leaves. This shows that sandy soil with </w:t>
      </w:r>
      <w:proofErr w:type="spellStart"/>
      <w:r w:rsidRPr="00903BC4">
        <w:rPr>
          <w:rFonts w:ascii="Arial" w:hAnsi="Arial" w:cs="Arial"/>
          <w:szCs w:val="24"/>
        </w:rPr>
        <w:t>ultisol</w:t>
      </w:r>
      <w:proofErr w:type="spellEnd"/>
      <w:r w:rsidRPr="00903BC4">
        <w:rPr>
          <w:rFonts w:ascii="Arial" w:hAnsi="Arial" w:cs="Arial"/>
          <w:szCs w:val="24"/>
        </w:rPr>
        <w:t xml:space="preserve"> and weed amendments can improve soil physical conditions and increase the soil's capacity to retain water and store nutrients needed by plants.</w:t>
      </w:r>
      <w:r>
        <w:rPr>
          <w:rFonts w:ascii="Arial" w:hAnsi="Arial" w:cs="Arial"/>
          <w:szCs w:val="24"/>
        </w:rPr>
        <w:t xml:space="preserve"> </w:t>
      </w:r>
      <w:r w:rsidRPr="00903BC4">
        <w:rPr>
          <w:rFonts w:ascii="Arial" w:hAnsi="Arial" w:cs="Arial"/>
          <w:szCs w:val="24"/>
        </w:rPr>
        <w:t>The ability of treatment P</w:t>
      </w:r>
      <w:r w:rsidRPr="002E799E">
        <w:rPr>
          <w:rFonts w:ascii="Arial" w:hAnsi="Arial" w:cs="Arial"/>
          <w:szCs w:val="24"/>
          <w:vertAlign w:val="subscript"/>
        </w:rPr>
        <w:t>5</w:t>
      </w:r>
      <w:r w:rsidRPr="00903BC4">
        <w:rPr>
          <w:rFonts w:ascii="Arial" w:hAnsi="Arial" w:cs="Arial"/>
          <w:szCs w:val="24"/>
        </w:rPr>
        <w:t xml:space="preserve"> to increase the number of leaves is closely related to the results of soil physical property analysis, where the soil in this </w:t>
      </w:r>
      <w:r w:rsidRPr="00903BC4">
        <w:rPr>
          <w:rFonts w:ascii="Arial" w:hAnsi="Arial" w:cs="Arial"/>
          <w:szCs w:val="24"/>
        </w:rPr>
        <w:lastRenderedPageBreak/>
        <w:t>treatment has a lower permeability value (9.65 cm/hour) compared to sandy soil without ameliorants (</w:t>
      </w:r>
      <w:r w:rsidR="00495F7F">
        <w:rPr>
          <w:rFonts w:ascii="Arial" w:hAnsi="Arial" w:cs="Arial"/>
          <w:szCs w:val="24"/>
        </w:rPr>
        <w:t>59.4</w:t>
      </w:r>
      <w:r w:rsidRPr="00903BC4">
        <w:rPr>
          <w:rFonts w:ascii="Arial" w:hAnsi="Arial" w:cs="Arial"/>
          <w:szCs w:val="24"/>
        </w:rPr>
        <w:t xml:space="preserve"> cm/hour), indicating that the soil is better able to retain water and maintain moisture. The texture of P</w:t>
      </w:r>
      <w:r w:rsidRPr="002E799E">
        <w:rPr>
          <w:rFonts w:ascii="Arial" w:hAnsi="Arial" w:cs="Arial"/>
          <w:szCs w:val="24"/>
          <w:vertAlign w:val="subscript"/>
        </w:rPr>
        <w:t>5</w:t>
      </w:r>
      <w:r w:rsidRPr="00903BC4">
        <w:rPr>
          <w:rFonts w:ascii="Arial" w:hAnsi="Arial" w:cs="Arial"/>
          <w:szCs w:val="24"/>
        </w:rPr>
        <w:t xml:space="preserve"> soil consists of 51.76% sand, 25.23% clay, and 23.01% silt with a pH of 6.6 (neutral), indicating more ideal conditions for nutrient availability and plant root activity. These conditions greatly support the process of photosynthesis and the formation of new leaves. Conversely, in the P</w:t>
      </w:r>
      <w:r w:rsidRPr="002E799E">
        <w:rPr>
          <w:rFonts w:ascii="Arial" w:hAnsi="Arial" w:cs="Arial"/>
          <w:szCs w:val="24"/>
          <w:vertAlign w:val="subscript"/>
        </w:rPr>
        <w:t xml:space="preserve">0 </w:t>
      </w:r>
      <w:r w:rsidRPr="00903BC4">
        <w:rPr>
          <w:rFonts w:ascii="Arial" w:hAnsi="Arial" w:cs="Arial"/>
          <w:szCs w:val="24"/>
        </w:rPr>
        <w:t>treatment with a soil texture dominated by sand, moisture was quickly lost, making it difficult for plant roots to absorb water and nutrients optimally.</w:t>
      </w:r>
    </w:p>
    <w:p w14:paraId="3BC193B1" w14:textId="77777777" w:rsidR="007005A7" w:rsidRPr="00F056DE" w:rsidRDefault="00903BC4" w:rsidP="00903BC4">
      <w:pPr>
        <w:spacing w:line="276" w:lineRule="auto"/>
        <w:ind w:firstLine="567"/>
        <w:jc w:val="both"/>
        <w:rPr>
          <w:rFonts w:ascii="Arial" w:hAnsi="Arial" w:cs="Arial"/>
          <w:szCs w:val="24"/>
        </w:rPr>
      </w:pPr>
      <w:r w:rsidRPr="00903BC4">
        <w:rPr>
          <w:rFonts w:ascii="Arial" w:hAnsi="Arial" w:cs="Arial"/>
          <w:szCs w:val="24"/>
        </w:rPr>
        <w:t>The climatological conditions at the time of the study were dry season, with average monthly temperatures ranging from 26.00–27.42°C, air humidity of 85.97–87.77%, and low monthly rainfall (10.28–34.18 mm). These conditions caused the growing medium to dry out easily, so that treatments with better water retention, such as P</w:t>
      </w:r>
      <w:r w:rsidRPr="002E799E">
        <w:rPr>
          <w:rFonts w:ascii="Arial" w:hAnsi="Arial" w:cs="Arial"/>
          <w:szCs w:val="24"/>
          <w:vertAlign w:val="subscript"/>
        </w:rPr>
        <w:t>5</w:t>
      </w:r>
      <w:r w:rsidRPr="00903BC4">
        <w:rPr>
          <w:rFonts w:ascii="Arial" w:hAnsi="Arial" w:cs="Arial"/>
          <w:szCs w:val="24"/>
        </w:rPr>
        <w:t xml:space="preserve">, were able to maintain water balance in the root zone and support maximum leaf formation. These findings are </w:t>
      </w:r>
      <w:commentRangeStart w:id="27"/>
      <w:r w:rsidRPr="00903BC4">
        <w:rPr>
          <w:rFonts w:ascii="Arial" w:hAnsi="Arial" w:cs="Arial"/>
          <w:szCs w:val="24"/>
        </w:rPr>
        <w:t xml:space="preserve">in line </w:t>
      </w:r>
      <w:commentRangeEnd w:id="27"/>
      <w:r w:rsidR="00480F92">
        <w:rPr>
          <w:rStyle w:val="CommentReference"/>
          <w:rFonts w:ascii="Times New Roman" w:hAnsi="Times New Roman"/>
          <w:lang w:val="nb-NO" w:eastAsia="nb-NO"/>
        </w:rPr>
        <w:commentReference w:id="27"/>
      </w:r>
      <w:r w:rsidRPr="00903BC4">
        <w:rPr>
          <w:rFonts w:ascii="Arial" w:hAnsi="Arial" w:cs="Arial"/>
          <w:szCs w:val="24"/>
        </w:rPr>
        <w:t>with the results of the study</w:t>
      </w:r>
      <w:r w:rsidR="001D33F2" w:rsidRPr="001D33F2">
        <w:rPr>
          <w:rFonts w:ascii="Arial" w:hAnsi="Arial" w:cs="Arial"/>
          <w:szCs w:val="24"/>
        </w:rPr>
        <w:t xml:space="preserve"> </w:t>
      </w:r>
      <w:commentRangeStart w:id="28"/>
      <w:r w:rsidR="00367F88">
        <w:rPr>
          <w:rFonts w:ascii="Arial" w:hAnsi="Arial" w:cs="Arial"/>
          <w:szCs w:val="24"/>
        </w:rPr>
        <w:fldChar w:fldCharType="begin" w:fldLock="1"/>
      </w:r>
      <w:r w:rsidR="00367F88">
        <w:rPr>
          <w:rFonts w:ascii="Arial" w:hAnsi="Arial" w:cs="Arial"/>
          <w:szCs w:val="24"/>
        </w:rPr>
        <w:instrText>ADDIN CSL_CITATION { "citationItems" : [ { "id" : "ITEM-1", "itemData" : { "author" : [ { "dropping-particle" : "", "family" : "Andriyani", "given" : "Idah", "non-dropping-particle" : "", "parse-names" : false, "suffix" : "" }, { "dropping-particle" : "", "family" : "Patricia", "given" : "Fiona Cahya", "non-dropping-particle" : "", "parse-names" : false, "suffix" : "" } ], "container-title" : "Jurnal Teknik Pertanian Lampung", "id" : "ITEM-1", "issue" : "4", "issued" : { "date-parts" : [ [ "2021" ] ] }, "page" : "515-529", "title" : "Pengaruh Aplikasi Pupuk Organik dan Pestisida Organik terhadap Produktivitas Terung ( Solanum melongena ) dan Tingkat Bahaya Erosi", "type" : "article-journal", "volume" : "10" }, "uris" : [ "http://www.mendeley.com/documents/?uuid=a8410412-8d94-4b22-9600-be747cf67bda" ] } ], "mendeley" : { "formattedCitation" : "(Andriyani &amp; Patricia, 2021)", "manualFormatting" : "Andriyani dan Patricia (2021)", "plainTextFormattedCitation" : "(Andriyani &amp; Patricia, 2021)", "previouslyFormattedCitation" : "(Andriyani &amp; Patricia, 2021)" }, "properties" : { "noteIndex" : 0 }, "schema" : "https://github.com/citation-style-language/schema/raw/master/csl-citation.json" }</w:instrText>
      </w:r>
      <w:r w:rsidR="00367F88">
        <w:rPr>
          <w:rFonts w:ascii="Arial" w:hAnsi="Arial" w:cs="Arial"/>
          <w:szCs w:val="24"/>
        </w:rPr>
        <w:fldChar w:fldCharType="separate"/>
      </w:r>
      <w:r w:rsidR="00367F88">
        <w:rPr>
          <w:rFonts w:ascii="Arial" w:hAnsi="Arial" w:cs="Arial"/>
          <w:noProof/>
          <w:szCs w:val="24"/>
        </w:rPr>
        <w:t xml:space="preserve">Andriyani </w:t>
      </w:r>
      <w:r w:rsidR="00367F88">
        <w:rPr>
          <w:rFonts w:ascii="Arial" w:hAnsi="Arial" w:cs="Arial"/>
          <w:noProof/>
          <w:szCs w:val="24"/>
          <w:lang w:val="id-ID"/>
        </w:rPr>
        <w:t>dan</w:t>
      </w:r>
      <w:r w:rsidR="00367F88">
        <w:rPr>
          <w:rFonts w:ascii="Arial" w:hAnsi="Arial" w:cs="Arial"/>
          <w:noProof/>
          <w:szCs w:val="24"/>
        </w:rPr>
        <w:t xml:space="preserve"> Patricia</w:t>
      </w:r>
      <w:r w:rsidR="00367F88">
        <w:rPr>
          <w:rFonts w:ascii="Arial" w:hAnsi="Arial" w:cs="Arial"/>
          <w:noProof/>
          <w:szCs w:val="24"/>
          <w:lang w:val="id-ID"/>
        </w:rPr>
        <w:t xml:space="preserve"> (</w:t>
      </w:r>
      <w:r w:rsidR="00367F88" w:rsidRPr="00367F88">
        <w:rPr>
          <w:rFonts w:ascii="Arial" w:hAnsi="Arial" w:cs="Arial"/>
          <w:noProof/>
          <w:szCs w:val="24"/>
        </w:rPr>
        <w:t>2021)</w:t>
      </w:r>
      <w:r w:rsidR="00367F88">
        <w:rPr>
          <w:rFonts w:ascii="Arial" w:hAnsi="Arial" w:cs="Arial"/>
          <w:szCs w:val="24"/>
        </w:rPr>
        <w:fldChar w:fldCharType="end"/>
      </w:r>
      <w:commentRangeEnd w:id="28"/>
      <w:r w:rsidR="0004301E">
        <w:rPr>
          <w:rStyle w:val="CommentReference"/>
          <w:rFonts w:ascii="Times New Roman" w:hAnsi="Times New Roman"/>
          <w:lang w:val="nb-NO" w:eastAsia="nb-NO"/>
        </w:rPr>
        <w:commentReference w:id="28"/>
      </w:r>
      <w:r w:rsidR="00367F88">
        <w:rPr>
          <w:rFonts w:ascii="Arial" w:hAnsi="Arial" w:cs="Arial"/>
          <w:szCs w:val="24"/>
          <w:lang w:val="id-ID"/>
        </w:rPr>
        <w:t xml:space="preserve"> </w:t>
      </w:r>
      <w:r w:rsidRPr="00903BC4">
        <w:rPr>
          <w:rFonts w:ascii="Arial" w:hAnsi="Arial" w:cs="Arial"/>
          <w:szCs w:val="24"/>
        </w:rPr>
        <w:t>which states that the addition of organic matter can improve soil structure by increasing the number of micro-pores, which serve to retain water in the soil for longer.</w:t>
      </w:r>
    </w:p>
    <w:p w14:paraId="0C4BC233" w14:textId="77777777" w:rsidR="007005A7" w:rsidRPr="00C71D47" w:rsidRDefault="00A61DF3" w:rsidP="00EC4810">
      <w:pPr>
        <w:widowControl w:val="0"/>
        <w:spacing w:line="276" w:lineRule="auto"/>
        <w:jc w:val="both"/>
        <w:rPr>
          <w:rFonts w:ascii="Arial" w:hAnsi="Arial" w:cs="Arial"/>
          <w:b/>
          <w:sz w:val="22"/>
          <w:szCs w:val="22"/>
        </w:rPr>
      </w:pPr>
      <w:r>
        <w:rPr>
          <w:rFonts w:ascii="Arial" w:hAnsi="Arial" w:cs="Arial"/>
          <w:b/>
          <w:bCs/>
          <w:sz w:val="22"/>
          <w:szCs w:val="22"/>
        </w:rPr>
        <w:t>3.</w:t>
      </w:r>
      <w:r w:rsidR="00C71D47" w:rsidRPr="00C71D47">
        <w:rPr>
          <w:rFonts w:ascii="Arial" w:hAnsi="Arial" w:cs="Arial"/>
          <w:b/>
          <w:bCs/>
          <w:sz w:val="22"/>
          <w:szCs w:val="22"/>
        </w:rPr>
        <w:t xml:space="preserve">2 </w:t>
      </w:r>
      <w:r w:rsidR="0007053B" w:rsidRPr="0007053B">
        <w:rPr>
          <w:rFonts w:ascii="Arial" w:hAnsi="Arial" w:cs="Arial"/>
          <w:b/>
          <w:bCs/>
          <w:sz w:val="22"/>
          <w:szCs w:val="22"/>
        </w:rPr>
        <w:t>Analysis of Variance Results</w:t>
      </w:r>
    </w:p>
    <w:p w14:paraId="5165CA49" w14:textId="77777777" w:rsidR="00A61DF3" w:rsidRPr="003B27CD" w:rsidRDefault="0007053B" w:rsidP="003B27CD">
      <w:pPr>
        <w:pBdr>
          <w:top w:val="nil"/>
          <w:left w:val="nil"/>
          <w:bottom w:val="nil"/>
          <w:right w:val="nil"/>
          <w:between w:val="nil"/>
        </w:pBdr>
        <w:ind w:left="426" w:right="-1"/>
        <w:jc w:val="both"/>
        <w:rPr>
          <w:rFonts w:ascii="Arial" w:hAnsi="Arial" w:cs="Arial"/>
        </w:rPr>
      </w:pPr>
      <w:commentRangeStart w:id="29"/>
      <w:r w:rsidRPr="003B27CD">
        <w:rPr>
          <w:rFonts w:ascii="Arial" w:hAnsi="Arial" w:cs="Arial"/>
        </w:rPr>
        <w:t xml:space="preserve">Table 3. </w:t>
      </w:r>
      <w:commentRangeEnd w:id="29"/>
      <w:r w:rsidR="00480F92">
        <w:rPr>
          <w:rStyle w:val="CommentReference"/>
          <w:rFonts w:ascii="Times New Roman" w:hAnsi="Times New Roman"/>
          <w:lang w:val="nb-NO" w:eastAsia="nb-NO"/>
        </w:rPr>
        <w:commentReference w:id="29"/>
      </w:r>
      <w:r w:rsidRPr="003B27CD">
        <w:rPr>
          <w:rFonts w:ascii="Arial" w:hAnsi="Arial" w:cs="Arial"/>
        </w:rPr>
        <w:t>Summary of F-count results from analysis of variance of growth and yield of shallots in</w:t>
      </w:r>
      <w:r w:rsidR="003B27CD">
        <w:rPr>
          <w:rFonts w:ascii="Arial" w:hAnsi="Arial" w:cs="Arial"/>
        </w:rPr>
        <w:t xml:space="preserve"> </w:t>
      </w:r>
      <w:r w:rsidRPr="003B27CD">
        <w:rPr>
          <w:rFonts w:ascii="Arial" w:hAnsi="Arial" w:cs="Arial"/>
        </w:rPr>
        <w:t>various planting media compositions</w:t>
      </w:r>
    </w:p>
    <w:tbl>
      <w:tblPr>
        <w:tblW w:w="7459" w:type="dxa"/>
        <w:tblInd w:w="587" w:type="dxa"/>
        <w:tblLook w:val="04A0" w:firstRow="1" w:lastRow="0" w:firstColumn="1" w:lastColumn="0" w:noHBand="0" w:noVBand="1"/>
      </w:tblPr>
      <w:tblGrid>
        <w:gridCol w:w="572"/>
        <w:gridCol w:w="3485"/>
        <w:gridCol w:w="1325"/>
        <w:gridCol w:w="1194"/>
        <w:gridCol w:w="883"/>
      </w:tblGrid>
      <w:tr w:rsidR="00A61DF3" w:rsidRPr="003B27CD" w14:paraId="3A910A6F" w14:textId="77777777" w:rsidTr="00440524">
        <w:trPr>
          <w:trHeight w:val="101"/>
        </w:trPr>
        <w:tc>
          <w:tcPr>
            <w:tcW w:w="572" w:type="dxa"/>
            <w:tcBorders>
              <w:top w:val="single" w:sz="4" w:space="0" w:color="auto"/>
              <w:left w:val="nil"/>
              <w:bottom w:val="single" w:sz="4" w:space="0" w:color="auto"/>
              <w:right w:val="nil"/>
            </w:tcBorders>
            <w:noWrap/>
            <w:vAlign w:val="center"/>
            <w:hideMark/>
          </w:tcPr>
          <w:p w14:paraId="490E2F5B" w14:textId="77777777" w:rsidR="00A61DF3" w:rsidRPr="003B27CD" w:rsidRDefault="00A61DF3" w:rsidP="00440524">
            <w:pPr>
              <w:rPr>
                <w:rFonts w:ascii="Arial" w:hAnsi="Arial" w:cs="Arial"/>
                <w:color w:val="000000"/>
              </w:rPr>
            </w:pPr>
            <w:r w:rsidRPr="003B27CD">
              <w:rPr>
                <w:rFonts w:ascii="Arial" w:hAnsi="Arial" w:cs="Arial"/>
                <w:color w:val="000000"/>
              </w:rPr>
              <w:t>No</w:t>
            </w:r>
          </w:p>
        </w:tc>
        <w:tc>
          <w:tcPr>
            <w:tcW w:w="3485" w:type="dxa"/>
            <w:tcBorders>
              <w:top w:val="single" w:sz="4" w:space="0" w:color="auto"/>
              <w:left w:val="nil"/>
              <w:bottom w:val="single" w:sz="4" w:space="0" w:color="auto"/>
              <w:right w:val="nil"/>
            </w:tcBorders>
            <w:noWrap/>
            <w:vAlign w:val="center"/>
            <w:hideMark/>
          </w:tcPr>
          <w:p w14:paraId="403B91EC" w14:textId="77777777" w:rsidR="00A61DF3" w:rsidRPr="003B27CD" w:rsidRDefault="0007053B" w:rsidP="00440524">
            <w:pPr>
              <w:rPr>
                <w:rFonts w:ascii="Arial" w:hAnsi="Arial" w:cs="Arial"/>
                <w:color w:val="000000"/>
              </w:rPr>
            </w:pPr>
            <w:r w:rsidRPr="003B27CD">
              <w:rPr>
                <w:rFonts w:ascii="Arial" w:hAnsi="Arial" w:cs="Arial"/>
                <w:color w:val="000000"/>
              </w:rPr>
              <w:t>Observation variables</w:t>
            </w:r>
          </w:p>
        </w:tc>
        <w:tc>
          <w:tcPr>
            <w:tcW w:w="1325" w:type="dxa"/>
            <w:tcBorders>
              <w:top w:val="single" w:sz="4" w:space="0" w:color="auto"/>
              <w:left w:val="nil"/>
              <w:bottom w:val="single" w:sz="4" w:space="0" w:color="auto"/>
              <w:right w:val="nil"/>
            </w:tcBorders>
            <w:noWrap/>
            <w:vAlign w:val="center"/>
            <w:hideMark/>
          </w:tcPr>
          <w:p w14:paraId="4859D8BC" w14:textId="77777777" w:rsidR="00A61DF3" w:rsidRPr="003B27CD" w:rsidRDefault="0007053B" w:rsidP="00440524">
            <w:pPr>
              <w:rPr>
                <w:rFonts w:ascii="Arial" w:hAnsi="Arial" w:cs="Arial"/>
                <w:color w:val="000000"/>
              </w:rPr>
            </w:pPr>
            <w:r w:rsidRPr="003B27CD">
              <w:rPr>
                <w:rFonts w:ascii="Arial" w:hAnsi="Arial" w:cs="Arial"/>
                <w:color w:val="000000"/>
              </w:rPr>
              <w:t>Treatment</w:t>
            </w:r>
          </w:p>
        </w:tc>
        <w:tc>
          <w:tcPr>
            <w:tcW w:w="802" w:type="dxa"/>
            <w:tcBorders>
              <w:top w:val="single" w:sz="4" w:space="0" w:color="auto"/>
              <w:left w:val="nil"/>
              <w:bottom w:val="single" w:sz="4" w:space="0" w:color="auto"/>
              <w:right w:val="nil"/>
            </w:tcBorders>
            <w:noWrap/>
            <w:vAlign w:val="center"/>
            <w:hideMark/>
          </w:tcPr>
          <w:p w14:paraId="39DC8182" w14:textId="77777777" w:rsidR="00A61DF3" w:rsidRPr="003B27CD" w:rsidRDefault="00A61DF3" w:rsidP="00440524">
            <w:pPr>
              <w:rPr>
                <w:rFonts w:ascii="Arial" w:hAnsi="Arial" w:cs="Arial"/>
                <w:color w:val="000000"/>
              </w:rPr>
            </w:pPr>
            <w:commentRangeStart w:id="30"/>
            <w:r w:rsidRPr="003B27CD">
              <w:rPr>
                <w:rFonts w:ascii="Arial" w:hAnsi="Arial" w:cs="Arial"/>
                <w:color w:val="000000"/>
              </w:rPr>
              <w:t>KK</w:t>
            </w:r>
            <w:commentRangeEnd w:id="30"/>
            <w:r w:rsidR="00480F92">
              <w:rPr>
                <w:rStyle w:val="CommentReference"/>
                <w:rFonts w:ascii="Times New Roman" w:hAnsi="Times New Roman"/>
                <w:lang w:val="nb-NO" w:eastAsia="nb-NO"/>
              </w:rPr>
              <w:commentReference w:id="30"/>
            </w:r>
            <w:r w:rsidRPr="003B27CD">
              <w:rPr>
                <w:rFonts w:ascii="Arial" w:hAnsi="Arial" w:cs="Arial"/>
                <w:color w:val="000000"/>
              </w:rPr>
              <w:t>%</w:t>
            </w:r>
          </w:p>
        </w:tc>
        <w:tc>
          <w:tcPr>
            <w:tcW w:w="1275" w:type="dxa"/>
            <w:tcBorders>
              <w:top w:val="single" w:sz="4" w:space="0" w:color="auto"/>
              <w:left w:val="nil"/>
              <w:bottom w:val="single" w:sz="4" w:space="0" w:color="auto"/>
              <w:right w:val="nil"/>
            </w:tcBorders>
            <w:vAlign w:val="center"/>
          </w:tcPr>
          <w:p w14:paraId="5B613091" w14:textId="77777777" w:rsidR="00A61DF3" w:rsidRPr="003B27CD" w:rsidRDefault="00A61DF3" w:rsidP="00440524">
            <w:pPr>
              <w:rPr>
                <w:rFonts w:ascii="Arial" w:hAnsi="Arial" w:cs="Arial"/>
                <w:color w:val="000000"/>
              </w:rPr>
            </w:pPr>
            <w:r w:rsidRPr="003B27CD">
              <w:rPr>
                <w:rFonts w:ascii="Arial" w:hAnsi="Arial" w:cs="Arial"/>
                <w:color w:val="000000"/>
              </w:rPr>
              <w:t xml:space="preserve"> P-Value </w:t>
            </w:r>
          </w:p>
        </w:tc>
      </w:tr>
      <w:tr w:rsidR="00A76B61" w:rsidRPr="003B27CD" w14:paraId="3BA30557" w14:textId="77777777" w:rsidTr="00440524">
        <w:trPr>
          <w:trHeight w:val="56"/>
        </w:trPr>
        <w:tc>
          <w:tcPr>
            <w:tcW w:w="572" w:type="dxa"/>
            <w:tcBorders>
              <w:top w:val="nil"/>
              <w:left w:val="nil"/>
              <w:bottom w:val="nil"/>
              <w:right w:val="nil"/>
            </w:tcBorders>
            <w:noWrap/>
            <w:vAlign w:val="center"/>
            <w:hideMark/>
          </w:tcPr>
          <w:p w14:paraId="694A2368" w14:textId="77777777" w:rsidR="00A76B61" w:rsidRPr="003B27CD" w:rsidRDefault="00A76B61" w:rsidP="00440524">
            <w:pPr>
              <w:rPr>
                <w:rFonts w:ascii="Arial" w:hAnsi="Arial" w:cs="Arial"/>
                <w:color w:val="000000"/>
              </w:rPr>
            </w:pPr>
            <w:r w:rsidRPr="003B27CD">
              <w:rPr>
                <w:rFonts w:ascii="Arial" w:hAnsi="Arial" w:cs="Arial"/>
                <w:color w:val="000000"/>
              </w:rPr>
              <w:t>1</w:t>
            </w:r>
          </w:p>
        </w:tc>
        <w:tc>
          <w:tcPr>
            <w:tcW w:w="3485" w:type="dxa"/>
            <w:tcBorders>
              <w:top w:val="nil"/>
              <w:left w:val="nil"/>
              <w:bottom w:val="nil"/>
              <w:right w:val="nil"/>
            </w:tcBorders>
            <w:noWrap/>
            <w:vAlign w:val="center"/>
            <w:hideMark/>
          </w:tcPr>
          <w:p w14:paraId="5C3D39E0" w14:textId="77777777" w:rsidR="00A76B61" w:rsidRPr="003B27CD" w:rsidRDefault="00A76B61">
            <w:pPr>
              <w:pStyle w:val="NormalWeb"/>
              <w:spacing w:before="0" w:beforeAutospacing="0" w:after="0" w:afterAutospacing="0"/>
              <w:rPr>
                <w:rFonts w:ascii="Arial" w:hAnsi="Arial" w:cs="Arial"/>
                <w:sz w:val="20"/>
                <w:szCs w:val="20"/>
              </w:rPr>
            </w:pPr>
            <w:r w:rsidRPr="003B27CD">
              <w:rPr>
                <w:rFonts w:ascii="Arial" w:hAnsi="Arial" w:cs="Arial"/>
                <w:color w:val="000000" w:themeColor="text1"/>
                <w:kern w:val="24"/>
                <w:sz w:val="20"/>
                <w:szCs w:val="20"/>
              </w:rPr>
              <w:t>Height of header 7 WAP</w:t>
            </w:r>
          </w:p>
        </w:tc>
        <w:tc>
          <w:tcPr>
            <w:tcW w:w="1325" w:type="dxa"/>
            <w:tcBorders>
              <w:top w:val="nil"/>
              <w:left w:val="nil"/>
              <w:bottom w:val="nil"/>
              <w:right w:val="nil"/>
            </w:tcBorders>
            <w:noWrap/>
            <w:vAlign w:val="center"/>
            <w:hideMark/>
          </w:tcPr>
          <w:p w14:paraId="33E23233" w14:textId="77777777" w:rsidR="00A76B61" w:rsidRPr="003B27CD" w:rsidRDefault="00A76B61" w:rsidP="00440524">
            <w:pPr>
              <w:rPr>
                <w:rFonts w:ascii="Arial" w:hAnsi="Arial" w:cs="Arial"/>
                <w:color w:val="000000"/>
              </w:rPr>
            </w:pPr>
            <w:r w:rsidRPr="003B27CD">
              <w:rPr>
                <w:rFonts w:ascii="Arial" w:hAnsi="Arial" w:cs="Arial"/>
                <w:color w:val="000000"/>
              </w:rPr>
              <w:t>7.93 **</w:t>
            </w:r>
          </w:p>
        </w:tc>
        <w:tc>
          <w:tcPr>
            <w:tcW w:w="802" w:type="dxa"/>
            <w:tcBorders>
              <w:top w:val="nil"/>
              <w:left w:val="nil"/>
              <w:bottom w:val="nil"/>
              <w:right w:val="nil"/>
            </w:tcBorders>
            <w:noWrap/>
            <w:vAlign w:val="center"/>
            <w:hideMark/>
          </w:tcPr>
          <w:p w14:paraId="07AC909E" w14:textId="77777777" w:rsidR="00A76B61" w:rsidRPr="003B27CD" w:rsidRDefault="00A76B61" w:rsidP="00440524">
            <w:pPr>
              <w:rPr>
                <w:rFonts w:ascii="Arial" w:hAnsi="Arial" w:cs="Arial"/>
                <w:color w:val="000000"/>
              </w:rPr>
            </w:pPr>
            <w:r w:rsidRPr="003B27CD">
              <w:rPr>
                <w:rFonts w:ascii="Arial" w:hAnsi="Arial" w:cs="Arial"/>
                <w:color w:val="000000"/>
              </w:rPr>
              <w:t>9.56</w:t>
            </w:r>
          </w:p>
        </w:tc>
        <w:tc>
          <w:tcPr>
            <w:tcW w:w="1275" w:type="dxa"/>
            <w:tcBorders>
              <w:top w:val="nil"/>
              <w:left w:val="nil"/>
              <w:bottom w:val="nil"/>
              <w:right w:val="nil"/>
            </w:tcBorders>
            <w:vAlign w:val="center"/>
          </w:tcPr>
          <w:p w14:paraId="0234B8D2" w14:textId="77777777" w:rsidR="00A76B61" w:rsidRPr="003B27CD" w:rsidRDefault="00A76B61" w:rsidP="00440524">
            <w:pPr>
              <w:rPr>
                <w:rFonts w:ascii="Arial" w:hAnsi="Arial" w:cs="Arial"/>
                <w:color w:val="000000"/>
              </w:rPr>
            </w:pPr>
            <w:r w:rsidRPr="003B27CD">
              <w:rPr>
                <w:rFonts w:ascii="Arial" w:hAnsi="Arial" w:cs="Arial"/>
                <w:color w:val="000000"/>
              </w:rPr>
              <w:t>0.04</w:t>
            </w:r>
          </w:p>
        </w:tc>
      </w:tr>
      <w:tr w:rsidR="00A76B61" w:rsidRPr="003B27CD" w14:paraId="25840031" w14:textId="77777777" w:rsidTr="00440524">
        <w:trPr>
          <w:trHeight w:val="135"/>
        </w:trPr>
        <w:tc>
          <w:tcPr>
            <w:tcW w:w="572" w:type="dxa"/>
            <w:tcBorders>
              <w:top w:val="nil"/>
              <w:left w:val="nil"/>
              <w:bottom w:val="nil"/>
              <w:right w:val="nil"/>
            </w:tcBorders>
            <w:noWrap/>
            <w:vAlign w:val="center"/>
            <w:hideMark/>
          </w:tcPr>
          <w:p w14:paraId="7810A529" w14:textId="77777777" w:rsidR="00A76B61" w:rsidRPr="003B27CD" w:rsidRDefault="00A76B61" w:rsidP="00440524">
            <w:pPr>
              <w:rPr>
                <w:rFonts w:ascii="Arial" w:hAnsi="Arial" w:cs="Arial"/>
                <w:color w:val="000000"/>
              </w:rPr>
            </w:pPr>
            <w:r w:rsidRPr="003B27CD">
              <w:rPr>
                <w:rFonts w:ascii="Arial" w:hAnsi="Arial" w:cs="Arial"/>
                <w:color w:val="000000"/>
              </w:rPr>
              <w:t>2</w:t>
            </w:r>
          </w:p>
        </w:tc>
        <w:tc>
          <w:tcPr>
            <w:tcW w:w="3485" w:type="dxa"/>
            <w:tcBorders>
              <w:top w:val="nil"/>
              <w:left w:val="nil"/>
              <w:bottom w:val="nil"/>
              <w:right w:val="nil"/>
            </w:tcBorders>
            <w:noWrap/>
            <w:vAlign w:val="center"/>
            <w:hideMark/>
          </w:tcPr>
          <w:p w14:paraId="319CFC79" w14:textId="77777777" w:rsidR="00A76B61" w:rsidRPr="003B27CD" w:rsidRDefault="00A76B61">
            <w:pPr>
              <w:pStyle w:val="NormalWeb"/>
              <w:spacing w:before="0" w:beforeAutospacing="0" w:after="0" w:afterAutospacing="0" w:line="135" w:lineRule="atLeast"/>
              <w:rPr>
                <w:rFonts w:ascii="Arial" w:hAnsi="Arial" w:cs="Arial"/>
                <w:sz w:val="20"/>
                <w:szCs w:val="20"/>
              </w:rPr>
            </w:pPr>
            <w:r w:rsidRPr="003B27CD">
              <w:rPr>
                <w:rFonts w:ascii="Arial" w:hAnsi="Arial" w:cs="Arial"/>
                <w:color w:val="000000" w:themeColor="text1"/>
                <w:kern w:val="24"/>
                <w:sz w:val="20"/>
                <w:szCs w:val="20"/>
              </w:rPr>
              <w:t>Number of leaves per clump</w:t>
            </w:r>
          </w:p>
        </w:tc>
        <w:tc>
          <w:tcPr>
            <w:tcW w:w="1325" w:type="dxa"/>
            <w:tcBorders>
              <w:top w:val="nil"/>
              <w:left w:val="nil"/>
              <w:bottom w:val="nil"/>
              <w:right w:val="nil"/>
            </w:tcBorders>
            <w:noWrap/>
            <w:vAlign w:val="center"/>
            <w:hideMark/>
          </w:tcPr>
          <w:p w14:paraId="6E8E7B0E" w14:textId="77777777" w:rsidR="00A76B61" w:rsidRPr="003B27CD" w:rsidRDefault="00A76B61" w:rsidP="00440524">
            <w:pPr>
              <w:rPr>
                <w:rFonts w:ascii="Arial" w:hAnsi="Arial" w:cs="Arial"/>
                <w:color w:val="000000"/>
              </w:rPr>
            </w:pPr>
            <w:r w:rsidRPr="003B27CD">
              <w:rPr>
                <w:rFonts w:ascii="Arial" w:hAnsi="Arial" w:cs="Arial"/>
                <w:color w:val="000000"/>
              </w:rPr>
              <w:t>17.54 **</w:t>
            </w:r>
          </w:p>
        </w:tc>
        <w:tc>
          <w:tcPr>
            <w:tcW w:w="802" w:type="dxa"/>
            <w:tcBorders>
              <w:top w:val="nil"/>
              <w:left w:val="nil"/>
              <w:bottom w:val="nil"/>
              <w:right w:val="nil"/>
            </w:tcBorders>
            <w:noWrap/>
            <w:vAlign w:val="center"/>
            <w:hideMark/>
          </w:tcPr>
          <w:p w14:paraId="6B13C4C4" w14:textId="77777777" w:rsidR="00A76B61" w:rsidRPr="003B27CD" w:rsidRDefault="00A76B61" w:rsidP="00440524">
            <w:pPr>
              <w:rPr>
                <w:rFonts w:ascii="Arial" w:hAnsi="Arial" w:cs="Arial"/>
                <w:color w:val="000000"/>
              </w:rPr>
            </w:pPr>
            <w:r w:rsidRPr="003B27CD">
              <w:rPr>
                <w:rFonts w:ascii="Arial" w:hAnsi="Arial" w:cs="Arial"/>
                <w:color w:val="000000"/>
              </w:rPr>
              <w:t>9.57</w:t>
            </w:r>
          </w:p>
        </w:tc>
        <w:tc>
          <w:tcPr>
            <w:tcW w:w="1275" w:type="dxa"/>
            <w:tcBorders>
              <w:top w:val="nil"/>
              <w:left w:val="nil"/>
              <w:bottom w:val="nil"/>
              <w:right w:val="nil"/>
            </w:tcBorders>
            <w:vAlign w:val="center"/>
          </w:tcPr>
          <w:p w14:paraId="707076A1" w14:textId="77777777" w:rsidR="00A76B61" w:rsidRPr="003B27CD" w:rsidRDefault="00A76B61" w:rsidP="00440524">
            <w:pPr>
              <w:rPr>
                <w:rFonts w:ascii="Arial" w:hAnsi="Arial" w:cs="Arial"/>
                <w:color w:val="000000"/>
              </w:rPr>
            </w:pPr>
            <w:r w:rsidRPr="003B27CD">
              <w:rPr>
                <w:rFonts w:ascii="Arial" w:hAnsi="Arial" w:cs="Arial"/>
                <w:color w:val="000000"/>
              </w:rPr>
              <w:t>0.01</w:t>
            </w:r>
          </w:p>
        </w:tc>
      </w:tr>
      <w:tr w:rsidR="00A76B61" w:rsidRPr="003B27CD" w14:paraId="58A0FD86" w14:textId="77777777" w:rsidTr="00440524">
        <w:trPr>
          <w:trHeight w:val="66"/>
        </w:trPr>
        <w:tc>
          <w:tcPr>
            <w:tcW w:w="572" w:type="dxa"/>
            <w:tcBorders>
              <w:top w:val="nil"/>
              <w:left w:val="nil"/>
              <w:bottom w:val="nil"/>
              <w:right w:val="nil"/>
            </w:tcBorders>
            <w:noWrap/>
            <w:vAlign w:val="center"/>
            <w:hideMark/>
          </w:tcPr>
          <w:p w14:paraId="54081B76" w14:textId="77777777" w:rsidR="00A76B61" w:rsidRPr="003B27CD" w:rsidRDefault="00A76B61" w:rsidP="00440524">
            <w:pPr>
              <w:rPr>
                <w:rFonts w:ascii="Arial" w:hAnsi="Arial" w:cs="Arial"/>
                <w:color w:val="000000"/>
              </w:rPr>
            </w:pPr>
            <w:r w:rsidRPr="003B27CD">
              <w:rPr>
                <w:rFonts w:ascii="Arial" w:hAnsi="Arial" w:cs="Arial"/>
                <w:color w:val="000000"/>
              </w:rPr>
              <w:t>3</w:t>
            </w:r>
          </w:p>
        </w:tc>
        <w:tc>
          <w:tcPr>
            <w:tcW w:w="3485" w:type="dxa"/>
            <w:tcBorders>
              <w:top w:val="nil"/>
              <w:left w:val="nil"/>
              <w:bottom w:val="nil"/>
              <w:right w:val="nil"/>
            </w:tcBorders>
            <w:noWrap/>
            <w:vAlign w:val="center"/>
            <w:hideMark/>
          </w:tcPr>
          <w:p w14:paraId="56125888" w14:textId="77777777" w:rsidR="00A76B61" w:rsidRPr="003B27CD" w:rsidRDefault="00A76B61">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 xml:space="preserve">Number of seedlings per clump </w:t>
            </w:r>
          </w:p>
        </w:tc>
        <w:tc>
          <w:tcPr>
            <w:tcW w:w="1325" w:type="dxa"/>
            <w:tcBorders>
              <w:top w:val="nil"/>
              <w:left w:val="nil"/>
              <w:bottom w:val="nil"/>
              <w:right w:val="nil"/>
            </w:tcBorders>
            <w:noWrap/>
            <w:vAlign w:val="center"/>
            <w:hideMark/>
          </w:tcPr>
          <w:p w14:paraId="18DB2B02" w14:textId="77777777" w:rsidR="00A76B61" w:rsidRPr="003B27CD" w:rsidRDefault="00A76B61" w:rsidP="00440524">
            <w:pPr>
              <w:rPr>
                <w:rFonts w:ascii="Arial" w:hAnsi="Arial" w:cs="Arial"/>
                <w:color w:val="000000"/>
              </w:rPr>
            </w:pPr>
            <w:r w:rsidRPr="003B27CD">
              <w:rPr>
                <w:rFonts w:ascii="Arial" w:hAnsi="Arial" w:cs="Arial"/>
                <w:color w:val="000000"/>
              </w:rPr>
              <w:t>9.73 **</w:t>
            </w:r>
          </w:p>
        </w:tc>
        <w:tc>
          <w:tcPr>
            <w:tcW w:w="802" w:type="dxa"/>
            <w:tcBorders>
              <w:top w:val="nil"/>
              <w:left w:val="nil"/>
              <w:bottom w:val="nil"/>
              <w:right w:val="nil"/>
            </w:tcBorders>
            <w:noWrap/>
            <w:vAlign w:val="center"/>
            <w:hideMark/>
          </w:tcPr>
          <w:p w14:paraId="2B0D97C9" w14:textId="77777777" w:rsidR="00A76B61" w:rsidRPr="003B27CD" w:rsidRDefault="00A76B61" w:rsidP="00440524">
            <w:pPr>
              <w:rPr>
                <w:rFonts w:ascii="Arial" w:hAnsi="Arial" w:cs="Arial"/>
                <w:color w:val="000000"/>
              </w:rPr>
            </w:pPr>
            <w:r w:rsidRPr="003B27CD">
              <w:rPr>
                <w:rFonts w:ascii="Arial" w:hAnsi="Arial" w:cs="Arial"/>
                <w:color w:val="000000"/>
              </w:rPr>
              <w:t>12.03</w:t>
            </w:r>
          </w:p>
        </w:tc>
        <w:tc>
          <w:tcPr>
            <w:tcW w:w="1275" w:type="dxa"/>
            <w:tcBorders>
              <w:top w:val="nil"/>
              <w:left w:val="nil"/>
              <w:bottom w:val="nil"/>
              <w:right w:val="nil"/>
            </w:tcBorders>
            <w:vAlign w:val="center"/>
          </w:tcPr>
          <w:p w14:paraId="4384CC5E" w14:textId="77777777" w:rsidR="00A76B61" w:rsidRPr="003B27CD" w:rsidRDefault="00A76B61" w:rsidP="00440524">
            <w:pPr>
              <w:rPr>
                <w:rFonts w:ascii="Arial" w:hAnsi="Arial" w:cs="Arial"/>
                <w:color w:val="000000"/>
              </w:rPr>
            </w:pPr>
            <w:r w:rsidRPr="003B27CD">
              <w:rPr>
                <w:rFonts w:ascii="Arial" w:hAnsi="Arial" w:cs="Arial"/>
                <w:color w:val="000000"/>
              </w:rPr>
              <w:t>0.0002</w:t>
            </w:r>
          </w:p>
        </w:tc>
      </w:tr>
      <w:tr w:rsidR="00A76B61" w:rsidRPr="003B27CD" w14:paraId="3916E638" w14:textId="77777777" w:rsidTr="00440524">
        <w:trPr>
          <w:trHeight w:val="66"/>
        </w:trPr>
        <w:tc>
          <w:tcPr>
            <w:tcW w:w="572" w:type="dxa"/>
            <w:tcBorders>
              <w:top w:val="nil"/>
              <w:left w:val="nil"/>
              <w:bottom w:val="nil"/>
              <w:right w:val="nil"/>
            </w:tcBorders>
            <w:noWrap/>
            <w:vAlign w:val="center"/>
            <w:hideMark/>
          </w:tcPr>
          <w:p w14:paraId="332AF38B" w14:textId="77777777" w:rsidR="00A76B61" w:rsidRPr="003B27CD" w:rsidRDefault="00A76B61" w:rsidP="00440524">
            <w:pPr>
              <w:rPr>
                <w:rFonts w:ascii="Arial" w:hAnsi="Arial" w:cs="Arial"/>
                <w:color w:val="000000"/>
              </w:rPr>
            </w:pPr>
            <w:r w:rsidRPr="003B27CD">
              <w:rPr>
                <w:rFonts w:ascii="Arial" w:hAnsi="Arial" w:cs="Arial"/>
                <w:color w:val="000000"/>
              </w:rPr>
              <w:t>4</w:t>
            </w:r>
          </w:p>
        </w:tc>
        <w:tc>
          <w:tcPr>
            <w:tcW w:w="3485" w:type="dxa"/>
            <w:tcBorders>
              <w:top w:val="nil"/>
              <w:left w:val="nil"/>
              <w:bottom w:val="nil"/>
              <w:right w:val="nil"/>
            </w:tcBorders>
            <w:noWrap/>
            <w:vAlign w:val="center"/>
            <w:hideMark/>
          </w:tcPr>
          <w:p w14:paraId="11CDEAA0" w14:textId="77777777" w:rsidR="00A76B61" w:rsidRPr="003B27CD" w:rsidRDefault="00A76B61">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 xml:space="preserve">Average tuber diameter </w:t>
            </w:r>
          </w:p>
        </w:tc>
        <w:tc>
          <w:tcPr>
            <w:tcW w:w="1325" w:type="dxa"/>
            <w:tcBorders>
              <w:top w:val="nil"/>
              <w:left w:val="nil"/>
              <w:bottom w:val="nil"/>
              <w:right w:val="nil"/>
            </w:tcBorders>
            <w:noWrap/>
            <w:vAlign w:val="center"/>
            <w:hideMark/>
          </w:tcPr>
          <w:p w14:paraId="23AEA869" w14:textId="77777777" w:rsidR="00A76B61" w:rsidRPr="003B27CD" w:rsidRDefault="00A76B61" w:rsidP="00440524">
            <w:pPr>
              <w:rPr>
                <w:rFonts w:ascii="Arial" w:hAnsi="Arial" w:cs="Arial"/>
                <w:color w:val="000000"/>
              </w:rPr>
            </w:pPr>
            <w:r w:rsidRPr="003B27CD">
              <w:rPr>
                <w:rFonts w:ascii="Arial" w:hAnsi="Arial" w:cs="Arial"/>
                <w:color w:val="000000"/>
              </w:rPr>
              <w:t>321.86 **</w:t>
            </w:r>
          </w:p>
        </w:tc>
        <w:tc>
          <w:tcPr>
            <w:tcW w:w="802" w:type="dxa"/>
            <w:tcBorders>
              <w:top w:val="nil"/>
              <w:left w:val="nil"/>
              <w:bottom w:val="nil"/>
              <w:right w:val="nil"/>
            </w:tcBorders>
            <w:noWrap/>
            <w:vAlign w:val="center"/>
            <w:hideMark/>
          </w:tcPr>
          <w:p w14:paraId="7E7F8507" w14:textId="77777777" w:rsidR="00A76B61" w:rsidRPr="003B27CD" w:rsidRDefault="00A76B61" w:rsidP="00440524">
            <w:pPr>
              <w:rPr>
                <w:rFonts w:ascii="Arial" w:hAnsi="Arial" w:cs="Arial"/>
                <w:color w:val="000000"/>
              </w:rPr>
            </w:pPr>
            <w:r w:rsidRPr="003B27CD">
              <w:rPr>
                <w:rFonts w:ascii="Arial" w:hAnsi="Arial" w:cs="Arial"/>
                <w:color w:val="000000"/>
              </w:rPr>
              <w:t>2.9</w:t>
            </w:r>
          </w:p>
        </w:tc>
        <w:tc>
          <w:tcPr>
            <w:tcW w:w="1275" w:type="dxa"/>
            <w:tcBorders>
              <w:top w:val="nil"/>
              <w:left w:val="nil"/>
              <w:bottom w:val="nil"/>
              <w:right w:val="nil"/>
            </w:tcBorders>
            <w:vAlign w:val="center"/>
          </w:tcPr>
          <w:p w14:paraId="7D1F6948" w14:textId="77777777" w:rsidR="00A76B61" w:rsidRPr="003B27CD" w:rsidRDefault="00A76B61" w:rsidP="00440524">
            <w:pPr>
              <w:rPr>
                <w:rFonts w:ascii="Arial" w:hAnsi="Arial" w:cs="Arial"/>
                <w:color w:val="000000"/>
              </w:rPr>
            </w:pPr>
            <w:r w:rsidRPr="003B27CD">
              <w:rPr>
                <w:rFonts w:ascii="Arial" w:hAnsi="Arial" w:cs="Arial"/>
                <w:color w:val="000000"/>
              </w:rPr>
              <w:t>0.001</w:t>
            </w:r>
          </w:p>
        </w:tc>
      </w:tr>
      <w:tr w:rsidR="00A76B61" w:rsidRPr="003B27CD" w14:paraId="1B204230" w14:textId="77777777" w:rsidTr="00440524">
        <w:trPr>
          <w:trHeight w:val="195"/>
        </w:trPr>
        <w:tc>
          <w:tcPr>
            <w:tcW w:w="572" w:type="dxa"/>
            <w:tcBorders>
              <w:top w:val="nil"/>
              <w:left w:val="nil"/>
              <w:bottom w:val="nil"/>
              <w:right w:val="nil"/>
            </w:tcBorders>
            <w:noWrap/>
            <w:vAlign w:val="center"/>
            <w:hideMark/>
          </w:tcPr>
          <w:p w14:paraId="3E8ABDF2" w14:textId="77777777" w:rsidR="00A76B61" w:rsidRPr="003B27CD" w:rsidRDefault="00A76B61" w:rsidP="00440524">
            <w:pPr>
              <w:rPr>
                <w:rFonts w:ascii="Arial" w:hAnsi="Arial" w:cs="Arial"/>
                <w:color w:val="000000"/>
              </w:rPr>
            </w:pPr>
            <w:r w:rsidRPr="003B27CD">
              <w:rPr>
                <w:rFonts w:ascii="Arial" w:hAnsi="Arial" w:cs="Arial"/>
                <w:color w:val="000000"/>
              </w:rPr>
              <w:t>5</w:t>
            </w:r>
          </w:p>
        </w:tc>
        <w:tc>
          <w:tcPr>
            <w:tcW w:w="3485" w:type="dxa"/>
            <w:tcBorders>
              <w:top w:val="nil"/>
              <w:left w:val="nil"/>
              <w:bottom w:val="nil"/>
              <w:right w:val="nil"/>
            </w:tcBorders>
            <w:noWrap/>
            <w:vAlign w:val="center"/>
            <w:hideMark/>
          </w:tcPr>
          <w:p w14:paraId="6BA5D151"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Largest tuber diameter </w:t>
            </w:r>
          </w:p>
        </w:tc>
        <w:tc>
          <w:tcPr>
            <w:tcW w:w="1325" w:type="dxa"/>
            <w:tcBorders>
              <w:top w:val="nil"/>
              <w:left w:val="nil"/>
              <w:bottom w:val="nil"/>
              <w:right w:val="nil"/>
            </w:tcBorders>
            <w:noWrap/>
            <w:vAlign w:val="center"/>
            <w:hideMark/>
          </w:tcPr>
          <w:p w14:paraId="535BF98D" w14:textId="77777777" w:rsidR="00A76B61" w:rsidRPr="003B27CD" w:rsidRDefault="00A76B61" w:rsidP="00440524">
            <w:pPr>
              <w:rPr>
                <w:rFonts w:ascii="Arial" w:hAnsi="Arial" w:cs="Arial"/>
                <w:color w:val="000000"/>
              </w:rPr>
            </w:pPr>
            <w:r w:rsidRPr="003B27CD">
              <w:rPr>
                <w:rFonts w:ascii="Arial" w:hAnsi="Arial" w:cs="Arial"/>
                <w:color w:val="000000"/>
              </w:rPr>
              <w:t>135.42 **</w:t>
            </w:r>
          </w:p>
        </w:tc>
        <w:tc>
          <w:tcPr>
            <w:tcW w:w="802" w:type="dxa"/>
            <w:tcBorders>
              <w:top w:val="nil"/>
              <w:left w:val="nil"/>
              <w:bottom w:val="nil"/>
              <w:right w:val="nil"/>
            </w:tcBorders>
            <w:noWrap/>
            <w:vAlign w:val="center"/>
            <w:hideMark/>
          </w:tcPr>
          <w:p w14:paraId="0A816A12" w14:textId="77777777" w:rsidR="00A76B61" w:rsidRPr="003B27CD" w:rsidRDefault="00A76B61" w:rsidP="00440524">
            <w:pPr>
              <w:rPr>
                <w:rFonts w:ascii="Arial" w:hAnsi="Arial" w:cs="Arial"/>
                <w:color w:val="000000"/>
              </w:rPr>
            </w:pPr>
            <w:r w:rsidRPr="003B27CD">
              <w:rPr>
                <w:rFonts w:ascii="Arial" w:hAnsi="Arial" w:cs="Arial"/>
                <w:color w:val="000000"/>
              </w:rPr>
              <w:t>4.72</w:t>
            </w:r>
          </w:p>
        </w:tc>
        <w:tc>
          <w:tcPr>
            <w:tcW w:w="1275" w:type="dxa"/>
            <w:tcBorders>
              <w:top w:val="nil"/>
              <w:left w:val="nil"/>
              <w:bottom w:val="nil"/>
              <w:right w:val="nil"/>
            </w:tcBorders>
            <w:vAlign w:val="center"/>
          </w:tcPr>
          <w:p w14:paraId="21CEF1D5" w14:textId="77777777" w:rsidR="00A76B61" w:rsidRPr="003B27CD" w:rsidRDefault="00A76B61" w:rsidP="00440524">
            <w:pPr>
              <w:rPr>
                <w:rFonts w:ascii="Arial" w:hAnsi="Arial" w:cs="Arial"/>
                <w:color w:val="000000"/>
              </w:rPr>
            </w:pPr>
            <w:r w:rsidRPr="003B27CD">
              <w:rPr>
                <w:rFonts w:ascii="Arial" w:hAnsi="Arial" w:cs="Arial"/>
                <w:color w:val="000000"/>
              </w:rPr>
              <w:t>0.0004</w:t>
            </w:r>
          </w:p>
        </w:tc>
      </w:tr>
      <w:tr w:rsidR="00A76B61" w:rsidRPr="003B27CD" w14:paraId="0887EEAA" w14:textId="77777777" w:rsidTr="00440524">
        <w:trPr>
          <w:trHeight w:val="66"/>
        </w:trPr>
        <w:tc>
          <w:tcPr>
            <w:tcW w:w="572" w:type="dxa"/>
            <w:tcBorders>
              <w:top w:val="nil"/>
              <w:left w:val="nil"/>
              <w:bottom w:val="nil"/>
              <w:right w:val="nil"/>
            </w:tcBorders>
            <w:noWrap/>
            <w:vAlign w:val="center"/>
            <w:hideMark/>
          </w:tcPr>
          <w:p w14:paraId="3F97DBB1" w14:textId="77777777" w:rsidR="00A76B61" w:rsidRPr="003B27CD" w:rsidRDefault="00A76B61" w:rsidP="00440524">
            <w:pPr>
              <w:rPr>
                <w:rFonts w:ascii="Arial" w:hAnsi="Arial" w:cs="Arial"/>
                <w:color w:val="000000"/>
              </w:rPr>
            </w:pPr>
            <w:r w:rsidRPr="003B27CD">
              <w:rPr>
                <w:rFonts w:ascii="Arial" w:hAnsi="Arial" w:cs="Arial"/>
                <w:color w:val="000000"/>
              </w:rPr>
              <w:t>6</w:t>
            </w:r>
          </w:p>
        </w:tc>
        <w:tc>
          <w:tcPr>
            <w:tcW w:w="3485" w:type="dxa"/>
            <w:tcBorders>
              <w:top w:val="nil"/>
              <w:left w:val="nil"/>
              <w:bottom w:val="nil"/>
              <w:right w:val="nil"/>
            </w:tcBorders>
            <w:noWrap/>
            <w:vAlign w:val="center"/>
            <w:hideMark/>
          </w:tcPr>
          <w:p w14:paraId="3FD3EE3E" w14:textId="77777777" w:rsidR="00A76B61" w:rsidRPr="003B27CD" w:rsidRDefault="00A76B61">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Number of tubers per clump</w:t>
            </w:r>
          </w:p>
        </w:tc>
        <w:tc>
          <w:tcPr>
            <w:tcW w:w="1325" w:type="dxa"/>
            <w:tcBorders>
              <w:top w:val="nil"/>
              <w:left w:val="nil"/>
              <w:bottom w:val="nil"/>
              <w:right w:val="nil"/>
            </w:tcBorders>
            <w:noWrap/>
            <w:vAlign w:val="center"/>
            <w:hideMark/>
          </w:tcPr>
          <w:p w14:paraId="40678B4D" w14:textId="77777777" w:rsidR="00A76B61" w:rsidRPr="003B27CD" w:rsidRDefault="00A76B61" w:rsidP="00440524">
            <w:pPr>
              <w:rPr>
                <w:rFonts w:ascii="Arial" w:hAnsi="Arial" w:cs="Arial"/>
                <w:color w:val="000000"/>
              </w:rPr>
            </w:pPr>
            <w:r w:rsidRPr="003B27CD">
              <w:rPr>
                <w:rFonts w:ascii="Arial" w:hAnsi="Arial" w:cs="Arial"/>
                <w:color w:val="000000"/>
              </w:rPr>
              <w:t>9.98 **</w:t>
            </w:r>
          </w:p>
        </w:tc>
        <w:tc>
          <w:tcPr>
            <w:tcW w:w="802" w:type="dxa"/>
            <w:tcBorders>
              <w:top w:val="nil"/>
              <w:left w:val="nil"/>
              <w:bottom w:val="nil"/>
              <w:right w:val="nil"/>
            </w:tcBorders>
            <w:noWrap/>
            <w:vAlign w:val="center"/>
            <w:hideMark/>
          </w:tcPr>
          <w:p w14:paraId="5F57ED73" w14:textId="77777777" w:rsidR="00A76B61" w:rsidRPr="003B27CD" w:rsidRDefault="00A76B61" w:rsidP="00440524">
            <w:pPr>
              <w:rPr>
                <w:rFonts w:ascii="Arial" w:hAnsi="Arial" w:cs="Arial"/>
                <w:color w:val="000000"/>
              </w:rPr>
            </w:pPr>
            <w:r w:rsidRPr="003B27CD">
              <w:rPr>
                <w:rFonts w:ascii="Arial" w:hAnsi="Arial" w:cs="Arial"/>
                <w:color w:val="000000"/>
              </w:rPr>
              <w:t>14.92</w:t>
            </w:r>
          </w:p>
        </w:tc>
        <w:tc>
          <w:tcPr>
            <w:tcW w:w="1275" w:type="dxa"/>
            <w:tcBorders>
              <w:top w:val="nil"/>
              <w:left w:val="nil"/>
              <w:bottom w:val="nil"/>
              <w:right w:val="nil"/>
            </w:tcBorders>
            <w:vAlign w:val="center"/>
          </w:tcPr>
          <w:p w14:paraId="4B3D44DF" w14:textId="77777777" w:rsidR="00A76B61" w:rsidRPr="003B27CD" w:rsidRDefault="00A76B61" w:rsidP="00440524">
            <w:pPr>
              <w:rPr>
                <w:rFonts w:ascii="Arial" w:hAnsi="Arial" w:cs="Arial"/>
                <w:color w:val="000000"/>
              </w:rPr>
            </w:pPr>
            <w:r w:rsidRPr="003B27CD">
              <w:rPr>
                <w:rFonts w:ascii="Arial" w:hAnsi="Arial" w:cs="Arial"/>
                <w:color w:val="000000"/>
              </w:rPr>
              <w:t>0.0001</w:t>
            </w:r>
          </w:p>
        </w:tc>
      </w:tr>
      <w:tr w:rsidR="00A76B61" w:rsidRPr="003B27CD" w14:paraId="19876088" w14:textId="77777777" w:rsidTr="00440524">
        <w:trPr>
          <w:trHeight w:val="195"/>
        </w:trPr>
        <w:tc>
          <w:tcPr>
            <w:tcW w:w="572" w:type="dxa"/>
            <w:tcBorders>
              <w:top w:val="nil"/>
              <w:left w:val="nil"/>
              <w:bottom w:val="nil"/>
              <w:right w:val="nil"/>
            </w:tcBorders>
            <w:noWrap/>
            <w:vAlign w:val="center"/>
            <w:hideMark/>
          </w:tcPr>
          <w:p w14:paraId="61DBA674" w14:textId="77777777" w:rsidR="00A76B61" w:rsidRPr="003B27CD" w:rsidRDefault="00A76B61" w:rsidP="00440524">
            <w:pPr>
              <w:rPr>
                <w:rFonts w:ascii="Arial" w:hAnsi="Arial" w:cs="Arial"/>
                <w:color w:val="000000"/>
              </w:rPr>
            </w:pPr>
            <w:r w:rsidRPr="003B27CD">
              <w:rPr>
                <w:rFonts w:ascii="Arial" w:hAnsi="Arial" w:cs="Arial"/>
                <w:color w:val="000000"/>
              </w:rPr>
              <w:t>7</w:t>
            </w:r>
          </w:p>
        </w:tc>
        <w:tc>
          <w:tcPr>
            <w:tcW w:w="3485" w:type="dxa"/>
            <w:tcBorders>
              <w:top w:val="nil"/>
              <w:left w:val="nil"/>
              <w:bottom w:val="nil"/>
              <w:right w:val="nil"/>
            </w:tcBorders>
            <w:noWrap/>
            <w:vAlign w:val="center"/>
            <w:hideMark/>
          </w:tcPr>
          <w:p w14:paraId="428DA0E8"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Wet weight of tubers per clump </w:t>
            </w:r>
          </w:p>
        </w:tc>
        <w:tc>
          <w:tcPr>
            <w:tcW w:w="1325" w:type="dxa"/>
            <w:tcBorders>
              <w:top w:val="nil"/>
              <w:left w:val="nil"/>
              <w:bottom w:val="nil"/>
              <w:right w:val="nil"/>
            </w:tcBorders>
            <w:noWrap/>
            <w:vAlign w:val="center"/>
            <w:hideMark/>
          </w:tcPr>
          <w:p w14:paraId="4E62CC48" w14:textId="77777777" w:rsidR="00A76B61" w:rsidRPr="003B27CD" w:rsidRDefault="00A76B61" w:rsidP="00440524">
            <w:pPr>
              <w:rPr>
                <w:rFonts w:ascii="Arial" w:hAnsi="Arial" w:cs="Arial"/>
                <w:color w:val="000000"/>
              </w:rPr>
            </w:pPr>
            <w:r w:rsidRPr="003B27CD">
              <w:rPr>
                <w:rFonts w:ascii="Arial" w:hAnsi="Arial" w:cs="Arial"/>
                <w:color w:val="000000"/>
              </w:rPr>
              <w:t>76.75 **</w:t>
            </w:r>
          </w:p>
        </w:tc>
        <w:tc>
          <w:tcPr>
            <w:tcW w:w="802" w:type="dxa"/>
            <w:tcBorders>
              <w:top w:val="nil"/>
              <w:left w:val="nil"/>
              <w:bottom w:val="nil"/>
              <w:right w:val="nil"/>
            </w:tcBorders>
            <w:noWrap/>
            <w:vAlign w:val="center"/>
            <w:hideMark/>
          </w:tcPr>
          <w:p w14:paraId="3F43C47E" w14:textId="77777777" w:rsidR="00A76B61" w:rsidRPr="003B27CD" w:rsidRDefault="00A76B61" w:rsidP="00440524">
            <w:pPr>
              <w:rPr>
                <w:rFonts w:ascii="Arial" w:hAnsi="Arial" w:cs="Arial"/>
                <w:color w:val="000000"/>
              </w:rPr>
            </w:pPr>
            <w:r w:rsidRPr="003B27CD">
              <w:rPr>
                <w:rFonts w:ascii="Arial" w:hAnsi="Arial" w:cs="Arial"/>
                <w:color w:val="000000"/>
              </w:rPr>
              <w:t>13.58</w:t>
            </w:r>
          </w:p>
        </w:tc>
        <w:tc>
          <w:tcPr>
            <w:tcW w:w="1275" w:type="dxa"/>
            <w:tcBorders>
              <w:top w:val="nil"/>
              <w:left w:val="nil"/>
              <w:bottom w:val="nil"/>
              <w:right w:val="nil"/>
            </w:tcBorders>
            <w:vAlign w:val="center"/>
          </w:tcPr>
          <w:p w14:paraId="25D5E38D" w14:textId="77777777" w:rsidR="00A76B61" w:rsidRPr="003B27CD" w:rsidRDefault="00A76B61" w:rsidP="00440524">
            <w:pPr>
              <w:rPr>
                <w:rFonts w:ascii="Arial" w:hAnsi="Arial" w:cs="Arial"/>
                <w:color w:val="000000"/>
              </w:rPr>
            </w:pPr>
            <w:r w:rsidRPr="003B27CD">
              <w:rPr>
                <w:rFonts w:ascii="Arial" w:hAnsi="Arial" w:cs="Arial"/>
                <w:color w:val="000000"/>
              </w:rPr>
              <w:t>0.002</w:t>
            </w:r>
          </w:p>
        </w:tc>
      </w:tr>
      <w:tr w:rsidR="00A76B61" w:rsidRPr="003B27CD" w14:paraId="29A541C3" w14:textId="77777777" w:rsidTr="00440524">
        <w:trPr>
          <w:trHeight w:val="69"/>
        </w:trPr>
        <w:tc>
          <w:tcPr>
            <w:tcW w:w="572" w:type="dxa"/>
            <w:tcBorders>
              <w:top w:val="nil"/>
              <w:left w:val="nil"/>
              <w:bottom w:val="nil"/>
              <w:right w:val="nil"/>
            </w:tcBorders>
            <w:noWrap/>
            <w:vAlign w:val="center"/>
            <w:hideMark/>
          </w:tcPr>
          <w:p w14:paraId="798EFFBE" w14:textId="77777777" w:rsidR="00A76B61" w:rsidRPr="003B27CD" w:rsidRDefault="00A76B61" w:rsidP="00440524">
            <w:pPr>
              <w:rPr>
                <w:rFonts w:ascii="Arial" w:hAnsi="Arial" w:cs="Arial"/>
                <w:color w:val="000000"/>
              </w:rPr>
            </w:pPr>
            <w:r w:rsidRPr="003B27CD">
              <w:rPr>
                <w:rFonts w:ascii="Arial" w:hAnsi="Arial" w:cs="Arial"/>
                <w:color w:val="000000"/>
              </w:rPr>
              <w:t>8</w:t>
            </w:r>
          </w:p>
        </w:tc>
        <w:tc>
          <w:tcPr>
            <w:tcW w:w="3485" w:type="dxa"/>
            <w:tcBorders>
              <w:top w:val="nil"/>
              <w:left w:val="nil"/>
              <w:bottom w:val="nil"/>
              <w:right w:val="nil"/>
            </w:tcBorders>
            <w:noWrap/>
            <w:vAlign w:val="center"/>
            <w:hideMark/>
          </w:tcPr>
          <w:p w14:paraId="7DF62105" w14:textId="77777777" w:rsidR="00A76B61" w:rsidRPr="003B27CD" w:rsidRDefault="00A76B61">
            <w:pPr>
              <w:pStyle w:val="NormalWeb"/>
              <w:spacing w:before="0" w:beforeAutospacing="0" w:after="0" w:afterAutospacing="0" w:line="69" w:lineRule="atLeast"/>
              <w:rPr>
                <w:rFonts w:ascii="Arial" w:hAnsi="Arial" w:cs="Arial"/>
                <w:sz w:val="20"/>
                <w:szCs w:val="20"/>
              </w:rPr>
            </w:pPr>
            <w:r w:rsidRPr="003B27CD">
              <w:rPr>
                <w:rFonts w:ascii="Arial" w:hAnsi="Arial" w:cs="Arial"/>
                <w:color w:val="000000" w:themeColor="text1"/>
                <w:kern w:val="24"/>
                <w:sz w:val="20"/>
                <w:szCs w:val="20"/>
              </w:rPr>
              <w:t xml:space="preserve">Dry weight of tubers per clump </w:t>
            </w:r>
          </w:p>
        </w:tc>
        <w:tc>
          <w:tcPr>
            <w:tcW w:w="1325" w:type="dxa"/>
            <w:tcBorders>
              <w:top w:val="nil"/>
              <w:left w:val="nil"/>
              <w:bottom w:val="nil"/>
              <w:right w:val="nil"/>
            </w:tcBorders>
            <w:noWrap/>
            <w:vAlign w:val="center"/>
            <w:hideMark/>
          </w:tcPr>
          <w:p w14:paraId="665DA68A" w14:textId="77777777" w:rsidR="00A76B61" w:rsidRPr="003B27CD" w:rsidRDefault="00A76B61" w:rsidP="00440524">
            <w:pPr>
              <w:rPr>
                <w:rFonts w:ascii="Arial" w:hAnsi="Arial" w:cs="Arial"/>
                <w:color w:val="000000"/>
              </w:rPr>
            </w:pPr>
            <w:r w:rsidRPr="003B27CD">
              <w:rPr>
                <w:rFonts w:ascii="Arial" w:hAnsi="Arial" w:cs="Arial"/>
                <w:color w:val="000000"/>
              </w:rPr>
              <w:t>100.28 **</w:t>
            </w:r>
          </w:p>
        </w:tc>
        <w:tc>
          <w:tcPr>
            <w:tcW w:w="802" w:type="dxa"/>
            <w:tcBorders>
              <w:top w:val="nil"/>
              <w:left w:val="nil"/>
              <w:bottom w:val="nil"/>
              <w:right w:val="nil"/>
            </w:tcBorders>
            <w:noWrap/>
            <w:vAlign w:val="center"/>
            <w:hideMark/>
          </w:tcPr>
          <w:p w14:paraId="31CAE15D" w14:textId="77777777" w:rsidR="00A76B61" w:rsidRPr="003B27CD" w:rsidRDefault="00A76B61" w:rsidP="00440524">
            <w:pPr>
              <w:rPr>
                <w:rFonts w:ascii="Arial" w:hAnsi="Arial" w:cs="Arial"/>
                <w:color w:val="000000"/>
              </w:rPr>
            </w:pPr>
            <w:r w:rsidRPr="003B27CD">
              <w:rPr>
                <w:rFonts w:ascii="Arial" w:hAnsi="Arial" w:cs="Arial"/>
                <w:color w:val="000000"/>
              </w:rPr>
              <w:t>12.16</w:t>
            </w:r>
          </w:p>
        </w:tc>
        <w:tc>
          <w:tcPr>
            <w:tcW w:w="1275" w:type="dxa"/>
            <w:tcBorders>
              <w:top w:val="nil"/>
              <w:left w:val="nil"/>
              <w:bottom w:val="nil"/>
              <w:right w:val="nil"/>
            </w:tcBorders>
            <w:vAlign w:val="center"/>
          </w:tcPr>
          <w:p w14:paraId="4F346F79" w14:textId="77777777" w:rsidR="00A76B61" w:rsidRPr="003B27CD" w:rsidRDefault="00A76B61" w:rsidP="00440524">
            <w:pPr>
              <w:rPr>
                <w:rFonts w:ascii="Arial" w:hAnsi="Arial" w:cs="Arial"/>
                <w:color w:val="000000"/>
              </w:rPr>
            </w:pPr>
            <w:r w:rsidRPr="003B27CD">
              <w:rPr>
                <w:rFonts w:ascii="Arial" w:hAnsi="Arial" w:cs="Arial"/>
                <w:color w:val="000000"/>
              </w:rPr>
              <w:t>0.001</w:t>
            </w:r>
          </w:p>
        </w:tc>
      </w:tr>
      <w:tr w:rsidR="00A76B61" w:rsidRPr="003B27CD" w14:paraId="64DEDF4B" w14:textId="77777777" w:rsidTr="00440524">
        <w:trPr>
          <w:trHeight w:val="195"/>
        </w:trPr>
        <w:tc>
          <w:tcPr>
            <w:tcW w:w="572" w:type="dxa"/>
            <w:tcBorders>
              <w:top w:val="nil"/>
              <w:left w:val="nil"/>
              <w:bottom w:val="nil"/>
              <w:right w:val="nil"/>
            </w:tcBorders>
            <w:noWrap/>
            <w:vAlign w:val="center"/>
            <w:hideMark/>
          </w:tcPr>
          <w:p w14:paraId="43D89049" w14:textId="77777777" w:rsidR="00A76B61" w:rsidRPr="003B27CD" w:rsidRDefault="00A76B61" w:rsidP="00440524">
            <w:pPr>
              <w:rPr>
                <w:rFonts w:ascii="Arial" w:hAnsi="Arial" w:cs="Arial"/>
                <w:color w:val="000000"/>
              </w:rPr>
            </w:pPr>
            <w:r w:rsidRPr="003B27CD">
              <w:rPr>
                <w:rFonts w:ascii="Arial" w:hAnsi="Arial" w:cs="Arial"/>
                <w:color w:val="000000"/>
              </w:rPr>
              <w:t>9</w:t>
            </w:r>
          </w:p>
        </w:tc>
        <w:tc>
          <w:tcPr>
            <w:tcW w:w="3485" w:type="dxa"/>
            <w:tcBorders>
              <w:top w:val="nil"/>
              <w:left w:val="nil"/>
              <w:bottom w:val="nil"/>
              <w:right w:val="nil"/>
            </w:tcBorders>
            <w:noWrap/>
            <w:vAlign w:val="center"/>
            <w:hideMark/>
          </w:tcPr>
          <w:p w14:paraId="66240E11"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Tuber weight loss </w:t>
            </w:r>
          </w:p>
        </w:tc>
        <w:tc>
          <w:tcPr>
            <w:tcW w:w="1325" w:type="dxa"/>
            <w:tcBorders>
              <w:top w:val="nil"/>
              <w:left w:val="nil"/>
              <w:bottom w:val="nil"/>
              <w:right w:val="nil"/>
            </w:tcBorders>
            <w:noWrap/>
            <w:vAlign w:val="center"/>
            <w:hideMark/>
          </w:tcPr>
          <w:p w14:paraId="103CA24E" w14:textId="77777777" w:rsidR="00A76B61" w:rsidRPr="003B27CD" w:rsidRDefault="00A76B61" w:rsidP="00440524">
            <w:pPr>
              <w:rPr>
                <w:rFonts w:ascii="Arial" w:hAnsi="Arial" w:cs="Arial"/>
                <w:color w:val="000000"/>
              </w:rPr>
            </w:pPr>
            <w:r w:rsidRPr="003B27CD">
              <w:rPr>
                <w:rFonts w:ascii="Arial" w:hAnsi="Arial" w:cs="Arial"/>
                <w:color w:val="000000"/>
              </w:rPr>
              <w:t>17.88 **</w:t>
            </w:r>
          </w:p>
        </w:tc>
        <w:tc>
          <w:tcPr>
            <w:tcW w:w="802" w:type="dxa"/>
            <w:tcBorders>
              <w:top w:val="nil"/>
              <w:left w:val="nil"/>
              <w:bottom w:val="nil"/>
              <w:right w:val="nil"/>
            </w:tcBorders>
            <w:noWrap/>
            <w:vAlign w:val="center"/>
            <w:hideMark/>
          </w:tcPr>
          <w:p w14:paraId="012B550B" w14:textId="77777777" w:rsidR="00A76B61" w:rsidRPr="003B27CD" w:rsidRDefault="00A76B61" w:rsidP="00440524">
            <w:pPr>
              <w:rPr>
                <w:rFonts w:ascii="Arial" w:hAnsi="Arial" w:cs="Arial"/>
                <w:color w:val="000000"/>
              </w:rPr>
            </w:pPr>
            <w:r w:rsidRPr="003B27CD">
              <w:rPr>
                <w:rFonts w:ascii="Arial" w:hAnsi="Arial" w:cs="Arial"/>
                <w:color w:val="000000"/>
              </w:rPr>
              <w:t>26.28</w:t>
            </w:r>
          </w:p>
        </w:tc>
        <w:tc>
          <w:tcPr>
            <w:tcW w:w="1275" w:type="dxa"/>
            <w:tcBorders>
              <w:top w:val="nil"/>
              <w:left w:val="nil"/>
              <w:bottom w:val="nil"/>
              <w:right w:val="nil"/>
            </w:tcBorders>
            <w:vAlign w:val="center"/>
          </w:tcPr>
          <w:p w14:paraId="766A3E24" w14:textId="77777777" w:rsidR="00A76B61" w:rsidRPr="003B27CD" w:rsidRDefault="00A76B61" w:rsidP="00440524">
            <w:pPr>
              <w:rPr>
                <w:rFonts w:ascii="Arial" w:hAnsi="Arial" w:cs="Arial"/>
                <w:color w:val="000000"/>
              </w:rPr>
            </w:pPr>
            <w:r w:rsidRPr="003B27CD">
              <w:rPr>
                <w:rFonts w:ascii="Arial" w:hAnsi="Arial" w:cs="Arial"/>
                <w:color w:val="000000"/>
              </w:rPr>
              <w:t>0.009</w:t>
            </w:r>
          </w:p>
        </w:tc>
      </w:tr>
      <w:tr w:rsidR="00A76B61" w:rsidRPr="003B27CD" w14:paraId="2A22ABCE" w14:textId="77777777" w:rsidTr="00185661">
        <w:trPr>
          <w:trHeight w:val="80"/>
        </w:trPr>
        <w:tc>
          <w:tcPr>
            <w:tcW w:w="572" w:type="dxa"/>
            <w:tcBorders>
              <w:top w:val="nil"/>
              <w:left w:val="nil"/>
              <w:bottom w:val="nil"/>
              <w:right w:val="nil"/>
            </w:tcBorders>
            <w:noWrap/>
            <w:vAlign w:val="center"/>
            <w:hideMark/>
          </w:tcPr>
          <w:p w14:paraId="55291B22" w14:textId="77777777" w:rsidR="00A76B61" w:rsidRPr="003B27CD" w:rsidRDefault="00A76B61" w:rsidP="00440524">
            <w:pPr>
              <w:rPr>
                <w:rFonts w:ascii="Arial" w:hAnsi="Arial" w:cs="Arial"/>
                <w:color w:val="000000"/>
              </w:rPr>
            </w:pPr>
            <w:r w:rsidRPr="003B27CD">
              <w:rPr>
                <w:rFonts w:ascii="Arial" w:hAnsi="Arial" w:cs="Arial"/>
                <w:color w:val="000000"/>
              </w:rPr>
              <w:t>10</w:t>
            </w:r>
          </w:p>
        </w:tc>
        <w:tc>
          <w:tcPr>
            <w:tcW w:w="3485" w:type="dxa"/>
            <w:tcBorders>
              <w:top w:val="nil"/>
              <w:left w:val="nil"/>
              <w:bottom w:val="nil"/>
              <w:right w:val="nil"/>
            </w:tcBorders>
            <w:noWrap/>
            <w:vAlign w:val="center"/>
            <w:hideMark/>
          </w:tcPr>
          <w:p w14:paraId="2502CDDB" w14:textId="77777777" w:rsidR="00A76B61" w:rsidRPr="003B27CD" w:rsidRDefault="00A76B61">
            <w:pPr>
              <w:pStyle w:val="NormalWeb"/>
              <w:spacing w:before="0" w:beforeAutospacing="0" w:after="0" w:afterAutospacing="0" w:line="80" w:lineRule="atLeast"/>
              <w:rPr>
                <w:rFonts w:ascii="Arial" w:hAnsi="Arial" w:cs="Arial"/>
                <w:sz w:val="20"/>
                <w:szCs w:val="20"/>
              </w:rPr>
            </w:pPr>
            <w:r w:rsidRPr="003B27CD">
              <w:rPr>
                <w:rFonts w:ascii="Arial" w:hAnsi="Arial" w:cs="Arial"/>
                <w:color w:val="000000" w:themeColor="text1"/>
                <w:kern w:val="24"/>
                <w:sz w:val="20"/>
                <w:szCs w:val="20"/>
              </w:rPr>
              <w:t xml:space="preserve">Dry tuber weight per plot </w:t>
            </w:r>
          </w:p>
        </w:tc>
        <w:tc>
          <w:tcPr>
            <w:tcW w:w="1325" w:type="dxa"/>
            <w:tcBorders>
              <w:top w:val="nil"/>
              <w:left w:val="nil"/>
              <w:bottom w:val="nil"/>
              <w:right w:val="nil"/>
            </w:tcBorders>
            <w:noWrap/>
            <w:vAlign w:val="center"/>
            <w:hideMark/>
          </w:tcPr>
          <w:p w14:paraId="77A0109D" w14:textId="77777777" w:rsidR="00A76B61" w:rsidRPr="003B27CD" w:rsidRDefault="00A76B61" w:rsidP="00440524">
            <w:pPr>
              <w:rPr>
                <w:rFonts w:ascii="Arial" w:hAnsi="Arial" w:cs="Arial"/>
                <w:color w:val="000000"/>
              </w:rPr>
            </w:pPr>
            <w:r w:rsidRPr="003B27CD">
              <w:rPr>
                <w:rFonts w:ascii="Arial" w:hAnsi="Arial" w:cs="Arial"/>
                <w:color w:val="000000"/>
              </w:rPr>
              <w:t>100.28 **</w:t>
            </w:r>
          </w:p>
        </w:tc>
        <w:tc>
          <w:tcPr>
            <w:tcW w:w="802" w:type="dxa"/>
            <w:tcBorders>
              <w:top w:val="nil"/>
              <w:left w:val="nil"/>
              <w:bottom w:val="nil"/>
              <w:right w:val="nil"/>
            </w:tcBorders>
            <w:noWrap/>
            <w:vAlign w:val="center"/>
            <w:hideMark/>
          </w:tcPr>
          <w:p w14:paraId="52AA50DE" w14:textId="77777777" w:rsidR="00A76B61" w:rsidRPr="003B27CD" w:rsidRDefault="00A76B61" w:rsidP="00440524">
            <w:pPr>
              <w:rPr>
                <w:rFonts w:ascii="Arial" w:hAnsi="Arial" w:cs="Arial"/>
                <w:color w:val="000000"/>
              </w:rPr>
            </w:pPr>
            <w:r w:rsidRPr="003B27CD">
              <w:rPr>
                <w:rFonts w:ascii="Arial" w:hAnsi="Arial" w:cs="Arial"/>
                <w:color w:val="000000"/>
              </w:rPr>
              <w:t>12.16</w:t>
            </w:r>
          </w:p>
        </w:tc>
        <w:tc>
          <w:tcPr>
            <w:tcW w:w="1275" w:type="dxa"/>
            <w:tcBorders>
              <w:top w:val="nil"/>
              <w:left w:val="nil"/>
              <w:bottom w:val="nil"/>
              <w:right w:val="nil"/>
            </w:tcBorders>
            <w:vAlign w:val="center"/>
          </w:tcPr>
          <w:p w14:paraId="6AED3BF9" w14:textId="77777777" w:rsidR="00A76B61" w:rsidRPr="003B27CD" w:rsidRDefault="00A76B61" w:rsidP="00440524">
            <w:pPr>
              <w:rPr>
                <w:rFonts w:ascii="Arial" w:hAnsi="Arial" w:cs="Arial"/>
                <w:color w:val="000000"/>
              </w:rPr>
            </w:pPr>
            <w:r w:rsidRPr="003B27CD">
              <w:rPr>
                <w:rFonts w:ascii="Arial" w:hAnsi="Arial" w:cs="Arial"/>
                <w:color w:val="000000"/>
              </w:rPr>
              <w:t>0.001</w:t>
            </w:r>
          </w:p>
        </w:tc>
      </w:tr>
      <w:tr w:rsidR="00A76B61" w:rsidRPr="003B27CD" w14:paraId="6C0FACA1" w14:textId="77777777" w:rsidTr="00440524">
        <w:trPr>
          <w:trHeight w:val="195"/>
        </w:trPr>
        <w:tc>
          <w:tcPr>
            <w:tcW w:w="572" w:type="dxa"/>
            <w:tcBorders>
              <w:top w:val="nil"/>
              <w:left w:val="nil"/>
              <w:bottom w:val="single" w:sz="4" w:space="0" w:color="auto"/>
              <w:right w:val="nil"/>
            </w:tcBorders>
            <w:noWrap/>
            <w:vAlign w:val="center"/>
            <w:hideMark/>
          </w:tcPr>
          <w:p w14:paraId="0F25CA7E" w14:textId="77777777" w:rsidR="00A76B61" w:rsidRPr="003B27CD" w:rsidRDefault="00A76B61" w:rsidP="00440524">
            <w:pPr>
              <w:rPr>
                <w:rFonts w:ascii="Arial" w:hAnsi="Arial" w:cs="Arial"/>
                <w:color w:val="000000"/>
              </w:rPr>
            </w:pPr>
            <w:r w:rsidRPr="003B27CD">
              <w:rPr>
                <w:rFonts w:ascii="Arial" w:hAnsi="Arial" w:cs="Arial"/>
                <w:color w:val="000000"/>
              </w:rPr>
              <w:t>11</w:t>
            </w:r>
          </w:p>
        </w:tc>
        <w:tc>
          <w:tcPr>
            <w:tcW w:w="3485" w:type="dxa"/>
            <w:tcBorders>
              <w:top w:val="nil"/>
              <w:left w:val="nil"/>
              <w:bottom w:val="single" w:sz="4" w:space="0" w:color="auto"/>
              <w:right w:val="nil"/>
            </w:tcBorders>
            <w:noWrap/>
            <w:vAlign w:val="center"/>
            <w:hideMark/>
          </w:tcPr>
          <w:p w14:paraId="37D5F048"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Dry tuber weight per hectare </w:t>
            </w:r>
          </w:p>
        </w:tc>
        <w:tc>
          <w:tcPr>
            <w:tcW w:w="1325" w:type="dxa"/>
            <w:tcBorders>
              <w:top w:val="nil"/>
              <w:left w:val="nil"/>
              <w:bottom w:val="single" w:sz="4" w:space="0" w:color="auto"/>
              <w:right w:val="nil"/>
            </w:tcBorders>
            <w:noWrap/>
            <w:vAlign w:val="center"/>
            <w:hideMark/>
          </w:tcPr>
          <w:p w14:paraId="256FCFF3" w14:textId="77777777" w:rsidR="00A76B61" w:rsidRPr="003B27CD" w:rsidRDefault="00A76B61" w:rsidP="00440524">
            <w:pPr>
              <w:rPr>
                <w:rFonts w:ascii="Arial" w:hAnsi="Arial" w:cs="Arial"/>
                <w:color w:val="000000"/>
              </w:rPr>
            </w:pPr>
            <w:r w:rsidRPr="003B27CD">
              <w:rPr>
                <w:rFonts w:ascii="Arial" w:hAnsi="Arial" w:cs="Arial"/>
                <w:color w:val="000000"/>
              </w:rPr>
              <w:t>100.38 **</w:t>
            </w:r>
          </w:p>
        </w:tc>
        <w:tc>
          <w:tcPr>
            <w:tcW w:w="802" w:type="dxa"/>
            <w:tcBorders>
              <w:top w:val="nil"/>
              <w:left w:val="nil"/>
              <w:bottom w:val="single" w:sz="4" w:space="0" w:color="auto"/>
              <w:right w:val="nil"/>
            </w:tcBorders>
            <w:noWrap/>
            <w:vAlign w:val="center"/>
            <w:hideMark/>
          </w:tcPr>
          <w:p w14:paraId="4D89764B" w14:textId="77777777" w:rsidR="00A76B61" w:rsidRPr="003B27CD" w:rsidRDefault="00A76B61" w:rsidP="00440524">
            <w:pPr>
              <w:rPr>
                <w:rFonts w:ascii="Arial" w:hAnsi="Arial" w:cs="Arial"/>
                <w:color w:val="000000"/>
              </w:rPr>
            </w:pPr>
            <w:r w:rsidRPr="003B27CD">
              <w:rPr>
                <w:rFonts w:ascii="Arial" w:hAnsi="Arial" w:cs="Arial"/>
                <w:color w:val="000000"/>
              </w:rPr>
              <w:t>12.15</w:t>
            </w:r>
          </w:p>
        </w:tc>
        <w:tc>
          <w:tcPr>
            <w:tcW w:w="1275" w:type="dxa"/>
            <w:tcBorders>
              <w:top w:val="nil"/>
              <w:left w:val="nil"/>
              <w:bottom w:val="single" w:sz="4" w:space="0" w:color="auto"/>
              <w:right w:val="nil"/>
            </w:tcBorders>
            <w:vAlign w:val="center"/>
          </w:tcPr>
          <w:p w14:paraId="2D8BECFF" w14:textId="77777777" w:rsidR="00A76B61" w:rsidRPr="003B27CD" w:rsidRDefault="00A76B61" w:rsidP="00440524">
            <w:pPr>
              <w:rPr>
                <w:rFonts w:ascii="Arial" w:hAnsi="Arial" w:cs="Arial"/>
                <w:color w:val="000000"/>
              </w:rPr>
            </w:pPr>
            <w:r w:rsidRPr="003B27CD">
              <w:rPr>
                <w:rFonts w:ascii="Arial" w:hAnsi="Arial" w:cs="Arial"/>
                <w:color w:val="000000"/>
              </w:rPr>
              <w:t>0.001</w:t>
            </w:r>
          </w:p>
        </w:tc>
      </w:tr>
      <w:tr w:rsidR="00A76B61" w:rsidRPr="003B27CD" w14:paraId="3410F5E3" w14:textId="77777777" w:rsidTr="00440524">
        <w:trPr>
          <w:trHeight w:val="195"/>
        </w:trPr>
        <w:tc>
          <w:tcPr>
            <w:tcW w:w="572" w:type="dxa"/>
            <w:tcBorders>
              <w:top w:val="nil"/>
              <w:left w:val="nil"/>
              <w:bottom w:val="single" w:sz="4" w:space="0" w:color="auto"/>
              <w:right w:val="nil"/>
            </w:tcBorders>
            <w:noWrap/>
            <w:vAlign w:val="center"/>
            <w:hideMark/>
          </w:tcPr>
          <w:p w14:paraId="305E8CF5" w14:textId="77777777" w:rsidR="00A76B61" w:rsidRPr="003B27CD" w:rsidRDefault="00A76B61" w:rsidP="00440524">
            <w:pPr>
              <w:rPr>
                <w:rFonts w:ascii="Arial" w:hAnsi="Arial" w:cs="Arial"/>
                <w:color w:val="000000"/>
              </w:rPr>
            </w:pPr>
            <w:r w:rsidRPr="003B27CD">
              <w:rPr>
                <w:rFonts w:ascii="Arial" w:hAnsi="Arial" w:cs="Arial"/>
                <w:color w:val="000000"/>
              </w:rPr>
              <w:t> </w:t>
            </w:r>
          </w:p>
        </w:tc>
        <w:tc>
          <w:tcPr>
            <w:tcW w:w="3485" w:type="dxa"/>
            <w:tcBorders>
              <w:top w:val="nil"/>
              <w:left w:val="nil"/>
              <w:bottom w:val="single" w:sz="4" w:space="0" w:color="auto"/>
              <w:right w:val="nil"/>
            </w:tcBorders>
            <w:noWrap/>
            <w:vAlign w:val="center"/>
            <w:hideMark/>
          </w:tcPr>
          <w:p w14:paraId="36525F35"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F Table 5%</w:t>
            </w:r>
          </w:p>
        </w:tc>
        <w:tc>
          <w:tcPr>
            <w:tcW w:w="1325" w:type="dxa"/>
            <w:tcBorders>
              <w:top w:val="nil"/>
              <w:left w:val="nil"/>
              <w:bottom w:val="single" w:sz="4" w:space="0" w:color="auto"/>
              <w:right w:val="nil"/>
            </w:tcBorders>
            <w:noWrap/>
            <w:vAlign w:val="center"/>
            <w:hideMark/>
          </w:tcPr>
          <w:p w14:paraId="111B43AE" w14:textId="77777777" w:rsidR="00A76B61" w:rsidRPr="003B27CD" w:rsidRDefault="00A76B61" w:rsidP="00440524">
            <w:pPr>
              <w:rPr>
                <w:rFonts w:ascii="Arial" w:hAnsi="Arial" w:cs="Arial"/>
                <w:color w:val="000000"/>
              </w:rPr>
            </w:pPr>
            <w:r w:rsidRPr="003B27CD">
              <w:rPr>
                <w:rFonts w:ascii="Arial" w:hAnsi="Arial" w:cs="Arial"/>
                <w:color w:val="000000"/>
              </w:rPr>
              <w:t>3.00</w:t>
            </w:r>
          </w:p>
        </w:tc>
        <w:tc>
          <w:tcPr>
            <w:tcW w:w="802" w:type="dxa"/>
            <w:tcBorders>
              <w:top w:val="nil"/>
              <w:left w:val="nil"/>
              <w:bottom w:val="single" w:sz="4" w:space="0" w:color="auto"/>
              <w:right w:val="nil"/>
            </w:tcBorders>
            <w:noWrap/>
            <w:vAlign w:val="center"/>
            <w:hideMark/>
          </w:tcPr>
          <w:p w14:paraId="5E00325E" w14:textId="77777777" w:rsidR="00A76B61" w:rsidRPr="003B27CD" w:rsidRDefault="00A76B61" w:rsidP="00440524">
            <w:pPr>
              <w:rPr>
                <w:rFonts w:ascii="Arial" w:hAnsi="Arial" w:cs="Arial"/>
                <w:color w:val="000000"/>
              </w:rPr>
            </w:pPr>
            <w:r w:rsidRPr="003B27CD">
              <w:rPr>
                <w:rFonts w:ascii="Arial" w:hAnsi="Arial" w:cs="Arial"/>
                <w:color w:val="000000"/>
              </w:rPr>
              <w:t> </w:t>
            </w:r>
          </w:p>
        </w:tc>
        <w:tc>
          <w:tcPr>
            <w:tcW w:w="1275" w:type="dxa"/>
            <w:tcBorders>
              <w:top w:val="nil"/>
              <w:left w:val="nil"/>
              <w:bottom w:val="single" w:sz="4" w:space="0" w:color="auto"/>
              <w:right w:val="nil"/>
            </w:tcBorders>
            <w:vAlign w:val="center"/>
          </w:tcPr>
          <w:p w14:paraId="489916EA" w14:textId="77777777" w:rsidR="00A76B61" w:rsidRPr="003B27CD" w:rsidRDefault="00A76B61" w:rsidP="00440524">
            <w:pPr>
              <w:rPr>
                <w:rFonts w:ascii="Arial" w:hAnsi="Arial" w:cs="Arial"/>
                <w:color w:val="000000"/>
              </w:rPr>
            </w:pPr>
          </w:p>
        </w:tc>
      </w:tr>
      <w:tr w:rsidR="00A76B61" w:rsidRPr="003B27CD" w14:paraId="0B81B051" w14:textId="77777777" w:rsidTr="00440524">
        <w:trPr>
          <w:trHeight w:val="195"/>
        </w:trPr>
        <w:tc>
          <w:tcPr>
            <w:tcW w:w="572" w:type="dxa"/>
            <w:tcBorders>
              <w:top w:val="nil"/>
              <w:left w:val="nil"/>
              <w:bottom w:val="single" w:sz="4" w:space="0" w:color="auto"/>
              <w:right w:val="nil"/>
            </w:tcBorders>
            <w:noWrap/>
            <w:vAlign w:val="center"/>
            <w:hideMark/>
          </w:tcPr>
          <w:p w14:paraId="09B5C801" w14:textId="77777777" w:rsidR="00A76B61" w:rsidRPr="003B27CD" w:rsidRDefault="00A76B61" w:rsidP="00440524">
            <w:pPr>
              <w:rPr>
                <w:rFonts w:ascii="Arial" w:hAnsi="Arial" w:cs="Arial"/>
                <w:color w:val="000000"/>
              </w:rPr>
            </w:pPr>
            <w:r w:rsidRPr="003B27CD">
              <w:rPr>
                <w:rFonts w:ascii="Arial" w:hAnsi="Arial" w:cs="Arial"/>
                <w:color w:val="000000"/>
              </w:rPr>
              <w:t> </w:t>
            </w:r>
          </w:p>
        </w:tc>
        <w:tc>
          <w:tcPr>
            <w:tcW w:w="3485" w:type="dxa"/>
            <w:tcBorders>
              <w:top w:val="nil"/>
              <w:left w:val="nil"/>
              <w:bottom w:val="single" w:sz="4" w:space="0" w:color="auto"/>
              <w:right w:val="nil"/>
            </w:tcBorders>
            <w:noWrap/>
            <w:vAlign w:val="center"/>
            <w:hideMark/>
          </w:tcPr>
          <w:p w14:paraId="1DC68D3B"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F Table 1%</w:t>
            </w:r>
          </w:p>
        </w:tc>
        <w:tc>
          <w:tcPr>
            <w:tcW w:w="1325" w:type="dxa"/>
            <w:tcBorders>
              <w:top w:val="nil"/>
              <w:left w:val="nil"/>
              <w:bottom w:val="single" w:sz="4" w:space="0" w:color="auto"/>
              <w:right w:val="nil"/>
            </w:tcBorders>
            <w:noWrap/>
            <w:vAlign w:val="center"/>
            <w:hideMark/>
          </w:tcPr>
          <w:p w14:paraId="6524D31E" w14:textId="77777777" w:rsidR="00A76B61" w:rsidRPr="003B27CD" w:rsidRDefault="00A76B61" w:rsidP="00440524">
            <w:pPr>
              <w:rPr>
                <w:rFonts w:ascii="Arial" w:hAnsi="Arial" w:cs="Arial"/>
                <w:color w:val="000000"/>
              </w:rPr>
            </w:pPr>
            <w:r w:rsidRPr="003B27CD">
              <w:rPr>
                <w:rFonts w:ascii="Arial" w:hAnsi="Arial" w:cs="Arial"/>
                <w:color w:val="000000"/>
              </w:rPr>
              <w:t>4.82</w:t>
            </w:r>
          </w:p>
        </w:tc>
        <w:tc>
          <w:tcPr>
            <w:tcW w:w="802" w:type="dxa"/>
            <w:tcBorders>
              <w:top w:val="nil"/>
              <w:left w:val="nil"/>
              <w:bottom w:val="single" w:sz="4" w:space="0" w:color="auto"/>
              <w:right w:val="nil"/>
            </w:tcBorders>
            <w:noWrap/>
            <w:vAlign w:val="center"/>
            <w:hideMark/>
          </w:tcPr>
          <w:p w14:paraId="50C41910" w14:textId="77777777" w:rsidR="00A76B61" w:rsidRPr="003B27CD" w:rsidRDefault="00A76B61" w:rsidP="00440524">
            <w:pPr>
              <w:rPr>
                <w:rFonts w:ascii="Arial" w:hAnsi="Arial" w:cs="Arial"/>
                <w:color w:val="000000"/>
              </w:rPr>
            </w:pPr>
            <w:r w:rsidRPr="003B27CD">
              <w:rPr>
                <w:rFonts w:ascii="Arial" w:hAnsi="Arial" w:cs="Arial"/>
                <w:color w:val="000000"/>
              </w:rPr>
              <w:t> </w:t>
            </w:r>
          </w:p>
        </w:tc>
        <w:tc>
          <w:tcPr>
            <w:tcW w:w="1275" w:type="dxa"/>
            <w:tcBorders>
              <w:top w:val="nil"/>
              <w:left w:val="nil"/>
              <w:bottom w:val="single" w:sz="4" w:space="0" w:color="auto"/>
              <w:right w:val="nil"/>
            </w:tcBorders>
            <w:vAlign w:val="center"/>
          </w:tcPr>
          <w:p w14:paraId="0E025BA0" w14:textId="77777777" w:rsidR="00A76B61" w:rsidRPr="003B27CD" w:rsidRDefault="00A76B61" w:rsidP="00440524">
            <w:pPr>
              <w:rPr>
                <w:rFonts w:ascii="Arial" w:hAnsi="Arial" w:cs="Arial"/>
                <w:color w:val="000000"/>
              </w:rPr>
            </w:pPr>
          </w:p>
        </w:tc>
      </w:tr>
      <w:tr w:rsidR="00A76B61" w:rsidRPr="003B27CD" w14:paraId="0F7559D4" w14:textId="77777777" w:rsidTr="00440524">
        <w:trPr>
          <w:trHeight w:val="195"/>
        </w:trPr>
        <w:tc>
          <w:tcPr>
            <w:tcW w:w="572" w:type="dxa"/>
            <w:tcBorders>
              <w:top w:val="single" w:sz="4" w:space="0" w:color="auto"/>
              <w:left w:val="nil"/>
              <w:bottom w:val="single" w:sz="4" w:space="0" w:color="auto"/>
              <w:right w:val="nil"/>
            </w:tcBorders>
            <w:noWrap/>
            <w:vAlign w:val="center"/>
          </w:tcPr>
          <w:p w14:paraId="0955C6D5" w14:textId="77777777" w:rsidR="00A76B61" w:rsidRPr="003B27CD" w:rsidRDefault="00A76B61" w:rsidP="00440524">
            <w:pPr>
              <w:rPr>
                <w:rFonts w:ascii="Arial" w:hAnsi="Arial" w:cs="Arial"/>
                <w:color w:val="000000"/>
              </w:rPr>
            </w:pPr>
          </w:p>
        </w:tc>
        <w:tc>
          <w:tcPr>
            <w:tcW w:w="3485" w:type="dxa"/>
            <w:tcBorders>
              <w:top w:val="single" w:sz="4" w:space="0" w:color="auto"/>
              <w:left w:val="nil"/>
              <w:bottom w:val="single" w:sz="4" w:space="0" w:color="auto"/>
              <w:right w:val="nil"/>
            </w:tcBorders>
            <w:noWrap/>
            <w:vAlign w:val="center"/>
          </w:tcPr>
          <w:p w14:paraId="3AB97DB8"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Alpha 5%</w:t>
            </w:r>
          </w:p>
        </w:tc>
        <w:tc>
          <w:tcPr>
            <w:tcW w:w="1325" w:type="dxa"/>
            <w:tcBorders>
              <w:top w:val="single" w:sz="4" w:space="0" w:color="auto"/>
              <w:left w:val="nil"/>
              <w:bottom w:val="single" w:sz="4" w:space="0" w:color="auto"/>
              <w:right w:val="nil"/>
            </w:tcBorders>
            <w:noWrap/>
            <w:vAlign w:val="center"/>
          </w:tcPr>
          <w:p w14:paraId="7918D95A" w14:textId="77777777" w:rsidR="00A76B61" w:rsidRPr="003B27CD" w:rsidRDefault="00A76B61" w:rsidP="00440524">
            <w:pPr>
              <w:rPr>
                <w:rFonts w:ascii="Arial" w:hAnsi="Arial" w:cs="Arial"/>
                <w:color w:val="000000"/>
              </w:rPr>
            </w:pPr>
            <w:r w:rsidRPr="003B27CD">
              <w:rPr>
                <w:rFonts w:ascii="Arial" w:hAnsi="Arial" w:cs="Arial"/>
                <w:color w:val="000000"/>
              </w:rPr>
              <w:t>0.05</w:t>
            </w:r>
          </w:p>
        </w:tc>
        <w:tc>
          <w:tcPr>
            <w:tcW w:w="802" w:type="dxa"/>
            <w:tcBorders>
              <w:top w:val="single" w:sz="4" w:space="0" w:color="auto"/>
              <w:left w:val="nil"/>
              <w:bottom w:val="single" w:sz="4" w:space="0" w:color="auto"/>
              <w:right w:val="nil"/>
            </w:tcBorders>
            <w:noWrap/>
            <w:vAlign w:val="center"/>
          </w:tcPr>
          <w:p w14:paraId="495745E9" w14:textId="77777777" w:rsidR="00A76B61" w:rsidRPr="003B27CD" w:rsidRDefault="00A76B61" w:rsidP="00440524">
            <w:pPr>
              <w:rPr>
                <w:rFonts w:ascii="Arial" w:hAnsi="Arial" w:cs="Arial"/>
                <w:color w:val="000000"/>
              </w:rPr>
            </w:pPr>
          </w:p>
        </w:tc>
        <w:tc>
          <w:tcPr>
            <w:tcW w:w="1275" w:type="dxa"/>
            <w:tcBorders>
              <w:top w:val="single" w:sz="4" w:space="0" w:color="auto"/>
              <w:left w:val="nil"/>
              <w:bottom w:val="single" w:sz="4" w:space="0" w:color="auto"/>
              <w:right w:val="nil"/>
            </w:tcBorders>
            <w:vAlign w:val="center"/>
          </w:tcPr>
          <w:p w14:paraId="3421CAFF" w14:textId="77777777" w:rsidR="00A76B61" w:rsidRPr="003B27CD" w:rsidRDefault="00A76B61" w:rsidP="00440524">
            <w:pPr>
              <w:rPr>
                <w:rFonts w:ascii="Arial" w:hAnsi="Arial" w:cs="Arial"/>
                <w:color w:val="000000"/>
              </w:rPr>
            </w:pPr>
          </w:p>
        </w:tc>
      </w:tr>
    </w:tbl>
    <w:p w14:paraId="2403CE8B" w14:textId="77777777" w:rsidR="003B27CD" w:rsidRDefault="0007053B" w:rsidP="003B27CD">
      <w:pPr>
        <w:pStyle w:val="ListParagraph"/>
        <w:widowControl w:val="0"/>
        <w:spacing w:after="0" w:line="276" w:lineRule="auto"/>
        <w:ind w:left="0" w:firstLine="567"/>
        <w:jc w:val="both"/>
        <w:rPr>
          <w:rFonts w:ascii="Arial" w:eastAsiaTheme="minorHAnsi" w:hAnsi="Arial" w:cs="Arial"/>
          <w:color w:val="000000"/>
          <w:sz w:val="20"/>
          <w:szCs w:val="20"/>
        </w:rPr>
      </w:pPr>
      <w:r w:rsidRPr="003B27CD">
        <w:rPr>
          <w:rFonts w:ascii="Arial" w:eastAsiaTheme="minorHAnsi" w:hAnsi="Arial" w:cs="Arial"/>
          <w:color w:val="000000"/>
          <w:sz w:val="20"/>
          <w:szCs w:val="20"/>
        </w:rPr>
        <w:t>Note: ** = Very significant effect, CC = Coefficient of Variation, P = Probab</w:t>
      </w:r>
      <w:r w:rsidR="003B27CD">
        <w:rPr>
          <w:rFonts w:ascii="Arial" w:eastAsiaTheme="minorHAnsi" w:hAnsi="Arial" w:cs="Arial"/>
          <w:color w:val="000000"/>
          <w:sz w:val="20"/>
          <w:szCs w:val="20"/>
        </w:rPr>
        <w:t>ility (P</w:t>
      </w:r>
    </w:p>
    <w:p w14:paraId="41176AA3" w14:textId="77777777" w:rsidR="0007053B" w:rsidRPr="003B27CD" w:rsidRDefault="0007053B" w:rsidP="003B27CD">
      <w:pPr>
        <w:pStyle w:val="ListParagraph"/>
        <w:widowControl w:val="0"/>
        <w:spacing w:after="0" w:line="276" w:lineRule="auto"/>
        <w:ind w:left="1134"/>
        <w:jc w:val="both"/>
        <w:rPr>
          <w:rFonts w:ascii="Arial" w:eastAsiaTheme="minorHAnsi" w:hAnsi="Arial" w:cs="Arial"/>
          <w:color w:val="000000"/>
          <w:sz w:val="20"/>
          <w:szCs w:val="20"/>
        </w:rPr>
      </w:pPr>
      <w:r w:rsidRPr="003B27CD">
        <w:rPr>
          <w:rFonts w:ascii="Arial" w:eastAsiaTheme="minorHAnsi" w:hAnsi="Arial" w:cs="Arial"/>
          <w:color w:val="000000"/>
          <w:sz w:val="20"/>
          <w:szCs w:val="20"/>
        </w:rPr>
        <w:t>Value &lt; Alpha 5%, then</w:t>
      </w:r>
      <w:r w:rsidR="003B27CD">
        <w:rPr>
          <w:rFonts w:ascii="Arial" w:eastAsiaTheme="minorHAnsi" w:hAnsi="Arial" w:cs="Arial"/>
          <w:color w:val="000000"/>
          <w:sz w:val="20"/>
          <w:szCs w:val="20"/>
        </w:rPr>
        <w:t xml:space="preserve"> </w:t>
      </w:r>
      <w:r w:rsidRPr="003B27CD">
        <w:rPr>
          <w:rFonts w:ascii="Arial" w:eastAsiaTheme="minorHAnsi" w:hAnsi="Arial" w:cs="Arial"/>
          <w:color w:val="000000"/>
          <w:sz w:val="20"/>
          <w:szCs w:val="20"/>
        </w:rPr>
        <w:t xml:space="preserve">there is a significant effect. P </w:t>
      </w:r>
      <w:r w:rsidR="003B27CD">
        <w:rPr>
          <w:rFonts w:ascii="Arial" w:eastAsiaTheme="minorHAnsi" w:hAnsi="Arial" w:cs="Arial"/>
          <w:color w:val="000000"/>
          <w:sz w:val="20"/>
          <w:szCs w:val="20"/>
        </w:rPr>
        <w:t xml:space="preserve">Value &gt; Alpha 5%, then there is </w:t>
      </w:r>
      <w:r w:rsidRPr="003B27CD">
        <w:rPr>
          <w:rFonts w:ascii="Arial" w:eastAsiaTheme="minorHAnsi" w:hAnsi="Arial" w:cs="Arial"/>
          <w:color w:val="000000"/>
          <w:sz w:val="20"/>
          <w:szCs w:val="20"/>
        </w:rPr>
        <w:t xml:space="preserve">no significant effect). </w:t>
      </w:r>
    </w:p>
    <w:p w14:paraId="3A62B546" w14:textId="77777777" w:rsidR="008F794A" w:rsidRPr="008F794A" w:rsidRDefault="003B27CD" w:rsidP="0007053B">
      <w:pPr>
        <w:pStyle w:val="ListParagraph"/>
        <w:widowControl w:val="0"/>
        <w:spacing w:after="0" w:line="276" w:lineRule="auto"/>
        <w:ind w:left="0" w:firstLine="567"/>
        <w:jc w:val="both"/>
        <w:rPr>
          <w:rFonts w:ascii="Arial" w:eastAsia="Times New Roman" w:hAnsi="Arial" w:cs="Arial"/>
          <w:sz w:val="20"/>
          <w:szCs w:val="20"/>
        </w:rPr>
      </w:pPr>
      <w:r w:rsidRPr="003B27CD">
        <w:rPr>
          <w:rFonts w:ascii="Arial" w:eastAsia="Times New Roman" w:hAnsi="Arial" w:cs="Arial"/>
          <w:sz w:val="20"/>
          <w:szCs w:val="20"/>
        </w:rPr>
        <w:t xml:space="preserve">The results of the </w:t>
      </w:r>
      <w:commentRangeStart w:id="31"/>
      <w:r w:rsidRPr="003B27CD">
        <w:rPr>
          <w:rFonts w:ascii="Arial" w:eastAsia="Times New Roman" w:hAnsi="Arial" w:cs="Arial"/>
          <w:sz w:val="20"/>
          <w:szCs w:val="20"/>
        </w:rPr>
        <w:t xml:space="preserve">analysis of variance </w:t>
      </w:r>
      <w:commentRangeEnd w:id="31"/>
      <w:r w:rsidR="009E3AC1">
        <w:rPr>
          <w:rStyle w:val="CommentReference"/>
          <w:rFonts w:ascii="Times New Roman" w:eastAsia="Times New Roman" w:hAnsi="Times New Roman" w:cs="Times New Roman"/>
          <w:lang w:val="nb-NO" w:eastAsia="nb-NO"/>
        </w:rPr>
        <w:commentReference w:id="31"/>
      </w:r>
      <w:r w:rsidRPr="003B27CD">
        <w:rPr>
          <w:rFonts w:ascii="Arial" w:eastAsia="Times New Roman" w:hAnsi="Arial" w:cs="Arial"/>
          <w:sz w:val="20"/>
          <w:szCs w:val="20"/>
        </w:rPr>
        <w:t>show that all observed variables, including crown height, number of leaves, number of tillers, tuber diameter, number of tubers, and wet and dry tuber weight, were significantly affected by the treatment of planting media composition (Table 3). The calculated F value, which far exceeded the F table at the 1% level, confirmed that each treatment had a significant effect on plant growth and yield. Probability tests also show that weed ameliorants have a more significant effect than compositions using chicken manure ameliorants.</w:t>
      </w:r>
    </w:p>
    <w:p w14:paraId="77D111E6" w14:textId="77777777" w:rsidR="007005A7" w:rsidRPr="00C71D47" w:rsidRDefault="00A61DF3" w:rsidP="00C47CFB">
      <w:pPr>
        <w:pStyle w:val="ListParagraph"/>
        <w:widowControl w:val="0"/>
        <w:tabs>
          <w:tab w:val="left" w:pos="709"/>
        </w:tabs>
        <w:spacing w:after="0" w:line="276" w:lineRule="auto"/>
        <w:ind w:left="426" w:hanging="426"/>
        <w:jc w:val="both"/>
        <w:rPr>
          <w:rFonts w:ascii="Arial" w:eastAsia="Times New Roman" w:hAnsi="Arial" w:cs="Arial"/>
          <w:b/>
        </w:rPr>
      </w:pPr>
      <w:r>
        <w:rPr>
          <w:rFonts w:ascii="Arial" w:eastAsia="Times New Roman" w:hAnsi="Arial" w:cs="Arial"/>
          <w:b/>
        </w:rPr>
        <w:t>3.</w:t>
      </w:r>
      <w:r w:rsidR="00C71D47" w:rsidRPr="00C71D47">
        <w:rPr>
          <w:rFonts w:ascii="Arial" w:eastAsia="Times New Roman" w:hAnsi="Arial" w:cs="Arial"/>
          <w:b/>
        </w:rPr>
        <w:t xml:space="preserve">3 </w:t>
      </w:r>
      <w:r w:rsidR="003B27CD" w:rsidRPr="003B27CD">
        <w:rPr>
          <w:rFonts w:ascii="Arial" w:eastAsia="Times New Roman" w:hAnsi="Arial" w:cs="Arial"/>
          <w:b/>
        </w:rPr>
        <w:t>The Effect of Planting Media Composition on Shallot Growth</w:t>
      </w:r>
    </w:p>
    <w:p w14:paraId="2AA88BBC" w14:textId="77777777" w:rsidR="00DD7585" w:rsidRPr="003B27CD" w:rsidRDefault="003B27CD" w:rsidP="00DD7585">
      <w:pPr>
        <w:pStyle w:val="ListParagraph"/>
        <w:widowControl w:val="0"/>
        <w:tabs>
          <w:tab w:val="left" w:pos="709"/>
        </w:tabs>
        <w:spacing w:before="240" w:after="0" w:line="276" w:lineRule="auto"/>
        <w:ind w:left="0" w:firstLine="567"/>
        <w:jc w:val="both"/>
        <w:rPr>
          <w:rFonts w:ascii="Arial" w:eastAsia="Times New Roman" w:hAnsi="Arial" w:cs="Arial"/>
          <w:sz w:val="20"/>
          <w:szCs w:val="20"/>
        </w:rPr>
      </w:pPr>
      <w:r w:rsidRPr="003B27CD">
        <w:rPr>
          <w:rFonts w:ascii="Arial" w:eastAsia="Times New Roman" w:hAnsi="Arial" w:cs="Arial"/>
          <w:sz w:val="20"/>
          <w:szCs w:val="20"/>
        </w:rPr>
        <w:t>A summary of the results of the 5% DMRT test regarding the effect of variations in planting media composition on shallot growth can be seen in Table 4. The variables analyzed include crown height and number of leaves.</w:t>
      </w:r>
    </w:p>
    <w:p w14:paraId="1F05636C" w14:textId="77777777" w:rsidR="003A3629" w:rsidRPr="00DD7585" w:rsidRDefault="003B27CD" w:rsidP="003B27CD">
      <w:pPr>
        <w:tabs>
          <w:tab w:val="left" w:pos="3402"/>
        </w:tabs>
        <w:ind w:left="1134" w:hanging="708"/>
        <w:jc w:val="both"/>
        <w:rPr>
          <w:rFonts w:ascii="Arial" w:hAnsi="Arial" w:cs="Arial"/>
          <w:szCs w:val="28"/>
        </w:rPr>
      </w:pPr>
      <w:r w:rsidRPr="003B27CD">
        <w:rPr>
          <w:rFonts w:ascii="Arial" w:hAnsi="Arial" w:cs="Arial"/>
          <w:szCs w:val="28"/>
        </w:rPr>
        <w:lastRenderedPageBreak/>
        <w:t>Table 4. Effect of planting medium composition on crown height and number of leaves     of shallot plants</w:t>
      </w:r>
    </w:p>
    <w:tbl>
      <w:tblPr>
        <w:tblW w:w="7559" w:type="dxa"/>
        <w:tblInd w:w="534" w:type="dxa"/>
        <w:tblLook w:val="04A0" w:firstRow="1" w:lastRow="0" w:firstColumn="1" w:lastColumn="0" w:noHBand="0" w:noVBand="1"/>
      </w:tblPr>
      <w:tblGrid>
        <w:gridCol w:w="5103"/>
        <w:gridCol w:w="1275"/>
        <w:gridCol w:w="1181"/>
      </w:tblGrid>
      <w:tr w:rsidR="003B27CD" w:rsidRPr="00DD7585" w14:paraId="038C8161" w14:textId="77777777" w:rsidTr="003B27CD">
        <w:trPr>
          <w:trHeight w:val="238"/>
        </w:trPr>
        <w:tc>
          <w:tcPr>
            <w:tcW w:w="5103" w:type="dxa"/>
            <w:tcBorders>
              <w:top w:val="single" w:sz="4" w:space="0" w:color="auto"/>
              <w:left w:val="nil"/>
              <w:bottom w:val="single" w:sz="4" w:space="0" w:color="auto"/>
              <w:right w:val="nil"/>
            </w:tcBorders>
            <w:noWrap/>
            <w:vAlign w:val="center"/>
            <w:hideMark/>
          </w:tcPr>
          <w:p w14:paraId="2CC3DB96" w14:textId="77777777" w:rsidR="003B27CD" w:rsidRPr="003B27CD" w:rsidRDefault="003B27CD" w:rsidP="003B27CD">
            <w:pPr>
              <w:pStyle w:val="NormalWeb"/>
              <w:spacing w:before="0" w:beforeAutospacing="0" w:after="0" w:afterAutospacing="0"/>
              <w:rPr>
                <w:rFonts w:ascii="Arial" w:hAnsi="Arial" w:cs="Arial"/>
                <w:sz w:val="20"/>
                <w:szCs w:val="20"/>
              </w:rPr>
            </w:pPr>
            <w:r w:rsidRPr="003B27CD">
              <w:rPr>
                <w:rFonts w:ascii="Arial" w:hAnsi="Arial" w:cs="Arial"/>
                <w:color w:val="000000" w:themeColor="text1"/>
                <w:kern w:val="24"/>
                <w:sz w:val="20"/>
                <w:szCs w:val="20"/>
              </w:rPr>
              <w:t>Composition of growing media</w:t>
            </w:r>
          </w:p>
        </w:tc>
        <w:tc>
          <w:tcPr>
            <w:tcW w:w="1275" w:type="dxa"/>
            <w:tcBorders>
              <w:top w:val="single" w:sz="4" w:space="0" w:color="auto"/>
              <w:left w:val="nil"/>
              <w:bottom w:val="nil"/>
              <w:right w:val="nil"/>
            </w:tcBorders>
            <w:vAlign w:val="center"/>
            <w:hideMark/>
          </w:tcPr>
          <w:p w14:paraId="70CBC98E" w14:textId="77777777" w:rsidR="003B27CD" w:rsidRPr="003B27CD" w:rsidRDefault="003B27CD">
            <w:pPr>
              <w:pStyle w:val="NormalWeb"/>
              <w:spacing w:before="0" w:beforeAutospacing="0" w:after="0" w:afterAutospacing="0"/>
              <w:jc w:val="center"/>
              <w:rPr>
                <w:rFonts w:ascii="Arial" w:hAnsi="Arial" w:cs="Arial"/>
                <w:sz w:val="20"/>
                <w:szCs w:val="20"/>
              </w:rPr>
            </w:pPr>
            <w:r w:rsidRPr="003B27CD">
              <w:rPr>
                <w:rFonts w:ascii="Arial" w:hAnsi="Arial" w:cs="Arial"/>
                <w:color w:val="000000" w:themeColor="text1"/>
                <w:kern w:val="24"/>
                <w:position w:val="1"/>
                <w:sz w:val="20"/>
                <w:szCs w:val="20"/>
              </w:rPr>
              <w:t xml:space="preserve">CH </w:t>
            </w:r>
            <w:r w:rsidRPr="003B27CD">
              <w:rPr>
                <w:rFonts w:ascii="Arial" w:hAnsi="Arial" w:cs="Arial"/>
                <w:color w:val="000000" w:themeColor="text1"/>
                <w:kern w:val="24"/>
                <w:sz w:val="20"/>
                <w:szCs w:val="20"/>
              </w:rPr>
              <w:t>(cm)</w:t>
            </w:r>
          </w:p>
        </w:tc>
        <w:tc>
          <w:tcPr>
            <w:tcW w:w="1181" w:type="dxa"/>
            <w:tcBorders>
              <w:top w:val="single" w:sz="4" w:space="0" w:color="auto"/>
              <w:left w:val="nil"/>
              <w:bottom w:val="single" w:sz="4" w:space="0" w:color="auto"/>
              <w:right w:val="nil"/>
            </w:tcBorders>
            <w:vAlign w:val="center"/>
            <w:hideMark/>
          </w:tcPr>
          <w:p w14:paraId="5500320A" w14:textId="77777777" w:rsidR="003B27CD" w:rsidRPr="003B27CD" w:rsidRDefault="003B27CD">
            <w:pPr>
              <w:pStyle w:val="NormalWeb"/>
              <w:spacing w:before="0" w:beforeAutospacing="0" w:after="0" w:afterAutospacing="0"/>
              <w:jc w:val="center"/>
              <w:rPr>
                <w:rFonts w:ascii="Arial" w:hAnsi="Arial" w:cs="Arial"/>
                <w:sz w:val="20"/>
                <w:szCs w:val="20"/>
              </w:rPr>
            </w:pPr>
            <w:r w:rsidRPr="003B27CD">
              <w:rPr>
                <w:rFonts w:ascii="Arial" w:hAnsi="Arial" w:cs="Arial"/>
                <w:color w:val="000000" w:themeColor="text1"/>
                <w:kern w:val="24"/>
                <w:position w:val="1"/>
                <w:sz w:val="20"/>
                <w:szCs w:val="20"/>
              </w:rPr>
              <w:t xml:space="preserve">NL </w:t>
            </w:r>
            <w:r w:rsidRPr="003B27CD">
              <w:rPr>
                <w:rFonts w:ascii="Arial" w:hAnsi="Arial" w:cs="Arial"/>
                <w:color w:val="000000" w:themeColor="text1"/>
                <w:kern w:val="24"/>
                <w:sz w:val="20"/>
                <w:szCs w:val="20"/>
              </w:rPr>
              <w:t>(sheet)</w:t>
            </w:r>
          </w:p>
        </w:tc>
      </w:tr>
      <w:tr w:rsidR="003B27CD" w:rsidRPr="00DD7585" w14:paraId="58F9C526" w14:textId="77777777" w:rsidTr="003B27CD">
        <w:trPr>
          <w:trHeight w:val="91"/>
        </w:trPr>
        <w:tc>
          <w:tcPr>
            <w:tcW w:w="5103" w:type="dxa"/>
            <w:tcBorders>
              <w:top w:val="nil"/>
              <w:left w:val="nil"/>
              <w:bottom w:val="nil"/>
              <w:right w:val="nil"/>
            </w:tcBorders>
            <w:noWrap/>
            <w:vAlign w:val="bottom"/>
            <w:hideMark/>
          </w:tcPr>
          <w:p w14:paraId="404C0E40" w14:textId="77777777" w:rsidR="003B27CD" w:rsidRPr="003B27CD" w:rsidRDefault="003B27CD" w:rsidP="003B27CD">
            <w:pPr>
              <w:pStyle w:val="NormalWeb"/>
              <w:spacing w:before="0" w:beforeAutospacing="0" w:after="0" w:afterAutospacing="0" w:line="91" w:lineRule="atLeast"/>
              <w:rPr>
                <w:rFonts w:ascii="Arial" w:hAnsi="Arial" w:cs="Arial"/>
                <w:sz w:val="20"/>
                <w:szCs w:val="20"/>
              </w:rPr>
            </w:pPr>
            <w:r w:rsidRPr="003B27CD">
              <w:rPr>
                <w:rFonts w:ascii="Arial" w:eastAsia="HK Grotesk Medium" w:hAnsi="Arial" w:cs="Arial"/>
                <w:color w:val="000000"/>
                <w:kern w:val="24"/>
                <w:sz w:val="20"/>
                <w:szCs w:val="20"/>
              </w:rPr>
              <w:t xml:space="preserve">P0 = 220 kg sandy soil </w:t>
            </w:r>
          </w:p>
        </w:tc>
        <w:tc>
          <w:tcPr>
            <w:tcW w:w="1275" w:type="dxa"/>
            <w:tcBorders>
              <w:top w:val="single" w:sz="4" w:space="0" w:color="auto"/>
              <w:left w:val="nil"/>
              <w:bottom w:val="nil"/>
              <w:right w:val="nil"/>
            </w:tcBorders>
            <w:noWrap/>
            <w:vAlign w:val="center"/>
            <w:hideMark/>
          </w:tcPr>
          <w:p w14:paraId="40CB86F0"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21.20 c</w:t>
            </w:r>
          </w:p>
        </w:tc>
        <w:tc>
          <w:tcPr>
            <w:tcW w:w="1181" w:type="dxa"/>
            <w:tcBorders>
              <w:top w:val="nil"/>
              <w:left w:val="nil"/>
              <w:bottom w:val="nil"/>
              <w:right w:val="nil"/>
            </w:tcBorders>
            <w:noWrap/>
            <w:vAlign w:val="center"/>
            <w:hideMark/>
          </w:tcPr>
          <w:p w14:paraId="5B048F49"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16.07 e</w:t>
            </w:r>
          </w:p>
        </w:tc>
      </w:tr>
      <w:tr w:rsidR="003B27CD" w:rsidRPr="00DD7585" w14:paraId="6A3F74B8" w14:textId="77777777" w:rsidTr="003B27CD">
        <w:trPr>
          <w:trHeight w:val="386"/>
        </w:trPr>
        <w:tc>
          <w:tcPr>
            <w:tcW w:w="5103" w:type="dxa"/>
            <w:tcBorders>
              <w:top w:val="nil"/>
              <w:left w:val="nil"/>
              <w:bottom w:val="nil"/>
              <w:right w:val="nil"/>
            </w:tcBorders>
            <w:noWrap/>
            <w:vAlign w:val="bottom"/>
            <w:hideMark/>
          </w:tcPr>
          <w:p w14:paraId="010D36A6"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P1 = 220 kg sandy soil + 20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+ 10 kg weed ameliorant</w:t>
            </w:r>
          </w:p>
        </w:tc>
        <w:tc>
          <w:tcPr>
            <w:tcW w:w="1275" w:type="dxa"/>
            <w:tcBorders>
              <w:top w:val="nil"/>
              <w:left w:val="nil"/>
              <w:bottom w:val="nil"/>
              <w:right w:val="nil"/>
            </w:tcBorders>
            <w:noWrap/>
            <w:vAlign w:val="center"/>
            <w:hideMark/>
          </w:tcPr>
          <w:p w14:paraId="72F62AB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30.07 a</w:t>
            </w:r>
          </w:p>
        </w:tc>
        <w:tc>
          <w:tcPr>
            <w:tcW w:w="1181" w:type="dxa"/>
            <w:tcBorders>
              <w:top w:val="nil"/>
              <w:left w:val="nil"/>
              <w:bottom w:val="nil"/>
              <w:right w:val="nil"/>
            </w:tcBorders>
            <w:noWrap/>
            <w:vAlign w:val="center"/>
            <w:hideMark/>
          </w:tcPr>
          <w:p w14:paraId="68D2637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 xml:space="preserve">26.27 </w:t>
            </w:r>
            <w:proofErr w:type="spellStart"/>
            <w:r w:rsidRPr="00DD7585">
              <w:rPr>
                <w:rFonts w:ascii="Arial" w:hAnsi="Arial" w:cs="Arial"/>
                <w:color w:val="000000"/>
                <w:szCs w:val="24"/>
              </w:rPr>
              <w:t>bc</w:t>
            </w:r>
            <w:proofErr w:type="spellEnd"/>
          </w:p>
        </w:tc>
      </w:tr>
      <w:tr w:rsidR="003B27CD" w:rsidRPr="00DD7585" w14:paraId="765B6515" w14:textId="77777777" w:rsidTr="003B27CD">
        <w:trPr>
          <w:trHeight w:val="300"/>
        </w:trPr>
        <w:tc>
          <w:tcPr>
            <w:tcW w:w="5103" w:type="dxa"/>
            <w:tcBorders>
              <w:top w:val="nil"/>
              <w:left w:val="nil"/>
              <w:bottom w:val="nil"/>
              <w:right w:val="nil"/>
            </w:tcBorders>
            <w:noWrap/>
            <w:vAlign w:val="bottom"/>
            <w:hideMark/>
          </w:tcPr>
          <w:p w14:paraId="1F6DAD88"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P2 = 220 kg sandy soil + 20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+ 10 kg chicken manure</w:t>
            </w:r>
          </w:p>
        </w:tc>
        <w:tc>
          <w:tcPr>
            <w:tcW w:w="1275" w:type="dxa"/>
            <w:tcBorders>
              <w:top w:val="nil"/>
              <w:left w:val="nil"/>
              <w:bottom w:val="nil"/>
              <w:right w:val="nil"/>
            </w:tcBorders>
            <w:noWrap/>
            <w:vAlign w:val="center"/>
            <w:hideMark/>
          </w:tcPr>
          <w:p w14:paraId="4DA70975"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31.47 a</w:t>
            </w:r>
          </w:p>
        </w:tc>
        <w:tc>
          <w:tcPr>
            <w:tcW w:w="1181" w:type="dxa"/>
            <w:tcBorders>
              <w:top w:val="nil"/>
              <w:left w:val="nil"/>
              <w:bottom w:val="nil"/>
              <w:right w:val="nil"/>
            </w:tcBorders>
            <w:noWrap/>
            <w:vAlign w:val="center"/>
            <w:hideMark/>
          </w:tcPr>
          <w:p w14:paraId="1C22992F"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29.87 ab</w:t>
            </w:r>
          </w:p>
        </w:tc>
      </w:tr>
      <w:tr w:rsidR="003B27CD" w:rsidRPr="00DD7585" w14:paraId="7EA61C27" w14:textId="77777777" w:rsidTr="003B27CD">
        <w:trPr>
          <w:trHeight w:val="300"/>
        </w:trPr>
        <w:tc>
          <w:tcPr>
            <w:tcW w:w="5103" w:type="dxa"/>
            <w:tcBorders>
              <w:top w:val="nil"/>
              <w:left w:val="nil"/>
              <w:bottom w:val="nil"/>
              <w:right w:val="nil"/>
            </w:tcBorders>
            <w:noWrap/>
            <w:vAlign w:val="bottom"/>
            <w:hideMark/>
          </w:tcPr>
          <w:p w14:paraId="2B41BBA2"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P3 = 220 kg sandy soil + 30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+ 20 kg weed ameliorant</w:t>
            </w:r>
          </w:p>
        </w:tc>
        <w:tc>
          <w:tcPr>
            <w:tcW w:w="1275" w:type="dxa"/>
            <w:tcBorders>
              <w:top w:val="nil"/>
              <w:left w:val="nil"/>
              <w:bottom w:val="nil"/>
              <w:right w:val="nil"/>
            </w:tcBorders>
            <w:noWrap/>
            <w:vAlign w:val="center"/>
            <w:hideMark/>
          </w:tcPr>
          <w:p w14:paraId="13C80A00"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32.53 a</w:t>
            </w:r>
          </w:p>
        </w:tc>
        <w:tc>
          <w:tcPr>
            <w:tcW w:w="1181" w:type="dxa"/>
            <w:tcBorders>
              <w:top w:val="nil"/>
              <w:left w:val="nil"/>
              <w:bottom w:val="nil"/>
              <w:right w:val="nil"/>
            </w:tcBorders>
            <w:noWrap/>
            <w:vAlign w:val="center"/>
            <w:hideMark/>
          </w:tcPr>
          <w:p w14:paraId="7C3454C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31.07 a</w:t>
            </w:r>
          </w:p>
        </w:tc>
      </w:tr>
      <w:tr w:rsidR="003B27CD" w:rsidRPr="00DD7585" w14:paraId="417B0EE3" w14:textId="77777777" w:rsidTr="003B27CD">
        <w:trPr>
          <w:trHeight w:val="300"/>
        </w:trPr>
        <w:tc>
          <w:tcPr>
            <w:tcW w:w="5103" w:type="dxa"/>
            <w:tcBorders>
              <w:top w:val="nil"/>
              <w:left w:val="nil"/>
              <w:bottom w:val="nil"/>
              <w:right w:val="nil"/>
            </w:tcBorders>
            <w:noWrap/>
            <w:vAlign w:val="bottom"/>
            <w:hideMark/>
          </w:tcPr>
          <w:p w14:paraId="459302B9"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P4 = 220 kg sandy soil + 30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+ 20 kg chicken manure</w:t>
            </w:r>
          </w:p>
        </w:tc>
        <w:tc>
          <w:tcPr>
            <w:tcW w:w="1275" w:type="dxa"/>
            <w:tcBorders>
              <w:top w:val="nil"/>
              <w:left w:val="nil"/>
              <w:bottom w:val="nil"/>
              <w:right w:val="nil"/>
            </w:tcBorders>
            <w:noWrap/>
            <w:vAlign w:val="center"/>
            <w:hideMark/>
          </w:tcPr>
          <w:p w14:paraId="33DC451B"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28.20 ab</w:t>
            </w:r>
          </w:p>
        </w:tc>
        <w:tc>
          <w:tcPr>
            <w:tcW w:w="1181" w:type="dxa"/>
            <w:tcBorders>
              <w:top w:val="nil"/>
              <w:left w:val="nil"/>
              <w:bottom w:val="nil"/>
              <w:right w:val="nil"/>
            </w:tcBorders>
            <w:noWrap/>
            <w:vAlign w:val="center"/>
            <w:hideMark/>
          </w:tcPr>
          <w:p w14:paraId="2453E4BE"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23.27 cd</w:t>
            </w:r>
          </w:p>
        </w:tc>
      </w:tr>
      <w:tr w:rsidR="003B27CD" w:rsidRPr="00DD7585" w14:paraId="5B94BE0B" w14:textId="77777777" w:rsidTr="003B27CD">
        <w:trPr>
          <w:trHeight w:val="287"/>
        </w:trPr>
        <w:tc>
          <w:tcPr>
            <w:tcW w:w="5103" w:type="dxa"/>
            <w:tcBorders>
              <w:top w:val="nil"/>
              <w:left w:val="nil"/>
              <w:bottom w:val="nil"/>
              <w:right w:val="nil"/>
            </w:tcBorders>
            <w:noWrap/>
            <w:vAlign w:val="bottom"/>
            <w:hideMark/>
          </w:tcPr>
          <w:p w14:paraId="28F6E758" w14:textId="77777777" w:rsidR="003B27CD" w:rsidRPr="003B27CD" w:rsidRDefault="003B27CD" w:rsidP="003B27CD">
            <w:pPr>
              <w:pStyle w:val="NormalWeb"/>
              <w:spacing w:before="0" w:beforeAutospacing="0" w:after="0" w:afterAutospacing="0" w:line="287" w:lineRule="atLeast"/>
              <w:rPr>
                <w:rFonts w:ascii="Arial" w:hAnsi="Arial" w:cs="Arial"/>
                <w:sz w:val="20"/>
                <w:szCs w:val="20"/>
              </w:rPr>
            </w:pPr>
            <w:r w:rsidRPr="003B27CD">
              <w:rPr>
                <w:rFonts w:ascii="Arial" w:eastAsia="HK Grotesk Medium" w:hAnsi="Arial" w:cs="Arial"/>
                <w:color w:val="000000"/>
                <w:kern w:val="24"/>
                <w:sz w:val="20"/>
                <w:szCs w:val="20"/>
              </w:rPr>
              <w:t xml:space="preserve">P5 = 220 kg sandy soil + 40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+ 30 kg weed ameliorant</w:t>
            </w:r>
          </w:p>
        </w:tc>
        <w:tc>
          <w:tcPr>
            <w:tcW w:w="1275" w:type="dxa"/>
            <w:tcBorders>
              <w:top w:val="nil"/>
              <w:left w:val="nil"/>
              <w:bottom w:val="nil"/>
              <w:right w:val="nil"/>
            </w:tcBorders>
            <w:noWrap/>
            <w:vAlign w:val="center"/>
            <w:hideMark/>
          </w:tcPr>
          <w:p w14:paraId="2315DC62"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32.40 a</w:t>
            </w:r>
          </w:p>
        </w:tc>
        <w:tc>
          <w:tcPr>
            <w:tcW w:w="1181" w:type="dxa"/>
            <w:tcBorders>
              <w:top w:val="nil"/>
              <w:left w:val="nil"/>
              <w:bottom w:val="nil"/>
              <w:right w:val="nil"/>
            </w:tcBorders>
            <w:noWrap/>
            <w:vAlign w:val="center"/>
            <w:hideMark/>
          </w:tcPr>
          <w:p w14:paraId="18B46509" w14:textId="77777777" w:rsidR="003B27CD" w:rsidRPr="00DD7585" w:rsidRDefault="00495F7F" w:rsidP="00A84B44">
            <w:pPr>
              <w:jc w:val="center"/>
              <w:rPr>
                <w:rFonts w:ascii="Arial" w:hAnsi="Arial" w:cs="Arial"/>
                <w:color w:val="000000"/>
                <w:szCs w:val="24"/>
              </w:rPr>
            </w:pPr>
            <w:r>
              <w:rPr>
                <w:rFonts w:ascii="Arial" w:hAnsi="Arial" w:cs="Arial"/>
                <w:color w:val="000000"/>
                <w:szCs w:val="24"/>
              </w:rPr>
              <w:t>31.8</w:t>
            </w:r>
            <w:r w:rsidR="003B27CD" w:rsidRPr="00DD7585">
              <w:rPr>
                <w:rFonts w:ascii="Arial" w:hAnsi="Arial" w:cs="Arial"/>
                <w:color w:val="000000"/>
                <w:szCs w:val="24"/>
              </w:rPr>
              <w:t xml:space="preserve"> a</w:t>
            </w:r>
          </w:p>
        </w:tc>
      </w:tr>
      <w:tr w:rsidR="003B27CD" w:rsidRPr="00DD7585" w14:paraId="57014DFA" w14:textId="77777777" w:rsidTr="003B27CD">
        <w:trPr>
          <w:trHeight w:val="80"/>
        </w:trPr>
        <w:tc>
          <w:tcPr>
            <w:tcW w:w="5103" w:type="dxa"/>
            <w:tcBorders>
              <w:top w:val="nil"/>
              <w:left w:val="nil"/>
              <w:bottom w:val="single" w:sz="4" w:space="0" w:color="auto"/>
              <w:right w:val="nil"/>
            </w:tcBorders>
            <w:noWrap/>
            <w:vAlign w:val="bottom"/>
            <w:hideMark/>
          </w:tcPr>
          <w:p w14:paraId="744B998A" w14:textId="77777777" w:rsidR="003B27CD" w:rsidRPr="003B27CD" w:rsidRDefault="003B27CD" w:rsidP="003B27CD">
            <w:pPr>
              <w:pStyle w:val="NormalWeb"/>
              <w:spacing w:before="0" w:beforeAutospacing="0" w:after="0" w:afterAutospacing="0" w:line="276" w:lineRule="auto"/>
              <w:rPr>
                <w:rFonts w:ascii="Arial" w:hAnsi="Arial" w:cs="Arial"/>
                <w:sz w:val="20"/>
                <w:szCs w:val="20"/>
              </w:rPr>
            </w:pPr>
            <w:r w:rsidRPr="003B27CD">
              <w:rPr>
                <w:rFonts w:ascii="Arial" w:eastAsia="HK Grotesk Medium" w:hAnsi="Arial" w:cs="Arial"/>
                <w:color w:val="000000"/>
                <w:kern w:val="24"/>
                <w:sz w:val="20"/>
                <w:szCs w:val="20"/>
              </w:rPr>
              <w:t xml:space="preserve">P6 = 220 kg sandy soil + 40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+ 30 kg chicken manure</w:t>
            </w:r>
          </w:p>
        </w:tc>
        <w:tc>
          <w:tcPr>
            <w:tcW w:w="1275" w:type="dxa"/>
            <w:tcBorders>
              <w:top w:val="nil"/>
              <w:left w:val="nil"/>
              <w:bottom w:val="single" w:sz="4" w:space="0" w:color="auto"/>
              <w:right w:val="nil"/>
            </w:tcBorders>
            <w:noWrap/>
            <w:vAlign w:val="center"/>
            <w:hideMark/>
          </w:tcPr>
          <w:p w14:paraId="134E3268"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 xml:space="preserve">23.80 </w:t>
            </w:r>
            <w:proofErr w:type="spellStart"/>
            <w:r w:rsidRPr="00DD7585">
              <w:rPr>
                <w:rFonts w:ascii="Arial" w:hAnsi="Arial" w:cs="Arial"/>
                <w:color w:val="000000"/>
                <w:szCs w:val="24"/>
              </w:rPr>
              <w:t>bc</w:t>
            </w:r>
            <w:proofErr w:type="spellEnd"/>
          </w:p>
        </w:tc>
        <w:tc>
          <w:tcPr>
            <w:tcW w:w="1181" w:type="dxa"/>
            <w:tcBorders>
              <w:top w:val="nil"/>
              <w:left w:val="nil"/>
              <w:bottom w:val="single" w:sz="4" w:space="0" w:color="auto"/>
              <w:right w:val="nil"/>
            </w:tcBorders>
            <w:noWrap/>
            <w:vAlign w:val="center"/>
            <w:hideMark/>
          </w:tcPr>
          <w:p w14:paraId="39F06938"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16.07 e</w:t>
            </w:r>
          </w:p>
        </w:tc>
      </w:tr>
    </w:tbl>
    <w:p w14:paraId="68195858" w14:textId="77777777" w:rsidR="003B27CD" w:rsidRPr="003B27CD" w:rsidRDefault="003B27CD" w:rsidP="003B27CD">
      <w:pPr>
        <w:tabs>
          <w:tab w:val="left" w:pos="3402"/>
        </w:tabs>
        <w:spacing w:line="276" w:lineRule="auto"/>
        <w:ind w:left="993" w:hanging="567"/>
        <w:jc w:val="both"/>
        <w:rPr>
          <w:rFonts w:ascii="Arial" w:hAnsi="Arial" w:cs="Arial"/>
        </w:rPr>
      </w:pPr>
      <w:r w:rsidRPr="003B27CD">
        <w:rPr>
          <w:rFonts w:ascii="Arial" w:hAnsi="Arial" w:cs="Arial"/>
        </w:rPr>
        <w:t>Note: Figures followed by the same letter in the same column are not significantly</w:t>
      </w:r>
      <w:r>
        <w:rPr>
          <w:rFonts w:ascii="Arial" w:hAnsi="Arial" w:cs="Arial"/>
        </w:rPr>
        <w:t xml:space="preserve"> </w:t>
      </w:r>
      <w:r w:rsidRPr="003B27CD">
        <w:rPr>
          <w:rFonts w:ascii="Arial" w:hAnsi="Arial" w:cs="Arial"/>
        </w:rPr>
        <w:t>different at the 5% DMRT level. CH = Crown Height, NL = Number of Leaves.</w:t>
      </w:r>
    </w:p>
    <w:p w14:paraId="2F5F10B8" w14:textId="77777777" w:rsidR="00CE5A0E" w:rsidRPr="00CE5A0E" w:rsidRDefault="00CE5A0E" w:rsidP="00CE5A0E">
      <w:pPr>
        <w:tabs>
          <w:tab w:val="left" w:pos="3402"/>
        </w:tabs>
        <w:spacing w:line="276" w:lineRule="auto"/>
        <w:ind w:firstLine="567"/>
        <w:jc w:val="both"/>
        <w:rPr>
          <w:rFonts w:ascii="Arial" w:hAnsi="Arial" w:cs="Arial"/>
        </w:rPr>
      </w:pPr>
      <w:r w:rsidRPr="00CE5A0E">
        <w:rPr>
          <w:rFonts w:ascii="Arial" w:hAnsi="Arial" w:cs="Arial"/>
        </w:rPr>
        <w:t>The results of the DMRT analysis in Table 4 show that treatment P</w:t>
      </w:r>
      <w:r w:rsidRPr="002E799E">
        <w:rPr>
          <w:rFonts w:ascii="Arial" w:hAnsi="Arial" w:cs="Arial"/>
          <w:vertAlign w:val="subscript"/>
        </w:rPr>
        <w:t>3</w:t>
      </w:r>
      <w:r w:rsidRPr="00CE5A0E">
        <w:rPr>
          <w:rFonts w:ascii="Arial" w:hAnsi="Arial" w:cs="Arial"/>
        </w:rPr>
        <w:t xml:space="preserve"> produced the highest crown height (32.53 cm) and was not significantly different from P</w:t>
      </w:r>
      <w:r w:rsidRPr="002E799E">
        <w:rPr>
          <w:rFonts w:ascii="Arial" w:hAnsi="Arial" w:cs="Arial"/>
          <w:vertAlign w:val="subscript"/>
        </w:rPr>
        <w:t>5</w:t>
      </w:r>
      <w:r w:rsidRPr="00CE5A0E">
        <w:rPr>
          <w:rFonts w:ascii="Arial" w:hAnsi="Arial" w:cs="Arial"/>
        </w:rPr>
        <w:t xml:space="preserve"> (32.40 cm), P</w:t>
      </w:r>
      <w:r w:rsidRPr="002E799E">
        <w:rPr>
          <w:rFonts w:ascii="Arial" w:hAnsi="Arial" w:cs="Arial"/>
          <w:vertAlign w:val="subscript"/>
        </w:rPr>
        <w:t>2</w:t>
      </w:r>
      <w:r w:rsidRPr="00CE5A0E">
        <w:rPr>
          <w:rFonts w:ascii="Arial" w:hAnsi="Arial" w:cs="Arial"/>
        </w:rPr>
        <w:t xml:space="preserve"> (31.47 cm), P</w:t>
      </w:r>
      <w:r w:rsidRPr="002E799E">
        <w:rPr>
          <w:rFonts w:ascii="Arial" w:hAnsi="Arial" w:cs="Arial"/>
          <w:vertAlign w:val="subscript"/>
        </w:rPr>
        <w:t>1</w:t>
      </w:r>
      <w:r w:rsidRPr="00CE5A0E">
        <w:rPr>
          <w:rFonts w:ascii="Arial" w:hAnsi="Arial" w:cs="Arial"/>
        </w:rPr>
        <w:t xml:space="preserve"> (30.07 cm), and P</w:t>
      </w:r>
      <w:r w:rsidRPr="002E799E">
        <w:rPr>
          <w:rFonts w:ascii="Arial" w:hAnsi="Arial" w:cs="Arial"/>
          <w:vertAlign w:val="subscript"/>
        </w:rPr>
        <w:t>4</w:t>
      </w:r>
      <w:r w:rsidRPr="00CE5A0E">
        <w:rPr>
          <w:rFonts w:ascii="Arial" w:hAnsi="Arial" w:cs="Arial"/>
        </w:rPr>
        <w:t xml:space="preserve"> (28.20 cm). Conversely, P</w:t>
      </w:r>
      <w:r w:rsidRPr="002E799E">
        <w:rPr>
          <w:rFonts w:ascii="Arial" w:hAnsi="Arial" w:cs="Arial"/>
          <w:vertAlign w:val="subscript"/>
        </w:rPr>
        <w:t>0</w:t>
      </w:r>
      <w:r w:rsidRPr="00CE5A0E">
        <w:rPr>
          <w:rFonts w:ascii="Arial" w:hAnsi="Arial" w:cs="Arial"/>
        </w:rPr>
        <w:t xml:space="preserve"> (21.20 cm) produced the lowest crown height and was not significantly different from P</w:t>
      </w:r>
      <w:r w:rsidRPr="002E799E">
        <w:rPr>
          <w:rFonts w:ascii="Arial" w:hAnsi="Arial" w:cs="Arial"/>
          <w:vertAlign w:val="subscript"/>
        </w:rPr>
        <w:t>6</w:t>
      </w:r>
      <w:r w:rsidRPr="00CE5A0E">
        <w:rPr>
          <w:rFonts w:ascii="Arial" w:hAnsi="Arial" w:cs="Arial"/>
        </w:rPr>
        <w:t xml:space="preserve"> (23.80 cm). In terms of the number of leaves, treatment P</w:t>
      </w:r>
      <w:r w:rsidRPr="002E799E">
        <w:rPr>
          <w:rFonts w:ascii="Arial" w:hAnsi="Arial" w:cs="Arial"/>
          <w:vertAlign w:val="subscript"/>
        </w:rPr>
        <w:t>5</w:t>
      </w:r>
      <w:r w:rsidRPr="00CE5A0E">
        <w:rPr>
          <w:rFonts w:ascii="Arial" w:hAnsi="Arial" w:cs="Arial"/>
        </w:rPr>
        <w:t xml:space="preserve"> produced the highest number of leaves, namely </w:t>
      </w:r>
      <w:r w:rsidR="00495F7F">
        <w:rPr>
          <w:rFonts w:ascii="Arial" w:hAnsi="Arial" w:cs="Arial"/>
        </w:rPr>
        <w:t>31.8</w:t>
      </w:r>
      <w:r w:rsidRPr="00CE5A0E">
        <w:rPr>
          <w:rFonts w:ascii="Arial" w:hAnsi="Arial" w:cs="Arial"/>
        </w:rPr>
        <w:t xml:space="preserve"> leaves, which was not significantly different from P</w:t>
      </w:r>
      <w:r w:rsidRPr="002E799E">
        <w:rPr>
          <w:rFonts w:ascii="Arial" w:hAnsi="Arial" w:cs="Arial"/>
          <w:vertAlign w:val="subscript"/>
        </w:rPr>
        <w:t>3</w:t>
      </w:r>
      <w:r w:rsidRPr="00CE5A0E">
        <w:rPr>
          <w:rFonts w:ascii="Arial" w:hAnsi="Arial" w:cs="Arial"/>
        </w:rPr>
        <w:t xml:space="preserve"> (31.07 leaves) and P</w:t>
      </w:r>
      <w:r w:rsidRPr="002E799E">
        <w:rPr>
          <w:rFonts w:ascii="Arial" w:hAnsi="Arial" w:cs="Arial"/>
          <w:vertAlign w:val="subscript"/>
        </w:rPr>
        <w:t>2</w:t>
      </w:r>
      <w:r w:rsidRPr="00CE5A0E">
        <w:rPr>
          <w:rFonts w:ascii="Arial" w:hAnsi="Arial" w:cs="Arial"/>
        </w:rPr>
        <w:t xml:space="preserve"> (29.87 leaves). The lowest result was shown by P</w:t>
      </w:r>
      <w:r w:rsidRPr="002E799E">
        <w:rPr>
          <w:rFonts w:ascii="Arial" w:hAnsi="Arial" w:cs="Arial"/>
          <w:vertAlign w:val="subscript"/>
        </w:rPr>
        <w:t>0</w:t>
      </w:r>
      <w:r w:rsidRPr="00CE5A0E">
        <w:rPr>
          <w:rFonts w:ascii="Arial" w:hAnsi="Arial" w:cs="Arial"/>
        </w:rPr>
        <w:t xml:space="preserve"> with an average number of leaves of 16.07 leaves. This difference is related to the nature of the planting medium. Treatment P</w:t>
      </w:r>
      <w:r w:rsidRPr="002E799E">
        <w:rPr>
          <w:rFonts w:ascii="Arial" w:hAnsi="Arial" w:cs="Arial"/>
          <w:vertAlign w:val="subscript"/>
        </w:rPr>
        <w:t>0</w:t>
      </w:r>
      <w:r w:rsidRPr="00CE5A0E">
        <w:rPr>
          <w:rFonts w:ascii="Arial" w:hAnsi="Arial" w:cs="Arial"/>
        </w:rPr>
        <w:t xml:space="preserve"> had a texture of 81.78% sand with very high permeability (</w:t>
      </w:r>
      <w:r w:rsidR="00495F7F">
        <w:rPr>
          <w:rFonts w:ascii="Arial" w:hAnsi="Arial" w:cs="Arial"/>
        </w:rPr>
        <w:t>59.4</w:t>
      </w:r>
      <w:r w:rsidRPr="00CE5A0E">
        <w:rPr>
          <w:rFonts w:ascii="Arial" w:hAnsi="Arial" w:cs="Arial"/>
        </w:rPr>
        <w:t xml:space="preserve"> cm/hour) and low water content (3.75%), causing water and nutrients to be easily washed away, resulting in nutrient absorption disruption that inhibited crown height and leaf number growth. In contrast, P</w:t>
      </w:r>
      <w:r w:rsidRPr="00AC0BD9">
        <w:rPr>
          <w:rFonts w:ascii="Arial" w:hAnsi="Arial" w:cs="Arial"/>
          <w:vertAlign w:val="subscript"/>
        </w:rPr>
        <w:t>5</w:t>
      </w:r>
      <w:r w:rsidRPr="00CE5A0E">
        <w:rPr>
          <w:rFonts w:ascii="Arial" w:hAnsi="Arial" w:cs="Arial"/>
        </w:rPr>
        <w:t xml:space="preserve"> showed better growing medium conditions with a texture of 51.76% sand, 25.23% clay, and 23.01% silt, moderate permeability (9.65 cm/hour), and a pH of 6.6, resulting in more optimal water and nutrient availability for canopy and leaf formation. Treatment P</w:t>
      </w:r>
      <w:r w:rsidRPr="00AC0BD9">
        <w:rPr>
          <w:rFonts w:ascii="Arial" w:hAnsi="Arial" w:cs="Arial"/>
          <w:vertAlign w:val="subscript"/>
        </w:rPr>
        <w:t>3</w:t>
      </w:r>
      <w:r w:rsidRPr="00CE5A0E">
        <w:rPr>
          <w:rFonts w:ascii="Arial" w:hAnsi="Arial" w:cs="Arial"/>
        </w:rPr>
        <w:t xml:space="preserve"> also supports growth through a texture of 60.23% sand, 21.32% clay, 16.65% silt, and a pH of 6.2, which is still suitable for shallots.</w:t>
      </w:r>
    </w:p>
    <w:p w14:paraId="6D113A22" w14:textId="77777777" w:rsidR="003A3629" w:rsidRPr="00A84B44" w:rsidRDefault="00CE5A0E" w:rsidP="00CE5A0E">
      <w:pPr>
        <w:tabs>
          <w:tab w:val="left" w:pos="3402"/>
        </w:tabs>
        <w:spacing w:line="276" w:lineRule="auto"/>
        <w:ind w:firstLine="567"/>
        <w:jc w:val="both"/>
        <w:rPr>
          <w:rFonts w:ascii="Arial" w:hAnsi="Arial" w:cs="Arial"/>
        </w:rPr>
      </w:pPr>
      <w:r w:rsidRPr="00CE5A0E">
        <w:rPr>
          <w:rFonts w:ascii="Arial" w:hAnsi="Arial" w:cs="Arial"/>
        </w:rPr>
        <w:t>This is in line with research</w:t>
      </w:r>
      <w:r w:rsidR="00A84B44" w:rsidRPr="00A84B44">
        <w:rPr>
          <w:rFonts w:ascii="Arial" w:hAnsi="Arial" w:cs="Arial"/>
        </w:rPr>
        <w:t xml:space="preserve"> </w:t>
      </w:r>
      <w:r w:rsidR="00367F88">
        <w:rPr>
          <w:rFonts w:ascii="Arial" w:hAnsi="Arial" w:cs="Arial"/>
        </w:rPr>
        <w:fldChar w:fldCharType="begin" w:fldLock="1"/>
      </w:r>
      <w:r w:rsidR="00367F88">
        <w:rPr>
          <w:rFonts w:ascii="Arial" w:hAnsi="Arial" w:cs="Arial"/>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367F88">
        <w:rPr>
          <w:rFonts w:ascii="Arial" w:hAnsi="Arial" w:cs="Arial"/>
        </w:rPr>
        <w:fldChar w:fldCharType="separate"/>
      </w:r>
      <w:r w:rsidR="00367F88">
        <w:rPr>
          <w:rFonts w:ascii="Arial" w:hAnsi="Arial" w:cs="Arial"/>
          <w:noProof/>
        </w:rPr>
        <w:t xml:space="preserve">Nurjanah </w:t>
      </w:r>
      <w:r w:rsidR="00367F88" w:rsidRPr="00367F88">
        <w:rPr>
          <w:rFonts w:ascii="Arial" w:hAnsi="Arial" w:cs="Arial"/>
          <w:i/>
          <w:noProof/>
        </w:rPr>
        <w:t>et</w:t>
      </w:r>
      <w:r w:rsidR="00367F88">
        <w:rPr>
          <w:rFonts w:ascii="Arial" w:hAnsi="Arial" w:cs="Arial"/>
          <w:noProof/>
        </w:rPr>
        <w:t xml:space="preserve"> </w:t>
      </w:r>
      <w:r w:rsidR="00367F88" w:rsidRPr="00367F88">
        <w:rPr>
          <w:rFonts w:ascii="Arial" w:hAnsi="Arial" w:cs="Arial"/>
          <w:i/>
          <w:noProof/>
        </w:rPr>
        <w:t>al</w:t>
      </w:r>
      <w:r w:rsidR="00367F88">
        <w:rPr>
          <w:rFonts w:ascii="Arial" w:hAnsi="Arial" w:cs="Arial"/>
          <w:noProof/>
        </w:rPr>
        <w:t>.</w:t>
      </w:r>
      <w:r w:rsidR="00367F88">
        <w:rPr>
          <w:rFonts w:ascii="Arial" w:hAnsi="Arial" w:cs="Arial"/>
          <w:noProof/>
          <w:lang w:val="id-ID"/>
        </w:rPr>
        <w:t xml:space="preserve"> (</w:t>
      </w:r>
      <w:r w:rsidR="00367F88" w:rsidRPr="00367F88">
        <w:rPr>
          <w:rFonts w:ascii="Arial" w:hAnsi="Arial" w:cs="Arial"/>
          <w:noProof/>
        </w:rPr>
        <w:t>2024)</w:t>
      </w:r>
      <w:r w:rsidR="00367F88">
        <w:rPr>
          <w:rFonts w:ascii="Arial" w:hAnsi="Arial" w:cs="Arial"/>
        </w:rPr>
        <w:fldChar w:fldCharType="end"/>
      </w:r>
      <w:r w:rsidR="00367F88">
        <w:rPr>
          <w:rFonts w:ascii="Arial" w:hAnsi="Arial" w:cs="Arial"/>
          <w:lang w:val="id-ID"/>
        </w:rPr>
        <w:t xml:space="preserve"> </w:t>
      </w:r>
      <w:r w:rsidRPr="00CE5A0E">
        <w:rPr>
          <w:rFonts w:ascii="Arial" w:hAnsi="Arial" w:cs="Arial"/>
        </w:rPr>
        <w:t xml:space="preserve">which reported that the addition of ameliorants in the form of clay and broadleaf weed compost to </w:t>
      </w:r>
      <w:proofErr w:type="spellStart"/>
      <w:r w:rsidRPr="00CE5A0E">
        <w:rPr>
          <w:rFonts w:ascii="Arial" w:hAnsi="Arial" w:cs="Arial"/>
        </w:rPr>
        <w:t>Entisol</w:t>
      </w:r>
      <w:proofErr w:type="spellEnd"/>
      <w:r w:rsidRPr="00CE5A0E">
        <w:rPr>
          <w:rFonts w:ascii="Arial" w:hAnsi="Arial" w:cs="Arial"/>
        </w:rPr>
        <w:t xml:space="preserve"> coastal soil significantly increased the height of the crown and the number of shallot leaves. In his research, a composition of 7.6 kg of </w:t>
      </w:r>
      <w:proofErr w:type="spellStart"/>
      <w:r w:rsidRPr="00CE5A0E">
        <w:rPr>
          <w:rFonts w:ascii="Arial" w:hAnsi="Arial" w:cs="Arial"/>
        </w:rPr>
        <w:t>Entisol</w:t>
      </w:r>
      <w:proofErr w:type="spellEnd"/>
      <w:r w:rsidRPr="00CE5A0E">
        <w:rPr>
          <w:rFonts w:ascii="Arial" w:hAnsi="Arial" w:cs="Arial"/>
        </w:rPr>
        <w:t xml:space="preserve"> + 1.3 kg of clay + 1.1 kg of broadleaf weed compost produced the highest crown height (43.89 cm) and the most leaves (51.33 leaves) in the Super Philip variety due to improvements in aggregate, texture, and availability of water and nutrients. Meanwhile, P</w:t>
      </w:r>
      <w:r w:rsidRPr="00AC0BD9">
        <w:rPr>
          <w:rFonts w:ascii="Arial" w:hAnsi="Arial" w:cs="Arial"/>
          <w:vertAlign w:val="subscript"/>
        </w:rPr>
        <w:t>6</w:t>
      </w:r>
      <w:r w:rsidRPr="00CE5A0E">
        <w:rPr>
          <w:rFonts w:ascii="Arial" w:hAnsi="Arial" w:cs="Arial"/>
        </w:rPr>
        <w:t xml:space="preserve"> with a clay fraction of 26.81%, acidic pH of 4.8, and permeability of 10.66 cm/hour tended to inhibit growth due to limited aeration and slowed root and soil microorganism activity, resulting in suboptimal nutrient uptake. Similar conditions were also observed by</w:t>
      </w:r>
      <w:r w:rsidR="00A84B44" w:rsidRPr="00A84B44">
        <w:rPr>
          <w:rFonts w:ascii="Arial" w:hAnsi="Arial" w:cs="Arial"/>
        </w:rPr>
        <w:t xml:space="preserve"> </w:t>
      </w:r>
      <w:r w:rsidR="00367F88">
        <w:rPr>
          <w:rFonts w:ascii="Arial" w:hAnsi="Arial" w:cs="Arial"/>
        </w:rPr>
        <w:fldChar w:fldCharType="begin" w:fldLock="1"/>
      </w:r>
      <w:r w:rsidR="00FC37EC">
        <w:rPr>
          <w:rFonts w:ascii="Arial" w:hAnsi="Arial" w:cs="Arial"/>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367F88">
        <w:rPr>
          <w:rFonts w:ascii="Arial" w:hAnsi="Arial" w:cs="Arial"/>
        </w:rPr>
        <w:fldChar w:fldCharType="separate"/>
      </w:r>
      <w:r w:rsidR="00367F88" w:rsidRPr="00367F88">
        <w:rPr>
          <w:rFonts w:ascii="Arial" w:hAnsi="Arial" w:cs="Arial"/>
          <w:noProof/>
        </w:rPr>
        <w:t xml:space="preserve">Nurjanah </w:t>
      </w:r>
      <w:r w:rsidR="00367F88" w:rsidRPr="00367F88">
        <w:rPr>
          <w:rFonts w:ascii="Arial" w:hAnsi="Arial" w:cs="Arial"/>
          <w:i/>
          <w:noProof/>
        </w:rPr>
        <w:t>et</w:t>
      </w:r>
      <w:r w:rsidR="00367F88" w:rsidRPr="00367F88">
        <w:rPr>
          <w:rFonts w:ascii="Arial" w:hAnsi="Arial" w:cs="Arial"/>
          <w:noProof/>
        </w:rPr>
        <w:t xml:space="preserve"> </w:t>
      </w:r>
      <w:r w:rsidR="00367F88" w:rsidRPr="00FC37EC">
        <w:rPr>
          <w:rFonts w:ascii="Arial" w:hAnsi="Arial" w:cs="Arial"/>
          <w:i/>
          <w:noProof/>
        </w:rPr>
        <w:t>al</w:t>
      </w:r>
      <w:r w:rsidR="00367F88" w:rsidRPr="00367F88">
        <w:rPr>
          <w:rFonts w:ascii="Arial" w:hAnsi="Arial" w:cs="Arial"/>
          <w:noProof/>
        </w:rPr>
        <w:t xml:space="preserve">. </w:t>
      </w:r>
      <w:r w:rsidR="00367F88">
        <w:rPr>
          <w:rFonts w:ascii="Arial" w:hAnsi="Arial" w:cs="Arial"/>
          <w:noProof/>
          <w:lang w:val="id-ID"/>
        </w:rPr>
        <w:t>(</w:t>
      </w:r>
      <w:r w:rsidR="00367F88" w:rsidRPr="00367F88">
        <w:rPr>
          <w:rFonts w:ascii="Arial" w:hAnsi="Arial" w:cs="Arial"/>
          <w:noProof/>
        </w:rPr>
        <w:t>2024)</w:t>
      </w:r>
      <w:r w:rsidR="00367F88">
        <w:rPr>
          <w:rFonts w:ascii="Arial" w:hAnsi="Arial" w:cs="Arial"/>
        </w:rPr>
        <w:fldChar w:fldCharType="end"/>
      </w:r>
      <w:r w:rsidR="00A84B44" w:rsidRPr="00A84B44">
        <w:rPr>
          <w:rFonts w:ascii="Arial" w:hAnsi="Arial" w:cs="Arial"/>
        </w:rPr>
        <w:t xml:space="preserve"> </w:t>
      </w:r>
      <w:r w:rsidRPr="00CE5A0E">
        <w:rPr>
          <w:rFonts w:ascii="Arial" w:hAnsi="Arial" w:cs="Arial"/>
        </w:rPr>
        <w:t>which found that in coastal soils with excessively high clay fractions and poor drainage, shallot growth tends to decline due to limited aeration and root activity.</w:t>
      </w:r>
    </w:p>
    <w:p w14:paraId="48F01BA5" w14:textId="77777777" w:rsidR="00E87205" w:rsidRDefault="00B7489A" w:rsidP="00E87205">
      <w:pPr>
        <w:pStyle w:val="ListParagraph"/>
        <w:widowControl w:val="0"/>
        <w:spacing w:after="0" w:line="276" w:lineRule="auto"/>
        <w:ind w:left="0"/>
        <w:jc w:val="both"/>
        <w:rPr>
          <w:rFonts w:ascii="Arial" w:eastAsia="Times New Roman" w:hAnsi="Arial" w:cs="Arial"/>
          <w:b/>
          <w:szCs w:val="24"/>
        </w:rPr>
      </w:pPr>
      <w:r w:rsidRPr="00B7489A">
        <w:rPr>
          <w:rFonts w:ascii="Arial" w:eastAsia="Times New Roman" w:hAnsi="Arial" w:cs="Arial"/>
          <w:b/>
          <w:szCs w:val="24"/>
        </w:rPr>
        <w:lastRenderedPageBreak/>
        <w:t>3.</w:t>
      </w:r>
      <w:r w:rsidR="003A3629">
        <w:rPr>
          <w:rFonts w:ascii="Arial" w:eastAsia="Times New Roman" w:hAnsi="Arial" w:cs="Arial"/>
          <w:b/>
          <w:szCs w:val="24"/>
        </w:rPr>
        <w:t>4</w:t>
      </w:r>
      <w:r w:rsidRPr="00B7489A">
        <w:rPr>
          <w:rFonts w:ascii="Arial" w:eastAsia="Times New Roman" w:hAnsi="Arial" w:cs="Arial"/>
          <w:b/>
          <w:i/>
          <w:szCs w:val="24"/>
        </w:rPr>
        <w:t xml:space="preserve"> </w:t>
      </w:r>
      <w:r w:rsidR="00E87205" w:rsidRPr="00E87205">
        <w:rPr>
          <w:rFonts w:ascii="Arial" w:eastAsia="Times New Roman" w:hAnsi="Arial" w:cs="Arial"/>
          <w:b/>
          <w:szCs w:val="24"/>
        </w:rPr>
        <w:t>The Effect of Planting Media Composition on Yield Components and Yield</w:t>
      </w:r>
    </w:p>
    <w:p w14:paraId="3E6154FE" w14:textId="77777777" w:rsidR="007005A7" w:rsidRPr="00C47CFB" w:rsidRDefault="00E87205" w:rsidP="00E87205">
      <w:pPr>
        <w:pStyle w:val="ListParagraph"/>
        <w:widowControl w:val="0"/>
        <w:spacing w:after="0" w:line="276" w:lineRule="auto"/>
        <w:ind w:left="426"/>
        <w:jc w:val="both"/>
        <w:rPr>
          <w:rFonts w:ascii="Arial" w:eastAsia="Times New Roman" w:hAnsi="Arial" w:cs="Arial"/>
          <w:b/>
          <w:szCs w:val="24"/>
        </w:rPr>
      </w:pPr>
      <w:r w:rsidRPr="00E87205">
        <w:rPr>
          <w:rFonts w:ascii="Arial" w:eastAsia="Times New Roman" w:hAnsi="Arial" w:cs="Arial"/>
          <w:b/>
          <w:szCs w:val="24"/>
        </w:rPr>
        <w:t xml:space="preserve">of Red </w:t>
      </w:r>
      <w:r w:rsidR="00004A75">
        <w:rPr>
          <w:rFonts w:ascii="Arial" w:eastAsia="Times New Roman" w:hAnsi="Arial" w:cs="Arial"/>
          <w:b/>
          <w:szCs w:val="24"/>
        </w:rPr>
        <w:t>Shallot</w:t>
      </w:r>
      <w:r w:rsidRPr="00E87205">
        <w:rPr>
          <w:rFonts w:ascii="Arial" w:eastAsia="Times New Roman" w:hAnsi="Arial" w:cs="Arial"/>
          <w:b/>
          <w:szCs w:val="24"/>
        </w:rPr>
        <w:t xml:space="preserve"> Plants</w:t>
      </w:r>
    </w:p>
    <w:p w14:paraId="37067C20" w14:textId="77777777" w:rsidR="003623AE" w:rsidRDefault="00E87205" w:rsidP="008F794A">
      <w:pPr>
        <w:spacing w:line="276" w:lineRule="auto"/>
        <w:ind w:firstLine="567"/>
        <w:jc w:val="both"/>
        <w:rPr>
          <w:rFonts w:ascii="Arial" w:hAnsi="Arial" w:cs="Arial"/>
          <w:szCs w:val="24"/>
        </w:rPr>
      </w:pPr>
      <w:r w:rsidRPr="00E87205">
        <w:rPr>
          <w:rFonts w:ascii="Arial" w:hAnsi="Arial" w:cs="Arial"/>
          <w:szCs w:val="24"/>
        </w:rPr>
        <w:t>The summary of the 5% DMRT test results in Table 5 shows that all yield variables, including the number of seedlings, tuber diameter, number of tubers per clump, wet and dry tuber weight, weight loss, tuber weight per plot, and yield per hectare, differed significantly between treatments. Treatment P</w:t>
      </w:r>
      <w:r w:rsidRPr="00AC0BD9">
        <w:rPr>
          <w:rFonts w:ascii="Arial" w:hAnsi="Arial" w:cs="Arial"/>
          <w:szCs w:val="24"/>
          <w:vertAlign w:val="subscript"/>
        </w:rPr>
        <w:t>5</w:t>
      </w:r>
      <w:r w:rsidRPr="00E87205">
        <w:rPr>
          <w:rFonts w:ascii="Arial" w:hAnsi="Arial" w:cs="Arial"/>
          <w:szCs w:val="24"/>
        </w:rPr>
        <w:t xml:space="preserve"> produced the highest values for most parameters, while P</w:t>
      </w:r>
      <w:r w:rsidRPr="00AC0BD9">
        <w:rPr>
          <w:rFonts w:ascii="Arial" w:hAnsi="Arial" w:cs="Arial"/>
          <w:szCs w:val="24"/>
          <w:vertAlign w:val="subscript"/>
        </w:rPr>
        <w:t>0</w:t>
      </w:r>
      <w:r w:rsidRPr="00E87205">
        <w:rPr>
          <w:rFonts w:ascii="Arial" w:hAnsi="Arial" w:cs="Arial"/>
          <w:szCs w:val="24"/>
        </w:rPr>
        <w:t xml:space="preserve"> produced the lowest results. These findings confirm that the addition of ameliorants can improve the physical and chemical conditions of the soil, thereby increasing the yield component</w:t>
      </w:r>
      <w:r>
        <w:rPr>
          <w:rFonts w:ascii="Arial" w:hAnsi="Arial" w:cs="Arial"/>
          <w:szCs w:val="24"/>
        </w:rPr>
        <w:t>s and productivity of shallots.</w:t>
      </w:r>
    </w:p>
    <w:p w14:paraId="0ED4A807" w14:textId="77777777" w:rsidR="00CB5406" w:rsidRPr="002F4BFE" w:rsidRDefault="00E87205" w:rsidP="004F63B7">
      <w:pPr>
        <w:tabs>
          <w:tab w:val="left" w:pos="3402"/>
        </w:tabs>
        <w:spacing w:line="276" w:lineRule="auto"/>
        <w:ind w:left="851" w:hanging="851"/>
        <w:jc w:val="both"/>
        <w:rPr>
          <w:rFonts w:ascii="Arial" w:hAnsi="Arial" w:cs="Arial"/>
          <w:sz w:val="16"/>
        </w:rPr>
      </w:pPr>
      <w:r w:rsidRPr="002F4BFE">
        <w:rPr>
          <w:rFonts w:ascii="Arial" w:hAnsi="Arial" w:cs="Arial"/>
          <w:sz w:val="16"/>
        </w:rPr>
        <w:t>Table 5. Effect of planting media composition on yield components and shallot yield</w:t>
      </w:r>
    </w:p>
    <w:tbl>
      <w:tblPr>
        <w:tblW w:w="5870" w:type="pct"/>
        <w:tblLayout w:type="fixed"/>
        <w:tblLook w:val="04A0" w:firstRow="1" w:lastRow="0" w:firstColumn="1" w:lastColumn="0" w:noHBand="0" w:noVBand="1"/>
      </w:tblPr>
      <w:tblGrid>
        <w:gridCol w:w="1950"/>
        <w:gridCol w:w="851"/>
        <w:gridCol w:w="851"/>
        <w:gridCol w:w="851"/>
        <w:gridCol w:w="992"/>
        <w:gridCol w:w="850"/>
        <w:gridCol w:w="850"/>
        <w:gridCol w:w="852"/>
        <w:gridCol w:w="986"/>
        <w:gridCol w:w="850"/>
      </w:tblGrid>
      <w:tr w:rsidR="00E87205" w:rsidRPr="002F4BFE" w14:paraId="58BD89CA" w14:textId="77777777" w:rsidTr="00E87205">
        <w:trPr>
          <w:trHeight w:val="600"/>
        </w:trPr>
        <w:tc>
          <w:tcPr>
            <w:tcW w:w="986" w:type="pct"/>
            <w:tcBorders>
              <w:top w:val="single" w:sz="4" w:space="0" w:color="auto"/>
              <w:left w:val="nil"/>
              <w:bottom w:val="single" w:sz="4" w:space="0" w:color="auto"/>
              <w:right w:val="nil"/>
            </w:tcBorders>
            <w:noWrap/>
            <w:vAlign w:val="center"/>
            <w:hideMark/>
          </w:tcPr>
          <w:p w14:paraId="0F3EC433"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hAnsi="Arial" w:cs="Arial"/>
                <w:color w:val="000000" w:themeColor="text1"/>
                <w:kern w:val="24"/>
                <w:sz w:val="16"/>
                <w:szCs w:val="16"/>
              </w:rPr>
              <w:t>Composition of growing media</w:t>
            </w:r>
          </w:p>
        </w:tc>
        <w:tc>
          <w:tcPr>
            <w:tcW w:w="430" w:type="pct"/>
            <w:tcBorders>
              <w:top w:val="single" w:sz="4" w:space="0" w:color="auto"/>
              <w:left w:val="nil"/>
              <w:bottom w:val="single" w:sz="4" w:space="0" w:color="auto"/>
              <w:right w:val="nil"/>
            </w:tcBorders>
            <w:vAlign w:val="center"/>
            <w:hideMark/>
          </w:tcPr>
          <w:p w14:paraId="75F9A015"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TSS</w:t>
            </w:r>
          </w:p>
        </w:tc>
        <w:tc>
          <w:tcPr>
            <w:tcW w:w="430" w:type="pct"/>
            <w:tcBorders>
              <w:top w:val="single" w:sz="4" w:space="0" w:color="auto"/>
              <w:left w:val="nil"/>
              <w:bottom w:val="single" w:sz="4" w:space="0" w:color="auto"/>
              <w:right w:val="nil"/>
            </w:tcBorders>
            <w:vAlign w:val="center"/>
            <w:hideMark/>
          </w:tcPr>
          <w:p w14:paraId="047F3161"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AD </w:t>
            </w:r>
            <w:r w:rsidRPr="002F4BFE">
              <w:rPr>
                <w:rFonts w:ascii="Arial" w:hAnsi="Arial" w:cs="Arial"/>
                <w:color w:val="000000" w:themeColor="text1"/>
                <w:kern w:val="24"/>
                <w:sz w:val="16"/>
                <w:szCs w:val="16"/>
              </w:rPr>
              <w:br/>
              <w:t>(mm)</w:t>
            </w:r>
          </w:p>
        </w:tc>
        <w:tc>
          <w:tcPr>
            <w:tcW w:w="430" w:type="pct"/>
            <w:tcBorders>
              <w:top w:val="single" w:sz="4" w:space="0" w:color="auto"/>
              <w:left w:val="nil"/>
              <w:bottom w:val="single" w:sz="4" w:space="0" w:color="auto"/>
              <w:right w:val="nil"/>
            </w:tcBorders>
            <w:vAlign w:val="center"/>
            <w:hideMark/>
          </w:tcPr>
          <w:p w14:paraId="1E961182"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LDD </w:t>
            </w:r>
            <w:r w:rsidRPr="002F4BFE">
              <w:rPr>
                <w:rFonts w:ascii="Arial" w:hAnsi="Arial" w:cs="Arial"/>
                <w:color w:val="000000" w:themeColor="text1"/>
                <w:kern w:val="24"/>
                <w:sz w:val="16"/>
                <w:szCs w:val="16"/>
              </w:rPr>
              <w:br/>
              <w:t>(mm)</w:t>
            </w:r>
          </w:p>
        </w:tc>
        <w:tc>
          <w:tcPr>
            <w:tcW w:w="502" w:type="pct"/>
            <w:tcBorders>
              <w:top w:val="single" w:sz="4" w:space="0" w:color="auto"/>
              <w:left w:val="nil"/>
              <w:bottom w:val="single" w:sz="4" w:space="0" w:color="auto"/>
              <w:right w:val="nil"/>
            </w:tcBorders>
            <w:vAlign w:val="center"/>
            <w:hideMark/>
          </w:tcPr>
          <w:p w14:paraId="7E2A75B3"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TTS</w:t>
            </w:r>
            <w:r w:rsidRPr="002F4BFE">
              <w:rPr>
                <w:rFonts w:ascii="Arial" w:hAnsi="Arial" w:cs="Arial"/>
                <w:color w:val="000000" w:themeColor="text1"/>
                <w:kern w:val="24"/>
                <w:sz w:val="16"/>
                <w:szCs w:val="16"/>
              </w:rPr>
              <w:br/>
              <w:t>(</w:t>
            </w:r>
            <w:proofErr w:type="spellStart"/>
            <w:r w:rsidRPr="002F4BFE">
              <w:rPr>
                <w:rFonts w:ascii="Arial" w:hAnsi="Arial" w:cs="Arial"/>
                <w:color w:val="000000" w:themeColor="text1"/>
                <w:kern w:val="24"/>
                <w:sz w:val="16"/>
                <w:szCs w:val="16"/>
              </w:rPr>
              <w:t>umbi</w:t>
            </w:r>
            <w:proofErr w:type="spellEnd"/>
            <w:r w:rsidRPr="002F4BFE">
              <w:rPr>
                <w:rFonts w:ascii="Arial" w:hAnsi="Arial" w:cs="Arial"/>
                <w:color w:val="000000" w:themeColor="text1"/>
                <w:kern w:val="24"/>
                <w:sz w:val="16"/>
                <w:szCs w:val="16"/>
              </w:rPr>
              <w:t>)</w:t>
            </w:r>
          </w:p>
        </w:tc>
        <w:tc>
          <w:tcPr>
            <w:tcW w:w="430" w:type="pct"/>
            <w:tcBorders>
              <w:top w:val="single" w:sz="4" w:space="0" w:color="auto"/>
              <w:left w:val="nil"/>
              <w:bottom w:val="single" w:sz="4" w:space="0" w:color="auto"/>
              <w:right w:val="nil"/>
            </w:tcBorders>
            <w:vAlign w:val="center"/>
            <w:hideMark/>
          </w:tcPr>
          <w:p w14:paraId="3DF24D30"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WTT </w:t>
            </w:r>
            <w:r w:rsidRPr="002F4BFE">
              <w:rPr>
                <w:rFonts w:ascii="Arial" w:hAnsi="Arial" w:cs="Arial"/>
                <w:color w:val="000000" w:themeColor="text1"/>
                <w:kern w:val="24"/>
                <w:sz w:val="16"/>
                <w:szCs w:val="16"/>
              </w:rPr>
              <w:br/>
              <w:t>(g)</w:t>
            </w:r>
          </w:p>
        </w:tc>
        <w:tc>
          <w:tcPr>
            <w:tcW w:w="430" w:type="pct"/>
            <w:tcBorders>
              <w:top w:val="single" w:sz="4" w:space="0" w:color="auto"/>
              <w:left w:val="nil"/>
              <w:bottom w:val="single" w:sz="4" w:space="0" w:color="auto"/>
              <w:right w:val="nil"/>
            </w:tcBorders>
            <w:vAlign w:val="center"/>
            <w:hideMark/>
          </w:tcPr>
          <w:p w14:paraId="1387F957"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DTWT</w:t>
            </w:r>
            <w:r w:rsidRPr="002F4BFE">
              <w:rPr>
                <w:rFonts w:ascii="Arial" w:hAnsi="Arial" w:cs="Arial"/>
                <w:color w:val="000000" w:themeColor="text1"/>
                <w:kern w:val="24"/>
                <w:sz w:val="16"/>
                <w:szCs w:val="16"/>
              </w:rPr>
              <w:br/>
              <w:t>(g)</w:t>
            </w:r>
          </w:p>
        </w:tc>
        <w:tc>
          <w:tcPr>
            <w:tcW w:w="431" w:type="pct"/>
            <w:tcBorders>
              <w:top w:val="single" w:sz="4" w:space="0" w:color="auto"/>
              <w:left w:val="nil"/>
              <w:bottom w:val="single" w:sz="4" w:space="0" w:color="auto"/>
              <w:right w:val="nil"/>
            </w:tcBorders>
            <w:vAlign w:val="center"/>
            <w:hideMark/>
          </w:tcPr>
          <w:p w14:paraId="62753C58"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WTS</w:t>
            </w:r>
            <w:r w:rsidRPr="002F4BFE">
              <w:rPr>
                <w:rFonts w:ascii="Arial" w:hAnsi="Arial" w:cs="Arial"/>
                <w:color w:val="000000" w:themeColor="text1"/>
                <w:kern w:val="24"/>
                <w:sz w:val="16"/>
                <w:szCs w:val="16"/>
              </w:rPr>
              <w:br/>
              <w:t>(%)</w:t>
            </w:r>
          </w:p>
        </w:tc>
        <w:tc>
          <w:tcPr>
            <w:tcW w:w="499" w:type="pct"/>
            <w:tcBorders>
              <w:top w:val="single" w:sz="4" w:space="0" w:color="auto"/>
              <w:left w:val="nil"/>
              <w:bottom w:val="single" w:sz="4" w:space="0" w:color="auto"/>
              <w:right w:val="nil"/>
            </w:tcBorders>
            <w:vAlign w:val="center"/>
            <w:hideMark/>
          </w:tcPr>
          <w:p w14:paraId="4698EF95"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TWW </w:t>
            </w:r>
            <w:r w:rsidRPr="002F4BFE">
              <w:rPr>
                <w:rFonts w:ascii="Arial" w:hAnsi="Arial" w:cs="Arial"/>
                <w:color w:val="000000" w:themeColor="text1"/>
                <w:kern w:val="24"/>
                <w:sz w:val="16"/>
                <w:szCs w:val="16"/>
              </w:rPr>
              <w:br/>
              <w:t>(g)</w:t>
            </w:r>
          </w:p>
        </w:tc>
        <w:tc>
          <w:tcPr>
            <w:tcW w:w="430" w:type="pct"/>
            <w:tcBorders>
              <w:top w:val="single" w:sz="4" w:space="0" w:color="auto"/>
              <w:left w:val="nil"/>
              <w:bottom w:val="single" w:sz="4" w:space="0" w:color="auto"/>
              <w:right w:val="nil"/>
            </w:tcBorders>
            <w:vAlign w:val="center"/>
            <w:hideMark/>
          </w:tcPr>
          <w:p w14:paraId="742C0B61"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TWH</w:t>
            </w:r>
            <w:r w:rsidRPr="002F4BFE">
              <w:rPr>
                <w:rFonts w:ascii="Arial" w:hAnsi="Arial" w:cs="Arial"/>
                <w:color w:val="000000" w:themeColor="text1"/>
                <w:kern w:val="24"/>
                <w:sz w:val="16"/>
                <w:szCs w:val="16"/>
              </w:rPr>
              <w:br/>
              <w:t>(Ton)</w:t>
            </w:r>
          </w:p>
        </w:tc>
      </w:tr>
      <w:tr w:rsidR="00E87205" w:rsidRPr="002F4BFE" w14:paraId="1ED26F67" w14:textId="77777777" w:rsidTr="00E87205">
        <w:trPr>
          <w:trHeight w:val="300"/>
        </w:trPr>
        <w:tc>
          <w:tcPr>
            <w:tcW w:w="986" w:type="pct"/>
            <w:tcBorders>
              <w:top w:val="nil"/>
              <w:left w:val="nil"/>
              <w:bottom w:val="nil"/>
              <w:right w:val="nil"/>
            </w:tcBorders>
            <w:noWrap/>
            <w:vAlign w:val="bottom"/>
            <w:hideMark/>
          </w:tcPr>
          <w:p w14:paraId="7A5BE677"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P0 = 220 kg sandy soil </w:t>
            </w:r>
          </w:p>
        </w:tc>
        <w:tc>
          <w:tcPr>
            <w:tcW w:w="430" w:type="pct"/>
            <w:tcBorders>
              <w:top w:val="nil"/>
              <w:left w:val="nil"/>
              <w:bottom w:val="nil"/>
              <w:right w:val="nil"/>
            </w:tcBorders>
            <w:noWrap/>
            <w:vAlign w:val="center"/>
            <w:hideMark/>
          </w:tcPr>
          <w:p w14:paraId="32A56C8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5.73 c</w:t>
            </w:r>
          </w:p>
        </w:tc>
        <w:tc>
          <w:tcPr>
            <w:tcW w:w="430" w:type="pct"/>
            <w:tcBorders>
              <w:top w:val="nil"/>
              <w:left w:val="nil"/>
              <w:bottom w:val="nil"/>
              <w:right w:val="nil"/>
            </w:tcBorders>
            <w:noWrap/>
            <w:vAlign w:val="center"/>
            <w:hideMark/>
          </w:tcPr>
          <w:p w14:paraId="0F403B5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7.98 e</w:t>
            </w:r>
          </w:p>
        </w:tc>
        <w:tc>
          <w:tcPr>
            <w:tcW w:w="430" w:type="pct"/>
            <w:tcBorders>
              <w:top w:val="nil"/>
              <w:left w:val="nil"/>
              <w:bottom w:val="nil"/>
              <w:right w:val="nil"/>
            </w:tcBorders>
            <w:noWrap/>
            <w:vAlign w:val="center"/>
            <w:hideMark/>
          </w:tcPr>
          <w:p w14:paraId="2E319EC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10.00 e</w:t>
            </w:r>
          </w:p>
        </w:tc>
        <w:tc>
          <w:tcPr>
            <w:tcW w:w="502" w:type="pct"/>
            <w:tcBorders>
              <w:top w:val="nil"/>
              <w:left w:val="nil"/>
              <w:bottom w:val="nil"/>
              <w:right w:val="nil"/>
            </w:tcBorders>
            <w:noWrap/>
            <w:vAlign w:val="center"/>
            <w:hideMark/>
          </w:tcPr>
          <w:p w14:paraId="40A5CD4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7.07 b</w:t>
            </w:r>
          </w:p>
        </w:tc>
        <w:tc>
          <w:tcPr>
            <w:tcW w:w="430" w:type="pct"/>
            <w:tcBorders>
              <w:top w:val="nil"/>
              <w:left w:val="nil"/>
              <w:bottom w:val="nil"/>
              <w:right w:val="nil"/>
            </w:tcBorders>
            <w:noWrap/>
            <w:vAlign w:val="center"/>
            <w:hideMark/>
          </w:tcPr>
          <w:p w14:paraId="33C1F0F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10.44 d</w:t>
            </w:r>
          </w:p>
        </w:tc>
        <w:tc>
          <w:tcPr>
            <w:tcW w:w="430" w:type="pct"/>
            <w:tcBorders>
              <w:top w:val="nil"/>
              <w:left w:val="nil"/>
              <w:bottom w:val="nil"/>
              <w:right w:val="nil"/>
            </w:tcBorders>
            <w:noWrap/>
            <w:vAlign w:val="center"/>
            <w:hideMark/>
          </w:tcPr>
          <w:p w14:paraId="3246267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8.30 d</w:t>
            </w:r>
          </w:p>
        </w:tc>
        <w:tc>
          <w:tcPr>
            <w:tcW w:w="431" w:type="pct"/>
            <w:tcBorders>
              <w:top w:val="nil"/>
              <w:left w:val="nil"/>
              <w:bottom w:val="nil"/>
              <w:right w:val="nil"/>
            </w:tcBorders>
            <w:noWrap/>
            <w:vAlign w:val="center"/>
            <w:hideMark/>
          </w:tcPr>
          <w:p w14:paraId="483DC0C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2.13 c</w:t>
            </w:r>
          </w:p>
        </w:tc>
        <w:tc>
          <w:tcPr>
            <w:tcW w:w="499" w:type="pct"/>
            <w:tcBorders>
              <w:top w:val="nil"/>
              <w:left w:val="nil"/>
              <w:bottom w:val="nil"/>
              <w:right w:val="nil"/>
            </w:tcBorders>
            <w:noWrap/>
            <w:vAlign w:val="center"/>
            <w:hideMark/>
          </w:tcPr>
          <w:p w14:paraId="0419523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207.58 d</w:t>
            </w:r>
          </w:p>
        </w:tc>
        <w:tc>
          <w:tcPr>
            <w:tcW w:w="430" w:type="pct"/>
            <w:tcBorders>
              <w:top w:val="nil"/>
              <w:left w:val="nil"/>
              <w:bottom w:val="nil"/>
              <w:right w:val="nil"/>
            </w:tcBorders>
            <w:noWrap/>
            <w:vAlign w:val="center"/>
            <w:hideMark/>
          </w:tcPr>
          <w:p w14:paraId="5A7392C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1.66 d</w:t>
            </w:r>
          </w:p>
        </w:tc>
      </w:tr>
      <w:tr w:rsidR="00E87205" w:rsidRPr="002F4BFE" w14:paraId="2AADB0C4" w14:textId="77777777" w:rsidTr="00E87205">
        <w:trPr>
          <w:trHeight w:val="300"/>
        </w:trPr>
        <w:tc>
          <w:tcPr>
            <w:tcW w:w="986" w:type="pct"/>
            <w:tcBorders>
              <w:top w:val="nil"/>
              <w:left w:val="nil"/>
              <w:bottom w:val="nil"/>
              <w:right w:val="nil"/>
            </w:tcBorders>
            <w:noWrap/>
            <w:vAlign w:val="bottom"/>
            <w:hideMark/>
          </w:tcPr>
          <w:p w14:paraId="0A08821C"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P1 = 220 kg sandy soil + 20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+ 10 kg weed ameliorant</w:t>
            </w:r>
          </w:p>
        </w:tc>
        <w:tc>
          <w:tcPr>
            <w:tcW w:w="430" w:type="pct"/>
            <w:tcBorders>
              <w:top w:val="nil"/>
              <w:left w:val="nil"/>
              <w:bottom w:val="nil"/>
              <w:right w:val="nil"/>
            </w:tcBorders>
            <w:noWrap/>
            <w:vAlign w:val="center"/>
            <w:hideMark/>
          </w:tcPr>
          <w:p w14:paraId="03742E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7.60 b</w:t>
            </w:r>
          </w:p>
        </w:tc>
        <w:tc>
          <w:tcPr>
            <w:tcW w:w="430" w:type="pct"/>
            <w:tcBorders>
              <w:top w:val="nil"/>
              <w:left w:val="nil"/>
              <w:bottom w:val="nil"/>
              <w:right w:val="nil"/>
            </w:tcBorders>
            <w:noWrap/>
            <w:vAlign w:val="center"/>
            <w:hideMark/>
          </w:tcPr>
          <w:p w14:paraId="1B339AD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16.45 c</w:t>
            </w:r>
          </w:p>
        </w:tc>
        <w:tc>
          <w:tcPr>
            <w:tcW w:w="430" w:type="pct"/>
            <w:tcBorders>
              <w:top w:val="nil"/>
              <w:left w:val="nil"/>
              <w:bottom w:val="nil"/>
              <w:right w:val="nil"/>
            </w:tcBorders>
            <w:noWrap/>
            <w:vAlign w:val="center"/>
            <w:hideMark/>
          </w:tcPr>
          <w:p w14:paraId="25C8822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21.45 c</w:t>
            </w:r>
          </w:p>
        </w:tc>
        <w:tc>
          <w:tcPr>
            <w:tcW w:w="502" w:type="pct"/>
            <w:tcBorders>
              <w:top w:val="nil"/>
              <w:left w:val="nil"/>
              <w:bottom w:val="nil"/>
              <w:right w:val="nil"/>
            </w:tcBorders>
            <w:noWrap/>
            <w:vAlign w:val="center"/>
            <w:hideMark/>
          </w:tcPr>
          <w:p w14:paraId="1834D2C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8.53 b</w:t>
            </w:r>
          </w:p>
        </w:tc>
        <w:tc>
          <w:tcPr>
            <w:tcW w:w="430" w:type="pct"/>
            <w:tcBorders>
              <w:top w:val="nil"/>
              <w:left w:val="nil"/>
              <w:bottom w:val="nil"/>
              <w:right w:val="nil"/>
            </w:tcBorders>
            <w:noWrap/>
            <w:vAlign w:val="center"/>
            <w:hideMark/>
          </w:tcPr>
          <w:p w14:paraId="3D87DFC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58.76 c</w:t>
            </w:r>
          </w:p>
        </w:tc>
        <w:tc>
          <w:tcPr>
            <w:tcW w:w="430" w:type="pct"/>
            <w:tcBorders>
              <w:top w:val="nil"/>
              <w:left w:val="nil"/>
              <w:bottom w:val="nil"/>
              <w:right w:val="nil"/>
            </w:tcBorders>
            <w:noWrap/>
            <w:vAlign w:val="center"/>
            <w:hideMark/>
          </w:tcPr>
          <w:p w14:paraId="209FF4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46.54 c</w:t>
            </w:r>
          </w:p>
        </w:tc>
        <w:tc>
          <w:tcPr>
            <w:tcW w:w="431" w:type="pct"/>
            <w:tcBorders>
              <w:top w:val="nil"/>
              <w:left w:val="nil"/>
              <w:bottom w:val="nil"/>
              <w:right w:val="nil"/>
            </w:tcBorders>
            <w:noWrap/>
            <w:vAlign w:val="center"/>
            <w:hideMark/>
          </w:tcPr>
          <w:p w14:paraId="337E9EA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12.22 b</w:t>
            </w:r>
          </w:p>
        </w:tc>
        <w:tc>
          <w:tcPr>
            <w:tcW w:w="499" w:type="pct"/>
            <w:tcBorders>
              <w:top w:val="nil"/>
              <w:left w:val="nil"/>
              <w:bottom w:val="nil"/>
              <w:right w:val="nil"/>
            </w:tcBorders>
            <w:noWrap/>
            <w:vAlign w:val="center"/>
            <w:hideMark/>
          </w:tcPr>
          <w:p w14:paraId="1B99727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1163.5 c</w:t>
            </w:r>
          </w:p>
        </w:tc>
        <w:tc>
          <w:tcPr>
            <w:tcW w:w="430" w:type="pct"/>
            <w:tcBorders>
              <w:top w:val="nil"/>
              <w:left w:val="nil"/>
              <w:bottom w:val="nil"/>
              <w:right w:val="nil"/>
            </w:tcBorders>
            <w:noWrap/>
            <w:vAlign w:val="center"/>
            <w:hideMark/>
          </w:tcPr>
          <w:p w14:paraId="68CA0EF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9.31 c</w:t>
            </w:r>
          </w:p>
        </w:tc>
      </w:tr>
      <w:tr w:rsidR="00E87205" w:rsidRPr="002F4BFE" w14:paraId="2E3B0B8E" w14:textId="77777777" w:rsidTr="00E87205">
        <w:trPr>
          <w:trHeight w:val="300"/>
        </w:trPr>
        <w:tc>
          <w:tcPr>
            <w:tcW w:w="986" w:type="pct"/>
            <w:tcBorders>
              <w:top w:val="nil"/>
              <w:left w:val="nil"/>
              <w:bottom w:val="nil"/>
              <w:right w:val="nil"/>
            </w:tcBorders>
            <w:noWrap/>
            <w:vAlign w:val="bottom"/>
            <w:hideMark/>
          </w:tcPr>
          <w:p w14:paraId="64631329"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P2 = 220 kg sandy soil + 20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+ 10 kg chicken manure</w:t>
            </w:r>
          </w:p>
        </w:tc>
        <w:tc>
          <w:tcPr>
            <w:tcW w:w="430" w:type="pct"/>
            <w:tcBorders>
              <w:top w:val="nil"/>
              <w:left w:val="nil"/>
              <w:bottom w:val="nil"/>
              <w:right w:val="nil"/>
            </w:tcBorders>
            <w:noWrap/>
            <w:vAlign w:val="center"/>
            <w:hideMark/>
          </w:tcPr>
          <w:p w14:paraId="47E3026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7.07 </w:t>
            </w:r>
            <w:proofErr w:type="spellStart"/>
            <w:r w:rsidRPr="002F4BFE">
              <w:rPr>
                <w:rFonts w:ascii="Arial" w:hAnsi="Arial" w:cs="Arial"/>
                <w:color w:val="000000"/>
                <w:sz w:val="16"/>
                <w:szCs w:val="16"/>
              </w:rPr>
              <w:t>bc</w:t>
            </w:r>
            <w:proofErr w:type="spellEnd"/>
          </w:p>
        </w:tc>
        <w:tc>
          <w:tcPr>
            <w:tcW w:w="430" w:type="pct"/>
            <w:tcBorders>
              <w:top w:val="nil"/>
              <w:left w:val="nil"/>
              <w:bottom w:val="nil"/>
              <w:right w:val="nil"/>
            </w:tcBorders>
            <w:noWrap/>
            <w:vAlign w:val="center"/>
            <w:hideMark/>
          </w:tcPr>
          <w:p w14:paraId="6AE11D6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16.65 c</w:t>
            </w:r>
          </w:p>
        </w:tc>
        <w:tc>
          <w:tcPr>
            <w:tcW w:w="430" w:type="pct"/>
            <w:tcBorders>
              <w:top w:val="nil"/>
              <w:left w:val="nil"/>
              <w:bottom w:val="nil"/>
              <w:right w:val="nil"/>
            </w:tcBorders>
            <w:noWrap/>
            <w:vAlign w:val="center"/>
            <w:hideMark/>
          </w:tcPr>
          <w:p w14:paraId="5933259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21.46 c</w:t>
            </w:r>
          </w:p>
        </w:tc>
        <w:tc>
          <w:tcPr>
            <w:tcW w:w="502" w:type="pct"/>
            <w:tcBorders>
              <w:top w:val="nil"/>
              <w:left w:val="nil"/>
              <w:bottom w:val="nil"/>
              <w:right w:val="nil"/>
            </w:tcBorders>
            <w:noWrap/>
            <w:vAlign w:val="center"/>
            <w:hideMark/>
          </w:tcPr>
          <w:p w14:paraId="1A3695E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7.40 b</w:t>
            </w:r>
          </w:p>
        </w:tc>
        <w:tc>
          <w:tcPr>
            <w:tcW w:w="430" w:type="pct"/>
            <w:tcBorders>
              <w:top w:val="nil"/>
              <w:left w:val="nil"/>
              <w:bottom w:val="nil"/>
              <w:right w:val="nil"/>
            </w:tcBorders>
            <w:noWrap/>
            <w:vAlign w:val="center"/>
            <w:hideMark/>
          </w:tcPr>
          <w:p w14:paraId="3B22B78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62.93 c</w:t>
            </w:r>
          </w:p>
        </w:tc>
        <w:tc>
          <w:tcPr>
            <w:tcW w:w="430" w:type="pct"/>
            <w:tcBorders>
              <w:top w:val="nil"/>
              <w:left w:val="nil"/>
              <w:bottom w:val="nil"/>
              <w:right w:val="nil"/>
            </w:tcBorders>
            <w:noWrap/>
            <w:vAlign w:val="center"/>
            <w:hideMark/>
          </w:tcPr>
          <w:p w14:paraId="3DE6CD3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50.19 c</w:t>
            </w:r>
          </w:p>
        </w:tc>
        <w:tc>
          <w:tcPr>
            <w:tcW w:w="431" w:type="pct"/>
            <w:tcBorders>
              <w:top w:val="nil"/>
              <w:left w:val="nil"/>
              <w:bottom w:val="nil"/>
              <w:right w:val="nil"/>
            </w:tcBorders>
            <w:noWrap/>
            <w:vAlign w:val="center"/>
            <w:hideMark/>
          </w:tcPr>
          <w:p w14:paraId="5A5BB2C3"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12.74 b</w:t>
            </w:r>
          </w:p>
        </w:tc>
        <w:tc>
          <w:tcPr>
            <w:tcW w:w="499" w:type="pct"/>
            <w:tcBorders>
              <w:top w:val="nil"/>
              <w:left w:val="nil"/>
              <w:bottom w:val="nil"/>
              <w:right w:val="nil"/>
            </w:tcBorders>
            <w:noWrap/>
            <w:vAlign w:val="center"/>
            <w:hideMark/>
          </w:tcPr>
          <w:p w14:paraId="0AE5BF6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1254.67 c</w:t>
            </w:r>
          </w:p>
        </w:tc>
        <w:tc>
          <w:tcPr>
            <w:tcW w:w="430" w:type="pct"/>
            <w:tcBorders>
              <w:top w:val="nil"/>
              <w:left w:val="nil"/>
              <w:bottom w:val="nil"/>
              <w:right w:val="nil"/>
            </w:tcBorders>
            <w:noWrap/>
            <w:vAlign w:val="center"/>
            <w:hideMark/>
          </w:tcPr>
          <w:p w14:paraId="2AEBAC3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10.04 c</w:t>
            </w:r>
          </w:p>
        </w:tc>
      </w:tr>
      <w:tr w:rsidR="00E87205" w:rsidRPr="002F4BFE" w14:paraId="00C2BFB4" w14:textId="77777777" w:rsidTr="00E87205">
        <w:trPr>
          <w:trHeight w:val="300"/>
        </w:trPr>
        <w:tc>
          <w:tcPr>
            <w:tcW w:w="986" w:type="pct"/>
            <w:tcBorders>
              <w:top w:val="nil"/>
              <w:left w:val="nil"/>
              <w:bottom w:val="nil"/>
              <w:right w:val="nil"/>
            </w:tcBorders>
            <w:noWrap/>
            <w:vAlign w:val="bottom"/>
            <w:hideMark/>
          </w:tcPr>
          <w:p w14:paraId="2A37224D"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P3 = 220 kg sandy soil + 30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+ 20 kg weed ameliorant</w:t>
            </w:r>
          </w:p>
        </w:tc>
        <w:tc>
          <w:tcPr>
            <w:tcW w:w="430" w:type="pct"/>
            <w:tcBorders>
              <w:top w:val="nil"/>
              <w:left w:val="nil"/>
              <w:bottom w:val="nil"/>
              <w:right w:val="nil"/>
            </w:tcBorders>
            <w:noWrap/>
            <w:vAlign w:val="center"/>
            <w:hideMark/>
          </w:tcPr>
          <w:p w14:paraId="202BA40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9.27 a</w:t>
            </w:r>
          </w:p>
        </w:tc>
        <w:tc>
          <w:tcPr>
            <w:tcW w:w="430" w:type="pct"/>
            <w:tcBorders>
              <w:top w:val="nil"/>
              <w:left w:val="nil"/>
              <w:bottom w:val="nil"/>
              <w:right w:val="nil"/>
            </w:tcBorders>
            <w:noWrap/>
            <w:vAlign w:val="center"/>
            <w:hideMark/>
          </w:tcPr>
          <w:p w14:paraId="4540D2B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19.90 b</w:t>
            </w:r>
          </w:p>
        </w:tc>
        <w:tc>
          <w:tcPr>
            <w:tcW w:w="430" w:type="pct"/>
            <w:tcBorders>
              <w:top w:val="nil"/>
              <w:left w:val="nil"/>
              <w:bottom w:val="nil"/>
              <w:right w:val="nil"/>
            </w:tcBorders>
            <w:noWrap/>
            <w:vAlign w:val="center"/>
            <w:hideMark/>
          </w:tcPr>
          <w:p w14:paraId="62E0DAC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27.46 b</w:t>
            </w:r>
          </w:p>
        </w:tc>
        <w:tc>
          <w:tcPr>
            <w:tcW w:w="502" w:type="pct"/>
            <w:tcBorders>
              <w:top w:val="nil"/>
              <w:left w:val="nil"/>
              <w:bottom w:val="nil"/>
              <w:right w:val="nil"/>
            </w:tcBorders>
            <w:noWrap/>
            <w:vAlign w:val="center"/>
            <w:hideMark/>
          </w:tcPr>
          <w:p w14:paraId="6736AAE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11.27 a</w:t>
            </w:r>
          </w:p>
        </w:tc>
        <w:tc>
          <w:tcPr>
            <w:tcW w:w="430" w:type="pct"/>
            <w:tcBorders>
              <w:top w:val="nil"/>
              <w:left w:val="nil"/>
              <w:bottom w:val="nil"/>
              <w:right w:val="nil"/>
            </w:tcBorders>
            <w:noWrap/>
            <w:vAlign w:val="center"/>
            <w:hideMark/>
          </w:tcPr>
          <w:p w14:paraId="37478E94"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96.49 b</w:t>
            </w:r>
          </w:p>
        </w:tc>
        <w:tc>
          <w:tcPr>
            <w:tcW w:w="430" w:type="pct"/>
            <w:tcBorders>
              <w:top w:val="nil"/>
              <w:left w:val="nil"/>
              <w:bottom w:val="nil"/>
              <w:right w:val="nil"/>
            </w:tcBorders>
            <w:noWrap/>
            <w:vAlign w:val="center"/>
            <w:hideMark/>
          </w:tcPr>
          <w:p w14:paraId="4F3586C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78.39 b</w:t>
            </w:r>
          </w:p>
        </w:tc>
        <w:tc>
          <w:tcPr>
            <w:tcW w:w="431" w:type="pct"/>
            <w:tcBorders>
              <w:top w:val="nil"/>
              <w:left w:val="nil"/>
              <w:bottom w:val="nil"/>
              <w:right w:val="nil"/>
            </w:tcBorders>
            <w:noWrap/>
            <w:vAlign w:val="center"/>
            <w:hideMark/>
          </w:tcPr>
          <w:p w14:paraId="537F5C6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18.11 b</w:t>
            </w:r>
          </w:p>
        </w:tc>
        <w:tc>
          <w:tcPr>
            <w:tcW w:w="499" w:type="pct"/>
            <w:tcBorders>
              <w:top w:val="nil"/>
              <w:left w:val="nil"/>
              <w:bottom w:val="nil"/>
              <w:right w:val="nil"/>
            </w:tcBorders>
            <w:noWrap/>
            <w:vAlign w:val="center"/>
            <w:hideMark/>
          </w:tcPr>
          <w:p w14:paraId="580991E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1959.67 b</w:t>
            </w:r>
          </w:p>
        </w:tc>
        <w:tc>
          <w:tcPr>
            <w:tcW w:w="430" w:type="pct"/>
            <w:tcBorders>
              <w:top w:val="nil"/>
              <w:left w:val="nil"/>
              <w:bottom w:val="nil"/>
              <w:right w:val="nil"/>
            </w:tcBorders>
            <w:noWrap/>
            <w:vAlign w:val="center"/>
            <w:hideMark/>
          </w:tcPr>
          <w:p w14:paraId="022FD9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15.68 b</w:t>
            </w:r>
          </w:p>
        </w:tc>
      </w:tr>
      <w:tr w:rsidR="00E87205" w:rsidRPr="002F4BFE" w14:paraId="24FDE668" w14:textId="77777777" w:rsidTr="00E87205">
        <w:trPr>
          <w:trHeight w:val="300"/>
        </w:trPr>
        <w:tc>
          <w:tcPr>
            <w:tcW w:w="986" w:type="pct"/>
            <w:tcBorders>
              <w:top w:val="nil"/>
              <w:left w:val="nil"/>
              <w:bottom w:val="nil"/>
              <w:right w:val="nil"/>
            </w:tcBorders>
            <w:noWrap/>
            <w:vAlign w:val="bottom"/>
            <w:hideMark/>
          </w:tcPr>
          <w:p w14:paraId="4A40FB0A"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P4 = 220 kg sandy soil + 30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+ 20 kg chicken manure</w:t>
            </w:r>
          </w:p>
        </w:tc>
        <w:tc>
          <w:tcPr>
            <w:tcW w:w="430" w:type="pct"/>
            <w:tcBorders>
              <w:top w:val="nil"/>
              <w:left w:val="nil"/>
              <w:bottom w:val="nil"/>
              <w:right w:val="nil"/>
            </w:tcBorders>
            <w:noWrap/>
            <w:vAlign w:val="center"/>
            <w:hideMark/>
          </w:tcPr>
          <w:p w14:paraId="39EB844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6.40 </w:t>
            </w:r>
            <w:proofErr w:type="spellStart"/>
            <w:r w:rsidRPr="002F4BFE">
              <w:rPr>
                <w:rFonts w:ascii="Arial" w:hAnsi="Arial" w:cs="Arial"/>
                <w:color w:val="000000"/>
                <w:sz w:val="16"/>
                <w:szCs w:val="16"/>
              </w:rPr>
              <w:t>bc</w:t>
            </w:r>
            <w:proofErr w:type="spellEnd"/>
          </w:p>
        </w:tc>
        <w:tc>
          <w:tcPr>
            <w:tcW w:w="430" w:type="pct"/>
            <w:tcBorders>
              <w:top w:val="nil"/>
              <w:left w:val="nil"/>
              <w:bottom w:val="nil"/>
              <w:right w:val="nil"/>
            </w:tcBorders>
            <w:noWrap/>
            <w:vAlign w:val="center"/>
            <w:hideMark/>
          </w:tcPr>
          <w:p w14:paraId="1B3E2967"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15.99 c</w:t>
            </w:r>
          </w:p>
        </w:tc>
        <w:tc>
          <w:tcPr>
            <w:tcW w:w="430" w:type="pct"/>
            <w:tcBorders>
              <w:top w:val="nil"/>
              <w:left w:val="nil"/>
              <w:bottom w:val="nil"/>
              <w:right w:val="nil"/>
            </w:tcBorders>
            <w:noWrap/>
            <w:vAlign w:val="center"/>
            <w:hideMark/>
          </w:tcPr>
          <w:p w14:paraId="3AC7223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20.45 c</w:t>
            </w:r>
          </w:p>
        </w:tc>
        <w:tc>
          <w:tcPr>
            <w:tcW w:w="502" w:type="pct"/>
            <w:tcBorders>
              <w:top w:val="nil"/>
              <w:left w:val="nil"/>
              <w:bottom w:val="nil"/>
              <w:right w:val="nil"/>
            </w:tcBorders>
            <w:noWrap/>
            <w:vAlign w:val="center"/>
            <w:hideMark/>
          </w:tcPr>
          <w:p w14:paraId="0477A07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6.87 b</w:t>
            </w:r>
          </w:p>
        </w:tc>
        <w:tc>
          <w:tcPr>
            <w:tcW w:w="430" w:type="pct"/>
            <w:tcBorders>
              <w:top w:val="nil"/>
              <w:left w:val="nil"/>
              <w:bottom w:val="nil"/>
              <w:right w:val="nil"/>
            </w:tcBorders>
            <w:noWrap/>
            <w:vAlign w:val="center"/>
            <w:hideMark/>
          </w:tcPr>
          <w:p w14:paraId="7C54004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53.43 c</w:t>
            </w:r>
          </w:p>
        </w:tc>
        <w:tc>
          <w:tcPr>
            <w:tcW w:w="430" w:type="pct"/>
            <w:tcBorders>
              <w:top w:val="nil"/>
              <w:left w:val="nil"/>
              <w:bottom w:val="nil"/>
              <w:right w:val="nil"/>
            </w:tcBorders>
            <w:noWrap/>
            <w:vAlign w:val="center"/>
            <w:hideMark/>
          </w:tcPr>
          <w:p w14:paraId="3D9C423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40.45 c</w:t>
            </w:r>
          </w:p>
        </w:tc>
        <w:tc>
          <w:tcPr>
            <w:tcW w:w="431" w:type="pct"/>
            <w:tcBorders>
              <w:top w:val="nil"/>
              <w:left w:val="nil"/>
              <w:bottom w:val="nil"/>
              <w:right w:val="nil"/>
            </w:tcBorders>
            <w:noWrap/>
            <w:vAlign w:val="center"/>
            <w:hideMark/>
          </w:tcPr>
          <w:p w14:paraId="2EA62E4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12.98 b</w:t>
            </w:r>
          </w:p>
        </w:tc>
        <w:tc>
          <w:tcPr>
            <w:tcW w:w="499" w:type="pct"/>
            <w:tcBorders>
              <w:top w:val="nil"/>
              <w:left w:val="nil"/>
              <w:bottom w:val="nil"/>
              <w:right w:val="nil"/>
            </w:tcBorders>
            <w:noWrap/>
            <w:vAlign w:val="center"/>
            <w:hideMark/>
          </w:tcPr>
          <w:p w14:paraId="38490C0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1011.25 c</w:t>
            </w:r>
          </w:p>
        </w:tc>
        <w:tc>
          <w:tcPr>
            <w:tcW w:w="430" w:type="pct"/>
            <w:tcBorders>
              <w:top w:val="nil"/>
              <w:left w:val="nil"/>
              <w:bottom w:val="nil"/>
              <w:right w:val="nil"/>
            </w:tcBorders>
            <w:noWrap/>
            <w:vAlign w:val="center"/>
            <w:hideMark/>
          </w:tcPr>
          <w:p w14:paraId="655FBDB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8.09 c</w:t>
            </w:r>
          </w:p>
        </w:tc>
      </w:tr>
      <w:tr w:rsidR="00E87205" w:rsidRPr="002F4BFE" w14:paraId="1344F290" w14:textId="77777777" w:rsidTr="00E87205">
        <w:trPr>
          <w:trHeight w:val="300"/>
        </w:trPr>
        <w:tc>
          <w:tcPr>
            <w:tcW w:w="986" w:type="pct"/>
            <w:tcBorders>
              <w:top w:val="nil"/>
              <w:left w:val="nil"/>
              <w:bottom w:val="nil"/>
              <w:right w:val="nil"/>
            </w:tcBorders>
            <w:noWrap/>
            <w:vAlign w:val="bottom"/>
            <w:hideMark/>
          </w:tcPr>
          <w:p w14:paraId="3B7CDDDA"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P5 = 220 kg sandy soil + 40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+ 30 kg weed ameliorant</w:t>
            </w:r>
          </w:p>
        </w:tc>
        <w:tc>
          <w:tcPr>
            <w:tcW w:w="430" w:type="pct"/>
            <w:tcBorders>
              <w:top w:val="nil"/>
              <w:left w:val="nil"/>
              <w:bottom w:val="nil"/>
              <w:right w:val="nil"/>
            </w:tcBorders>
            <w:noWrap/>
            <w:vAlign w:val="center"/>
            <w:hideMark/>
          </w:tcPr>
          <w:p w14:paraId="4057C54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9.93 a</w:t>
            </w:r>
          </w:p>
        </w:tc>
        <w:tc>
          <w:tcPr>
            <w:tcW w:w="430" w:type="pct"/>
            <w:tcBorders>
              <w:top w:val="nil"/>
              <w:left w:val="nil"/>
              <w:bottom w:val="nil"/>
              <w:right w:val="nil"/>
            </w:tcBorders>
            <w:noWrap/>
            <w:vAlign w:val="center"/>
            <w:hideMark/>
          </w:tcPr>
          <w:p w14:paraId="0237B014"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21.84 a</w:t>
            </w:r>
          </w:p>
        </w:tc>
        <w:tc>
          <w:tcPr>
            <w:tcW w:w="430" w:type="pct"/>
            <w:tcBorders>
              <w:top w:val="nil"/>
              <w:left w:val="nil"/>
              <w:bottom w:val="nil"/>
              <w:right w:val="nil"/>
            </w:tcBorders>
            <w:noWrap/>
            <w:vAlign w:val="center"/>
            <w:hideMark/>
          </w:tcPr>
          <w:p w14:paraId="2D6A91B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29.28 a</w:t>
            </w:r>
          </w:p>
        </w:tc>
        <w:tc>
          <w:tcPr>
            <w:tcW w:w="502" w:type="pct"/>
            <w:tcBorders>
              <w:top w:val="nil"/>
              <w:left w:val="nil"/>
              <w:bottom w:val="nil"/>
              <w:right w:val="nil"/>
            </w:tcBorders>
            <w:noWrap/>
            <w:vAlign w:val="center"/>
            <w:hideMark/>
          </w:tcPr>
          <w:p w14:paraId="6C65A20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12.13 a</w:t>
            </w:r>
          </w:p>
        </w:tc>
        <w:tc>
          <w:tcPr>
            <w:tcW w:w="430" w:type="pct"/>
            <w:tcBorders>
              <w:top w:val="nil"/>
              <w:left w:val="nil"/>
              <w:bottom w:val="nil"/>
              <w:right w:val="nil"/>
            </w:tcBorders>
            <w:noWrap/>
            <w:vAlign w:val="center"/>
            <w:hideMark/>
          </w:tcPr>
          <w:p w14:paraId="1206CBE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138.28 a</w:t>
            </w:r>
          </w:p>
        </w:tc>
        <w:tc>
          <w:tcPr>
            <w:tcW w:w="430" w:type="pct"/>
            <w:tcBorders>
              <w:top w:val="nil"/>
              <w:left w:val="nil"/>
              <w:bottom w:val="nil"/>
              <w:right w:val="nil"/>
            </w:tcBorders>
            <w:noWrap/>
            <w:vAlign w:val="center"/>
            <w:hideMark/>
          </w:tcPr>
          <w:p w14:paraId="29C833A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110.88 a</w:t>
            </w:r>
          </w:p>
        </w:tc>
        <w:tc>
          <w:tcPr>
            <w:tcW w:w="431" w:type="pct"/>
            <w:tcBorders>
              <w:top w:val="nil"/>
              <w:left w:val="nil"/>
              <w:bottom w:val="nil"/>
              <w:right w:val="nil"/>
            </w:tcBorders>
            <w:noWrap/>
            <w:vAlign w:val="center"/>
            <w:hideMark/>
          </w:tcPr>
          <w:p w14:paraId="0072815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28.06 a</w:t>
            </w:r>
          </w:p>
        </w:tc>
        <w:tc>
          <w:tcPr>
            <w:tcW w:w="499" w:type="pct"/>
            <w:tcBorders>
              <w:top w:val="nil"/>
              <w:left w:val="nil"/>
              <w:bottom w:val="nil"/>
              <w:right w:val="nil"/>
            </w:tcBorders>
            <w:noWrap/>
            <w:vAlign w:val="center"/>
            <w:hideMark/>
          </w:tcPr>
          <w:p w14:paraId="43D96B4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2772.08 a</w:t>
            </w:r>
          </w:p>
        </w:tc>
        <w:tc>
          <w:tcPr>
            <w:tcW w:w="430" w:type="pct"/>
            <w:tcBorders>
              <w:top w:val="nil"/>
              <w:left w:val="nil"/>
              <w:bottom w:val="nil"/>
              <w:right w:val="nil"/>
            </w:tcBorders>
            <w:noWrap/>
            <w:vAlign w:val="center"/>
            <w:hideMark/>
          </w:tcPr>
          <w:p w14:paraId="06F5803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22.18 a</w:t>
            </w:r>
          </w:p>
        </w:tc>
      </w:tr>
      <w:tr w:rsidR="00E87205" w:rsidRPr="002F4BFE" w14:paraId="1E4EA5EB" w14:textId="77777777" w:rsidTr="00E87205">
        <w:trPr>
          <w:trHeight w:val="300"/>
        </w:trPr>
        <w:tc>
          <w:tcPr>
            <w:tcW w:w="986" w:type="pct"/>
            <w:tcBorders>
              <w:top w:val="nil"/>
              <w:left w:val="nil"/>
              <w:bottom w:val="single" w:sz="4" w:space="0" w:color="auto"/>
              <w:right w:val="nil"/>
            </w:tcBorders>
            <w:noWrap/>
            <w:vAlign w:val="bottom"/>
            <w:hideMark/>
          </w:tcPr>
          <w:p w14:paraId="571A2859"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P6 = 220 kg sandy soil + 40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+ 30 kg chicken manure</w:t>
            </w:r>
          </w:p>
        </w:tc>
        <w:tc>
          <w:tcPr>
            <w:tcW w:w="430" w:type="pct"/>
            <w:tcBorders>
              <w:top w:val="nil"/>
              <w:left w:val="nil"/>
              <w:bottom w:val="single" w:sz="4" w:space="0" w:color="auto"/>
              <w:right w:val="nil"/>
            </w:tcBorders>
            <w:noWrap/>
            <w:vAlign w:val="center"/>
            <w:hideMark/>
          </w:tcPr>
          <w:p w14:paraId="218AB45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6.07 </w:t>
            </w:r>
            <w:proofErr w:type="spellStart"/>
            <w:r w:rsidRPr="002F4BFE">
              <w:rPr>
                <w:rFonts w:ascii="Arial" w:hAnsi="Arial" w:cs="Arial"/>
                <w:color w:val="000000"/>
                <w:sz w:val="16"/>
                <w:szCs w:val="16"/>
              </w:rPr>
              <w:t>bc</w:t>
            </w:r>
            <w:proofErr w:type="spellEnd"/>
          </w:p>
        </w:tc>
        <w:tc>
          <w:tcPr>
            <w:tcW w:w="430" w:type="pct"/>
            <w:tcBorders>
              <w:top w:val="nil"/>
              <w:left w:val="nil"/>
              <w:bottom w:val="single" w:sz="4" w:space="0" w:color="auto"/>
              <w:right w:val="nil"/>
            </w:tcBorders>
            <w:noWrap/>
            <w:vAlign w:val="center"/>
            <w:hideMark/>
          </w:tcPr>
          <w:p w14:paraId="6135A84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11.43 d</w:t>
            </w:r>
          </w:p>
        </w:tc>
        <w:tc>
          <w:tcPr>
            <w:tcW w:w="430" w:type="pct"/>
            <w:tcBorders>
              <w:top w:val="nil"/>
              <w:left w:val="nil"/>
              <w:bottom w:val="single" w:sz="4" w:space="0" w:color="auto"/>
              <w:right w:val="nil"/>
            </w:tcBorders>
            <w:noWrap/>
            <w:vAlign w:val="center"/>
            <w:hideMark/>
          </w:tcPr>
          <w:p w14:paraId="62848AF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15.51 d</w:t>
            </w:r>
          </w:p>
        </w:tc>
        <w:tc>
          <w:tcPr>
            <w:tcW w:w="502" w:type="pct"/>
            <w:tcBorders>
              <w:top w:val="nil"/>
              <w:left w:val="nil"/>
              <w:bottom w:val="single" w:sz="4" w:space="0" w:color="auto"/>
              <w:right w:val="nil"/>
            </w:tcBorders>
            <w:noWrap/>
            <w:vAlign w:val="center"/>
            <w:hideMark/>
          </w:tcPr>
          <w:p w14:paraId="11D53A1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6.20 b</w:t>
            </w:r>
          </w:p>
        </w:tc>
        <w:tc>
          <w:tcPr>
            <w:tcW w:w="430" w:type="pct"/>
            <w:tcBorders>
              <w:top w:val="nil"/>
              <w:left w:val="nil"/>
              <w:bottom w:val="single" w:sz="4" w:space="0" w:color="auto"/>
              <w:right w:val="nil"/>
            </w:tcBorders>
            <w:noWrap/>
            <w:vAlign w:val="center"/>
            <w:hideMark/>
          </w:tcPr>
          <w:p w14:paraId="3C2376C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22.19 d</w:t>
            </w:r>
          </w:p>
        </w:tc>
        <w:tc>
          <w:tcPr>
            <w:tcW w:w="430" w:type="pct"/>
            <w:tcBorders>
              <w:top w:val="nil"/>
              <w:left w:val="nil"/>
              <w:bottom w:val="single" w:sz="4" w:space="0" w:color="auto"/>
              <w:right w:val="nil"/>
            </w:tcBorders>
            <w:noWrap/>
            <w:vAlign w:val="center"/>
            <w:hideMark/>
          </w:tcPr>
          <w:p w14:paraId="37917183"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16.55 d</w:t>
            </w:r>
          </w:p>
        </w:tc>
        <w:tc>
          <w:tcPr>
            <w:tcW w:w="431" w:type="pct"/>
            <w:tcBorders>
              <w:top w:val="nil"/>
              <w:left w:val="nil"/>
              <w:bottom w:val="single" w:sz="4" w:space="0" w:color="auto"/>
              <w:right w:val="nil"/>
            </w:tcBorders>
            <w:noWrap/>
            <w:vAlign w:val="center"/>
            <w:hideMark/>
          </w:tcPr>
          <w:p w14:paraId="61BC7CA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5.64 c</w:t>
            </w:r>
          </w:p>
        </w:tc>
        <w:tc>
          <w:tcPr>
            <w:tcW w:w="499" w:type="pct"/>
            <w:tcBorders>
              <w:top w:val="nil"/>
              <w:left w:val="nil"/>
              <w:bottom w:val="single" w:sz="4" w:space="0" w:color="auto"/>
              <w:right w:val="nil"/>
            </w:tcBorders>
            <w:noWrap/>
            <w:vAlign w:val="center"/>
            <w:hideMark/>
          </w:tcPr>
          <w:p w14:paraId="170769F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413.67 d</w:t>
            </w:r>
          </w:p>
        </w:tc>
        <w:tc>
          <w:tcPr>
            <w:tcW w:w="430" w:type="pct"/>
            <w:tcBorders>
              <w:top w:val="nil"/>
              <w:left w:val="nil"/>
              <w:bottom w:val="single" w:sz="4" w:space="0" w:color="auto"/>
              <w:right w:val="nil"/>
            </w:tcBorders>
            <w:noWrap/>
            <w:vAlign w:val="center"/>
            <w:hideMark/>
          </w:tcPr>
          <w:p w14:paraId="1277F06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3.31 d</w:t>
            </w:r>
          </w:p>
        </w:tc>
      </w:tr>
    </w:tbl>
    <w:p w14:paraId="4A3FDD92" w14:textId="77777777" w:rsidR="00E87205" w:rsidRPr="002F4BFE" w:rsidRDefault="00E87205" w:rsidP="00E87205">
      <w:pPr>
        <w:pStyle w:val="ListParagraph"/>
        <w:widowControl w:val="0"/>
        <w:spacing w:line="276" w:lineRule="auto"/>
        <w:ind w:left="0"/>
        <w:jc w:val="both"/>
        <w:rPr>
          <w:rFonts w:ascii="Arial" w:eastAsia="Times New Roman" w:hAnsi="Arial" w:cs="Arial"/>
          <w:sz w:val="16"/>
          <w:szCs w:val="16"/>
        </w:rPr>
      </w:pPr>
      <w:r w:rsidRPr="002F4BFE">
        <w:rPr>
          <w:rFonts w:ascii="Arial" w:eastAsia="Times New Roman" w:hAnsi="Arial" w:cs="Arial"/>
          <w:sz w:val="16"/>
          <w:szCs w:val="16"/>
        </w:rPr>
        <w:t>Note: Numbers followed by the same letter in the same column but different rows are not significant at the 5%</w:t>
      </w:r>
    </w:p>
    <w:p w14:paraId="0F240288" w14:textId="77777777" w:rsidR="00E87205" w:rsidRPr="002F4BFE" w:rsidRDefault="00E87205" w:rsidP="00E87205">
      <w:pPr>
        <w:pStyle w:val="ListParagraph"/>
        <w:widowControl w:val="0"/>
        <w:spacing w:line="276" w:lineRule="auto"/>
        <w:ind w:left="426"/>
        <w:jc w:val="both"/>
        <w:rPr>
          <w:rFonts w:ascii="Arial" w:eastAsia="Times New Roman" w:hAnsi="Arial" w:cs="Arial"/>
          <w:sz w:val="16"/>
          <w:szCs w:val="16"/>
        </w:rPr>
      </w:pPr>
      <w:r w:rsidRPr="002F4BFE">
        <w:rPr>
          <w:rFonts w:ascii="Arial" w:eastAsia="Times New Roman" w:hAnsi="Arial" w:cs="Arial"/>
          <w:sz w:val="16"/>
          <w:szCs w:val="16"/>
        </w:rPr>
        <w:t>DMRT level. TSS = Total Number of Tubers per Clump, AD = Average Tuber Diameter, LDD = Largest Tuber Diameter, TTS = Number of Tubers per Clump, WTT = Wet Tuber Weight per Clump, DTWT = Dry Tuber Weight per Clump, WTS = Tuber Weight Loss, TWW = Tuber Weight per Plot, TWH = Tuber Weight per Hectare</w:t>
      </w:r>
    </w:p>
    <w:p w14:paraId="7381E2BC" w14:textId="77777777" w:rsidR="00EC33E0" w:rsidRDefault="00EC33E0" w:rsidP="008F794A">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Based on the results of the 5% DMRT analysis in Table 5, the ameliorant composition treatment had a significant effect on most of the growth and yield components of shallots. An increase in the weed ameliorant composition was accompanied by an increase in production components such as the number of bulbs, bulb diameter, wet bulb weight, dry weight, and yield per hectare. Although the number of tillers per clump and the number of bulbs per clump showed slightly different responses, the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treatment remained the best treatment overall, while the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and P</w:t>
      </w:r>
      <w:r w:rsidRPr="00F81D67">
        <w:rPr>
          <w:rFonts w:ascii="Arial" w:eastAsia="Times New Roman" w:hAnsi="Arial" w:cs="Arial"/>
          <w:bCs/>
          <w:sz w:val="20"/>
          <w:szCs w:val="24"/>
          <w:vertAlign w:val="subscript"/>
        </w:rPr>
        <w:t>6</w:t>
      </w:r>
      <w:r w:rsidRPr="00EC33E0">
        <w:rPr>
          <w:rFonts w:ascii="Arial" w:eastAsia="Times New Roman" w:hAnsi="Arial" w:cs="Arial"/>
          <w:bCs/>
          <w:sz w:val="20"/>
          <w:szCs w:val="24"/>
        </w:rPr>
        <w:t xml:space="preserve"> treatments were less favorable with low yields. Treatment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 xml:space="preserve">produced the highest number of tillers per clump (9.93 tillers), the largest average tuber diameter (21.84 mm), the largest diameter (29.28 mm), the highest number of tubers per clump (12.13 tubers), wet tuber weight per clump (138.28 g), dry weight per clump (110.88 g), and tuber weight per plot (2772.08 g or equivalent to 22.18 tons/ha). These findings are consistent with the variety description, but the tuber production results obtained in this study show higher figures than the variety description, which is recorded at 17.60 tons/ha. This indicates that weed ameliorants and </w:t>
      </w:r>
      <w:proofErr w:type="spellStart"/>
      <w:r w:rsidRPr="00EC33E0">
        <w:rPr>
          <w:rFonts w:ascii="Arial" w:eastAsia="Times New Roman" w:hAnsi="Arial" w:cs="Arial"/>
          <w:bCs/>
          <w:sz w:val="20"/>
          <w:szCs w:val="24"/>
        </w:rPr>
        <w:t>ultisols</w:t>
      </w:r>
      <w:proofErr w:type="spellEnd"/>
      <w:r w:rsidRPr="00EC33E0">
        <w:rPr>
          <w:rFonts w:ascii="Arial" w:eastAsia="Times New Roman" w:hAnsi="Arial" w:cs="Arial"/>
          <w:bCs/>
          <w:sz w:val="20"/>
          <w:szCs w:val="24"/>
        </w:rPr>
        <w:t xml:space="preserve"> are able to optimally improve the physical and chemical conditions of the soil, thereby supporting plant growth and yield.</w:t>
      </w:r>
    </w:p>
    <w:p w14:paraId="58E44380" w14:textId="77777777" w:rsidR="00EC33E0" w:rsidRPr="00EC33E0" w:rsidRDefault="00EC33E0" w:rsidP="00EC33E0">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Based on soil analysis results, treatment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has a texture (51.76% sand, 25.23% clay, </w:t>
      </w:r>
      <w:r w:rsidRPr="00EC33E0">
        <w:rPr>
          <w:rFonts w:ascii="Arial" w:eastAsia="Times New Roman" w:hAnsi="Arial" w:cs="Arial"/>
          <w:bCs/>
          <w:sz w:val="20"/>
          <w:szCs w:val="24"/>
        </w:rPr>
        <w:lastRenderedPageBreak/>
        <w:t xml:space="preserve">and 23.01% </w:t>
      </w:r>
      <w:r w:rsidR="00495F7F">
        <w:rPr>
          <w:rFonts w:ascii="Arial" w:eastAsia="Times New Roman" w:hAnsi="Arial" w:cs="Arial"/>
          <w:bCs/>
          <w:sz w:val="20"/>
          <w:szCs w:val="24"/>
        </w:rPr>
        <w:t>silt</w:t>
      </w:r>
      <w:r w:rsidRPr="00EC33E0">
        <w:rPr>
          <w:rFonts w:ascii="Arial" w:eastAsia="Times New Roman" w:hAnsi="Arial" w:cs="Arial"/>
          <w:bCs/>
          <w:sz w:val="20"/>
          <w:szCs w:val="24"/>
        </w:rPr>
        <w:t>), with moderate permeability (9.65 cm/hour). These conditions provide adequate aeration and are able to maintain soil moisture longer, allowing roots to grow well and nutrients to be absorbed more efficiently. Chemically,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soil has a pH of 6.6 (neutral). These conditions support the availability of essential macro nutrients, because</w:t>
      </w:r>
      <w:r w:rsidR="003F4E32" w:rsidRPr="003F4E32">
        <w:rPr>
          <w:rFonts w:ascii="Arial" w:eastAsia="Times New Roman" w:hAnsi="Arial" w:cs="Arial"/>
          <w:bCs/>
          <w:sz w:val="20"/>
          <w:szCs w:val="24"/>
        </w:rPr>
        <w:t xml:space="preserve"> </w:t>
      </w:r>
      <w:commentRangeStart w:id="32"/>
      <w:proofErr w:type="spellStart"/>
      <w:r w:rsidR="003F4E32" w:rsidRPr="003F4E32">
        <w:rPr>
          <w:rFonts w:ascii="Arial" w:eastAsia="Times New Roman" w:hAnsi="Arial" w:cs="Arial"/>
          <w:bCs/>
          <w:sz w:val="20"/>
          <w:szCs w:val="24"/>
        </w:rPr>
        <w:t>menurut</w:t>
      </w:r>
      <w:commentRangeEnd w:id="32"/>
      <w:proofErr w:type="spellEnd"/>
      <w:r w:rsidR="001A46D7">
        <w:rPr>
          <w:rStyle w:val="CommentReference"/>
          <w:rFonts w:ascii="Times New Roman" w:eastAsia="Times New Roman" w:hAnsi="Times New Roman" w:cs="Times New Roman"/>
          <w:lang w:val="nb-NO" w:eastAsia="nb-NO"/>
        </w:rPr>
        <w:commentReference w:id="32"/>
      </w:r>
      <w:r w:rsidR="003F4E32" w:rsidRPr="003F4E32">
        <w:rPr>
          <w:rFonts w:ascii="Arial" w:eastAsia="Times New Roman" w:hAnsi="Arial" w:cs="Arial"/>
          <w:bCs/>
          <w:sz w:val="20"/>
          <w:szCs w:val="24"/>
        </w:rPr>
        <w:t xml:space="preserve">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"DOI" : "10.30595/pspfs.v4i.476", "author" : [ { "dropping-particle" : "", "family" : "Fibrianty", "given" : "", "non-dropping-particle" : "", "parse-names" : false, "suffix" : "" }, { "dropping-particle" : "", "family" : "Afriani", "given" : "Riefna", "non-dropping-particle" : "", "parse-names" : false, "suffix" : "" }, { "dropping-particle" : "", "family" : "Pujiastuti", "given" : "Evy", "non-dropping-particle" : "", "parse-names" : false, "suffix" : "" }, { "dropping-particle" : "", "family" : "Purwaningsih", "given" : "", "non-dropping-particle" : "", "parse-names" : false, "suffix" : "" } ], "container-title" : "UMP press", "id" : "ITEM-1", "issue" : "2018", "issued" : { "date-parts" : [ [ "2022" ] ] }, "page" : "1990-1992", "title" : "Perbandingan Produksi Bawang Merah Varietas Bima Brebes pada Dua Jenis Tanah dengan Perbedaan Tingkat Kemasaman", "type" : "article-journal", "volume" : "4" }, "uris" : [ "http://www.mendeley.com/documents/?uuid=376cce32-44b0-4d29-87ee-94cd60918fa3" ] } ], "mendeley" : { "formattedCitation" : "(Fibrianty et al., 2022)", "manualFormatting" : "Fibrianty et al. (2022)", "plainTextFormattedCitation" : "(Fibrianty et al., 2022)", "previouslyFormattedCitation" : "(Fibrianty et al.,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Fibrianty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FC37EC">
        <w:rPr>
          <w:rFonts w:ascii="Arial" w:eastAsia="Times New Roman" w:hAnsi="Arial" w:cs="Arial"/>
          <w:bCs/>
          <w:noProof/>
          <w:sz w:val="20"/>
          <w:szCs w:val="24"/>
        </w:rPr>
        <w:t>.</w:t>
      </w:r>
      <w:r w:rsidR="00FC37EC">
        <w:rPr>
          <w:rFonts w:ascii="Arial" w:eastAsia="Times New Roman" w:hAnsi="Arial" w:cs="Arial"/>
          <w:bCs/>
          <w:noProof/>
          <w:sz w:val="20"/>
          <w:szCs w:val="24"/>
          <w:lang w:val="id-ID"/>
        </w:rPr>
        <w:t xml:space="preserve"> (</w:t>
      </w:r>
      <w:r w:rsidR="00FC37EC" w:rsidRPr="00FC37EC">
        <w:rPr>
          <w:rFonts w:ascii="Arial" w:eastAsia="Times New Roman" w:hAnsi="Arial" w:cs="Arial"/>
          <w:bCs/>
          <w:noProof/>
          <w:sz w:val="20"/>
          <w:szCs w:val="24"/>
        </w:rPr>
        <w:t>2022)</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 xml:space="preserve">N is most available at pH 6–8, P is optimal at pH 6.5–7.5, and K is easily absorbed at pH above 6. At neutral pH, soil microorganism activity also increases so that the decomposition of organic matter and nutrient release occur optimally. According to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"DOI" : "10.32502/altifani.v3i1.5316", "author" : [ { "dropping-particle" : "", "family" : "Marlina", "given" : "Neni", "non-dropping-particle" : "", "parse-names" : false, "suffix" : "" }, { "dropping-particle" : "", "family" : "Aryani", "given" : "Ida", "non-dropping-particle" : "", "parse-names" : false, "suffix" : "" }, { "dropping-particle" : "", "family" : "Kalasari", "given" : "Rastuti", "non-dropping-particle" : "", "parse-names" : false, "suffix" : "" } ], "container-title" : "Altifani Journal : International Journal of Community Engagement", "id" : "ITEM-1", "issue" : "1", "issued" : { "date-parts" : [ [ "2022" ] ] }, "page" : "31-36", "title" : "Pemanfaatan Limbah Pertanian Menjadi Pupuk Organik di Desa Gelebak Dalam Kabupaten Banyuasin", "type" : "article-journal", "volume" : "3" }, "uris" : [ "http://www.mendeley.com/documents/?uuid=8a9f65c4-b59e-4824-9177-b674e5b0d2b5" ] } ], "mendeley" : { "formattedCitation" : "(Marlina et al., 2022)", "manualFormatting" : "Marlina et al. (2022)", "plainTextFormattedCitation" : "(Marlina et al., 2022)", "previouslyFormattedCitation" : "(Marlina et al.,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Marlina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FC37EC">
        <w:rPr>
          <w:rFonts w:ascii="Arial" w:eastAsia="Times New Roman" w:hAnsi="Arial" w:cs="Arial"/>
          <w:bCs/>
          <w:noProof/>
          <w:sz w:val="20"/>
          <w:szCs w:val="24"/>
        </w:rPr>
        <w:t>.</w:t>
      </w:r>
      <w:r w:rsidR="00FC37EC" w:rsidRPr="00FC37EC">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FC37EC" w:rsidRPr="00FC37EC">
        <w:rPr>
          <w:rFonts w:ascii="Arial" w:eastAsia="Times New Roman" w:hAnsi="Arial" w:cs="Arial"/>
          <w:bCs/>
          <w:noProof/>
          <w:sz w:val="20"/>
          <w:szCs w:val="24"/>
        </w:rPr>
        <w:t>2022)</w:t>
      </w:r>
      <w:r w:rsidR="00FC37EC">
        <w:rPr>
          <w:rFonts w:ascii="Arial" w:eastAsia="Times New Roman" w:hAnsi="Arial" w:cs="Arial"/>
          <w:bCs/>
          <w:sz w:val="20"/>
          <w:szCs w:val="24"/>
        </w:rPr>
        <w:fldChar w:fldCharType="end"/>
      </w:r>
      <w:r w:rsidR="003F4E32" w:rsidRPr="003F4E32">
        <w:rPr>
          <w:rFonts w:ascii="Arial" w:eastAsia="Times New Roman" w:hAnsi="Arial" w:cs="Arial"/>
          <w:bCs/>
          <w:sz w:val="20"/>
          <w:szCs w:val="24"/>
        </w:rPr>
        <w:t xml:space="preserve"> </w:t>
      </w:r>
      <w:r w:rsidRPr="00EC33E0">
        <w:rPr>
          <w:rFonts w:ascii="Arial" w:eastAsia="Times New Roman" w:hAnsi="Arial" w:cs="Arial"/>
          <w:bCs/>
          <w:sz w:val="20"/>
          <w:szCs w:val="24"/>
        </w:rPr>
        <w:t>organic matter from soil conditioners increases cation exchange capacity (CEC), improves soil structure, and reduces nutrient loss due to leaching. This explains why treatment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produced the best growth and yield.</w:t>
      </w:r>
    </w:p>
    <w:p w14:paraId="47FE736B" w14:textId="77777777" w:rsidR="00EC33E0" w:rsidRPr="00EC33E0" w:rsidRDefault="00EC33E0" w:rsidP="00EC33E0">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 xml:space="preserve">Environmental conditions during the study also supported optimal results for this treatment. The study was conducted during the dry season with an average temperature of 26°C–27°C, rainfall of 10–34 mm/month, and air humidity of 86–88%. According to </w:t>
      </w:r>
      <w:r w:rsidR="005F74B4">
        <w:rPr>
          <w:rFonts w:ascii="Arial" w:eastAsia="Times New Roman" w:hAnsi="Arial" w:cs="Arial"/>
          <w:bCs/>
          <w:sz w:val="20"/>
          <w:szCs w:val="24"/>
        </w:rPr>
        <w:fldChar w:fldCharType="begin" w:fldLock="1"/>
      </w:r>
      <w:r w:rsidR="000A08A7">
        <w:rPr>
          <w:rFonts w:ascii="Arial" w:eastAsia="Times New Roman" w:hAnsi="Arial" w:cs="Arial"/>
          <w:bCs/>
          <w:sz w:val="20"/>
          <w:szCs w:val="24"/>
        </w:rPr>
        <w:instrText>ADDIN CSL_CITATION { "citationItems" : [ { "id" : "ITEM-1", "itemData" : { "author" : [ { "dropping-particle" : "", "family" : "Prathama", "given" : "Mathias", "non-dropping-particle" : "", "parse-names" : false, "suffix" : "" }, { "dropping-particle" : "", "family" : "Susila", "given" : "Anas Dinurrohman", "non-dropping-particle" : "", "parse-names" : false, "suffix" : "" }, { "dropping-particle" : "", "family" : "Santosa", "given" : "Edi", "non-dropping-particle" : "", "parse-names" : false, "suffix" : "" } ], "container-title" : "J. Hort. Indonesia", "id" : "ITEM-1", "issue" : "2", "issued" : { "date-parts" : [ [ "2023" ] ] }, "page" : "78-86", "title" : "Respons Pertumbuhan dan Produksi Bawang Merah terhadap Kepadatan Populasi dan Jumlah Selang Fertigasi Menggunakan Irigasi Tetes", "type" : "article-journal", "volume" : "14" }, "uris" : [ "http://www.mendeley.com/documents/?uuid=cecfcac0-be55-4c57-9d88-ce81020605af" ] } ], "mendeley" : { "formattedCitation" : "(Prathama et al., 2023)", "manualFormatting" : "Prathama et al. (2023)", "plainTextFormattedCitation" : "(Prathama et al., 2023)", "previouslyFormattedCitation" : "(Prathama et al., 2023)" }, "properties" : { "noteIndex" : 0 }, "schema" : "https://github.com/citation-style-language/schema/raw/master/csl-citation.json" }</w:instrText>
      </w:r>
      <w:r w:rsidR="005F74B4">
        <w:rPr>
          <w:rFonts w:ascii="Arial" w:eastAsia="Times New Roman" w:hAnsi="Arial" w:cs="Arial"/>
          <w:bCs/>
          <w:sz w:val="20"/>
          <w:szCs w:val="24"/>
        </w:rPr>
        <w:fldChar w:fldCharType="separate"/>
      </w:r>
      <w:r w:rsidR="005F74B4">
        <w:rPr>
          <w:rFonts w:ascii="Arial" w:eastAsia="Times New Roman" w:hAnsi="Arial" w:cs="Arial"/>
          <w:bCs/>
          <w:noProof/>
          <w:sz w:val="20"/>
          <w:szCs w:val="24"/>
        </w:rPr>
        <w:t xml:space="preserve">Prathama </w:t>
      </w:r>
      <w:r w:rsidR="005F74B4" w:rsidRPr="005F74B4">
        <w:rPr>
          <w:rFonts w:ascii="Arial" w:eastAsia="Times New Roman" w:hAnsi="Arial" w:cs="Arial"/>
          <w:bCs/>
          <w:i/>
          <w:noProof/>
          <w:sz w:val="20"/>
          <w:szCs w:val="24"/>
        </w:rPr>
        <w:t>et</w:t>
      </w:r>
      <w:r w:rsidR="005F74B4">
        <w:rPr>
          <w:rFonts w:ascii="Arial" w:eastAsia="Times New Roman" w:hAnsi="Arial" w:cs="Arial"/>
          <w:bCs/>
          <w:noProof/>
          <w:sz w:val="20"/>
          <w:szCs w:val="24"/>
        </w:rPr>
        <w:t xml:space="preserve"> </w:t>
      </w:r>
      <w:r w:rsidR="005F74B4" w:rsidRPr="005F74B4">
        <w:rPr>
          <w:rFonts w:ascii="Arial" w:eastAsia="Times New Roman" w:hAnsi="Arial" w:cs="Arial"/>
          <w:bCs/>
          <w:i/>
          <w:noProof/>
          <w:sz w:val="20"/>
          <w:szCs w:val="24"/>
        </w:rPr>
        <w:t>al</w:t>
      </w:r>
      <w:r w:rsidR="005F74B4">
        <w:rPr>
          <w:rFonts w:ascii="Arial" w:eastAsia="Times New Roman" w:hAnsi="Arial" w:cs="Arial"/>
          <w:bCs/>
          <w:noProof/>
          <w:sz w:val="20"/>
          <w:szCs w:val="24"/>
        </w:rPr>
        <w:t>.</w:t>
      </w:r>
      <w:r w:rsidR="005F74B4" w:rsidRPr="005F74B4">
        <w:rPr>
          <w:rFonts w:ascii="Arial" w:eastAsia="Times New Roman" w:hAnsi="Arial" w:cs="Arial"/>
          <w:bCs/>
          <w:noProof/>
          <w:sz w:val="20"/>
          <w:szCs w:val="24"/>
        </w:rPr>
        <w:t xml:space="preserve"> </w:t>
      </w:r>
      <w:r w:rsidR="005F74B4">
        <w:rPr>
          <w:rFonts w:ascii="Arial" w:eastAsia="Times New Roman" w:hAnsi="Arial" w:cs="Arial"/>
          <w:bCs/>
          <w:noProof/>
          <w:sz w:val="20"/>
          <w:szCs w:val="24"/>
          <w:lang w:val="id-ID"/>
        </w:rPr>
        <w:t>(</w:t>
      </w:r>
      <w:r w:rsidR="005F74B4" w:rsidRPr="005F74B4">
        <w:rPr>
          <w:rFonts w:ascii="Arial" w:eastAsia="Times New Roman" w:hAnsi="Arial" w:cs="Arial"/>
          <w:bCs/>
          <w:noProof/>
          <w:sz w:val="20"/>
          <w:szCs w:val="24"/>
        </w:rPr>
        <w:t>2023)</w:t>
      </w:r>
      <w:r w:rsidR="005F74B4">
        <w:rPr>
          <w:rFonts w:ascii="Arial" w:eastAsia="Times New Roman" w:hAnsi="Arial" w:cs="Arial"/>
          <w:bCs/>
          <w:sz w:val="20"/>
          <w:szCs w:val="24"/>
        </w:rPr>
        <w:fldChar w:fldCharType="end"/>
      </w:r>
      <w:r w:rsidR="003F4E32" w:rsidRPr="003F4E32">
        <w:rPr>
          <w:rFonts w:ascii="Arial" w:eastAsia="Times New Roman" w:hAnsi="Arial" w:cs="Arial"/>
          <w:bCs/>
          <w:sz w:val="20"/>
          <w:szCs w:val="24"/>
        </w:rPr>
        <w:t xml:space="preserve">, </w:t>
      </w:r>
      <w:r w:rsidRPr="00EC33E0">
        <w:rPr>
          <w:rFonts w:ascii="Arial" w:eastAsia="Times New Roman" w:hAnsi="Arial" w:cs="Arial"/>
          <w:bCs/>
          <w:sz w:val="20"/>
          <w:szCs w:val="24"/>
        </w:rPr>
        <w:t>The optimal temperature range for shallot growth is 25oC - 32oC. High humidity with low rainfall also helps maintain soil moisture without causing excess water, especially in media with organic amendments that can retain water longer. Increased vegetative growth in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as indicated by a greater number of leaves and taller crowns, is directly related to yield formation. The more leaves that form, the greater the photosynthetic capacity that produces assimilates for bulb formation. N plays a role in leaf growth, P in root and bulb formation, and K in bulb enlargement and translocation of photosynthetic products.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"author" : [ { "dropping-particle" : "", "family" : "Apriliani", "given" : "Iin Nur", "non-dropping-particle" : "", "parse-names" : false, "suffix" : "" } ], "container-title" : "Jurnal Ilmiah Mahasiswa Pertanian", "id" : "ITEM-1", "issued" : { "date-parts" : [ [ "2022" ] ] }, "page" : "148-157", "title" : "Pengaruh Kalium Pada Pertumbuhan dan Hasil Dua Varietas Tanaman Ubi Jalar ( Ipomea batatas ( L .) Lamb )", "type" : "article-journal", "volume" : "2" }, "uris" : [ "http://www.mendeley.com/documents/?uuid=4b6cb823-1818-4b1d-9ec1-50544575ddf8" ] } ], "mendeley" : { "formattedCitation" : "(Apriliani, 2022)", "manualFormatting" : "Apriliani (2022)", "plainTextFormattedCitation" : "(Apriliani, 2022)", "previouslyFormattedCitation" : "(Apriliani,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Pr>
          <w:rFonts w:ascii="Arial" w:eastAsia="Times New Roman" w:hAnsi="Arial" w:cs="Arial"/>
          <w:bCs/>
          <w:noProof/>
          <w:sz w:val="20"/>
          <w:szCs w:val="24"/>
        </w:rPr>
        <w:t>Apriliani</w:t>
      </w:r>
      <w:r w:rsidR="00FC37EC" w:rsidRPr="00FC37EC">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FC37EC" w:rsidRPr="00FC37EC">
        <w:rPr>
          <w:rFonts w:ascii="Arial" w:eastAsia="Times New Roman" w:hAnsi="Arial" w:cs="Arial"/>
          <w:bCs/>
          <w:noProof/>
          <w:sz w:val="20"/>
          <w:szCs w:val="24"/>
        </w:rPr>
        <w:t>2022)</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explains that K plays a role in facilitating carbohydrate translocation to tubers, thereby increasing tuber size and weight. Therefore, soil conditions in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produced the highest growth and production.</w:t>
      </w:r>
    </w:p>
    <w:p w14:paraId="079EBB9F" w14:textId="77777777" w:rsidR="008F794A" w:rsidRPr="00AF2033" w:rsidRDefault="00EC33E0" w:rsidP="00EC33E0">
      <w:pPr>
        <w:pStyle w:val="ListParagraph"/>
        <w:widowControl w:val="0"/>
        <w:spacing w:line="276" w:lineRule="auto"/>
        <w:ind w:left="0" w:firstLine="567"/>
        <w:jc w:val="both"/>
        <w:rPr>
          <w:rFonts w:ascii="Arial" w:eastAsia="Times New Roman" w:hAnsi="Arial" w:cs="Arial"/>
          <w:bCs/>
          <w:sz w:val="20"/>
          <w:szCs w:val="24"/>
          <w:lang w:val="id-ID"/>
        </w:rPr>
      </w:pPr>
      <w:r w:rsidRPr="00EC33E0">
        <w:rPr>
          <w:rFonts w:ascii="Arial" w:eastAsia="Times New Roman" w:hAnsi="Arial" w:cs="Arial"/>
          <w:bCs/>
          <w:sz w:val="20"/>
          <w:szCs w:val="24"/>
        </w:rPr>
        <w:t>Conversely,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showed the lowest results with a tuber weight per plot of 207.58 g (equivalent to 1.66 tons/ha), a tuber diameter of 10.00 mm, and only 7.07 tubers per clump.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soil has low water content (3.75%) and very high permeability (</w:t>
      </w:r>
      <w:r w:rsidR="00495F7F">
        <w:rPr>
          <w:rFonts w:ascii="Arial" w:eastAsia="Times New Roman" w:hAnsi="Arial" w:cs="Arial"/>
          <w:bCs/>
          <w:sz w:val="20"/>
          <w:szCs w:val="24"/>
        </w:rPr>
        <w:t>59.4</w:t>
      </w:r>
      <w:r w:rsidRPr="00EC33E0">
        <w:rPr>
          <w:rFonts w:ascii="Arial" w:eastAsia="Times New Roman" w:hAnsi="Arial" w:cs="Arial"/>
          <w:bCs/>
          <w:sz w:val="20"/>
          <w:szCs w:val="24"/>
        </w:rPr>
        <w:t xml:space="preserve"> cm/hour), causing water and nutrients to leach easily. These conditions cause plants to experience water and nutrient deficiencies during growth, resulting in fewer leaves, limited photosynthesis, and suboptimal tuber formation. P</w:t>
      </w:r>
      <w:r w:rsidRPr="00F81D67">
        <w:rPr>
          <w:rFonts w:ascii="Arial" w:eastAsia="Times New Roman" w:hAnsi="Arial" w:cs="Arial"/>
          <w:bCs/>
          <w:sz w:val="20"/>
          <w:szCs w:val="24"/>
          <w:vertAlign w:val="subscript"/>
        </w:rPr>
        <w:t>6</w:t>
      </w:r>
      <w:r w:rsidRPr="00EC33E0">
        <w:rPr>
          <w:rFonts w:ascii="Arial" w:eastAsia="Times New Roman" w:hAnsi="Arial" w:cs="Arial"/>
          <w:bCs/>
          <w:sz w:val="20"/>
          <w:szCs w:val="24"/>
        </w:rPr>
        <w:t xml:space="preserve"> also showed low yields (413.67 g/plot or 3.31 tons/ha). This was due to the acidic soil pH (4.8). Acidic soil causes P and K to be fixed by Fe and Al, making them unavailable to plants. In addition, the heavy soil texture reduces aeration and inhibits root growth. As a result, nutrient uptake is not maximized. Similar conditions were also reported by</w:t>
      </w:r>
      <w:r w:rsidR="003F4E32" w:rsidRPr="003F4E32">
        <w:rPr>
          <w:rFonts w:ascii="Arial" w:eastAsia="Times New Roman" w:hAnsi="Arial" w:cs="Arial"/>
          <w:bCs/>
          <w:sz w:val="20"/>
          <w:szCs w:val="24"/>
        </w:rPr>
        <w:t xml:space="preserve">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Nurjanah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AF2033">
        <w:rPr>
          <w:rFonts w:ascii="Arial" w:eastAsia="Times New Roman" w:hAnsi="Arial" w:cs="Arial"/>
          <w:bCs/>
          <w:noProof/>
          <w:sz w:val="20"/>
          <w:szCs w:val="24"/>
        </w:rPr>
        <w:t>.</w:t>
      </w:r>
      <w:r w:rsidR="00FC37EC" w:rsidRPr="00FC37EC">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FC37EC" w:rsidRPr="00FC37EC">
        <w:rPr>
          <w:rFonts w:ascii="Arial" w:eastAsia="Times New Roman" w:hAnsi="Arial" w:cs="Arial"/>
          <w:bCs/>
          <w:noProof/>
          <w:sz w:val="20"/>
          <w:szCs w:val="24"/>
        </w:rPr>
        <w:t>2024)</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on coastal land with excessively high clay content and low pH, shallot growth declines because the roots are unable to absorb nutrients efficiently.</w:t>
      </w:r>
    </w:p>
    <w:p w14:paraId="6F907DE1" w14:textId="77777777" w:rsidR="006A4942" w:rsidRDefault="006A4942" w:rsidP="00F83C98">
      <w:pPr>
        <w:pStyle w:val="ListParagraph"/>
        <w:widowControl w:val="0"/>
        <w:spacing w:line="276" w:lineRule="auto"/>
        <w:ind w:left="0"/>
        <w:jc w:val="both"/>
        <w:rPr>
          <w:rFonts w:ascii="Arial" w:eastAsia="Times New Roman" w:hAnsi="Arial" w:cs="Arial"/>
          <w:b/>
        </w:rPr>
      </w:pPr>
    </w:p>
    <w:p w14:paraId="153A06A5" w14:textId="77777777" w:rsidR="006A4942" w:rsidRDefault="006A4942" w:rsidP="00F83C98">
      <w:pPr>
        <w:pStyle w:val="ListParagraph"/>
        <w:widowControl w:val="0"/>
        <w:spacing w:line="276" w:lineRule="auto"/>
        <w:ind w:left="0"/>
        <w:jc w:val="both"/>
        <w:rPr>
          <w:rFonts w:ascii="Arial" w:eastAsia="Times New Roman" w:hAnsi="Arial" w:cs="Arial"/>
          <w:b/>
        </w:rPr>
      </w:pPr>
    </w:p>
    <w:p w14:paraId="6E1D9C9D" w14:textId="77777777" w:rsidR="006A4942" w:rsidRDefault="006A4942" w:rsidP="00F83C98">
      <w:pPr>
        <w:pStyle w:val="ListParagraph"/>
        <w:widowControl w:val="0"/>
        <w:spacing w:line="276" w:lineRule="auto"/>
        <w:ind w:left="0"/>
        <w:jc w:val="both"/>
        <w:rPr>
          <w:rFonts w:ascii="Arial" w:eastAsia="Times New Roman" w:hAnsi="Arial" w:cs="Arial"/>
          <w:b/>
        </w:rPr>
      </w:pPr>
    </w:p>
    <w:p w14:paraId="010E277A" w14:textId="77777777" w:rsidR="006A4942" w:rsidRDefault="006A4942" w:rsidP="00F83C98">
      <w:pPr>
        <w:pStyle w:val="ListParagraph"/>
        <w:widowControl w:val="0"/>
        <w:spacing w:line="276" w:lineRule="auto"/>
        <w:ind w:left="0"/>
        <w:jc w:val="both"/>
        <w:rPr>
          <w:rFonts w:ascii="Arial" w:eastAsia="Times New Roman" w:hAnsi="Arial" w:cs="Arial"/>
          <w:b/>
        </w:rPr>
      </w:pPr>
    </w:p>
    <w:p w14:paraId="170D314A" w14:textId="77777777" w:rsidR="006A4942" w:rsidRDefault="006A4942" w:rsidP="00F83C98">
      <w:pPr>
        <w:pStyle w:val="ListParagraph"/>
        <w:widowControl w:val="0"/>
        <w:spacing w:line="276" w:lineRule="auto"/>
        <w:ind w:left="0"/>
        <w:jc w:val="both"/>
        <w:rPr>
          <w:rFonts w:ascii="Arial" w:eastAsia="Times New Roman" w:hAnsi="Arial" w:cs="Arial"/>
          <w:b/>
        </w:rPr>
      </w:pPr>
    </w:p>
    <w:p w14:paraId="70289FAD" w14:textId="77777777" w:rsidR="006A4942" w:rsidRDefault="006A4942" w:rsidP="00F83C98">
      <w:pPr>
        <w:pStyle w:val="ListParagraph"/>
        <w:widowControl w:val="0"/>
        <w:spacing w:line="276" w:lineRule="auto"/>
        <w:ind w:left="0"/>
        <w:jc w:val="both"/>
        <w:rPr>
          <w:rFonts w:ascii="Arial" w:eastAsia="Times New Roman" w:hAnsi="Arial" w:cs="Arial"/>
          <w:b/>
        </w:rPr>
      </w:pPr>
    </w:p>
    <w:p w14:paraId="6182933D" w14:textId="77777777" w:rsidR="006A4942" w:rsidRDefault="006A4942" w:rsidP="00F83C98">
      <w:pPr>
        <w:pStyle w:val="ListParagraph"/>
        <w:widowControl w:val="0"/>
        <w:spacing w:line="276" w:lineRule="auto"/>
        <w:ind w:left="0"/>
        <w:jc w:val="both"/>
        <w:rPr>
          <w:rFonts w:ascii="Arial" w:eastAsia="Times New Roman" w:hAnsi="Arial" w:cs="Arial"/>
          <w:b/>
        </w:rPr>
      </w:pPr>
    </w:p>
    <w:p w14:paraId="6957763B" w14:textId="77777777" w:rsidR="006A4942" w:rsidRDefault="006A4942" w:rsidP="00F83C98">
      <w:pPr>
        <w:pStyle w:val="ListParagraph"/>
        <w:widowControl w:val="0"/>
        <w:spacing w:line="276" w:lineRule="auto"/>
        <w:ind w:left="0"/>
        <w:jc w:val="both"/>
        <w:rPr>
          <w:rFonts w:ascii="Arial" w:eastAsia="Times New Roman" w:hAnsi="Arial" w:cs="Arial"/>
          <w:b/>
        </w:rPr>
      </w:pPr>
    </w:p>
    <w:p w14:paraId="5B5FA4ED" w14:textId="77777777" w:rsidR="006A4942" w:rsidRDefault="006A4942" w:rsidP="00F83C98">
      <w:pPr>
        <w:pStyle w:val="ListParagraph"/>
        <w:widowControl w:val="0"/>
        <w:spacing w:line="276" w:lineRule="auto"/>
        <w:ind w:left="0"/>
        <w:jc w:val="both"/>
        <w:rPr>
          <w:rFonts w:ascii="Arial" w:eastAsia="Times New Roman" w:hAnsi="Arial" w:cs="Arial"/>
          <w:b/>
        </w:rPr>
      </w:pPr>
    </w:p>
    <w:p w14:paraId="7F46FCB9" w14:textId="77777777" w:rsidR="006A4942" w:rsidRDefault="006A4942" w:rsidP="00F83C98">
      <w:pPr>
        <w:pStyle w:val="ListParagraph"/>
        <w:widowControl w:val="0"/>
        <w:spacing w:line="276" w:lineRule="auto"/>
        <w:ind w:left="0"/>
        <w:jc w:val="both"/>
        <w:rPr>
          <w:rFonts w:ascii="Arial" w:eastAsia="Times New Roman" w:hAnsi="Arial" w:cs="Arial"/>
          <w:b/>
        </w:rPr>
      </w:pPr>
    </w:p>
    <w:p w14:paraId="615A433C" w14:textId="77777777" w:rsidR="00F83C98" w:rsidRDefault="00657BA4" w:rsidP="00F83C98">
      <w:pPr>
        <w:pStyle w:val="ListParagraph"/>
        <w:widowControl w:val="0"/>
        <w:spacing w:line="276" w:lineRule="auto"/>
        <w:ind w:left="0"/>
        <w:jc w:val="both"/>
        <w:rPr>
          <w:rFonts w:ascii="Arial" w:hAnsi="Arial" w:cs="Arial"/>
          <w:b/>
        </w:rPr>
      </w:pPr>
      <w:r>
        <w:rPr>
          <w:rFonts w:ascii="Arial" w:eastAsia="Times New Roman" w:hAnsi="Arial" w:cs="Arial"/>
          <w:b/>
        </w:rPr>
        <w:lastRenderedPageBreak/>
        <w:t>3.5</w:t>
      </w:r>
      <w:r w:rsidR="00B7489A" w:rsidRPr="00B7489A">
        <w:rPr>
          <w:rFonts w:ascii="Arial" w:eastAsia="Times New Roman" w:hAnsi="Arial" w:cs="Arial"/>
          <w:b/>
        </w:rPr>
        <w:t xml:space="preserve"> </w:t>
      </w:r>
      <w:r w:rsidR="00F83C98" w:rsidRPr="00F83C98">
        <w:rPr>
          <w:rFonts w:ascii="Arial" w:hAnsi="Arial" w:cs="Arial"/>
          <w:b/>
        </w:rPr>
        <w:t>Comparison of Ameliorant Composition on Growth and Yield</w:t>
      </w:r>
      <w:r w:rsidR="00F83C98">
        <w:rPr>
          <w:rFonts w:ascii="Arial" w:hAnsi="Arial" w:cs="Arial"/>
          <w:b/>
        </w:rPr>
        <w:t xml:space="preserve"> of Shallot</w:t>
      </w:r>
    </w:p>
    <w:p w14:paraId="5ED242B7" w14:textId="77777777" w:rsidR="00F83C98" w:rsidRDefault="00F83C98" w:rsidP="00E02941">
      <w:pPr>
        <w:pStyle w:val="ListParagraph"/>
        <w:widowControl w:val="0"/>
        <w:spacing w:after="0" w:line="276" w:lineRule="auto"/>
        <w:ind w:left="426"/>
        <w:jc w:val="both"/>
        <w:rPr>
          <w:rFonts w:ascii="Arial" w:hAnsi="Arial" w:cs="Arial"/>
          <w:b/>
        </w:rPr>
      </w:pPr>
      <w:r w:rsidRPr="00F83C98">
        <w:rPr>
          <w:rFonts w:ascii="Arial" w:hAnsi="Arial" w:cs="Arial"/>
          <w:b/>
        </w:rPr>
        <w:t>Plants</w:t>
      </w:r>
    </w:p>
    <w:p w14:paraId="4356523A" w14:textId="77777777" w:rsidR="00657BA4" w:rsidRPr="00FC634E" w:rsidRDefault="00F83C98" w:rsidP="00F81D67">
      <w:pPr>
        <w:pStyle w:val="ListParagraph"/>
        <w:widowControl w:val="0"/>
        <w:spacing w:after="0" w:line="276" w:lineRule="auto"/>
        <w:ind w:left="426"/>
        <w:jc w:val="both"/>
        <w:rPr>
          <w:rFonts w:ascii="Arial" w:hAnsi="Arial" w:cs="Arial"/>
          <w:sz w:val="20"/>
          <w:szCs w:val="20"/>
        </w:rPr>
      </w:pPr>
      <w:commentRangeStart w:id="33"/>
      <w:r w:rsidRPr="00F83C98">
        <w:rPr>
          <w:rFonts w:ascii="Arial" w:hAnsi="Arial" w:cs="Arial"/>
          <w:sz w:val="20"/>
          <w:szCs w:val="20"/>
        </w:rPr>
        <w:t xml:space="preserve">Table 6. </w:t>
      </w:r>
      <w:commentRangeEnd w:id="33"/>
      <w:r w:rsidR="001A46D7">
        <w:rPr>
          <w:rStyle w:val="CommentReference"/>
          <w:rFonts w:ascii="Times New Roman" w:eastAsia="Times New Roman" w:hAnsi="Times New Roman" w:cs="Times New Roman"/>
          <w:lang w:val="nb-NO" w:eastAsia="nb-NO"/>
        </w:rPr>
        <w:commentReference w:id="33"/>
      </w:r>
      <w:r w:rsidRPr="00F83C98">
        <w:rPr>
          <w:rFonts w:ascii="Arial" w:hAnsi="Arial" w:cs="Arial"/>
          <w:sz w:val="20"/>
          <w:szCs w:val="20"/>
        </w:rPr>
        <w:t>Comparison of soil conditioner composition on the growth and yield of shallots</w:t>
      </w:r>
    </w:p>
    <w:tbl>
      <w:tblPr>
        <w:tblW w:w="7318" w:type="dxa"/>
        <w:tblInd w:w="587" w:type="dxa"/>
        <w:tblLook w:val="04A0" w:firstRow="1" w:lastRow="0" w:firstColumn="1" w:lastColumn="0" w:noHBand="0" w:noVBand="1"/>
      </w:tblPr>
      <w:tblGrid>
        <w:gridCol w:w="565"/>
        <w:gridCol w:w="4059"/>
        <w:gridCol w:w="2694"/>
      </w:tblGrid>
      <w:tr w:rsidR="00B44119" w:rsidRPr="00FC634E" w14:paraId="6108E0E8" w14:textId="77777777" w:rsidTr="00293ADB">
        <w:trPr>
          <w:trHeight w:val="402"/>
        </w:trPr>
        <w:tc>
          <w:tcPr>
            <w:tcW w:w="565" w:type="dxa"/>
            <w:tcBorders>
              <w:top w:val="single" w:sz="4" w:space="0" w:color="auto"/>
              <w:left w:val="nil"/>
              <w:bottom w:val="single" w:sz="4" w:space="0" w:color="auto"/>
              <w:right w:val="nil"/>
            </w:tcBorders>
            <w:noWrap/>
            <w:vAlign w:val="center"/>
            <w:hideMark/>
          </w:tcPr>
          <w:p w14:paraId="619D5C8D" w14:textId="77777777" w:rsidR="00B44119" w:rsidRPr="00FC634E" w:rsidRDefault="00B44119" w:rsidP="008F794A">
            <w:pPr>
              <w:spacing w:line="276" w:lineRule="auto"/>
              <w:rPr>
                <w:rFonts w:ascii="Arial" w:hAnsi="Arial" w:cs="Arial"/>
                <w:color w:val="000000"/>
              </w:rPr>
            </w:pPr>
            <w:r w:rsidRPr="00FC634E">
              <w:rPr>
                <w:rFonts w:ascii="Arial" w:hAnsi="Arial" w:cs="Arial"/>
                <w:color w:val="000000"/>
              </w:rPr>
              <w:t>No</w:t>
            </w:r>
          </w:p>
        </w:tc>
        <w:tc>
          <w:tcPr>
            <w:tcW w:w="4059" w:type="dxa"/>
            <w:tcBorders>
              <w:top w:val="single" w:sz="4" w:space="0" w:color="auto"/>
              <w:left w:val="nil"/>
              <w:bottom w:val="single" w:sz="4" w:space="0" w:color="auto"/>
              <w:right w:val="nil"/>
            </w:tcBorders>
            <w:noWrap/>
            <w:vAlign w:val="center"/>
            <w:hideMark/>
          </w:tcPr>
          <w:p w14:paraId="6CF4731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Observation variables</w:t>
            </w:r>
          </w:p>
        </w:tc>
        <w:tc>
          <w:tcPr>
            <w:tcW w:w="2694" w:type="dxa"/>
            <w:tcBorders>
              <w:top w:val="single" w:sz="4" w:space="0" w:color="auto"/>
              <w:left w:val="nil"/>
              <w:bottom w:val="single" w:sz="4" w:space="0" w:color="auto"/>
              <w:right w:val="nil"/>
            </w:tcBorders>
          </w:tcPr>
          <w:p w14:paraId="78F16DA9"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 xml:space="preserve">t-Test </w:t>
            </w:r>
          </w:p>
        </w:tc>
      </w:tr>
      <w:tr w:rsidR="00B44119" w:rsidRPr="00FC634E" w14:paraId="20B81953" w14:textId="77777777" w:rsidTr="00293ADB">
        <w:trPr>
          <w:trHeight w:val="352"/>
        </w:trPr>
        <w:tc>
          <w:tcPr>
            <w:tcW w:w="565" w:type="dxa"/>
            <w:tcBorders>
              <w:top w:val="nil"/>
              <w:left w:val="nil"/>
              <w:bottom w:val="nil"/>
              <w:right w:val="nil"/>
            </w:tcBorders>
            <w:noWrap/>
            <w:vAlign w:val="center"/>
            <w:hideMark/>
          </w:tcPr>
          <w:p w14:paraId="2CA90F8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w:t>
            </w:r>
          </w:p>
        </w:tc>
        <w:tc>
          <w:tcPr>
            <w:tcW w:w="4059" w:type="dxa"/>
            <w:tcBorders>
              <w:top w:val="nil"/>
              <w:left w:val="nil"/>
              <w:bottom w:val="nil"/>
              <w:right w:val="nil"/>
            </w:tcBorders>
            <w:noWrap/>
            <w:vAlign w:val="center"/>
            <w:hideMark/>
          </w:tcPr>
          <w:p w14:paraId="6CC49EED"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Height of header 7 WAP</w:t>
            </w:r>
          </w:p>
        </w:tc>
        <w:tc>
          <w:tcPr>
            <w:tcW w:w="2694" w:type="dxa"/>
            <w:tcBorders>
              <w:top w:val="nil"/>
              <w:left w:val="nil"/>
              <w:bottom w:val="nil"/>
              <w:right w:val="nil"/>
            </w:tcBorders>
          </w:tcPr>
          <w:p w14:paraId="4E11ECD9"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2.26</w:t>
            </w:r>
          </w:p>
        </w:tc>
      </w:tr>
      <w:tr w:rsidR="00B44119" w:rsidRPr="00FC634E" w14:paraId="3D8E24A1" w14:textId="77777777" w:rsidTr="00293ADB">
        <w:trPr>
          <w:trHeight w:val="80"/>
        </w:trPr>
        <w:tc>
          <w:tcPr>
            <w:tcW w:w="565" w:type="dxa"/>
            <w:tcBorders>
              <w:top w:val="nil"/>
              <w:left w:val="nil"/>
              <w:bottom w:val="nil"/>
              <w:right w:val="nil"/>
            </w:tcBorders>
            <w:noWrap/>
            <w:vAlign w:val="center"/>
            <w:hideMark/>
          </w:tcPr>
          <w:p w14:paraId="51B04C7C"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w:t>
            </w:r>
          </w:p>
        </w:tc>
        <w:tc>
          <w:tcPr>
            <w:tcW w:w="4059" w:type="dxa"/>
            <w:tcBorders>
              <w:top w:val="nil"/>
              <w:left w:val="nil"/>
              <w:bottom w:val="nil"/>
              <w:right w:val="nil"/>
            </w:tcBorders>
            <w:noWrap/>
            <w:vAlign w:val="center"/>
            <w:hideMark/>
          </w:tcPr>
          <w:p w14:paraId="737307E3"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Number of leaves per clump</w:t>
            </w:r>
          </w:p>
        </w:tc>
        <w:tc>
          <w:tcPr>
            <w:tcW w:w="2694" w:type="dxa"/>
            <w:tcBorders>
              <w:top w:val="nil"/>
              <w:left w:val="nil"/>
              <w:bottom w:val="nil"/>
              <w:right w:val="nil"/>
            </w:tcBorders>
          </w:tcPr>
          <w:p w14:paraId="1F027D50"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2.74</w:t>
            </w:r>
          </w:p>
        </w:tc>
      </w:tr>
      <w:tr w:rsidR="00B44119" w:rsidRPr="00FC634E" w14:paraId="48DA30F9" w14:textId="77777777" w:rsidTr="00293ADB">
        <w:trPr>
          <w:trHeight w:val="195"/>
        </w:trPr>
        <w:tc>
          <w:tcPr>
            <w:tcW w:w="565" w:type="dxa"/>
            <w:tcBorders>
              <w:top w:val="nil"/>
              <w:left w:val="nil"/>
              <w:bottom w:val="nil"/>
              <w:right w:val="nil"/>
            </w:tcBorders>
            <w:noWrap/>
            <w:vAlign w:val="center"/>
            <w:hideMark/>
          </w:tcPr>
          <w:p w14:paraId="112001A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w:t>
            </w:r>
          </w:p>
        </w:tc>
        <w:tc>
          <w:tcPr>
            <w:tcW w:w="4059" w:type="dxa"/>
            <w:tcBorders>
              <w:top w:val="nil"/>
              <w:left w:val="nil"/>
              <w:bottom w:val="nil"/>
              <w:right w:val="nil"/>
            </w:tcBorders>
            <w:noWrap/>
            <w:vAlign w:val="center"/>
            <w:hideMark/>
          </w:tcPr>
          <w:p w14:paraId="13ECB40C"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Number of seedlings per clump </w:t>
            </w:r>
          </w:p>
        </w:tc>
        <w:tc>
          <w:tcPr>
            <w:tcW w:w="2694" w:type="dxa"/>
            <w:tcBorders>
              <w:top w:val="nil"/>
              <w:left w:val="nil"/>
              <w:bottom w:val="nil"/>
              <w:right w:val="nil"/>
            </w:tcBorders>
          </w:tcPr>
          <w:p w14:paraId="7AC3E94D"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4.78</w:t>
            </w:r>
          </w:p>
        </w:tc>
      </w:tr>
      <w:tr w:rsidR="00B44119" w:rsidRPr="00FC634E" w14:paraId="39F62E3D" w14:textId="77777777" w:rsidTr="00293ADB">
        <w:trPr>
          <w:trHeight w:val="80"/>
        </w:trPr>
        <w:tc>
          <w:tcPr>
            <w:tcW w:w="565" w:type="dxa"/>
            <w:tcBorders>
              <w:top w:val="nil"/>
              <w:left w:val="nil"/>
              <w:bottom w:val="nil"/>
              <w:right w:val="nil"/>
            </w:tcBorders>
            <w:noWrap/>
            <w:vAlign w:val="center"/>
            <w:hideMark/>
          </w:tcPr>
          <w:p w14:paraId="75959FFD"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w:t>
            </w:r>
          </w:p>
        </w:tc>
        <w:tc>
          <w:tcPr>
            <w:tcW w:w="4059" w:type="dxa"/>
            <w:tcBorders>
              <w:top w:val="nil"/>
              <w:left w:val="nil"/>
              <w:bottom w:val="nil"/>
              <w:right w:val="nil"/>
            </w:tcBorders>
            <w:noWrap/>
            <w:vAlign w:val="center"/>
            <w:hideMark/>
          </w:tcPr>
          <w:p w14:paraId="08279D75"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Average tuber diameter </w:t>
            </w:r>
          </w:p>
        </w:tc>
        <w:tc>
          <w:tcPr>
            <w:tcW w:w="2694" w:type="dxa"/>
            <w:tcBorders>
              <w:top w:val="nil"/>
              <w:left w:val="nil"/>
              <w:bottom w:val="nil"/>
              <w:right w:val="nil"/>
            </w:tcBorders>
          </w:tcPr>
          <w:p w14:paraId="72D03E62"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4.02</w:t>
            </w:r>
          </w:p>
        </w:tc>
      </w:tr>
      <w:tr w:rsidR="00B44119" w:rsidRPr="00FC634E" w14:paraId="5BDFC603" w14:textId="77777777" w:rsidTr="00293ADB">
        <w:trPr>
          <w:trHeight w:val="195"/>
        </w:trPr>
        <w:tc>
          <w:tcPr>
            <w:tcW w:w="565" w:type="dxa"/>
            <w:tcBorders>
              <w:top w:val="nil"/>
              <w:left w:val="nil"/>
              <w:bottom w:val="nil"/>
              <w:right w:val="nil"/>
            </w:tcBorders>
            <w:noWrap/>
            <w:vAlign w:val="center"/>
            <w:hideMark/>
          </w:tcPr>
          <w:p w14:paraId="34589EB8"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5</w:t>
            </w:r>
          </w:p>
        </w:tc>
        <w:tc>
          <w:tcPr>
            <w:tcW w:w="4059" w:type="dxa"/>
            <w:tcBorders>
              <w:top w:val="nil"/>
              <w:left w:val="nil"/>
              <w:bottom w:val="nil"/>
              <w:right w:val="nil"/>
            </w:tcBorders>
            <w:noWrap/>
            <w:vAlign w:val="center"/>
            <w:hideMark/>
          </w:tcPr>
          <w:p w14:paraId="46CDDA66"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Largest tuber diameter </w:t>
            </w:r>
          </w:p>
        </w:tc>
        <w:tc>
          <w:tcPr>
            <w:tcW w:w="2694" w:type="dxa"/>
            <w:tcBorders>
              <w:top w:val="nil"/>
              <w:left w:val="nil"/>
              <w:bottom w:val="nil"/>
              <w:right w:val="nil"/>
            </w:tcBorders>
          </w:tcPr>
          <w:p w14:paraId="624067EC"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4.49</w:t>
            </w:r>
          </w:p>
        </w:tc>
      </w:tr>
      <w:tr w:rsidR="00B44119" w:rsidRPr="00FC634E" w14:paraId="3F5F1B52" w14:textId="77777777" w:rsidTr="00293ADB">
        <w:trPr>
          <w:trHeight w:val="80"/>
        </w:trPr>
        <w:tc>
          <w:tcPr>
            <w:tcW w:w="565" w:type="dxa"/>
            <w:tcBorders>
              <w:top w:val="nil"/>
              <w:left w:val="nil"/>
              <w:bottom w:val="nil"/>
              <w:right w:val="nil"/>
            </w:tcBorders>
            <w:noWrap/>
            <w:vAlign w:val="center"/>
            <w:hideMark/>
          </w:tcPr>
          <w:p w14:paraId="32BC55E7"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6</w:t>
            </w:r>
          </w:p>
        </w:tc>
        <w:tc>
          <w:tcPr>
            <w:tcW w:w="4059" w:type="dxa"/>
            <w:tcBorders>
              <w:top w:val="nil"/>
              <w:left w:val="nil"/>
              <w:bottom w:val="nil"/>
              <w:right w:val="nil"/>
            </w:tcBorders>
            <w:noWrap/>
            <w:vAlign w:val="center"/>
            <w:hideMark/>
          </w:tcPr>
          <w:p w14:paraId="7E385F92"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Number of tubers per clump</w:t>
            </w:r>
          </w:p>
        </w:tc>
        <w:tc>
          <w:tcPr>
            <w:tcW w:w="2694" w:type="dxa"/>
            <w:tcBorders>
              <w:top w:val="nil"/>
              <w:left w:val="nil"/>
              <w:bottom w:val="nil"/>
              <w:right w:val="nil"/>
            </w:tcBorders>
          </w:tcPr>
          <w:p w14:paraId="53B7706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4.98</w:t>
            </w:r>
          </w:p>
        </w:tc>
      </w:tr>
      <w:tr w:rsidR="00B44119" w:rsidRPr="00FC634E" w14:paraId="433C789E" w14:textId="77777777" w:rsidTr="00293ADB">
        <w:trPr>
          <w:trHeight w:val="195"/>
        </w:trPr>
        <w:tc>
          <w:tcPr>
            <w:tcW w:w="565" w:type="dxa"/>
            <w:tcBorders>
              <w:top w:val="nil"/>
              <w:left w:val="nil"/>
              <w:bottom w:val="nil"/>
              <w:right w:val="nil"/>
            </w:tcBorders>
            <w:noWrap/>
            <w:vAlign w:val="center"/>
            <w:hideMark/>
          </w:tcPr>
          <w:p w14:paraId="3EA7E9B6"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7</w:t>
            </w:r>
          </w:p>
        </w:tc>
        <w:tc>
          <w:tcPr>
            <w:tcW w:w="4059" w:type="dxa"/>
            <w:tcBorders>
              <w:top w:val="nil"/>
              <w:left w:val="nil"/>
              <w:bottom w:val="nil"/>
              <w:right w:val="nil"/>
            </w:tcBorders>
            <w:noWrap/>
            <w:vAlign w:val="center"/>
            <w:hideMark/>
          </w:tcPr>
          <w:p w14:paraId="4ABDCB8D"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Wet weight of tubers per clump </w:t>
            </w:r>
          </w:p>
        </w:tc>
        <w:tc>
          <w:tcPr>
            <w:tcW w:w="2694" w:type="dxa"/>
            <w:tcBorders>
              <w:top w:val="nil"/>
              <w:left w:val="nil"/>
              <w:bottom w:val="nil"/>
              <w:right w:val="nil"/>
            </w:tcBorders>
          </w:tcPr>
          <w:p w14:paraId="6E36B14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3.79</w:t>
            </w:r>
          </w:p>
        </w:tc>
      </w:tr>
      <w:tr w:rsidR="00B44119" w:rsidRPr="00FC634E" w14:paraId="0A19C8F9" w14:textId="77777777" w:rsidTr="00293ADB">
        <w:trPr>
          <w:trHeight w:val="195"/>
        </w:trPr>
        <w:tc>
          <w:tcPr>
            <w:tcW w:w="565" w:type="dxa"/>
            <w:tcBorders>
              <w:top w:val="nil"/>
              <w:left w:val="nil"/>
              <w:bottom w:val="nil"/>
              <w:right w:val="nil"/>
            </w:tcBorders>
            <w:noWrap/>
            <w:vAlign w:val="center"/>
            <w:hideMark/>
          </w:tcPr>
          <w:p w14:paraId="01EC0E4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8</w:t>
            </w:r>
          </w:p>
        </w:tc>
        <w:tc>
          <w:tcPr>
            <w:tcW w:w="4059" w:type="dxa"/>
            <w:tcBorders>
              <w:top w:val="nil"/>
              <w:left w:val="nil"/>
              <w:bottom w:val="nil"/>
              <w:right w:val="nil"/>
            </w:tcBorders>
            <w:noWrap/>
            <w:vAlign w:val="center"/>
            <w:hideMark/>
          </w:tcPr>
          <w:p w14:paraId="57ED960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weight of tubers per clump </w:t>
            </w:r>
          </w:p>
        </w:tc>
        <w:tc>
          <w:tcPr>
            <w:tcW w:w="2694" w:type="dxa"/>
            <w:tcBorders>
              <w:top w:val="nil"/>
              <w:left w:val="nil"/>
              <w:bottom w:val="nil"/>
              <w:right w:val="nil"/>
            </w:tcBorders>
          </w:tcPr>
          <w:p w14:paraId="50A2A17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727E2E11" w14:textId="77777777" w:rsidTr="00293ADB">
        <w:trPr>
          <w:trHeight w:val="195"/>
        </w:trPr>
        <w:tc>
          <w:tcPr>
            <w:tcW w:w="565" w:type="dxa"/>
            <w:tcBorders>
              <w:top w:val="nil"/>
              <w:left w:val="nil"/>
              <w:bottom w:val="nil"/>
              <w:right w:val="nil"/>
            </w:tcBorders>
            <w:noWrap/>
            <w:vAlign w:val="center"/>
            <w:hideMark/>
          </w:tcPr>
          <w:p w14:paraId="1A3FB168"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9</w:t>
            </w:r>
          </w:p>
        </w:tc>
        <w:tc>
          <w:tcPr>
            <w:tcW w:w="4059" w:type="dxa"/>
            <w:tcBorders>
              <w:top w:val="nil"/>
              <w:left w:val="nil"/>
              <w:bottom w:val="nil"/>
              <w:right w:val="nil"/>
            </w:tcBorders>
            <w:noWrap/>
            <w:vAlign w:val="center"/>
            <w:hideMark/>
          </w:tcPr>
          <w:p w14:paraId="1885980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Tuber weight loss </w:t>
            </w:r>
          </w:p>
        </w:tc>
        <w:tc>
          <w:tcPr>
            <w:tcW w:w="2694" w:type="dxa"/>
            <w:tcBorders>
              <w:top w:val="nil"/>
              <w:left w:val="nil"/>
              <w:bottom w:val="nil"/>
              <w:right w:val="nil"/>
            </w:tcBorders>
          </w:tcPr>
          <w:p w14:paraId="5827308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2.98</w:t>
            </w:r>
          </w:p>
        </w:tc>
      </w:tr>
      <w:tr w:rsidR="00B44119" w:rsidRPr="00FC634E" w14:paraId="4D333845" w14:textId="77777777" w:rsidTr="00293ADB">
        <w:trPr>
          <w:trHeight w:val="195"/>
        </w:trPr>
        <w:tc>
          <w:tcPr>
            <w:tcW w:w="565" w:type="dxa"/>
            <w:tcBorders>
              <w:top w:val="nil"/>
              <w:left w:val="nil"/>
              <w:bottom w:val="nil"/>
              <w:right w:val="nil"/>
            </w:tcBorders>
            <w:noWrap/>
            <w:vAlign w:val="center"/>
            <w:hideMark/>
          </w:tcPr>
          <w:p w14:paraId="6DBA3FC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10</w:t>
            </w:r>
          </w:p>
        </w:tc>
        <w:tc>
          <w:tcPr>
            <w:tcW w:w="4059" w:type="dxa"/>
            <w:tcBorders>
              <w:top w:val="nil"/>
              <w:left w:val="nil"/>
              <w:bottom w:val="nil"/>
              <w:right w:val="nil"/>
            </w:tcBorders>
            <w:noWrap/>
            <w:vAlign w:val="center"/>
            <w:hideMark/>
          </w:tcPr>
          <w:p w14:paraId="1D2CB970"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tuber weight per plot </w:t>
            </w:r>
          </w:p>
        </w:tc>
        <w:tc>
          <w:tcPr>
            <w:tcW w:w="2694" w:type="dxa"/>
            <w:tcBorders>
              <w:top w:val="nil"/>
              <w:left w:val="nil"/>
              <w:bottom w:val="nil"/>
              <w:right w:val="nil"/>
            </w:tcBorders>
          </w:tcPr>
          <w:p w14:paraId="57D2CDE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13752CF7" w14:textId="77777777" w:rsidTr="00293ADB">
        <w:trPr>
          <w:trHeight w:val="80"/>
        </w:trPr>
        <w:tc>
          <w:tcPr>
            <w:tcW w:w="565" w:type="dxa"/>
            <w:tcBorders>
              <w:top w:val="nil"/>
              <w:left w:val="nil"/>
              <w:bottom w:val="single" w:sz="4" w:space="0" w:color="auto"/>
              <w:right w:val="nil"/>
            </w:tcBorders>
            <w:noWrap/>
            <w:vAlign w:val="center"/>
            <w:hideMark/>
          </w:tcPr>
          <w:p w14:paraId="41027EDE"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11</w:t>
            </w:r>
          </w:p>
        </w:tc>
        <w:tc>
          <w:tcPr>
            <w:tcW w:w="4059" w:type="dxa"/>
            <w:tcBorders>
              <w:top w:val="nil"/>
              <w:left w:val="nil"/>
              <w:bottom w:val="single" w:sz="4" w:space="0" w:color="auto"/>
              <w:right w:val="nil"/>
            </w:tcBorders>
            <w:noWrap/>
            <w:vAlign w:val="center"/>
            <w:hideMark/>
          </w:tcPr>
          <w:p w14:paraId="17C9CF49"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tuber weight per hectare </w:t>
            </w:r>
          </w:p>
        </w:tc>
        <w:tc>
          <w:tcPr>
            <w:tcW w:w="2694" w:type="dxa"/>
            <w:tcBorders>
              <w:top w:val="nil"/>
              <w:left w:val="nil"/>
              <w:bottom w:val="single" w:sz="4" w:space="0" w:color="auto"/>
              <w:right w:val="nil"/>
            </w:tcBorders>
          </w:tcPr>
          <w:p w14:paraId="3421E5A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49307CD1" w14:textId="77777777" w:rsidTr="00293ADB">
        <w:trPr>
          <w:trHeight w:val="80"/>
        </w:trPr>
        <w:tc>
          <w:tcPr>
            <w:tcW w:w="565" w:type="dxa"/>
            <w:tcBorders>
              <w:top w:val="single" w:sz="4" w:space="0" w:color="auto"/>
              <w:left w:val="nil"/>
              <w:bottom w:val="single" w:sz="4" w:space="0" w:color="auto"/>
              <w:right w:val="nil"/>
            </w:tcBorders>
            <w:noWrap/>
            <w:vAlign w:val="center"/>
          </w:tcPr>
          <w:p w14:paraId="114AB0A9" w14:textId="77777777" w:rsidR="00B44119" w:rsidRPr="00FC634E" w:rsidRDefault="00B44119" w:rsidP="008F794A">
            <w:pPr>
              <w:spacing w:line="276" w:lineRule="auto"/>
              <w:jc w:val="center"/>
              <w:rPr>
                <w:rFonts w:ascii="Arial" w:hAnsi="Arial" w:cs="Arial"/>
                <w:color w:val="000000"/>
              </w:rPr>
            </w:pPr>
          </w:p>
        </w:tc>
        <w:tc>
          <w:tcPr>
            <w:tcW w:w="4059" w:type="dxa"/>
            <w:tcBorders>
              <w:top w:val="single" w:sz="4" w:space="0" w:color="auto"/>
              <w:left w:val="nil"/>
              <w:bottom w:val="single" w:sz="4" w:space="0" w:color="auto"/>
              <w:right w:val="nil"/>
            </w:tcBorders>
            <w:noWrap/>
            <w:vAlign w:val="center"/>
          </w:tcPr>
          <w:p w14:paraId="79680E52" w14:textId="77777777" w:rsidR="00B44119" w:rsidRPr="00B44119" w:rsidRDefault="00B44119">
            <w:pPr>
              <w:pStyle w:val="NormalWeb"/>
              <w:spacing w:before="0" w:beforeAutospacing="0" w:after="0" w:afterAutospacing="0" w:line="276" w:lineRule="auto"/>
              <w:rPr>
                <w:rFonts w:ascii="Arial" w:hAnsi="Arial" w:cs="Arial"/>
                <w:sz w:val="20"/>
                <w:szCs w:val="20"/>
              </w:rPr>
            </w:pPr>
            <w:r w:rsidRPr="00B44119">
              <w:rPr>
                <w:rFonts w:ascii="Arial" w:hAnsi="Arial" w:cs="Arial"/>
                <w:color w:val="000000" w:themeColor="text1"/>
                <w:kern w:val="24"/>
                <w:sz w:val="20"/>
                <w:szCs w:val="20"/>
              </w:rPr>
              <w:t>t Table 5 %</w:t>
            </w:r>
          </w:p>
        </w:tc>
        <w:tc>
          <w:tcPr>
            <w:tcW w:w="2694" w:type="dxa"/>
            <w:tcBorders>
              <w:top w:val="single" w:sz="4" w:space="0" w:color="auto"/>
              <w:left w:val="nil"/>
              <w:bottom w:val="single" w:sz="4" w:space="0" w:color="auto"/>
              <w:right w:val="nil"/>
            </w:tcBorders>
            <w:noWrap/>
            <w:vAlign w:val="center"/>
          </w:tcPr>
          <w:p w14:paraId="27FA5235"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2.12</w:t>
            </w:r>
          </w:p>
        </w:tc>
      </w:tr>
    </w:tbl>
    <w:p w14:paraId="6431354A" w14:textId="77777777" w:rsidR="00B44119" w:rsidRDefault="00B44119" w:rsidP="00B44119">
      <w:pPr>
        <w:pStyle w:val="Default"/>
        <w:spacing w:line="276" w:lineRule="auto"/>
        <w:ind w:left="993" w:hanging="567"/>
        <w:jc w:val="both"/>
        <w:rPr>
          <w:rFonts w:ascii="Arial" w:hAnsi="Arial" w:cs="Arial"/>
          <w:sz w:val="20"/>
          <w:szCs w:val="20"/>
        </w:rPr>
      </w:pPr>
      <w:r>
        <w:rPr>
          <w:rFonts w:ascii="Arial" w:hAnsi="Arial" w:cs="Arial"/>
          <w:sz w:val="20"/>
          <w:szCs w:val="20"/>
          <w:lang w:val="id-ID"/>
        </w:rPr>
        <w:t>Note :</w:t>
      </w:r>
      <w:r w:rsidRPr="00B44119">
        <w:rPr>
          <w:rFonts w:ascii="Arial" w:hAnsi="Arial" w:cs="Arial"/>
          <w:sz w:val="20"/>
          <w:szCs w:val="20"/>
          <w:lang w:val="id-ID"/>
        </w:rPr>
        <w:t>t-Test &gt; t Table 5%, then there is a significant difference. t-Test &lt; t Table</w:t>
      </w:r>
      <w:r>
        <w:rPr>
          <w:rFonts w:ascii="Arial" w:hAnsi="Arial" w:cs="Arial"/>
          <w:sz w:val="20"/>
          <w:szCs w:val="20"/>
        </w:rPr>
        <w:t xml:space="preserve"> </w:t>
      </w:r>
      <w:r w:rsidRPr="00B44119">
        <w:rPr>
          <w:rFonts w:ascii="Arial" w:hAnsi="Arial" w:cs="Arial"/>
          <w:sz w:val="20"/>
          <w:szCs w:val="20"/>
          <w:lang w:val="id-ID"/>
        </w:rPr>
        <w:t>5%,</w:t>
      </w:r>
      <w:r>
        <w:rPr>
          <w:rFonts w:ascii="Arial" w:hAnsi="Arial" w:cs="Arial"/>
          <w:sz w:val="20"/>
          <w:szCs w:val="20"/>
        </w:rPr>
        <w:t xml:space="preserve"> </w:t>
      </w:r>
      <w:r w:rsidRPr="00B44119">
        <w:rPr>
          <w:rFonts w:ascii="Arial" w:hAnsi="Arial" w:cs="Arial"/>
          <w:sz w:val="20"/>
          <w:szCs w:val="20"/>
          <w:lang w:val="id-ID"/>
        </w:rPr>
        <w:t>then there is no significant difference.</w:t>
      </w:r>
    </w:p>
    <w:p w14:paraId="4ED65024" w14:textId="77777777" w:rsidR="006A4942" w:rsidRPr="006A4942" w:rsidRDefault="006A4942" w:rsidP="006A4942">
      <w:pPr>
        <w:pStyle w:val="Default"/>
        <w:spacing w:line="276" w:lineRule="auto"/>
        <w:ind w:firstLine="426"/>
        <w:jc w:val="both"/>
        <w:rPr>
          <w:rFonts w:ascii="Arial" w:hAnsi="Arial" w:cs="Arial"/>
          <w:sz w:val="20"/>
          <w:szCs w:val="20"/>
        </w:rPr>
      </w:pPr>
      <w:r w:rsidRPr="00E42766">
        <w:rPr>
          <w:rFonts w:ascii="Arial" w:hAnsi="Arial" w:cs="Arial"/>
          <w:sz w:val="20"/>
        </w:rPr>
        <w:t xml:space="preserve">Based on the results of the t-test analysis in Table 6, all t-values for each variable were greater than the t-table (2.12), indicating a significant difference between the use of weed ameliorant composition and chicken manure ameliorant composition on all growth parameters and shallot yields. This difference indicates that the weed ameliorant composition is more effective because it can improve the physical and chemical properties of the soil, such as reducing permeability and increasing soil </w:t>
      </w:r>
      <w:proofErr w:type="spellStart"/>
      <w:r w:rsidRPr="00E42766">
        <w:rPr>
          <w:rFonts w:ascii="Arial" w:hAnsi="Arial" w:cs="Arial"/>
          <w:sz w:val="20"/>
        </w:rPr>
        <w:t>pH.</w:t>
      </w:r>
      <w:proofErr w:type="spellEnd"/>
      <w:r w:rsidRPr="00E42766">
        <w:rPr>
          <w:rFonts w:ascii="Arial" w:hAnsi="Arial" w:cs="Arial"/>
          <w:sz w:val="20"/>
        </w:rPr>
        <w:t xml:space="preserve"> This is in line with the statement</w:t>
      </w:r>
      <w:r w:rsidRPr="00657BA4">
        <w:rPr>
          <w:rFonts w:ascii="Arial" w:hAnsi="Arial" w:cs="Arial"/>
          <w:sz w:val="20"/>
        </w:rPr>
        <w:t xml:space="preserve"> </w:t>
      </w:r>
      <w:r>
        <w:rPr>
          <w:rFonts w:ascii="Arial" w:hAnsi="Arial" w:cs="Arial"/>
          <w:b/>
          <w:caps/>
          <w:sz w:val="20"/>
        </w:rPr>
        <w:fldChar w:fldCharType="begin" w:fldLock="1"/>
      </w:r>
      <w:r>
        <w:rPr>
          <w:rFonts w:ascii="Arial" w:hAnsi="Arial" w:cs="Arial"/>
          <w:sz w:val="20"/>
        </w:rPr>
        <w:instrText>ADDIN CSL_CITATION { "citationItems" : [ { "id" : "ITEM-1", "itemData" : { "author" : [ { "dropping-particle" : "", "family" : "Suyanto", "given" : "Agus", "non-dropping-particle" : "", "parse-names" : false, "suffix" : "" }, { "dropping-particle" : "", "family" : "Sri", "given" : "Rahayu", "non-dropping-particle" : "", "parse-names" : false, "suffix" : "" }, { "dropping-particle" : "", "family" : "Sutikarini", "given" : "", "non-dropping-particle" : "", "parse-names" : false, "suffix" : "" }, { "dropping-particle" : "", "family" : "Suryani", "given" : "", "non-dropping-particle" : "", "parse-names" : false, "suffix" : "" } ], "container-title" : "PANGAN", "id" : "ITEM-1", "issued" : { "date-parts" : [ [ "2023" ] ] }, "page" : "95-102", "title" : "Efektivitas Penggunaan Pembenah Tanah Organik dalam Meningkatkan Pertumbuhan dan Hasil Tanaman Padi (Oryza sativa L.) pada Tanah Sulfat Masam", "type" : "article-journal", "volume" : "32" }, "uris" : [ "http://www.mendeley.com/documents/?uuid=a6b53045-c078-4c21-ba2e-0ad2d1d758fa" ] } ], "mendeley" : { "formattedCitation" : "(Suyanto et al., 2023)", "manualFormatting" : "Suyanto et al. (2023)", "plainTextFormattedCitation" : "(Suyanto et al., 2023)", "previouslyFormattedCitation" : "(Suyanto et al., 2023)" }, "properties" : { "noteIndex" : 0 }, "schema" : "https://github.com/citation-style-language/schema/raw/master/csl-citation.json" }</w:instrText>
      </w:r>
      <w:r>
        <w:rPr>
          <w:rFonts w:ascii="Arial" w:hAnsi="Arial" w:cs="Arial"/>
          <w:b/>
          <w:caps/>
          <w:sz w:val="20"/>
        </w:rPr>
        <w:fldChar w:fldCharType="separate"/>
      </w:r>
      <w:r>
        <w:rPr>
          <w:rFonts w:ascii="Arial" w:hAnsi="Arial" w:cs="Arial"/>
          <w:noProof/>
          <w:sz w:val="20"/>
        </w:rPr>
        <w:t xml:space="preserve">Suyanto </w:t>
      </w:r>
      <w:r w:rsidRPr="00FC37EC">
        <w:rPr>
          <w:rFonts w:ascii="Arial" w:hAnsi="Arial" w:cs="Arial"/>
          <w:i/>
          <w:noProof/>
          <w:sz w:val="20"/>
        </w:rPr>
        <w:t>et</w:t>
      </w:r>
      <w:r>
        <w:rPr>
          <w:rFonts w:ascii="Arial" w:hAnsi="Arial" w:cs="Arial"/>
          <w:noProof/>
          <w:sz w:val="20"/>
        </w:rPr>
        <w:t xml:space="preserve"> </w:t>
      </w:r>
      <w:r w:rsidRPr="00FC37EC">
        <w:rPr>
          <w:rFonts w:ascii="Arial" w:hAnsi="Arial" w:cs="Arial"/>
          <w:i/>
          <w:noProof/>
          <w:sz w:val="20"/>
        </w:rPr>
        <w:t>al</w:t>
      </w:r>
      <w:r>
        <w:rPr>
          <w:rFonts w:ascii="Arial" w:hAnsi="Arial" w:cs="Arial"/>
          <w:noProof/>
          <w:sz w:val="20"/>
        </w:rPr>
        <w:t>.</w:t>
      </w:r>
      <w:r w:rsidRPr="00FC37EC">
        <w:rPr>
          <w:rFonts w:ascii="Arial" w:hAnsi="Arial" w:cs="Arial"/>
          <w:noProof/>
          <w:sz w:val="20"/>
        </w:rPr>
        <w:t xml:space="preserve"> </w:t>
      </w:r>
      <w:r>
        <w:rPr>
          <w:rFonts w:ascii="Arial" w:hAnsi="Arial" w:cs="Arial"/>
          <w:noProof/>
          <w:sz w:val="20"/>
          <w:lang w:val="id-ID"/>
        </w:rPr>
        <w:t>(</w:t>
      </w:r>
      <w:r w:rsidRPr="00FC37EC">
        <w:rPr>
          <w:rFonts w:ascii="Arial" w:hAnsi="Arial" w:cs="Arial"/>
          <w:noProof/>
          <w:sz w:val="20"/>
        </w:rPr>
        <w:t>2023)</w:t>
      </w:r>
      <w:r>
        <w:rPr>
          <w:rFonts w:ascii="Arial" w:hAnsi="Arial" w:cs="Arial"/>
          <w:b/>
          <w:caps/>
          <w:sz w:val="20"/>
        </w:rPr>
        <w:fldChar w:fldCharType="end"/>
      </w:r>
      <w:r>
        <w:rPr>
          <w:rFonts w:ascii="Arial" w:hAnsi="Arial" w:cs="Arial"/>
          <w:sz w:val="20"/>
          <w:lang w:val="id-ID"/>
        </w:rPr>
        <w:t xml:space="preserve"> </w:t>
      </w:r>
      <w:r w:rsidRPr="00E42766">
        <w:rPr>
          <w:rFonts w:ascii="Arial" w:hAnsi="Arial" w:cs="Arial"/>
          <w:sz w:val="20"/>
        </w:rPr>
        <w:t>that ameliorants can increase soil pH, improve soil water retention and permeability, and increase the availability of nutrients for plants.</w:t>
      </w:r>
    </w:p>
    <w:p w14:paraId="0ECD6360" w14:textId="77777777" w:rsidR="00E83F3F" w:rsidRPr="00761479" w:rsidRDefault="00ED30F2" w:rsidP="00761479">
      <w:pPr>
        <w:pStyle w:val="Default"/>
        <w:spacing w:line="276" w:lineRule="auto"/>
        <w:jc w:val="both"/>
        <w:rPr>
          <w:rFonts w:ascii="Arial" w:hAnsi="Arial" w:cs="Arial"/>
          <w:b/>
          <w:sz w:val="22"/>
        </w:rPr>
      </w:pPr>
      <w:r w:rsidRPr="00761479">
        <w:rPr>
          <w:rFonts w:ascii="Arial" w:hAnsi="Arial" w:cs="Arial"/>
          <w:b/>
          <w:sz w:val="22"/>
        </w:rPr>
        <w:t xml:space="preserve">4. </w:t>
      </w:r>
      <w:r w:rsidR="00743ED9" w:rsidRPr="00743ED9">
        <w:rPr>
          <w:rFonts w:ascii="Arial" w:hAnsi="Arial" w:cs="Arial"/>
          <w:b/>
          <w:sz w:val="22"/>
        </w:rPr>
        <w:t>CONCLUSION</w:t>
      </w:r>
    </w:p>
    <w:p w14:paraId="786A1BBC" w14:textId="77777777" w:rsidR="00743ED9" w:rsidRDefault="00743ED9" w:rsidP="00743ED9">
      <w:pPr>
        <w:pStyle w:val="ReferHead"/>
        <w:spacing w:after="0" w:line="276" w:lineRule="auto"/>
        <w:ind w:firstLine="567"/>
        <w:jc w:val="both"/>
        <w:rPr>
          <w:rFonts w:ascii="Arial" w:eastAsiaTheme="minorHAnsi" w:hAnsi="Arial" w:cs="Arial"/>
          <w:b w:val="0"/>
          <w:iCs/>
          <w:caps w:val="0"/>
          <w:color w:val="000000"/>
          <w:sz w:val="20"/>
          <w:szCs w:val="24"/>
        </w:rPr>
      </w:pPr>
      <w:r w:rsidRPr="00743ED9">
        <w:rPr>
          <w:rFonts w:ascii="Arial" w:eastAsiaTheme="minorHAnsi" w:hAnsi="Arial" w:cs="Arial"/>
          <w:b w:val="0"/>
          <w:iCs/>
          <w:caps w:val="0"/>
          <w:color w:val="000000"/>
          <w:sz w:val="20"/>
          <w:szCs w:val="24"/>
        </w:rPr>
        <w:t xml:space="preserve">The composition of the planting medium consisting of 220 kg of sandy soil + 40 kg of </w:t>
      </w:r>
      <w:proofErr w:type="spellStart"/>
      <w:r w:rsidRPr="00743ED9">
        <w:rPr>
          <w:rFonts w:ascii="Arial" w:eastAsiaTheme="minorHAnsi" w:hAnsi="Arial" w:cs="Arial"/>
          <w:b w:val="0"/>
          <w:iCs/>
          <w:caps w:val="0"/>
          <w:color w:val="000000"/>
          <w:sz w:val="20"/>
          <w:szCs w:val="24"/>
        </w:rPr>
        <w:t>ultisol</w:t>
      </w:r>
      <w:proofErr w:type="spellEnd"/>
      <w:r w:rsidRPr="00743ED9">
        <w:rPr>
          <w:rFonts w:ascii="Arial" w:eastAsiaTheme="minorHAnsi" w:hAnsi="Arial" w:cs="Arial"/>
          <w:b w:val="0"/>
          <w:iCs/>
          <w:caps w:val="0"/>
          <w:color w:val="000000"/>
          <w:sz w:val="20"/>
          <w:szCs w:val="24"/>
        </w:rPr>
        <w:t xml:space="preserve"> + 30 kg of weed ameliorant provided the best growth and yield in terms of crown height, number of leaves per clump, number of tillers, average tuber diameter, largest tuber diameter, number of bulbs, wet bulb weight, dry bulb weight, bulb weight per plot, and bulb weight per hectare. The t-test results showed a significant difference between the weed ameliorant composition and the chicken manure composition, with the weed ameliorant composition having a better effect on the growth and yield of shallots.</w:t>
      </w:r>
    </w:p>
    <w:p w14:paraId="19B6EE8A" w14:textId="77777777" w:rsidR="00743ED9" w:rsidRDefault="00743ED9" w:rsidP="000A08A7">
      <w:pPr>
        <w:widowControl w:val="0"/>
        <w:autoSpaceDE w:val="0"/>
        <w:autoSpaceDN w:val="0"/>
        <w:adjustRightInd w:val="0"/>
        <w:ind w:left="480" w:hanging="480"/>
        <w:jc w:val="both"/>
        <w:rPr>
          <w:rFonts w:ascii="Arial" w:hAnsi="Arial" w:cs="Arial"/>
          <w:b/>
          <w:caps/>
          <w:sz w:val="22"/>
        </w:rPr>
      </w:pPr>
      <w:r w:rsidRPr="00743ED9">
        <w:rPr>
          <w:rFonts w:ascii="Arial" w:hAnsi="Arial" w:cs="Arial"/>
          <w:b/>
          <w:caps/>
          <w:sz w:val="22"/>
        </w:rPr>
        <w:t>REFERENCES</w:t>
      </w:r>
    </w:p>
    <w:p w14:paraId="19E9E5B3" w14:textId="77777777" w:rsidR="000A08A7" w:rsidRPr="00E4792D" w:rsidRDefault="00FC37EC" w:rsidP="00E4792D">
      <w:pPr>
        <w:pStyle w:val="ListParagraph"/>
        <w:widowControl w:val="0"/>
        <w:numPr>
          <w:ilvl w:val="0"/>
          <w:numId w:val="40"/>
        </w:numPr>
        <w:autoSpaceDE w:val="0"/>
        <w:autoSpaceDN w:val="0"/>
        <w:adjustRightInd w:val="0"/>
        <w:jc w:val="both"/>
        <w:rPr>
          <w:rFonts w:ascii="Arial" w:hAnsi="Arial" w:cs="Arial"/>
          <w:noProof/>
          <w:szCs w:val="24"/>
        </w:rPr>
      </w:pPr>
      <w:r>
        <w:rPr>
          <w:rFonts w:ascii="Arial" w:hAnsi="Arial" w:cs="Arial"/>
          <w:szCs w:val="28"/>
          <w:lang w:val="id-ID"/>
        </w:rPr>
        <w:fldChar w:fldCharType="begin" w:fldLock="1"/>
      </w:r>
      <w:r w:rsidRPr="00E4792D">
        <w:rPr>
          <w:rFonts w:ascii="Arial" w:hAnsi="Arial" w:cs="Arial"/>
          <w:szCs w:val="28"/>
          <w:lang w:val="id-ID"/>
        </w:rPr>
        <w:instrText xml:space="preserve">ADDIN Mendeley Bibliography CSL_BIBLIOGRAPHY </w:instrText>
      </w:r>
      <w:r>
        <w:rPr>
          <w:rFonts w:ascii="Arial" w:hAnsi="Arial" w:cs="Arial"/>
          <w:szCs w:val="28"/>
          <w:lang w:val="id-ID"/>
        </w:rPr>
        <w:fldChar w:fldCharType="separate"/>
      </w:r>
      <w:r w:rsidR="000A08A7" w:rsidRPr="00E4792D">
        <w:rPr>
          <w:rFonts w:ascii="Arial" w:hAnsi="Arial" w:cs="Arial"/>
          <w:noProof/>
          <w:szCs w:val="24"/>
        </w:rPr>
        <w:t xml:space="preserve">Alista, F. A., &amp; Soemarno. (2021). </w:t>
      </w:r>
      <w:r w:rsidR="00243730" w:rsidRPr="00E4792D">
        <w:rPr>
          <w:rFonts w:ascii="Arial" w:hAnsi="Arial" w:cs="Arial"/>
          <w:noProof/>
          <w:szCs w:val="24"/>
        </w:rPr>
        <w:t>Analysis of soil permeability in the upper and lower layers of robusta coffee plantations</w:t>
      </w:r>
      <w:r w:rsidR="000A08A7" w:rsidRPr="00E4792D">
        <w:rPr>
          <w:rFonts w:ascii="Arial" w:hAnsi="Arial" w:cs="Arial"/>
          <w:noProof/>
          <w:szCs w:val="24"/>
        </w:rPr>
        <w:t xml:space="preserve">. </w:t>
      </w:r>
      <w:r w:rsidR="00F5756F" w:rsidRPr="00E4792D">
        <w:rPr>
          <w:rFonts w:ascii="Arial" w:hAnsi="Arial" w:cs="Arial"/>
          <w:i/>
          <w:iCs/>
          <w:noProof/>
          <w:szCs w:val="24"/>
        </w:rPr>
        <w:t>Jurnal</w:t>
      </w:r>
      <w:r w:rsidR="000A08A7" w:rsidRPr="00E4792D">
        <w:rPr>
          <w:rFonts w:ascii="Arial" w:hAnsi="Arial" w:cs="Arial"/>
          <w:i/>
          <w:iCs/>
          <w:noProof/>
          <w:szCs w:val="24"/>
        </w:rPr>
        <w:t xml:space="preserve"> Tanah Dan Sumberdaya Lahan</w:t>
      </w:r>
      <w:r w:rsidR="000A08A7" w:rsidRPr="00E4792D">
        <w:rPr>
          <w:rFonts w:ascii="Arial" w:hAnsi="Arial" w:cs="Arial"/>
          <w:noProof/>
          <w:szCs w:val="24"/>
        </w:rPr>
        <w:t xml:space="preserve">, </w:t>
      </w:r>
      <w:r w:rsidR="000A08A7" w:rsidRPr="00E4792D">
        <w:rPr>
          <w:rFonts w:ascii="Arial" w:hAnsi="Arial" w:cs="Arial"/>
          <w:i/>
          <w:iCs/>
          <w:noProof/>
          <w:szCs w:val="24"/>
        </w:rPr>
        <w:t>8</w:t>
      </w:r>
      <w:r w:rsidR="00BA545E" w:rsidRPr="00E4792D">
        <w:rPr>
          <w:rFonts w:ascii="Arial" w:hAnsi="Arial" w:cs="Arial"/>
          <w:noProof/>
          <w:szCs w:val="24"/>
        </w:rPr>
        <w:t>(2), 493–504.</w:t>
      </w:r>
      <w:r w:rsidR="00EC141A" w:rsidRPr="00E4792D">
        <w:rPr>
          <w:rFonts w:ascii="Arial" w:hAnsi="Arial" w:cs="Arial"/>
          <w:noProof/>
          <w:szCs w:val="24"/>
        </w:rPr>
        <w:t xml:space="preserve"> </w:t>
      </w:r>
      <w:hyperlink r:id="rId32" w:history="1">
        <w:r w:rsidR="00EC141A" w:rsidRPr="00E4792D">
          <w:rPr>
            <w:rStyle w:val="Hyperlink"/>
            <w:rFonts w:ascii="Arial" w:hAnsi="Arial" w:cs="Arial"/>
            <w:noProof/>
            <w:szCs w:val="24"/>
          </w:rPr>
          <w:t>https://doi.org/10.21776/ub.jtsl.2021.008.2.20</w:t>
        </w:r>
      </w:hyperlink>
      <w:r w:rsidR="00BA545E" w:rsidRPr="00E4792D">
        <w:rPr>
          <w:rFonts w:ascii="Arial" w:hAnsi="Arial" w:cs="Arial"/>
          <w:noProof/>
          <w:szCs w:val="24"/>
        </w:rPr>
        <w:t xml:space="preserve"> </w:t>
      </w:r>
    </w:p>
    <w:p w14:paraId="3D1DB508" w14:textId="2041C8E1"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Andriyani, I., &amp; Patricia, F. C. (2021). </w:t>
      </w:r>
      <w:r w:rsidR="00243730" w:rsidRPr="00E4792D">
        <w:rPr>
          <w:rFonts w:ascii="Arial" w:hAnsi="Arial" w:cs="Arial"/>
          <w:noProof/>
          <w:szCs w:val="24"/>
        </w:rPr>
        <w:t>The Effect of Organic Fertilizer and Organic Pesticide Application on Eggplant (</w:t>
      </w:r>
      <w:r w:rsidR="00243730" w:rsidRPr="00E4792D">
        <w:rPr>
          <w:rFonts w:ascii="Arial" w:hAnsi="Arial" w:cs="Arial"/>
          <w:i/>
          <w:noProof/>
          <w:szCs w:val="24"/>
        </w:rPr>
        <w:t>Solanum melongena</w:t>
      </w:r>
      <w:r w:rsidR="00243730" w:rsidRPr="00E4792D">
        <w:rPr>
          <w:rFonts w:ascii="Arial" w:hAnsi="Arial" w:cs="Arial"/>
          <w:noProof/>
          <w:szCs w:val="24"/>
        </w:rPr>
        <w:t>) Productivity and Erosion Risk Level</w:t>
      </w:r>
      <w:r w:rsidRPr="00E4792D">
        <w:rPr>
          <w:rFonts w:ascii="Arial" w:hAnsi="Arial" w:cs="Arial"/>
          <w:noProof/>
          <w:szCs w:val="24"/>
        </w:rPr>
        <w:t xml:space="preserve">i. </w:t>
      </w:r>
      <w:r w:rsidR="00F5756F" w:rsidRPr="00E4792D">
        <w:rPr>
          <w:rFonts w:ascii="Arial" w:hAnsi="Arial" w:cs="Arial"/>
          <w:i/>
          <w:iCs/>
          <w:noProof/>
          <w:szCs w:val="24"/>
        </w:rPr>
        <w:t>Jurnal</w:t>
      </w:r>
      <w:r w:rsidRPr="00E4792D">
        <w:rPr>
          <w:rFonts w:ascii="Arial" w:hAnsi="Arial" w:cs="Arial"/>
          <w:i/>
          <w:iCs/>
          <w:noProof/>
          <w:szCs w:val="24"/>
        </w:rPr>
        <w:t xml:space="preserve"> Teknik Pertanian Lampung</w:t>
      </w:r>
      <w:r w:rsidRPr="00E4792D">
        <w:rPr>
          <w:rFonts w:ascii="Arial" w:hAnsi="Arial" w:cs="Arial"/>
          <w:noProof/>
          <w:szCs w:val="24"/>
        </w:rPr>
        <w:t xml:space="preserve">, </w:t>
      </w:r>
      <w:r w:rsidRPr="00E4792D">
        <w:rPr>
          <w:rFonts w:ascii="Arial" w:hAnsi="Arial" w:cs="Arial"/>
          <w:i/>
          <w:iCs/>
          <w:noProof/>
          <w:szCs w:val="24"/>
        </w:rPr>
        <w:t>10</w:t>
      </w:r>
      <w:r w:rsidRPr="00E4792D">
        <w:rPr>
          <w:rFonts w:ascii="Arial" w:hAnsi="Arial" w:cs="Arial"/>
          <w:noProof/>
          <w:szCs w:val="24"/>
        </w:rPr>
        <w:t>(4), 515–529.</w:t>
      </w:r>
      <w:r w:rsidR="00E4792D">
        <w:rPr>
          <w:rFonts w:ascii="Arial" w:hAnsi="Arial" w:cs="Arial"/>
          <w:noProof/>
          <w:szCs w:val="24"/>
        </w:rPr>
        <w:t xml:space="preserve"> </w:t>
      </w:r>
      <w:r w:rsidR="00E4792D" w:rsidRPr="00E4792D">
        <w:rPr>
          <w:rFonts w:ascii="Arial" w:hAnsi="Arial" w:cs="Arial"/>
          <w:noProof/>
          <w:szCs w:val="24"/>
        </w:rPr>
        <w:t>https://doi.org/10.23960/jtep-l.v10i4.515-529</w:t>
      </w:r>
      <w:r w:rsidR="00E4792D">
        <w:rPr>
          <w:rFonts w:ascii="Arial" w:hAnsi="Arial" w:cs="Arial"/>
          <w:noProof/>
          <w:szCs w:val="24"/>
        </w:rPr>
        <w:t xml:space="preserve"> </w:t>
      </w:r>
    </w:p>
    <w:p w14:paraId="37B6C5CE"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April</w:t>
      </w:r>
      <w:r w:rsidR="006A59C9" w:rsidRPr="00E4792D">
        <w:rPr>
          <w:rFonts w:ascii="Arial" w:hAnsi="Arial" w:cs="Arial"/>
          <w:noProof/>
          <w:szCs w:val="24"/>
        </w:rPr>
        <w:t>ia, A. D., &amp; Aini, L. Q. (2022).</w:t>
      </w:r>
      <w:r w:rsidRPr="00E4792D">
        <w:rPr>
          <w:rFonts w:ascii="Arial" w:hAnsi="Arial" w:cs="Arial"/>
          <w:noProof/>
          <w:szCs w:val="24"/>
        </w:rPr>
        <w:t xml:space="preserve"> </w:t>
      </w:r>
      <w:r w:rsidR="00243730" w:rsidRPr="00E4792D">
        <w:rPr>
          <w:rFonts w:ascii="Arial" w:hAnsi="Arial" w:cs="Arial"/>
          <w:noProof/>
          <w:szCs w:val="24"/>
        </w:rPr>
        <w:t>T</w:t>
      </w:r>
      <w:r w:rsidR="006A59C9" w:rsidRPr="006A59C9">
        <w:t xml:space="preserve"> </w:t>
      </w:r>
      <w:r w:rsidR="006A59C9" w:rsidRPr="00E4792D">
        <w:rPr>
          <w:rFonts w:ascii="Arial" w:hAnsi="Arial" w:cs="Arial"/>
          <w:noProof/>
          <w:szCs w:val="24"/>
        </w:rPr>
        <w:t>Testing of a consortium of antagonistic bacteria to control fusarium wilt disease in shallots (</w:t>
      </w:r>
      <w:r w:rsidR="006A59C9" w:rsidRPr="00E4792D">
        <w:rPr>
          <w:rFonts w:ascii="Arial" w:hAnsi="Arial" w:cs="Arial"/>
          <w:i/>
          <w:noProof/>
          <w:szCs w:val="24"/>
        </w:rPr>
        <w:t>Allium ascalonicum</w:t>
      </w:r>
      <w:r w:rsidR="006A59C9" w:rsidRPr="00E4792D">
        <w:rPr>
          <w:rFonts w:ascii="Arial" w:hAnsi="Arial" w:cs="Arial"/>
          <w:noProof/>
          <w:szCs w:val="24"/>
        </w:rPr>
        <w:t xml:space="preserve"> L.) in </w:t>
      </w:r>
      <w:r w:rsidR="006A59C9" w:rsidRPr="00E4792D">
        <w:rPr>
          <w:rFonts w:ascii="Arial" w:hAnsi="Arial" w:cs="Arial"/>
          <w:noProof/>
          <w:szCs w:val="24"/>
        </w:rPr>
        <w:lastRenderedPageBreak/>
        <w:t>Dampit subdistrict, Malang district</w:t>
      </w:r>
      <w:r w:rsidRPr="00E4792D">
        <w:rPr>
          <w:rFonts w:ascii="Arial" w:hAnsi="Arial" w:cs="Arial"/>
          <w:noProof/>
          <w:szCs w:val="24"/>
        </w:rPr>
        <w:t xml:space="preserve">. </w:t>
      </w:r>
      <w:r w:rsidR="00F5756F" w:rsidRPr="00E4792D">
        <w:rPr>
          <w:rFonts w:ascii="Arial" w:hAnsi="Arial" w:cs="Arial"/>
          <w:i/>
          <w:iCs/>
          <w:noProof/>
          <w:szCs w:val="24"/>
        </w:rPr>
        <w:t>Jurnal</w:t>
      </w:r>
      <w:r w:rsidRPr="00E4792D">
        <w:rPr>
          <w:rFonts w:ascii="Arial" w:hAnsi="Arial" w:cs="Arial"/>
          <w:i/>
          <w:iCs/>
          <w:noProof/>
          <w:szCs w:val="24"/>
        </w:rPr>
        <w:t xml:space="preserve"> HPT</w:t>
      </w:r>
      <w:r w:rsidRPr="00E4792D">
        <w:rPr>
          <w:rFonts w:ascii="Arial" w:hAnsi="Arial" w:cs="Arial"/>
          <w:noProof/>
          <w:szCs w:val="24"/>
        </w:rPr>
        <w:t xml:space="preserve">, </w:t>
      </w:r>
      <w:r w:rsidRPr="00E4792D">
        <w:rPr>
          <w:rFonts w:ascii="Arial" w:hAnsi="Arial" w:cs="Arial"/>
          <w:i/>
          <w:iCs/>
          <w:noProof/>
          <w:szCs w:val="24"/>
        </w:rPr>
        <w:t>10</w:t>
      </w:r>
      <w:r w:rsidRPr="00E4792D">
        <w:rPr>
          <w:rFonts w:ascii="Arial" w:hAnsi="Arial" w:cs="Arial"/>
          <w:noProof/>
          <w:szCs w:val="24"/>
        </w:rPr>
        <w:t xml:space="preserve">(1). </w:t>
      </w:r>
      <w:hyperlink r:id="rId33" w:history="1">
        <w:r w:rsidR="00EC141A" w:rsidRPr="00E4792D">
          <w:rPr>
            <w:rStyle w:val="Hyperlink"/>
            <w:rFonts w:ascii="Arial" w:hAnsi="Arial" w:cs="Arial"/>
            <w:noProof/>
            <w:szCs w:val="24"/>
          </w:rPr>
          <w:t>https://doi.org/10.21776/ub.journalhpt.2022.010.1.4</w:t>
        </w:r>
      </w:hyperlink>
    </w:p>
    <w:p w14:paraId="79CF37C4" w14:textId="296AC0FE"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Apriliani, I. N. (2022). </w:t>
      </w:r>
      <w:r w:rsidR="00243730" w:rsidRPr="00E4792D">
        <w:rPr>
          <w:rFonts w:ascii="Arial" w:hAnsi="Arial" w:cs="Arial"/>
          <w:noProof/>
          <w:szCs w:val="24"/>
        </w:rPr>
        <w:t>The Effect of Potassium on the Growth and Yield of Two Sweet Potato Varieties</w:t>
      </w:r>
      <w:r w:rsidRPr="00E4792D">
        <w:rPr>
          <w:rFonts w:ascii="Arial" w:hAnsi="Arial" w:cs="Arial"/>
          <w:noProof/>
          <w:szCs w:val="24"/>
        </w:rPr>
        <w:t xml:space="preserve"> ( I</w:t>
      </w:r>
      <w:r w:rsidRPr="00E4792D">
        <w:rPr>
          <w:rFonts w:ascii="Arial" w:hAnsi="Arial" w:cs="Arial"/>
          <w:i/>
          <w:noProof/>
          <w:szCs w:val="24"/>
        </w:rPr>
        <w:t>pomea batatas</w:t>
      </w:r>
      <w:r w:rsidRPr="00E4792D">
        <w:rPr>
          <w:rFonts w:ascii="Arial" w:hAnsi="Arial" w:cs="Arial"/>
          <w:noProof/>
          <w:szCs w:val="24"/>
        </w:rPr>
        <w:t xml:space="preserve"> ( L .) Lamb ). </w:t>
      </w:r>
      <w:r w:rsidR="006A59C9" w:rsidRPr="00E4792D">
        <w:rPr>
          <w:rFonts w:ascii="Arial" w:hAnsi="Arial" w:cs="Arial"/>
          <w:i/>
          <w:iCs/>
          <w:noProof/>
          <w:szCs w:val="24"/>
        </w:rPr>
        <w:t>Jurnal</w:t>
      </w:r>
      <w:r w:rsidRPr="00E4792D">
        <w:rPr>
          <w:rFonts w:ascii="Arial" w:hAnsi="Arial" w:cs="Arial"/>
          <w:i/>
          <w:iCs/>
          <w:noProof/>
          <w:szCs w:val="24"/>
        </w:rPr>
        <w:t xml:space="preserve"> Ilmiah Mahasiswa Pertanian</w:t>
      </w:r>
      <w:r w:rsidRPr="00E4792D">
        <w:rPr>
          <w:rFonts w:ascii="Arial" w:hAnsi="Arial" w:cs="Arial"/>
          <w:noProof/>
          <w:szCs w:val="24"/>
        </w:rPr>
        <w:t xml:space="preserve">, </w:t>
      </w:r>
      <w:r w:rsidRPr="00E4792D">
        <w:rPr>
          <w:rFonts w:ascii="Arial" w:hAnsi="Arial" w:cs="Arial"/>
          <w:i/>
          <w:iCs/>
          <w:noProof/>
          <w:szCs w:val="24"/>
        </w:rPr>
        <w:t>2</w:t>
      </w:r>
      <w:r w:rsidRPr="00E4792D">
        <w:rPr>
          <w:rFonts w:ascii="Arial" w:hAnsi="Arial" w:cs="Arial"/>
          <w:noProof/>
          <w:szCs w:val="24"/>
        </w:rPr>
        <w:t>, 148–157.</w:t>
      </w:r>
      <w:r w:rsidR="00E4792D">
        <w:rPr>
          <w:rFonts w:ascii="Arial" w:hAnsi="Arial" w:cs="Arial"/>
          <w:noProof/>
          <w:szCs w:val="24"/>
        </w:rPr>
        <w:t xml:space="preserve"> </w:t>
      </w:r>
      <w:r w:rsidR="00E4792D" w:rsidRPr="00E4792D">
        <w:rPr>
          <w:rFonts w:ascii="Arial" w:hAnsi="Arial" w:cs="Arial"/>
          <w:noProof/>
          <w:szCs w:val="24"/>
        </w:rPr>
        <w:t>https://protan.studentjournal.ub.ac.id/index.php/protan/article/view/290</w:t>
      </w:r>
      <w:r w:rsidR="00E4792D">
        <w:rPr>
          <w:rFonts w:ascii="Arial" w:hAnsi="Arial" w:cs="Arial"/>
          <w:noProof/>
          <w:szCs w:val="24"/>
        </w:rPr>
        <w:t xml:space="preserve"> </w:t>
      </w:r>
    </w:p>
    <w:p w14:paraId="1D9B426E"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Bau, A. N., Mendonca, A. M., Dabe, F., &amp; Kiuk, Y. (2024). </w:t>
      </w:r>
      <w:r w:rsidR="00E64F3C" w:rsidRPr="00E4792D">
        <w:rPr>
          <w:rFonts w:ascii="Arial" w:hAnsi="Arial" w:cs="Arial"/>
          <w:noProof/>
          <w:szCs w:val="24"/>
        </w:rPr>
        <w:t>Identification and Utilization of Weeds on the Land of the GS Organik Kupang Independent Agricultural and Rural Training Center (IARTC)</w:t>
      </w:r>
      <w:r w:rsidRPr="00E4792D">
        <w:rPr>
          <w:rFonts w:ascii="Arial" w:hAnsi="Arial" w:cs="Arial"/>
          <w:noProof/>
          <w:szCs w:val="24"/>
        </w:rPr>
        <w:t xml:space="preserve">. </w:t>
      </w:r>
      <w:r w:rsidR="006A59C9" w:rsidRPr="00E4792D">
        <w:rPr>
          <w:rFonts w:ascii="Arial" w:hAnsi="Arial" w:cs="Arial"/>
          <w:i/>
          <w:iCs/>
          <w:noProof/>
          <w:szCs w:val="24"/>
        </w:rPr>
        <w:t>Prosiding Seminar Nasional Kontribusi</w:t>
      </w:r>
      <w:r w:rsidRPr="00E4792D">
        <w:rPr>
          <w:rFonts w:ascii="Arial" w:hAnsi="Arial" w:cs="Arial"/>
          <w:noProof/>
          <w:szCs w:val="24"/>
        </w:rPr>
        <w:t>, 11–15.</w:t>
      </w:r>
    </w:p>
    <w:p w14:paraId="685042E9" w14:textId="480FA786"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BPS. (2025). </w:t>
      </w:r>
      <w:r w:rsidR="00243730" w:rsidRPr="00E4792D">
        <w:rPr>
          <w:rFonts w:ascii="Arial" w:hAnsi="Arial" w:cs="Arial"/>
          <w:i/>
          <w:iCs/>
          <w:noProof/>
          <w:szCs w:val="24"/>
        </w:rPr>
        <w:t xml:space="preserve">Production of Seasonal Vegetables and Fruits by Province and Type of Crop. </w:t>
      </w:r>
      <w:r w:rsidR="00E64F3C" w:rsidRPr="00E4792D">
        <w:rPr>
          <w:rFonts w:ascii="Arial" w:hAnsi="Arial" w:cs="Arial"/>
          <w:iCs/>
          <w:noProof/>
          <w:szCs w:val="24"/>
        </w:rPr>
        <w:t>Badan Pusat Statistik</w:t>
      </w:r>
      <w:r w:rsidR="00243730" w:rsidRPr="00E4792D">
        <w:rPr>
          <w:rFonts w:ascii="Arial" w:hAnsi="Arial" w:cs="Arial"/>
          <w:i/>
          <w:iCs/>
          <w:noProof/>
          <w:szCs w:val="24"/>
        </w:rPr>
        <w:t>.</w:t>
      </w:r>
      <w:r w:rsidR="00E4792D" w:rsidRPr="00E4792D">
        <w:t xml:space="preserve"> </w:t>
      </w:r>
      <w:r w:rsidR="00E4792D" w:rsidRPr="00E4792D">
        <w:rPr>
          <w:rFonts w:ascii="Arial" w:hAnsi="Arial" w:cs="Arial"/>
          <w:i/>
          <w:iCs/>
          <w:noProof/>
          <w:szCs w:val="24"/>
        </w:rPr>
        <w:t>https://www.bps.go.id/statictable/2025/06/10/2145/produksi-tanaman-sayuran-dan-buah-buahan-semusim-menurut-provinsi-dan-jenis-tanaman-2024.html</w:t>
      </w:r>
    </w:p>
    <w:p w14:paraId="6A23D363" w14:textId="30BE8F86" w:rsidR="00440524" w:rsidRPr="00E4792D" w:rsidRDefault="00440524"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Dayah, N., Priatmadi, B. J., &amp; Ifansyah, H. (2023). </w:t>
      </w:r>
      <w:r w:rsidR="00243730" w:rsidRPr="00E4792D">
        <w:rPr>
          <w:rFonts w:ascii="Arial" w:hAnsi="Arial" w:cs="Arial"/>
          <w:noProof/>
          <w:szCs w:val="24"/>
        </w:rPr>
        <w:t>The effect of the combination of chicken manure and coffee grounds compost extract on the chemical properties of Ultisol soil</w:t>
      </w:r>
      <w:r w:rsidRPr="00E4792D">
        <w:rPr>
          <w:rFonts w:ascii="Arial" w:hAnsi="Arial" w:cs="Arial"/>
          <w:noProof/>
          <w:szCs w:val="24"/>
        </w:rPr>
        <w:t xml:space="preserve">. </w:t>
      </w:r>
      <w:r w:rsidRPr="00E4792D">
        <w:rPr>
          <w:rFonts w:ascii="Arial" w:hAnsi="Arial" w:cs="Arial"/>
          <w:i/>
          <w:noProof/>
          <w:szCs w:val="24"/>
        </w:rPr>
        <w:t>Acta Solum</w:t>
      </w:r>
      <w:r w:rsidRPr="00E4792D">
        <w:rPr>
          <w:rFonts w:ascii="Arial" w:hAnsi="Arial" w:cs="Arial"/>
          <w:noProof/>
          <w:szCs w:val="24"/>
        </w:rPr>
        <w:t>, 2(1), 43-48.</w:t>
      </w:r>
      <w:r w:rsidR="00E4792D">
        <w:rPr>
          <w:rFonts w:ascii="Arial" w:hAnsi="Arial" w:cs="Arial"/>
          <w:noProof/>
          <w:szCs w:val="24"/>
        </w:rPr>
        <w:t xml:space="preserve"> </w:t>
      </w:r>
      <w:r w:rsidR="00E4792D" w:rsidRPr="00E4792D">
        <w:rPr>
          <w:rFonts w:ascii="Arial" w:hAnsi="Arial" w:cs="Arial"/>
          <w:noProof/>
          <w:szCs w:val="24"/>
        </w:rPr>
        <w:t>https://doi.org/10.20527/actasolum.v2i1.2418</w:t>
      </w:r>
    </w:p>
    <w:p w14:paraId="7B7168A2" w14:textId="018A3A58"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Despita, R., &amp; Rachmadiyanto, A. N. (2021). </w:t>
      </w:r>
      <w:r w:rsidR="00243730" w:rsidRPr="00E4792D">
        <w:rPr>
          <w:rFonts w:ascii="Arial" w:hAnsi="Arial" w:cs="Arial"/>
          <w:noProof/>
          <w:szCs w:val="24"/>
        </w:rPr>
        <w:t xml:space="preserve">Red </w:t>
      </w:r>
      <w:r w:rsidR="00004A75" w:rsidRPr="00E4792D">
        <w:rPr>
          <w:rFonts w:ascii="Arial" w:hAnsi="Arial" w:cs="Arial"/>
          <w:noProof/>
          <w:szCs w:val="24"/>
        </w:rPr>
        <w:t>Shallot</w:t>
      </w:r>
      <w:r w:rsidR="00243730" w:rsidRPr="00E4792D">
        <w:rPr>
          <w:rFonts w:ascii="Arial" w:hAnsi="Arial" w:cs="Arial"/>
          <w:noProof/>
          <w:szCs w:val="24"/>
        </w:rPr>
        <w:t xml:space="preserve"> Production in the Rainy Season with the Application of Plant Growth-Promoting Rhizobacteria</w:t>
      </w:r>
      <w:r w:rsidRPr="00E4792D">
        <w:rPr>
          <w:rFonts w:ascii="Arial" w:hAnsi="Arial" w:cs="Arial"/>
          <w:noProof/>
          <w:szCs w:val="24"/>
        </w:rPr>
        <w:t xml:space="preserve">. </w:t>
      </w:r>
      <w:r w:rsidR="00F5756F" w:rsidRPr="00E4792D">
        <w:rPr>
          <w:rFonts w:ascii="Arial" w:hAnsi="Arial" w:cs="Arial"/>
          <w:i/>
          <w:iCs/>
          <w:noProof/>
          <w:szCs w:val="24"/>
        </w:rPr>
        <w:t>Jurnal</w:t>
      </w:r>
      <w:r w:rsidRPr="00E4792D">
        <w:rPr>
          <w:rFonts w:ascii="Arial" w:hAnsi="Arial" w:cs="Arial"/>
          <w:i/>
          <w:iCs/>
          <w:noProof/>
          <w:szCs w:val="24"/>
        </w:rPr>
        <w:t xml:space="preserve"> Agriekstensia</w:t>
      </w:r>
      <w:r w:rsidRPr="00E4792D">
        <w:rPr>
          <w:rFonts w:ascii="Arial" w:hAnsi="Arial" w:cs="Arial"/>
          <w:noProof/>
          <w:szCs w:val="24"/>
        </w:rPr>
        <w:t xml:space="preserve">, </w:t>
      </w:r>
      <w:r w:rsidRPr="00E4792D">
        <w:rPr>
          <w:rFonts w:ascii="Arial" w:hAnsi="Arial" w:cs="Arial"/>
          <w:i/>
          <w:iCs/>
          <w:noProof/>
          <w:szCs w:val="24"/>
        </w:rPr>
        <w:t>20</w:t>
      </w:r>
      <w:r w:rsidRPr="00E4792D">
        <w:rPr>
          <w:rFonts w:ascii="Arial" w:hAnsi="Arial" w:cs="Arial"/>
          <w:noProof/>
          <w:szCs w:val="24"/>
        </w:rPr>
        <w:t>(2), 150–159.</w:t>
      </w:r>
      <w:r w:rsidR="00E4792D">
        <w:rPr>
          <w:rFonts w:ascii="Arial" w:hAnsi="Arial" w:cs="Arial"/>
          <w:noProof/>
          <w:szCs w:val="24"/>
        </w:rPr>
        <w:t xml:space="preserve"> </w:t>
      </w:r>
      <w:r w:rsidR="00E4792D" w:rsidRPr="00E4792D">
        <w:rPr>
          <w:rFonts w:ascii="Arial" w:hAnsi="Arial" w:cs="Arial"/>
          <w:noProof/>
          <w:szCs w:val="24"/>
        </w:rPr>
        <w:t>https://doi.org/10.34145/agriekstensia.v20i2.1747</w:t>
      </w:r>
    </w:p>
    <w:p w14:paraId="48C80FBA" w14:textId="0BF91288"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Faery, D., Harefa, C., &amp; Zebua, M. (2024). </w:t>
      </w:r>
      <w:r w:rsidR="00243730" w:rsidRPr="00E4792D">
        <w:rPr>
          <w:rFonts w:ascii="Arial" w:hAnsi="Arial" w:cs="Arial"/>
          <w:noProof/>
          <w:szCs w:val="24"/>
        </w:rPr>
        <w:t>The role of cation exchange capacity in maintaining soil fertility in various soil textures</w:t>
      </w:r>
      <w:r w:rsidRPr="00E4792D">
        <w:rPr>
          <w:rFonts w:ascii="Arial" w:hAnsi="Arial" w:cs="Arial"/>
          <w:noProof/>
          <w:szCs w:val="24"/>
        </w:rPr>
        <w:t xml:space="preserve">. </w:t>
      </w:r>
      <w:r w:rsidR="00F5756F" w:rsidRPr="00E4792D">
        <w:rPr>
          <w:rFonts w:ascii="Arial" w:hAnsi="Arial" w:cs="Arial"/>
          <w:i/>
          <w:iCs/>
          <w:noProof/>
          <w:szCs w:val="24"/>
        </w:rPr>
        <w:t>Jurnal</w:t>
      </w:r>
      <w:r w:rsidRPr="00E4792D">
        <w:rPr>
          <w:rFonts w:ascii="Arial" w:hAnsi="Arial" w:cs="Arial"/>
          <w:i/>
          <w:iCs/>
          <w:noProof/>
          <w:szCs w:val="24"/>
        </w:rPr>
        <w:t xml:space="preserve"> Ilmu P</w:t>
      </w:r>
      <w:r w:rsidRPr="00E4792D">
        <w:rPr>
          <w:rFonts w:ascii="Arial" w:hAnsi="Arial" w:cs="Arial"/>
          <w:i/>
          <w:iCs/>
          <w:noProof/>
          <w:szCs w:val="24"/>
          <w:lang w:val="id-ID"/>
        </w:rPr>
        <w:t>e</w:t>
      </w:r>
      <w:r w:rsidRPr="00E4792D">
        <w:rPr>
          <w:rFonts w:ascii="Arial" w:hAnsi="Arial" w:cs="Arial"/>
          <w:i/>
          <w:iCs/>
          <w:noProof/>
          <w:szCs w:val="24"/>
        </w:rPr>
        <w:t>rtanian Dan Perikanan</w:t>
      </w:r>
      <w:r w:rsidRPr="00E4792D">
        <w:rPr>
          <w:rFonts w:ascii="Arial" w:hAnsi="Arial" w:cs="Arial"/>
          <w:noProof/>
          <w:szCs w:val="24"/>
        </w:rPr>
        <w:t xml:space="preserve">, </w:t>
      </w:r>
      <w:r w:rsidRPr="00E4792D">
        <w:rPr>
          <w:rFonts w:ascii="Arial" w:hAnsi="Arial" w:cs="Arial"/>
          <w:i/>
          <w:iCs/>
          <w:noProof/>
          <w:szCs w:val="24"/>
        </w:rPr>
        <w:t>01</w:t>
      </w:r>
      <w:r w:rsidRPr="00E4792D">
        <w:rPr>
          <w:rFonts w:ascii="Arial" w:hAnsi="Arial" w:cs="Arial"/>
          <w:noProof/>
          <w:szCs w:val="24"/>
        </w:rPr>
        <w:t>(1), 165–170.</w:t>
      </w:r>
      <w:r w:rsidR="00E4792D">
        <w:rPr>
          <w:rFonts w:ascii="Arial" w:hAnsi="Arial" w:cs="Arial"/>
          <w:noProof/>
          <w:szCs w:val="24"/>
        </w:rPr>
        <w:t xml:space="preserve"> </w:t>
      </w:r>
      <w:r w:rsidR="00E4792D" w:rsidRPr="00E4792D">
        <w:rPr>
          <w:rFonts w:ascii="Arial" w:hAnsi="Arial" w:cs="Arial"/>
          <w:noProof/>
          <w:szCs w:val="24"/>
        </w:rPr>
        <w:t>https://doi.org/10.70134/penarik.v2i3.88</w:t>
      </w:r>
      <w:r w:rsidR="00E4792D">
        <w:rPr>
          <w:rFonts w:ascii="Arial" w:hAnsi="Arial" w:cs="Arial"/>
          <w:noProof/>
          <w:szCs w:val="24"/>
        </w:rPr>
        <w:t xml:space="preserve"> </w:t>
      </w:r>
    </w:p>
    <w:p w14:paraId="3E103C98"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Fibrianty, Afriani, R., Pujiastuti, E., &amp; Purwaningsih. (2022). </w:t>
      </w:r>
      <w:r w:rsidR="00243730" w:rsidRPr="00E4792D">
        <w:rPr>
          <w:rFonts w:ascii="Arial" w:hAnsi="Arial" w:cs="Arial"/>
          <w:noProof/>
          <w:szCs w:val="24"/>
        </w:rPr>
        <w:t xml:space="preserve">Comparison of Red </w:t>
      </w:r>
      <w:r w:rsidR="00004A75" w:rsidRPr="00E4792D">
        <w:rPr>
          <w:rFonts w:ascii="Arial" w:hAnsi="Arial" w:cs="Arial"/>
          <w:noProof/>
          <w:szCs w:val="24"/>
        </w:rPr>
        <w:t>Shallot</w:t>
      </w:r>
      <w:r w:rsidR="00243730" w:rsidRPr="00E4792D">
        <w:rPr>
          <w:rFonts w:ascii="Arial" w:hAnsi="Arial" w:cs="Arial"/>
          <w:noProof/>
          <w:szCs w:val="24"/>
        </w:rPr>
        <w:t xml:space="preserve"> Production of the Bima Brebes Variety on Two Types of Soil with Different Acidity Levels</w:t>
      </w:r>
      <w:r w:rsidRPr="00E4792D">
        <w:rPr>
          <w:rFonts w:ascii="Arial" w:hAnsi="Arial" w:cs="Arial"/>
          <w:noProof/>
          <w:szCs w:val="24"/>
        </w:rPr>
        <w:t xml:space="preserve">. </w:t>
      </w:r>
      <w:r w:rsidRPr="00E4792D">
        <w:rPr>
          <w:rFonts w:ascii="Arial" w:hAnsi="Arial" w:cs="Arial"/>
          <w:i/>
          <w:iCs/>
          <w:noProof/>
          <w:szCs w:val="24"/>
        </w:rPr>
        <w:t>UMP Press</w:t>
      </w:r>
      <w:r w:rsidRPr="00E4792D">
        <w:rPr>
          <w:rFonts w:ascii="Arial" w:hAnsi="Arial" w:cs="Arial"/>
          <w:noProof/>
          <w:szCs w:val="24"/>
        </w:rPr>
        <w:t xml:space="preserve">, </w:t>
      </w:r>
      <w:r w:rsidRPr="00E4792D">
        <w:rPr>
          <w:rFonts w:ascii="Arial" w:hAnsi="Arial" w:cs="Arial"/>
          <w:i/>
          <w:iCs/>
          <w:noProof/>
          <w:szCs w:val="24"/>
        </w:rPr>
        <w:t>4</w:t>
      </w:r>
      <w:r w:rsidRPr="00E4792D">
        <w:rPr>
          <w:rFonts w:ascii="Arial" w:hAnsi="Arial" w:cs="Arial"/>
          <w:noProof/>
          <w:szCs w:val="24"/>
        </w:rPr>
        <w:t xml:space="preserve">(2018), 1990–1992. </w:t>
      </w:r>
      <w:hyperlink r:id="rId34" w:history="1">
        <w:r w:rsidR="00EC141A" w:rsidRPr="00E4792D">
          <w:rPr>
            <w:rStyle w:val="Hyperlink"/>
            <w:rFonts w:ascii="Arial" w:hAnsi="Arial" w:cs="Arial"/>
            <w:noProof/>
            <w:szCs w:val="24"/>
          </w:rPr>
          <w:t>https://doi.org/10.30595/pspfs.v4i.476</w:t>
        </w:r>
      </w:hyperlink>
    </w:p>
    <w:p w14:paraId="0FF16DE3"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Jumini, Sufyati, Y., &amp; Fajri, N. (2010). </w:t>
      </w:r>
      <w:r w:rsidR="00243730" w:rsidRPr="00E4792D">
        <w:rPr>
          <w:rFonts w:ascii="Arial" w:hAnsi="Arial" w:cs="Arial"/>
          <w:noProof/>
          <w:szCs w:val="24"/>
        </w:rPr>
        <w:t>The Effect of Seed Bulb Cutting and Types of Organic Fertilizer on the Growth and Yield of Shallots</w:t>
      </w:r>
      <w:r w:rsidRPr="00E4792D">
        <w:rPr>
          <w:rFonts w:ascii="Arial" w:hAnsi="Arial" w:cs="Arial"/>
          <w:noProof/>
          <w:szCs w:val="24"/>
        </w:rPr>
        <w:t xml:space="preserve">. </w:t>
      </w:r>
      <w:r w:rsidRPr="00E4792D">
        <w:rPr>
          <w:rFonts w:ascii="Arial" w:hAnsi="Arial" w:cs="Arial"/>
          <w:i/>
          <w:iCs/>
          <w:noProof/>
          <w:szCs w:val="24"/>
        </w:rPr>
        <w:t>J. Floratek</w:t>
      </w:r>
      <w:r w:rsidRPr="00E4792D">
        <w:rPr>
          <w:rFonts w:ascii="Arial" w:hAnsi="Arial" w:cs="Arial"/>
          <w:noProof/>
          <w:szCs w:val="24"/>
        </w:rPr>
        <w:t xml:space="preserve">, </w:t>
      </w:r>
      <w:r w:rsidRPr="00E4792D">
        <w:rPr>
          <w:rFonts w:ascii="Arial" w:hAnsi="Arial" w:cs="Arial"/>
          <w:i/>
          <w:iCs/>
          <w:noProof/>
          <w:szCs w:val="24"/>
        </w:rPr>
        <w:t>5</w:t>
      </w:r>
      <w:r w:rsidRPr="00E4792D">
        <w:rPr>
          <w:rFonts w:ascii="Arial" w:hAnsi="Arial" w:cs="Arial"/>
          <w:noProof/>
          <w:szCs w:val="24"/>
        </w:rPr>
        <w:t>, 164–171.</w:t>
      </w:r>
    </w:p>
    <w:p w14:paraId="3C1148B3"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Khairiyah, H., Radian, &amp; Tatang, A. (2022). </w:t>
      </w:r>
      <w:r w:rsidR="00243730" w:rsidRPr="00E4792D">
        <w:rPr>
          <w:rFonts w:ascii="Arial" w:hAnsi="Arial" w:cs="Arial"/>
          <w:noProof/>
          <w:szCs w:val="24"/>
        </w:rPr>
        <w:t>Growth and Yield of Shallots with Mineral Soil Application at Various Levels of Peat Soil Maturity</w:t>
      </w:r>
      <w:r w:rsidRPr="00E4792D">
        <w:rPr>
          <w:rFonts w:ascii="Arial" w:hAnsi="Arial" w:cs="Arial"/>
          <w:noProof/>
          <w:szCs w:val="24"/>
          <w:lang w:val="id-ID"/>
        </w:rPr>
        <w:t>.</w:t>
      </w:r>
      <w:r w:rsidR="00243730" w:rsidRPr="00E4792D">
        <w:rPr>
          <w:rFonts w:ascii="Arial" w:hAnsi="Arial" w:cs="Arial"/>
          <w:noProof/>
          <w:szCs w:val="24"/>
        </w:rPr>
        <w:t xml:space="preserve"> </w:t>
      </w:r>
      <w:r w:rsidRPr="00E4792D">
        <w:rPr>
          <w:rFonts w:ascii="Arial" w:hAnsi="Arial" w:cs="Arial"/>
          <w:i/>
          <w:iCs/>
          <w:noProof/>
          <w:szCs w:val="24"/>
        </w:rPr>
        <w:t>Sains</w:t>
      </w:r>
      <w:r w:rsidR="00243730" w:rsidRPr="00E4792D">
        <w:rPr>
          <w:rFonts w:ascii="Arial" w:hAnsi="Arial" w:cs="Arial"/>
          <w:i/>
          <w:iCs/>
          <w:noProof/>
          <w:szCs w:val="24"/>
        </w:rPr>
        <w:t xml:space="preserve"> </w:t>
      </w:r>
      <w:r w:rsidRPr="00E4792D">
        <w:rPr>
          <w:rFonts w:ascii="Arial" w:hAnsi="Arial" w:cs="Arial"/>
          <w:i/>
          <w:iCs/>
          <w:noProof/>
          <w:szCs w:val="24"/>
        </w:rPr>
        <w:t>Pertan.</w:t>
      </w:r>
      <w:r w:rsidR="00243730" w:rsidRPr="00E4792D">
        <w:rPr>
          <w:rFonts w:ascii="Arial" w:hAnsi="Arial" w:cs="Arial"/>
          <w:i/>
          <w:iCs/>
          <w:noProof/>
          <w:szCs w:val="24"/>
        </w:rPr>
        <w:t xml:space="preserve"> </w:t>
      </w:r>
      <w:r w:rsidRPr="00E4792D">
        <w:rPr>
          <w:rFonts w:ascii="Arial" w:hAnsi="Arial" w:cs="Arial"/>
          <w:i/>
          <w:iCs/>
          <w:noProof/>
          <w:szCs w:val="24"/>
        </w:rPr>
        <w:t>Equator</w:t>
      </w:r>
      <w:r w:rsidRPr="00E4792D">
        <w:rPr>
          <w:rFonts w:ascii="Arial" w:hAnsi="Arial" w:cs="Arial"/>
          <w:noProof/>
          <w:szCs w:val="24"/>
        </w:rPr>
        <w:t>,</w:t>
      </w:r>
      <w:r w:rsidRPr="00E4792D">
        <w:rPr>
          <w:rFonts w:ascii="Arial" w:hAnsi="Arial" w:cs="Arial"/>
          <w:i/>
          <w:iCs/>
          <w:noProof/>
          <w:szCs w:val="24"/>
        </w:rPr>
        <w:t>11</w:t>
      </w:r>
      <w:r w:rsidRPr="00E4792D">
        <w:rPr>
          <w:rFonts w:ascii="Arial" w:hAnsi="Arial" w:cs="Arial"/>
          <w:noProof/>
          <w:szCs w:val="24"/>
        </w:rPr>
        <w:t>(4),124–131.</w:t>
      </w:r>
      <w:r w:rsidRPr="00E4792D">
        <w:rPr>
          <w:rFonts w:ascii="Arial" w:hAnsi="Arial" w:cs="Arial"/>
          <w:noProof/>
          <w:szCs w:val="24"/>
          <w:lang w:val="id-ID"/>
        </w:rPr>
        <w:t xml:space="preserve"> </w:t>
      </w:r>
    </w:p>
    <w:p w14:paraId="7E1ECD72"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Marlina, N., Aryani, I., &amp; Kalasari, R. (2022). </w:t>
      </w:r>
      <w:r w:rsidR="00243730" w:rsidRPr="00E4792D">
        <w:rPr>
          <w:rFonts w:ascii="Arial" w:hAnsi="Arial" w:cs="Arial"/>
          <w:noProof/>
          <w:szCs w:val="24"/>
        </w:rPr>
        <w:t>Utilization of Agricultural Waste into Organic Fertilizer in Gelebak Dalam Village, Banyuasin Regency</w:t>
      </w:r>
      <w:r w:rsidRPr="00E4792D">
        <w:rPr>
          <w:rFonts w:ascii="Arial" w:hAnsi="Arial" w:cs="Arial"/>
          <w:noProof/>
          <w:szCs w:val="24"/>
        </w:rPr>
        <w:t xml:space="preserve">. </w:t>
      </w:r>
      <w:r w:rsidRPr="00E4792D">
        <w:rPr>
          <w:rFonts w:ascii="Arial" w:hAnsi="Arial" w:cs="Arial"/>
          <w:i/>
          <w:iCs/>
          <w:noProof/>
          <w:szCs w:val="24"/>
        </w:rPr>
        <w:t>Altifani Journal : International Journal of Community Engagement</w:t>
      </w:r>
      <w:r w:rsidRPr="00E4792D">
        <w:rPr>
          <w:rFonts w:ascii="Arial" w:hAnsi="Arial" w:cs="Arial"/>
          <w:noProof/>
          <w:szCs w:val="24"/>
        </w:rPr>
        <w:t xml:space="preserve">, </w:t>
      </w:r>
      <w:r w:rsidRPr="00E4792D">
        <w:rPr>
          <w:rFonts w:ascii="Arial" w:hAnsi="Arial" w:cs="Arial"/>
          <w:i/>
          <w:iCs/>
          <w:noProof/>
          <w:szCs w:val="24"/>
        </w:rPr>
        <w:t>3</w:t>
      </w:r>
      <w:r w:rsidRPr="00E4792D">
        <w:rPr>
          <w:rFonts w:ascii="Arial" w:hAnsi="Arial" w:cs="Arial"/>
          <w:noProof/>
          <w:szCs w:val="24"/>
        </w:rPr>
        <w:t xml:space="preserve">(1), 31–36. </w:t>
      </w:r>
      <w:hyperlink r:id="rId35" w:history="1">
        <w:r w:rsidR="00EC141A" w:rsidRPr="00E4792D">
          <w:rPr>
            <w:rStyle w:val="Hyperlink"/>
            <w:rFonts w:ascii="Arial" w:hAnsi="Arial" w:cs="Arial"/>
            <w:noProof/>
            <w:szCs w:val="24"/>
          </w:rPr>
          <w:t>https://doi.org/10.32502/altifani.v3i1.5316</w:t>
        </w:r>
      </w:hyperlink>
    </w:p>
    <w:p w14:paraId="7EBC871F" w14:textId="77777777" w:rsidR="00243730" w:rsidRPr="00E4792D" w:rsidRDefault="000A08A7" w:rsidP="00E4792D">
      <w:pPr>
        <w:pStyle w:val="ListParagraph"/>
        <w:widowControl w:val="0"/>
        <w:numPr>
          <w:ilvl w:val="0"/>
          <w:numId w:val="40"/>
        </w:numPr>
        <w:autoSpaceDE w:val="0"/>
        <w:autoSpaceDN w:val="0"/>
        <w:adjustRightInd w:val="0"/>
        <w:jc w:val="both"/>
        <w:rPr>
          <w:rFonts w:ascii="Arial" w:hAnsi="Arial" w:cs="Arial"/>
          <w:iCs/>
          <w:noProof/>
          <w:szCs w:val="24"/>
        </w:rPr>
      </w:pPr>
      <w:r w:rsidRPr="00E4792D">
        <w:rPr>
          <w:rFonts w:ascii="Arial" w:hAnsi="Arial" w:cs="Arial"/>
          <w:noProof/>
          <w:szCs w:val="24"/>
        </w:rPr>
        <w:t xml:space="preserve">Mokoagow, N., Lengkey, Lady, &amp; Longdong, I. (2024). </w:t>
      </w:r>
      <w:r w:rsidR="00243730" w:rsidRPr="00E4792D">
        <w:rPr>
          <w:rFonts w:ascii="Arial" w:hAnsi="Arial" w:cs="Arial"/>
          <w:i/>
          <w:iCs/>
          <w:noProof/>
          <w:szCs w:val="24"/>
        </w:rPr>
        <w:t xml:space="preserve">Loss of yield and weight during harvesting and post-harvesting of </w:t>
      </w:r>
      <w:r w:rsidR="00004A75" w:rsidRPr="00E4792D">
        <w:rPr>
          <w:rFonts w:ascii="Arial" w:hAnsi="Arial" w:cs="Arial"/>
          <w:i/>
          <w:iCs/>
          <w:noProof/>
          <w:szCs w:val="24"/>
        </w:rPr>
        <w:t>shallot</w:t>
      </w:r>
      <w:r w:rsidR="00243730" w:rsidRPr="00E4792D">
        <w:rPr>
          <w:rFonts w:ascii="Arial" w:hAnsi="Arial" w:cs="Arial"/>
          <w:i/>
          <w:iCs/>
          <w:noProof/>
          <w:szCs w:val="24"/>
        </w:rPr>
        <w:t xml:space="preserve">s (Allium ascalonicum L.) in Tungoi II village, Lolayan subdistrict, Bolaang Mongondow district. </w:t>
      </w:r>
      <w:r w:rsidR="00243730" w:rsidRPr="00E4792D">
        <w:rPr>
          <w:rFonts w:ascii="Arial" w:hAnsi="Arial" w:cs="Arial"/>
          <w:iCs/>
          <w:noProof/>
          <w:szCs w:val="24"/>
        </w:rPr>
        <w:t>Unsrat Manado.</w:t>
      </w:r>
    </w:p>
    <w:p w14:paraId="16495B75" w14:textId="77777777" w:rsidR="00E4792D" w:rsidRDefault="00E4792D"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lastRenderedPageBreak/>
        <w:t>Mukhlis, M., Noor, M., Alwi, M., Thamrin, D., Nursyamsi, D., &amp; Haryono. (2014). Biodiversiti Rawa: Eksplorasi, Penelitian dan Pelestariannya. IAARD Press.</w:t>
      </w:r>
      <w:r>
        <w:rPr>
          <w:rFonts w:ascii="Arial" w:hAnsi="Arial" w:cs="Arial"/>
          <w:noProof/>
          <w:szCs w:val="24"/>
        </w:rPr>
        <w:t xml:space="preserve"> </w:t>
      </w:r>
    </w:p>
    <w:p w14:paraId="778EAFCE" w14:textId="357FD111"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Nugroho. (2013). </w:t>
      </w:r>
      <w:r w:rsidR="00496994" w:rsidRPr="00E4792D">
        <w:rPr>
          <w:rFonts w:ascii="Arial" w:hAnsi="Arial" w:cs="Arial"/>
          <w:noProof/>
          <w:szCs w:val="24"/>
        </w:rPr>
        <w:t>The Effect of Planting Media Composition on the Early Growth of Casuarina (</w:t>
      </w:r>
      <w:r w:rsidR="00496994" w:rsidRPr="00E4792D">
        <w:rPr>
          <w:rFonts w:ascii="Arial" w:hAnsi="Arial" w:cs="Arial"/>
          <w:i/>
          <w:noProof/>
          <w:szCs w:val="24"/>
        </w:rPr>
        <w:t>Casuarina equisetifolia</w:t>
      </w:r>
      <w:r w:rsidR="00496994" w:rsidRPr="00E4792D">
        <w:rPr>
          <w:rFonts w:ascii="Arial" w:hAnsi="Arial" w:cs="Arial"/>
          <w:noProof/>
          <w:szCs w:val="24"/>
        </w:rPr>
        <w:t xml:space="preserve"> Var. Incana) on Coastal Sand Dunes</w:t>
      </w:r>
      <w:r w:rsidRPr="00E4792D">
        <w:rPr>
          <w:rFonts w:ascii="Arial" w:hAnsi="Arial" w:cs="Arial"/>
          <w:noProof/>
          <w:szCs w:val="24"/>
        </w:rPr>
        <w:t xml:space="preserve">. </w:t>
      </w:r>
      <w:r w:rsidRPr="00E4792D">
        <w:rPr>
          <w:rFonts w:ascii="Arial" w:hAnsi="Arial" w:cs="Arial"/>
          <w:i/>
          <w:iCs/>
          <w:noProof/>
          <w:szCs w:val="24"/>
        </w:rPr>
        <w:t>Indonesian Forest Rehabilitation Journal</w:t>
      </w:r>
      <w:r w:rsidRPr="00E4792D">
        <w:rPr>
          <w:rFonts w:ascii="Arial" w:hAnsi="Arial" w:cs="Arial"/>
          <w:noProof/>
          <w:szCs w:val="24"/>
        </w:rPr>
        <w:t xml:space="preserve">, </w:t>
      </w:r>
      <w:r w:rsidRPr="00E4792D">
        <w:rPr>
          <w:rFonts w:ascii="Arial" w:hAnsi="Arial" w:cs="Arial"/>
          <w:i/>
          <w:iCs/>
          <w:noProof/>
          <w:szCs w:val="24"/>
        </w:rPr>
        <w:t>1</w:t>
      </w:r>
      <w:r w:rsidRPr="00E4792D">
        <w:rPr>
          <w:rFonts w:ascii="Arial" w:hAnsi="Arial" w:cs="Arial"/>
          <w:noProof/>
          <w:szCs w:val="24"/>
        </w:rPr>
        <w:t>(1), 113–125.</w:t>
      </w:r>
      <w:r w:rsidR="00E4792D">
        <w:rPr>
          <w:rFonts w:ascii="Arial" w:hAnsi="Arial" w:cs="Arial"/>
          <w:noProof/>
          <w:szCs w:val="24"/>
        </w:rPr>
        <w:t xml:space="preserve"> </w:t>
      </w:r>
      <w:r w:rsidR="00E4792D" w:rsidRPr="00E4792D">
        <w:rPr>
          <w:rFonts w:ascii="Arial" w:hAnsi="Arial" w:cs="Arial"/>
          <w:noProof/>
          <w:szCs w:val="24"/>
        </w:rPr>
        <w:t>https://doi.org/10.9868/ifrj.1.1.113-125</w:t>
      </w:r>
      <w:r w:rsidR="00E4792D">
        <w:rPr>
          <w:rFonts w:ascii="Arial" w:hAnsi="Arial" w:cs="Arial"/>
          <w:noProof/>
          <w:szCs w:val="24"/>
        </w:rPr>
        <w:t xml:space="preserve"> </w:t>
      </w:r>
    </w:p>
    <w:p w14:paraId="37FB6A2C"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Nurjanah, U., Naibaho, K., Setyowati, N., &amp; Muktamar, Z. (2024). Growth and yield of three </w:t>
      </w:r>
      <w:r w:rsidR="00004A75" w:rsidRPr="00E4792D">
        <w:rPr>
          <w:rFonts w:ascii="Arial" w:hAnsi="Arial" w:cs="Arial"/>
          <w:noProof/>
          <w:szCs w:val="24"/>
        </w:rPr>
        <w:t>shallot</w:t>
      </w:r>
      <w:r w:rsidRPr="00E4792D">
        <w:rPr>
          <w:rFonts w:ascii="Arial" w:hAnsi="Arial" w:cs="Arial"/>
          <w:noProof/>
          <w:szCs w:val="24"/>
        </w:rPr>
        <w:t xml:space="preserve"> varieties on entisols-amended broadleaf weed compost and clay planting media. </w:t>
      </w:r>
      <w:r w:rsidRPr="00E4792D">
        <w:rPr>
          <w:rFonts w:ascii="Arial" w:hAnsi="Arial" w:cs="Arial"/>
          <w:i/>
          <w:iCs/>
          <w:noProof/>
          <w:szCs w:val="24"/>
        </w:rPr>
        <w:t>International Journal of Agriculture and Plant Science</w:t>
      </w:r>
      <w:r w:rsidRPr="00E4792D">
        <w:rPr>
          <w:rFonts w:ascii="Arial" w:hAnsi="Arial" w:cs="Arial"/>
          <w:noProof/>
          <w:szCs w:val="24"/>
        </w:rPr>
        <w:t xml:space="preserve">, </w:t>
      </w:r>
      <w:r w:rsidRPr="00E4792D">
        <w:rPr>
          <w:rFonts w:ascii="Arial" w:hAnsi="Arial" w:cs="Arial"/>
          <w:i/>
          <w:iCs/>
          <w:noProof/>
          <w:szCs w:val="24"/>
        </w:rPr>
        <w:t>6</w:t>
      </w:r>
      <w:r w:rsidRPr="00E4792D">
        <w:rPr>
          <w:rFonts w:ascii="Arial" w:hAnsi="Arial" w:cs="Arial"/>
          <w:noProof/>
          <w:szCs w:val="24"/>
        </w:rPr>
        <w:t>(3), 14–19.</w:t>
      </w:r>
    </w:p>
    <w:p w14:paraId="4324E909"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Prasetyo, A. H., &amp; Sinaga, L. L. (2017). </w:t>
      </w:r>
      <w:r w:rsidR="00496994" w:rsidRPr="00E4792D">
        <w:rPr>
          <w:rFonts w:ascii="Arial" w:hAnsi="Arial" w:cs="Arial"/>
          <w:noProof/>
          <w:szCs w:val="24"/>
        </w:rPr>
        <w:t>Response of organic fertilizer type and dosage to the growth and production of shallots (</w:t>
      </w:r>
      <w:r w:rsidR="00496994" w:rsidRPr="00E4792D">
        <w:rPr>
          <w:rFonts w:ascii="Arial" w:hAnsi="Arial" w:cs="Arial"/>
          <w:i/>
          <w:noProof/>
          <w:szCs w:val="24"/>
        </w:rPr>
        <w:t>Allium ascalonicum</w:t>
      </w:r>
      <w:r w:rsidR="00496994" w:rsidRPr="00E4792D">
        <w:rPr>
          <w:rFonts w:ascii="Arial" w:hAnsi="Arial" w:cs="Arial"/>
          <w:noProof/>
          <w:szCs w:val="24"/>
        </w:rPr>
        <w:t xml:space="preserve"> L.)</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Agroteknosains</w:t>
      </w:r>
      <w:r w:rsidRPr="00E4792D">
        <w:rPr>
          <w:rFonts w:ascii="Arial" w:hAnsi="Arial" w:cs="Arial"/>
          <w:noProof/>
          <w:szCs w:val="24"/>
        </w:rPr>
        <w:t xml:space="preserve">, </w:t>
      </w:r>
      <w:r w:rsidRPr="00E4792D">
        <w:rPr>
          <w:rFonts w:ascii="Arial" w:hAnsi="Arial" w:cs="Arial"/>
          <w:i/>
          <w:iCs/>
          <w:noProof/>
          <w:szCs w:val="24"/>
        </w:rPr>
        <w:t>01</w:t>
      </w:r>
      <w:r w:rsidRPr="00E4792D">
        <w:rPr>
          <w:rFonts w:ascii="Arial" w:hAnsi="Arial" w:cs="Arial"/>
          <w:noProof/>
          <w:szCs w:val="24"/>
        </w:rPr>
        <w:t>(01), 69–77.</w:t>
      </w:r>
    </w:p>
    <w:p w14:paraId="7A0CC9F2" w14:textId="4462DCEA"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Prathama, M., Susila, A. D., &amp; Santosa, E. (2023). </w:t>
      </w:r>
      <w:r w:rsidR="00496994" w:rsidRPr="00E4792D">
        <w:rPr>
          <w:rFonts w:ascii="Arial" w:hAnsi="Arial" w:cs="Arial"/>
          <w:noProof/>
          <w:szCs w:val="24"/>
        </w:rPr>
        <w:t>Responses of Shallot Growth and Production to Population Density and Number of Fertigation Intervals Using Drip Irrigation</w:t>
      </w:r>
      <w:r w:rsidRPr="00E4792D">
        <w:rPr>
          <w:rFonts w:ascii="Arial" w:hAnsi="Arial" w:cs="Arial"/>
          <w:noProof/>
          <w:szCs w:val="24"/>
        </w:rPr>
        <w:t xml:space="preserve">. </w:t>
      </w:r>
      <w:r w:rsidRPr="00E4792D">
        <w:rPr>
          <w:rFonts w:ascii="Arial" w:hAnsi="Arial" w:cs="Arial"/>
          <w:i/>
          <w:iCs/>
          <w:noProof/>
          <w:szCs w:val="24"/>
        </w:rPr>
        <w:t>J. Hort. Indonesia</w:t>
      </w:r>
      <w:r w:rsidRPr="00E4792D">
        <w:rPr>
          <w:rFonts w:ascii="Arial" w:hAnsi="Arial" w:cs="Arial"/>
          <w:noProof/>
          <w:szCs w:val="24"/>
        </w:rPr>
        <w:t xml:space="preserve">, </w:t>
      </w:r>
      <w:r w:rsidRPr="00E4792D">
        <w:rPr>
          <w:rFonts w:ascii="Arial" w:hAnsi="Arial" w:cs="Arial"/>
          <w:i/>
          <w:iCs/>
          <w:noProof/>
          <w:szCs w:val="24"/>
        </w:rPr>
        <w:t>14</w:t>
      </w:r>
      <w:r w:rsidRPr="00E4792D">
        <w:rPr>
          <w:rFonts w:ascii="Arial" w:hAnsi="Arial" w:cs="Arial"/>
          <w:noProof/>
          <w:szCs w:val="24"/>
        </w:rPr>
        <w:t>(2), 78–86.</w:t>
      </w:r>
      <w:r w:rsidR="00E4792D">
        <w:rPr>
          <w:rFonts w:ascii="Arial" w:hAnsi="Arial" w:cs="Arial"/>
          <w:noProof/>
          <w:szCs w:val="24"/>
        </w:rPr>
        <w:t xml:space="preserve"> </w:t>
      </w:r>
      <w:r w:rsidR="00E4792D" w:rsidRPr="00E4792D">
        <w:rPr>
          <w:rFonts w:ascii="Arial" w:hAnsi="Arial" w:cs="Arial"/>
          <w:noProof/>
          <w:szCs w:val="24"/>
        </w:rPr>
        <w:t>https://doi.org/10.29244/jhi.v14i2.44000</w:t>
      </w:r>
    </w:p>
    <w:p w14:paraId="57AC3449"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Putra, P. R., &amp; Rahayu, E. (2017). </w:t>
      </w:r>
      <w:r w:rsidR="00496994" w:rsidRPr="00E4792D">
        <w:rPr>
          <w:rFonts w:ascii="Arial" w:hAnsi="Arial" w:cs="Arial"/>
          <w:noProof/>
          <w:szCs w:val="24"/>
        </w:rPr>
        <w:t>The Effect of Media Type and Comparison on Sandy Soil for the Growth of Pueraria Javanica</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Agromast</w:t>
      </w:r>
      <w:r w:rsidRPr="00E4792D">
        <w:rPr>
          <w:rFonts w:ascii="Arial" w:hAnsi="Arial" w:cs="Arial"/>
          <w:noProof/>
          <w:szCs w:val="24"/>
        </w:rPr>
        <w:t xml:space="preserve">, </w:t>
      </w:r>
      <w:r w:rsidRPr="00E4792D">
        <w:rPr>
          <w:rFonts w:ascii="Arial" w:hAnsi="Arial" w:cs="Arial"/>
          <w:i/>
          <w:iCs/>
          <w:noProof/>
          <w:szCs w:val="24"/>
        </w:rPr>
        <w:t>2</w:t>
      </w:r>
      <w:r w:rsidRPr="00E4792D">
        <w:rPr>
          <w:rFonts w:ascii="Arial" w:hAnsi="Arial" w:cs="Arial"/>
          <w:noProof/>
          <w:szCs w:val="24"/>
        </w:rPr>
        <w:t>(1).</w:t>
      </w:r>
    </w:p>
    <w:p w14:paraId="045EB99A" w14:textId="48219B81"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Rahmah, A., Sipayung, R., &amp; Simanungkalit, T. (2013). </w:t>
      </w:r>
      <w:r w:rsidR="00496994" w:rsidRPr="00E4792D">
        <w:rPr>
          <w:rFonts w:ascii="Arial" w:hAnsi="Arial" w:cs="Arial"/>
          <w:noProof/>
          <w:szCs w:val="24"/>
        </w:rPr>
        <w:t>Growth and Production of Shallots (Allium ascalonicum L.) with the Application of Chicken Manure and EM4 (</w:t>
      </w:r>
      <w:r w:rsidR="00496994" w:rsidRPr="00E4792D">
        <w:rPr>
          <w:rFonts w:ascii="Arial" w:hAnsi="Arial" w:cs="Arial"/>
          <w:i/>
          <w:noProof/>
          <w:szCs w:val="24"/>
        </w:rPr>
        <w:t>Effective Microorganisms</w:t>
      </w:r>
      <w:r w:rsidR="00496994" w:rsidRPr="00E4792D">
        <w:rPr>
          <w:rFonts w:ascii="Arial" w:hAnsi="Arial" w:cs="Arial"/>
          <w:noProof/>
          <w:szCs w:val="24"/>
        </w:rPr>
        <w:t xml:space="preserve"> 4)</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Online Agroekoteknologi</w:t>
      </w:r>
      <w:r w:rsidRPr="00E4792D">
        <w:rPr>
          <w:rFonts w:ascii="Arial" w:hAnsi="Arial" w:cs="Arial"/>
          <w:noProof/>
          <w:szCs w:val="24"/>
        </w:rPr>
        <w:t xml:space="preserve">, </w:t>
      </w:r>
      <w:r w:rsidRPr="00E4792D">
        <w:rPr>
          <w:rFonts w:ascii="Arial" w:hAnsi="Arial" w:cs="Arial"/>
          <w:i/>
          <w:iCs/>
          <w:noProof/>
          <w:szCs w:val="24"/>
        </w:rPr>
        <w:t>1</w:t>
      </w:r>
      <w:r w:rsidRPr="00E4792D">
        <w:rPr>
          <w:rFonts w:ascii="Arial" w:hAnsi="Arial" w:cs="Arial"/>
          <w:noProof/>
          <w:szCs w:val="24"/>
        </w:rPr>
        <w:t>(4), 952–963.</w:t>
      </w:r>
      <w:r w:rsidR="00E4792D">
        <w:rPr>
          <w:rFonts w:ascii="Arial" w:hAnsi="Arial" w:cs="Arial"/>
          <w:noProof/>
          <w:szCs w:val="24"/>
        </w:rPr>
        <w:t xml:space="preserve"> </w:t>
      </w:r>
      <w:r w:rsidR="00E4792D" w:rsidRPr="00E4792D">
        <w:rPr>
          <w:rFonts w:ascii="Arial" w:hAnsi="Arial" w:cs="Arial"/>
          <w:noProof/>
          <w:szCs w:val="24"/>
        </w:rPr>
        <w:t>https://doi.org/10.32734/jaet.v1i4.4353</w:t>
      </w:r>
      <w:r w:rsidR="00E4792D">
        <w:rPr>
          <w:rFonts w:ascii="Arial" w:hAnsi="Arial" w:cs="Arial"/>
          <w:noProof/>
          <w:szCs w:val="24"/>
        </w:rPr>
        <w:t xml:space="preserve"> </w:t>
      </w:r>
    </w:p>
    <w:p w14:paraId="4102FDB2"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Rajiman, Yudono, P., Sulistyaningsih, E., &amp; Hanudin, E. (2008). </w:t>
      </w:r>
      <w:r w:rsidR="00496994" w:rsidRPr="00E4792D">
        <w:rPr>
          <w:rFonts w:ascii="Arial" w:hAnsi="Arial" w:cs="Arial"/>
          <w:noProof/>
          <w:szCs w:val="24"/>
        </w:rPr>
        <w:t>The Effect of Soil Conditioners on Soil Physical Properties and Shallot Yields on Coastal Sand Land in Bugel, Kulon Progo Regency</w:t>
      </w:r>
      <w:r w:rsidRPr="00E4792D">
        <w:rPr>
          <w:rFonts w:ascii="Arial" w:hAnsi="Arial" w:cs="Arial"/>
          <w:noProof/>
          <w:szCs w:val="24"/>
        </w:rPr>
        <w:t xml:space="preserve">. </w:t>
      </w:r>
      <w:r w:rsidRPr="00E4792D">
        <w:rPr>
          <w:rFonts w:ascii="Arial" w:hAnsi="Arial" w:cs="Arial"/>
          <w:i/>
          <w:iCs/>
          <w:noProof/>
          <w:szCs w:val="24"/>
        </w:rPr>
        <w:t>J. Agrin</w:t>
      </w:r>
      <w:r w:rsidRPr="00E4792D">
        <w:rPr>
          <w:rFonts w:ascii="Arial" w:hAnsi="Arial" w:cs="Arial"/>
          <w:noProof/>
          <w:szCs w:val="24"/>
        </w:rPr>
        <w:t xml:space="preserve">, </w:t>
      </w:r>
      <w:r w:rsidRPr="00E4792D">
        <w:rPr>
          <w:rFonts w:ascii="Arial" w:hAnsi="Arial" w:cs="Arial"/>
          <w:i/>
          <w:iCs/>
          <w:noProof/>
          <w:szCs w:val="24"/>
        </w:rPr>
        <w:t>12</w:t>
      </w:r>
      <w:r w:rsidRPr="00E4792D">
        <w:rPr>
          <w:rFonts w:ascii="Arial" w:hAnsi="Arial" w:cs="Arial"/>
          <w:noProof/>
          <w:szCs w:val="24"/>
        </w:rPr>
        <w:t>(1), 67–77.</w:t>
      </w:r>
    </w:p>
    <w:p w14:paraId="2ACB6AB6"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Santari, P. T., Amin, M., &amp; Mulyawan, R. (2021). </w:t>
      </w:r>
      <w:r w:rsidR="00496994" w:rsidRPr="00E4792D">
        <w:rPr>
          <w:rFonts w:ascii="Arial" w:hAnsi="Arial" w:cs="Arial"/>
          <w:noProof/>
          <w:szCs w:val="24"/>
        </w:rPr>
        <w:t>Improving Soil Properties in Sandy Soil by Applying Manure and Biofertilizer</w:t>
      </w:r>
      <w:r w:rsidRPr="00E4792D">
        <w:rPr>
          <w:rFonts w:ascii="Arial" w:hAnsi="Arial" w:cs="Arial"/>
          <w:noProof/>
          <w:szCs w:val="24"/>
        </w:rPr>
        <w:t xml:space="preserve">. </w:t>
      </w:r>
      <w:r w:rsidRPr="00E4792D">
        <w:rPr>
          <w:rFonts w:ascii="Arial" w:hAnsi="Arial" w:cs="Arial"/>
          <w:i/>
          <w:iCs/>
          <w:noProof/>
          <w:szCs w:val="24"/>
        </w:rPr>
        <w:t>Seminar Nasional Lahan Suboptimal</w:t>
      </w:r>
      <w:r w:rsidRPr="00E4792D">
        <w:rPr>
          <w:rFonts w:ascii="Arial" w:hAnsi="Arial" w:cs="Arial"/>
          <w:noProof/>
          <w:szCs w:val="24"/>
        </w:rPr>
        <w:t xml:space="preserve">, </w:t>
      </w:r>
      <w:r w:rsidRPr="00E4792D">
        <w:rPr>
          <w:rFonts w:ascii="Arial" w:hAnsi="Arial" w:cs="Arial"/>
          <w:i/>
          <w:iCs/>
          <w:noProof/>
          <w:szCs w:val="24"/>
        </w:rPr>
        <w:t>9</w:t>
      </w:r>
      <w:r w:rsidRPr="00E4792D">
        <w:rPr>
          <w:rFonts w:ascii="Arial" w:hAnsi="Arial" w:cs="Arial"/>
          <w:noProof/>
          <w:szCs w:val="24"/>
        </w:rPr>
        <w:t>, 854–862.</w:t>
      </w:r>
    </w:p>
    <w:p w14:paraId="58C981D0" w14:textId="29AE61EE"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Sari, P. Y., Haryadi, &amp; Arfianto, F. (2019). </w:t>
      </w:r>
      <w:r w:rsidR="00496994" w:rsidRPr="00E4792D">
        <w:rPr>
          <w:rFonts w:ascii="Arial" w:hAnsi="Arial" w:cs="Arial"/>
          <w:i/>
          <w:noProof/>
          <w:szCs w:val="24"/>
        </w:rPr>
        <w:t>The Effect of Ameliorant Types on the Growth and Production of Spinach (Amaranthus tricolor L.) in Peat Soil</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Ilmiah Pertanian Dan Kehutanan</w:t>
      </w:r>
      <w:r w:rsidRPr="00E4792D">
        <w:rPr>
          <w:rFonts w:ascii="Arial" w:hAnsi="Arial" w:cs="Arial"/>
          <w:noProof/>
          <w:szCs w:val="24"/>
        </w:rPr>
        <w:t xml:space="preserve">, </w:t>
      </w:r>
      <w:r w:rsidRPr="00E4792D">
        <w:rPr>
          <w:rFonts w:ascii="Arial" w:hAnsi="Arial" w:cs="Arial"/>
          <w:i/>
          <w:iCs/>
          <w:noProof/>
          <w:szCs w:val="24"/>
        </w:rPr>
        <w:t>6</w:t>
      </w:r>
      <w:r w:rsidRPr="00E4792D">
        <w:rPr>
          <w:rFonts w:ascii="Arial" w:hAnsi="Arial" w:cs="Arial"/>
          <w:noProof/>
          <w:szCs w:val="24"/>
        </w:rPr>
        <w:t>(2), 160–171.</w:t>
      </w:r>
      <w:r w:rsidR="00E4792D">
        <w:rPr>
          <w:rFonts w:ascii="Arial" w:hAnsi="Arial" w:cs="Arial"/>
          <w:noProof/>
          <w:szCs w:val="24"/>
        </w:rPr>
        <w:t xml:space="preserve"> </w:t>
      </w:r>
      <w:r w:rsidR="00E4792D" w:rsidRPr="00E4792D">
        <w:rPr>
          <w:rFonts w:ascii="Arial" w:hAnsi="Arial" w:cs="Arial"/>
          <w:noProof/>
          <w:szCs w:val="24"/>
        </w:rPr>
        <w:t>https://doi.org/10.33084/daun.v6i2.1262</w:t>
      </w:r>
    </w:p>
    <w:p w14:paraId="4585DD28" w14:textId="31465964"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Setiyaningrum, A. A., &amp; Darmawati, A. (2019). </w:t>
      </w:r>
      <w:r w:rsidR="00496994" w:rsidRPr="00E4792D">
        <w:rPr>
          <w:rFonts w:ascii="Arial" w:hAnsi="Arial" w:cs="Arial"/>
          <w:noProof/>
          <w:szCs w:val="24"/>
        </w:rPr>
        <w:t>Growth and production of kailan (</w:t>
      </w:r>
      <w:r w:rsidR="00496994" w:rsidRPr="00E4792D">
        <w:rPr>
          <w:rFonts w:ascii="Arial" w:hAnsi="Arial" w:cs="Arial"/>
          <w:i/>
          <w:noProof/>
          <w:szCs w:val="24"/>
        </w:rPr>
        <w:t>Brassica oleracea</w:t>
      </w:r>
      <w:r w:rsidR="00496994" w:rsidRPr="00E4792D">
        <w:rPr>
          <w:rFonts w:ascii="Arial" w:hAnsi="Arial" w:cs="Arial"/>
          <w:noProof/>
          <w:szCs w:val="24"/>
        </w:rPr>
        <w:t>) due to the application of rice straw mulch at different rates</w:t>
      </w:r>
      <w:r w:rsidRPr="00E4792D">
        <w:rPr>
          <w:rFonts w:ascii="Arial" w:hAnsi="Arial" w:cs="Arial"/>
          <w:noProof/>
          <w:szCs w:val="24"/>
        </w:rPr>
        <w:t xml:space="preserve">. </w:t>
      </w:r>
      <w:r w:rsidRPr="00E4792D">
        <w:rPr>
          <w:rFonts w:ascii="Arial" w:hAnsi="Arial" w:cs="Arial"/>
          <w:i/>
          <w:iCs/>
          <w:noProof/>
          <w:szCs w:val="24"/>
        </w:rPr>
        <w:t>Agro Complex</w:t>
      </w:r>
      <w:r w:rsidRPr="00E4792D">
        <w:rPr>
          <w:rFonts w:ascii="Arial" w:hAnsi="Arial" w:cs="Arial"/>
          <w:noProof/>
          <w:szCs w:val="24"/>
        </w:rPr>
        <w:t xml:space="preserve">, </w:t>
      </w:r>
      <w:r w:rsidRPr="00E4792D">
        <w:rPr>
          <w:rFonts w:ascii="Arial" w:hAnsi="Arial" w:cs="Arial"/>
          <w:i/>
          <w:iCs/>
          <w:noProof/>
          <w:szCs w:val="24"/>
        </w:rPr>
        <w:t>3</w:t>
      </w:r>
      <w:r w:rsidRPr="00E4792D">
        <w:rPr>
          <w:rFonts w:ascii="Arial" w:hAnsi="Arial" w:cs="Arial"/>
          <w:noProof/>
          <w:szCs w:val="24"/>
        </w:rPr>
        <w:t>, 75–83.</w:t>
      </w:r>
      <w:r w:rsidR="00E4792D">
        <w:rPr>
          <w:rFonts w:ascii="Arial" w:hAnsi="Arial" w:cs="Arial"/>
          <w:noProof/>
          <w:szCs w:val="24"/>
        </w:rPr>
        <w:t xml:space="preserve"> </w:t>
      </w:r>
      <w:r w:rsidR="00E4792D" w:rsidRPr="00E4792D">
        <w:rPr>
          <w:rFonts w:ascii="Arial" w:hAnsi="Arial" w:cs="Arial"/>
          <w:noProof/>
          <w:szCs w:val="24"/>
        </w:rPr>
        <w:t>https://doi.org/10.14710/joac.3.1.75-83</w:t>
      </w:r>
      <w:r w:rsidR="00E4792D">
        <w:rPr>
          <w:rFonts w:ascii="Arial" w:hAnsi="Arial" w:cs="Arial"/>
          <w:noProof/>
          <w:szCs w:val="24"/>
        </w:rPr>
        <w:t xml:space="preserve"> </w:t>
      </w:r>
    </w:p>
    <w:p w14:paraId="3B822425" w14:textId="3CD56345"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Siregar, R. S. (2023). Improving the chemical quality of sandy-textured soil and shallot (</w:t>
      </w:r>
      <w:r w:rsidRPr="00E4792D">
        <w:rPr>
          <w:rFonts w:ascii="Arial" w:hAnsi="Arial" w:cs="Arial"/>
          <w:i/>
          <w:noProof/>
          <w:szCs w:val="24"/>
        </w:rPr>
        <w:t>Allium cepa</w:t>
      </w:r>
      <w:r w:rsidRPr="00E4792D">
        <w:rPr>
          <w:rFonts w:ascii="Arial" w:hAnsi="Arial" w:cs="Arial"/>
          <w:noProof/>
          <w:szCs w:val="24"/>
        </w:rPr>
        <w:t xml:space="preserve"> L.) yields using biochar and clay. </w:t>
      </w:r>
      <w:r w:rsidR="00A7658E" w:rsidRPr="00E4792D">
        <w:rPr>
          <w:rFonts w:ascii="Arial" w:hAnsi="Arial" w:cs="Arial"/>
          <w:i/>
          <w:iCs/>
          <w:noProof/>
          <w:szCs w:val="24"/>
        </w:rPr>
        <w:t>Jurnal</w:t>
      </w:r>
      <w:r w:rsidRPr="00E4792D">
        <w:rPr>
          <w:rFonts w:ascii="Arial" w:hAnsi="Arial" w:cs="Arial"/>
          <w:i/>
          <w:iCs/>
          <w:noProof/>
          <w:szCs w:val="24"/>
        </w:rPr>
        <w:t xml:space="preserve"> Ilmiah Pertanian</w:t>
      </w:r>
      <w:r w:rsidRPr="00E4792D">
        <w:rPr>
          <w:rFonts w:ascii="Arial" w:hAnsi="Arial" w:cs="Arial"/>
          <w:noProof/>
          <w:szCs w:val="24"/>
        </w:rPr>
        <w:t xml:space="preserve">, </w:t>
      </w:r>
      <w:r w:rsidRPr="00E4792D">
        <w:rPr>
          <w:rFonts w:ascii="Arial" w:hAnsi="Arial" w:cs="Arial"/>
          <w:i/>
          <w:iCs/>
          <w:noProof/>
          <w:szCs w:val="24"/>
        </w:rPr>
        <w:t>20</w:t>
      </w:r>
      <w:r w:rsidRPr="00E4792D">
        <w:rPr>
          <w:rFonts w:ascii="Arial" w:hAnsi="Arial" w:cs="Arial"/>
          <w:noProof/>
          <w:szCs w:val="24"/>
        </w:rPr>
        <w:t>(2), 177–188.</w:t>
      </w:r>
      <w:r w:rsidR="00E4792D">
        <w:rPr>
          <w:rFonts w:ascii="Arial" w:hAnsi="Arial" w:cs="Arial"/>
          <w:noProof/>
          <w:szCs w:val="24"/>
        </w:rPr>
        <w:t xml:space="preserve"> </w:t>
      </w:r>
      <w:r w:rsidR="00E4792D" w:rsidRPr="00E4792D">
        <w:rPr>
          <w:rFonts w:ascii="Arial" w:hAnsi="Arial" w:cs="Arial"/>
          <w:noProof/>
          <w:szCs w:val="24"/>
        </w:rPr>
        <w:t>https://doi.org/10.31849/jip.v20i2.13760</w:t>
      </w:r>
      <w:r w:rsidR="00E4792D">
        <w:rPr>
          <w:rFonts w:ascii="Arial" w:hAnsi="Arial" w:cs="Arial"/>
          <w:noProof/>
          <w:szCs w:val="24"/>
        </w:rPr>
        <w:t xml:space="preserve"> </w:t>
      </w:r>
    </w:p>
    <w:p w14:paraId="0AB16667" w14:textId="77777777" w:rsidR="00496994" w:rsidRPr="00E4792D" w:rsidRDefault="000A08A7" w:rsidP="00E4792D">
      <w:pPr>
        <w:pStyle w:val="ListParagraph"/>
        <w:widowControl w:val="0"/>
        <w:numPr>
          <w:ilvl w:val="0"/>
          <w:numId w:val="40"/>
        </w:numPr>
        <w:autoSpaceDE w:val="0"/>
        <w:autoSpaceDN w:val="0"/>
        <w:adjustRightInd w:val="0"/>
        <w:jc w:val="both"/>
        <w:rPr>
          <w:rFonts w:ascii="Arial" w:hAnsi="Arial" w:cs="Arial"/>
          <w:i/>
          <w:iCs/>
          <w:noProof/>
          <w:szCs w:val="24"/>
        </w:rPr>
      </w:pPr>
      <w:r w:rsidRPr="00E4792D">
        <w:rPr>
          <w:rFonts w:ascii="Arial" w:hAnsi="Arial" w:cs="Arial"/>
          <w:noProof/>
          <w:szCs w:val="24"/>
        </w:rPr>
        <w:t xml:space="preserve">Situmorang, A. (2024). </w:t>
      </w:r>
      <w:r w:rsidR="00496994" w:rsidRPr="00E4792D">
        <w:rPr>
          <w:rFonts w:ascii="Arial" w:hAnsi="Arial" w:cs="Arial"/>
          <w:i/>
          <w:iCs/>
          <w:noProof/>
          <w:szCs w:val="24"/>
        </w:rPr>
        <w:t xml:space="preserve">Growth response and flower formation of three varieties of red </w:t>
      </w:r>
      <w:r w:rsidR="00004A75" w:rsidRPr="00E4792D">
        <w:rPr>
          <w:rFonts w:ascii="Arial" w:hAnsi="Arial" w:cs="Arial"/>
          <w:i/>
          <w:iCs/>
          <w:noProof/>
          <w:szCs w:val="24"/>
        </w:rPr>
        <w:t>shallot</w:t>
      </w:r>
      <w:r w:rsidR="00496994" w:rsidRPr="00E4792D">
        <w:rPr>
          <w:rFonts w:ascii="Arial" w:hAnsi="Arial" w:cs="Arial"/>
          <w:i/>
          <w:iCs/>
          <w:noProof/>
          <w:szCs w:val="24"/>
        </w:rPr>
        <w:t xml:space="preserve"> (Allium cepa var. Aggregatum) to prolonged vernalization treatment in highlands. </w:t>
      </w:r>
      <w:r w:rsidR="00496994" w:rsidRPr="00E4792D">
        <w:rPr>
          <w:rFonts w:ascii="Arial" w:hAnsi="Arial" w:cs="Arial"/>
          <w:iCs/>
          <w:noProof/>
          <w:szCs w:val="24"/>
        </w:rPr>
        <w:t>Bengkulu University</w:t>
      </w:r>
      <w:r w:rsidR="00496994" w:rsidRPr="00E4792D">
        <w:rPr>
          <w:rFonts w:ascii="Arial" w:hAnsi="Arial" w:cs="Arial"/>
          <w:i/>
          <w:iCs/>
          <w:noProof/>
          <w:szCs w:val="24"/>
        </w:rPr>
        <w:t>.</w:t>
      </w:r>
    </w:p>
    <w:p w14:paraId="52B2316B"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lastRenderedPageBreak/>
        <w:t xml:space="preserve">Srifatriati, Ernita, M., &amp; Mutia, D. Y. (2024). </w:t>
      </w:r>
      <w:r w:rsidR="00496994" w:rsidRPr="00E4792D">
        <w:rPr>
          <w:rFonts w:ascii="Arial" w:hAnsi="Arial" w:cs="Arial"/>
          <w:noProof/>
          <w:szCs w:val="24"/>
        </w:rPr>
        <w:t xml:space="preserve">The Effect of Chicken Manure and Shell Flour on the Growth and Yield of Red </w:t>
      </w:r>
      <w:r w:rsidR="00004A75" w:rsidRPr="00E4792D">
        <w:rPr>
          <w:rFonts w:ascii="Arial" w:hAnsi="Arial" w:cs="Arial"/>
          <w:noProof/>
          <w:szCs w:val="24"/>
        </w:rPr>
        <w:t>Shallot</w:t>
      </w:r>
      <w:r w:rsidR="00496994" w:rsidRPr="00E4792D">
        <w:rPr>
          <w:rFonts w:ascii="Arial" w:hAnsi="Arial" w:cs="Arial"/>
          <w:noProof/>
          <w:szCs w:val="24"/>
        </w:rPr>
        <w:t>s (</w:t>
      </w:r>
      <w:r w:rsidR="00496994" w:rsidRPr="00E4792D">
        <w:rPr>
          <w:rFonts w:ascii="Arial" w:hAnsi="Arial" w:cs="Arial"/>
          <w:i/>
          <w:noProof/>
          <w:szCs w:val="24"/>
        </w:rPr>
        <w:t>Allium ascalonicum</w:t>
      </w:r>
      <w:r w:rsidR="00496994" w:rsidRPr="00E4792D">
        <w:rPr>
          <w:rFonts w:ascii="Arial" w:hAnsi="Arial" w:cs="Arial"/>
          <w:noProof/>
          <w:szCs w:val="24"/>
        </w:rPr>
        <w:t xml:space="preserve"> L.)</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Embrio</w:t>
      </w:r>
      <w:r w:rsidRPr="00E4792D">
        <w:rPr>
          <w:rFonts w:ascii="Arial" w:hAnsi="Arial" w:cs="Arial"/>
          <w:noProof/>
          <w:szCs w:val="24"/>
        </w:rPr>
        <w:t xml:space="preserve">, </w:t>
      </w:r>
      <w:r w:rsidRPr="00E4792D">
        <w:rPr>
          <w:rFonts w:ascii="Arial" w:hAnsi="Arial" w:cs="Arial"/>
          <w:i/>
          <w:iCs/>
          <w:noProof/>
          <w:szCs w:val="24"/>
        </w:rPr>
        <w:t>16</w:t>
      </w:r>
      <w:r w:rsidRPr="00E4792D">
        <w:rPr>
          <w:rFonts w:ascii="Arial" w:hAnsi="Arial" w:cs="Arial"/>
          <w:noProof/>
          <w:szCs w:val="24"/>
        </w:rPr>
        <w:t>(2), 84–99.</w:t>
      </w:r>
    </w:p>
    <w:p w14:paraId="191EB1F6"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Sugino, Sumarna, P., Laila, F., Mahmud, Y., &amp; Asad, F. Al. (2025). </w:t>
      </w:r>
      <w:r w:rsidR="00496994" w:rsidRPr="00E4792D">
        <w:rPr>
          <w:rFonts w:ascii="Arial" w:hAnsi="Arial" w:cs="Arial"/>
          <w:noProof/>
          <w:szCs w:val="24"/>
        </w:rPr>
        <w:t>The effect of various planting distances on the growth and yield of shallots (</w:t>
      </w:r>
      <w:r w:rsidR="00496994" w:rsidRPr="00E4792D">
        <w:rPr>
          <w:rFonts w:ascii="Arial" w:hAnsi="Arial" w:cs="Arial"/>
          <w:i/>
          <w:noProof/>
          <w:szCs w:val="24"/>
        </w:rPr>
        <w:t>Allium ascalonicum</w:t>
      </w:r>
      <w:r w:rsidR="00496994" w:rsidRPr="00E4792D">
        <w:rPr>
          <w:rFonts w:ascii="Arial" w:hAnsi="Arial" w:cs="Arial"/>
          <w:noProof/>
          <w:szCs w:val="24"/>
        </w:rPr>
        <w:t xml:space="preserve"> L.) of the Bima Brebes variety</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Agro Wiralodra</w:t>
      </w:r>
      <w:r w:rsidRPr="00E4792D">
        <w:rPr>
          <w:rFonts w:ascii="Arial" w:hAnsi="Arial" w:cs="Arial"/>
          <w:noProof/>
          <w:szCs w:val="24"/>
        </w:rPr>
        <w:t xml:space="preserve">, </w:t>
      </w:r>
      <w:r w:rsidRPr="00E4792D">
        <w:rPr>
          <w:rFonts w:ascii="Arial" w:hAnsi="Arial" w:cs="Arial"/>
          <w:i/>
          <w:iCs/>
          <w:noProof/>
          <w:szCs w:val="24"/>
        </w:rPr>
        <w:t>8</w:t>
      </w:r>
      <w:r w:rsidRPr="00E4792D">
        <w:rPr>
          <w:rFonts w:ascii="Arial" w:hAnsi="Arial" w:cs="Arial"/>
          <w:noProof/>
          <w:szCs w:val="24"/>
        </w:rPr>
        <w:t>(May 2024), 6–11.</w:t>
      </w:r>
    </w:p>
    <w:p w14:paraId="499DE6E9" w14:textId="099E0A04" w:rsidR="00496994"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Suharto, Faizati, A. R., &amp; Wijaya, T. K. (2022). </w:t>
      </w:r>
      <w:r w:rsidR="00496994" w:rsidRPr="00E4792D">
        <w:rPr>
          <w:rFonts w:ascii="Arial" w:hAnsi="Arial" w:cs="Arial"/>
          <w:noProof/>
          <w:szCs w:val="24"/>
        </w:rPr>
        <w:t xml:space="preserve">Agricultural Extension on Shallot Cultivation Techniques for Women in the Family Welfare Program (FWP) in Kalibeji Village. </w:t>
      </w:r>
      <w:r w:rsidR="00E64F3C" w:rsidRPr="00E4792D">
        <w:rPr>
          <w:rFonts w:ascii="Arial" w:hAnsi="Arial" w:cs="Arial"/>
          <w:i/>
          <w:iCs/>
          <w:noProof/>
          <w:szCs w:val="24"/>
        </w:rPr>
        <w:t>Dedikasi : Community Service Report</w:t>
      </w:r>
      <w:r w:rsidR="00496994" w:rsidRPr="00E4792D">
        <w:rPr>
          <w:rFonts w:ascii="Arial" w:hAnsi="Arial" w:cs="Arial"/>
          <w:noProof/>
          <w:szCs w:val="24"/>
        </w:rPr>
        <w:t>, 4(1), 39–48.</w:t>
      </w:r>
      <w:r w:rsidR="00E4792D">
        <w:rPr>
          <w:rFonts w:ascii="Arial" w:hAnsi="Arial" w:cs="Arial"/>
          <w:noProof/>
          <w:szCs w:val="24"/>
        </w:rPr>
        <w:t xml:space="preserve"> </w:t>
      </w:r>
      <w:r w:rsidR="00E4792D" w:rsidRPr="00E4792D">
        <w:rPr>
          <w:rFonts w:ascii="Arial" w:hAnsi="Arial" w:cs="Arial"/>
          <w:noProof/>
          <w:szCs w:val="24"/>
        </w:rPr>
        <w:t>https://doi.org/10.20961/dedikasi.v4i1.55558</w:t>
      </w:r>
      <w:r w:rsidR="00E4792D">
        <w:rPr>
          <w:rFonts w:ascii="Arial" w:hAnsi="Arial" w:cs="Arial"/>
          <w:noProof/>
          <w:szCs w:val="24"/>
        </w:rPr>
        <w:t xml:space="preserve"> </w:t>
      </w:r>
    </w:p>
    <w:p w14:paraId="49B0497E" w14:textId="6882BBF3" w:rsidR="00496994"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Sumarni, N., &amp; Hidayat, A. H. (2005). </w:t>
      </w:r>
      <w:r w:rsidR="00004A75" w:rsidRPr="00E4792D">
        <w:rPr>
          <w:rFonts w:ascii="Arial" w:hAnsi="Arial" w:cs="Arial"/>
          <w:i/>
          <w:iCs/>
          <w:noProof/>
          <w:szCs w:val="24"/>
        </w:rPr>
        <w:t>Shallot</w:t>
      </w:r>
      <w:r w:rsidR="00496994" w:rsidRPr="00E4792D">
        <w:rPr>
          <w:rFonts w:ascii="Arial" w:hAnsi="Arial" w:cs="Arial"/>
          <w:i/>
          <w:iCs/>
          <w:noProof/>
          <w:szCs w:val="24"/>
        </w:rPr>
        <w:t xml:space="preserve"> Cultivation (3rd ed.). </w:t>
      </w:r>
      <w:r w:rsidR="00E64F3C" w:rsidRPr="00E4792D">
        <w:rPr>
          <w:rFonts w:ascii="Arial" w:hAnsi="Arial" w:cs="Arial"/>
          <w:noProof/>
          <w:szCs w:val="24"/>
        </w:rPr>
        <w:t>Balai Penelitian Tanaman Sayuran</w:t>
      </w:r>
      <w:r w:rsidR="00496994" w:rsidRPr="00E4792D">
        <w:rPr>
          <w:rFonts w:ascii="Arial" w:hAnsi="Arial" w:cs="Arial"/>
          <w:i/>
          <w:iCs/>
          <w:noProof/>
          <w:szCs w:val="24"/>
        </w:rPr>
        <w:t>.</w:t>
      </w:r>
      <w:r w:rsidR="00E4792D">
        <w:rPr>
          <w:rFonts w:ascii="Arial" w:hAnsi="Arial" w:cs="Arial"/>
          <w:i/>
          <w:iCs/>
          <w:noProof/>
          <w:szCs w:val="24"/>
        </w:rPr>
        <w:t xml:space="preserve"> </w:t>
      </w:r>
      <w:r w:rsidR="00E4792D" w:rsidRPr="00E4792D">
        <w:rPr>
          <w:rFonts w:ascii="Arial" w:hAnsi="Arial" w:cs="Arial"/>
          <w:i/>
          <w:iCs/>
          <w:noProof/>
          <w:szCs w:val="24"/>
        </w:rPr>
        <w:t>http://repository.pertanian.go.id/handle/123456789/10062</w:t>
      </w:r>
      <w:r w:rsidR="00E4792D">
        <w:rPr>
          <w:rFonts w:ascii="Arial" w:hAnsi="Arial" w:cs="Arial"/>
          <w:i/>
          <w:iCs/>
          <w:noProof/>
          <w:szCs w:val="24"/>
        </w:rPr>
        <w:t xml:space="preserve"> </w:t>
      </w:r>
    </w:p>
    <w:p w14:paraId="0B00403E" w14:textId="683CBC15" w:rsidR="00496994"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Supiyati, Sulistyo, B., &amp; Oktami, R. (2017). </w:t>
      </w:r>
      <w:r w:rsidR="00496994" w:rsidRPr="00E4792D">
        <w:rPr>
          <w:rFonts w:ascii="Arial" w:hAnsi="Arial" w:cs="Arial"/>
          <w:noProof/>
          <w:szCs w:val="24"/>
        </w:rPr>
        <w:t xml:space="preserve">Analysis of coastal line changes in Kaur Regency, Bengkulu Province, over a period of 10 years (2006-2016). </w:t>
      </w:r>
      <w:r w:rsidR="00314D53" w:rsidRPr="00E4792D">
        <w:rPr>
          <w:rFonts w:ascii="Arial" w:hAnsi="Arial" w:cs="Arial"/>
          <w:i/>
          <w:iCs/>
          <w:noProof/>
          <w:szCs w:val="24"/>
        </w:rPr>
        <w:t>E-JournalSNF</w:t>
      </w:r>
      <w:r w:rsidR="00496994" w:rsidRPr="00E4792D">
        <w:rPr>
          <w:rFonts w:ascii="Arial" w:hAnsi="Arial" w:cs="Arial"/>
          <w:noProof/>
          <w:szCs w:val="24"/>
        </w:rPr>
        <w:t>, VI, 139–146.</w:t>
      </w:r>
      <w:r w:rsidR="00E4792D">
        <w:rPr>
          <w:rFonts w:ascii="Arial" w:hAnsi="Arial" w:cs="Arial"/>
          <w:noProof/>
          <w:szCs w:val="24"/>
        </w:rPr>
        <w:t xml:space="preserve"> </w:t>
      </w:r>
      <w:r w:rsidR="00E4792D" w:rsidRPr="00E4792D">
        <w:rPr>
          <w:rFonts w:ascii="Arial" w:hAnsi="Arial" w:cs="Arial"/>
          <w:noProof/>
          <w:szCs w:val="24"/>
        </w:rPr>
        <w:t>https://doi.org/10.21009/03.SNF2017.02.EPA.20</w:t>
      </w:r>
      <w:r w:rsidR="00E4792D">
        <w:rPr>
          <w:rFonts w:ascii="Arial" w:hAnsi="Arial" w:cs="Arial"/>
          <w:noProof/>
          <w:szCs w:val="24"/>
        </w:rPr>
        <w:t xml:space="preserve"> </w:t>
      </w:r>
    </w:p>
    <w:p w14:paraId="23AD395B" w14:textId="1B1E5428"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Sutaryo, &amp; Yolandari, R. (2020). </w:t>
      </w:r>
      <w:r w:rsidR="00A7658E" w:rsidRPr="00E4792D">
        <w:rPr>
          <w:rFonts w:ascii="Arial" w:hAnsi="Arial" w:cs="Arial"/>
          <w:noProof/>
          <w:szCs w:val="24"/>
        </w:rPr>
        <w:t>Analysis of Tourism Object Development in Bengkulu City</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Ilmiah Plano Krisna</w:t>
      </w:r>
      <w:r w:rsidRPr="00E4792D">
        <w:rPr>
          <w:rFonts w:ascii="Arial" w:hAnsi="Arial" w:cs="Arial"/>
          <w:noProof/>
          <w:szCs w:val="24"/>
        </w:rPr>
        <w:t xml:space="preserve">, </w:t>
      </w:r>
      <w:r w:rsidRPr="00E4792D">
        <w:rPr>
          <w:rFonts w:ascii="Arial" w:hAnsi="Arial" w:cs="Arial"/>
          <w:i/>
          <w:iCs/>
          <w:noProof/>
          <w:szCs w:val="24"/>
        </w:rPr>
        <w:t>16</w:t>
      </w:r>
      <w:r w:rsidRPr="00E4792D">
        <w:rPr>
          <w:rFonts w:ascii="Arial" w:hAnsi="Arial" w:cs="Arial"/>
          <w:noProof/>
          <w:szCs w:val="24"/>
        </w:rPr>
        <w:t>(2), 151–161.</w:t>
      </w:r>
      <w:r w:rsidR="00E4792D">
        <w:rPr>
          <w:rFonts w:ascii="Arial" w:hAnsi="Arial" w:cs="Arial"/>
          <w:noProof/>
          <w:szCs w:val="24"/>
        </w:rPr>
        <w:t xml:space="preserve"> </w:t>
      </w:r>
      <w:r w:rsidR="00E4792D" w:rsidRPr="00E4792D">
        <w:rPr>
          <w:rFonts w:ascii="Arial" w:hAnsi="Arial" w:cs="Arial"/>
          <w:noProof/>
          <w:szCs w:val="24"/>
        </w:rPr>
        <w:t>https://doi.org/10.61488/planokrisna.v16i2</w:t>
      </w:r>
      <w:r w:rsidR="00E4792D">
        <w:rPr>
          <w:rFonts w:ascii="Arial" w:hAnsi="Arial" w:cs="Arial"/>
          <w:noProof/>
          <w:szCs w:val="24"/>
        </w:rPr>
        <w:t xml:space="preserve"> </w:t>
      </w:r>
    </w:p>
    <w:p w14:paraId="477E1FB1" w14:textId="494C4080" w:rsidR="00A7658E"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Suyanto, A., Sri, R., Sutikarini, &amp; Suryani. (2023). E</w:t>
      </w:r>
      <w:r w:rsidR="00A7658E" w:rsidRPr="00A7658E">
        <w:t xml:space="preserve"> </w:t>
      </w:r>
      <w:r w:rsidR="00A7658E" w:rsidRPr="00E4792D">
        <w:rPr>
          <w:rFonts w:ascii="Arial" w:hAnsi="Arial" w:cs="Arial"/>
          <w:noProof/>
          <w:szCs w:val="24"/>
        </w:rPr>
        <w:t>Effectiveness of Organic Soil Conditioners in Improving Rice Plant Growth and Yield (</w:t>
      </w:r>
      <w:r w:rsidR="00A7658E" w:rsidRPr="00E4792D">
        <w:rPr>
          <w:rFonts w:ascii="Arial" w:hAnsi="Arial" w:cs="Arial"/>
          <w:i/>
          <w:noProof/>
          <w:szCs w:val="24"/>
        </w:rPr>
        <w:t>Oryza sativa</w:t>
      </w:r>
      <w:r w:rsidR="00A7658E" w:rsidRPr="00E4792D">
        <w:rPr>
          <w:rFonts w:ascii="Arial" w:hAnsi="Arial" w:cs="Arial"/>
          <w:noProof/>
          <w:szCs w:val="24"/>
        </w:rPr>
        <w:t xml:space="preserve"> L.) in Acidic Sulfate Soil. Pangan, 32, 95–102.</w:t>
      </w:r>
      <w:r w:rsidR="00E4792D">
        <w:rPr>
          <w:rFonts w:ascii="Arial" w:hAnsi="Arial" w:cs="Arial"/>
          <w:noProof/>
          <w:szCs w:val="24"/>
        </w:rPr>
        <w:t xml:space="preserve"> </w:t>
      </w:r>
      <w:r w:rsidR="00E4792D" w:rsidRPr="00E4792D">
        <w:rPr>
          <w:rFonts w:ascii="Arial" w:hAnsi="Arial" w:cs="Arial"/>
          <w:noProof/>
          <w:szCs w:val="24"/>
        </w:rPr>
        <w:t>https://doi.org/10.33964/jp.v32i2.695</w:t>
      </w:r>
      <w:r w:rsidR="00E4792D">
        <w:rPr>
          <w:rFonts w:ascii="Arial" w:hAnsi="Arial" w:cs="Arial"/>
          <w:noProof/>
          <w:szCs w:val="24"/>
        </w:rPr>
        <w:t xml:space="preserve"> </w:t>
      </w:r>
    </w:p>
    <w:p w14:paraId="4C9295A7" w14:textId="24B0A399" w:rsidR="00A7658E"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Thamrin, M., Asikin, S., &amp; Wilis, M. (2013). </w:t>
      </w:r>
      <w:r w:rsidR="00A7658E" w:rsidRPr="00E4792D">
        <w:rPr>
          <w:rFonts w:ascii="Arial" w:hAnsi="Arial" w:cs="Arial"/>
          <w:noProof/>
          <w:szCs w:val="24"/>
        </w:rPr>
        <w:t xml:space="preserve">Kirinyu </w:t>
      </w:r>
      <w:r w:rsidR="00A7658E" w:rsidRPr="00E4792D">
        <w:rPr>
          <w:rFonts w:ascii="Arial" w:hAnsi="Arial" w:cs="Arial"/>
          <w:i/>
          <w:noProof/>
          <w:szCs w:val="24"/>
        </w:rPr>
        <w:t>Chromolaena Odorata</w:t>
      </w:r>
      <w:r w:rsidR="00A7658E" w:rsidRPr="00E4792D">
        <w:rPr>
          <w:rFonts w:ascii="Arial" w:hAnsi="Arial" w:cs="Arial"/>
          <w:noProof/>
          <w:szCs w:val="24"/>
        </w:rPr>
        <w:t xml:space="preserve"> (L) (</w:t>
      </w:r>
      <w:r w:rsidR="00A7658E" w:rsidRPr="00E4792D">
        <w:rPr>
          <w:rFonts w:ascii="Arial" w:hAnsi="Arial" w:cs="Arial"/>
          <w:i/>
          <w:noProof/>
          <w:szCs w:val="24"/>
        </w:rPr>
        <w:t>Asteraceae: Asterales</w:t>
      </w:r>
      <w:r w:rsidR="00A7658E" w:rsidRPr="00E4792D">
        <w:rPr>
          <w:rFonts w:ascii="Arial" w:hAnsi="Arial" w:cs="Arial"/>
          <w:noProof/>
          <w:szCs w:val="24"/>
        </w:rPr>
        <w:t xml:space="preserve">) as a Natural Insecticide to Control Spodoptera Litura Caterpillars. </w:t>
      </w:r>
      <w:r w:rsidR="00A7658E" w:rsidRPr="00E4792D">
        <w:rPr>
          <w:rFonts w:ascii="Arial" w:hAnsi="Arial" w:cs="Arial"/>
          <w:i/>
          <w:noProof/>
          <w:szCs w:val="24"/>
        </w:rPr>
        <w:t>Jurnal Penelitian dan Pengembangan Pertanian</w:t>
      </w:r>
      <w:r w:rsidR="00A7658E" w:rsidRPr="00E4792D">
        <w:rPr>
          <w:rFonts w:ascii="Arial" w:hAnsi="Arial" w:cs="Arial"/>
          <w:noProof/>
          <w:szCs w:val="24"/>
        </w:rPr>
        <w:t>, 32(2), 112–121.</w:t>
      </w:r>
      <w:r w:rsidR="00E4792D">
        <w:rPr>
          <w:rFonts w:ascii="Arial" w:hAnsi="Arial" w:cs="Arial"/>
          <w:noProof/>
          <w:szCs w:val="24"/>
        </w:rPr>
        <w:t xml:space="preserve"> </w:t>
      </w:r>
      <w:r w:rsidR="00E4792D" w:rsidRPr="00E4792D">
        <w:rPr>
          <w:rFonts w:ascii="Arial" w:hAnsi="Arial" w:cs="Arial"/>
          <w:noProof/>
          <w:szCs w:val="24"/>
        </w:rPr>
        <w:t>https://www.neliti.com/publications/10700/tumbuhan-kirinyu-chromolaena-odorata-l-asteraceae-asterales-sebagai-insektisida-n</w:t>
      </w:r>
      <w:r w:rsidR="00E4792D">
        <w:rPr>
          <w:rFonts w:ascii="Arial" w:hAnsi="Arial" w:cs="Arial"/>
          <w:noProof/>
          <w:szCs w:val="24"/>
        </w:rPr>
        <w:t xml:space="preserve"> </w:t>
      </w:r>
    </w:p>
    <w:p w14:paraId="2E840508"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Wijayanti, E., Nawangsih, A. A., &amp; Tondok, E. T. (2024). </w:t>
      </w:r>
      <w:r w:rsidR="00A7658E" w:rsidRPr="00E4792D">
        <w:rPr>
          <w:rFonts w:ascii="Arial" w:hAnsi="Arial" w:cs="Arial"/>
          <w:noProof/>
          <w:szCs w:val="24"/>
        </w:rPr>
        <w:t xml:space="preserve">Streptomyces spp. as Biological Control of Fusarium Rot in </w:t>
      </w:r>
      <w:r w:rsidR="00004A75" w:rsidRPr="00E4792D">
        <w:rPr>
          <w:rFonts w:ascii="Arial" w:hAnsi="Arial" w:cs="Arial"/>
          <w:noProof/>
          <w:szCs w:val="24"/>
        </w:rPr>
        <w:t>Shallot</w:t>
      </w:r>
      <w:r w:rsidR="00A7658E" w:rsidRPr="00E4792D">
        <w:rPr>
          <w:rFonts w:ascii="Arial" w:hAnsi="Arial" w:cs="Arial"/>
          <w:noProof/>
          <w:szCs w:val="24"/>
        </w:rPr>
        <w:t xml:space="preserve">s. </w:t>
      </w:r>
      <w:r w:rsidR="00A7658E" w:rsidRPr="00E4792D">
        <w:rPr>
          <w:rFonts w:ascii="Arial" w:hAnsi="Arial" w:cs="Arial"/>
          <w:i/>
          <w:noProof/>
          <w:szCs w:val="24"/>
        </w:rPr>
        <w:t>Jurnal Fitosanitasi Indonesia</w:t>
      </w:r>
      <w:r w:rsidRPr="00E4792D">
        <w:rPr>
          <w:rFonts w:ascii="Arial" w:hAnsi="Arial" w:cs="Arial"/>
          <w:noProof/>
          <w:szCs w:val="24"/>
        </w:rPr>
        <w:t xml:space="preserve">, </w:t>
      </w:r>
      <w:r w:rsidRPr="00E4792D">
        <w:rPr>
          <w:rFonts w:ascii="Arial" w:hAnsi="Arial" w:cs="Arial"/>
          <w:i/>
          <w:iCs/>
          <w:noProof/>
          <w:szCs w:val="24"/>
        </w:rPr>
        <w:t>20</w:t>
      </w:r>
      <w:r w:rsidRPr="00E4792D">
        <w:rPr>
          <w:rFonts w:ascii="Arial" w:hAnsi="Arial" w:cs="Arial"/>
          <w:noProof/>
          <w:szCs w:val="24"/>
        </w:rPr>
        <w:t xml:space="preserve">, 57–65. </w:t>
      </w:r>
      <w:hyperlink r:id="rId36" w:history="1">
        <w:r w:rsidR="00EC141A" w:rsidRPr="00E4792D">
          <w:rPr>
            <w:rStyle w:val="Hyperlink"/>
            <w:rFonts w:ascii="Arial" w:hAnsi="Arial" w:cs="Arial"/>
            <w:noProof/>
            <w:szCs w:val="24"/>
          </w:rPr>
          <w:t>https://doi.org/10.14692/jfi.20.2.57</w:t>
        </w:r>
      </w:hyperlink>
    </w:p>
    <w:p w14:paraId="19C1C3D3" w14:textId="11A2F9C2" w:rsidR="00A7658E" w:rsidRPr="00E4792D" w:rsidRDefault="000A08A7" w:rsidP="00E4792D">
      <w:pPr>
        <w:pStyle w:val="ListParagraph"/>
        <w:widowControl w:val="0"/>
        <w:numPr>
          <w:ilvl w:val="0"/>
          <w:numId w:val="40"/>
        </w:numPr>
        <w:autoSpaceDE w:val="0"/>
        <w:autoSpaceDN w:val="0"/>
        <w:adjustRightInd w:val="0"/>
        <w:jc w:val="both"/>
        <w:rPr>
          <w:rFonts w:ascii="Arial" w:hAnsi="Arial" w:cs="Arial"/>
          <w:i/>
          <w:iCs/>
          <w:noProof/>
          <w:szCs w:val="24"/>
        </w:rPr>
      </w:pPr>
      <w:r w:rsidRPr="00E4792D">
        <w:rPr>
          <w:rFonts w:ascii="Arial" w:hAnsi="Arial" w:cs="Arial"/>
          <w:noProof/>
          <w:szCs w:val="24"/>
        </w:rPr>
        <w:t xml:space="preserve">Wulandari, R. (2023). </w:t>
      </w:r>
      <w:r w:rsidR="00A7658E" w:rsidRPr="00E4792D">
        <w:rPr>
          <w:rFonts w:ascii="Arial" w:hAnsi="Arial" w:cs="Arial"/>
          <w:i/>
          <w:iCs/>
          <w:noProof/>
          <w:szCs w:val="24"/>
        </w:rPr>
        <w:t xml:space="preserve">Growth and Yield of Three Varieties of Shallots in Sand Media Composition. </w:t>
      </w:r>
      <w:r w:rsidR="00A7658E" w:rsidRPr="00E4792D">
        <w:rPr>
          <w:rFonts w:ascii="Arial" w:hAnsi="Arial" w:cs="Arial"/>
          <w:iCs/>
          <w:noProof/>
          <w:szCs w:val="24"/>
        </w:rPr>
        <w:t>Bengkulu University</w:t>
      </w:r>
      <w:r w:rsidR="00A7658E" w:rsidRPr="00E4792D">
        <w:rPr>
          <w:rFonts w:ascii="Arial" w:hAnsi="Arial" w:cs="Arial"/>
          <w:i/>
          <w:iCs/>
          <w:noProof/>
          <w:szCs w:val="24"/>
        </w:rPr>
        <w:t>.</w:t>
      </w:r>
      <w:r w:rsidR="00E4792D">
        <w:rPr>
          <w:rFonts w:ascii="Arial" w:hAnsi="Arial" w:cs="Arial"/>
          <w:i/>
          <w:iCs/>
          <w:noProof/>
          <w:szCs w:val="24"/>
        </w:rPr>
        <w:t xml:space="preserve"> </w:t>
      </w:r>
      <w:r w:rsidR="00E4792D" w:rsidRPr="00E4792D">
        <w:rPr>
          <w:rFonts w:ascii="Arial" w:hAnsi="Arial" w:cs="Arial"/>
          <w:i/>
          <w:iCs/>
          <w:noProof/>
          <w:szCs w:val="24"/>
        </w:rPr>
        <w:t>https://doi.org/10.14692/jfi.20.2.57-65</w:t>
      </w:r>
      <w:r w:rsidR="00E4792D">
        <w:rPr>
          <w:rFonts w:ascii="Arial" w:hAnsi="Arial" w:cs="Arial"/>
          <w:i/>
          <w:iCs/>
          <w:noProof/>
          <w:szCs w:val="24"/>
        </w:rPr>
        <w:t xml:space="preserve"> </w:t>
      </w:r>
    </w:p>
    <w:p w14:paraId="398226CE"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Yuwono, N. W. (2009). </w:t>
      </w:r>
      <w:r w:rsidR="00A7658E" w:rsidRPr="00E4792D">
        <w:rPr>
          <w:rFonts w:ascii="Arial" w:hAnsi="Arial" w:cs="Arial"/>
          <w:noProof/>
          <w:szCs w:val="24"/>
        </w:rPr>
        <w:t xml:space="preserve">Building soil fertility in marginal lands. </w:t>
      </w:r>
      <w:r w:rsidR="00A7658E" w:rsidRPr="00E4792D">
        <w:rPr>
          <w:rFonts w:ascii="Arial" w:hAnsi="Arial" w:cs="Arial"/>
          <w:i/>
          <w:noProof/>
          <w:szCs w:val="24"/>
        </w:rPr>
        <w:t>Jurnal Ilmu Tanah dan Lingkungan</w:t>
      </w:r>
      <w:r w:rsidR="00A7658E" w:rsidRPr="00E4792D">
        <w:rPr>
          <w:rFonts w:ascii="Arial" w:hAnsi="Arial" w:cs="Arial"/>
          <w:noProof/>
          <w:szCs w:val="24"/>
        </w:rPr>
        <w:t>,</w:t>
      </w:r>
      <w:r w:rsidRPr="00E4792D">
        <w:rPr>
          <w:rFonts w:ascii="Arial" w:hAnsi="Arial" w:cs="Arial"/>
          <w:noProof/>
          <w:szCs w:val="24"/>
        </w:rPr>
        <w:t xml:space="preserve"> </w:t>
      </w:r>
      <w:r w:rsidRPr="00E4792D">
        <w:rPr>
          <w:rFonts w:ascii="Arial" w:hAnsi="Arial" w:cs="Arial"/>
          <w:i/>
          <w:iCs/>
          <w:noProof/>
          <w:szCs w:val="24"/>
        </w:rPr>
        <w:t>9</w:t>
      </w:r>
      <w:r w:rsidRPr="00E4792D">
        <w:rPr>
          <w:rFonts w:ascii="Arial" w:hAnsi="Arial" w:cs="Arial"/>
          <w:noProof/>
          <w:szCs w:val="24"/>
        </w:rPr>
        <w:t>(2), 137–141.</w:t>
      </w:r>
    </w:p>
    <w:p w14:paraId="51178CAB"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rPr>
      </w:pPr>
      <w:r w:rsidRPr="00E4792D">
        <w:rPr>
          <w:rFonts w:ascii="Arial" w:hAnsi="Arial" w:cs="Arial"/>
          <w:noProof/>
          <w:szCs w:val="24"/>
        </w:rPr>
        <w:t>Zakaria, A., Aditiawati, P., &amp; Rosmiati, M. (2017).</w:t>
      </w:r>
      <w:r w:rsidR="00A7658E" w:rsidRPr="00E4792D">
        <w:rPr>
          <w:rFonts w:ascii="Arial" w:hAnsi="Arial" w:cs="Arial"/>
          <w:noProof/>
          <w:szCs w:val="24"/>
        </w:rPr>
        <w:t xml:space="preserve"> Strategies for developing Arabica coffee farming (case study of coffee farmers in Suntenjayakecamatan village, Lembang subdistrict, West Bandung regency, West Java province).</w:t>
      </w:r>
      <w:r w:rsidRPr="00E4792D">
        <w:rPr>
          <w:rFonts w:ascii="Arial" w:hAnsi="Arial" w:cs="Arial"/>
          <w:noProof/>
          <w:szCs w:val="24"/>
        </w:rPr>
        <w:t xml:space="preserve"> </w:t>
      </w:r>
      <w:r w:rsidR="001F0431" w:rsidRPr="00E4792D">
        <w:rPr>
          <w:rFonts w:ascii="Arial" w:hAnsi="Arial" w:cs="Arial"/>
          <w:i/>
          <w:iCs/>
          <w:noProof/>
          <w:szCs w:val="24"/>
        </w:rPr>
        <w:t xml:space="preserve">Jurnal </w:t>
      </w:r>
      <w:r w:rsidRPr="00E4792D">
        <w:rPr>
          <w:rFonts w:ascii="Arial" w:hAnsi="Arial" w:cs="Arial"/>
          <w:i/>
          <w:iCs/>
          <w:noProof/>
          <w:szCs w:val="24"/>
        </w:rPr>
        <w:t>Sosioteknologi</w:t>
      </w:r>
      <w:r w:rsidRPr="00E4792D">
        <w:rPr>
          <w:rFonts w:ascii="Arial" w:hAnsi="Arial" w:cs="Arial"/>
          <w:noProof/>
          <w:szCs w:val="24"/>
        </w:rPr>
        <w:t xml:space="preserve">, </w:t>
      </w:r>
      <w:r w:rsidRPr="00E4792D">
        <w:rPr>
          <w:rFonts w:ascii="Arial" w:hAnsi="Arial" w:cs="Arial"/>
          <w:i/>
          <w:iCs/>
          <w:noProof/>
          <w:szCs w:val="24"/>
        </w:rPr>
        <w:t>16</w:t>
      </w:r>
      <w:r w:rsidRPr="00E4792D">
        <w:rPr>
          <w:rFonts w:ascii="Arial" w:hAnsi="Arial" w:cs="Arial"/>
          <w:noProof/>
          <w:szCs w:val="24"/>
        </w:rPr>
        <w:t xml:space="preserve">. </w:t>
      </w:r>
      <w:hyperlink r:id="rId37" w:history="1">
        <w:r w:rsidR="00EC141A" w:rsidRPr="00E4792D">
          <w:rPr>
            <w:rStyle w:val="Hyperlink"/>
            <w:rFonts w:ascii="Arial" w:hAnsi="Arial" w:cs="Arial"/>
            <w:noProof/>
            <w:szCs w:val="24"/>
          </w:rPr>
          <w:t>https://doi.org/10.5614/sostek.itbj.2017.16.3.7</w:t>
        </w:r>
      </w:hyperlink>
    </w:p>
    <w:p w14:paraId="0F7C622D" w14:textId="77777777" w:rsidR="0051314C" w:rsidRPr="00AF65AE" w:rsidRDefault="00FC37EC" w:rsidP="00ED30F2">
      <w:pPr>
        <w:widowControl w:val="0"/>
        <w:autoSpaceDE w:val="0"/>
        <w:autoSpaceDN w:val="0"/>
        <w:adjustRightInd w:val="0"/>
        <w:ind w:left="480" w:hanging="480"/>
        <w:jc w:val="both"/>
        <w:rPr>
          <w:rFonts w:ascii="Arial" w:hAnsi="Arial" w:cs="Arial"/>
          <w:sz w:val="22"/>
          <w:szCs w:val="28"/>
        </w:rPr>
        <w:sectPr w:rsidR="0051314C" w:rsidRPr="00AF65AE" w:rsidSect="00F76215">
          <w:headerReference w:type="even" r:id="rId38"/>
          <w:headerReference w:type="default" r:id="rId39"/>
          <w:footerReference w:type="default" r:id="rId40"/>
          <w:headerReference w:type="first" r:id="rId41"/>
          <w:type w:val="continuous"/>
          <w:pgSz w:w="12240" w:h="15840"/>
          <w:pgMar w:top="1440" w:right="2019" w:bottom="2019" w:left="2019" w:header="720" w:footer="1123" w:gutter="0"/>
          <w:cols w:space="720"/>
          <w:docGrid w:linePitch="272"/>
        </w:sectPr>
      </w:pPr>
      <w:r>
        <w:rPr>
          <w:rFonts w:ascii="Arial" w:hAnsi="Arial" w:cs="Arial"/>
          <w:sz w:val="22"/>
          <w:szCs w:val="28"/>
          <w:lang w:val="id-ID"/>
        </w:rPr>
        <w:fldChar w:fldCharType="end"/>
      </w:r>
    </w:p>
    <w:p w14:paraId="31CF1AF6" w14:textId="77777777" w:rsidR="00B01FCD" w:rsidRPr="00FB3A86" w:rsidRDefault="00B01FCD" w:rsidP="00AF65AE">
      <w:pPr>
        <w:pStyle w:val="Appendix"/>
        <w:spacing w:after="0"/>
        <w:jc w:val="right"/>
        <w:rPr>
          <w:rFonts w:ascii="Arial" w:hAnsi="Arial" w:cs="Arial"/>
          <w:b w:val="0"/>
        </w:rPr>
      </w:pPr>
    </w:p>
    <w:sectPr w:rsidR="00B01FCD" w:rsidRPr="00FB3A86" w:rsidSect="00F76215">
      <w:type w:val="continuous"/>
      <w:pgSz w:w="12240" w:h="15840"/>
      <w:pgMar w:top="1440" w:right="2019" w:bottom="2019" w:left="2019"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viewer" w:date="2025-12-31T06:22:00Z" w:initials="WU">
    <w:p w14:paraId="4C618788" w14:textId="77777777" w:rsidR="00EE0E44" w:rsidRDefault="00EE0E44" w:rsidP="00EE0E44">
      <w:pPr>
        <w:pStyle w:val="CommentText"/>
      </w:pPr>
      <w:r>
        <w:rPr>
          <w:rStyle w:val="CommentReference"/>
        </w:rPr>
        <w:annotationRef/>
      </w:r>
      <w:r>
        <w:rPr>
          <w:lang w:val="en-MY"/>
        </w:rPr>
        <w:t>Consider to revise the Title to:</w:t>
      </w:r>
      <w:r>
        <w:rPr>
          <w:lang w:val="en-MY"/>
        </w:rPr>
        <w:br/>
      </w:r>
      <w:r>
        <w:rPr>
          <w:color w:val="000000"/>
        </w:rPr>
        <w:t>Growth Response and Yield of Shallots (</w:t>
      </w:r>
      <w:r>
        <w:rPr>
          <w:i/>
          <w:iCs/>
          <w:color w:val="000000"/>
        </w:rPr>
        <w:t>Allium cepa</w:t>
      </w:r>
      <w:r>
        <w:rPr>
          <w:color w:val="000000"/>
        </w:rPr>
        <w:t xml:space="preserve"> .L) on Sandy Soil Using Different Composition of Weed Conditioners and Chicken Manure </w:t>
      </w:r>
    </w:p>
    <w:p w14:paraId="54993B3B" w14:textId="77777777" w:rsidR="00EE0E44" w:rsidRDefault="00EE0E44" w:rsidP="00EE0E44">
      <w:pPr>
        <w:pStyle w:val="CommentText"/>
      </w:pPr>
    </w:p>
    <w:p w14:paraId="195F9BF7" w14:textId="77777777" w:rsidR="00EE0E44" w:rsidRDefault="00EE0E44" w:rsidP="00EE0E44">
      <w:pPr>
        <w:pStyle w:val="CommentText"/>
      </w:pPr>
      <w:r>
        <w:rPr>
          <w:color w:val="000000"/>
        </w:rPr>
        <w:t>The use of using several soil conditions seem to be too general</w:t>
      </w:r>
    </w:p>
  </w:comment>
  <w:comment w:id="1" w:author="Reviewer" w:date="2025-12-31T04:32:00Z" w:initials="WU">
    <w:p w14:paraId="2E0DB5DA" w14:textId="3C9B6969" w:rsidR="0069309B" w:rsidRDefault="0069309B" w:rsidP="0069309B">
      <w:pPr>
        <w:pStyle w:val="CommentText"/>
      </w:pPr>
      <w:r>
        <w:rPr>
          <w:rStyle w:val="CommentReference"/>
        </w:rPr>
        <w:annotationRef/>
      </w:r>
      <w:r>
        <w:rPr>
          <w:lang w:val="en-MY"/>
        </w:rPr>
        <w:t>and</w:t>
      </w:r>
    </w:p>
  </w:comment>
  <w:comment w:id="2" w:author="Reviewer" w:date="2025-12-31T04:32:00Z" w:initials="WU">
    <w:p w14:paraId="59A91995" w14:textId="77777777" w:rsidR="0069309B" w:rsidRDefault="0069309B" w:rsidP="0069309B">
      <w:pPr>
        <w:pStyle w:val="CommentText"/>
      </w:pPr>
      <w:r>
        <w:rPr>
          <w:rStyle w:val="CommentReference"/>
        </w:rPr>
        <w:annotationRef/>
      </w:r>
      <w:r>
        <w:rPr>
          <w:lang w:val="en-MY"/>
        </w:rPr>
        <w:t>and</w:t>
      </w:r>
    </w:p>
  </w:comment>
  <w:comment w:id="3" w:author="Reviewer" w:date="2025-12-31T04:34:00Z" w:initials="WU">
    <w:p w14:paraId="31258314" w14:textId="77777777" w:rsidR="0069309B" w:rsidRDefault="0069309B" w:rsidP="0069309B">
      <w:pPr>
        <w:pStyle w:val="CommentText"/>
      </w:pPr>
      <w:r>
        <w:rPr>
          <w:rStyle w:val="CommentReference"/>
        </w:rPr>
        <w:annotationRef/>
      </w:r>
      <w:r>
        <w:rPr>
          <w:lang w:val="en-MY"/>
        </w:rPr>
        <w:t>Nugroho (2013) proved that a mixture of...</w:t>
      </w:r>
    </w:p>
  </w:comment>
  <w:comment w:id="4" w:author="Reviewer" w:date="2025-12-31T04:34:00Z" w:initials="WU">
    <w:p w14:paraId="2DC0FA4F" w14:textId="77777777" w:rsidR="0069309B" w:rsidRDefault="0069309B" w:rsidP="0069309B">
      <w:pPr>
        <w:pStyle w:val="CommentText"/>
      </w:pPr>
      <w:r>
        <w:rPr>
          <w:rStyle w:val="CommentReference"/>
        </w:rPr>
        <w:annotationRef/>
      </w:r>
      <w:r>
        <w:rPr>
          <w:lang w:val="en-MY"/>
        </w:rPr>
        <w:t>and</w:t>
      </w:r>
    </w:p>
  </w:comment>
  <w:comment w:id="5" w:author="Reviewer" w:date="2025-12-31T04:35:00Z" w:initials="WU">
    <w:p w14:paraId="47FC49EE" w14:textId="77777777" w:rsidR="0069309B" w:rsidRDefault="0069309B" w:rsidP="0069309B">
      <w:pPr>
        <w:pStyle w:val="CommentText"/>
      </w:pPr>
      <w:r>
        <w:rPr>
          <w:rStyle w:val="CommentReference"/>
        </w:rPr>
        <w:annotationRef/>
      </w:r>
      <w:r>
        <w:rPr>
          <w:lang w:val="en-MY"/>
        </w:rPr>
        <w:t>Remove full stop</w:t>
      </w:r>
    </w:p>
  </w:comment>
  <w:comment w:id="6" w:author="Reviewer" w:date="2025-12-31T04:40:00Z" w:initials="WU">
    <w:p w14:paraId="6FA8B0D7" w14:textId="77777777" w:rsidR="0069309B" w:rsidRDefault="0069309B" w:rsidP="0069309B">
      <w:pPr>
        <w:pStyle w:val="CommentText"/>
      </w:pPr>
      <w:r>
        <w:rPr>
          <w:rStyle w:val="CommentReference"/>
        </w:rPr>
        <w:annotationRef/>
      </w:r>
      <w:r>
        <w:rPr>
          <w:lang w:val="en-MY"/>
        </w:rPr>
        <w:t>Consider to remove.</w:t>
      </w:r>
    </w:p>
  </w:comment>
  <w:comment w:id="7" w:author="Reviewer" w:date="2025-12-31T04:42:00Z" w:initials="WU">
    <w:p w14:paraId="0C1D8ACE" w14:textId="77777777" w:rsidR="00445E18" w:rsidRDefault="00445E18" w:rsidP="00445E18">
      <w:pPr>
        <w:pStyle w:val="CommentText"/>
      </w:pPr>
      <w:r>
        <w:rPr>
          <w:rStyle w:val="CommentReference"/>
        </w:rPr>
        <w:annotationRef/>
      </w:r>
      <w:r>
        <w:t xml:space="preserve">Based on the study of Wulandari (2023), the best dry bulb weight was obtained by the Super Philip variety with a medium composition treatment of (76%) sandy soil + (13%) ultisol soil + (11%) weed compost, which was 65.72 g, equivalent to 25.8 tons/ha. </w:t>
      </w:r>
    </w:p>
  </w:comment>
  <w:comment w:id="8" w:author="Reviewer" w:date="2025-12-31T04:46:00Z" w:initials="WU">
    <w:p w14:paraId="1E87C6F4" w14:textId="77777777" w:rsidR="002F1CC3" w:rsidRDefault="00445E18" w:rsidP="002F1CC3">
      <w:pPr>
        <w:pStyle w:val="CommentText"/>
      </w:pPr>
      <w:r>
        <w:rPr>
          <w:rStyle w:val="CommentReference"/>
        </w:rPr>
        <w:annotationRef/>
      </w:r>
      <w:r w:rsidR="002F1CC3">
        <w:rPr>
          <w:lang w:val="en-MY"/>
        </w:rPr>
        <w:t>Was repeated</w:t>
      </w:r>
    </w:p>
  </w:comment>
  <w:comment w:id="9" w:author="Reviewer" w:date="2025-12-31T04:51:00Z" w:initials="WU">
    <w:p w14:paraId="73299CBB" w14:textId="77777777" w:rsidR="002F1CC3" w:rsidRDefault="002F1CC3" w:rsidP="002F1CC3">
      <w:pPr>
        <w:pStyle w:val="CommentText"/>
      </w:pPr>
      <w:r>
        <w:rPr>
          <w:rStyle w:val="CommentReference"/>
        </w:rPr>
        <w:annotationRef/>
      </w:r>
      <w:r>
        <w:t xml:space="preserve">Each plot contained 25 plants. </w:t>
      </w:r>
    </w:p>
  </w:comment>
  <w:comment w:id="10" w:author="Reviewer" w:date="2025-12-31T04:51:00Z" w:initials="WU">
    <w:p w14:paraId="11E6C78F" w14:textId="77777777" w:rsidR="002F1CC3" w:rsidRDefault="002F1CC3" w:rsidP="002F1CC3">
      <w:pPr>
        <w:pStyle w:val="CommentText"/>
      </w:pPr>
      <w:r>
        <w:rPr>
          <w:rStyle w:val="CommentReference"/>
        </w:rPr>
        <w:annotationRef/>
      </w:r>
      <w:r>
        <w:t>For data collection, 20% of the plants per plot were sampled (n = 5 plants per plot).</w:t>
      </w:r>
    </w:p>
  </w:comment>
  <w:comment w:id="11" w:author="Reviewer" w:date="2025-12-31T04:59:00Z" w:initials="WU">
    <w:p w14:paraId="1409F2DF" w14:textId="77777777" w:rsidR="001D600D" w:rsidRDefault="001D600D" w:rsidP="001D600D">
      <w:pPr>
        <w:pStyle w:val="CommentText"/>
      </w:pPr>
      <w:r>
        <w:rPr>
          <w:rStyle w:val="CommentReference"/>
        </w:rPr>
        <w:annotationRef/>
      </w:r>
      <w:r>
        <w:rPr>
          <w:lang w:val="en-MY"/>
        </w:rPr>
        <w:t>Repetition information with the section 2.2.1</w:t>
      </w:r>
      <w:r>
        <w:rPr>
          <w:lang w:val="en-MY"/>
        </w:rPr>
        <w:br/>
      </w:r>
      <w:r>
        <w:rPr>
          <w:lang w:val="en-MY"/>
        </w:rPr>
        <w:br/>
        <w:t>Consider to remove this information on 2.2.1 and maintain the information in section 2.2.3</w:t>
      </w:r>
    </w:p>
  </w:comment>
  <w:comment w:id="12" w:author="Reviewer" w:date="2025-12-31T05:02:00Z" w:initials="WU">
    <w:p w14:paraId="6C1F4A69" w14:textId="77777777" w:rsidR="003D6C63" w:rsidRDefault="003D6C63" w:rsidP="003D6C63">
      <w:pPr>
        <w:pStyle w:val="CommentText"/>
      </w:pPr>
      <w:r>
        <w:rPr>
          <w:rStyle w:val="CommentReference"/>
        </w:rPr>
        <w:annotationRef/>
      </w:r>
      <w:r>
        <w:rPr>
          <w:color w:val="000000"/>
        </w:rPr>
        <w:t>Watering is done every morning and evening by supplying 200 ml of water per plant.</w:t>
      </w:r>
    </w:p>
  </w:comment>
  <w:comment w:id="13" w:author="Reviewer" w:date="2025-12-31T05:06:00Z" w:initials="WU">
    <w:p w14:paraId="5F4CDC61" w14:textId="77777777" w:rsidR="003D6C63" w:rsidRDefault="003D6C63" w:rsidP="003D6C63">
      <w:pPr>
        <w:pStyle w:val="CommentText"/>
      </w:pPr>
      <w:r>
        <w:rPr>
          <w:rStyle w:val="CommentReference"/>
        </w:rPr>
        <w:annotationRef/>
      </w:r>
      <w:r>
        <w:rPr>
          <w:lang w:val="en-MY"/>
        </w:rPr>
        <w:t>Stand for? Should mention in full at the first time, with (WAP). Then, can use acronym WAP for the next mention.</w:t>
      </w:r>
    </w:p>
  </w:comment>
  <w:comment w:id="14" w:author="Reviewer" w:date="2025-12-31T05:11:00Z" w:initials="WU">
    <w:p w14:paraId="7EA8646F" w14:textId="1EC837CC" w:rsidR="003D6C63" w:rsidRDefault="003D6C63" w:rsidP="003D6C63">
      <w:pPr>
        <w:pStyle w:val="CommentText"/>
      </w:pPr>
      <w:r>
        <w:rPr>
          <w:rStyle w:val="CommentReference"/>
        </w:rPr>
        <w:annotationRef/>
      </w:r>
      <w:r>
        <w:rPr>
          <w:lang w:val="en-MY"/>
        </w:rPr>
        <w:t>Move this section to the section 2.2.5 and add explanation relating to the formula used.</w:t>
      </w:r>
    </w:p>
  </w:comment>
  <w:comment w:id="15" w:author="Reviewer" w:date="2025-12-31T05:19:00Z" w:initials="WU">
    <w:p w14:paraId="3445E75D" w14:textId="77777777" w:rsidR="0035221E" w:rsidRDefault="0035221E" w:rsidP="0035221E">
      <w:pPr>
        <w:pStyle w:val="CommentText"/>
      </w:pPr>
      <w:r>
        <w:rPr>
          <w:rStyle w:val="CommentReference"/>
        </w:rPr>
        <w:annotationRef/>
      </w:r>
      <w:r>
        <w:rPr>
          <w:lang w:val="en-MY"/>
        </w:rPr>
        <w:t>Mention the value of pH as 6.1, 5.6, etc</w:t>
      </w:r>
    </w:p>
  </w:comment>
  <w:comment w:id="16" w:author="Reviewer" w:date="2025-12-31T05:21:00Z" w:initials="WU">
    <w:p w14:paraId="407F9024" w14:textId="77777777" w:rsidR="0035221E" w:rsidRDefault="0035221E" w:rsidP="0035221E">
      <w:pPr>
        <w:pStyle w:val="CommentText"/>
      </w:pPr>
      <w:r>
        <w:rPr>
          <w:rStyle w:val="CommentReference"/>
        </w:rPr>
        <w:annotationRef/>
      </w:r>
      <w:r>
        <w:rPr>
          <w:lang w:val="en-MY"/>
        </w:rPr>
        <w:t>Indonesia language</w:t>
      </w:r>
    </w:p>
  </w:comment>
  <w:comment w:id="17" w:author="Reviewer" w:date="2025-12-31T05:23:00Z" w:initials="WU">
    <w:p w14:paraId="7EDAE157" w14:textId="77777777" w:rsidR="0060559C" w:rsidRDefault="0060559C" w:rsidP="0060559C">
      <w:pPr>
        <w:pStyle w:val="CommentText"/>
      </w:pPr>
      <w:r>
        <w:rPr>
          <w:rStyle w:val="CommentReference"/>
        </w:rPr>
        <w:annotationRef/>
      </w:r>
      <w:r>
        <w:rPr>
          <w:lang w:val="en-MY"/>
        </w:rPr>
        <w:t>Figure 1 not mentioned in the text</w:t>
      </w:r>
    </w:p>
  </w:comment>
  <w:comment w:id="18" w:author="Reviewer" w:date="2025-12-31T05:24:00Z" w:initials="WU">
    <w:p w14:paraId="351BDC27" w14:textId="77777777" w:rsidR="0060559C" w:rsidRDefault="0060559C" w:rsidP="0060559C">
      <w:pPr>
        <w:pStyle w:val="CommentText"/>
      </w:pPr>
      <w:r>
        <w:rPr>
          <w:rStyle w:val="CommentReference"/>
        </w:rPr>
        <w:annotationRef/>
      </w:r>
      <w:r>
        <w:rPr>
          <w:lang w:val="en-MY"/>
        </w:rPr>
        <w:t>Figure 2 not mentioned in the text</w:t>
      </w:r>
    </w:p>
  </w:comment>
  <w:comment w:id="19" w:author="Reviewer" w:date="2025-12-31T05:26:00Z" w:initials="WU">
    <w:p w14:paraId="5AD4B31E" w14:textId="77777777" w:rsidR="0060559C" w:rsidRDefault="0060559C" w:rsidP="0060559C">
      <w:pPr>
        <w:pStyle w:val="CommentText"/>
      </w:pPr>
      <w:r>
        <w:rPr>
          <w:rStyle w:val="CommentReference"/>
        </w:rPr>
        <w:annotationRef/>
      </w:r>
      <w:r>
        <w:rPr>
          <w:lang w:val="en-MY"/>
        </w:rPr>
        <w:t>….statement of Aprilia and Aini (2022).</w:t>
      </w:r>
    </w:p>
  </w:comment>
  <w:comment w:id="20" w:author="Reviewer" w:date="2025-12-31T05:30:00Z" w:initials="WU">
    <w:p w14:paraId="7928D184" w14:textId="77777777" w:rsidR="0060559C" w:rsidRDefault="0060559C" w:rsidP="0060559C">
      <w:pPr>
        <w:pStyle w:val="CommentText"/>
      </w:pPr>
      <w:r>
        <w:rPr>
          <w:rStyle w:val="CommentReference"/>
        </w:rPr>
        <w:annotationRef/>
      </w:r>
      <w:r>
        <w:rPr>
          <w:lang w:val="en-MY"/>
        </w:rPr>
        <w:t>delete</w:t>
      </w:r>
    </w:p>
  </w:comment>
  <w:comment w:id="21" w:author="Reviewer" w:date="2025-12-31T05:30:00Z" w:initials="WU">
    <w:p w14:paraId="12A278A9" w14:textId="77777777" w:rsidR="0060559C" w:rsidRDefault="0060559C" w:rsidP="0060559C">
      <w:pPr>
        <w:pStyle w:val="CommentText"/>
      </w:pPr>
      <w:r>
        <w:rPr>
          <w:rStyle w:val="CommentReference"/>
        </w:rPr>
        <w:annotationRef/>
      </w:r>
      <w:r>
        <w:t>Fungicides with the active ingredient of mancozeb is effective (</w:t>
      </w:r>
      <w:r>
        <w:rPr>
          <w:lang w:val="en-MY"/>
        </w:rPr>
        <w:t xml:space="preserve">Wijayanti </w:t>
      </w:r>
      <w:r>
        <w:rPr>
          <w:i/>
          <w:iCs/>
          <w:lang w:val="en-MY"/>
        </w:rPr>
        <w:t>et</w:t>
      </w:r>
      <w:r>
        <w:rPr>
          <w:lang w:val="en-MY"/>
        </w:rPr>
        <w:t xml:space="preserve"> </w:t>
      </w:r>
      <w:r>
        <w:rPr>
          <w:i/>
          <w:iCs/>
          <w:lang w:val="en-MY"/>
        </w:rPr>
        <w:t>al</w:t>
      </w:r>
      <w:r>
        <w:rPr>
          <w:lang w:val="en-MY"/>
        </w:rPr>
        <w:t>., 2024</w:t>
      </w:r>
      <w:r>
        <w:t xml:space="preserve">) and can reduce disease incidence by up to 20% compared to the control of 86.67%. </w:t>
      </w:r>
    </w:p>
  </w:comment>
  <w:comment w:id="22" w:author="Reviewer" w:date="2025-12-31T05:31:00Z" w:initials="WU">
    <w:p w14:paraId="0933F247" w14:textId="77777777" w:rsidR="0060559C" w:rsidRDefault="0060559C" w:rsidP="0060559C">
      <w:pPr>
        <w:pStyle w:val="CommentText"/>
      </w:pPr>
      <w:r>
        <w:rPr>
          <w:rStyle w:val="CommentReference"/>
        </w:rPr>
        <w:annotationRef/>
      </w:r>
      <w:r>
        <w:rPr>
          <w:lang w:val="en-MY"/>
        </w:rPr>
        <w:t>and</w:t>
      </w:r>
    </w:p>
  </w:comment>
  <w:comment w:id="24" w:author="Reviewer" w:date="2025-12-31T05:32:00Z" w:initials="WU">
    <w:p w14:paraId="08BADDF2" w14:textId="77777777" w:rsidR="00180B77" w:rsidRDefault="00180B77" w:rsidP="00180B77">
      <w:pPr>
        <w:pStyle w:val="CommentText"/>
      </w:pPr>
      <w:r>
        <w:rPr>
          <w:rStyle w:val="CommentReference"/>
        </w:rPr>
        <w:annotationRef/>
      </w:r>
      <w:r>
        <w:rPr>
          <w:lang w:val="en-MY"/>
        </w:rPr>
        <w:t>and</w:t>
      </w:r>
    </w:p>
  </w:comment>
  <w:comment w:id="23" w:author="Reviewer" w:date="2025-12-31T05:34:00Z" w:initials="WU">
    <w:p w14:paraId="2834AB3C" w14:textId="77777777" w:rsidR="00180B77" w:rsidRDefault="00180B77" w:rsidP="00180B77">
      <w:pPr>
        <w:pStyle w:val="CommentText"/>
      </w:pPr>
      <w:r>
        <w:rPr>
          <w:rStyle w:val="CommentReference"/>
        </w:rPr>
        <w:annotationRef/>
      </w:r>
      <w:r>
        <w:rPr>
          <w:lang w:val="id-ID"/>
        </w:rPr>
        <w:t xml:space="preserve">As sugested by Despita and Rachmadiyanto (2021), </w:t>
      </w:r>
      <w:r>
        <w:t>harvesting is carried out at 60–65 days after planting when the tubers have fully formed and the leaves begin to dry out.</w:t>
      </w:r>
    </w:p>
  </w:comment>
  <w:comment w:id="26" w:author="Reviewer" w:date="2025-12-31T05:42:00Z" w:initials="WU">
    <w:p w14:paraId="1E789FFB" w14:textId="77777777" w:rsidR="0004301E" w:rsidRDefault="0004301E" w:rsidP="0004301E">
      <w:pPr>
        <w:pStyle w:val="CommentText"/>
      </w:pPr>
      <w:r>
        <w:rPr>
          <w:rStyle w:val="CommentReference"/>
        </w:rPr>
        <w:annotationRef/>
      </w:r>
      <w:r>
        <w:rPr>
          <w:lang w:val="en-MY"/>
        </w:rPr>
        <w:t>Indonesian language</w:t>
      </w:r>
    </w:p>
  </w:comment>
  <w:comment w:id="27" w:author="Reviewer" w:date="2025-12-31T05:53:00Z" w:initials="WU">
    <w:p w14:paraId="14FE9C0B" w14:textId="77777777" w:rsidR="00480F92" w:rsidRDefault="00480F92" w:rsidP="00480F92">
      <w:pPr>
        <w:pStyle w:val="CommentText"/>
      </w:pPr>
      <w:r>
        <w:rPr>
          <w:rStyle w:val="CommentReference"/>
        </w:rPr>
        <w:annotationRef/>
      </w:r>
      <w:r>
        <w:rPr>
          <w:lang w:val="en-MY"/>
        </w:rPr>
        <w:t>Consider to revise the use of “in line” in the article to suit the context of sentence or to support the statement.</w:t>
      </w:r>
      <w:r>
        <w:rPr>
          <w:lang w:val="en-MY"/>
        </w:rPr>
        <w:br/>
        <w:t xml:space="preserve"> </w:t>
      </w:r>
      <w:r>
        <w:rPr>
          <w:lang w:val="en-MY"/>
        </w:rPr>
        <w:br/>
        <w:t>The result of this study proved that addition of organic matter improved the soil structure by increasing the number of micro-pore and increased soil water retention as highlighted by Andriyani and Patricia (2021).</w:t>
      </w:r>
      <w:r>
        <w:rPr>
          <w:lang w:val="en-MY"/>
        </w:rPr>
        <w:br/>
      </w:r>
    </w:p>
  </w:comment>
  <w:comment w:id="28" w:author="Reviewer" w:date="2025-12-31T05:46:00Z" w:initials="WU">
    <w:p w14:paraId="1F4BC824" w14:textId="00A5BE4F" w:rsidR="0004301E" w:rsidRDefault="0004301E" w:rsidP="0004301E">
      <w:pPr>
        <w:pStyle w:val="CommentText"/>
      </w:pPr>
      <w:r>
        <w:rPr>
          <w:rStyle w:val="CommentReference"/>
        </w:rPr>
        <w:annotationRef/>
      </w:r>
      <w:r>
        <w:rPr>
          <w:lang w:val="en-MY"/>
        </w:rPr>
        <w:t>and</w:t>
      </w:r>
    </w:p>
  </w:comment>
  <w:comment w:id="29" w:author="Reviewer" w:date="2025-12-31T05:54:00Z" w:initials="WU">
    <w:p w14:paraId="71828B87" w14:textId="77777777" w:rsidR="00480F92" w:rsidRDefault="00480F92" w:rsidP="00480F92">
      <w:pPr>
        <w:pStyle w:val="CommentText"/>
      </w:pPr>
      <w:r>
        <w:rPr>
          <w:rStyle w:val="CommentReference"/>
        </w:rPr>
        <w:annotationRef/>
      </w:r>
      <w:r>
        <w:rPr>
          <w:lang w:val="en-MY"/>
        </w:rPr>
        <w:t>Text first before Table 3</w:t>
      </w:r>
    </w:p>
  </w:comment>
  <w:comment w:id="30" w:author="Reviewer" w:date="2025-12-31T05:56:00Z" w:initials="WU">
    <w:p w14:paraId="2014D640" w14:textId="77777777" w:rsidR="00480F92" w:rsidRDefault="00480F92" w:rsidP="00480F92">
      <w:pPr>
        <w:pStyle w:val="CommentText"/>
      </w:pPr>
      <w:r>
        <w:rPr>
          <w:rStyle w:val="CommentReference"/>
        </w:rPr>
        <w:annotationRef/>
      </w:r>
      <w:r>
        <w:rPr>
          <w:lang w:val="en-MY"/>
        </w:rPr>
        <w:t>KK stand for?</w:t>
      </w:r>
    </w:p>
  </w:comment>
  <w:comment w:id="31" w:author="Reviewer" w:date="2025-12-31T06:03:00Z" w:initials="WU">
    <w:p w14:paraId="43FB9EDF" w14:textId="77777777" w:rsidR="009E3AC1" w:rsidRDefault="009E3AC1" w:rsidP="009E3AC1">
      <w:pPr>
        <w:pStyle w:val="CommentText"/>
      </w:pPr>
      <w:r>
        <w:rPr>
          <w:rStyle w:val="CommentReference"/>
        </w:rPr>
        <w:annotationRef/>
      </w:r>
      <w:r>
        <w:rPr>
          <w:lang w:val="en-MY"/>
        </w:rPr>
        <w:t>The data should be tested with uniformity test since it become one of the important assumption in ANOVA</w:t>
      </w:r>
    </w:p>
  </w:comment>
  <w:comment w:id="32" w:author="Reviewer" w:date="2025-12-31T06:14:00Z" w:initials="WU">
    <w:p w14:paraId="72920604" w14:textId="77777777" w:rsidR="001A46D7" w:rsidRDefault="001A46D7" w:rsidP="001A46D7">
      <w:pPr>
        <w:pStyle w:val="CommentText"/>
      </w:pPr>
      <w:r>
        <w:rPr>
          <w:rStyle w:val="CommentReference"/>
        </w:rPr>
        <w:annotationRef/>
      </w:r>
      <w:r>
        <w:rPr>
          <w:lang w:val="en-MY"/>
        </w:rPr>
        <w:t>Indonesian language</w:t>
      </w:r>
    </w:p>
  </w:comment>
  <w:comment w:id="33" w:author="Reviewer" w:date="2025-12-31T06:16:00Z" w:initials="WU">
    <w:p w14:paraId="26CB5886" w14:textId="77777777" w:rsidR="001A46D7" w:rsidRDefault="001A46D7" w:rsidP="001A46D7">
      <w:pPr>
        <w:pStyle w:val="CommentText"/>
      </w:pPr>
      <w:r>
        <w:rPr>
          <w:rStyle w:val="CommentReference"/>
        </w:rPr>
        <w:annotationRef/>
      </w:r>
      <w:r>
        <w:rPr>
          <w:lang w:val="en-MY"/>
        </w:rPr>
        <w:t>Mention text first before Table 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5F9BF7" w15:done="0"/>
  <w15:commentEx w15:paraId="2E0DB5DA" w15:done="0"/>
  <w15:commentEx w15:paraId="59A91995" w15:done="0"/>
  <w15:commentEx w15:paraId="31258314" w15:done="0"/>
  <w15:commentEx w15:paraId="2DC0FA4F" w15:done="0"/>
  <w15:commentEx w15:paraId="47FC49EE" w15:done="0"/>
  <w15:commentEx w15:paraId="6FA8B0D7" w15:done="0"/>
  <w15:commentEx w15:paraId="0C1D8ACE" w15:done="0"/>
  <w15:commentEx w15:paraId="1E87C6F4" w15:done="0"/>
  <w15:commentEx w15:paraId="73299CBB" w15:done="0"/>
  <w15:commentEx w15:paraId="11E6C78F" w15:done="0"/>
  <w15:commentEx w15:paraId="1409F2DF" w15:done="0"/>
  <w15:commentEx w15:paraId="6C1F4A69" w15:done="0"/>
  <w15:commentEx w15:paraId="5F4CDC61" w15:done="0"/>
  <w15:commentEx w15:paraId="7EA8646F" w15:done="0"/>
  <w15:commentEx w15:paraId="3445E75D" w15:done="0"/>
  <w15:commentEx w15:paraId="407F9024" w15:done="0"/>
  <w15:commentEx w15:paraId="7EDAE157" w15:done="0"/>
  <w15:commentEx w15:paraId="351BDC27" w15:done="0"/>
  <w15:commentEx w15:paraId="5AD4B31E" w15:done="0"/>
  <w15:commentEx w15:paraId="7928D184" w15:done="0"/>
  <w15:commentEx w15:paraId="12A278A9" w15:done="0"/>
  <w15:commentEx w15:paraId="0933F247" w15:done="0"/>
  <w15:commentEx w15:paraId="08BADDF2" w15:done="0"/>
  <w15:commentEx w15:paraId="2834AB3C" w15:done="0"/>
  <w15:commentEx w15:paraId="1E789FFB" w15:done="0"/>
  <w15:commentEx w15:paraId="14FE9C0B" w15:done="0"/>
  <w15:commentEx w15:paraId="1F4BC824" w15:done="0"/>
  <w15:commentEx w15:paraId="71828B87" w15:done="0"/>
  <w15:commentEx w15:paraId="2014D640" w15:done="0"/>
  <w15:commentEx w15:paraId="43FB9EDF" w15:done="0"/>
  <w15:commentEx w15:paraId="72920604" w15:done="0"/>
  <w15:commentEx w15:paraId="26CB58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27626F" w16cex:dateUtc="2025-12-30T22:22:00Z"/>
  <w16cex:commentExtensible w16cex:durableId="394E95D7" w16cex:dateUtc="2025-12-30T20:32:00Z"/>
  <w16cex:commentExtensible w16cex:durableId="7BAE2CEE" w16cex:dateUtc="2025-12-30T20:32:00Z"/>
  <w16cex:commentExtensible w16cex:durableId="49D3575D" w16cex:dateUtc="2025-12-30T20:34:00Z"/>
  <w16cex:commentExtensible w16cex:durableId="374FDFF1" w16cex:dateUtc="2025-12-30T20:34:00Z"/>
  <w16cex:commentExtensible w16cex:durableId="2B3A3462" w16cex:dateUtc="2025-12-30T20:35:00Z"/>
  <w16cex:commentExtensible w16cex:durableId="7956848C" w16cex:dateUtc="2025-12-30T20:40:00Z"/>
  <w16cex:commentExtensible w16cex:durableId="105D7BFB" w16cex:dateUtc="2025-12-30T20:42:00Z"/>
  <w16cex:commentExtensible w16cex:durableId="0AA10992" w16cex:dateUtc="2025-12-30T20:46:00Z"/>
  <w16cex:commentExtensible w16cex:durableId="5C6440E8" w16cex:dateUtc="2025-12-30T20:51:00Z"/>
  <w16cex:commentExtensible w16cex:durableId="6CCF6AD8" w16cex:dateUtc="2025-12-30T20:51:00Z"/>
  <w16cex:commentExtensible w16cex:durableId="3C41F340" w16cex:dateUtc="2025-12-30T20:59:00Z"/>
  <w16cex:commentExtensible w16cex:durableId="1F65D86B" w16cex:dateUtc="2025-12-30T21:02:00Z"/>
  <w16cex:commentExtensible w16cex:durableId="6CDDD828" w16cex:dateUtc="2025-12-30T21:06:00Z"/>
  <w16cex:commentExtensible w16cex:durableId="2AE9F117" w16cex:dateUtc="2025-12-30T21:11:00Z"/>
  <w16cex:commentExtensible w16cex:durableId="30B25BB5" w16cex:dateUtc="2025-12-30T21:19:00Z"/>
  <w16cex:commentExtensible w16cex:durableId="6D2C5228" w16cex:dateUtc="2025-12-30T21:21:00Z"/>
  <w16cex:commentExtensible w16cex:durableId="33654574" w16cex:dateUtc="2025-12-30T21:23:00Z"/>
  <w16cex:commentExtensible w16cex:durableId="6EC60C6C" w16cex:dateUtc="2025-12-30T21:24:00Z"/>
  <w16cex:commentExtensible w16cex:durableId="56108000" w16cex:dateUtc="2025-12-30T21:26:00Z"/>
  <w16cex:commentExtensible w16cex:durableId="5E66A31B" w16cex:dateUtc="2025-12-30T21:30:00Z"/>
  <w16cex:commentExtensible w16cex:durableId="52BF02F0" w16cex:dateUtc="2025-12-30T21:30:00Z"/>
  <w16cex:commentExtensible w16cex:durableId="3A1F103F" w16cex:dateUtc="2025-12-30T21:31:00Z"/>
  <w16cex:commentExtensible w16cex:durableId="24D1F01F" w16cex:dateUtc="2025-12-30T21:32:00Z"/>
  <w16cex:commentExtensible w16cex:durableId="315FCE19" w16cex:dateUtc="2025-12-30T21:34:00Z"/>
  <w16cex:commentExtensible w16cex:durableId="30EF685B" w16cex:dateUtc="2025-12-30T21:42:00Z"/>
  <w16cex:commentExtensible w16cex:durableId="68E46DE3" w16cex:dateUtc="2025-12-30T21:53:00Z"/>
  <w16cex:commentExtensible w16cex:durableId="5479546E" w16cex:dateUtc="2025-12-30T21:46:00Z"/>
  <w16cex:commentExtensible w16cex:durableId="6CF662DF" w16cex:dateUtc="2025-12-30T21:54:00Z"/>
  <w16cex:commentExtensible w16cex:durableId="729EC075" w16cex:dateUtc="2025-12-30T21:56:00Z"/>
  <w16cex:commentExtensible w16cex:durableId="4AC63482" w16cex:dateUtc="2025-12-30T22:03:00Z"/>
  <w16cex:commentExtensible w16cex:durableId="5CB8D8C8" w16cex:dateUtc="2025-12-30T22:14:00Z"/>
  <w16cex:commentExtensible w16cex:durableId="1AB2DFD0" w16cex:dateUtc="2025-12-30T2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5F9BF7" w16cid:durableId="5727626F"/>
  <w16cid:commentId w16cid:paraId="2E0DB5DA" w16cid:durableId="394E95D7"/>
  <w16cid:commentId w16cid:paraId="59A91995" w16cid:durableId="7BAE2CEE"/>
  <w16cid:commentId w16cid:paraId="31258314" w16cid:durableId="49D3575D"/>
  <w16cid:commentId w16cid:paraId="2DC0FA4F" w16cid:durableId="374FDFF1"/>
  <w16cid:commentId w16cid:paraId="47FC49EE" w16cid:durableId="2B3A3462"/>
  <w16cid:commentId w16cid:paraId="6FA8B0D7" w16cid:durableId="7956848C"/>
  <w16cid:commentId w16cid:paraId="0C1D8ACE" w16cid:durableId="105D7BFB"/>
  <w16cid:commentId w16cid:paraId="1E87C6F4" w16cid:durableId="0AA10992"/>
  <w16cid:commentId w16cid:paraId="73299CBB" w16cid:durableId="5C6440E8"/>
  <w16cid:commentId w16cid:paraId="11E6C78F" w16cid:durableId="6CCF6AD8"/>
  <w16cid:commentId w16cid:paraId="1409F2DF" w16cid:durableId="3C41F340"/>
  <w16cid:commentId w16cid:paraId="6C1F4A69" w16cid:durableId="1F65D86B"/>
  <w16cid:commentId w16cid:paraId="5F4CDC61" w16cid:durableId="6CDDD828"/>
  <w16cid:commentId w16cid:paraId="7EA8646F" w16cid:durableId="2AE9F117"/>
  <w16cid:commentId w16cid:paraId="3445E75D" w16cid:durableId="30B25BB5"/>
  <w16cid:commentId w16cid:paraId="407F9024" w16cid:durableId="6D2C5228"/>
  <w16cid:commentId w16cid:paraId="7EDAE157" w16cid:durableId="33654574"/>
  <w16cid:commentId w16cid:paraId="351BDC27" w16cid:durableId="6EC60C6C"/>
  <w16cid:commentId w16cid:paraId="5AD4B31E" w16cid:durableId="56108000"/>
  <w16cid:commentId w16cid:paraId="7928D184" w16cid:durableId="5E66A31B"/>
  <w16cid:commentId w16cid:paraId="12A278A9" w16cid:durableId="52BF02F0"/>
  <w16cid:commentId w16cid:paraId="0933F247" w16cid:durableId="3A1F103F"/>
  <w16cid:commentId w16cid:paraId="08BADDF2" w16cid:durableId="24D1F01F"/>
  <w16cid:commentId w16cid:paraId="2834AB3C" w16cid:durableId="315FCE19"/>
  <w16cid:commentId w16cid:paraId="1E789FFB" w16cid:durableId="30EF685B"/>
  <w16cid:commentId w16cid:paraId="14FE9C0B" w16cid:durableId="68E46DE3"/>
  <w16cid:commentId w16cid:paraId="1F4BC824" w16cid:durableId="5479546E"/>
  <w16cid:commentId w16cid:paraId="71828B87" w16cid:durableId="6CF662DF"/>
  <w16cid:commentId w16cid:paraId="2014D640" w16cid:durableId="729EC075"/>
  <w16cid:commentId w16cid:paraId="43FB9EDF" w16cid:durableId="4AC63482"/>
  <w16cid:commentId w16cid:paraId="72920604" w16cid:durableId="5CB8D8C8"/>
  <w16cid:commentId w16cid:paraId="26CB5886" w16cid:durableId="1AB2DF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8458A" w14:textId="77777777" w:rsidR="00F23329" w:rsidRDefault="00F23329" w:rsidP="00C37E61">
      <w:r>
        <w:separator/>
      </w:r>
    </w:p>
  </w:endnote>
  <w:endnote w:type="continuationSeparator" w:id="0">
    <w:p w14:paraId="232EEA1C" w14:textId="77777777" w:rsidR="00F23329" w:rsidRDefault="00F2332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K Grotesk Mediu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736B" w14:textId="77777777" w:rsidR="00F76215" w:rsidRDefault="00F76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58A7" w14:textId="77777777" w:rsidR="00F76215" w:rsidRDefault="00F76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C95B0" w14:textId="4654EC5F" w:rsidR="006A59C9" w:rsidRPr="008E7FFC" w:rsidRDefault="006A59C9" w:rsidP="008E7F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9537" w14:textId="77777777" w:rsidR="006A59C9" w:rsidRPr="00C37E61" w:rsidRDefault="006A59C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311A7" w14:textId="77777777" w:rsidR="00F23329" w:rsidRDefault="00F23329" w:rsidP="00C37E61">
      <w:r>
        <w:separator/>
      </w:r>
    </w:p>
  </w:footnote>
  <w:footnote w:type="continuationSeparator" w:id="0">
    <w:p w14:paraId="0673A498" w14:textId="77777777" w:rsidR="00F23329" w:rsidRDefault="00F2332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34FF" w14:textId="620F29A7" w:rsidR="00F76215" w:rsidRDefault="00000000">
    <w:pPr>
      <w:pStyle w:val="Header"/>
    </w:pPr>
    <w:r>
      <w:rPr>
        <w:noProof/>
      </w:rPr>
      <w:pict w14:anchorId="3834F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1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7B9C" w14:textId="4187BEA4" w:rsidR="00F76215" w:rsidRDefault="00000000">
    <w:pPr>
      <w:pStyle w:val="Header"/>
    </w:pPr>
    <w:r>
      <w:rPr>
        <w:noProof/>
      </w:rPr>
      <w:pict w14:anchorId="0F300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DAB66" w14:textId="2E970031" w:rsidR="006A59C9" w:rsidRPr="00296529" w:rsidRDefault="00000000" w:rsidP="00296529">
    <w:pPr>
      <w:ind w:left="2160"/>
      <w:jc w:val="center"/>
      <w:rPr>
        <w:rFonts w:ascii="Times New Roman" w:eastAsia="Calibri" w:hAnsi="Times New Roman"/>
        <w:i/>
        <w:sz w:val="18"/>
        <w:szCs w:val="22"/>
      </w:rPr>
    </w:pPr>
    <w:r>
      <w:rPr>
        <w:noProof/>
      </w:rPr>
      <w:pict w14:anchorId="17298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1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CF55213" w14:textId="77777777" w:rsidR="006A59C9" w:rsidRPr="00296529" w:rsidRDefault="006A59C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A5AA3ED" w14:textId="77777777" w:rsidR="006A59C9" w:rsidRPr="00296529" w:rsidRDefault="006A59C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24FB335" w14:textId="77777777" w:rsidR="006A59C9" w:rsidRPr="00296529" w:rsidRDefault="006A59C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9AD89D" w14:textId="77777777" w:rsidR="006A59C9" w:rsidRDefault="006A59C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74C923" w14:textId="77777777" w:rsidR="006A59C9" w:rsidRDefault="006A59C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4553635" w14:textId="77777777" w:rsidR="006A59C9" w:rsidRDefault="006A59C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A4B1" w14:textId="1252999A" w:rsidR="00F76215" w:rsidRDefault="00000000">
    <w:pPr>
      <w:pStyle w:val="Header"/>
    </w:pPr>
    <w:r>
      <w:rPr>
        <w:noProof/>
      </w:rPr>
      <w:pict w14:anchorId="1D279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7D84" w14:textId="49EAA222" w:rsidR="00F76215" w:rsidRDefault="00000000">
    <w:pPr>
      <w:pStyle w:val="Header"/>
    </w:pPr>
    <w:r>
      <w:rPr>
        <w:noProof/>
      </w:rPr>
      <w:pict w14:anchorId="3BB5D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9D350" w14:textId="2CC2EB5E" w:rsidR="00F76215" w:rsidRDefault="00000000">
    <w:pPr>
      <w:pStyle w:val="Header"/>
    </w:pPr>
    <w:r>
      <w:rPr>
        <w:noProof/>
      </w:rPr>
      <w:pict w14:anchorId="1682A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932F2"/>
    <w:multiLevelType w:val="hybridMultilevel"/>
    <w:tmpl w:val="5F2E000E"/>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381089"/>
    <w:multiLevelType w:val="hybridMultilevel"/>
    <w:tmpl w:val="1DC09E0A"/>
    <w:lvl w:ilvl="0" w:tplc="0B1232CC">
      <w:start w:val="1"/>
      <w:numFmt w:val="decimal"/>
      <w:lvlText w:val="2.2%1.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7704FB2"/>
    <w:multiLevelType w:val="multilevel"/>
    <w:tmpl w:val="9E247D22"/>
    <w:lvl w:ilvl="0">
      <w:start w:val="1"/>
      <w:numFmt w:val="decimal"/>
      <w:lvlText w:val="%1."/>
      <w:lvlJc w:val="left"/>
      <w:pPr>
        <w:ind w:left="720" w:hanging="360"/>
      </w:pPr>
      <w:rPr>
        <w:rFonts w:hint="default"/>
      </w:rPr>
    </w:lvl>
    <w:lvl w:ilvl="1">
      <w:start w:val="1"/>
      <w:numFmt w:val="decimal"/>
      <w:lvlText w:val="3.%2"/>
      <w:lvlJc w:val="righ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3A6F14"/>
    <w:multiLevelType w:val="hybridMultilevel"/>
    <w:tmpl w:val="66843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E62258"/>
    <w:multiLevelType w:val="hybridMultilevel"/>
    <w:tmpl w:val="A75CE70C"/>
    <w:lvl w:ilvl="0" w:tplc="317CF24E">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318666B"/>
    <w:multiLevelType w:val="hybridMultilevel"/>
    <w:tmpl w:val="AED25564"/>
    <w:lvl w:ilvl="0" w:tplc="BFCC70AA">
      <w:start w:val="1"/>
      <w:numFmt w:val="decimal"/>
      <w:lvlText w:val="%1."/>
      <w:lvlJc w:val="left"/>
      <w:pPr>
        <w:ind w:left="720" w:hanging="360"/>
      </w:pPr>
    </w:lvl>
    <w:lvl w:ilvl="1" w:tplc="A83EDFC8" w:tentative="1">
      <w:start w:val="1"/>
      <w:numFmt w:val="lowerLetter"/>
      <w:lvlText w:val="%2."/>
      <w:lvlJc w:val="left"/>
      <w:pPr>
        <w:ind w:left="1440" w:hanging="360"/>
      </w:pPr>
    </w:lvl>
    <w:lvl w:ilvl="2" w:tplc="8C52C520" w:tentative="1">
      <w:start w:val="1"/>
      <w:numFmt w:val="lowerRoman"/>
      <w:lvlText w:val="%3."/>
      <w:lvlJc w:val="right"/>
      <w:pPr>
        <w:ind w:left="2160" w:hanging="180"/>
      </w:pPr>
    </w:lvl>
    <w:lvl w:ilvl="3" w:tplc="E9ACEE4C" w:tentative="1">
      <w:start w:val="1"/>
      <w:numFmt w:val="decimal"/>
      <w:lvlText w:val="%4."/>
      <w:lvlJc w:val="left"/>
      <w:pPr>
        <w:ind w:left="2880" w:hanging="360"/>
      </w:pPr>
    </w:lvl>
    <w:lvl w:ilvl="4" w:tplc="7BE6A044" w:tentative="1">
      <w:start w:val="1"/>
      <w:numFmt w:val="lowerLetter"/>
      <w:lvlText w:val="%5."/>
      <w:lvlJc w:val="left"/>
      <w:pPr>
        <w:ind w:left="3600" w:hanging="360"/>
      </w:pPr>
    </w:lvl>
    <w:lvl w:ilvl="5" w:tplc="E7646484" w:tentative="1">
      <w:start w:val="1"/>
      <w:numFmt w:val="lowerRoman"/>
      <w:lvlText w:val="%6."/>
      <w:lvlJc w:val="right"/>
      <w:pPr>
        <w:ind w:left="4320" w:hanging="180"/>
      </w:pPr>
    </w:lvl>
    <w:lvl w:ilvl="6" w:tplc="7166DEBE" w:tentative="1">
      <w:start w:val="1"/>
      <w:numFmt w:val="decimal"/>
      <w:lvlText w:val="%7."/>
      <w:lvlJc w:val="left"/>
      <w:pPr>
        <w:ind w:left="5040" w:hanging="360"/>
      </w:pPr>
    </w:lvl>
    <w:lvl w:ilvl="7" w:tplc="CCEE732E" w:tentative="1">
      <w:start w:val="1"/>
      <w:numFmt w:val="lowerLetter"/>
      <w:lvlText w:val="%8."/>
      <w:lvlJc w:val="left"/>
      <w:pPr>
        <w:ind w:left="5760" w:hanging="360"/>
      </w:pPr>
    </w:lvl>
    <w:lvl w:ilvl="8" w:tplc="32DEDE7A" w:tentative="1">
      <w:start w:val="1"/>
      <w:numFmt w:val="lowerRoman"/>
      <w:lvlText w:val="%9."/>
      <w:lvlJc w:val="right"/>
      <w:pPr>
        <w:ind w:left="6480" w:hanging="180"/>
      </w:pPr>
    </w:lvl>
  </w:abstractNum>
  <w:abstractNum w:abstractNumId="21" w15:restartNumberingAfterBreak="0">
    <w:nsid w:val="376E2511"/>
    <w:multiLevelType w:val="hybridMultilevel"/>
    <w:tmpl w:val="867CAACE"/>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E6151C"/>
    <w:multiLevelType w:val="hybridMultilevel"/>
    <w:tmpl w:val="0680DDB6"/>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8DA3E7C"/>
    <w:multiLevelType w:val="hybridMultilevel"/>
    <w:tmpl w:val="BA06F4EC"/>
    <w:lvl w:ilvl="0" w:tplc="E4029D80">
      <w:start w:val="1"/>
      <w:numFmt w:val="decimal"/>
      <w:lvlText w:val="2.%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245555"/>
    <w:multiLevelType w:val="hybridMultilevel"/>
    <w:tmpl w:val="D1DED64C"/>
    <w:lvl w:ilvl="0" w:tplc="4132A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84585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64134676">
    <w:abstractNumId w:val="23"/>
  </w:num>
  <w:num w:numId="3" w16cid:durableId="1686788993">
    <w:abstractNumId w:val="33"/>
  </w:num>
  <w:num w:numId="4" w16cid:durableId="150084570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38142021">
    <w:abstractNumId w:val="10"/>
  </w:num>
  <w:num w:numId="6" w16cid:durableId="213932074">
    <w:abstractNumId w:val="8"/>
  </w:num>
  <w:num w:numId="7" w16cid:durableId="1924148307">
    <w:abstractNumId w:val="2"/>
  </w:num>
  <w:num w:numId="8" w16cid:durableId="1205948174">
    <w:abstractNumId w:val="17"/>
  </w:num>
  <w:num w:numId="9" w16cid:durableId="621347689">
    <w:abstractNumId w:val="35"/>
  </w:num>
  <w:num w:numId="10" w16cid:durableId="1747723798">
    <w:abstractNumId w:val="3"/>
  </w:num>
  <w:num w:numId="11" w16cid:durableId="1979407964">
    <w:abstractNumId w:val="27"/>
  </w:num>
  <w:num w:numId="12" w16cid:durableId="166024815">
    <w:abstractNumId w:val="4"/>
  </w:num>
  <w:num w:numId="13" w16cid:durableId="913320051">
    <w:abstractNumId w:val="25"/>
  </w:num>
  <w:num w:numId="14" w16cid:durableId="439108107">
    <w:abstractNumId w:val="11"/>
  </w:num>
  <w:num w:numId="15" w16cid:durableId="706180350">
    <w:abstractNumId w:val="30"/>
  </w:num>
  <w:num w:numId="16" w16cid:durableId="1289555037">
    <w:abstractNumId w:val="6"/>
  </w:num>
  <w:num w:numId="17" w16cid:durableId="727337265">
    <w:abstractNumId w:val="31"/>
  </w:num>
  <w:num w:numId="18" w16cid:durableId="1301421318">
    <w:abstractNumId w:val="19"/>
  </w:num>
  <w:num w:numId="19" w16cid:durableId="1694070976">
    <w:abstractNumId w:val="38"/>
  </w:num>
  <w:num w:numId="20" w16cid:durableId="1035619163">
    <w:abstractNumId w:val="16"/>
  </w:num>
  <w:num w:numId="21" w16cid:durableId="1345012451">
    <w:abstractNumId w:val="13"/>
  </w:num>
  <w:num w:numId="22" w16cid:durableId="250698307">
    <w:abstractNumId w:val="18"/>
  </w:num>
  <w:num w:numId="23" w16cid:durableId="1288045967">
    <w:abstractNumId w:val="28"/>
  </w:num>
  <w:num w:numId="24" w16cid:durableId="2061008019">
    <w:abstractNumId w:val="36"/>
  </w:num>
  <w:num w:numId="25" w16cid:durableId="1920091960">
    <w:abstractNumId w:val="5"/>
  </w:num>
  <w:num w:numId="26" w16cid:durableId="1214585776">
    <w:abstractNumId w:val="24"/>
  </w:num>
  <w:num w:numId="27" w16cid:durableId="680159728">
    <w:abstractNumId w:val="29"/>
  </w:num>
  <w:num w:numId="28" w16cid:durableId="2106411849">
    <w:abstractNumId w:val="37"/>
  </w:num>
  <w:num w:numId="29" w16cid:durableId="1357737263">
    <w:abstractNumId w:val="34"/>
  </w:num>
  <w:num w:numId="30" w16cid:durableId="968510760">
    <w:abstractNumId w:val="15"/>
  </w:num>
  <w:num w:numId="31" w16cid:durableId="363362140">
    <w:abstractNumId w:val="20"/>
  </w:num>
  <w:num w:numId="32" w16cid:durableId="1855149557">
    <w:abstractNumId w:val="22"/>
  </w:num>
  <w:num w:numId="33" w16cid:durableId="453905745">
    <w:abstractNumId w:val="21"/>
  </w:num>
  <w:num w:numId="34" w16cid:durableId="1874343692">
    <w:abstractNumId w:val="1"/>
  </w:num>
  <w:num w:numId="35" w16cid:durableId="1234706393">
    <w:abstractNumId w:val="14"/>
  </w:num>
  <w:num w:numId="36" w16cid:durableId="1131484085">
    <w:abstractNumId w:val="7"/>
  </w:num>
  <w:num w:numId="37" w16cid:durableId="473911767">
    <w:abstractNumId w:val="26"/>
  </w:num>
  <w:num w:numId="38" w16cid:durableId="1591500508">
    <w:abstractNumId w:val="32"/>
  </w:num>
  <w:num w:numId="39" w16cid:durableId="1870609336">
    <w:abstractNumId w:val="9"/>
  </w:num>
  <w:num w:numId="40" w16cid:durableId="63931014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3566"/>
    <w:rsid w:val="00004A75"/>
    <w:rsid w:val="00013679"/>
    <w:rsid w:val="00030174"/>
    <w:rsid w:val="00037389"/>
    <w:rsid w:val="0004301E"/>
    <w:rsid w:val="00044AE5"/>
    <w:rsid w:val="0004579C"/>
    <w:rsid w:val="00055EF3"/>
    <w:rsid w:val="00064964"/>
    <w:rsid w:val="0007053B"/>
    <w:rsid w:val="000A08A7"/>
    <w:rsid w:val="000A47FA"/>
    <w:rsid w:val="000A65D3"/>
    <w:rsid w:val="000A7395"/>
    <w:rsid w:val="000B1E33"/>
    <w:rsid w:val="000B2F07"/>
    <w:rsid w:val="000D03A8"/>
    <w:rsid w:val="000D689F"/>
    <w:rsid w:val="000E2449"/>
    <w:rsid w:val="000E7B7B"/>
    <w:rsid w:val="000E7D62"/>
    <w:rsid w:val="000F0D7A"/>
    <w:rsid w:val="001028C8"/>
    <w:rsid w:val="00103357"/>
    <w:rsid w:val="0010452B"/>
    <w:rsid w:val="00110B84"/>
    <w:rsid w:val="00123C9F"/>
    <w:rsid w:val="00126190"/>
    <w:rsid w:val="00130F17"/>
    <w:rsid w:val="001320BF"/>
    <w:rsid w:val="00150568"/>
    <w:rsid w:val="00163BC4"/>
    <w:rsid w:val="00180B77"/>
    <w:rsid w:val="001826F4"/>
    <w:rsid w:val="00185661"/>
    <w:rsid w:val="00190D96"/>
    <w:rsid w:val="00191062"/>
    <w:rsid w:val="00192B72"/>
    <w:rsid w:val="00197832"/>
    <w:rsid w:val="001A29D8"/>
    <w:rsid w:val="001A46D7"/>
    <w:rsid w:val="001A5CAA"/>
    <w:rsid w:val="001B0427"/>
    <w:rsid w:val="001C3303"/>
    <w:rsid w:val="001D33CF"/>
    <w:rsid w:val="001D33F2"/>
    <w:rsid w:val="001D3A51"/>
    <w:rsid w:val="001D600D"/>
    <w:rsid w:val="001E10D2"/>
    <w:rsid w:val="001E25B4"/>
    <w:rsid w:val="001E44FE"/>
    <w:rsid w:val="001E4EBA"/>
    <w:rsid w:val="001F0431"/>
    <w:rsid w:val="00200595"/>
    <w:rsid w:val="00204835"/>
    <w:rsid w:val="00220CAA"/>
    <w:rsid w:val="0022255C"/>
    <w:rsid w:val="00231920"/>
    <w:rsid w:val="0023195C"/>
    <w:rsid w:val="002366BF"/>
    <w:rsid w:val="0024282C"/>
    <w:rsid w:val="00243730"/>
    <w:rsid w:val="002460DC"/>
    <w:rsid w:val="00250985"/>
    <w:rsid w:val="002556F6"/>
    <w:rsid w:val="00265272"/>
    <w:rsid w:val="002827CD"/>
    <w:rsid w:val="00283105"/>
    <w:rsid w:val="00284C4C"/>
    <w:rsid w:val="00287E68"/>
    <w:rsid w:val="00293ADB"/>
    <w:rsid w:val="00296529"/>
    <w:rsid w:val="002B0E19"/>
    <w:rsid w:val="002B27FB"/>
    <w:rsid w:val="002B685A"/>
    <w:rsid w:val="002C57D2"/>
    <w:rsid w:val="002D4B89"/>
    <w:rsid w:val="002E0D56"/>
    <w:rsid w:val="002E2FF7"/>
    <w:rsid w:val="002E799E"/>
    <w:rsid w:val="002F1047"/>
    <w:rsid w:val="002F1CC3"/>
    <w:rsid w:val="002F4BFE"/>
    <w:rsid w:val="0030072E"/>
    <w:rsid w:val="00305722"/>
    <w:rsid w:val="00314D53"/>
    <w:rsid w:val="00315186"/>
    <w:rsid w:val="0033343E"/>
    <w:rsid w:val="00341CE4"/>
    <w:rsid w:val="003512C2"/>
    <w:rsid w:val="0035221E"/>
    <w:rsid w:val="00355D3A"/>
    <w:rsid w:val="003623AE"/>
    <w:rsid w:val="00362B56"/>
    <w:rsid w:val="00367F88"/>
    <w:rsid w:val="00371FB6"/>
    <w:rsid w:val="003763C1"/>
    <w:rsid w:val="00376BBE"/>
    <w:rsid w:val="00386303"/>
    <w:rsid w:val="0039224F"/>
    <w:rsid w:val="003A3629"/>
    <w:rsid w:val="003A43A4"/>
    <w:rsid w:val="003A5B7B"/>
    <w:rsid w:val="003A7E18"/>
    <w:rsid w:val="003B1400"/>
    <w:rsid w:val="003B27CD"/>
    <w:rsid w:val="003C4C86"/>
    <w:rsid w:val="003C6258"/>
    <w:rsid w:val="003D28DA"/>
    <w:rsid w:val="003D2BF5"/>
    <w:rsid w:val="003D6C63"/>
    <w:rsid w:val="003E2904"/>
    <w:rsid w:val="003F3916"/>
    <w:rsid w:val="003F4E32"/>
    <w:rsid w:val="004000F0"/>
    <w:rsid w:val="00401927"/>
    <w:rsid w:val="0041027F"/>
    <w:rsid w:val="00412475"/>
    <w:rsid w:val="00423789"/>
    <w:rsid w:val="00440524"/>
    <w:rsid w:val="00440F43"/>
    <w:rsid w:val="00441B6F"/>
    <w:rsid w:val="00445E18"/>
    <w:rsid w:val="00446221"/>
    <w:rsid w:val="00450E62"/>
    <w:rsid w:val="004533D2"/>
    <w:rsid w:val="004539DB"/>
    <w:rsid w:val="004553B5"/>
    <w:rsid w:val="004620DC"/>
    <w:rsid w:val="00471A80"/>
    <w:rsid w:val="004801C2"/>
    <w:rsid w:val="00480F92"/>
    <w:rsid w:val="00490C5D"/>
    <w:rsid w:val="00494485"/>
    <w:rsid w:val="00495F7F"/>
    <w:rsid w:val="00496315"/>
    <w:rsid w:val="00496994"/>
    <w:rsid w:val="0049797E"/>
    <w:rsid w:val="004A095D"/>
    <w:rsid w:val="004B7309"/>
    <w:rsid w:val="004C072F"/>
    <w:rsid w:val="004D305E"/>
    <w:rsid w:val="004D4277"/>
    <w:rsid w:val="004F536B"/>
    <w:rsid w:val="004F63B7"/>
    <w:rsid w:val="00502516"/>
    <w:rsid w:val="00505F06"/>
    <w:rsid w:val="00506828"/>
    <w:rsid w:val="0051314C"/>
    <w:rsid w:val="00522FE1"/>
    <w:rsid w:val="005245BB"/>
    <w:rsid w:val="0053056E"/>
    <w:rsid w:val="00534D5E"/>
    <w:rsid w:val="00554FDA"/>
    <w:rsid w:val="00557529"/>
    <w:rsid w:val="00560CF7"/>
    <w:rsid w:val="005731D3"/>
    <w:rsid w:val="005C784C"/>
    <w:rsid w:val="005D17F6"/>
    <w:rsid w:val="005E5539"/>
    <w:rsid w:val="005F74B4"/>
    <w:rsid w:val="00602BF5"/>
    <w:rsid w:val="0060559C"/>
    <w:rsid w:val="00606D08"/>
    <w:rsid w:val="00617FDD"/>
    <w:rsid w:val="00624F94"/>
    <w:rsid w:val="00633614"/>
    <w:rsid w:val="00633F68"/>
    <w:rsid w:val="00636EB2"/>
    <w:rsid w:val="006375B8"/>
    <w:rsid w:val="0065458B"/>
    <w:rsid w:val="00657BA4"/>
    <w:rsid w:val="0066510A"/>
    <w:rsid w:val="00671575"/>
    <w:rsid w:val="00673F9F"/>
    <w:rsid w:val="00676668"/>
    <w:rsid w:val="0068275D"/>
    <w:rsid w:val="00686953"/>
    <w:rsid w:val="00687DEA"/>
    <w:rsid w:val="00687E67"/>
    <w:rsid w:val="0069309B"/>
    <w:rsid w:val="00693681"/>
    <w:rsid w:val="006936EA"/>
    <w:rsid w:val="00695B0D"/>
    <w:rsid w:val="006967F7"/>
    <w:rsid w:val="006A250C"/>
    <w:rsid w:val="006A4942"/>
    <w:rsid w:val="006A5773"/>
    <w:rsid w:val="006A59C9"/>
    <w:rsid w:val="006B21D3"/>
    <w:rsid w:val="006B57D0"/>
    <w:rsid w:val="006B7745"/>
    <w:rsid w:val="006C2AC9"/>
    <w:rsid w:val="006D30FF"/>
    <w:rsid w:val="006D4520"/>
    <w:rsid w:val="006D4675"/>
    <w:rsid w:val="006D6940"/>
    <w:rsid w:val="006F11EC"/>
    <w:rsid w:val="007005A7"/>
    <w:rsid w:val="0070082C"/>
    <w:rsid w:val="00701017"/>
    <w:rsid w:val="007134E1"/>
    <w:rsid w:val="00722948"/>
    <w:rsid w:val="00733132"/>
    <w:rsid w:val="00734ADA"/>
    <w:rsid w:val="007369E6"/>
    <w:rsid w:val="00743ED9"/>
    <w:rsid w:val="00746E59"/>
    <w:rsid w:val="00754C9A"/>
    <w:rsid w:val="0075599A"/>
    <w:rsid w:val="00761479"/>
    <w:rsid w:val="00761D52"/>
    <w:rsid w:val="0077749E"/>
    <w:rsid w:val="00781F68"/>
    <w:rsid w:val="007840CB"/>
    <w:rsid w:val="00790ADA"/>
    <w:rsid w:val="007C0EC3"/>
    <w:rsid w:val="007D2288"/>
    <w:rsid w:val="007E088F"/>
    <w:rsid w:val="007E47B7"/>
    <w:rsid w:val="007F2E9C"/>
    <w:rsid w:val="007F5F11"/>
    <w:rsid w:val="007F7B32"/>
    <w:rsid w:val="00803F2E"/>
    <w:rsid w:val="00804BC2"/>
    <w:rsid w:val="0081431A"/>
    <w:rsid w:val="00823FC9"/>
    <w:rsid w:val="0083216F"/>
    <w:rsid w:val="0083436D"/>
    <w:rsid w:val="0085192E"/>
    <w:rsid w:val="0085523F"/>
    <w:rsid w:val="0085533E"/>
    <w:rsid w:val="00860000"/>
    <w:rsid w:val="0086113A"/>
    <w:rsid w:val="0086303B"/>
    <w:rsid w:val="00863BD3"/>
    <w:rsid w:val="008641ED"/>
    <w:rsid w:val="00866D66"/>
    <w:rsid w:val="008671C6"/>
    <w:rsid w:val="00875543"/>
    <w:rsid w:val="00875803"/>
    <w:rsid w:val="00876E77"/>
    <w:rsid w:val="008A7281"/>
    <w:rsid w:val="008B459E"/>
    <w:rsid w:val="008D0B2C"/>
    <w:rsid w:val="008D5023"/>
    <w:rsid w:val="008E13AE"/>
    <w:rsid w:val="008E1506"/>
    <w:rsid w:val="008E258A"/>
    <w:rsid w:val="008E710C"/>
    <w:rsid w:val="008E7FFC"/>
    <w:rsid w:val="008F3EBD"/>
    <w:rsid w:val="008F69D6"/>
    <w:rsid w:val="008F794A"/>
    <w:rsid w:val="00901C8C"/>
    <w:rsid w:val="00902823"/>
    <w:rsid w:val="00903BC4"/>
    <w:rsid w:val="00911EEC"/>
    <w:rsid w:val="00915CA6"/>
    <w:rsid w:val="00917557"/>
    <w:rsid w:val="00923F0A"/>
    <w:rsid w:val="00927834"/>
    <w:rsid w:val="009500A6"/>
    <w:rsid w:val="00957C18"/>
    <w:rsid w:val="009632CF"/>
    <w:rsid w:val="009659BA"/>
    <w:rsid w:val="009748CE"/>
    <w:rsid w:val="00980D7C"/>
    <w:rsid w:val="00983040"/>
    <w:rsid w:val="00983748"/>
    <w:rsid w:val="009908BB"/>
    <w:rsid w:val="00995882"/>
    <w:rsid w:val="009A734B"/>
    <w:rsid w:val="009B3981"/>
    <w:rsid w:val="009B3FB9"/>
    <w:rsid w:val="009C11C7"/>
    <w:rsid w:val="009C2465"/>
    <w:rsid w:val="009D1BAD"/>
    <w:rsid w:val="009D35A0"/>
    <w:rsid w:val="009D7EB7"/>
    <w:rsid w:val="009E048A"/>
    <w:rsid w:val="009E08E9"/>
    <w:rsid w:val="009E3AC1"/>
    <w:rsid w:val="009E3DB9"/>
    <w:rsid w:val="009E6E35"/>
    <w:rsid w:val="009F0EDA"/>
    <w:rsid w:val="00A03B96"/>
    <w:rsid w:val="00A05B19"/>
    <w:rsid w:val="00A1134E"/>
    <w:rsid w:val="00A24E7E"/>
    <w:rsid w:val="00A258C3"/>
    <w:rsid w:val="00A25B14"/>
    <w:rsid w:val="00A347C0"/>
    <w:rsid w:val="00A466E3"/>
    <w:rsid w:val="00A477D6"/>
    <w:rsid w:val="00A51431"/>
    <w:rsid w:val="00A539AD"/>
    <w:rsid w:val="00A61062"/>
    <w:rsid w:val="00A61DF3"/>
    <w:rsid w:val="00A7658E"/>
    <w:rsid w:val="00A76B61"/>
    <w:rsid w:val="00A84B44"/>
    <w:rsid w:val="00A85AA2"/>
    <w:rsid w:val="00A90788"/>
    <w:rsid w:val="00A94063"/>
    <w:rsid w:val="00A960CC"/>
    <w:rsid w:val="00AA2E48"/>
    <w:rsid w:val="00AA6219"/>
    <w:rsid w:val="00AA74E0"/>
    <w:rsid w:val="00AB703F"/>
    <w:rsid w:val="00AC0BD9"/>
    <w:rsid w:val="00AC6BB8"/>
    <w:rsid w:val="00AE008F"/>
    <w:rsid w:val="00AF2033"/>
    <w:rsid w:val="00AF65AE"/>
    <w:rsid w:val="00B01FCD"/>
    <w:rsid w:val="00B0353D"/>
    <w:rsid w:val="00B13E46"/>
    <w:rsid w:val="00B14CFA"/>
    <w:rsid w:val="00B1590B"/>
    <w:rsid w:val="00B1776C"/>
    <w:rsid w:val="00B32BFD"/>
    <w:rsid w:val="00B41F59"/>
    <w:rsid w:val="00B44119"/>
    <w:rsid w:val="00B4729F"/>
    <w:rsid w:val="00B47600"/>
    <w:rsid w:val="00B52583"/>
    <w:rsid w:val="00B52896"/>
    <w:rsid w:val="00B7489A"/>
    <w:rsid w:val="00B751EA"/>
    <w:rsid w:val="00B90848"/>
    <w:rsid w:val="00B95236"/>
    <w:rsid w:val="00B96BD9"/>
    <w:rsid w:val="00BA10E7"/>
    <w:rsid w:val="00BA1B01"/>
    <w:rsid w:val="00BA2641"/>
    <w:rsid w:val="00BA3952"/>
    <w:rsid w:val="00BA545E"/>
    <w:rsid w:val="00BB37AA"/>
    <w:rsid w:val="00BB7BD4"/>
    <w:rsid w:val="00BC5279"/>
    <w:rsid w:val="00BC53A0"/>
    <w:rsid w:val="00BC5CCF"/>
    <w:rsid w:val="00BE62AD"/>
    <w:rsid w:val="00BF121F"/>
    <w:rsid w:val="00BF1F80"/>
    <w:rsid w:val="00C11075"/>
    <w:rsid w:val="00C11233"/>
    <w:rsid w:val="00C166EF"/>
    <w:rsid w:val="00C17EB0"/>
    <w:rsid w:val="00C201CD"/>
    <w:rsid w:val="00C27F5F"/>
    <w:rsid w:val="00C30A0F"/>
    <w:rsid w:val="00C34B21"/>
    <w:rsid w:val="00C37E61"/>
    <w:rsid w:val="00C47CFB"/>
    <w:rsid w:val="00C56FAD"/>
    <w:rsid w:val="00C669F4"/>
    <w:rsid w:val="00C70F1B"/>
    <w:rsid w:val="00C71A47"/>
    <w:rsid w:val="00C71D47"/>
    <w:rsid w:val="00C7464C"/>
    <w:rsid w:val="00C85588"/>
    <w:rsid w:val="00C93573"/>
    <w:rsid w:val="00CA7582"/>
    <w:rsid w:val="00CB5406"/>
    <w:rsid w:val="00CC2818"/>
    <w:rsid w:val="00CD6755"/>
    <w:rsid w:val="00CD6856"/>
    <w:rsid w:val="00CE0089"/>
    <w:rsid w:val="00CE5A0E"/>
    <w:rsid w:val="00CE793C"/>
    <w:rsid w:val="00CF193C"/>
    <w:rsid w:val="00D046EB"/>
    <w:rsid w:val="00D173F1"/>
    <w:rsid w:val="00D21DF5"/>
    <w:rsid w:val="00D30E25"/>
    <w:rsid w:val="00D56B74"/>
    <w:rsid w:val="00D7358C"/>
    <w:rsid w:val="00D74BE5"/>
    <w:rsid w:val="00D74CB0"/>
    <w:rsid w:val="00D8295D"/>
    <w:rsid w:val="00D97BE4"/>
    <w:rsid w:val="00DA21C3"/>
    <w:rsid w:val="00DC2A65"/>
    <w:rsid w:val="00DC65C3"/>
    <w:rsid w:val="00DD7585"/>
    <w:rsid w:val="00DE15F0"/>
    <w:rsid w:val="00DE4EA3"/>
    <w:rsid w:val="00DE5663"/>
    <w:rsid w:val="00DE78AA"/>
    <w:rsid w:val="00DF6A76"/>
    <w:rsid w:val="00E02941"/>
    <w:rsid w:val="00E053D0"/>
    <w:rsid w:val="00E15994"/>
    <w:rsid w:val="00E3114E"/>
    <w:rsid w:val="00E31A70"/>
    <w:rsid w:val="00E34FE8"/>
    <w:rsid w:val="00E35B02"/>
    <w:rsid w:val="00E42766"/>
    <w:rsid w:val="00E4792D"/>
    <w:rsid w:val="00E64F3C"/>
    <w:rsid w:val="00E66496"/>
    <w:rsid w:val="00E66B35"/>
    <w:rsid w:val="00E66E10"/>
    <w:rsid w:val="00E769F6"/>
    <w:rsid w:val="00E83F3F"/>
    <w:rsid w:val="00E8407C"/>
    <w:rsid w:val="00E84F3C"/>
    <w:rsid w:val="00E87205"/>
    <w:rsid w:val="00E948E9"/>
    <w:rsid w:val="00E970C7"/>
    <w:rsid w:val="00EA012C"/>
    <w:rsid w:val="00EA0258"/>
    <w:rsid w:val="00EA146F"/>
    <w:rsid w:val="00EB545D"/>
    <w:rsid w:val="00EC0019"/>
    <w:rsid w:val="00EC141A"/>
    <w:rsid w:val="00EC33E0"/>
    <w:rsid w:val="00EC4810"/>
    <w:rsid w:val="00EC6A55"/>
    <w:rsid w:val="00ED0288"/>
    <w:rsid w:val="00ED30F2"/>
    <w:rsid w:val="00EE0E44"/>
    <w:rsid w:val="00EE52CB"/>
    <w:rsid w:val="00EF564D"/>
    <w:rsid w:val="00EF581D"/>
    <w:rsid w:val="00EF6AA4"/>
    <w:rsid w:val="00EF7FD8"/>
    <w:rsid w:val="00F056DE"/>
    <w:rsid w:val="00F06F59"/>
    <w:rsid w:val="00F124CB"/>
    <w:rsid w:val="00F17988"/>
    <w:rsid w:val="00F21B12"/>
    <w:rsid w:val="00F23329"/>
    <w:rsid w:val="00F265DC"/>
    <w:rsid w:val="00F32CD9"/>
    <w:rsid w:val="00F34EC2"/>
    <w:rsid w:val="00F354BA"/>
    <w:rsid w:val="00F3670D"/>
    <w:rsid w:val="00F367F7"/>
    <w:rsid w:val="00F37C8E"/>
    <w:rsid w:val="00F469F0"/>
    <w:rsid w:val="00F53273"/>
    <w:rsid w:val="00F5756F"/>
    <w:rsid w:val="00F755E4"/>
    <w:rsid w:val="00F76215"/>
    <w:rsid w:val="00F77D02"/>
    <w:rsid w:val="00F81B4F"/>
    <w:rsid w:val="00F81D67"/>
    <w:rsid w:val="00F83C98"/>
    <w:rsid w:val="00F97528"/>
    <w:rsid w:val="00FB3A86"/>
    <w:rsid w:val="00FB4CFA"/>
    <w:rsid w:val="00FC37EC"/>
    <w:rsid w:val="00FC634E"/>
    <w:rsid w:val="00FD36C8"/>
    <w:rsid w:val="00FD535F"/>
    <w:rsid w:val="00FE1888"/>
    <w:rsid w:val="00FF429B"/>
    <w:rsid w:val="00FF7EF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40047"/>
  <w15:docId w15:val="{ED0C38F1-07C5-4E9E-AA4A-5635B5E3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aliases w:val="Tabel,Body of text,Heading 2 Char1,Char Char,judul,List Paragraph1,Body Text Char1,Char Char2,sub de titre 4,ANNEX"/>
    <w:basedOn w:val="Normal"/>
    <w:link w:val="ListParagraphChar"/>
    <w:uiPriority w:val="34"/>
    <w:qFormat/>
    <w:rsid w:val="00A477D6"/>
    <w:pPr>
      <w:spacing w:after="160" w:line="259" w:lineRule="auto"/>
      <w:ind w:left="720"/>
      <w:contextualSpacing/>
    </w:pPr>
    <w:rPr>
      <w:rFonts w:ascii="Calibri" w:eastAsia="Calibri" w:hAnsi="Calibri" w:cs="Calibri"/>
      <w:sz w:val="22"/>
      <w:szCs w:val="22"/>
    </w:rPr>
  </w:style>
  <w:style w:type="character" w:customStyle="1" w:styleId="ListParagraphChar">
    <w:name w:val="List Paragraph Char"/>
    <w:aliases w:val="Tabel Char,Body of text Char,Heading 2 Char1 Char,Char Char Char,judul Char,List Paragraph1 Char,Body Text Char1 Char,Char Char2 Char,sub de titre 4 Char,ANNEX Char"/>
    <w:basedOn w:val="DefaultParagraphFont"/>
    <w:link w:val="ListParagraph"/>
    <w:uiPriority w:val="34"/>
    <w:qFormat/>
    <w:locked/>
    <w:rsid w:val="00A477D6"/>
    <w:rPr>
      <w:rFonts w:ascii="Calibri" w:eastAsia="Calibri" w:hAnsi="Calibri" w:cs="Calibri"/>
      <w:sz w:val="22"/>
      <w:szCs w:val="22"/>
    </w:rPr>
  </w:style>
  <w:style w:type="character" w:styleId="Strong">
    <w:name w:val="Strong"/>
    <w:basedOn w:val="DefaultParagraphFont"/>
    <w:uiPriority w:val="22"/>
    <w:qFormat/>
    <w:rsid w:val="00A477D6"/>
    <w:rPr>
      <w:b/>
      <w:bCs/>
    </w:rPr>
  </w:style>
  <w:style w:type="paragraph" w:styleId="Caption">
    <w:name w:val="caption"/>
    <w:basedOn w:val="Normal"/>
    <w:next w:val="Normal"/>
    <w:uiPriority w:val="35"/>
    <w:unhideWhenUsed/>
    <w:qFormat/>
    <w:rsid w:val="008D5023"/>
    <w:pPr>
      <w:spacing w:after="200"/>
    </w:pPr>
    <w:rPr>
      <w:rFonts w:asciiTheme="minorHAnsi" w:eastAsiaTheme="minorHAnsi" w:hAnsiTheme="minorHAnsi" w:cstheme="minorBidi"/>
      <w:b/>
      <w:bCs/>
      <w:color w:val="4F81BD" w:themeColor="accent1"/>
      <w:sz w:val="18"/>
      <w:szCs w:val="18"/>
      <w:lang w:val="id-ID"/>
    </w:rPr>
  </w:style>
  <w:style w:type="character" w:customStyle="1" w:styleId="apple-tab-span">
    <w:name w:val="apple-tab-span"/>
    <w:basedOn w:val="DefaultParagraphFont"/>
    <w:rsid w:val="00F265DC"/>
  </w:style>
  <w:style w:type="paragraph" w:customStyle="1" w:styleId="Default">
    <w:name w:val="Default"/>
    <w:rsid w:val="001D33F2"/>
    <w:pPr>
      <w:autoSpaceDE w:val="0"/>
      <w:autoSpaceDN w:val="0"/>
      <w:adjustRightInd w:val="0"/>
    </w:pPr>
    <w:rPr>
      <w:rFonts w:eastAsiaTheme="minorHAnsi"/>
      <w:color w:val="000000"/>
      <w:sz w:val="24"/>
      <w:szCs w:val="24"/>
    </w:rPr>
  </w:style>
  <w:style w:type="paragraph" w:styleId="NormalWeb">
    <w:name w:val="Normal (Web)"/>
    <w:basedOn w:val="Normal"/>
    <w:uiPriority w:val="99"/>
    <w:unhideWhenUsed/>
    <w:rsid w:val="0022255C"/>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2D4B89"/>
    <w:rPr>
      <w:color w:val="605E5C"/>
      <w:shd w:val="clear" w:color="auto" w:fill="E1DFDD"/>
    </w:rPr>
  </w:style>
  <w:style w:type="paragraph" w:styleId="CommentSubject">
    <w:name w:val="annotation subject"/>
    <w:basedOn w:val="CommentText"/>
    <w:next w:val="CommentText"/>
    <w:link w:val="CommentSubjectChar"/>
    <w:semiHidden/>
    <w:unhideWhenUsed/>
    <w:rsid w:val="0069309B"/>
    <w:rPr>
      <w:rFonts w:ascii="Helvetica" w:hAnsi="Helvetica"/>
      <w:b/>
      <w:bCs/>
      <w:lang w:val="en-US" w:eastAsia="en-US"/>
    </w:rPr>
  </w:style>
  <w:style w:type="character" w:customStyle="1" w:styleId="CommentSubjectChar">
    <w:name w:val="Comment Subject Char"/>
    <w:basedOn w:val="CommentTextChar"/>
    <w:link w:val="CommentSubject"/>
    <w:semiHidden/>
    <w:rsid w:val="0069309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263685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863200">
      <w:bodyDiv w:val="1"/>
      <w:marLeft w:val="0"/>
      <w:marRight w:val="0"/>
      <w:marTop w:val="0"/>
      <w:marBottom w:val="0"/>
      <w:divBdr>
        <w:top w:val="none" w:sz="0" w:space="0" w:color="auto"/>
        <w:left w:val="none" w:sz="0" w:space="0" w:color="auto"/>
        <w:bottom w:val="none" w:sz="0" w:space="0" w:color="auto"/>
        <w:right w:val="none" w:sz="0" w:space="0" w:color="auto"/>
      </w:divBdr>
    </w:div>
    <w:div w:id="18764459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7606151">
      <w:bodyDiv w:val="1"/>
      <w:marLeft w:val="0"/>
      <w:marRight w:val="0"/>
      <w:marTop w:val="0"/>
      <w:marBottom w:val="0"/>
      <w:divBdr>
        <w:top w:val="none" w:sz="0" w:space="0" w:color="auto"/>
        <w:left w:val="none" w:sz="0" w:space="0" w:color="auto"/>
        <w:bottom w:val="none" w:sz="0" w:space="0" w:color="auto"/>
        <w:right w:val="none" w:sz="0" w:space="0" w:color="auto"/>
      </w:divBdr>
    </w:div>
    <w:div w:id="493883699">
      <w:bodyDiv w:val="1"/>
      <w:marLeft w:val="0"/>
      <w:marRight w:val="0"/>
      <w:marTop w:val="0"/>
      <w:marBottom w:val="0"/>
      <w:divBdr>
        <w:top w:val="none" w:sz="0" w:space="0" w:color="auto"/>
        <w:left w:val="none" w:sz="0" w:space="0" w:color="auto"/>
        <w:bottom w:val="none" w:sz="0" w:space="0" w:color="auto"/>
        <w:right w:val="none" w:sz="0" w:space="0" w:color="auto"/>
      </w:divBdr>
    </w:div>
    <w:div w:id="519903144">
      <w:bodyDiv w:val="1"/>
      <w:marLeft w:val="0"/>
      <w:marRight w:val="0"/>
      <w:marTop w:val="0"/>
      <w:marBottom w:val="0"/>
      <w:divBdr>
        <w:top w:val="none" w:sz="0" w:space="0" w:color="auto"/>
        <w:left w:val="none" w:sz="0" w:space="0" w:color="auto"/>
        <w:bottom w:val="none" w:sz="0" w:space="0" w:color="auto"/>
        <w:right w:val="none" w:sz="0" w:space="0" w:color="auto"/>
      </w:divBdr>
    </w:div>
    <w:div w:id="629556079">
      <w:bodyDiv w:val="1"/>
      <w:marLeft w:val="0"/>
      <w:marRight w:val="0"/>
      <w:marTop w:val="0"/>
      <w:marBottom w:val="0"/>
      <w:divBdr>
        <w:top w:val="none" w:sz="0" w:space="0" w:color="auto"/>
        <w:left w:val="none" w:sz="0" w:space="0" w:color="auto"/>
        <w:bottom w:val="none" w:sz="0" w:space="0" w:color="auto"/>
        <w:right w:val="none" w:sz="0" w:space="0" w:color="auto"/>
      </w:divBdr>
    </w:div>
    <w:div w:id="6343340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055417">
      <w:bodyDiv w:val="1"/>
      <w:marLeft w:val="0"/>
      <w:marRight w:val="0"/>
      <w:marTop w:val="0"/>
      <w:marBottom w:val="0"/>
      <w:divBdr>
        <w:top w:val="none" w:sz="0" w:space="0" w:color="auto"/>
        <w:left w:val="none" w:sz="0" w:space="0" w:color="auto"/>
        <w:bottom w:val="none" w:sz="0" w:space="0" w:color="auto"/>
        <w:right w:val="none" w:sz="0" w:space="0" w:color="auto"/>
      </w:divBdr>
    </w:div>
    <w:div w:id="837427623">
      <w:bodyDiv w:val="1"/>
      <w:marLeft w:val="0"/>
      <w:marRight w:val="0"/>
      <w:marTop w:val="0"/>
      <w:marBottom w:val="0"/>
      <w:divBdr>
        <w:top w:val="none" w:sz="0" w:space="0" w:color="auto"/>
        <w:left w:val="none" w:sz="0" w:space="0" w:color="auto"/>
        <w:bottom w:val="none" w:sz="0" w:space="0" w:color="auto"/>
        <w:right w:val="none" w:sz="0" w:space="0" w:color="auto"/>
      </w:divBdr>
    </w:div>
    <w:div w:id="9793786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26482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6260317">
      <w:bodyDiv w:val="1"/>
      <w:marLeft w:val="0"/>
      <w:marRight w:val="0"/>
      <w:marTop w:val="0"/>
      <w:marBottom w:val="0"/>
      <w:divBdr>
        <w:top w:val="none" w:sz="0" w:space="0" w:color="auto"/>
        <w:left w:val="none" w:sz="0" w:space="0" w:color="auto"/>
        <w:bottom w:val="none" w:sz="0" w:space="0" w:color="auto"/>
        <w:right w:val="none" w:sz="0" w:space="0" w:color="auto"/>
      </w:divBdr>
    </w:div>
    <w:div w:id="1266502295">
      <w:bodyDiv w:val="1"/>
      <w:marLeft w:val="0"/>
      <w:marRight w:val="0"/>
      <w:marTop w:val="0"/>
      <w:marBottom w:val="0"/>
      <w:divBdr>
        <w:top w:val="none" w:sz="0" w:space="0" w:color="auto"/>
        <w:left w:val="none" w:sz="0" w:space="0" w:color="auto"/>
        <w:bottom w:val="none" w:sz="0" w:space="0" w:color="auto"/>
        <w:right w:val="none" w:sz="0" w:space="0" w:color="auto"/>
      </w:divBdr>
    </w:div>
    <w:div w:id="1385526069">
      <w:bodyDiv w:val="1"/>
      <w:marLeft w:val="0"/>
      <w:marRight w:val="0"/>
      <w:marTop w:val="0"/>
      <w:marBottom w:val="0"/>
      <w:divBdr>
        <w:top w:val="none" w:sz="0" w:space="0" w:color="auto"/>
        <w:left w:val="none" w:sz="0" w:space="0" w:color="auto"/>
        <w:bottom w:val="none" w:sz="0" w:space="0" w:color="auto"/>
        <w:right w:val="none" w:sz="0" w:space="0" w:color="auto"/>
      </w:divBdr>
    </w:div>
    <w:div w:id="146362122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5357425">
      <w:bodyDiv w:val="1"/>
      <w:marLeft w:val="0"/>
      <w:marRight w:val="0"/>
      <w:marTop w:val="0"/>
      <w:marBottom w:val="0"/>
      <w:divBdr>
        <w:top w:val="none" w:sz="0" w:space="0" w:color="auto"/>
        <w:left w:val="none" w:sz="0" w:space="0" w:color="auto"/>
        <w:bottom w:val="none" w:sz="0" w:space="0" w:color="auto"/>
        <w:right w:val="none" w:sz="0" w:space="0" w:color="auto"/>
      </w:divBdr>
    </w:div>
    <w:div w:id="214338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5.xml"/><Relationship Id="rId21" Type="http://schemas.openxmlformats.org/officeDocument/2006/relationships/image" Target="media/image4.png"/><Relationship Id="rId34" Type="http://schemas.openxmlformats.org/officeDocument/2006/relationships/hyperlink" Target="https://doi.org/10.30595/pspfs.v4i.47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png"/><Relationship Id="rId32" Type="http://schemas.openxmlformats.org/officeDocument/2006/relationships/hyperlink" Target="https://doi.org/10.21776/ub.jtsl.2021.008.2.20" TargetMode="External"/><Relationship Id="rId37" Type="http://schemas.openxmlformats.org/officeDocument/2006/relationships/hyperlink" Target="https://doi.org/10.5614/sostek.itbj.2017.16.3.7"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oi.org/10.14692/jfi.20.2.57" TargetMode="Externa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hyperlink" Target="https://doi.org/10.32502/altifani.v3i1.5316" TargetMode="External"/><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yperlink" Target="https://doi.org/10.21776/ub.journalhpt.2022.010.1.4" TargetMode="External"/><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SKRIPSI%20DEWI%20JULIANA\New%20Proposal\Data%20Mentah%20Dewi%20Juliana%20E1J022025%20ke%20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SKRIPSI%20DEWI%20JULIANA\New%20Proposal\Data%20Mentah%20Dewi%20Juliana%20E1J022025%20ke%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60834470997604"/>
          <c:y val="5.1451472172878585E-2"/>
          <c:w val="0.63940023258914014"/>
          <c:h val="0.39936045367508394"/>
        </c:manualLayout>
      </c:layout>
      <c:lineChart>
        <c:grouping val="standard"/>
        <c:varyColors val="0"/>
        <c:ser>
          <c:idx val="0"/>
          <c:order val="0"/>
          <c:tx>
            <c:strRef>
              <c:f>'Tinggi Tajuk'!$K$29</c:f>
              <c:strCache>
                <c:ptCount val="1"/>
                <c:pt idx="0">
                  <c:v>P0 = 220 kg of sandy soil</c:v>
                </c:pt>
              </c:strCache>
            </c:strRef>
          </c:tx>
          <c:cat>
            <c:strRef>
              <c:f>'Tinggi Tajuk'!$L$28:$Q$28</c:f>
              <c:strCache>
                <c:ptCount val="6"/>
                <c:pt idx="0">
                  <c:v>2 WAP</c:v>
                </c:pt>
                <c:pt idx="1">
                  <c:v>3 WAP</c:v>
                </c:pt>
                <c:pt idx="2">
                  <c:v>4 WAP</c:v>
                </c:pt>
                <c:pt idx="3">
                  <c:v>5 WAP</c:v>
                </c:pt>
                <c:pt idx="4">
                  <c:v>6 WAP</c:v>
                </c:pt>
                <c:pt idx="5">
                  <c:v>7 WAP</c:v>
                </c:pt>
              </c:strCache>
            </c:strRef>
          </c:cat>
          <c:val>
            <c:numRef>
              <c:f>'Tinggi Tajuk'!$L$29:$Q$29</c:f>
              <c:numCache>
                <c:formatCode>0.00</c:formatCode>
                <c:ptCount val="6"/>
                <c:pt idx="0">
                  <c:v>10.166666666666666</c:v>
                </c:pt>
                <c:pt idx="1">
                  <c:v>14.1</c:v>
                </c:pt>
                <c:pt idx="2">
                  <c:v>17.133333333333333</c:v>
                </c:pt>
                <c:pt idx="3">
                  <c:v>18.766666666666666</c:v>
                </c:pt>
                <c:pt idx="4">
                  <c:v>19.833333333333332</c:v>
                </c:pt>
                <c:pt idx="5">
                  <c:v>21.2</c:v>
                </c:pt>
              </c:numCache>
            </c:numRef>
          </c:val>
          <c:smooth val="0"/>
          <c:extLst>
            <c:ext xmlns:c16="http://schemas.microsoft.com/office/drawing/2014/chart" uri="{C3380CC4-5D6E-409C-BE32-E72D297353CC}">
              <c16:uniqueId val="{00000000-ACE2-4757-ADA2-BEB5AD2D3F94}"/>
            </c:ext>
          </c:extLst>
        </c:ser>
        <c:ser>
          <c:idx val="1"/>
          <c:order val="1"/>
          <c:tx>
            <c:strRef>
              <c:f>'Tinggi Tajuk'!$K$30</c:f>
              <c:strCache>
                <c:ptCount val="1"/>
                <c:pt idx="0">
                  <c:v>P1 = 220 kg sandy soil + 20 kg ultisol + 10 kg weed ameliorant</c:v>
                </c:pt>
              </c:strCache>
            </c:strRef>
          </c:tx>
          <c:cat>
            <c:strRef>
              <c:f>'Tinggi Tajuk'!$L$28:$Q$28</c:f>
              <c:strCache>
                <c:ptCount val="6"/>
                <c:pt idx="0">
                  <c:v>2 WAP</c:v>
                </c:pt>
                <c:pt idx="1">
                  <c:v>3 WAP</c:v>
                </c:pt>
                <c:pt idx="2">
                  <c:v>4 WAP</c:v>
                </c:pt>
                <c:pt idx="3">
                  <c:v>5 WAP</c:v>
                </c:pt>
                <c:pt idx="4">
                  <c:v>6 WAP</c:v>
                </c:pt>
                <c:pt idx="5">
                  <c:v>7 WAP</c:v>
                </c:pt>
              </c:strCache>
            </c:strRef>
          </c:cat>
          <c:val>
            <c:numRef>
              <c:f>'Tinggi Tajuk'!$L$30:$Q$30</c:f>
              <c:numCache>
                <c:formatCode>0.00</c:formatCode>
                <c:ptCount val="6"/>
                <c:pt idx="0">
                  <c:v>12.94</c:v>
                </c:pt>
                <c:pt idx="1">
                  <c:v>17.88</c:v>
                </c:pt>
                <c:pt idx="2">
                  <c:v>22.666666666666668</c:v>
                </c:pt>
                <c:pt idx="3">
                  <c:v>23.933333333333337</c:v>
                </c:pt>
                <c:pt idx="4">
                  <c:v>26.133333333333336</c:v>
                </c:pt>
                <c:pt idx="5">
                  <c:v>30.066666666666663</c:v>
                </c:pt>
              </c:numCache>
            </c:numRef>
          </c:val>
          <c:smooth val="0"/>
          <c:extLst>
            <c:ext xmlns:c16="http://schemas.microsoft.com/office/drawing/2014/chart" uri="{C3380CC4-5D6E-409C-BE32-E72D297353CC}">
              <c16:uniqueId val="{00000001-ACE2-4757-ADA2-BEB5AD2D3F94}"/>
            </c:ext>
          </c:extLst>
        </c:ser>
        <c:ser>
          <c:idx val="2"/>
          <c:order val="2"/>
          <c:tx>
            <c:strRef>
              <c:f>'Tinggi Tajuk'!$K$31</c:f>
              <c:strCache>
                <c:ptCount val="1"/>
                <c:pt idx="0">
                  <c:v>P2 = 220 kg sandy soil + 20 kg ultisol + 10 kg chicken manure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Tajuk'!$L$31:$Q$31</c:f>
              <c:numCache>
                <c:formatCode>0.00</c:formatCode>
                <c:ptCount val="6"/>
                <c:pt idx="0">
                  <c:v>10.133333333333335</c:v>
                </c:pt>
                <c:pt idx="1">
                  <c:v>14.26</c:v>
                </c:pt>
                <c:pt idx="2">
                  <c:v>20.966666666666669</c:v>
                </c:pt>
                <c:pt idx="3">
                  <c:v>24.8</c:v>
                </c:pt>
                <c:pt idx="4">
                  <c:v>29.400000000000002</c:v>
                </c:pt>
                <c:pt idx="5">
                  <c:v>31.466666666666669</c:v>
                </c:pt>
              </c:numCache>
            </c:numRef>
          </c:val>
          <c:smooth val="0"/>
          <c:extLst>
            <c:ext xmlns:c16="http://schemas.microsoft.com/office/drawing/2014/chart" uri="{C3380CC4-5D6E-409C-BE32-E72D297353CC}">
              <c16:uniqueId val="{00000002-ACE2-4757-ADA2-BEB5AD2D3F94}"/>
            </c:ext>
          </c:extLst>
        </c:ser>
        <c:ser>
          <c:idx val="3"/>
          <c:order val="3"/>
          <c:tx>
            <c:strRef>
              <c:f>'Tinggi Tajuk'!$K$32</c:f>
              <c:strCache>
                <c:ptCount val="1"/>
                <c:pt idx="0">
                  <c:v>P3 = 220 kg sandy soil + 30 kg ultisol + 20 kg weed ameliorant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Tajuk'!$L$32:$Q$32</c:f>
              <c:numCache>
                <c:formatCode>0.00</c:formatCode>
                <c:ptCount val="6"/>
                <c:pt idx="0">
                  <c:v>13.466666666666669</c:v>
                </c:pt>
                <c:pt idx="1">
                  <c:v>19</c:v>
                </c:pt>
                <c:pt idx="2">
                  <c:v>24.433333333333334</c:v>
                </c:pt>
                <c:pt idx="3">
                  <c:v>27.666666666666668</c:v>
                </c:pt>
                <c:pt idx="4">
                  <c:v>30.893333333333334</c:v>
                </c:pt>
                <c:pt idx="5">
                  <c:v>32.533333333333331</c:v>
                </c:pt>
              </c:numCache>
            </c:numRef>
          </c:val>
          <c:smooth val="0"/>
          <c:extLst>
            <c:ext xmlns:c16="http://schemas.microsoft.com/office/drawing/2014/chart" uri="{C3380CC4-5D6E-409C-BE32-E72D297353CC}">
              <c16:uniqueId val="{00000003-ACE2-4757-ADA2-BEB5AD2D3F94}"/>
            </c:ext>
          </c:extLst>
        </c:ser>
        <c:ser>
          <c:idx val="4"/>
          <c:order val="4"/>
          <c:tx>
            <c:strRef>
              <c:f>'Tinggi Tajuk'!$K$33</c:f>
              <c:strCache>
                <c:ptCount val="1"/>
                <c:pt idx="0">
                  <c:v>P4 = 220 kg sandy soil + 30 kg ultisol + 20 kg chicken manure</c:v>
                </c:pt>
              </c:strCache>
            </c:strRef>
          </c:tx>
          <c:cat>
            <c:strRef>
              <c:f>'Tinggi Tajuk'!$L$28:$Q$28</c:f>
              <c:strCache>
                <c:ptCount val="6"/>
                <c:pt idx="0">
                  <c:v>2 WAP</c:v>
                </c:pt>
                <c:pt idx="1">
                  <c:v>3 WAP</c:v>
                </c:pt>
                <c:pt idx="2">
                  <c:v>4 WAP</c:v>
                </c:pt>
                <c:pt idx="3">
                  <c:v>5 WAP</c:v>
                </c:pt>
                <c:pt idx="4">
                  <c:v>6 WAP</c:v>
                </c:pt>
                <c:pt idx="5">
                  <c:v>7 WAP</c:v>
                </c:pt>
              </c:strCache>
            </c:strRef>
          </c:cat>
          <c:val>
            <c:numRef>
              <c:f>'Tinggi Tajuk'!$L$33:$Q$33</c:f>
              <c:numCache>
                <c:formatCode>0.00</c:formatCode>
                <c:ptCount val="6"/>
                <c:pt idx="0">
                  <c:v>4.5733333333333333</c:v>
                </c:pt>
                <c:pt idx="1">
                  <c:v>9.5</c:v>
                </c:pt>
                <c:pt idx="2">
                  <c:v>15.1</c:v>
                </c:pt>
                <c:pt idx="3">
                  <c:v>19.933333333333334</c:v>
                </c:pt>
                <c:pt idx="4">
                  <c:v>24.8</c:v>
                </c:pt>
                <c:pt idx="5">
                  <c:v>28.2</c:v>
                </c:pt>
              </c:numCache>
            </c:numRef>
          </c:val>
          <c:smooth val="0"/>
          <c:extLst>
            <c:ext xmlns:c16="http://schemas.microsoft.com/office/drawing/2014/chart" uri="{C3380CC4-5D6E-409C-BE32-E72D297353CC}">
              <c16:uniqueId val="{00000004-ACE2-4757-ADA2-BEB5AD2D3F94}"/>
            </c:ext>
          </c:extLst>
        </c:ser>
        <c:ser>
          <c:idx val="5"/>
          <c:order val="5"/>
          <c:tx>
            <c:strRef>
              <c:f>'Tinggi Tajuk'!$K$34</c:f>
              <c:strCache>
                <c:ptCount val="1"/>
                <c:pt idx="0">
                  <c:v>P5 = 220 kg sandy soil + 40 kg ultisol + 30 kg weed ameliorant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Tajuk'!$L$34:$Q$34</c:f>
              <c:numCache>
                <c:formatCode>0.00</c:formatCode>
                <c:ptCount val="6"/>
                <c:pt idx="0">
                  <c:v>13.54</c:v>
                </c:pt>
                <c:pt idx="1">
                  <c:v>20.34</c:v>
                </c:pt>
                <c:pt idx="2">
                  <c:v>25.433333333333334</c:v>
                </c:pt>
                <c:pt idx="3">
                  <c:v>27.866666666666664</c:v>
                </c:pt>
                <c:pt idx="4">
                  <c:v>29.866666666666664</c:v>
                </c:pt>
                <c:pt idx="5">
                  <c:v>32.4</c:v>
                </c:pt>
              </c:numCache>
            </c:numRef>
          </c:val>
          <c:smooth val="0"/>
          <c:extLst>
            <c:ext xmlns:c16="http://schemas.microsoft.com/office/drawing/2014/chart" uri="{C3380CC4-5D6E-409C-BE32-E72D297353CC}">
              <c16:uniqueId val="{00000005-ACE2-4757-ADA2-BEB5AD2D3F94}"/>
            </c:ext>
          </c:extLst>
        </c:ser>
        <c:ser>
          <c:idx val="6"/>
          <c:order val="6"/>
          <c:tx>
            <c:strRef>
              <c:f>'Tinggi Tajuk'!$K$35</c:f>
              <c:strCache>
                <c:ptCount val="1"/>
                <c:pt idx="0">
                  <c:v>P6 = 220 kg sandy soil + 40 kg ultisol + 30 kg chicken manure</c:v>
                </c:pt>
              </c:strCache>
            </c:strRef>
          </c:tx>
          <c:cat>
            <c:strRef>
              <c:f>'Tinggi Tajuk'!$L$28:$Q$28</c:f>
              <c:strCache>
                <c:ptCount val="6"/>
                <c:pt idx="0">
                  <c:v>2 WAP</c:v>
                </c:pt>
                <c:pt idx="1">
                  <c:v>3 WAP</c:v>
                </c:pt>
                <c:pt idx="2">
                  <c:v>4 WAP</c:v>
                </c:pt>
                <c:pt idx="3">
                  <c:v>5 WAP</c:v>
                </c:pt>
                <c:pt idx="4">
                  <c:v>6 WAP</c:v>
                </c:pt>
                <c:pt idx="5">
                  <c:v>7 WAP</c:v>
                </c:pt>
              </c:strCache>
            </c:strRef>
          </c:cat>
          <c:val>
            <c:numRef>
              <c:f>'Tinggi Tajuk'!$L$35:$Q$35</c:f>
              <c:numCache>
                <c:formatCode>0.00</c:formatCode>
                <c:ptCount val="6"/>
                <c:pt idx="0">
                  <c:v>2.973333333333334</c:v>
                </c:pt>
                <c:pt idx="1">
                  <c:v>4.8999999999999995</c:v>
                </c:pt>
                <c:pt idx="2">
                  <c:v>7.7333333333333334</c:v>
                </c:pt>
                <c:pt idx="3">
                  <c:v>12.133333333333335</c:v>
                </c:pt>
                <c:pt idx="4">
                  <c:v>18.333333333333332</c:v>
                </c:pt>
                <c:pt idx="5">
                  <c:v>23.8</c:v>
                </c:pt>
              </c:numCache>
            </c:numRef>
          </c:val>
          <c:smooth val="0"/>
          <c:extLst>
            <c:ext xmlns:c16="http://schemas.microsoft.com/office/drawing/2014/chart" uri="{C3380CC4-5D6E-409C-BE32-E72D297353CC}">
              <c16:uniqueId val="{00000006-ACE2-4757-ADA2-BEB5AD2D3F94}"/>
            </c:ext>
          </c:extLst>
        </c:ser>
        <c:dLbls>
          <c:showLegendKey val="0"/>
          <c:showVal val="0"/>
          <c:showCatName val="0"/>
          <c:showSerName val="0"/>
          <c:showPercent val="0"/>
          <c:showBubbleSize val="0"/>
        </c:dLbls>
        <c:marker val="1"/>
        <c:smooth val="0"/>
        <c:axId val="163058816"/>
        <c:axId val="163060352"/>
      </c:lineChart>
      <c:catAx>
        <c:axId val="163058816"/>
        <c:scaling>
          <c:orientation val="minMax"/>
        </c:scaling>
        <c:delete val="0"/>
        <c:axPos val="b"/>
        <c:numFmt formatCode="General" sourceLinked="0"/>
        <c:majorTickMark val="out"/>
        <c:minorTickMark val="none"/>
        <c:tickLblPos val="nextTo"/>
        <c:crossAx val="163060352"/>
        <c:crosses val="autoZero"/>
        <c:auto val="1"/>
        <c:lblAlgn val="ctr"/>
        <c:lblOffset val="100"/>
        <c:noMultiLvlLbl val="0"/>
      </c:catAx>
      <c:valAx>
        <c:axId val="163060352"/>
        <c:scaling>
          <c:orientation val="minMax"/>
        </c:scaling>
        <c:delete val="0"/>
        <c:axPos val="l"/>
        <c:majorGridlines>
          <c:spPr>
            <a:ln>
              <a:noFill/>
            </a:ln>
          </c:spPr>
        </c:majorGridlines>
        <c:numFmt formatCode="0.00" sourceLinked="1"/>
        <c:majorTickMark val="out"/>
        <c:minorTickMark val="none"/>
        <c:tickLblPos val="nextTo"/>
        <c:crossAx val="163058816"/>
        <c:crosses val="autoZero"/>
        <c:crossBetween val="between"/>
      </c:valAx>
      <c:spPr>
        <a:noFill/>
      </c:spPr>
    </c:plotArea>
    <c:legend>
      <c:legendPos val="r"/>
      <c:layout>
        <c:manualLayout>
          <c:xMode val="edge"/>
          <c:yMode val="edge"/>
          <c:x val="6.2876252853425463E-2"/>
          <c:y val="0.62019882512426572"/>
          <c:w val="0.88264035048548983"/>
          <c:h val="0.37980127319310802"/>
        </c:manualLayout>
      </c:layout>
      <c:overlay val="0"/>
      <c:txPr>
        <a:bodyPr/>
        <a:lstStyle/>
        <a:p>
          <a:pPr>
            <a:defRPr sz="900"/>
          </a:pPr>
          <a:endParaRPr lang="en-US"/>
        </a:p>
      </c:txPr>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83573928258966"/>
          <c:y val="6.528944298629337E-2"/>
          <c:w val="0.61440026246719159"/>
          <c:h val="0.38817512394284048"/>
        </c:manualLayout>
      </c:layout>
      <c:lineChart>
        <c:grouping val="standard"/>
        <c:varyColors val="0"/>
        <c:ser>
          <c:idx val="0"/>
          <c:order val="0"/>
          <c:tx>
            <c:strRef>
              <c:f>'Jumlah Daun Perumpun'!$K$29</c:f>
              <c:strCache>
                <c:ptCount val="1"/>
                <c:pt idx="0">
                  <c:v>P0 = 220 kg of sandy soil</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Perumpun'!$L$29:$Q$29</c:f>
              <c:numCache>
                <c:formatCode>0.00</c:formatCode>
                <c:ptCount val="6"/>
                <c:pt idx="0">
                  <c:v>5.666666666666667</c:v>
                </c:pt>
                <c:pt idx="1">
                  <c:v>8.5333333333333332</c:v>
                </c:pt>
                <c:pt idx="2">
                  <c:v>10.800000000000002</c:v>
                </c:pt>
                <c:pt idx="3">
                  <c:v>13</c:v>
                </c:pt>
                <c:pt idx="4">
                  <c:v>15</c:v>
                </c:pt>
                <c:pt idx="5">
                  <c:v>16.066666666666666</c:v>
                </c:pt>
              </c:numCache>
            </c:numRef>
          </c:val>
          <c:smooth val="0"/>
          <c:extLst>
            <c:ext xmlns:c16="http://schemas.microsoft.com/office/drawing/2014/chart" uri="{C3380CC4-5D6E-409C-BE32-E72D297353CC}">
              <c16:uniqueId val="{00000000-AEF0-4A23-A4C7-E3C1C1244082}"/>
            </c:ext>
          </c:extLst>
        </c:ser>
        <c:ser>
          <c:idx val="1"/>
          <c:order val="1"/>
          <c:tx>
            <c:strRef>
              <c:f>'Jumlah Daun Perumpun'!$K$30</c:f>
              <c:strCache>
                <c:ptCount val="1"/>
                <c:pt idx="0">
                  <c:v>P1 = 220 kg sandy soil + 20 kg ultisol + 10 kg weed ameliorant</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Perumpun'!$L$30:$Q$30</c:f>
              <c:numCache>
                <c:formatCode>0.00</c:formatCode>
                <c:ptCount val="6"/>
                <c:pt idx="0">
                  <c:v>7.0666666666666664</c:v>
                </c:pt>
                <c:pt idx="1">
                  <c:v>11.133333333333335</c:v>
                </c:pt>
                <c:pt idx="2">
                  <c:v>16.8</c:v>
                </c:pt>
                <c:pt idx="3">
                  <c:v>21.533333333333331</c:v>
                </c:pt>
                <c:pt idx="4">
                  <c:v>25</c:v>
                </c:pt>
                <c:pt idx="5">
                  <c:v>26.266666666666666</c:v>
                </c:pt>
              </c:numCache>
            </c:numRef>
          </c:val>
          <c:smooth val="0"/>
          <c:extLst>
            <c:ext xmlns:c16="http://schemas.microsoft.com/office/drawing/2014/chart" uri="{C3380CC4-5D6E-409C-BE32-E72D297353CC}">
              <c16:uniqueId val="{00000001-AEF0-4A23-A4C7-E3C1C1244082}"/>
            </c:ext>
          </c:extLst>
        </c:ser>
        <c:ser>
          <c:idx val="2"/>
          <c:order val="2"/>
          <c:tx>
            <c:strRef>
              <c:f>'Jumlah Daun Perumpun'!$K$31</c:f>
              <c:strCache>
                <c:ptCount val="1"/>
                <c:pt idx="0">
                  <c:v>P2 = 220 kg sandy soil + 20 kg ultisol + 10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Perumpun'!$L$31:$Q$31</c:f>
              <c:numCache>
                <c:formatCode>0.00</c:formatCode>
                <c:ptCount val="6"/>
                <c:pt idx="0">
                  <c:v>6.8</c:v>
                </c:pt>
                <c:pt idx="1">
                  <c:v>9.0666666666666682</c:v>
                </c:pt>
                <c:pt idx="2">
                  <c:v>14.6</c:v>
                </c:pt>
                <c:pt idx="3">
                  <c:v>19.600000000000001</c:v>
                </c:pt>
                <c:pt idx="4">
                  <c:v>28.2</c:v>
                </c:pt>
                <c:pt idx="5">
                  <c:v>29.866666666666664</c:v>
                </c:pt>
              </c:numCache>
            </c:numRef>
          </c:val>
          <c:smooth val="0"/>
          <c:extLst>
            <c:ext xmlns:c16="http://schemas.microsoft.com/office/drawing/2014/chart" uri="{C3380CC4-5D6E-409C-BE32-E72D297353CC}">
              <c16:uniqueId val="{00000002-AEF0-4A23-A4C7-E3C1C1244082}"/>
            </c:ext>
          </c:extLst>
        </c:ser>
        <c:ser>
          <c:idx val="3"/>
          <c:order val="3"/>
          <c:tx>
            <c:strRef>
              <c:f>'Jumlah Daun Perumpun'!$K$32</c:f>
              <c:strCache>
                <c:ptCount val="1"/>
                <c:pt idx="0">
                  <c:v>P3 = 220 kg sandy soil + 30 kg ultisol + 20 kg weed ameliorant </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Perumpun'!$L$32:$Q$32</c:f>
              <c:numCache>
                <c:formatCode>0.00</c:formatCode>
                <c:ptCount val="6"/>
                <c:pt idx="0">
                  <c:v>8.5333333333333332</c:v>
                </c:pt>
                <c:pt idx="1">
                  <c:v>11.4</c:v>
                </c:pt>
                <c:pt idx="2">
                  <c:v>17.8</c:v>
                </c:pt>
                <c:pt idx="3">
                  <c:v>21.333333333333332</c:v>
                </c:pt>
                <c:pt idx="4">
                  <c:v>27.533333333333331</c:v>
                </c:pt>
                <c:pt idx="5">
                  <c:v>31.066666666666666</c:v>
                </c:pt>
              </c:numCache>
            </c:numRef>
          </c:val>
          <c:smooth val="0"/>
          <c:extLst>
            <c:ext xmlns:c16="http://schemas.microsoft.com/office/drawing/2014/chart" uri="{C3380CC4-5D6E-409C-BE32-E72D297353CC}">
              <c16:uniqueId val="{00000003-AEF0-4A23-A4C7-E3C1C1244082}"/>
            </c:ext>
          </c:extLst>
        </c:ser>
        <c:ser>
          <c:idx val="4"/>
          <c:order val="4"/>
          <c:tx>
            <c:strRef>
              <c:f>'Jumlah Daun Perumpun'!$K$33</c:f>
              <c:strCache>
                <c:ptCount val="1"/>
                <c:pt idx="0">
                  <c:v>P4 = 220 kg sandy soil + 30 kg ultisol + 20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Perumpun'!$L$33:$Q$33</c:f>
              <c:numCache>
                <c:formatCode>0.00</c:formatCode>
                <c:ptCount val="6"/>
                <c:pt idx="0">
                  <c:v>2.7333333333333329</c:v>
                </c:pt>
                <c:pt idx="1">
                  <c:v>5.3999999999999995</c:v>
                </c:pt>
                <c:pt idx="2">
                  <c:v>10.066666666666666</c:v>
                </c:pt>
                <c:pt idx="3">
                  <c:v>15.866666666666665</c:v>
                </c:pt>
                <c:pt idx="4">
                  <c:v>20.866666666666667</c:v>
                </c:pt>
                <c:pt idx="5">
                  <c:v>23.266666666666666</c:v>
                </c:pt>
              </c:numCache>
            </c:numRef>
          </c:val>
          <c:smooth val="0"/>
          <c:extLst>
            <c:ext xmlns:c16="http://schemas.microsoft.com/office/drawing/2014/chart" uri="{C3380CC4-5D6E-409C-BE32-E72D297353CC}">
              <c16:uniqueId val="{00000004-AEF0-4A23-A4C7-E3C1C1244082}"/>
            </c:ext>
          </c:extLst>
        </c:ser>
        <c:ser>
          <c:idx val="5"/>
          <c:order val="5"/>
          <c:tx>
            <c:strRef>
              <c:f>'Jumlah Daun Perumpun'!$K$34</c:f>
              <c:strCache>
                <c:ptCount val="1"/>
                <c:pt idx="0">
                  <c:v>P5 = 220 kg sandy soil + 40 kg ultisol + 30 kg weed ameliorant</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Perumpun'!$L$34:$Q$34</c:f>
              <c:numCache>
                <c:formatCode>0.00</c:formatCode>
                <c:ptCount val="6"/>
                <c:pt idx="0">
                  <c:v>8.1999999999999993</c:v>
                </c:pt>
                <c:pt idx="1">
                  <c:v>12.866666666666665</c:v>
                </c:pt>
                <c:pt idx="2">
                  <c:v>18.733333333333334</c:v>
                </c:pt>
                <c:pt idx="3">
                  <c:v>24.2</c:v>
                </c:pt>
                <c:pt idx="4">
                  <c:v>28.666666666666668</c:v>
                </c:pt>
                <c:pt idx="5">
                  <c:v>31.8</c:v>
                </c:pt>
              </c:numCache>
            </c:numRef>
          </c:val>
          <c:smooth val="0"/>
          <c:extLst>
            <c:ext xmlns:c16="http://schemas.microsoft.com/office/drawing/2014/chart" uri="{C3380CC4-5D6E-409C-BE32-E72D297353CC}">
              <c16:uniqueId val="{00000005-AEF0-4A23-A4C7-E3C1C1244082}"/>
            </c:ext>
          </c:extLst>
        </c:ser>
        <c:ser>
          <c:idx val="6"/>
          <c:order val="6"/>
          <c:tx>
            <c:strRef>
              <c:f>'Jumlah Daun Perumpun'!$K$35</c:f>
              <c:strCache>
                <c:ptCount val="1"/>
                <c:pt idx="0">
                  <c:v>P6 = 220 kg sandy soil + 40 kg ultisol + 30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Perumpun'!$L$35:$Q$35</c:f>
              <c:numCache>
                <c:formatCode>0.00</c:formatCode>
                <c:ptCount val="6"/>
                <c:pt idx="0">
                  <c:v>2.6</c:v>
                </c:pt>
                <c:pt idx="1">
                  <c:v>4.9333333333333327</c:v>
                </c:pt>
                <c:pt idx="2">
                  <c:v>7.2</c:v>
                </c:pt>
                <c:pt idx="3">
                  <c:v>11.333333333333334</c:v>
                </c:pt>
                <c:pt idx="4">
                  <c:v>16.599999999999998</c:v>
                </c:pt>
                <c:pt idx="5">
                  <c:v>20.466666666666665</c:v>
                </c:pt>
              </c:numCache>
            </c:numRef>
          </c:val>
          <c:smooth val="0"/>
          <c:extLst>
            <c:ext xmlns:c16="http://schemas.microsoft.com/office/drawing/2014/chart" uri="{C3380CC4-5D6E-409C-BE32-E72D297353CC}">
              <c16:uniqueId val="{00000006-AEF0-4A23-A4C7-E3C1C1244082}"/>
            </c:ext>
          </c:extLst>
        </c:ser>
        <c:dLbls>
          <c:showLegendKey val="0"/>
          <c:showVal val="0"/>
          <c:showCatName val="0"/>
          <c:showSerName val="0"/>
          <c:showPercent val="0"/>
          <c:showBubbleSize val="0"/>
        </c:dLbls>
        <c:marker val="1"/>
        <c:smooth val="0"/>
        <c:axId val="163016704"/>
        <c:axId val="163018240"/>
      </c:lineChart>
      <c:catAx>
        <c:axId val="163016704"/>
        <c:scaling>
          <c:orientation val="minMax"/>
        </c:scaling>
        <c:delete val="0"/>
        <c:axPos val="b"/>
        <c:numFmt formatCode="General" sourceLinked="0"/>
        <c:majorTickMark val="out"/>
        <c:minorTickMark val="none"/>
        <c:tickLblPos val="nextTo"/>
        <c:crossAx val="163018240"/>
        <c:crosses val="autoZero"/>
        <c:auto val="1"/>
        <c:lblAlgn val="ctr"/>
        <c:lblOffset val="100"/>
        <c:noMultiLvlLbl val="0"/>
      </c:catAx>
      <c:valAx>
        <c:axId val="163018240"/>
        <c:scaling>
          <c:orientation val="minMax"/>
        </c:scaling>
        <c:delete val="0"/>
        <c:axPos val="l"/>
        <c:numFmt formatCode="0.00" sourceLinked="1"/>
        <c:majorTickMark val="out"/>
        <c:minorTickMark val="none"/>
        <c:tickLblPos val="nextTo"/>
        <c:crossAx val="163016704"/>
        <c:crosses val="autoZero"/>
        <c:crossBetween val="between"/>
      </c:valAx>
      <c:spPr>
        <a:noFill/>
      </c:spPr>
    </c:plotArea>
    <c:legend>
      <c:legendPos val="r"/>
      <c:layout>
        <c:manualLayout>
          <c:xMode val="edge"/>
          <c:yMode val="edge"/>
          <c:x val="6.6666666666666666E-2"/>
          <c:y val="0.60880796150481187"/>
          <c:w val="0.86944444444444446"/>
          <c:h val="0.35645815106445033"/>
        </c:manualLayout>
      </c:layout>
      <c:overlay val="0"/>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0.05874</cdr:x>
      <cdr:y>0.056</cdr:y>
    </cdr:from>
    <cdr:to>
      <cdr:x>0.12807</cdr:x>
      <cdr:y>0.62</cdr:y>
    </cdr:to>
    <cdr:sp macro="" textlink="">
      <cdr:nvSpPr>
        <cdr:cNvPr id="2" name="TextBox 1"/>
        <cdr:cNvSpPr txBox="1"/>
      </cdr:nvSpPr>
      <cdr:spPr>
        <a:xfrm xmlns:a="http://schemas.openxmlformats.org/drawingml/2006/main" rot="16200000">
          <a:off x="-235560" y="643070"/>
          <a:ext cx="1343026" cy="323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t>Height of Crown (cm)</a:t>
          </a:r>
        </a:p>
      </cdr:txBody>
    </cdr:sp>
  </cdr:relSizeAnchor>
  <cdr:relSizeAnchor xmlns:cdr="http://schemas.openxmlformats.org/drawingml/2006/chartDrawing">
    <cdr:from>
      <cdr:x>0.39248</cdr:x>
      <cdr:y>0.51692</cdr:y>
    </cdr:from>
    <cdr:to>
      <cdr:x>0.72256</cdr:x>
      <cdr:y>0.61068</cdr:y>
    </cdr:to>
    <cdr:sp macro="" textlink="">
      <cdr:nvSpPr>
        <cdr:cNvPr id="3" name="TextBox 1"/>
        <cdr:cNvSpPr txBox="1"/>
      </cdr:nvSpPr>
      <cdr:spPr>
        <a:xfrm xmlns:a="http://schemas.openxmlformats.org/drawingml/2006/main">
          <a:off x="1978097" y="1452809"/>
          <a:ext cx="1663600" cy="263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50"/>
            <a:t>Plant Age (WAP)</a:t>
          </a:r>
          <a:r>
            <a:rPr lang="id-ID" sz="1050" baseline="0"/>
            <a:t>)</a:t>
          </a:r>
          <a:r>
            <a:rPr lang="en-US" sz="1050"/>
            <a:t> </a:t>
          </a:r>
        </a:p>
      </cdr:txBody>
    </cdr:sp>
  </cdr:relSizeAnchor>
</c:userShapes>
</file>

<file path=word/drawings/drawing2.xml><?xml version="1.0" encoding="utf-8"?>
<c:userShapes xmlns:c="http://schemas.openxmlformats.org/drawingml/2006/chart">
  <cdr:relSizeAnchor xmlns:cdr="http://schemas.openxmlformats.org/drawingml/2006/chartDrawing">
    <cdr:from>
      <cdr:x>0.02708</cdr:x>
      <cdr:y>0.02257</cdr:y>
    </cdr:from>
    <cdr:to>
      <cdr:x>0.1</cdr:x>
      <cdr:y>0.49479</cdr:y>
    </cdr:to>
    <cdr:sp macro="" textlink="">
      <cdr:nvSpPr>
        <cdr:cNvPr id="2" name="TextBox 1"/>
        <cdr:cNvSpPr txBox="1"/>
      </cdr:nvSpPr>
      <cdr:spPr>
        <a:xfrm xmlns:a="http://schemas.openxmlformats.org/drawingml/2006/main" rot="16200000">
          <a:off x="-357186" y="542927"/>
          <a:ext cx="1295400" cy="3333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aseline="0"/>
            <a:t> Number of Leaves (pieces)</a:t>
          </a:r>
          <a:endParaRPr lang="en-US" sz="1000"/>
        </a:p>
      </cdr:txBody>
    </cdr:sp>
  </cdr:relSizeAnchor>
  <cdr:relSizeAnchor xmlns:cdr="http://schemas.openxmlformats.org/drawingml/2006/chartDrawing">
    <cdr:from>
      <cdr:x>0.23334</cdr:x>
      <cdr:y>0.51216</cdr:y>
    </cdr:from>
    <cdr:to>
      <cdr:x>0.67084</cdr:x>
      <cdr:y>0.59202</cdr:y>
    </cdr:to>
    <cdr:sp macro="" textlink="">
      <cdr:nvSpPr>
        <cdr:cNvPr id="3" name="TextBox 2"/>
        <cdr:cNvSpPr txBox="1"/>
      </cdr:nvSpPr>
      <cdr:spPr>
        <a:xfrm xmlns:a="http://schemas.openxmlformats.org/drawingml/2006/main">
          <a:off x="1066815" y="1404948"/>
          <a:ext cx="200025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solidFill>
                <a:schemeClr val="tx1"/>
              </a:solidFill>
            </a:rPr>
            <a:t>Plant Age (WAP)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34B30-FB5E-48C3-BE69-AABE315C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138</TotalTime>
  <Pages>16</Pages>
  <Words>15483</Words>
  <Characters>88255</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103531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Reviewer</cp:lastModifiedBy>
  <cp:revision>13</cp:revision>
  <cp:lastPrinted>1999-07-06T11:00:00Z</cp:lastPrinted>
  <dcterms:created xsi:type="dcterms:W3CDTF">2025-12-26T14:29:00Z</dcterms:created>
  <dcterms:modified xsi:type="dcterms:W3CDTF">2025-12-30T22:24:00Z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ilhamapry0904@gmail.com@www.mendeley.com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