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0A0" w:rsidRDefault="008220A0" w:rsidP="00FC6876">
      <w:pPr>
        <w:spacing w:before="100" w:beforeAutospacing="1" w:after="100" w:afterAutospacing="1" w:line="240" w:lineRule="auto"/>
        <w:outlineLvl w:val="0"/>
        <w:rPr>
          <w:rFonts w:ascii="Arial" w:eastAsia="Times New Roman" w:hAnsi="Arial" w:cs="Arial"/>
          <w:b/>
          <w:bCs/>
          <w:kern w:val="36"/>
          <w:sz w:val="36"/>
          <w:szCs w:val="36"/>
          <w:lang w:eastAsia="en-IN"/>
        </w:rPr>
      </w:pPr>
      <w:r w:rsidRPr="008220A0">
        <w:rPr>
          <w:rFonts w:ascii="Arial" w:eastAsia="Times New Roman" w:hAnsi="Arial" w:cs="Arial"/>
          <w:b/>
          <w:bCs/>
          <w:kern w:val="36"/>
          <w:sz w:val="36"/>
          <w:szCs w:val="36"/>
          <w:lang w:eastAsia="en-IN"/>
        </w:rPr>
        <w:t>Original research article</w:t>
      </w:r>
    </w:p>
    <w:p w:rsidR="008220A0" w:rsidRDefault="008220A0" w:rsidP="00FC6876">
      <w:pPr>
        <w:spacing w:before="100" w:beforeAutospacing="1" w:after="100" w:afterAutospacing="1" w:line="240" w:lineRule="auto"/>
        <w:outlineLvl w:val="0"/>
        <w:rPr>
          <w:rFonts w:ascii="Arial" w:eastAsia="Times New Roman" w:hAnsi="Arial" w:cs="Arial"/>
          <w:b/>
          <w:bCs/>
          <w:kern w:val="36"/>
          <w:sz w:val="36"/>
          <w:szCs w:val="36"/>
          <w:lang w:eastAsia="en-IN"/>
        </w:rPr>
      </w:pPr>
    </w:p>
    <w:p w:rsidR="00FC6876" w:rsidRPr="003A09CC" w:rsidRDefault="00FC6876" w:rsidP="00FC6876">
      <w:pPr>
        <w:spacing w:before="100" w:beforeAutospacing="1" w:after="100" w:afterAutospacing="1" w:line="240" w:lineRule="auto"/>
        <w:outlineLvl w:val="0"/>
        <w:rPr>
          <w:rFonts w:ascii="Arial" w:eastAsia="Times New Roman" w:hAnsi="Arial" w:cs="Arial"/>
          <w:b/>
          <w:bCs/>
          <w:kern w:val="36"/>
          <w:sz w:val="36"/>
          <w:szCs w:val="36"/>
          <w:lang w:eastAsia="en-IN"/>
        </w:rPr>
      </w:pPr>
      <w:r w:rsidRPr="003A09CC">
        <w:rPr>
          <w:rFonts w:ascii="Arial" w:eastAsia="Times New Roman" w:hAnsi="Arial" w:cs="Arial"/>
          <w:b/>
          <w:bCs/>
          <w:kern w:val="36"/>
          <w:sz w:val="36"/>
          <w:szCs w:val="36"/>
          <w:lang w:eastAsia="en-IN"/>
        </w:rPr>
        <w:t xml:space="preserve">Analysis </w:t>
      </w:r>
      <w:r w:rsidR="00E9597D" w:rsidRPr="00E9597D">
        <w:rPr>
          <w:rFonts w:ascii="Arial" w:eastAsia="Times New Roman" w:hAnsi="Arial" w:cs="Arial"/>
          <w:b/>
          <w:bCs/>
          <w:kern w:val="36"/>
          <w:sz w:val="36"/>
          <w:szCs w:val="36"/>
          <w:highlight w:val="yellow"/>
          <w:lang w:eastAsia="en-IN"/>
        </w:rPr>
        <w:t>of</w:t>
      </w:r>
      <w:r w:rsidR="00E9597D">
        <w:rPr>
          <w:rFonts w:ascii="Arial" w:eastAsia="Times New Roman" w:hAnsi="Arial" w:cs="Arial"/>
          <w:b/>
          <w:bCs/>
          <w:kern w:val="36"/>
          <w:sz w:val="36"/>
          <w:szCs w:val="36"/>
          <w:lang w:eastAsia="en-IN"/>
        </w:rPr>
        <w:t xml:space="preserve"> </w:t>
      </w:r>
      <w:r w:rsidRPr="003A09CC">
        <w:rPr>
          <w:rFonts w:ascii="Arial" w:eastAsia="Times New Roman" w:hAnsi="Arial" w:cs="Arial"/>
          <w:b/>
          <w:bCs/>
          <w:kern w:val="36"/>
          <w:sz w:val="36"/>
          <w:szCs w:val="36"/>
          <w:lang w:eastAsia="en-IN"/>
        </w:rPr>
        <w:t xml:space="preserve">the Growth Performance and Survival of </w:t>
      </w:r>
      <w:r w:rsidRPr="003A09CC">
        <w:rPr>
          <w:rFonts w:ascii="Arial" w:eastAsia="Times New Roman" w:hAnsi="Arial" w:cs="Arial"/>
          <w:b/>
          <w:bCs/>
          <w:i/>
          <w:iCs/>
          <w:kern w:val="36"/>
          <w:sz w:val="36"/>
          <w:szCs w:val="36"/>
          <w:lang w:eastAsia="en-IN"/>
        </w:rPr>
        <w:t>Pangasius pangasius</w:t>
      </w:r>
      <w:r w:rsidRPr="003A09CC">
        <w:rPr>
          <w:rFonts w:ascii="Arial" w:eastAsia="Times New Roman" w:hAnsi="Arial" w:cs="Arial"/>
          <w:b/>
          <w:bCs/>
          <w:kern w:val="36"/>
          <w:sz w:val="36"/>
          <w:szCs w:val="36"/>
          <w:lang w:eastAsia="en-IN"/>
        </w:rPr>
        <w:t xml:space="preserve"> at Different Stocking Densities in Intensive Aquaculture Systems</w:t>
      </w:r>
    </w:p>
    <w:p w:rsidR="00FC6876" w:rsidRPr="00FC6876" w:rsidRDefault="002D3765" w:rsidP="00FC6876">
      <w:pPr>
        <w:spacing w:after="0" w:line="240" w:lineRule="auto"/>
        <w:rPr>
          <w:rFonts w:ascii="Times New Roman" w:eastAsia="Times New Roman" w:hAnsi="Times New Roman" w:cs="Times New Roman"/>
          <w:sz w:val="24"/>
          <w:szCs w:val="24"/>
          <w:lang w:eastAsia="en-IN"/>
        </w:rPr>
      </w:pPr>
      <w:bookmarkStart w:id="0" w:name="_GoBack"/>
      <w:bookmarkEnd w:id="0"/>
      <w:r w:rsidRPr="002D3765">
        <w:rPr>
          <w:rFonts w:ascii="Times New Roman" w:eastAsia="Times New Roman" w:hAnsi="Times New Roman" w:cs="Times New Roman"/>
          <w:sz w:val="24"/>
          <w:szCs w:val="24"/>
          <w:lang w:eastAsia="en-IN"/>
        </w:rPr>
        <w:pict>
          <v:rect id="_x0000_i1025" style="width:0;height:1.5pt" o:hralign="center" o:hrstd="t" o:hr="t" fillcolor="#a0a0a0" stroked="f"/>
        </w:pict>
      </w:r>
    </w:p>
    <w:p w:rsidR="00FC6876" w:rsidRPr="003A09CC" w:rsidRDefault="003A09CC" w:rsidP="00FC6876">
      <w:pPr>
        <w:spacing w:before="100" w:beforeAutospacing="1" w:after="100" w:afterAutospacing="1" w:line="240" w:lineRule="auto"/>
        <w:jc w:val="both"/>
        <w:outlineLvl w:val="1"/>
        <w:rPr>
          <w:rFonts w:ascii="Arial" w:eastAsia="Times New Roman" w:hAnsi="Arial" w:cs="Arial"/>
          <w:b/>
          <w:bCs/>
          <w:lang w:eastAsia="en-IN"/>
        </w:rPr>
      </w:pPr>
      <w:r w:rsidRPr="003A09CC">
        <w:rPr>
          <w:rFonts w:ascii="Arial" w:eastAsia="Times New Roman" w:hAnsi="Arial" w:cs="Arial"/>
          <w:b/>
          <w:bCs/>
          <w:lang w:eastAsia="en-IN"/>
        </w:rPr>
        <w:t>ABSTRACT:</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This study investigated the effect of stocking density on</w:t>
      </w:r>
      <w:r w:rsidR="00E9597D">
        <w:rPr>
          <w:rFonts w:ascii="Arial" w:eastAsia="Times New Roman" w:hAnsi="Arial" w:cs="Arial"/>
          <w:sz w:val="20"/>
          <w:szCs w:val="20"/>
          <w:lang w:eastAsia="en-IN"/>
        </w:rPr>
        <w:t xml:space="preserve"> </w:t>
      </w:r>
      <w:r w:rsidR="00E9597D" w:rsidRPr="00E9597D">
        <w:rPr>
          <w:rFonts w:ascii="Arial" w:eastAsia="Times New Roman" w:hAnsi="Arial" w:cs="Arial"/>
          <w:sz w:val="20"/>
          <w:szCs w:val="20"/>
          <w:highlight w:val="yellow"/>
          <w:lang w:eastAsia="en-IN"/>
        </w:rPr>
        <w:t>the</w:t>
      </w:r>
      <w:r w:rsidRPr="003A09CC">
        <w:rPr>
          <w:rFonts w:ascii="Arial" w:eastAsia="Times New Roman" w:hAnsi="Arial" w:cs="Arial"/>
          <w:sz w:val="20"/>
          <w:szCs w:val="20"/>
          <w:lang w:eastAsia="en-IN"/>
        </w:rPr>
        <w:t xml:space="preserve"> growth performance, survival rate, and water quality parameters of </w:t>
      </w:r>
      <w:r w:rsidRPr="003A09CC">
        <w:rPr>
          <w:rFonts w:ascii="Arial" w:eastAsia="Times New Roman" w:hAnsi="Arial" w:cs="Arial"/>
          <w:i/>
          <w:iCs/>
          <w:sz w:val="20"/>
          <w:szCs w:val="20"/>
          <w:lang w:eastAsia="en-IN"/>
        </w:rPr>
        <w:t>Pangasius pangasius</w:t>
      </w:r>
      <w:r w:rsidRPr="003A09CC">
        <w:rPr>
          <w:rFonts w:ascii="Arial" w:eastAsia="Times New Roman" w:hAnsi="Arial" w:cs="Arial"/>
          <w:sz w:val="20"/>
          <w:szCs w:val="20"/>
          <w:lang w:eastAsia="en-IN"/>
        </w:rPr>
        <w:t xml:space="preserve"> in intensive aquaculture systems. Four experimental tanks were established with stocking densities of 100, 150, 200, and 700 individuals/m³ (designated as Tank-1, Tank-2, Tank-3, and Tank-4</w:t>
      </w:r>
      <w:r w:rsidR="00E9597D" w:rsidRPr="00E9597D">
        <w:rPr>
          <w:rFonts w:ascii="Arial" w:eastAsia="Times New Roman" w:hAnsi="Arial" w:cs="Arial"/>
          <w:sz w:val="20"/>
          <w:szCs w:val="20"/>
          <w:highlight w:val="yellow"/>
          <w:lang w:eastAsia="en-IN"/>
        </w:rPr>
        <w:t>,</w:t>
      </w:r>
      <w:r w:rsidRPr="003A09CC">
        <w:rPr>
          <w:rFonts w:ascii="Arial" w:eastAsia="Times New Roman" w:hAnsi="Arial" w:cs="Arial"/>
          <w:sz w:val="20"/>
          <w:szCs w:val="20"/>
          <w:lang w:eastAsia="en-IN"/>
        </w:rPr>
        <w:t xml:space="preserve"> respectively) over a 98-day culture period. Results demonstrated that lower stocking densities significantly improved individual </w:t>
      </w:r>
      <w:r w:rsidR="00E9597D" w:rsidRPr="00E9597D">
        <w:rPr>
          <w:rFonts w:ascii="Arial" w:eastAsia="Times New Roman" w:hAnsi="Arial" w:cs="Arial"/>
          <w:sz w:val="20"/>
          <w:szCs w:val="20"/>
          <w:highlight w:val="yellow"/>
          <w:lang w:eastAsia="en-IN"/>
        </w:rPr>
        <w:t>fish</w:t>
      </w:r>
      <w:r w:rsidR="00E9597D">
        <w:rPr>
          <w:rFonts w:ascii="Arial" w:eastAsia="Times New Roman" w:hAnsi="Arial" w:cs="Arial"/>
          <w:sz w:val="20"/>
          <w:szCs w:val="20"/>
          <w:lang w:eastAsia="en-IN"/>
        </w:rPr>
        <w:t xml:space="preserve"> </w:t>
      </w:r>
      <w:r w:rsidRPr="003A09CC">
        <w:rPr>
          <w:rFonts w:ascii="Arial" w:eastAsia="Times New Roman" w:hAnsi="Arial" w:cs="Arial"/>
          <w:sz w:val="20"/>
          <w:szCs w:val="20"/>
          <w:lang w:eastAsia="en-IN"/>
        </w:rPr>
        <w:t>growth performance. Tank-1 (100 ind</w:t>
      </w:r>
      <w:r w:rsidR="00F50135"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achieved the highest final weight (27.5 ± 0.41 g), growth rate (0.85 g/week), and survival rate (93.2%), while Tank-4 (700 ind</w:t>
      </w:r>
      <w:r w:rsidR="00F50135"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showed the lowest values (15.1 ± 0.87 g, 0.39 g/week, and 65.7% respectively). However, total biomass production was highest in Tank-3 (200 ind</w:t>
      </w:r>
      <w:r w:rsidR="00F50135"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 xml:space="preserve">/m³) at 99.21 kg/tank. Water quality parameters remained within acceptable ranges across all treatments, though total ammonia nitrogen (TAN), nitrate, and total phosphorus increased significantly at higher densities. The study concludes that </w:t>
      </w:r>
      <w:r w:rsidR="00E9597D" w:rsidRPr="00E9597D">
        <w:rPr>
          <w:rFonts w:ascii="Arial" w:eastAsia="Times New Roman" w:hAnsi="Arial" w:cs="Arial"/>
          <w:sz w:val="20"/>
          <w:szCs w:val="20"/>
          <w:highlight w:val="yellow"/>
          <w:lang w:eastAsia="en-IN"/>
        </w:rPr>
        <w:t>a</w:t>
      </w:r>
      <w:r w:rsidR="00E9597D">
        <w:rPr>
          <w:rFonts w:ascii="Arial" w:eastAsia="Times New Roman" w:hAnsi="Arial" w:cs="Arial"/>
          <w:sz w:val="20"/>
          <w:szCs w:val="20"/>
          <w:lang w:eastAsia="en-IN"/>
        </w:rPr>
        <w:t xml:space="preserve"> </w:t>
      </w:r>
      <w:r w:rsidRPr="003A09CC">
        <w:rPr>
          <w:rFonts w:ascii="Arial" w:eastAsia="Times New Roman" w:hAnsi="Arial" w:cs="Arial"/>
          <w:sz w:val="20"/>
          <w:szCs w:val="20"/>
          <w:lang w:eastAsia="en-IN"/>
        </w:rPr>
        <w:t>stocking density of 100-200 ind</w:t>
      </w:r>
      <w:r w:rsidR="00F50135"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 xml:space="preserve">/m³ provides </w:t>
      </w:r>
      <w:r w:rsidR="00E9597D" w:rsidRPr="00E9597D">
        <w:rPr>
          <w:rFonts w:ascii="Arial" w:eastAsia="Times New Roman" w:hAnsi="Arial" w:cs="Arial"/>
          <w:sz w:val="20"/>
          <w:szCs w:val="20"/>
          <w:highlight w:val="yellow"/>
          <w:lang w:eastAsia="en-IN"/>
        </w:rPr>
        <w:t>an</w:t>
      </w:r>
      <w:r w:rsidR="00E9597D">
        <w:rPr>
          <w:rFonts w:ascii="Arial" w:eastAsia="Times New Roman" w:hAnsi="Arial" w:cs="Arial"/>
          <w:sz w:val="20"/>
          <w:szCs w:val="20"/>
          <w:lang w:eastAsia="en-IN"/>
        </w:rPr>
        <w:t xml:space="preserve"> </w:t>
      </w:r>
      <w:r w:rsidRPr="003A09CC">
        <w:rPr>
          <w:rFonts w:ascii="Arial" w:eastAsia="Times New Roman" w:hAnsi="Arial" w:cs="Arial"/>
          <w:sz w:val="20"/>
          <w:szCs w:val="20"/>
          <w:lang w:eastAsia="en-IN"/>
        </w:rPr>
        <w:t xml:space="preserve">optimal balance between individual growth and total production for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in intensive culture systems.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Keywords:</w:t>
      </w:r>
      <w:r w:rsidRPr="003A09CC">
        <w:rPr>
          <w:rFonts w:ascii="Arial" w:eastAsia="Times New Roman" w:hAnsi="Arial" w:cs="Arial"/>
          <w:sz w:val="20"/>
          <w:szCs w:val="20"/>
          <w:lang w:eastAsia="en-IN"/>
        </w:rPr>
        <w:t xml:space="preserve"> </w:t>
      </w:r>
      <w:r w:rsidRPr="00335EED">
        <w:rPr>
          <w:rFonts w:ascii="Arial" w:eastAsia="Times New Roman" w:hAnsi="Arial" w:cs="Arial"/>
          <w:i/>
          <w:iCs/>
          <w:sz w:val="20"/>
          <w:szCs w:val="20"/>
          <w:highlight w:val="yellow"/>
          <w:lang w:eastAsia="en-IN"/>
        </w:rPr>
        <w:t>Pangasius pangasius</w:t>
      </w:r>
      <w:r w:rsidRPr="003A09CC">
        <w:rPr>
          <w:rFonts w:ascii="Arial" w:eastAsia="Times New Roman" w:hAnsi="Arial" w:cs="Arial"/>
          <w:sz w:val="20"/>
          <w:szCs w:val="20"/>
          <w:lang w:eastAsia="en-IN"/>
        </w:rPr>
        <w:t>, stocking density, growth performance, aquaculture, survival rate, water quality</w:t>
      </w:r>
    </w:p>
    <w:p w:rsidR="00FC6876" w:rsidRPr="003A09CC" w:rsidRDefault="003A09CC" w:rsidP="00FC6876">
      <w:pPr>
        <w:spacing w:before="100" w:beforeAutospacing="1" w:after="100" w:afterAutospacing="1" w:line="240" w:lineRule="auto"/>
        <w:jc w:val="both"/>
        <w:outlineLvl w:val="1"/>
        <w:rPr>
          <w:rFonts w:ascii="Arial" w:eastAsia="Times New Roman" w:hAnsi="Arial" w:cs="Arial"/>
          <w:b/>
          <w:bCs/>
          <w:lang w:eastAsia="en-IN"/>
        </w:rPr>
      </w:pPr>
      <w:r w:rsidRPr="003A09CC">
        <w:rPr>
          <w:rFonts w:ascii="Arial" w:eastAsia="Times New Roman" w:hAnsi="Arial" w:cs="Arial"/>
          <w:b/>
          <w:bCs/>
          <w:lang w:eastAsia="en-IN"/>
        </w:rPr>
        <w:t>1. INTRODUCTION</w:t>
      </w:r>
    </w:p>
    <w:p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1.1 BACKGROUND</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Aquaculture has emerged as the fastest-growing food production sector globally, contributing significantly to meeting the increasing demand for animal protein. With capture fisheries production stagnating at approximately 96 million tonnes for several decades, aquaculture represents the primary avenue for addressing the protein requirements of growing human populations (FAO, 2023). Global pangasius production reached approximately 3.13 million metric tonnes in 2023, highlighting the economic importance of this species.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i/>
          <w:iCs/>
          <w:sz w:val="20"/>
          <w:szCs w:val="20"/>
          <w:lang w:eastAsia="en-IN"/>
        </w:rPr>
        <w:t>Pangasius pangasius</w:t>
      </w:r>
      <w:r w:rsidRPr="003A09CC">
        <w:rPr>
          <w:rFonts w:ascii="Arial" w:eastAsia="Times New Roman" w:hAnsi="Arial" w:cs="Arial"/>
          <w:sz w:val="20"/>
          <w:szCs w:val="20"/>
          <w:lang w:eastAsia="en-IN"/>
        </w:rPr>
        <w:t xml:space="preserve">, commonly known as pangas or sutchi catfish, has gained considerable attention in aquaculture due to its remarkable characteristics: fast growth rate (reaching </w:t>
      </w:r>
      <w:r w:rsidR="00335EED" w:rsidRPr="00335EED">
        <w:rPr>
          <w:rFonts w:ascii="Arial" w:eastAsia="Times New Roman" w:hAnsi="Arial" w:cs="Arial"/>
          <w:sz w:val="20"/>
          <w:szCs w:val="20"/>
          <w:highlight w:val="yellow"/>
          <w:lang w:eastAsia="en-IN"/>
        </w:rPr>
        <w:t>approximately</w:t>
      </w:r>
      <w:r w:rsidR="00335EED">
        <w:rPr>
          <w:rFonts w:ascii="Arial" w:eastAsia="Times New Roman" w:hAnsi="Arial" w:cs="Arial"/>
          <w:sz w:val="20"/>
          <w:szCs w:val="20"/>
          <w:lang w:eastAsia="en-IN"/>
        </w:rPr>
        <w:t xml:space="preserve"> </w:t>
      </w:r>
      <w:r w:rsidRPr="003A09CC">
        <w:rPr>
          <w:rFonts w:ascii="Arial" w:eastAsia="Times New Roman" w:hAnsi="Arial" w:cs="Arial"/>
          <w:sz w:val="20"/>
          <w:szCs w:val="20"/>
          <w:lang w:eastAsia="en-IN"/>
        </w:rPr>
        <w:t xml:space="preserve">1 kg within one year), omnivorous feeding habits, high disease resistance, and tolerance to variable environmental conditions. As an air-breathing catfish,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can survive in waters with low dissolved oxygen, making it suitable for intensive culture systems.</w:t>
      </w:r>
    </w:p>
    <w:p w:rsidR="00FC6876" w:rsidRPr="004F5305" w:rsidRDefault="00FC6876" w:rsidP="00FC6876">
      <w:pPr>
        <w:spacing w:before="100" w:beforeAutospacing="1" w:after="100" w:afterAutospacing="1" w:line="240" w:lineRule="auto"/>
        <w:jc w:val="both"/>
        <w:outlineLvl w:val="2"/>
        <w:rPr>
          <w:rFonts w:ascii="Arial" w:eastAsia="Times New Roman" w:hAnsi="Arial" w:cs="Arial"/>
          <w:b/>
          <w:bCs/>
          <w:lang w:eastAsia="en-IN"/>
        </w:rPr>
      </w:pPr>
      <w:r w:rsidRPr="004F5305">
        <w:rPr>
          <w:rFonts w:ascii="Arial" w:eastAsia="Times New Roman" w:hAnsi="Arial" w:cs="Arial"/>
          <w:b/>
          <w:bCs/>
          <w:lang w:eastAsia="en-IN"/>
        </w:rPr>
        <w:t>1.</w:t>
      </w:r>
      <w:r w:rsidR="003A09CC" w:rsidRPr="004F5305">
        <w:rPr>
          <w:rFonts w:ascii="Arial" w:eastAsia="Times New Roman" w:hAnsi="Arial" w:cs="Arial"/>
          <w:b/>
          <w:bCs/>
          <w:lang w:eastAsia="en-IN"/>
        </w:rPr>
        <w:t>2 IMPORTANCE OF STOCKING DENSITY</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Stocking density represents a critical management parameter in intensive aquaculture, directly influencing growth performance, survival rates, production economics, and environmental sustainability. Previous research has demonstrated that fish growth is often inversely related to stocking density due to various factors including social interactions, competition for space and feed, deterioration of water quality, and physiological stress.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lastRenderedPageBreak/>
        <w:t xml:space="preserve">Determining optimal stocking density is essential for maximizing economic returns while maintaining fish welfare and environmental sustainability. However, limited scientific data exists regarding the effects of stocking density on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growth and production, particularly in intensive culture systems with minimal water exchange.</w:t>
      </w:r>
    </w:p>
    <w:p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1.3</w:t>
      </w:r>
      <w:r>
        <w:rPr>
          <w:rFonts w:ascii="Arial" w:eastAsia="Times New Roman" w:hAnsi="Arial" w:cs="Arial"/>
          <w:b/>
          <w:bCs/>
          <w:sz w:val="20"/>
          <w:szCs w:val="20"/>
          <w:lang w:eastAsia="en-IN"/>
        </w:rPr>
        <w:t xml:space="preserve"> </w:t>
      </w:r>
      <w:r w:rsidRPr="003A09CC">
        <w:rPr>
          <w:rFonts w:ascii="Arial" w:eastAsia="Times New Roman" w:hAnsi="Arial" w:cs="Arial"/>
          <w:b/>
          <w:bCs/>
          <w:lang w:eastAsia="en-IN"/>
        </w:rPr>
        <w:t>RESEARCH OBJECTIVES</w:t>
      </w:r>
    </w:p>
    <w:p w:rsidR="00FC6876" w:rsidRPr="003A09CC" w:rsidRDefault="00F50135"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This research</w:t>
      </w:r>
      <w:r w:rsidR="00FC6876" w:rsidRPr="003A09CC">
        <w:rPr>
          <w:rFonts w:ascii="Arial" w:eastAsia="Times New Roman" w:hAnsi="Arial" w:cs="Arial"/>
          <w:sz w:val="20"/>
          <w:szCs w:val="20"/>
          <w:lang w:eastAsia="en-IN"/>
        </w:rPr>
        <w:t xml:space="preserve"> aimed to:</w:t>
      </w:r>
    </w:p>
    <w:p w:rsidR="00FC6876" w:rsidRPr="003A09CC" w:rsidRDefault="00FC6876" w:rsidP="00FC6876">
      <w:pPr>
        <w:numPr>
          <w:ilvl w:val="0"/>
          <w:numId w:val="1"/>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Evaluate the growth performance of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at different stocking densities in intensive aquaculture systems</w:t>
      </w:r>
    </w:p>
    <w:p w:rsidR="00FC6876" w:rsidRPr="003A09CC" w:rsidRDefault="00FC6876" w:rsidP="00FC6876">
      <w:pPr>
        <w:numPr>
          <w:ilvl w:val="0"/>
          <w:numId w:val="1"/>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Assess survival rates and feed conversion efficiency across varying stocking densities</w:t>
      </w:r>
    </w:p>
    <w:p w:rsidR="00FC6876" w:rsidRPr="003A09CC" w:rsidRDefault="00FC6876" w:rsidP="00FC6876">
      <w:pPr>
        <w:numPr>
          <w:ilvl w:val="0"/>
          <w:numId w:val="1"/>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Monitor water quality parameters and their relationship with stocking density</w:t>
      </w:r>
    </w:p>
    <w:p w:rsidR="00FC6876" w:rsidRPr="003A09CC" w:rsidRDefault="00FC6876" w:rsidP="00FC6876">
      <w:pPr>
        <w:numPr>
          <w:ilvl w:val="0"/>
          <w:numId w:val="1"/>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Determine the economically optimal stocking density for commercial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production</w:t>
      </w:r>
    </w:p>
    <w:p w:rsidR="00FC6876" w:rsidRPr="003A09CC" w:rsidRDefault="003A09CC" w:rsidP="00FC6876">
      <w:pPr>
        <w:spacing w:before="100" w:beforeAutospacing="1" w:after="100" w:afterAutospacing="1" w:line="240" w:lineRule="auto"/>
        <w:jc w:val="both"/>
        <w:outlineLvl w:val="1"/>
        <w:rPr>
          <w:rFonts w:ascii="Arial" w:eastAsia="Times New Roman" w:hAnsi="Arial" w:cs="Arial"/>
          <w:b/>
          <w:bCs/>
          <w:lang w:eastAsia="en-IN"/>
        </w:rPr>
      </w:pPr>
      <w:r w:rsidRPr="003A09CC">
        <w:rPr>
          <w:rFonts w:ascii="Arial" w:eastAsia="Times New Roman" w:hAnsi="Arial" w:cs="Arial"/>
          <w:b/>
          <w:bCs/>
          <w:lang w:eastAsia="en-IN"/>
        </w:rPr>
        <w:t>2</w:t>
      </w:r>
      <w:r>
        <w:rPr>
          <w:rFonts w:ascii="Arial" w:eastAsia="Times New Roman" w:hAnsi="Arial" w:cs="Arial"/>
          <w:b/>
          <w:bCs/>
          <w:sz w:val="20"/>
          <w:szCs w:val="20"/>
          <w:lang w:eastAsia="en-IN"/>
        </w:rPr>
        <w:t xml:space="preserve">. </w:t>
      </w:r>
      <w:r>
        <w:rPr>
          <w:rFonts w:ascii="Arial" w:eastAsia="Times New Roman" w:hAnsi="Arial" w:cs="Arial"/>
          <w:b/>
          <w:bCs/>
          <w:lang w:eastAsia="en-IN"/>
        </w:rPr>
        <w:t>MATERIAL AND METHODS</w:t>
      </w:r>
    </w:p>
    <w:p w:rsidR="00FC6876" w:rsidRPr="003A09CC" w:rsidRDefault="00FC6876"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2.1 E</w:t>
      </w:r>
      <w:r w:rsidR="003A09CC" w:rsidRPr="003A09CC">
        <w:rPr>
          <w:rFonts w:ascii="Arial" w:eastAsia="Times New Roman" w:hAnsi="Arial" w:cs="Arial"/>
          <w:b/>
          <w:bCs/>
          <w:lang w:eastAsia="en-IN"/>
        </w:rPr>
        <w:t>XPERIMENTAL DESIGN AND SITES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The experiment was conducted at Aqua Shellfish Farm in Village Their, District Sirsa, Haryana, India, over a 98-day period from August to November 2024. Four circular plastic-lined tanks were utilized, each with a water volume of approximately 35 m³ and depth of 1.37 m (4.5 feet). The study employed a completely randomized design with four treatments representing different stocking densities:</w:t>
      </w:r>
    </w:p>
    <w:p w:rsidR="00FC6876" w:rsidRPr="003A09CC" w:rsidRDefault="00FC6876" w:rsidP="00FC6876">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Tank-1 (T1):</w:t>
      </w:r>
      <w:r w:rsidRPr="003A09CC">
        <w:rPr>
          <w:rFonts w:ascii="Arial" w:eastAsia="Times New Roman" w:hAnsi="Arial" w:cs="Arial"/>
          <w:sz w:val="20"/>
          <w:szCs w:val="20"/>
          <w:lang w:eastAsia="en-IN"/>
        </w:rPr>
        <w:t xml:space="preserve"> 100 individuals/m³</w:t>
      </w:r>
    </w:p>
    <w:p w:rsidR="00FC6876" w:rsidRPr="003A09CC" w:rsidRDefault="00FC6876" w:rsidP="00FC6876">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Tank-2 (T2):</w:t>
      </w:r>
      <w:r w:rsidRPr="003A09CC">
        <w:rPr>
          <w:rFonts w:ascii="Arial" w:eastAsia="Times New Roman" w:hAnsi="Arial" w:cs="Arial"/>
          <w:sz w:val="20"/>
          <w:szCs w:val="20"/>
          <w:lang w:eastAsia="en-IN"/>
        </w:rPr>
        <w:t xml:space="preserve"> 150 individuals/m³</w:t>
      </w:r>
    </w:p>
    <w:p w:rsidR="00FC6876" w:rsidRPr="003A09CC" w:rsidRDefault="00FC6876" w:rsidP="00FC6876">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Tank-3 (T3):</w:t>
      </w:r>
      <w:r w:rsidRPr="003A09CC">
        <w:rPr>
          <w:rFonts w:ascii="Arial" w:eastAsia="Times New Roman" w:hAnsi="Arial" w:cs="Arial"/>
          <w:sz w:val="20"/>
          <w:szCs w:val="20"/>
          <w:lang w:eastAsia="en-IN"/>
        </w:rPr>
        <w:t xml:space="preserve"> 200 individuals/m³</w:t>
      </w:r>
    </w:p>
    <w:p w:rsidR="00FC6876" w:rsidRPr="003A09CC" w:rsidRDefault="00FC6876" w:rsidP="00FC6876">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Tank-4 (T4):</w:t>
      </w:r>
      <w:r w:rsidRPr="003A09CC">
        <w:rPr>
          <w:rFonts w:ascii="Arial" w:eastAsia="Times New Roman" w:hAnsi="Arial" w:cs="Arial"/>
          <w:sz w:val="20"/>
          <w:szCs w:val="20"/>
          <w:lang w:eastAsia="en-IN"/>
        </w:rPr>
        <w:t xml:space="preserve"> 700 individuals/m³</w:t>
      </w:r>
    </w:p>
    <w:p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2.2 TANK PREPARATION</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Prior to stocking, tanks underwent standard preparation procedures:</w:t>
      </w:r>
    </w:p>
    <w:p w:rsidR="00FC6876" w:rsidRPr="003A09CC" w:rsidRDefault="00FC6876" w:rsidP="00FC6876">
      <w:pPr>
        <w:numPr>
          <w:ilvl w:val="0"/>
          <w:numId w:val="3"/>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Tanks were dried for one month</w:t>
      </w:r>
    </w:p>
    <w:p w:rsidR="00FC6876" w:rsidRPr="003A09CC" w:rsidRDefault="00335EED" w:rsidP="00FC6876">
      <w:pPr>
        <w:numPr>
          <w:ilvl w:val="0"/>
          <w:numId w:val="3"/>
        </w:num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sz w:val="20"/>
          <w:szCs w:val="20"/>
          <w:highlight w:val="yellow"/>
          <w:lang w:eastAsia="en-IN"/>
        </w:rPr>
        <w:t>Top</w:t>
      </w:r>
      <w:r w:rsidR="00FC6876" w:rsidRPr="00335EED">
        <w:rPr>
          <w:rFonts w:ascii="Arial" w:eastAsia="Times New Roman" w:hAnsi="Arial" w:cs="Arial"/>
          <w:sz w:val="20"/>
          <w:szCs w:val="20"/>
          <w:highlight w:val="yellow"/>
          <w:lang w:eastAsia="en-IN"/>
        </w:rPr>
        <w:t>soil</w:t>
      </w:r>
      <w:r w:rsidR="00FC6876" w:rsidRPr="003A09CC">
        <w:rPr>
          <w:rFonts w:ascii="Arial" w:eastAsia="Times New Roman" w:hAnsi="Arial" w:cs="Arial"/>
          <w:sz w:val="20"/>
          <w:szCs w:val="20"/>
          <w:lang w:eastAsia="en-IN"/>
        </w:rPr>
        <w:t xml:space="preserve"> was removed and ploughed</w:t>
      </w:r>
    </w:p>
    <w:p w:rsidR="00FC6876" w:rsidRPr="003A09CC" w:rsidRDefault="00FC6876" w:rsidP="00FC6876">
      <w:pPr>
        <w:numPr>
          <w:ilvl w:val="0"/>
          <w:numId w:val="3"/>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Tanks were disinfected with potassium permanganate (KMnO</w:t>
      </w:r>
      <w:r w:rsidRPr="003A09CC">
        <w:rPr>
          <w:rFonts w:ascii="Cambria Math" w:eastAsia="Times New Roman" w:hAnsi="Cambria Math" w:cs="Arial"/>
          <w:sz w:val="20"/>
          <w:szCs w:val="20"/>
          <w:lang w:eastAsia="en-IN"/>
        </w:rPr>
        <w:t>₄</w:t>
      </w:r>
      <w:r w:rsidRPr="003A09CC">
        <w:rPr>
          <w:rFonts w:ascii="Arial" w:eastAsia="Times New Roman" w:hAnsi="Arial" w:cs="Arial"/>
          <w:sz w:val="20"/>
          <w:szCs w:val="20"/>
          <w:lang w:eastAsia="en-IN"/>
        </w:rPr>
        <w:t>)</w:t>
      </w:r>
    </w:p>
    <w:p w:rsidR="00FC6876" w:rsidRPr="003A09CC" w:rsidRDefault="00FC6876" w:rsidP="00FC6876">
      <w:pPr>
        <w:numPr>
          <w:ilvl w:val="0"/>
          <w:numId w:val="3"/>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Pre-chlorinated water (12 ppm available chlorine) was filled from a reservoir</w:t>
      </w:r>
    </w:p>
    <w:p w:rsidR="00FC6876" w:rsidRPr="003A09CC" w:rsidRDefault="00FC6876" w:rsidP="00FC6876">
      <w:pPr>
        <w:numPr>
          <w:ilvl w:val="0"/>
          <w:numId w:val="3"/>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Paddle wheel aerators (2 HP motor) were deployed at a rate of four aerators per 100,000 post-larvae</w:t>
      </w:r>
    </w:p>
    <w:p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2.3 FISH STOCKING AND MANAGEMENT</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Post-larvae of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(PL-7 stage) with an average initial weight of 0.002 g were obtained from a registered private hatchery in August 2024. Fish were acclimated to tank conditions before stocking. Throughout the experimental period, fish were fed a commercial pelleted feed containing 36% crude protein (CP Company brand) twice daily at 08:00 and 16:00 hours. Feed was broadcast from a boat according to </w:t>
      </w:r>
      <w:r w:rsidRPr="00D80C2C">
        <w:rPr>
          <w:rFonts w:ascii="Arial" w:eastAsia="Times New Roman" w:hAnsi="Arial" w:cs="Arial"/>
          <w:sz w:val="20"/>
          <w:szCs w:val="20"/>
          <w:highlight w:val="yellow"/>
          <w:lang w:eastAsia="en-IN"/>
        </w:rPr>
        <w:t>manufacturer</w:t>
      </w:r>
      <w:r w:rsidR="00D80C2C" w:rsidRPr="00D80C2C">
        <w:rPr>
          <w:rFonts w:ascii="Arial" w:eastAsia="Times New Roman" w:hAnsi="Arial" w:cs="Arial"/>
          <w:sz w:val="20"/>
          <w:szCs w:val="20"/>
          <w:highlight w:val="yellow"/>
          <w:lang w:eastAsia="en-IN"/>
        </w:rPr>
        <w:t>’s</w:t>
      </w:r>
      <w:r w:rsidRPr="003A09CC">
        <w:rPr>
          <w:rFonts w:ascii="Arial" w:eastAsia="Times New Roman" w:hAnsi="Arial" w:cs="Arial"/>
          <w:sz w:val="20"/>
          <w:szCs w:val="20"/>
          <w:lang w:eastAsia="en-IN"/>
        </w:rPr>
        <w:t xml:space="preserve"> recommendations, and check trays (36 cm diameter) were used to monitor consumption after 2 hours of feeding.</w:t>
      </w:r>
    </w:p>
    <w:p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2.4 SAMPLING AND MEASUREMENTS</w:t>
      </w:r>
    </w:p>
    <w:p w:rsidR="00FC6876" w:rsidRPr="003A09CC" w:rsidRDefault="003A09CC" w:rsidP="00FC6876">
      <w:pPr>
        <w:spacing w:before="100" w:beforeAutospacing="1" w:after="100" w:afterAutospacing="1" w:line="240" w:lineRule="auto"/>
        <w:jc w:val="both"/>
        <w:outlineLvl w:val="3"/>
        <w:rPr>
          <w:rFonts w:ascii="Arial" w:eastAsia="Times New Roman" w:hAnsi="Arial" w:cs="Arial"/>
          <w:b/>
          <w:bCs/>
          <w:sz w:val="20"/>
          <w:szCs w:val="20"/>
          <w:lang w:eastAsia="en-IN"/>
        </w:rPr>
      </w:pPr>
      <w:r>
        <w:rPr>
          <w:rFonts w:ascii="Arial" w:eastAsia="Times New Roman" w:hAnsi="Arial" w:cs="Arial"/>
          <w:b/>
          <w:bCs/>
          <w:sz w:val="20"/>
          <w:szCs w:val="20"/>
          <w:lang w:eastAsia="en-IN"/>
        </w:rPr>
        <w:t>2.4.1 GROWTH PARAMETERS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Random samples of 30 fish from each tank were collected biweekly for growth assessment. Individual fish were weighed using a digital top-loading balance (accuracy ±0.01 g). The following growth parameters were calculated:</w:t>
      </w:r>
    </w:p>
    <w:p w:rsidR="00FC6876" w:rsidRPr="003A09CC" w:rsidRDefault="00FC6876" w:rsidP="00FC6876">
      <w:pPr>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lastRenderedPageBreak/>
        <w:t>Weight Gain (WG)</w:t>
      </w:r>
      <w:r w:rsidRPr="003A09CC">
        <w:rPr>
          <w:rFonts w:ascii="Arial" w:eastAsia="Times New Roman" w:hAnsi="Arial" w:cs="Arial"/>
          <w:sz w:val="20"/>
          <w:szCs w:val="20"/>
          <w:lang w:eastAsia="en-IN"/>
        </w:rPr>
        <w:t xml:space="preserve"> = Final weight - Initial weight</w:t>
      </w:r>
    </w:p>
    <w:p w:rsidR="00FC6876" w:rsidRPr="003A09CC" w:rsidRDefault="00FC6876" w:rsidP="00FC6876">
      <w:pPr>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Growth Rate (GR)</w:t>
      </w:r>
      <w:r w:rsidRPr="003A09CC">
        <w:rPr>
          <w:rFonts w:ascii="Arial" w:eastAsia="Times New Roman" w:hAnsi="Arial" w:cs="Arial"/>
          <w:sz w:val="20"/>
          <w:szCs w:val="20"/>
          <w:lang w:eastAsia="en-IN"/>
        </w:rPr>
        <w:t xml:space="preserve"> = Weight gain / Culture period (weeks)</w:t>
      </w:r>
    </w:p>
    <w:p w:rsidR="00FC6876" w:rsidRPr="003A09CC" w:rsidRDefault="00FC6876" w:rsidP="00FC6876">
      <w:pPr>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Specific Growth Rate (SGR, %/day)</w:t>
      </w:r>
      <w:r w:rsidRPr="003A09CC">
        <w:rPr>
          <w:rFonts w:ascii="Arial" w:eastAsia="Times New Roman" w:hAnsi="Arial" w:cs="Arial"/>
          <w:sz w:val="20"/>
          <w:szCs w:val="20"/>
          <w:lang w:eastAsia="en-IN"/>
        </w:rPr>
        <w:t xml:space="preserve"> = [(ln Final weight - ln Initial weight) / Days] × 100</w:t>
      </w:r>
    </w:p>
    <w:p w:rsidR="00FC6876" w:rsidRPr="003A09CC" w:rsidRDefault="00FC6876" w:rsidP="00FC6876">
      <w:pPr>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Feed Conversion Ratio (FCR)</w:t>
      </w:r>
      <w:r w:rsidRPr="003A09CC">
        <w:rPr>
          <w:rFonts w:ascii="Arial" w:eastAsia="Times New Roman" w:hAnsi="Arial" w:cs="Arial"/>
          <w:sz w:val="20"/>
          <w:szCs w:val="20"/>
          <w:lang w:eastAsia="en-IN"/>
        </w:rPr>
        <w:t xml:space="preserve"> = Total feed consumed / Total weight gain</w:t>
      </w:r>
    </w:p>
    <w:p w:rsidR="00FC6876" w:rsidRPr="003A09CC" w:rsidRDefault="00FC6876" w:rsidP="00FC6876">
      <w:pPr>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Survival Rate (%)</w:t>
      </w:r>
      <w:r w:rsidRPr="003A09CC">
        <w:rPr>
          <w:rFonts w:ascii="Arial" w:eastAsia="Times New Roman" w:hAnsi="Arial" w:cs="Arial"/>
          <w:sz w:val="20"/>
          <w:szCs w:val="20"/>
          <w:lang w:eastAsia="en-IN"/>
        </w:rPr>
        <w:t xml:space="preserve"> = (Final number / Initial number) × 100</w:t>
      </w:r>
    </w:p>
    <w:p w:rsidR="00FC6876" w:rsidRPr="003A09CC" w:rsidRDefault="003A09CC" w:rsidP="00FC6876">
      <w:pPr>
        <w:spacing w:before="100" w:beforeAutospacing="1" w:after="100" w:afterAutospacing="1" w:line="240" w:lineRule="auto"/>
        <w:jc w:val="both"/>
        <w:outlineLvl w:val="3"/>
        <w:rPr>
          <w:rFonts w:ascii="Arial" w:eastAsia="Times New Roman" w:hAnsi="Arial" w:cs="Arial"/>
          <w:b/>
          <w:bCs/>
          <w:sz w:val="20"/>
          <w:szCs w:val="20"/>
          <w:lang w:eastAsia="en-IN"/>
        </w:rPr>
      </w:pPr>
      <w:r>
        <w:rPr>
          <w:rFonts w:ascii="Arial" w:eastAsia="Times New Roman" w:hAnsi="Arial" w:cs="Arial"/>
          <w:b/>
          <w:bCs/>
          <w:sz w:val="20"/>
          <w:szCs w:val="20"/>
          <w:lang w:eastAsia="en-IN"/>
        </w:rPr>
        <w:t>2.4.2 WATER QUALITY MONITORING</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Water quality parameters were measured weekly at 07:00 hours:</w:t>
      </w:r>
    </w:p>
    <w:p w:rsidR="00FC6876" w:rsidRPr="003A09CC" w:rsidRDefault="00FC6876" w:rsidP="00FC6876">
      <w:pPr>
        <w:numPr>
          <w:ilvl w:val="0"/>
          <w:numId w:val="5"/>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Temperature (°C): Mercury thermometer</w:t>
      </w:r>
    </w:p>
    <w:p w:rsidR="00FC6876" w:rsidRPr="003A09CC" w:rsidRDefault="00FC6876" w:rsidP="00FC6876">
      <w:pPr>
        <w:numPr>
          <w:ilvl w:val="0"/>
          <w:numId w:val="5"/>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Dissolved oxygen (mg/L): DO meter</w:t>
      </w:r>
    </w:p>
    <w:p w:rsidR="00FC6876" w:rsidRPr="003A09CC" w:rsidRDefault="00FC6876" w:rsidP="00FC6876">
      <w:pPr>
        <w:numPr>
          <w:ilvl w:val="0"/>
          <w:numId w:val="5"/>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pH: Digital pH meter</w:t>
      </w:r>
    </w:p>
    <w:p w:rsidR="00FC6876" w:rsidRPr="003A09CC" w:rsidRDefault="00FC6876" w:rsidP="00FC6876">
      <w:pPr>
        <w:numPr>
          <w:ilvl w:val="0"/>
          <w:numId w:val="5"/>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Total ammonia nitrogen (TAN, mg/L): Spectrophotometric method</w:t>
      </w:r>
    </w:p>
    <w:p w:rsidR="00FC6876" w:rsidRPr="003A09CC" w:rsidRDefault="00FC6876" w:rsidP="00FC6876">
      <w:pPr>
        <w:numPr>
          <w:ilvl w:val="0"/>
          <w:numId w:val="5"/>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Nitrite-nitrogen (mg/L): Colorimetric method</w:t>
      </w:r>
    </w:p>
    <w:p w:rsidR="00FC6876" w:rsidRPr="003A09CC" w:rsidRDefault="00FC6876" w:rsidP="00FC6876">
      <w:pPr>
        <w:numPr>
          <w:ilvl w:val="0"/>
          <w:numId w:val="5"/>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Nitrate-nitrogen (mg/L): Cadmium reduction method</w:t>
      </w:r>
    </w:p>
    <w:p w:rsidR="00FC6876" w:rsidRPr="003A09CC" w:rsidRDefault="00FC6876" w:rsidP="00FC6876">
      <w:pPr>
        <w:numPr>
          <w:ilvl w:val="0"/>
          <w:numId w:val="5"/>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Total phosphorus (mg/L): Ascorbic acid method</w:t>
      </w:r>
    </w:p>
    <w:p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2.5 HARVEST AND FINAL ASSESMENT</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At the end of the 98-day culture period, complete harvest was conducted. All fish were initially collected using cast nets, followed by complete tank drainage to ensure comprehensive recovery. All harvested individuals were counted and weighed to determine total production, survival rate, and final size distribution.</w:t>
      </w:r>
    </w:p>
    <w:p w:rsidR="00FC6876" w:rsidRPr="003A09CC" w:rsidRDefault="003A09CC" w:rsidP="00FC6876">
      <w:pPr>
        <w:spacing w:before="100" w:beforeAutospacing="1" w:after="100" w:afterAutospacing="1" w:line="240" w:lineRule="auto"/>
        <w:jc w:val="both"/>
        <w:outlineLvl w:val="2"/>
        <w:rPr>
          <w:rFonts w:ascii="Arial" w:eastAsia="Times New Roman" w:hAnsi="Arial" w:cs="Arial"/>
          <w:b/>
          <w:bCs/>
          <w:sz w:val="20"/>
          <w:szCs w:val="20"/>
          <w:lang w:eastAsia="en-IN"/>
        </w:rPr>
      </w:pPr>
      <w:r w:rsidRPr="003A09CC">
        <w:rPr>
          <w:rFonts w:ascii="Arial" w:eastAsia="Times New Roman" w:hAnsi="Arial" w:cs="Arial"/>
          <w:b/>
          <w:bCs/>
          <w:lang w:eastAsia="en-IN"/>
        </w:rPr>
        <w:t>2.6</w:t>
      </w:r>
      <w:r>
        <w:rPr>
          <w:rFonts w:ascii="Arial" w:eastAsia="Times New Roman" w:hAnsi="Arial" w:cs="Arial"/>
          <w:b/>
          <w:bCs/>
          <w:sz w:val="20"/>
          <w:szCs w:val="20"/>
          <w:lang w:eastAsia="en-IN"/>
        </w:rPr>
        <w:t xml:space="preserve"> </w:t>
      </w:r>
      <w:r w:rsidRPr="003A09CC">
        <w:rPr>
          <w:rFonts w:ascii="Arial" w:eastAsia="Times New Roman" w:hAnsi="Arial" w:cs="Arial"/>
          <w:b/>
          <w:bCs/>
          <w:lang w:eastAsia="en-IN"/>
        </w:rPr>
        <w:t>STATISTICAL ANALYSIS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Data were analyzed using one-way analysis of variance (ANOVA) with stocking density as the main factor. When significant differences were detected (P &lt; 0.05), Tukey's Honest Significant Difference (HSD) test was applied for multiple comparisons. All statistical analyses were performed using appropriate software, and results are presented as mean ± standard deviation (SD).</w:t>
      </w:r>
    </w:p>
    <w:p w:rsidR="00FC6876" w:rsidRPr="003A09CC" w:rsidRDefault="003A09CC" w:rsidP="00FC6876">
      <w:pPr>
        <w:spacing w:before="100" w:beforeAutospacing="1" w:after="100" w:afterAutospacing="1" w:line="240" w:lineRule="auto"/>
        <w:jc w:val="both"/>
        <w:outlineLvl w:val="1"/>
        <w:rPr>
          <w:rFonts w:ascii="Arial" w:eastAsia="Times New Roman" w:hAnsi="Arial" w:cs="Arial"/>
          <w:b/>
          <w:bCs/>
          <w:sz w:val="20"/>
          <w:szCs w:val="20"/>
          <w:lang w:eastAsia="en-IN"/>
        </w:rPr>
      </w:pPr>
      <w:r w:rsidRPr="003A09CC">
        <w:rPr>
          <w:rFonts w:ascii="Arial" w:eastAsia="Times New Roman" w:hAnsi="Arial" w:cs="Arial"/>
          <w:b/>
          <w:bCs/>
          <w:lang w:eastAsia="en-IN"/>
        </w:rPr>
        <w:t>3.</w:t>
      </w:r>
      <w:r>
        <w:rPr>
          <w:rFonts w:ascii="Arial" w:eastAsia="Times New Roman" w:hAnsi="Arial" w:cs="Arial"/>
          <w:b/>
          <w:bCs/>
          <w:sz w:val="20"/>
          <w:szCs w:val="20"/>
          <w:lang w:eastAsia="en-IN"/>
        </w:rPr>
        <w:t xml:space="preserve"> </w:t>
      </w:r>
      <w:r w:rsidRPr="003A09CC">
        <w:rPr>
          <w:rFonts w:ascii="Arial" w:eastAsia="Times New Roman" w:hAnsi="Arial" w:cs="Arial"/>
          <w:b/>
          <w:bCs/>
          <w:lang w:eastAsia="en-IN"/>
        </w:rPr>
        <w:t>RESULTS</w:t>
      </w:r>
    </w:p>
    <w:p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3.1</w:t>
      </w:r>
      <w:r>
        <w:rPr>
          <w:rFonts w:ascii="Arial" w:eastAsia="Times New Roman" w:hAnsi="Arial" w:cs="Arial"/>
          <w:b/>
          <w:bCs/>
          <w:sz w:val="20"/>
          <w:szCs w:val="20"/>
          <w:lang w:eastAsia="en-IN"/>
        </w:rPr>
        <w:t xml:space="preserve"> </w:t>
      </w:r>
      <w:r>
        <w:rPr>
          <w:rFonts w:ascii="Arial" w:eastAsia="Times New Roman" w:hAnsi="Arial" w:cs="Arial"/>
          <w:b/>
          <w:bCs/>
          <w:lang w:eastAsia="en-IN"/>
        </w:rPr>
        <w:t>WATER QUALITY</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Water quality parameters throughout the 98-day culture period are presented in Table 1. Temperature, dissolved oxygen, and pH showed no significant differences among treatments (P &gt; 0.05), remaining within acceptable ranges for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culture. Mean temperature ranged from 26.90 to 27.18°C, dissolved oxygen from 6.19 to 6.38 mg/L, and pH from 7.89 to 8.07.</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However, total ammonia nitrogen (TAN) concentration in Tank-4 (1.37 ± 0.31 mg/L) was significantly higher compared to other treatments (P &lt; 0.05). Nitrate-nitrogen and total phosphorus concentrations in Tank-3 and Tank-4 were significantly elevated compared to Tank-1 and Tank-2 (P &lt; 0.05), indicating increased nitrification activity and nutrient accumulation at higher stocking densities.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Table1. Water Quality Parameters (Mean ± SD) in Different Stocking Density Treatments</w:t>
      </w:r>
    </w:p>
    <w:tbl>
      <w:tblPr>
        <w:tblStyle w:val="TableGrid"/>
        <w:tblW w:w="0" w:type="auto"/>
        <w:tblLook w:val="04A0"/>
      </w:tblPr>
      <w:tblGrid>
        <w:gridCol w:w="2009"/>
        <w:gridCol w:w="1684"/>
        <w:gridCol w:w="1684"/>
        <w:gridCol w:w="1684"/>
        <w:gridCol w:w="1684"/>
      </w:tblGrid>
      <w:tr w:rsidR="00581AA6" w:rsidRPr="003A09CC" w:rsidTr="004D41B8">
        <w:tc>
          <w:tcPr>
            <w:tcW w:w="0" w:type="auto"/>
            <w:hideMark/>
          </w:tcPr>
          <w:p w:rsidR="00581AA6" w:rsidRPr="003A09CC" w:rsidRDefault="00581AA6" w:rsidP="004D41B8">
            <w:pPr>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Parameter</w:t>
            </w:r>
          </w:p>
        </w:tc>
        <w:tc>
          <w:tcPr>
            <w:tcW w:w="0" w:type="auto"/>
            <w:hideMark/>
          </w:tcPr>
          <w:p w:rsidR="00581AA6" w:rsidRPr="003A09CC" w:rsidRDefault="00581AA6" w:rsidP="004D41B8">
            <w:pPr>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Tank-1 (100/m³)</w:t>
            </w:r>
          </w:p>
        </w:tc>
        <w:tc>
          <w:tcPr>
            <w:tcW w:w="0" w:type="auto"/>
            <w:hideMark/>
          </w:tcPr>
          <w:p w:rsidR="00581AA6" w:rsidRPr="003A09CC" w:rsidRDefault="00581AA6" w:rsidP="004D41B8">
            <w:pPr>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Tank-2 (150/m³)</w:t>
            </w:r>
          </w:p>
        </w:tc>
        <w:tc>
          <w:tcPr>
            <w:tcW w:w="0" w:type="auto"/>
            <w:hideMark/>
          </w:tcPr>
          <w:p w:rsidR="00581AA6" w:rsidRPr="003A09CC" w:rsidRDefault="00581AA6" w:rsidP="004D41B8">
            <w:pPr>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Tank-3 (200/m³)</w:t>
            </w:r>
          </w:p>
        </w:tc>
        <w:tc>
          <w:tcPr>
            <w:tcW w:w="0" w:type="auto"/>
            <w:hideMark/>
          </w:tcPr>
          <w:p w:rsidR="00581AA6" w:rsidRPr="003A09CC" w:rsidRDefault="00581AA6" w:rsidP="004D41B8">
            <w:pPr>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Tank-4 (700/m³)</w:t>
            </w:r>
          </w:p>
        </w:tc>
      </w:tr>
      <w:tr w:rsidR="00581AA6" w:rsidRPr="003A09CC" w:rsidTr="004D41B8">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Temperature (°C)</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27.02 ± 2.4ᵃ</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26.90 ± 2.3ᵃ</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27.18 ± 2.2ᵃ</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27.14 ± 2.2ᵃ</w:t>
            </w:r>
          </w:p>
        </w:tc>
      </w:tr>
      <w:tr w:rsidR="00581AA6" w:rsidRPr="003A09CC" w:rsidTr="004D41B8">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Dissolved O</w:t>
            </w:r>
            <w:r w:rsidRPr="003A09CC">
              <w:rPr>
                <w:rFonts w:ascii="Cambria Math" w:eastAsia="Times New Roman" w:hAnsi="Cambria Math" w:cs="Arial"/>
                <w:sz w:val="20"/>
                <w:szCs w:val="20"/>
                <w:lang w:eastAsia="en-IN"/>
              </w:rPr>
              <w:t>₂</w:t>
            </w:r>
            <w:r w:rsidRPr="003A09CC">
              <w:rPr>
                <w:rFonts w:ascii="Arial" w:eastAsia="Times New Roman" w:hAnsi="Arial" w:cs="Arial"/>
                <w:sz w:val="20"/>
                <w:szCs w:val="20"/>
                <w:lang w:eastAsia="en-IN"/>
              </w:rPr>
              <w:t xml:space="preserve"> (mg/L)</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6.38 ± 0.62ᵃ</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6.37 ± 0.52ᵃ</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6.20 ± 0.29ᵃ</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6.19 ± 0.74ᵃ</w:t>
            </w:r>
          </w:p>
        </w:tc>
      </w:tr>
      <w:tr w:rsidR="00581AA6" w:rsidRPr="003A09CC" w:rsidTr="004D41B8">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pH</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8.07 ± 0.18ᵃ</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8.02 ± 0.23ᵃ</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7.99 ± 0.25ᵃ</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7.89 ± 0.27ᵃ</w:t>
            </w:r>
          </w:p>
        </w:tc>
      </w:tr>
      <w:tr w:rsidR="00581AA6" w:rsidRPr="003A09CC" w:rsidTr="004D41B8">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TAN (mg/L)</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1.07 ± 0.24ᶜ</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1.10 ± 0.30ᵇᶜ</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1.17 ± 0.23ᵇ</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1.37 ± 0.31ᵃ</w:t>
            </w:r>
          </w:p>
        </w:tc>
      </w:tr>
      <w:tr w:rsidR="00581AA6" w:rsidRPr="003A09CC" w:rsidTr="004D41B8">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NO</w:t>
            </w:r>
            <w:r w:rsidRPr="003A09CC">
              <w:rPr>
                <w:rFonts w:ascii="Cambria Math" w:eastAsia="Times New Roman" w:hAnsi="Cambria Math" w:cs="Arial"/>
                <w:sz w:val="20"/>
                <w:szCs w:val="20"/>
                <w:lang w:eastAsia="en-IN"/>
              </w:rPr>
              <w:t>₂</w:t>
            </w:r>
            <w:r w:rsidRPr="003A09CC">
              <w:rPr>
                <w:rFonts w:ascii="Arial" w:eastAsia="Times New Roman" w:hAnsi="Arial" w:cs="Arial"/>
                <w:sz w:val="20"/>
                <w:szCs w:val="20"/>
                <w:lang w:eastAsia="en-IN"/>
              </w:rPr>
              <w:t>-N (mg/L)</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0.042 ± 0.02ᵃ</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0.048 ± 0.02ᵃ</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0.050 ± 0.02ᵃ</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0.051 ± 0.04ᵃ</w:t>
            </w:r>
          </w:p>
        </w:tc>
      </w:tr>
      <w:tr w:rsidR="00581AA6" w:rsidRPr="003A09CC" w:rsidTr="004D41B8">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NO</w:t>
            </w:r>
            <w:r w:rsidRPr="003A09CC">
              <w:rPr>
                <w:rFonts w:ascii="Cambria Math" w:eastAsia="Times New Roman" w:hAnsi="Cambria Math" w:cs="Arial"/>
                <w:sz w:val="20"/>
                <w:szCs w:val="20"/>
                <w:lang w:eastAsia="en-IN"/>
              </w:rPr>
              <w:t>₃</w:t>
            </w:r>
            <w:r w:rsidRPr="003A09CC">
              <w:rPr>
                <w:rFonts w:ascii="Arial" w:eastAsia="Times New Roman" w:hAnsi="Arial" w:cs="Arial"/>
                <w:sz w:val="20"/>
                <w:szCs w:val="20"/>
                <w:lang w:eastAsia="en-IN"/>
              </w:rPr>
              <w:t>-N (mg/L)</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1.27 ± 0.22ᵇ</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1.47 ± 0.52ᵇ</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1.50 ± 0.70ᵇ</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1.67 ± 0.82ᵃ</w:t>
            </w:r>
          </w:p>
        </w:tc>
      </w:tr>
      <w:tr w:rsidR="00581AA6" w:rsidRPr="003A09CC" w:rsidTr="004D41B8">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Total P (mg/L)</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1.56 ± 0.28ᵇ</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1.58 ± 0.79ᵇ</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1.59 ± 0.25ᵇ</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1.66 ± 0.22ᵃ</w:t>
            </w:r>
          </w:p>
        </w:tc>
      </w:tr>
    </w:tbl>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iCs/>
          <w:sz w:val="20"/>
          <w:szCs w:val="20"/>
          <w:lang w:eastAsia="en-IN"/>
        </w:rPr>
        <w:lastRenderedPageBreak/>
        <w:t xml:space="preserve">Values with different superscripts within rows are significantly different </w:t>
      </w:r>
      <w:r w:rsidRPr="00D80C2C">
        <w:rPr>
          <w:rFonts w:ascii="Arial" w:eastAsia="Times New Roman" w:hAnsi="Arial" w:cs="Arial"/>
          <w:iCs/>
          <w:sz w:val="20"/>
          <w:szCs w:val="20"/>
          <w:highlight w:val="yellow"/>
          <w:lang w:eastAsia="en-IN"/>
        </w:rPr>
        <w:t>(P &lt; 0.05)</w:t>
      </w:r>
      <w:r w:rsidR="00D80C2C" w:rsidRPr="00D80C2C">
        <w:rPr>
          <w:rFonts w:ascii="Arial" w:eastAsia="Times New Roman" w:hAnsi="Arial" w:cs="Arial"/>
          <w:iCs/>
          <w:sz w:val="20"/>
          <w:szCs w:val="20"/>
          <w:highlight w:val="yellow"/>
          <w:lang w:eastAsia="en-IN"/>
        </w:rPr>
        <w:t>.</w:t>
      </w:r>
    </w:p>
    <w:p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3.2 GROWTH PERFORMANCE</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Growth parameters demonstrated clear density-dependent patterns (Table 2). Final weight decreased significantly with increasing stocking density, ranging from 27.5 ± 0.41 g in Tank-1 to 15.1 ± 0.87 g in Tank-4 (P &lt; 0.05). Similarly, growth rate declined from 0.85 g/week in the lowest density treatment to 0.39 g/week in the highest density treatment.</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Specific growth rate (SGR) also showed significant differences, with Tank-1 achieving 9.99 ± 0.13%/day compared to 9.14 ± 0.28%/day in Tank-4 (P &lt; 0.05). This represents a 64.1% reduction in final weight when comparing the lowest and highest stocking densities.</w:t>
      </w:r>
    </w:p>
    <w:p w:rsidR="00FC6876" w:rsidRPr="003A09CC" w:rsidRDefault="00F50135" w:rsidP="00FC6876">
      <w:pPr>
        <w:spacing w:before="100" w:beforeAutospacing="1" w:after="100" w:afterAutospacing="1" w:line="240" w:lineRule="auto"/>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 xml:space="preserve">Table </w:t>
      </w:r>
      <w:r w:rsidR="00FC6876" w:rsidRPr="003A09CC">
        <w:rPr>
          <w:rFonts w:ascii="Arial" w:eastAsia="Times New Roman" w:hAnsi="Arial" w:cs="Arial"/>
          <w:b/>
          <w:bCs/>
          <w:sz w:val="20"/>
          <w:szCs w:val="20"/>
          <w:lang w:eastAsia="en-IN"/>
        </w:rPr>
        <w:t xml:space="preserve">2. Growth Performance of </w:t>
      </w:r>
      <w:proofErr w:type="spellStart"/>
      <w:r w:rsidR="00FC6876" w:rsidRPr="003A09CC">
        <w:rPr>
          <w:rFonts w:ascii="Arial" w:eastAsia="Times New Roman" w:hAnsi="Arial" w:cs="Arial"/>
          <w:b/>
          <w:bCs/>
          <w:i/>
          <w:iCs/>
          <w:sz w:val="20"/>
          <w:szCs w:val="20"/>
          <w:lang w:eastAsia="en-IN"/>
        </w:rPr>
        <w:t>Pangasius</w:t>
      </w:r>
      <w:proofErr w:type="spellEnd"/>
      <w:r w:rsidR="00FC6876" w:rsidRPr="003A09CC">
        <w:rPr>
          <w:rFonts w:ascii="Arial" w:eastAsia="Times New Roman" w:hAnsi="Arial" w:cs="Arial"/>
          <w:b/>
          <w:bCs/>
          <w:i/>
          <w:iCs/>
          <w:sz w:val="20"/>
          <w:szCs w:val="20"/>
          <w:lang w:eastAsia="en-IN"/>
        </w:rPr>
        <w:t xml:space="preserve"> </w:t>
      </w:r>
      <w:proofErr w:type="spellStart"/>
      <w:r w:rsidR="00FC6876" w:rsidRPr="003A09CC">
        <w:rPr>
          <w:rFonts w:ascii="Arial" w:eastAsia="Times New Roman" w:hAnsi="Arial" w:cs="Arial"/>
          <w:b/>
          <w:bCs/>
          <w:i/>
          <w:iCs/>
          <w:sz w:val="20"/>
          <w:szCs w:val="20"/>
          <w:lang w:eastAsia="en-IN"/>
        </w:rPr>
        <w:t>pangasius</w:t>
      </w:r>
      <w:proofErr w:type="spellEnd"/>
      <w:r w:rsidR="00FC6876" w:rsidRPr="003A09CC">
        <w:rPr>
          <w:rFonts w:ascii="Arial" w:eastAsia="Times New Roman" w:hAnsi="Arial" w:cs="Arial"/>
          <w:b/>
          <w:bCs/>
          <w:sz w:val="20"/>
          <w:szCs w:val="20"/>
          <w:lang w:eastAsia="en-IN"/>
        </w:rPr>
        <w:t xml:space="preserve"> at Different Stocking Densities</w:t>
      </w:r>
    </w:p>
    <w:tbl>
      <w:tblPr>
        <w:tblStyle w:val="TableGrid"/>
        <w:tblW w:w="9174" w:type="dxa"/>
        <w:tblInd w:w="5" w:type="dxa"/>
        <w:tblLook w:val="04A0"/>
      </w:tblPr>
      <w:tblGrid>
        <w:gridCol w:w="2498"/>
        <w:gridCol w:w="1669"/>
        <w:gridCol w:w="1669"/>
        <w:gridCol w:w="1669"/>
        <w:gridCol w:w="1669"/>
      </w:tblGrid>
      <w:tr w:rsidR="00F50135" w:rsidRPr="003A09CC" w:rsidTr="004D41B8">
        <w:tc>
          <w:tcPr>
            <w:tcW w:w="0" w:type="auto"/>
            <w:hideMark/>
          </w:tcPr>
          <w:p w:rsidR="00F50135" w:rsidRPr="003A09CC" w:rsidRDefault="00F50135" w:rsidP="004D41B8">
            <w:pPr>
              <w:jc w:val="center"/>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Parameter</w:t>
            </w:r>
          </w:p>
        </w:tc>
        <w:tc>
          <w:tcPr>
            <w:tcW w:w="0" w:type="auto"/>
            <w:hideMark/>
          </w:tcPr>
          <w:p w:rsidR="00F50135" w:rsidRPr="003A09CC" w:rsidRDefault="00F50135" w:rsidP="004D41B8">
            <w:pPr>
              <w:jc w:val="center"/>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Tank-1 (100/m³)</w:t>
            </w:r>
          </w:p>
        </w:tc>
        <w:tc>
          <w:tcPr>
            <w:tcW w:w="0" w:type="auto"/>
            <w:hideMark/>
          </w:tcPr>
          <w:p w:rsidR="00F50135" w:rsidRPr="003A09CC" w:rsidRDefault="00F50135" w:rsidP="004D41B8">
            <w:pPr>
              <w:jc w:val="center"/>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Tank-2 (150/m³)</w:t>
            </w:r>
          </w:p>
        </w:tc>
        <w:tc>
          <w:tcPr>
            <w:tcW w:w="0" w:type="auto"/>
            <w:hideMark/>
          </w:tcPr>
          <w:p w:rsidR="00F50135" w:rsidRPr="003A09CC" w:rsidRDefault="00F50135" w:rsidP="004D41B8">
            <w:pPr>
              <w:jc w:val="center"/>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Tank-3 (200/m³)</w:t>
            </w:r>
          </w:p>
        </w:tc>
        <w:tc>
          <w:tcPr>
            <w:tcW w:w="0" w:type="auto"/>
            <w:hideMark/>
          </w:tcPr>
          <w:p w:rsidR="00F50135" w:rsidRPr="003A09CC" w:rsidRDefault="00F50135" w:rsidP="004D41B8">
            <w:pPr>
              <w:jc w:val="center"/>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Tank-4 (700/m³)</w:t>
            </w:r>
          </w:p>
        </w:tc>
      </w:tr>
      <w:tr w:rsidR="00F50135" w:rsidRPr="003A09CC" w:rsidTr="004D41B8">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Final weight (g)</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27.5 ± 0.41ᵃ</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22.4 ± 0.53ᵇ</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18.2 ± 0.66ᶜ</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15.1 ± 0.87ᵈ</w:t>
            </w:r>
          </w:p>
        </w:tc>
      </w:tr>
      <w:tr w:rsidR="00F50135" w:rsidRPr="003A09CC" w:rsidTr="004D41B8">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Growth rate (g/week)</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0.85 ± 0.26ᵃ</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0.70 ± 0.27ᵃ</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0.55 ± 0.21ᵇ</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0.39 ± 0.13ᵇ</w:t>
            </w:r>
          </w:p>
        </w:tc>
      </w:tr>
      <w:tr w:rsidR="00F50135" w:rsidRPr="003A09CC" w:rsidTr="004D41B8">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SGR (%/day)</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9.99 ± 0.13ᵃ</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9.77 ± 0.08ᵃᵇ</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9.51 ± 0.10ᵇ</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9.14 ± 0.28ᶜ</w:t>
            </w:r>
          </w:p>
        </w:tc>
      </w:tr>
      <w:tr w:rsidR="00F50135" w:rsidRPr="003A09CC" w:rsidTr="004D41B8">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Biomass harvest (kg/tank)</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38.94 ± 1.98ᵈ</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93.38 ± 2.31ᵇ</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99.21 ± 1.41ᵃ</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86.95 ± 1.78ᶜ</w:t>
            </w:r>
          </w:p>
        </w:tc>
      </w:tr>
      <w:tr w:rsidR="00F50135" w:rsidRPr="003A09CC" w:rsidTr="004D41B8">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Production (g/m³)</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1.11 ± 0.03ᵈ</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2.67 ± 0.04ᵇ</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2.83 ± 0.06ᵃ</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2.48 ± 0.08ᵇ</w:t>
            </w:r>
          </w:p>
        </w:tc>
      </w:tr>
      <w:tr w:rsidR="00F50135" w:rsidRPr="003A09CC" w:rsidTr="004D41B8">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Survival (%)</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93.2ᵃ</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91.4ᵃ</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74.0ᵇ</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65.7ᶜ</w:t>
            </w:r>
          </w:p>
        </w:tc>
      </w:tr>
      <w:tr w:rsidR="00F50135" w:rsidRPr="003A09CC" w:rsidTr="004D41B8">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FCR</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1.2ᵃ</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1.4ᵃᵇ</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1.8ᵇᶜ</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2.0ᶜ</w:t>
            </w:r>
          </w:p>
        </w:tc>
      </w:tr>
    </w:tbl>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iCs/>
          <w:sz w:val="20"/>
          <w:szCs w:val="20"/>
          <w:lang w:eastAsia="en-IN"/>
        </w:rPr>
        <w:t>Values with different superscripts within rows are significantly different (P &lt; 0.05)</w:t>
      </w:r>
    </w:p>
    <w:p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 xml:space="preserve">3.3 </w:t>
      </w:r>
      <w:r>
        <w:rPr>
          <w:rFonts w:ascii="Arial" w:eastAsia="Times New Roman" w:hAnsi="Arial" w:cs="Arial"/>
          <w:b/>
          <w:bCs/>
          <w:lang w:eastAsia="en-IN"/>
        </w:rPr>
        <w:t>SURVIVAL AND PRODUCTION</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Survival rates decreased significantly with increasing stocking density. Tank-1 and Tank-2 maintained high survival rates (93.2% and 91.4% respectively, P &gt; 0.05), while Tank-3 and Tank-4 experienced substantial mortality, with survival rates of 74.0% and 65.7% respectively (P &lt; 0.05).</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Despite lower individual growth and survival at higher densities, total biomass production initially increased with stocking density. Tank-3 (200 </w:t>
      </w:r>
      <w:proofErr w:type="spellStart"/>
      <w:r w:rsidRPr="003A09CC">
        <w:rPr>
          <w:rFonts w:ascii="Arial" w:eastAsia="Times New Roman" w:hAnsi="Arial" w:cs="Arial"/>
          <w:sz w:val="20"/>
          <w:szCs w:val="20"/>
          <w:lang w:eastAsia="en-IN"/>
        </w:rPr>
        <w:t>ind</w:t>
      </w:r>
      <w:proofErr w:type="spellEnd"/>
      <w:r w:rsidRPr="003A09CC">
        <w:rPr>
          <w:rFonts w:ascii="Arial" w:eastAsia="Times New Roman" w:hAnsi="Arial" w:cs="Arial"/>
          <w:sz w:val="20"/>
          <w:szCs w:val="20"/>
          <w:lang w:eastAsia="en-IN"/>
        </w:rPr>
        <w:t>/m³) achieved the highest biomass harvest (99.21 ± 1.41 kg/tank) and production (2.83 ± 0.06 g/m³). However, at the highest density (Tank-4), production decreased to 86.95 kg/tank due to compromised survival and growth.</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Feed conversion ratio (FCR) increased significantly with stocking density, ranging from 1.2 in Tank-1 to 2.0 in Tank-4 (P &lt; 0.05), indicating reduced feed utilization efficiency at higher densities.</w:t>
      </w:r>
    </w:p>
    <w:p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lang w:eastAsia="en-IN"/>
        </w:rPr>
        <w:t>3.4</w:t>
      </w:r>
      <w:r>
        <w:rPr>
          <w:rFonts w:ascii="Arial" w:eastAsia="Times New Roman" w:hAnsi="Arial" w:cs="Arial"/>
          <w:b/>
          <w:bCs/>
          <w:sz w:val="20"/>
          <w:szCs w:val="20"/>
          <w:lang w:eastAsia="en-IN"/>
        </w:rPr>
        <w:t xml:space="preserve"> </w:t>
      </w:r>
      <w:r>
        <w:rPr>
          <w:rFonts w:ascii="Arial" w:eastAsia="Times New Roman" w:hAnsi="Arial" w:cs="Arial"/>
          <w:b/>
          <w:bCs/>
          <w:lang w:eastAsia="en-IN"/>
        </w:rPr>
        <w:t>PRODUCTION MODELLING</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Based on experimental results, a production model was developed for achieving a minimum commercial size of 10 g (Table 3). The model demonstrates that while lower densities require longer culture periods, they achieve better FCR and survival rates.</w:t>
      </w:r>
    </w:p>
    <w:p w:rsidR="00F50135" w:rsidRPr="003A09CC" w:rsidRDefault="00F50135" w:rsidP="00FC6876">
      <w:pPr>
        <w:spacing w:before="100" w:beforeAutospacing="1" w:after="100" w:afterAutospacing="1" w:line="240" w:lineRule="auto"/>
        <w:jc w:val="both"/>
        <w:rPr>
          <w:rFonts w:ascii="Arial" w:eastAsia="Times New Roman" w:hAnsi="Arial" w:cs="Arial"/>
          <w:b/>
          <w:bCs/>
          <w:sz w:val="20"/>
          <w:szCs w:val="20"/>
          <w:lang w:eastAsia="en-IN"/>
        </w:rPr>
      </w:pPr>
    </w:p>
    <w:p w:rsidR="00F50135" w:rsidRPr="003A09CC" w:rsidRDefault="00F50135" w:rsidP="00FC6876">
      <w:pPr>
        <w:spacing w:before="100" w:beforeAutospacing="1" w:after="100" w:afterAutospacing="1" w:line="240" w:lineRule="auto"/>
        <w:jc w:val="both"/>
        <w:rPr>
          <w:rFonts w:ascii="Arial" w:eastAsia="Times New Roman" w:hAnsi="Arial" w:cs="Arial"/>
          <w:b/>
          <w:bCs/>
          <w:sz w:val="20"/>
          <w:szCs w:val="20"/>
          <w:lang w:eastAsia="en-IN"/>
        </w:rPr>
      </w:pPr>
    </w:p>
    <w:p w:rsidR="00FC6876" w:rsidRPr="003A09CC" w:rsidRDefault="004F5305" w:rsidP="00FC6876">
      <w:pPr>
        <w:spacing w:before="100" w:beforeAutospacing="1" w:after="100" w:afterAutospacing="1" w:line="240" w:lineRule="auto"/>
        <w:jc w:val="both"/>
        <w:rPr>
          <w:rFonts w:ascii="Arial" w:eastAsia="Times New Roman" w:hAnsi="Arial" w:cs="Arial"/>
          <w:b/>
          <w:bCs/>
          <w:sz w:val="20"/>
          <w:szCs w:val="20"/>
          <w:lang w:eastAsia="en-IN"/>
        </w:rPr>
      </w:pPr>
      <w:r>
        <w:rPr>
          <w:rFonts w:ascii="Arial" w:eastAsia="Times New Roman" w:hAnsi="Arial" w:cs="Arial"/>
          <w:b/>
          <w:bCs/>
          <w:sz w:val="20"/>
          <w:szCs w:val="20"/>
          <w:lang w:eastAsia="en-IN"/>
        </w:rPr>
        <w:t xml:space="preserve">Table </w:t>
      </w:r>
      <w:r w:rsidR="00FC6876" w:rsidRPr="003A09CC">
        <w:rPr>
          <w:rFonts w:ascii="Arial" w:eastAsia="Times New Roman" w:hAnsi="Arial" w:cs="Arial"/>
          <w:b/>
          <w:bCs/>
          <w:sz w:val="20"/>
          <w:szCs w:val="20"/>
          <w:lang w:eastAsia="en-IN"/>
        </w:rPr>
        <w:t>3. Production Model for 10 g Market Size at Different Stocking Densities</w:t>
      </w:r>
    </w:p>
    <w:tbl>
      <w:tblPr>
        <w:tblStyle w:val="TableGrid"/>
        <w:tblW w:w="0" w:type="auto"/>
        <w:tblLook w:val="04A0"/>
      </w:tblPr>
      <w:tblGrid>
        <w:gridCol w:w="2522"/>
        <w:gridCol w:w="1680"/>
        <w:gridCol w:w="1680"/>
        <w:gridCol w:w="1680"/>
        <w:gridCol w:w="1680"/>
      </w:tblGrid>
      <w:tr w:rsidR="00F50135" w:rsidRPr="003A09CC" w:rsidTr="004D41B8">
        <w:tc>
          <w:tcPr>
            <w:tcW w:w="0" w:type="auto"/>
            <w:hideMark/>
          </w:tcPr>
          <w:p w:rsidR="00F50135" w:rsidRPr="003A09CC" w:rsidRDefault="00F50135" w:rsidP="004D41B8">
            <w:pPr>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Parameter</w:t>
            </w:r>
          </w:p>
        </w:tc>
        <w:tc>
          <w:tcPr>
            <w:tcW w:w="0" w:type="auto"/>
            <w:hideMark/>
          </w:tcPr>
          <w:p w:rsidR="00F50135" w:rsidRPr="003A09CC" w:rsidRDefault="00F50135" w:rsidP="004D41B8">
            <w:pPr>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Tank-1 (100/m³)</w:t>
            </w:r>
          </w:p>
        </w:tc>
        <w:tc>
          <w:tcPr>
            <w:tcW w:w="0" w:type="auto"/>
            <w:hideMark/>
          </w:tcPr>
          <w:p w:rsidR="00F50135" w:rsidRPr="003A09CC" w:rsidRDefault="00F50135" w:rsidP="004D41B8">
            <w:pPr>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Tank-2 (150/m³)</w:t>
            </w:r>
          </w:p>
        </w:tc>
        <w:tc>
          <w:tcPr>
            <w:tcW w:w="0" w:type="auto"/>
            <w:hideMark/>
          </w:tcPr>
          <w:p w:rsidR="00F50135" w:rsidRPr="003A09CC" w:rsidRDefault="00F50135" w:rsidP="004D41B8">
            <w:pPr>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Tank-3 (200/m³)</w:t>
            </w:r>
          </w:p>
        </w:tc>
        <w:tc>
          <w:tcPr>
            <w:tcW w:w="0" w:type="auto"/>
            <w:hideMark/>
          </w:tcPr>
          <w:p w:rsidR="00F50135" w:rsidRPr="003A09CC" w:rsidRDefault="00F50135" w:rsidP="004D41B8">
            <w:pPr>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Tank-4 (700/m³)</w:t>
            </w:r>
          </w:p>
        </w:tc>
      </w:tr>
      <w:tr w:rsidR="00F50135" w:rsidRPr="003A09CC" w:rsidTr="004D41B8">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lastRenderedPageBreak/>
              <w:t>Culture time (days)</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90</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90</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90</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110</w:t>
            </w:r>
          </w:p>
        </w:tc>
      </w:tr>
      <w:tr w:rsidR="00F50135" w:rsidRPr="003A09CC" w:rsidTr="004D41B8">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FCR</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1.2</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1.4</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1.8</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2.0</w:t>
            </w:r>
          </w:p>
        </w:tc>
      </w:tr>
      <w:tr w:rsidR="00F50135" w:rsidRPr="003A09CC" w:rsidTr="004D41B8">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Growth rate (g/week)</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1.3</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1.0</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0.8</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0.7</w:t>
            </w:r>
          </w:p>
        </w:tc>
      </w:tr>
      <w:tr w:rsidR="00F50135" w:rsidRPr="003A09CC" w:rsidTr="004D41B8">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SGR (%/day)</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15.4</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12.3</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10.2</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8.4</w:t>
            </w:r>
          </w:p>
        </w:tc>
      </w:tr>
      <w:tr w:rsidR="00F50135" w:rsidRPr="003A09CC" w:rsidTr="004D41B8">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Production (kg/m³)</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0.86</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2.4</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3.75</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4.2</w:t>
            </w:r>
          </w:p>
        </w:tc>
      </w:tr>
      <w:tr w:rsidR="00F50135" w:rsidRPr="003A09CC" w:rsidTr="004D41B8">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Biomass harvest (kg/tank)</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30</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84</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131.3</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147</w:t>
            </w:r>
          </w:p>
        </w:tc>
      </w:tr>
      <w:tr w:rsidR="00F50135" w:rsidRPr="003A09CC" w:rsidTr="004D41B8">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Survival (%)</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85</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80</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75</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60</w:t>
            </w:r>
          </w:p>
        </w:tc>
      </w:tr>
    </w:tbl>
    <w:p w:rsidR="00FC6876" w:rsidRPr="003A09CC" w:rsidRDefault="003A09CC" w:rsidP="00FC6876">
      <w:pPr>
        <w:spacing w:before="100" w:beforeAutospacing="1" w:after="100" w:afterAutospacing="1" w:line="240" w:lineRule="auto"/>
        <w:jc w:val="both"/>
        <w:outlineLvl w:val="1"/>
        <w:rPr>
          <w:rFonts w:ascii="Arial" w:eastAsia="Times New Roman" w:hAnsi="Arial" w:cs="Arial"/>
          <w:b/>
          <w:bCs/>
          <w:lang w:eastAsia="en-IN"/>
        </w:rPr>
      </w:pPr>
      <w:r w:rsidRPr="003A09CC">
        <w:rPr>
          <w:rFonts w:ascii="Arial" w:eastAsia="Times New Roman" w:hAnsi="Arial" w:cs="Arial"/>
          <w:b/>
          <w:bCs/>
          <w:lang w:eastAsia="en-IN"/>
        </w:rPr>
        <w:t>4. DISCUSSION</w:t>
      </w:r>
    </w:p>
    <w:p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4.1 WATER QUALITY PARAMETERS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The water quality parameters observed throughout this study remained within acceptable ranges for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culture, consistent with previous research. Dissolved oxygen levels exceeded 5 mg/L in all treatments, which is considered adequate for optimal growth. The maintenance of acceptable water quality despite minimal water exchange can be attributed to the photo-heterotrophic system employed, which promoted development of beneficial microbial communities and enhanced nutrient cycling.</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The significant increase in TAN, nitrate-nitrogen, and total phosphorus at higher stocking densities reflects increased metabolic waste production and feed input. Similar density-dependent increases in nitrogen compounds have been reported in intensive aquaculture systems. The presence of elevated nitrate concentrations indicates active aerobic nitrification, suggesting that the biological filtration capacity of the system was functioning effectively even at higher densities.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The use of molasses as an external carbon source to maintain a C:N ratio of 20:1 likely contributed to the effective management of nitrogen compounds through heterotrophic bacterial assimilation. This approach has been demonstrated to enhance water quality in intensive aquaculture systems by promoting biofloc development and nutrient immobilization.</w:t>
      </w:r>
    </w:p>
    <w:p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lang w:eastAsia="en-IN"/>
        </w:rPr>
        <w:t>4.2 GROWTH PERFORMANCE AND STOCKING DENSITY</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The inverse relationship between stocking density and individual growth observed in this study is well-documented in aquaculture literature. The 64.1% reduction in final weight between the lowest (100 ind</w:t>
      </w:r>
      <w:r w:rsidR="00F50135"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and highest (700 ind</w:t>
      </w:r>
      <w:r w:rsidR="00F50135"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densities can be attributed to multiple interacting factors: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Space Competition:</w:t>
      </w:r>
      <w:r w:rsidRPr="003A09CC">
        <w:rPr>
          <w:rFonts w:ascii="Arial" w:eastAsia="Times New Roman" w:hAnsi="Arial" w:cs="Arial"/>
          <w:sz w:val="20"/>
          <w:szCs w:val="20"/>
          <w:lang w:eastAsia="en-IN"/>
        </w:rPr>
        <w:t xml:space="preserve"> At higher densities, fish have reduced swimming space, potentially limiting normal </w:t>
      </w:r>
      <w:r w:rsidR="00F50135" w:rsidRPr="003A09CC">
        <w:rPr>
          <w:rFonts w:ascii="Arial" w:eastAsia="Times New Roman" w:hAnsi="Arial" w:cs="Arial"/>
          <w:sz w:val="20"/>
          <w:szCs w:val="20"/>
          <w:lang w:eastAsia="en-IN"/>
        </w:rPr>
        <w:t>behavioural</w:t>
      </w:r>
      <w:r w:rsidRPr="003A09CC">
        <w:rPr>
          <w:rFonts w:ascii="Arial" w:eastAsia="Times New Roman" w:hAnsi="Arial" w:cs="Arial"/>
          <w:sz w:val="20"/>
          <w:szCs w:val="20"/>
          <w:lang w:eastAsia="en-IN"/>
        </w:rPr>
        <w:t xml:space="preserve"> patterns and increasing energy expenditure for territorial maintenance and social interactions.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Feed Competition:</w:t>
      </w:r>
      <w:r w:rsidRPr="003A09CC">
        <w:rPr>
          <w:rFonts w:ascii="Arial" w:eastAsia="Times New Roman" w:hAnsi="Arial" w:cs="Arial"/>
          <w:sz w:val="20"/>
          <w:szCs w:val="20"/>
          <w:lang w:eastAsia="en-IN"/>
        </w:rPr>
        <w:t xml:space="preserve"> Despite adequate feed provision, increased density may have intensified competition for feed particles, resulting in reduced individual feed intake. This is supported by the progressive increase in FCR with density, suggesting decreased feeding efficiency.</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Water Quality Stress:</w:t>
      </w:r>
      <w:r w:rsidRPr="003A09CC">
        <w:rPr>
          <w:rFonts w:ascii="Arial" w:eastAsia="Times New Roman" w:hAnsi="Arial" w:cs="Arial"/>
          <w:sz w:val="20"/>
          <w:szCs w:val="20"/>
          <w:lang w:eastAsia="en-IN"/>
        </w:rPr>
        <w:t xml:space="preserve"> Although water quality parameters remained within acceptable ranges, the elevated concentrations of nitrogenous compounds at higher densities may have induced chronic physiological stress, diverting energy from growth to osmoregulation and stress response.</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Social Stress:</w:t>
      </w:r>
      <w:r w:rsidRPr="003A09CC">
        <w:rPr>
          <w:rFonts w:ascii="Arial" w:eastAsia="Times New Roman" w:hAnsi="Arial" w:cs="Arial"/>
          <w:sz w:val="20"/>
          <w:szCs w:val="20"/>
          <w:lang w:eastAsia="en-IN"/>
        </w:rPr>
        <w:t xml:space="preserve"> Crowding-related stress can activate the hypothalamic-pituitary-interrenal axis, leading to elevated cortisol levels that suppress growth hormone secretion and protein synthesis.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The growth rates observed in this study (0.39-0.85 g/week) fall within the range reported for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in intensive culture systems, validating the experimental methodology and confirming the species' suitability for high-density culture when properly managed.</w:t>
      </w:r>
    </w:p>
    <w:p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lastRenderedPageBreak/>
        <w:t>4.3</w:t>
      </w:r>
      <w:r>
        <w:rPr>
          <w:rFonts w:ascii="Arial" w:eastAsia="Times New Roman" w:hAnsi="Arial" w:cs="Arial"/>
          <w:b/>
          <w:bCs/>
          <w:sz w:val="20"/>
          <w:szCs w:val="20"/>
          <w:lang w:eastAsia="en-IN"/>
        </w:rPr>
        <w:t xml:space="preserve"> </w:t>
      </w:r>
      <w:r w:rsidRPr="003A09CC">
        <w:rPr>
          <w:rFonts w:ascii="Arial" w:eastAsia="Times New Roman" w:hAnsi="Arial" w:cs="Arial"/>
          <w:b/>
          <w:bCs/>
          <w:lang w:eastAsia="en-IN"/>
        </w:rPr>
        <w:t>SURVIVAL AND PRODUCTION ECONOMICS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The decline in survival rate at higher stocking densities represents a critical consideration for commercial production. While Tank-1 and Tank-2 maintained excellent survival (&gt;91%), the substantial mortality in Tank-3 and Tank-4 (26% and 34% respectively) suggests that stocking densities exceeding 200 ind</w:t>
      </w:r>
      <w:r w:rsidR="00F50135"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may exceed the carrying capacity of the system under the experimental conditions employed.</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The increased mortality at high densities likely resulted from cumulative stress effects, including:</w:t>
      </w:r>
    </w:p>
    <w:p w:rsidR="00FC6876" w:rsidRPr="003A09CC" w:rsidRDefault="00FC6876" w:rsidP="00FC6876">
      <w:pPr>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Enhanced pathogen transmission due to closer proximity</w:t>
      </w:r>
    </w:p>
    <w:p w:rsidR="00FC6876" w:rsidRPr="003A09CC" w:rsidRDefault="00FC6876" w:rsidP="00FC6876">
      <w:pPr>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Weakened immune function from chronic stress</w:t>
      </w:r>
    </w:p>
    <w:p w:rsidR="00FC6876" w:rsidRPr="003A09CC" w:rsidRDefault="00FC6876" w:rsidP="00FC6876">
      <w:pPr>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Potential hypoxic episodes during peak feeding periods</w:t>
      </w:r>
    </w:p>
    <w:p w:rsidR="00FC6876" w:rsidRPr="003A09CC" w:rsidRDefault="00FC6876" w:rsidP="00FC6876">
      <w:pPr>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Physical damage from increased contact and aggression</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From a production economics perspective, Tank-3 (200 ind</w:t>
      </w:r>
      <w:r w:rsidR="00F50135"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represents an interesting inflection point. While it achieved the highest total biomass production (99.21 kg/tank), this came at the cost of 26% mortality and significantly reduced individual size (18.2 g vs. 27.5 g in Tank-1). The optimal density choice depends on market preferences and price structures:</w:t>
      </w:r>
    </w:p>
    <w:p w:rsidR="00FC6876" w:rsidRPr="003A09CC" w:rsidRDefault="00FC6876" w:rsidP="00FC6876">
      <w:pPr>
        <w:numPr>
          <w:ilvl w:val="0"/>
          <w:numId w:val="7"/>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Large count markets</w:t>
      </w:r>
      <w:r w:rsidRPr="003A09CC">
        <w:rPr>
          <w:rFonts w:ascii="Arial" w:eastAsia="Times New Roman" w:hAnsi="Arial" w:cs="Arial"/>
          <w:sz w:val="20"/>
          <w:szCs w:val="20"/>
          <w:lang w:eastAsia="en-IN"/>
        </w:rPr>
        <w:t xml:space="preserve"> (premium pricing for larger individuals): Tank-1 or Tank-2 optimal</w:t>
      </w:r>
    </w:p>
    <w:p w:rsidR="00FC6876" w:rsidRPr="003A09CC" w:rsidRDefault="00FC6876" w:rsidP="00FC6876">
      <w:pPr>
        <w:numPr>
          <w:ilvl w:val="0"/>
          <w:numId w:val="7"/>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Bulk production markets</w:t>
      </w:r>
      <w:r w:rsidRPr="003A09CC">
        <w:rPr>
          <w:rFonts w:ascii="Arial" w:eastAsia="Times New Roman" w:hAnsi="Arial" w:cs="Arial"/>
          <w:sz w:val="20"/>
          <w:szCs w:val="20"/>
          <w:lang w:eastAsia="en-IN"/>
        </w:rPr>
        <w:t xml:space="preserve"> (volume-based pricing): Tank-3 may be economically superior</w:t>
      </w:r>
    </w:p>
    <w:p w:rsidR="00FC6876" w:rsidRPr="003A09CC" w:rsidRDefault="00FC6876" w:rsidP="00FC6876">
      <w:pPr>
        <w:numPr>
          <w:ilvl w:val="0"/>
          <w:numId w:val="7"/>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Feed cost considerations</w:t>
      </w:r>
      <w:r w:rsidRPr="003A09CC">
        <w:rPr>
          <w:rFonts w:ascii="Arial" w:eastAsia="Times New Roman" w:hAnsi="Arial" w:cs="Arial"/>
          <w:sz w:val="20"/>
          <w:szCs w:val="20"/>
          <w:lang w:eastAsia="en-IN"/>
        </w:rPr>
        <w:t>: Tank-1 and Tank-2 offer superior FCR, reducing feed expenses</w:t>
      </w:r>
    </w:p>
    <w:p w:rsidR="00FC6876" w:rsidRPr="004D41B8" w:rsidRDefault="004D41B8" w:rsidP="00FC6876">
      <w:pPr>
        <w:spacing w:before="100" w:beforeAutospacing="1" w:after="100" w:afterAutospacing="1" w:line="240" w:lineRule="auto"/>
        <w:jc w:val="both"/>
        <w:outlineLvl w:val="2"/>
        <w:rPr>
          <w:rFonts w:ascii="Arial" w:eastAsia="Times New Roman" w:hAnsi="Arial" w:cs="Arial"/>
          <w:b/>
          <w:bCs/>
          <w:lang w:eastAsia="en-IN"/>
        </w:rPr>
      </w:pPr>
      <w:r w:rsidRPr="004D41B8">
        <w:rPr>
          <w:rFonts w:ascii="Arial" w:eastAsia="Times New Roman" w:hAnsi="Arial" w:cs="Arial"/>
          <w:b/>
          <w:bCs/>
          <w:lang w:eastAsia="en-IN"/>
        </w:rPr>
        <w:t>4.4 FEED UTILIZATION EFFICIENCY</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The progressive increase in FCR with stocking density (1.2 to 2.0) represents a significant economic concern. At the highest density, fish required 67% more feed per unit weight gain compared to the lowest density. This reduced feed efficiency likely reflects:</w:t>
      </w:r>
    </w:p>
    <w:p w:rsidR="00FC6876" w:rsidRPr="003A09CC" w:rsidRDefault="00FC6876" w:rsidP="00FC6876">
      <w:pPr>
        <w:numPr>
          <w:ilvl w:val="0"/>
          <w:numId w:val="8"/>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Increased basal metabolic costs from stress</w:t>
      </w:r>
    </w:p>
    <w:p w:rsidR="00FC6876" w:rsidRPr="003A09CC" w:rsidRDefault="00FC6876" w:rsidP="00FC6876">
      <w:pPr>
        <w:numPr>
          <w:ilvl w:val="0"/>
          <w:numId w:val="8"/>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Reduced feed accessibility due to competition</w:t>
      </w:r>
    </w:p>
    <w:p w:rsidR="00FC6876" w:rsidRPr="003A09CC" w:rsidRDefault="00FC6876" w:rsidP="00FC6876">
      <w:pPr>
        <w:numPr>
          <w:ilvl w:val="0"/>
          <w:numId w:val="8"/>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Energy diversion to social interactions rather than growth</w:t>
      </w:r>
    </w:p>
    <w:p w:rsidR="00FC6876" w:rsidRPr="003A09CC" w:rsidRDefault="00FC6876" w:rsidP="00FC6876">
      <w:pPr>
        <w:numPr>
          <w:ilvl w:val="0"/>
          <w:numId w:val="8"/>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Potential accumulation of uneaten feed at high densities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Improved FCR at lower densities substantially enhances profitability, as feed typically represents 50-60% of variable production costs in intensive aquaculture.</w:t>
      </w:r>
    </w:p>
    <w:p w:rsidR="00FC6876" w:rsidRPr="004D41B8" w:rsidRDefault="004D41B8" w:rsidP="00FC6876">
      <w:pPr>
        <w:spacing w:before="100" w:beforeAutospacing="1" w:after="100" w:afterAutospacing="1" w:line="240" w:lineRule="auto"/>
        <w:jc w:val="both"/>
        <w:outlineLvl w:val="2"/>
        <w:rPr>
          <w:rFonts w:ascii="Arial" w:eastAsia="Times New Roman" w:hAnsi="Arial" w:cs="Arial"/>
          <w:b/>
          <w:bCs/>
          <w:lang w:eastAsia="en-IN"/>
        </w:rPr>
      </w:pPr>
      <w:r w:rsidRPr="004D41B8">
        <w:rPr>
          <w:rFonts w:ascii="Arial" w:eastAsia="Times New Roman" w:hAnsi="Arial" w:cs="Arial"/>
          <w:b/>
          <w:bCs/>
          <w:lang w:eastAsia="en-IN"/>
        </w:rPr>
        <w:t>4.5 COMPARISON WITH PREVIOUS RESEARCH</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The results of this study align well with previous research on stock</w:t>
      </w:r>
      <w:r w:rsidR="004D41B8">
        <w:rPr>
          <w:rFonts w:ascii="Arial" w:eastAsia="Times New Roman" w:hAnsi="Arial" w:cs="Arial"/>
          <w:sz w:val="20"/>
          <w:szCs w:val="20"/>
          <w:lang w:eastAsia="en-IN"/>
        </w:rPr>
        <w:t>ing density effects in pangasius</w:t>
      </w:r>
      <w:r w:rsidRPr="003A09CC">
        <w:rPr>
          <w:rFonts w:ascii="Arial" w:eastAsia="Times New Roman" w:hAnsi="Arial" w:cs="Arial"/>
          <w:sz w:val="20"/>
          <w:szCs w:val="20"/>
          <w:lang w:eastAsia="en-IN"/>
        </w:rPr>
        <w:t xml:space="preserve"> catfish. Similar inverse relationships between density and growth have been reported in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culture in various production systems. The survival rates observed match patterns documented in intensive catfish culture, where densities exceeding 150-200 ind</w:t>
      </w:r>
      <w:r w:rsidR="004D41B8">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often result in increased mortality. The growth rates achieved (0.55-0.85 g/week for densities ≤200 ind</w:t>
      </w:r>
      <w:r w:rsidR="004D41B8">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are comparable to or exceed those reported in semi-intensive systems.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However, this study provides novel insights by examining a wider range of densities in a photo-heterotrophic system with minimal water exchange, demonstrating that acceptable production can be achieved at moderate densities (100-200 ind</w:t>
      </w:r>
      <w:r w:rsidR="00F50135"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under these conditions.</w:t>
      </w:r>
    </w:p>
    <w:p w:rsidR="00FC6876" w:rsidRPr="004D41B8" w:rsidRDefault="00FC6876" w:rsidP="00FC6876">
      <w:pPr>
        <w:spacing w:before="100" w:beforeAutospacing="1" w:after="100" w:afterAutospacing="1" w:line="240" w:lineRule="auto"/>
        <w:jc w:val="both"/>
        <w:outlineLvl w:val="2"/>
        <w:rPr>
          <w:rFonts w:ascii="Arial" w:eastAsia="Times New Roman" w:hAnsi="Arial" w:cs="Arial"/>
          <w:b/>
          <w:bCs/>
          <w:lang w:eastAsia="en-IN"/>
        </w:rPr>
      </w:pPr>
      <w:r w:rsidRPr="004D41B8">
        <w:rPr>
          <w:rFonts w:ascii="Arial" w:eastAsia="Times New Roman" w:hAnsi="Arial" w:cs="Arial"/>
          <w:b/>
          <w:bCs/>
          <w:lang w:eastAsia="en-IN"/>
        </w:rPr>
        <w:t xml:space="preserve">4.6 </w:t>
      </w:r>
      <w:r w:rsidR="004D41B8">
        <w:rPr>
          <w:rFonts w:ascii="Arial" w:eastAsia="Times New Roman" w:hAnsi="Arial" w:cs="Arial"/>
          <w:b/>
          <w:bCs/>
          <w:lang w:eastAsia="en-IN"/>
        </w:rPr>
        <w:t>PRODUCTION SYSTEM CONSIDERATION</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The photo-heterotrophic system employed in this study offers several advantages for intensive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culture:</w:t>
      </w:r>
    </w:p>
    <w:p w:rsidR="00FC6876" w:rsidRPr="003A09CC" w:rsidRDefault="00FC6876" w:rsidP="00FC6876">
      <w:pPr>
        <w:numPr>
          <w:ilvl w:val="0"/>
          <w:numId w:val="9"/>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lastRenderedPageBreak/>
        <w:t>Water conservation:</w:t>
      </w:r>
      <w:r w:rsidRPr="003A09CC">
        <w:rPr>
          <w:rFonts w:ascii="Arial" w:eastAsia="Times New Roman" w:hAnsi="Arial" w:cs="Arial"/>
          <w:sz w:val="20"/>
          <w:szCs w:val="20"/>
          <w:lang w:eastAsia="en-IN"/>
        </w:rPr>
        <w:t xml:space="preserve"> Minimal exchange reduces water use and environmental discharge</w:t>
      </w:r>
    </w:p>
    <w:p w:rsidR="00FC6876" w:rsidRPr="003A09CC" w:rsidRDefault="00FC6876" w:rsidP="00FC6876">
      <w:pPr>
        <w:numPr>
          <w:ilvl w:val="0"/>
          <w:numId w:val="9"/>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Biosecurity:</w:t>
      </w:r>
      <w:r w:rsidRPr="003A09CC">
        <w:rPr>
          <w:rFonts w:ascii="Arial" w:eastAsia="Times New Roman" w:hAnsi="Arial" w:cs="Arial"/>
          <w:sz w:val="20"/>
          <w:szCs w:val="20"/>
          <w:lang w:eastAsia="en-IN"/>
        </w:rPr>
        <w:t xml:space="preserve"> Limited water exchange reduces pathogen introduction risk</w:t>
      </w:r>
    </w:p>
    <w:p w:rsidR="00FC6876" w:rsidRPr="003A09CC" w:rsidRDefault="00FC6876" w:rsidP="00FC6876">
      <w:pPr>
        <w:numPr>
          <w:ilvl w:val="0"/>
          <w:numId w:val="9"/>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Nutrient recycling:</w:t>
      </w:r>
      <w:r w:rsidRPr="003A09CC">
        <w:rPr>
          <w:rFonts w:ascii="Arial" w:eastAsia="Times New Roman" w:hAnsi="Arial" w:cs="Arial"/>
          <w:sz w:val="20"/>
          <w:szCs w:val="20"/>
          <w:lang w:eastAsia="en-IN"/>
        </w:rPr>
        <w:t xml:space="preserve"> Biofloc development provides supplemental nutrition and enhances water quality</w:t>
      </w:r>
    </w:p>
    <w:p w:rsidR="00FC6876" w:rsidRPr="003A09CC" w:rsidRDefault="00FC6876" w:rsidP="00FC6876">
      <w:pPr>
        <w:numPr>
          <w:ilvl w:val="0"/>
          <w:numId w:val="9"/>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Sustainability:</w:t>
      </w:r>
      <w:r w:rsidRPr="003A09CC">
        <w:rPr>
          <w:rFonts w:ascii="Arial" w:eastAsia="Times New Roman" w:hAnsi="Arial" w:cs="Arial"/>
          <w:sz w:val="20"/>
          <w:szCs w:val="20"/>
          <w:lang w:eastAsia="en-IN"/>
        </w:rPr>
        <w:t xml:space="preserve"> Reduced environmental impact compared to flow-through systems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However, the system requires careful management, particularly regarding:</w:t>
      </w:r>
    </w:p>
    <w:p w:rsidR="00FC6876" w:rsidRPr="003A09CC" w:rsidRDefault="00FC6876" w:rsidP="00FC6876">
      <w:pPr>
        <w:numPr>
          <w:ilvl w:val="0"/>
          <w:numId w:val="10"/>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Carbon source supplementation to maintain optimal C:N ratios</w:t>
      </w:r>
    </w:p>
    <w:p w:rsidR="00FC6876" w:rsidRPr="003A09CC" w:rsidRDefault="00FC6876" w:rsidP="00FC6876">
      <w:pPr>
        <w:numPr>
          <w:ilvl w:val="0"/>
          <w:numId w:val="10"/>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Aeration to prevent oxygen depletion from high biological activity</w:t>
      </w:r>
    </w:p>
    <w:p w:rsidR="00FC6876" w:rsidRPr="003A09CC" w:rsidRDefault="00FC6876" w:rsidP="00FC6876">
      <w:pPr>
        <w:numPr>
          <w:ilvl w:val="0"/>
          <w:numId w:val="10"/>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Regular monitoring of water quality parameters</w:t>
      </w:r>
    </w:p>
    <w:p w:rsidR="00FC6876" w:rsidRPr="003A09CC" w:rsidRDefault="00FC6876" w:rsidP="00FC6876">
      <w:pPr>
        <w:numPr>
          <w:ilvl w:val="0"/>
          <w:numId w:val="10"/>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Biofloc management to prevent excessive accumulation</w:t>
      </w:r>
    </w:p>
    <w:p w:rsidR="00FC6876" w:rsidRPr="004D41B8" w:rsidRDefault="004D41B8" w:rsidP="00FC6876">
      <w:pPr>
        <w:spacing w:before="100" w:beforeAutospacing="1" w:after="100" w:afterAutospacing="1" w:line="240" w:lineRule="auto"/>
        <w:jc w:val="both"/>
        <w:outlineLvl w:val="2"/>
        <w:rPr>
          <w:rFonts w:ascii="Arial" w:eastAsia="Times New Roman" w:hAnsi="Arial" w:cs="Arial"/>
          <w:b/>
          <w:bCs/>
          <w:lang w:eastAsia="en-IN"/>
        </w:rPr>
      </w:pPr>
      <w:r w:rsidRPr="004D41B8">
        <w:rPr>
          <w:rFonts w:ascii="Arial" w:eastAsia="Times New Roman" w:hAnsi="Arial" w:cs="Arial"/>
          <w:b/>
          <w:bCs/>
          <w:lang w:eastAsia="en-IN"/>
        </w:rPr>
        <w:t xml:space="preserve">4.7 </w:t>
      </w:r>
      <w:r w:rsidRPr="00D80C2C">
        <w:rPr>
          <w:rFonts w:ascii="Arial" w:eastAsia="Times New Roman" w:hAnsi="Arial" w:cs="Arial"/>
          <w:b/>
          <w:bCs/>
          <w:highlight w:val="yellow"/>
          <w:lang w:eastAsia="en-IN"/>
        </w:rPr>
        <w:t>PRACICAL</w:t>
      </w:r>
      <w:r w:rsidRPr="004D41B8">
        <w:rPr>
          <w:rFonts w:ascii="Arial" w:eastAsia="Times New Roman" w:hAnsi="Arial" w:cs="Arial"/>
          <w:b/>
          <w:bCs/>
          <w:lang w:eastAsia="en-IN"/>
        </w:rPr>
        <w:t xml:space="preserve"> RECOMMENDATIONS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Based on the experimental results and economic considerations, the following recommendations are proposed for commercial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production:</w:t>
      </w:r>
    </w:p>
    <w:p w:rsidR="00FC6876" w:rsidRPr="003A09CC" w:rsidRDefault="00FC6876" w:rsidP="00FC6876">
      <w:pPr>
        <w:numPr>
          <w:ilvl w:val="0"/>
          <w:numId w:val="11"/>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For premium markets emphasizing large individuals:</w:t>
      </w:r>
      <w:r w:rsidRPr="003A09CC">
        <w:rPr>
          <w:rFonts w:ascii="Arial" w:eastAsia="Times New Roman" w:hAnsi="Arial" w:cs="Arial"/>
          <w:sz w:val="20"/>
          <w:szCs w:val="20"/>
          <w:lang w:eastAsia="en-IN"/>
        </w:rPr>
        <w:t xml:space="preserve"> Stock at 100-150 ind</w:t>
      </w:r>
      <w:r w:rsidR="006D5CF1"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to maximize final weight, survival, and feed efficiency</w:t>
      </w:r>
    </w:p>
    <w:p w:rsidR="00FC6876" w:rsidRPr="003A09CC" w:rsidRDefault="00FC6876" w:rsidP="00FC6876">
      <w:pPr>
        <w:numPr>
          <w:ilvl w:val="0"/>
          <w:numId w:val="11"/>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For bulk production markets:</w:t>
      </w:r>
      <w:r w:rsidRPr="003A09CC">
        <w:rPr>
          <w:rFonts w:ascii="Arial" w:eastAsia="Times New Roman" w:hAnsi="Arial" w:cs="Arial"/>
          <w:sz w:val="20"/>
          <w:szCs w:val="20"/>
          <w:lang w:eastAsia="en-IN"/>
        </w:rPr>
        <w:t xml:space="preserve"> Stock at 150-200 ind</w:t>
      </w:r>
      <w:r w:rsidR="006D5CF1"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to balance total production with reasonable survival and growth</w:t>
      </w:r>
    </w:p>
    <w:p w:rsidR="00FC6876" w:rsidRPr="003A09CC" w:rsidRDefault="00FC6876" w:rsidP="00FC6876">
      <w:pPr>
        <w:numPr>
          <w:ilvl w:val="0"/>
          <w:numId w:val="11"/>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Avoid densities exceeding 200 ind</w:t>
      </w:r>
      <w:r w:rsidR="006D5CF1" w:rsidRPr="003A09CC">
        <w:rPr>
          <w:rFonts w:ascii="Arial" w:eastAsia="Times New Roman" w:hAnsi="Arial" w:cs="Arial"/>
          <w:b/>
          <w:bCs/>
          <w:sz w:val="20"/>
          <w:szCs w:val="20"/>
          <w:lang w:eastAsia="en-IN"/>
        </w:rPr>
        <w:t>ividuals</w:t>
      </w:r>
      <w:r w:rsidRPr="003A09CC">
        <w:rPr>
          <w:rFonts w:ascii="Arial" w:eastAsia="Times New Roman" w:hAnsi="Arial" w:cs="Arial"/>
          <w:b/>
          <w:bCs/>
          <w:sz w:val="20"/>
          <w:szCs w:val="20"/>
          <w:lang w:eastAsia="en-IN"/>
        </w:rPr>
        <w:t>/m³:</w:t>
      </w:r>
      <w:r w:rsidRPr="003A09CC">
        <w:rPr>
          <w:rFonts w:ascii="Arial" w:eastAsia="Times New Roman" w:hAnsi="Arial" w:cs="Arial"/>
          <w:sz w:val="20"/>
          <w:szCs w:val="20"/>
          <w:lang w:eastAsia="en-IN"/>
        </w:rPr>
        <w:t xml:space="preserve"> Unless exceptional water quality management and disease prevention measures can be guaranteed, as mortality rates become prohibitive</w:t>
      </w:r>
    </w:p>
    <w:p w:rsidR="00FC6876" w:rsidRPr="003A09CC" w:rsidRDefault="00FC6876" w:rsidP="00FC6876">
      <w:pPr>
        <w:numPr>
          <w:ilvl w:val="0"/>
          <w:numId w:val="11"/>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Implement comprehensive monitoring:</w:t>
      </w:r>
      <w:r w:rsidRPr="003A09CC">
        <w:rPr>
          <w:rFonts w:ascii="Arial" w:eastAsia="Times New Roman" w:hAnsi="Arial" w:cs="Arial"/>
          <w:sz w:val="20"/>
          <w:szCs w:val="20"/>
          <w:lang w:eastAsia="en-IN"/>
        </w:rPr>
        <w:t xml:space="preserve"> Regular assessment of water quality, feed consumption, and fish </w:t>
      </w:r>
      <w:r w:rsidR="006D5CF1" w:rsidRPr="003A09CC">
        <w:rPr>
          <w:rFonts w:ascii="Arial" w:eastAsia="Times New Roman" w:hAnsi="Arial" w:cs="Arial"/>
          <w:sz w:val="20"/>
          <w:szCs w:val="20"/>
          <w:lang w:eastAsia="en-IN"/>
        </w:rPr>
        <w:t>behaviour</w:t>
      </w:r>
      <w:r w:rsidRPr="003A09CC">
        <w:rPr>
          <w:rFonts w:ascii="Arial" w:eastAsia="Times New Roman" w:hAnsi="Arial" w:cs="Arial"/>
          <w:sz w:val="20"/>
          <w:szCs w:val="20"/>
          <w:lang w:eastAsia="en-IN"/>
        </w:rPr>
        <w:t xml:space="preserve"> to adjust management practices</w:t>
      </w:r>
    </w:p>
    <w:p w:rsidR="00FC6876" w:rsidRPr="003A09CC" w:rsidRDefault="00FC6876" w:rsidP="00FC6876">
      <w:pPr>
        <w:numPr>
          <w:ilvl w:val="0"/>
          <w:numId w:val="11"/>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Consider market timing:</w:t>
      </w:r>
      <w:r w:rsidRPr="003A09CC">
        <w:rPr>
          <w:rFonts w:ascii="Arial" w:eastAsia="Times New Roman" w:hAnsi="Arial" w:cs="Arial"/>
          <w:sz w:val="20"/>
          <w:szCs w:val="20"/>
          <w:lang w:eastAsia="en-IN"/>
        </w:rPr>
        <w:t xml:space="preserve"> Lower densities requiring 90 days to reach 10 g may align better with market demand cycles than higher densities requiring 110 days</w:t>
      </w:r>
    </w:p>
    <w:p w:rsidR="00FC6876" w:rsidRPr="004D41B8" w:rsidRDefault="004D41B8" w:rsidP="00FC6876">
      <w:pPr>
        <w:spacing w:before="100" w:beforeAutospacing="1" w:after="100" w:afterAutospacing="1" w:line="240" w:lineRule="auto"/>
        <w:jc w:val="both"/>
        <w:outlineLvl w:val="1"/>
        <w:rPr>
          <w:rFonts w:ascii="Arial" w:eastAsia="Times New Roman" w:hAnsi="Arial" w:cs="Arial"/>
          <w:b/>
          <w:bCs/>
          <w:lang w:eastAsia="en-IN"/>
        </w:rPr>
      </w:pPr>
      <w:r w:rsidRPr="004D41B8">
        <w:rPr>
          <w:rFonts w:ascii="Arial" w:eastAsia="Times New Roman" w:hAnsi="Arial" w:cs="Arial"/>
          <w:b/>
          <w:bCs/>
          <w:lang w:eastAsia="en-IN"/>
        </w:rPr>
        <w:t>5. CONCLUSIONS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This study demonstrates that stocking density significantly influences growth performance, survival, and production efficiency of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in intensive aquaculture systems. Key findings include:</w:t>
      </w:r>
    </w:p>
    <w:p w:rsidR="00FC6876" w:rsidRPr="003A09CC" w:rsidRDefault="00FC6876" w:rsidP="00FC6876">
      <w:pPr>
        <w:numPr>
          <w:ilvl w:val="0"/>
          <w:numId w:val="12"/>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Individual growth and survival are inversely related to stocking density</w:t>
      </w:r>
      <w:r w:rsidRPr="003A09CC">
        <w:rPr>
          <w:rFonts w:ascii="Arial" w:eastAsia="Times New Roman" w:hAnsi="Arial" w:cs="Arial"/>
          <w:sz w:val="20"/>
          <w:szCs w:val="20"/>
          <w:lang w:eastAsia="en-IN"/>
        </w:rPr>
        <w:t>, with optimal performance at 100-150 ind</w:t>
      </w:r>
      <w:r w:rsidR="006D5CF1"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w:t>
      </w:r>
    </w:p>
    <w:p w:rsidR="00FC6876" w:rsidRPr="003A09CC" w:rsidRDefault="00FC6876" w:rsidP="00FC6876">
      <w:pPr>
        <w:numPr>
          <w:ilvl w:val="0"/>
          <w:numId w:val="12"/>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Total biomass production peaks at moderate density</w:t>
      </w:r>
      <w:r w:rsidRPr="003A09CC">
        <w:rPr>
          <w:rFonts w:ascii="Arial" w:eastAsia="Times New Roman" w:hAnsi="Arial" w:cs="Arial"/>
          <w:sz w:val="20"/>
          <w:szCs w:val="20"/>
          <w:lang w:eastAsia="en-IN"/>
        </w:rPr>
        <w:t xml:space="preserve"> (200 ind</w:t>
      </w:r>
      <w:r w:rsidR="006D5CF1"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but with substantially reduced individual size and survival</w:t>
      </w:r>
    </w:p>
    <w:p w:rsidR="00FC6876" w:rsidRPr="003A09CC" w:rsidRDefault="00FC6876" w:rsidP="00FC6876">
      <w:pPr>
        <w:numPr>
          <w:ilvl w:val="0"/>
          <w:numId w:val="12"/>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Feed conversion efficiency deteriorates significantly</w:t>
      </w:r>
      <w:r w:rsidRPr="003A09CC">
        <w:rPr>
          <w:rFonts w:ascii="Arial" w:eastAsia="Times New Roman" w:hAnsi="Arial" w:cs="Arial"/>
          <w:sz w:val="20"/>
          <w:szCs w:val="20"/>
          <w:lang w:eastAsia="en-IN"/>
        </w:rPr>
        <w:t xml:space="preserve"> at densities exceeding 200 ind</w:t>
      </w:r>
      <w:r w:rsidR="006D5CF1"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increasing production costs</w:t>
      </w:r>
    </w:p>
    <w:p w:rsidR="00FC6876" w:rsidRPr="003A09CC" w:rsidRDefault="00FC6876" w:rsidP="00FC6876">
      <w:pPr>
        <w:numPr>
          <w:ilvl w:val="0"/>
          <w:numId w:val="12"/>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Water quality remains acceptable</w:t>
      </w:r>
      <w:r w:rsidRPr="003A09CC">
        <w:rPr>
          <w:rFonts w:ascii="Arial" w:eastAsia="Times New Roman" w:hAnsi="Arial" w:cs="Arial"/>
          <w:sz w:val="20"/>
          <w:szCs w:val="20"/>
          <w:lang w:eastAsia="en-IN"/>
        </w:rPr>
        <w:t xml:space="preserve"> across all densities tested when photo-heterotrophic management is properly implemented</w:t>
      </w:r>
    </w:p>
    <w:p w:rsidR="00FC6876" w:rsidRPr="003A09CC" w:rsidRDefault="00FC6876" w:rsidP="00FC6876">
      <w:pPr>
        <w:numPr>
          <w:ilvl w:val="0"/>
          <w:numId w:val="12"/>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Economic optimization depends on market structure</w:t>
      </w:r>
      <w:r w:rsidRPr="003A09CC">
        <w:rPr>
          <w:rFonts w:ascii="Arial" w:eastAsia="Times New Roman" w:hAnsi="Arial" w:cs="Arial"/>
          <w:sz w:val="20"/>
          <w:szCs w:val="20"/>
          <w:lang w:eastAsia="en-IN"/>
        </w:rPr>
        <w:t xml:space="preserve">: Premium markets </w:t>
      </w:r>
      <w:r w:rsidR="006D5CF1" w:rsidRPr="003A09CC">
        <w:rPr>
          <w:rFonts w:ascii="Arial" w:eastAsia="Times New Roman" w:hAnsi="Arial" w:cs="Arial"/>
          <w:sz w:val="20"/>
          <w:szCs w:val="20"/>
          <w:lang w:eastAsia="en-IN"/>
        </w:rPr>
        <w:t>favour</w:t>
      </w:r>
      <w:r w:rsidRPr="003A09CC">
        <w:rPr>
          <w:rFonts w:ascii="Arial" w:eastAsia="Times New Roman" w:hAnsi="Arial" w:cs="Arial"/>
          <w:sz w:val="20"/>
          <w:szCs w:val="20"/>
          <w:lang w:eastAsia="en-IN"/>
        </w:rPr>
        <w:t xml:space="preserve"> lower densities, while bulk markets may justify moderate densities up to 200 ind</w:t>
      </w:r>
      <w:r w:rsidR="006D5CF1"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The results suggest that for sustainable and profitable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production in intensive systems with minimal water exchange, stocking densities of 100-200 ind</w:t>
      </w:r>
      <w:r w:rsidR="006D5CF1"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represent the optimal range, with specific density selection based on market requirements, risk tolerance, and management capabilities.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Future research should investigate:</w:t>
      </w:r>
    </w:p>
    <w:p w:rsidR="00FC6876" w:rsidRPr="003A09CC" w:rsidRDefault="00FC6876" w:rsidP="00FC6876">
      <w:pPr>
        <w:numPr>
          <w:ilvl w:val="0"/>
          <w:numId w:val="13"/>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Long-term effects of repeated crop cycles on system performance</w:t>
      </w:r>
    </w:p>
    <w:p w:rsidR="00FC6876" w:rsidRPr="003A09CC" w:rsidRDefault="00FC6876" w:rsidP="00FC6876">
      <w:pPr>
        <w:numPr>
          <w:ilvl w:val="0"/>
          <w:numId w:val="13"/>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Economic </w:t>
      </w:r>
      <w:r w:rsidR="006D5CF1" w:rsidRPr="003A09CC">
        <w:rPr>
          <w:rFonts w:ascii="Arial" w:eastAsia="Times New Roman" w:hAnsi="Arial" w:cs="Arial"/>
          <w:sz w:val="20"/>
          <w:szCs w:val="20"/>
          <w:lang w:eastAsia="en-IN"/>
        </w:rPr>
        <w:t>modelling</w:t>
      </w:r>
      <w:r w:rsidRPr="003A09CC">
        <w:rPr>
          <w:rFonts w:ascii="Arial" w:eastAsia="Times New Roman" w:hAnsi="Arial" w:cs="Arial"/>
          <w:sz w:val="20"/>
          <w:szCs w:val="20"/>
          <w:lang w:eastAsia="en-IN"/>
        </w:rPr>
        <w:t xml:space="preserve"> incorporating variable market prices and production costs</w:t>
      </w:r>
    </w:p>
    <w:p w:rsidR="00FC6876" w:rsidRPr="003A09CC" w:rsidRDefault="00FC6876" w:rsidP="00FC6876">
      <w:pPr>
        <w:numPr>
          <w:ilvl w:val="0"/>
          <w:numId w:val="13"/>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Optimization of feeding strategies for different stocking densities</w:t>
      </w:r>
    </w:p>
    <w:p w:rsidR="00FC6876" w:rsidRPr="003A09CC" w:rsidRDefault="00FC6876" w:rsidP="00FC6876">
      <w:pPr>
        <w:numPr>
          <w:ilvl w:val="0"/>
          <w:numId w:val="13"/>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Integration with other aquaculture practices for enhanced sustainability</w:t>
      </w:r>
    </w:p>
    <w:p w:rsidR="00FC6876" w:rsidRDefault="00FC6876" w:rsidP="00FC6876">
      <w:pPr>
        <w:numPr>
          <w:ilvl w:val="0"/>
          <w:numId w:val="13"/>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lastRenderedPageBreak/>
        <w:t>Genetic selection for improved performance at higher densities</w:t>
      </w:r>
    </w:p>
    <w:p w:rsidR="00124F29" w:rsidRDefault="00124F29" w:rsidP="00124F29">
      <w:pPr>
        <w:spacing w:before="100" w:beforeAutospacing="1" w:after="100" w:afterAutospacing="1" w:line="240" w:lineRule="auto"/>
        <w:jc w:val="both"/>
        <w:rPr>
          <w:rFonts w:ascii="Arial" w:eastAsia="Times New Roman" w:hAnsi="Arial" w:cs="Arial"/>
          <w:sz w:val="20"/>
          <w:szCs w:val="20"/>
          <w:lang w:eastAsia="en-IN"/>
        </w:rPr>
      </w:pPr>
    </w:p>
    <w:p w:rsidR="00124F29" w:rsidRDefault="00124F29" w:rsidP="00124F29">
      <w:pPr>
        <w:spacing w:before="100" w:beforeAutospacing="1" w:after="100" w:afterAutospacing="1" w:line="240" w:lineRule="auto"/>
        <w:jc w:val="both"/>
        <w:rPr>
          <w:rFonts w:ascii="Arial" w:eastAsia="Times New Roman" w:hAnsi="Arial" w:cs="Arial"/>
          <w:sz w:val="20"/>
          <w:szCs w:val="20"/>
          <w:lang w:eastAsia="en-IN"/>
        </w:rPr>
      </w:pPr>
    </w:p>
    <w:p w:rsidR="00124F29" w:rsidRPr="00124F29" w:rsidRDefault="00124F29" w:rsidP="00124F29">
      <w:pPr>
        <w:spacing w:before="100" w:beforeAutospacing="1" w:after="100" w:afterAutospacing="1" w:line="240" w:lineRule="auto"/>
        <w:jc w:val="both"/>
        <w:rPr>
          <w:rFonts w:ascii="Arial" w:eastAsia="Times New Roman" w:hAnsi="Arial" w:cs="Arial"/>
          <w:sz w:val="20"/>
          <w:szCs w:val="20"/>
          <w:lang w:eastAsia="en-IN"/>
        </w:rPr>
      </w:pPr>
      <w:r w:rsidRPr="00124F29">
        <w:rPr>
          <w:rFonts w:ascii="Arial" w:eastAsia="Times New Roman" w:hAnsi="Arial" w:cs="Arial"/>
          <w:sz w:val="20"/>
          <w:szCs w:val="20"/>
          <w:lang w:eastAsia="en-IN"/>
        </w:rPr>
        <w:t>DECLARATION OF COMPETING INTERESTS</w:t>
      </w:r>
    </w:p>
    <w:p w:rsidR="00124F29" w:rsidRDefault="00124F29" w:rsidP="00124F29">
      <w:pPr>
        <w:spacing w:before="100" w:beforeAutospacing="1" w:after="100" w:afterAutospacing="1" w:line="240" w:lineRule="auto"/>
        <w:jc w:val="both"/>
        <w:rPr>
          <w:rFonts w:ascii="Arial" w:eastAsia="Times New Roman" w:hAnsi="Arial" w:cs="Arial"/>
          <w:sz w:val="20"/>
          <w:szCs w:val="20"/>
          <w:lang w:eastAsia="en-IN"/>
        </w:rPr>
      </w:pPr>
      <w:r w:rsidRPr="00124F29">
        <w:rPr>
          <w:rFonts w:ascii="Arial" w:eastAsia="Times New Roman" w:hAnsi="Arial" w:cs="Arial"/>
          <w:sz w:val="20"/>
          <w:szCs w:val="20"/>
          <w:lang w:eastAsia="en-IN"/>
        </w:rPr>
        <w:t>The authors declare no competing financial interests or personal relationships that could have influenced the work reported in this study.</w:t>
      </w:r>
    </w:p>
    <w:p w:rsidR="00124F29" w:rsidRPr="003A09CC" w:rsidRDefault="00124F29" w:rsidP="00124F29">
      <w:pPr>
        <w:spacing w:before="100" w:beforeAutospacing="1" w:after="100" w:afterAutospacing="1" w:line="240" w:lineRule="auto"/>
        <w:jc w:val="both"/>
        <w:rPr>
          <w:rFonts w:ascii="Arial" w:eastAsia="Times New Roman" w:hAnsi="Arial" w:cs="Arial"/>
          <w:sz w:val="20"/>
          <w:szCs w:val="20"/>
          <w:lang w:eastAsia="en-IN"/>
        </w:rPr>
      </w:pPr>
    </w:p>
    <w:p w:rsidR="00FC6876" w:rsidRPr="004D41B8" w:rsidRDefault="00FC6876" w:rsidP="006D5CF1">
      <w:pPr>
        <w:spacing w:before="100" w:beforeAutospacing="1" w:after="100" w:afterAutospacing="1" w:line="240" w:lineRule="auto"/>
        <w:jc w:val="both"/>
        <w:rPr>
          <w:rFonts w:ascii="Arial" w:eastAsia="Times New Roman" w:hAnsi="Arial" w:cs="Arial"/>
          <w:lang w:eastAsia="en-IN"/>
        </w:rPr>
      </w:pPr>
      <w:r w:rsidRPr="003A09CC">
        <w:rPr>
          <w:rFonts w:ascii="Arial" w:eastAsia="Times New Roman" w:hAnsi="Arial" w:cs="Arial"/>
          <w:sz w:val="20"/>
          <w:szCs w:val="20"/>
          <w:lang w:eastAsia="en-IN"/>
        </w:rPr>
        <w:t>.</w:t>
      </w:r>
      <w:r w:rsidR="004D41B8" w:rsidRPr="004D41B8">
        <w:rPr>
          <w:rFonts w:ascii="Arial" w:eastAsia="Times New Roman" w:hAnsi="Arial" w:cs="Arial"/>
          <w:b/>
          <w:bCs/>
          <w:lang w:eastAsia="en-IN"/>
        </w:rPr>
        <w:t>REFERENCES</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Ahmed, G.U. (1982). Intensive culture of </w:t>
      </w:r>
      <w:r w:rsidRPr="003A09CC">
        <w:rPr>
          <w:rFonts w:ascii="Arial" w:eastAsia="Times New Roman" w:hAnsi="Arial" w:cs="Arial"/>
          <w:i/>
          <w:iCs/>
          <w:sz w:val="20"/>
          <w:szCs w:val="20"/>
          <w:lang w:eastAsia="en-IN"/>
        </w:rPr>
        <w:t>Labeo rohita</w:t>
      </w:r>
      <w:r w:rsidRPr="003A09CC">
        <w:rPr>
          <w:rFonts w:ascii="Arial" w:eastAsia="Times New Roman" w:hAnsi="Arial" w:cs="Arial"/>
          <w:sz w:val="20"/>
          <w:szCs w:val="20"/>
          <w:lang w:eastAsia="en-IN"/>
        </w:rPr>
        <w:t xml:space="preserve"> in floating ponds with special reference to different stocking densities. M.Sc. Thesis, Bangladesh Agricultural University, Mymensingh.</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Ali, Z., Hossain, A., &amp; Mazid, M.A. (2005). Effect of mixed feeding schedules with varying dietary protein levels on growth of sutchi catfish. </w:t>
      </w:r>
      <w:r w:rsidRPr="003A09CC">
        <w:rPr>
          <w:rFonts w:ascii="Arial" w:eastAsia="Times New Roman" w:hAnsi="Arial" w:cs="Arial"/>
          <w:i/>
          <w:iCs/>
          <w:sz w:val="20"/>
          <w:szCs w:val="20"/>
          <w:lang w:eastAsia="en-IN"/>
        </w:rPr>
        <w:t>Aquaculture Research</w:t>
      </w:r>
      <w:r w:rsidRPr="003A09CC">
        <w:rPr>
          <w:rFonts w:ascii="Arial" w:eastAsia="Times New Roman" w:hAnsi="Arial" w:cs="Arial"/>
          <w:sz w:val="20"/>
          <w:szCs w:val="20"/>
          <w:lang w:eastAsia="en-IN"/>
        </w:rPr>
        <w:t>, 36, 627-634.</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Arnold, S.J., Coman, G.J., &amp; Preston, N.P. (2006). Response of juvenile brown tiger shrimp to intensive culture conditions. </w:t>
      </w:r>
      <w:r w:rsidRPr="003A09CC">
        <w:rPr>
          <w:rFonts w:ascii="Arial" w:eastAsia="Times New Roman" w:hAnsi="Arial" w:cs="Arial"/>
          <w:i/>
          <w:iCs/>
          <w:sz w:val="20"/>
          <w:szCs w:val="20"/>
          <w:lang w:eastAsia="en-IN"/>
        </w:rPr>
        <w:t>Aquaculture</w:t>
      </w:r>
      <w:r w:rsidRPr="003A09CC">
        <w:rPr>
          <w:rFonts w:ascii="Arial" w:eastAsia="Times New Roman" w:hAnsi="Arial" w:cs="Arial"/>
          <w:sz w:val="20"/>
          <w:szCs w:val="20"/>
          <w:lang w:eastAsia="en-IN"/>
        </w:rPr>
        <w:t>, 256, 149-159.</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proofErr w:type="spellStart"/>
      <w:r w:rsidRPr="003A09CC">
        <w:rPr>
          <w:rFonts w:ascii="Arial" w:eastAsia="Times New Roman" w:hAnsi="Arial" w:cs="Arial"/>
          <w:sz w:val="20"/>
          <w:szCs w:val="20"/>
          <w:lang w:eastAsia="en-IN"/>
        </w:rPr>
        <w:t>Avnimelech</w:t>
      </w:r>
      <w:proofErr w:type="spellEnd"/>
      <w:r w:rsidRPr="003A09CC">
        <w:rPr>
          <w:rFonts w:ascii="Arial" w:eastAsia="Times New Roman" w:hAnsi="Arial" w:cs="Arial"/>
          <w:sz w:val="20"/>
          <w:szCs w:val="20"/>
          <w:lang w:eastAsia="en-IN"/>
        </w:rPr>
        <w:t xml:space="preserve">, Y. (2006). Bio-filters: The need for a new comprehensive approach. </w:t>
      </w:r>
      <w:r w:rsidRPr="003A09CC">
        <w:rPr>
          <w:rFonts w:ascii="Arial" w:eastAsia="Times New Roman" w:hAnsi="Arial" w:cs="Arial"/>
          <w:i/>
          <w:iCs/>
          <w:sz w:val="20"/>
          <w:szCs w:val="20"/>
          <w:lang w:eastAsia="en-IN"/>
        </w:rPr>
        <w:t>Aquacultural Engineering</w:t>
      </w:r>
      <w:r w:rsidRPr="003A09CC">
        <w:rPr>
          <w:rFonts w:ascii="Arial" w:eastAsia="Times New Roman" w:hAnsi="Arial" w:cs="Arial"/>
          <w:sz w:val="20"/>
          <w:szCs w:val="20"/>
          <w:lang w:eastAsia="en-IN"/>
        </w:rPr>
        <w:t>, 34, 172-178.</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proofErr w:type="spellStart"/>
      <w:r w:rsidRPr="003A09CC">
        <w:rPr>
          <w:rFonts w:ascii="Arial" w:eastAsia="Times New Roman" w:hAnsi="Arial" w:cs="Arial"/>
          <w:sz w:val="20"/>
          <w:szCs w:val="20"/>
          <w:lang w:eastAsia="en-IN"/>
        </w:rPr>
        <w:t>Avnimelech</w:t>
      </w:r>
      <w:proofErr w:type="spellEnd"/>
      <w:r w:rsidRPr="003A09CC">
        <w:rPr>
          <w:rFonts w:ascii="Arial" w:eastAsia="Times New Roman" w:hAnsi="Arial" w:cs="Arial"/>
          <w:sz w:val="20"/>
          <w:szCs w:val="20"/>
          <w:lang w:eastAsia="en-IN"/>
        </w:rPr>
        <w:t>, Y. (2012). Biofloc technology: A practical guide book. World Aquaculture Society.</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Balakrishnan, D., et al. (2011). Growth of cultured gray shrimp </w:t>
      </w:r>
      <w:r w:rsidRPr="003A09CC">
        <w:rPr>
          <w:rFonts w:ascii="Arial" w:eastAsia="Times New Roman" w:hAnsi="Arial" w:cs="Arial"/>
          <w:i/>
          <w:iCs/>
          <w:sz w:val="20"/>
          <w:szCs w:val="20"/>
          <w:lang w:eastAsia="en-IN"/>
        </w:rPr>
        <w:t>Penaeus vannamei</w:t>
      </w:r>
      <w:r w:rsidRPr="003A09CC">
        <w:rPr>
          <w:rFonts w:ascii="Arial" w:eastAsia="Times New Roman" w:hAnsi="Arial" w:cs="Arial"/>
          <w:sz w:val="20"/>
          <w:szCs w:val="20"/>
          <w:lang w:eastAsia="en-IN"/>
        </w:rPr>
        <w:t xml:space="preserve"> in different stocking densities. </w:t>
      </w:r>
      <w:r w:rsidRPr="003A09CC">
        <w:rPr>
          <w:rFonts w:ascii="Arial" w:eastAsia="Times New Roman" w:hAnsi="Arial" w:cs="Arial"/>
          <w:i/>
          <w:iCs/>
          <w:sz w:val="20"/>
          <w:szCs w:val="20"/>
          <w:lang w:eastAsia="en-IN"/>
        </w:rPr>
        <w:t>Journal of Aquaculture Research</w:t>
      </w:r>
      <w:r w:rsidRPr="003A09CC">
        <w:rPr>
          <w:rFonts w:ascii="Arial" w:eastAsia="Times New Roman" w:hAnsi="Arial" w:cs="Arial"/>
          <w:sz w:val="20"/>
          <w:szCs w:val="20"/>
          <w:lang w:eastAsia="en-IN"/>
        </w:rPr>
        <w:t>, 42, 321-330.</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Boyd, C.E. (2015). Water quality: An introduction (2nd ed.). Springer.</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Chheng, P., Baran, E., &amp; Touch, B.T. (2004). Synthesis of published information on sutchi catfish based on </w:t>
      </w:r>
      <w:proofErr w:type="spellStart"/>
      <w:r w:rsidRPr="003A09CC">
        <w:rPr>
          <w:rFonts w:ascii="Arial" w:eastAsia="Times New Roman" w:hAnsi="Arial" w:cs="Arial"/>
          <w:sz w:val="20"/>
          <w:szCs w:val="20"/>
          <w:lang w:eastAsia="en-IN"/>
        </w:rPr>
        <w:t>FishBase</w:t>
      </w:r>
      <w:proofErr w:type="spellEnd"/>
      <w:r w:rsidRPr="003A09CC">
        <w:rPr>
          <w:rFonts w:ascii="Arial" w:eastAsia="Times New Roman" w:hAnsi="Arial" w:cs="Arial"/>
          <w:sz w:val="20"/>
          <w:szCs w:val="20"/>
          <w:lang w:eastAsia="en-IN"/>
        </w:rPr>
        <w:t xml:space="preserve">. </w:t>
      </w:r>
      <w:proofErr w:type="spellStart"/>
      <w:r w:rsidRPr="003A09CC">
        <w:rPr>
          <w:rFonts w:ascii="Arial" w:eastAsia="Times New Roman" w:hAnsi="Arial" w:cs="Arial"/>
          <w:sz w:val="20"/>
          <w:szCs w:val="20"/>
          <w:lang w:eastAsia="en-IN"/>
        </w:rPr>
        <w:t>WorldFish</w:t>
      </w:r>
      <w:proofErr w:type="spellEnd"/>
      <w:r w:rsidRPr="003A09CC">
        <w:rPr>
          <w:rFonts w:ascii="Arial" w:eastAsia="Times New Roman" w:hAnsi="Arial" w:cs="Arial"/>
          <w:sz w:val="20"/>
          <w:szCs w:val="20"/>
          <w:lang w:eastAsia="en-IN"/>
        </w:rPr>
        <w:t xml:space="preserve"> </w:t>
      </w:r>
      <w:proofErr w:type="spellStart"/>
      <w:r w:rsidRPr="003A09CC">
        <w:rPr>
          <w:rFonts w:ascii="Arial" w:eastAsia="Times New Roman" w:hAnsi="Arial" w:cs="Arial"/>
          <w:sz w:val="20"/>
          <w:szCs w:val="20"/>
          <w:lang w:eastAsia="en-IN"/>
        </w:rPr>
        <w:t>Center</w:t>
      </w:r>
      <w:proofErr w:type="spellEnd"/>
      <w:r w:rsidRPr="003A09CC">
        <w:rPr>
          <w:rFonts w:ascii="Arial" w:eastAsia="Times New Roman" w:hAnsi="Arial" w:cs="Arial"/>
          <w:sz w:val="20"/>
          <w:szCs w:val="20"/>
          <w:lang w:eastAsia="en-IN"/>
        </w:rPr>
        <w:t>, Cambodia.</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Danya, M., et al. (2014). Effect of density on growth and production of </w:t>
      </w:r>
      <w:r w:rsidRPr="003A09CC">
        <w:rPr>
          <w:rFonts w:ascii="Arial" w:eastAsia="Times New Roman" w:hAnsi="Arial" w:cs="Arial"/>
          <w:i/>
          <w:iCs/>
          <w:sz w:val="20"/>
          <w:szCs w:val="20"/>
          <w:lang w:eastAsia="en-IN"/>
        </w:rPr>
        <w:t>Penaeus vannamei</w:t>
      </w:r>
      <w:r w:rsidRPr="003A09CC">
        <w:rPr>
          <w:rFonts w:ascii="Arial" w:eastAsia="Times New Roman" w:hAnsi="Arial" w:cs="Arial"/>
          <w:sz w:val="20"/>
          <w:szCs w:val="20"/>
          <w:lang w:eastAsia="en-IN"/>
        </w:rPr>
        <w:t xml:space="preserve"> in brackish water culture. </w:t>
      </w:r>
      <w:r w:rsidRPr="003A09CC">
        <w:rPr>
          <w:rFonts w:ascii="Arial" w:eastAsia="Times New Roman" w:hAnsi="Arial" w:cs="Arial"/>
          <w:i/>
          <w:iCs/>
          <w:sz w:val="20"/>
          <w:szCs w:val="20"/>
          <w:lang w:eastAsia="en-IN"/>
        </w:rPr>
        <w:t>Aquaculture International</w:t>
      </w:r>
      <w:r w:rsidRPr="003A09CC">
        <w:rPr>
          <w:rFonts w:ascii="Arial" w:eastAsia="Times New Roman" w:hAnsi="Arial" w:cs="Arial"/>
          <w:sz w:val="20"/>
          <w:szCs w:val="20"/>
          <w:lang w:eastAsia="en-IN"/>
        </w:rPr>
        <w:t>, 22, 464-476.</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Davis, D.A., &amp; Arnold, C.R. (1998). The design and management of marine shrimp nursery systems. </w:t>
      </w:r>
      <w:r w:rsidRPr="003A09CC">
        <w:rPr>
          <w:rFonts w:ascii="Arial" w:eastAsia="Times New Roman" w:hAnsi="Arial" w:cs="Arial"/>
          <w:i/>
          <w:iCs/>
          <w:sz w:val="20"/>
          <w:szCs w:val="20"/>
          <w:lang w:eastAsia="en-IN"/>
        </w:rPr>
        <w:t>Journal of Applied Aquaculture</w:t>
      </w:r>
      <w:r w:rsidRPr="003A09CC">
        <w:rPr>
          <w:rFonts w:ascii="Arial" w:eastAsia="Times New Roman" w:hAnsi="Arial" w:cs="Arial"/>
          <w:sz w:val="20"/>
          <w:szCs w:val="20"/>
          <w:lang w:eastAsia="en-IN"/>
        </w:rPr>
        <w:t>, 8, 37-49.</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Ebeling, J.M., Timmons, M.B., &amp; </w:t>
      </w:r>
      <w:proofErr w:type="spellStart"/>
      <w:r w:rsidRPr="003A09CC">
        <w:rPr>
          <w:rFonts w:ascii="Arial" w:eastAsia="Times New Roman" w:hAnsi="Arial" w:cs="Arial"/>
          <w:sz w:val="20"/>
          <w:szCs w:val="20"/>
          <w:lang w:eastAsia="en-IN"/>
        </w:rPr>
        <w:t>Bisogni</w:t>
      </w:r>
      <w:proofErr w:type="spellEnd"/>
      <w:r w:rsidRPr="003A09CC">
        <w:rPr>
          <w:rFonts w:ascii="Arial" w:eastAsia="Times New Roman" w:hAnsi="Arial" w:cs="Arial"/>
          <w:sz w:val="20"/>
          <w:szCs w:val="20"/>
          <w:lang w:eastAsia="en-IN"/>
        </w:rPr>
        <w:t xml:space="preserve">, J.J. (2006). Engineering analysis of the stoichiometry of photoautotrophic, autotrophic, and heterotrophic removal of ammonia-nitrogen in aquaculture systems. </w:t>
      </w:r>
      <w:r w:rsidRPr="003A09CC">
        <w:rPr>
          <w:rFonts w:ascii="Arial" w:eastAsia="Times New Roman" w:hAnsi="Arial" w:cs="Arial"/>
          <w:i/>
          <w:iCs/>
          <w:sz w:val="20"/>
          <w:szCs w:val="20"/>
          <w:lang w:eastAsia="en-IN"/>
        </w:rPr>
        <w:t>Aquaculture</w:t>
      </w:r>
      <w:r w:rsidRPr="003A09CC">
        <w:rPr>
          <w:rFonts w:ascii="Arial" w:eastAsia="Times New Roman" w:hAnsi="Arial" w:cs="Arial"/>
          <w:sz w:val="20"/>
          <w:szCs w:val="20"/>
          <w:lang w:eastAsia="en-IN"/>
        </w:rPr>
        <w:t>, 257, 346-358.</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Eid, A., et al. (2020). Stocking density effects on growth performance and economic evaluation of </w:t>
      </w:r>
      <w:r w:rsidRPr="003A09CC">
        <w:rPr>
          <w:rFonts w:ascii="Arial" w:eastAsia="Times New Roman" w:hAnsi="Arial" w:cs="Arial"/>
          <w:i/>
          <w:iCs/>
          <w:sz w:val="20"/>
          <w:szCs w:val="20"/>
          <w:lang w:eastAsia="en-IN"/>
        </w:rPr>
        <w:t>Penaeus vannamei</w:t>
      </w:r>
      <w:r w:rsidRPr="003A09CC">
        <w:rPr>
          <w:rFonts w:ascii="Arial" w:eastAsia="Times New Roman" w:hAnsi="Arial" w:cs="Arial"/>
          <w:sz w:val="20"/>
          <w:szCs w:val="20"/>
          <w:lang w:eastAsia="en-IN"/>
        </w:rPr>
        <w:t xml:space="preserve"> in Suez Canal region. </w:t>
      </w:r>
      <w:r w:rsidRPr="003A09CC">
        <w:rPr>
          <w:rFonts w:ascii="Arial" w:eastAsia="Times New Roman" w:hAnsi="Arial" w:cs="Arial"/>
          <w:i/>
          <w:iCs/>
          <w:sz w:val="20"/>
          <w:szCs w:val="20"/>
          <w:lang w:eastAsia="en-IN"/>
        </w:rPr>
        <w:t>Egyptian Journal of Aquatic Research</w:t>
      </w:r>
      <w:r w:rsidRPr="003A09CC">
        <w:rPr>
          <w:rFonts w:ascii="Arial" w:eastAsia="Times New Roman" w:hAnsi="Arial" w:cs="Arial"/>
          <w:sz w:val="20"/>
          <w:szCs w:val="20"/>
          <w:lang w:eastAsia="en-IN"/>
        </w:rPr>
        <w:t>, 46, 189-195.</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FAO (2023). The State of World Fisheries and Aquaculture 2023. Food and Agriculture Organization of the United Nations, Rome.</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Garza de </w:t>
      </w:r>
      <w:proofErr w:type="spellStart"/>
      <w:r w:rsidRPr="003A09CC">
        <w:rPr>
          <w:rFonts w:ascii="Arial" w:eastAsia="Times New Roman" w:hAnsi="Arial" w:cs="Arial"/>
          <w:sz w:val="20"/>
          <w:szCs w:val="20"/>
          <w:lang w:eastAsia="en-IN"/>
        </w:rPr>
        <w:t>Yta</w:t>
      </w:r>
      <w:proofErr w:type="spellEnd"/>
      <w:r w:rsidRPr="003A09CC">
        <w:rPr>
          <w:rFonts w:ascii="Arial" w:eastAsia="Times New Roman" w:hAnsi="Arial" w:cs="Arial"/>
          <w:sz w:val="20"/>
          <w:szCs w:val="20"/>
          <w:lang w:eastAsia="en-IN"/>
        </w:rPr>
        <w:t xml:space="preserve">, A., Villarreal, H., Peña, R., &amp; </w:t>
      </w:r>
      <w:proofErr w:type="spellStart"/>
      <w:r w:rsidRPr="003A09CC">
        <w:rPr>
          <w:rFonts w:ascii="Arial" w:eastAsia="Times New Roman" w:hAnsi="Arial" w:cs="Arial"/>
          <w:sz w:val="20"/>
          <w:szCs w:val="20"/>
          <w:lang w:eastAsia="en-IN"/>
        </w:rPr>
        <w:t>Ricque</w:t>
      </w:r>
      <w:proofErr w:type="spellEnd"/>
      <w:r w:rsidRPr="003A09CC">
        <w:rPr>
          <w:rFonts w:ascii="Arial" w:eastAsia="Times New Roman" w:hAnsi="Arial" w:cs="Arial"/>
          <w:sz w:val="20"/>
          <w:szCs w:val="20"/>
          <w:lang w:eastAsia="en-IN"/>
        </w:rPr>
        <w:t xml:space="preserve">, D. (2004). Application of closed recirculating system in the culture of </w:t>
      </w:r>
      <w:r w:rsidRPr="003A09CC">
        <w:rPr>
          <w:rFonts w:ascii="Arial" w:eastAsia="Times New Roman" w:hAnsi="Arial" w:cs="Arial"/>
          <w:i/>
          <w:iCs/>
          <w:sz w:val="20"/>
          <w:szCs w:val="20"/>
          <w:lang w:eastAsia="en-IN"/>
        </w:rPr>
        <w:t>Penaeus vannamei</w:t>
      </w:r>
      <w:r w:rsidRPr="003A09CC">
        <w:rPr>
          <w:rFonts w:ascii="Arial" w:eastAsia="Times New Roman" w:hAnsi="Arial" w:cs="Arial"/>
          <w:sz w:val="20"/>
          <w:szCs w:val="20"/>
          <w:lang w:eastAsia="en-IN"/>
        </w:rPr>
        <w:t xml:space="preserve">. </w:t>
      </w:r>
      <w:r w:rsidRPr="003A09CC">
        <w:rPr>
          <w:rFonts w:ascii="Arial" w:eastAsia="Times New Roman" w:hAnsi="Arial" w:cs="Arial"/>
          <w:i/>
          <w:iCs/>
          <w:sz w:val="20"/>
          <w:szCs w:val="20"/>
          <w:lang w:eastAsia="en-IN"/>
        </w:rPr>
        <w:t>Aquaculture</w:t>
      </w:r>
      <w:r w:rsidRPr="003A09CC">
        <w:rPr>
          <w:rFonts w:ascii="Arial" w:eastAsia="Times New Roman" w:hAnsi="Arial" w:cs="Arial"/>
          <w:sz w:val="20"/>
          <w:szCs w:val="20"/>
          <w:lang w:eastAsia="en-IN"/>
        </w:rPr>
        <w:t>, 233, 63-75.</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Haque, M.M., Islam, M.A., Ahmed, G.U., &amp; Haque, M.S. (1984). Intensive culture of Java tilapia at different stocking densities. </w:t>
      </w:r>
      <w:r w:rsidRPr="003A09CC">
        <w:rPr>
          <w:rFonts w:ascii="Arial" w:eastAsia="Times New Roman" w:hAnsi="Arial" w:cs="Arial"/>
          <w:i/>
          <w:iCs/>
          <w:sz w:val="20"/>
          <w:szCs w:val="20"/>
          <w:lang w:eastAsia="en-IN"/>
        </w:rPr>
        <w:t>Bangladesh Journal of Fisheries</w:t>
      </w:r>
      <w:r w:rsidRPr="003A09CC">
        <w:rPr>
          <w:rFonts w:ascii="Arial" w:eastAsia="Times New Roman" w:hAnsi="Arial" w:cs="Arial"/>
          <w:sz w:val="20"/>
          <w:szCs w:val="20"/>
          <w:lang w:eastAsia="en-IN"/>
        </w:rPr>
        <w:t>, 7, 55-59.</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Karuppasamy, P.K., et al. (2013). Comparative growth analysis of </w:t>
      </w:r>
      <w:r w:rsidRPr="003A09CC">
        <w:rPr>
          <w:rFonts w:ascii="Arial" w:eastAsia="Times New Roman" w:hAnsi="Arial" w:cs="Arial"/>
          <w:i/>
          <w:iCs/>
          <w:sz w:val="20"/>
          <w:szCs w:val="20"/>
          <w:lang w:eastAsia="en-IN"/>
        </w:rPr>
        <w:t>Penaeus vannamei</w:t>
      </w:r>
      <w:r w:rsidRPr="003A09CC">
        <w:rPr>
          <w:rFonts w:ascii="Arial" w:eastAsia="Times New Roman" w:hAnsi="Arial" w:cs="Arial"/>
          <w:sz w:val="20"/>
          <w:szCs w:val="20"/>
          <w:lang w:eastAsia="en-IN"/>
        </w:rPr>
        <w:t xml:space="preserve"> at different stocking densities. </w:t>
      </w:r>
      <w:r w:rsidRPr="003A09CC">
        <w:rPr>
          <w:rFonts w:ascii="Arial" w:eastAsia="Times New Roman" w:hAnsi="Arial" w:cs="Arial"/>
          <w:i/>
          <w:iCs/>
          <w:sz w:val="20"/>
          <w:szCs w:val="20"/>
          <w:lang w:eastAsia="en-IN"/>
        </w:rPr>
        <w:t>Indian Journal of Fisheries</w:t>
      </w:r>
      <w:r w:rsidRPr="003A09CC">
        <w:rPr>
          <w:rFonts w:ascii="Arial" w:eastAsia="Times New Roman" w:hAnsi="Arial" w:cs="Arial"/>
          <w:sz w:val="20"/>
          <w:szCs w:val="20"/>
          <w:lang w:eastAsia="en-IN"/>
        </w:rPr>
        <w:t>, 60, 67-72.</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proofErr w:type="spellStart"/>
      <w:r w:rsidRPr="003A09CC">
        <w:rPr>
          <w:rFonts w:ascii="Arial" w:eastAsia="Times New Roman" w:hAnsi="Arial" w:cs="Arial"/>
          <w:sz w:val="20"/>
          <w:szCs w:val="20"/>
          <w:lang w:eastAsia="en-IN"/>
        </w:rPr>
        <w:t>Kotiya</w:t>
      </w:r>
      <w:proofErr w:type="spellEnd"/>
      <w:r w:rsidRPr="003A09CC">
        <w:rPr>
          <w:rFonts w:ascii="Arial" w:eastAsia="Times New Roman" w:hAnsi="Arial" w:cs="Arial"/>
          <w:sz w:val="20"/>
          <w:szCs w:val="20"/>
          <w:lang w:eastAsia="en-IN"/>
        </w:rPr>
        <w:t xml:space="preserve">, A.S., et al. (2021). Effect of stocking density on growth and survival of Pacific white shrimp during summer and monsoon crops. </w:t>
      </w:r>
      <w:r w:rsidRPr="003A09CC">
        <w:rPr>
          <w:rFonts w:ascii="Arial" w:eastAsia="Times New Roman" w:hAnsi="Arial" w:cs="Arial"/>
          <w:i/>
          <w:iCs/>
          <w:sz w:val="20"/>
          <w:szCs w:val="20"/>
          <w:lang w:eastAsia="en-IN"/>
        </w:rPr>
        <w:t>Aquaculture Research</w:t>
      </w:r>
      <w:r w:rsidRPr="003A09CC">
        <w:rPr>
          <w:rFonts w:ascii="Arial" w:eastAsia="Times New Roman" w:hAnsi="Arial" w:cs="Arial"/>
          <w:sz w:val="20"/>
          <w:szCs w:val="20"/>
          <w:lang w:eastAsia="en-IN"/>
        </w:rPr>
        <w:t>, 52, 4448-4459.</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Lin, Y.C., &amp; Chen, J.C. (2001). Acute toxicity of ammonia on </w:t>
      </w:r>
      <w:r w:rsidRPr="003A09CC">
        <w:rPr>
          <w:rFonts w:ascii="Arial" w:eastAsia="Times New Roman" w:hAnsi="Arial" w:cs="Arial"/>
          <w:i/>
          <w:iCs/>
          <w:sz w:val="20"/>
          <w:szCs w:val="20"/>
          <w:lang w:eastAsia="en-IN"/>
        </w:rPr>
        <w:t>Penaeus vannamei</w:t>
      </w:r>
      <w:r w:rsidRPr="003A09CC">
        <w:rPr>
          <w:rFonts w:ascii="Arial" w:eastAsia="Times New Roman" w:hAnsi="Arial" w:cs="Arial"/>
          <w:sz w:val="20"/>
          <w:szCs w:val="20"/>
          <w:lang w:eastAsia="en-IN"/>
        </w:rPr>
        <w:t xml:space="preserve"> juveniles at different salinity levels. </w:t>
      </w:r>
      <w:r w:rsidRPr="003A09CC">
        <w:rPr>
          <w:rFonts w:ascii="Arial" w:eastAsia="Times New Roman" w:hAnsi="Arial" w:cs="Arial"/>
          <w:i/>
          <w:iCs/>
          <w:sz w:val="20"/>
          <w:szCs w:val="20"/>
          <w:lang w:eastAsia="en-IN"/>
        </w:rPr>
        <w:t>Journal of Experimental Marine Biology and Ecology</w:t>
      </w:r>
      <w:r w:rsidRPr="003A09CC">
        <w:rPr>
          <w:rFonts w:ascii="Arial" w:eastAsia="Times New Roman" w:hAnsi="Arial" w:cs="Arial"/>
          <w:sz w:val="20"/>
          <w:szCs w:val="20"/>
          <w:lang w:eastAsia="en-IN"/>
        </w:rPr>
        <w:t>, 259, 109-119.</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Lin, Y.C., &amp; Chen, J.C. (2003). Acute toxicity of nitrite on </w:t>
      </w:r>
      <w:r w:rsidRPr="003A09CC">
        <w:rPr>
          <w:rFonts w:ascii="Arial" w:eastAsia="Times New Roman" w:hAnsi="Arial" w:cs="Arial"/>
          <w:i/>
          <w:iCs/>
          <w:sz w:val="20"/>
          <w:szCs w:val="20"/>
          <w:lang w:eastAsia="en-IN"/>
        </w:rPr>
        <w:t>Penaeus vannamei</w:t>
      </w:r>
      <w:r w:rsidRPr="003A09CC">
        <w:rPr>
          <w:rFonts w:ascii="Arial" w:eastAsia="Times New Roman" w:hAnsi="Arial" w:cs="Arial"/>
          <w:sz w:val="20"/>
          <w:szCs w:val="20"/>
          <w:lang w:eastAsia="en-IN"/>
        </w:rPr>
        <w:t xml:space="preserve"> juveniles. </w:t>
      </w:r>
      <w:r w:rsidRPr="003A09CC">
        <w:rPr>
          <w:rFonts w:ascii="Arial" w:eastAsia="Times New Roman" w:hAnsi="Arial" w:cs="Arial"/>
          <w:i/>
          <w:iCs/>
          <w:sz w:val="20"/>
          <w:szCs w:val="20"/>
          <w:lang w:eastAsia="en-IN"/>
        </w:rPr>
        <w:t>Aquaculture</w:t>
      </w:r>
      <w:r w:rsidRPr="003A09CC">
        <w:rPr>
          <w:rFonts w:ascii="Arial" w:eastAsia="Times New Roman" w:hAnsi="Arial" w:cs="Arial"/>
          <w:sz w:val="20"/>
          <w:szCs w:val="20"/>
          <w:lang w:eastAsia="en-IN"/>
        </w:rPr>
        <w:t>, 224, 193-201.</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Mishra, J.K., et al. (2008). Performance of intensive nursery system for Pacific white shrimp under limited discharge conditions. </w:t>
      </w:r>
      <w:r w:rsidRPr="003A09CC">
        <w:rPr>
          <w:rFonts w:ascii="Arial" w:eastAsia="Times New Roman" w:hAnsi="Arial" w:cs="Arial"/>
          <w:i/>
          <w:iCs/>
          <w:sz w:val="20"/>
          <w:szCs w:val="20"/>
          <w:lang w:eastAsia="en-IN"/>
        </w:rPr>
        <w:t>Aquacultural Engineering</w:t>
      </w:r>
      <w:r w:rsidRPr="003A09CC">
        <w:rPr>
          <w:rFonts w:ascii="Arial" w:eastAsia="Times New Roman" w:hAnsi="Arial" w:cs="Arial"/>
          <w:sz w:val="20"/>
          <w:szCs w:val="20"/>
          <w:lang w:eastAsia="en-IN"/>
        </w:rPr>
        <w:t>, 38, 2-15.</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Moreno-Figueroa, L.D., et al. (2017). Performance of photo-heterotrophic system for intensive gray shrimp cultivation. </w:t>
      </w:r>
      <w:r w:rsidRPr="003A09CC">
        <w:rPr>
          <w:rFonts w:ascii="Arial" w:eastAsia="Times New Roman" w:hAnsi="Arial" w:cs="Arial"/>
          <w:i/>
          <w:iCs/>
          <w:sz w:val="20"/>
          <w:szCs w:val="20"/>
          <w:lang w:eastAsia="en-IN"/>
        </w:rPr>
        <w:t>Aquaculture Research</w:t>
      </w:r>
      <w:r w:rsidRPr="003A09CC">
        <w:rPr>
          <w:rFonts w:ascii="Arial" w:eastAsia="Times New Roman" w:hAnsi="Arial" w:cs="Arial"/>
          <w:sz w:val="20"/>
          <w:szCs w:val="20"/>
          <w:lang w:eastAsia="en-IN"/>
        </w:rPr>
        <w:t>, 49, 57-67.</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Narejo, N.T., Salam, M.A., &amp; Rashid, M.M. (2003). Effect of different feeds on growth of freshwater mud eel. </w:t>
      </w:r>
      <w:r w:rsidRPr="003A09CC">
        <w:rPr>
          <w:rFonts w:ascii="Arial" w:eastAsia="Times New Roman" w:hAnsi="Arial" w:cs="Arial"/>
          <w:i/>
          <w:iCs/>
          <w:sz w:val="20"/>
          <w:szCs w:val="20"/>
          <w:lang w:eastAsia="en-IN"/>
        </w:rPr>
        <w:t>Indian Journal of Fisheries</w:t>
      </w:r>
      <w:r w:rsidRPr="003A09CC">
        <w:rPr>
          <w:rFonts w:ascii="Arial" w:eastAsia="Times New Roman" w:hAnsi="Arial" w:cs="Arial"/>
          <w:sz w:val="20"/>
          <w:szCs w:val="20"/>
          <w:lang w:eastAsia="en-IN"/>
        </w:rPr>
        <w:t>, 50, 221-225.</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proofErr w:type="spellStart"/>
      <w:r w:rsidRPr="003A09CC">
        <w:rPr>
          <w:rFonts w:ascii="Arial" w:eastAsia="Times New Roman" w:hAnsi="Arial" w:cs="Arial"/>
          <w:sz w:val="20"/>
          <w:szCs w:val="20"/>
          <w:lang w:eastAsia="en-IN"/>
        </w:rPr>
        <w:lastRenderedPageBreak/>
        <w:t>Otoshi</w:t>
      </w:r>
      <w:proofErr w:type="spellEnd"/>
      <w:r w:rsidRPr="003A09CC">
        <w:rPr>
          <w:rFonts w:ascii="Arial" w:eastAsia="Times New Roman" w:hAnsi="Arial" w:cs="Arial"/>
          <w:sz w:val="20"/>
          <w:szCs w:val="20"/>
          <w:lang w:eastAsia="en-IN"/>
        </w:rPr>
        <w:t xml:space="preserve">, C.A., et al. (2006). Effects of artificial substrate on growth of juvenile Pacific white shrimp. </w:t>
      </w:r>
      <w:r w:rsidRPr="003A09CC">
        <w:rPr>
          <w:rFonts w:ascii="Arial" w:eastAsia="Times New Roman" w:hAnsi="Arial" w:cs="Arial"/>
          <w:i/>
          <w:iCs/>
          <w:sz w:val="20"/>
          <w:szCs w:val="20"/>
          <w:lang w:eastAsia="en-IN"/>
        </w:rPr>
        <w:t>Journal of the World Aquaculture Society</w:t>
      </w:r>
      <w:r w:rsidRPr="003A09CC">
        <w:rPr>
          <w:rFonts w:ascii="Arial" w:eastAsia="Times New Roman" w:hAnsi="Arial" w:cs="Arial"/>
          <w:sz w:val="20"/>
          <w:szCs w:val="20"/>
          <w:lang w:eastAsia="en-IN"/>
        </w:rPr>
        <w:t>, 37, 210-213.</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Person-Le </w:t>
      </w:r>
      <w:proofErr w:type="spellStart"/>
      <w:r w:rsidRPr="003A09CC">
        <w:rPr>
          <w:rFonts w:ascii="Arial" w:eastAsia="Times New Roman" w:hAnsi="Arial" w:cs="Arial"/>
          <w:sz w:val="20"/>
          <w:szCs w:val="20"/>
          <w:lang w:eastAsia="en-IN"/>
        </w:rPr>
        <w:t>Ruyet</w:t>
      </w:r>
      <w:proofErr w:type="spellEnd"/>
      <w:r w:rsidRPr="003A09CC">
        <w:rPr>
          <w:rFonts w:ascii="Arial" w:eastAsia="Times New Roman" w:hAnsi="Arial" w:cs="Arial"/>
          <w:sz w:val="20"/>
          <w:szCs w:val="20"/>
          <w:lang w:eastAsia="en-IN"/>
        </w:rPr>
        <w:t xml:space="preserve">, J., et al. (2008). Combined effects of water quality and stocking density on rainbow trout welfare. </w:t>
      </w:r>
      <w:r w:rsidRPr="003A09CC">
        <w:rPr>
          <w:rFonts w:ascii="Arial" w:eastAsia="Times New Roman" w:hAnsi="Arial" w:cs="Arial"/>
          <w:i/>
          <w:iCs/>
          <w:sz w:val="20"/>
          <w:szCs w:val="20"/>
          <w:lang w:eastAsia="en-IN"/>
        </w:rPr>
        <w:t>Aquatic Living Resources</w:t>
      </w:r>
      <w:r w:rsidRPr="003A09CC">
        <w:rPr>
          <w:rFonts w:ascii="Arial" w:eastAsia="Times New Roman" w:hAnsi="Arial" w:cs="Arial"/>
          <w:sz w:val="20"/>
          <w:szCs w:val="20"/>
          <w:lang w:eastAsia="en-IN"/>
        </w:rPr>
        <w:t>, 21, 185-195.</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Ray, A.J., &amp; Lotz, J.M. (2017). Shrimp production in biofloc versus clear-water systems. </w:t>
      </w:r>
      <w:r w:rsidRPr="003A09CC">
        <w:rPr>
          <w:rFonts w:ascii="Arial" w:eastAsia="Times New Roman" w:hAnsi="Arial" w:cs="Arial"/>
          <w:i/>
          <w:iCs/>
          <w:sz w:val="20"/>
          <w:szCs w:val="20"/>
          <w:lang w:eastAsia="en-IN"/>
        </w:rPr>
        <w:t>Aquaculture Research</w:t>
      </w:r>
      <w:r w:rsidRPr="003A09CC">
        <w:rPr>
          <w:rFonts w:ascii="Arial" w:eastAsia="Times New Roman" w:hAnsi="Arial" w:cs="Arial"/>
          <w:sz w:val="20"/>
          <w:szCs w:val="20"/>
          <w:lang w:eastAsia="en-IN"/>
        </w:rPr>
        <w:t>, 48, 4390-4398.</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proofErr w:type="spellStart"/>
      <w:r w:rsidRPr="003A09CC">
        <w:rPr>
          <w:rFonts w:ascii="Arial" w:eastAsia="Times New Roman" w:hAnsi="Arial" w:cs="Arial"/>
          <w:sz w:val="20"/>
          <w:szCs w:val="20"/>
          <w:lang w:eastAsia="en-IN"/>
        </w:rPr>
        <w:t>Samocha</w:t>
      </w:r>
      <w:proofErr w:type="spellEnd"/>
      <w:r w:rsidRPr="003A09CC">
        <w:rPr>
          <w:rFonts w:ascii="Arial" w:eastAsia="Times New Roman" w:hAnsi="Arial" w:cs="Arial"/>
          <w:sz w:val="20"/>
          <w:szCs w:val="20"/>
          <w:lang w:eastAsia="en-IN"/>
        </w:rPr>
        <w:t xml:space="preserve">, T.M., &amp; Lawrence, A.L. (1992). Intensification of penaeid nursery systems. </w:t>
      </w:r>
      <w:r w:rsidRPr="003A09CC">
        <w:rPr>
          <w:rFonts w:ascii="Arial" w:eastAsia="Times New Roman" w:hAnsi="Arial" w:cs="Arial"/>
          <w:i/>
          <w:iCs/>
          <w:sz w:val="20"/>
          <w:szCs w:val="20"/>
          <w:lang w:eastAsia="en-IN"/>
        </w:rPr>
        <w:t>Developments in Aquaculture and Fisheries Science</w:t>
      </w:r>
      <w:r w:rsidRPr="003A09CC">
        <w:rPr>
          <w:rFonts w:ascii="Arial" w:eastAsia="Times New Roman" w:hAnsi="Arial" w:cs="Arial"/>
          <w:sz w:val="20"/>
          <w:szCs w:val="20"/>
          <w:lang w:eastAsia="en-IN"/>
        </w:rPr>
        <w:t>, 23, 321-344.</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proofErr w:type="spellStart"/>
      <w:r w:rsidRPr="003A09CC">
        <w:rPr>
          <w:rFonts w:ascii="Arial" w:eastAsia="Times New Roman" w:hAnsi="Arial" w:cs="Arial"/>
          <w:sz w:val="20"/>
          <w:szCs w:val="20"/>
          <w:lang w:eastAsia="en-IN"/>
        </w:rPr>
        <w:t>Samocha</w:t>
      </w:r>
      <w:proofErr w:type="spellEnd"/>
      <w:r w:rsidRPr="003A09CC">
        <w:rPr>
          <w:rFonts w:ascii="Arial" w:eastAsia="Times New Roman" w:hAnsi="Arial" w:cs="Arial"/>
          <w:sz w:val="20"/>
          <w:szCs w:val="20"/>
          <w:lang w:eastAsia="en-IN"/>
        </w:rPr>
        <w:t xml:space="preserve">, T.M., et al. (2002). Review of recent developments in sustainable shrimp farming practices. </w:t>
      </w:r>
      <w:r w:rsidRPr="003A09CC">
        <w:rPr>
          <w:rFonts w:ascii="Arial" w:eastAsia="Times New Roman" w:hAnsi="Arial" w:cs="Arial"/>
          <w:i/>
          <w:iCs/>
          <w:sz w:val="20"/>
          <w:szCs w:val="20"/>
          <w:lang w:eastAsia="en-IN"/>
        </w:rPr>
        <w:t>Journal of Applied Aquaculture</w:t>
      </w:r>
      <w:r w:rsidRPr="003A09CC">
        <w:rPr>
          <w:rFonts w:ascii="Arial" w:eastAsia="Times New Roman" w:hAnsi="Arial" w:cs="Arial"/>
          <w:sz w:val="20"/>
          <w:szCs w:val="20"/>
          <w:lang w:eastAsia="en-IN"/>
        </w:rPr>
        <w:t>, 12, 1-42.</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proofErr w:type="spellStart"/>
      <w:r w:rsidRPr="003A09CC">
        <w:rPr>
          <w:rFonts w:ascii="Arial" w:eastAsia="Times New Roman" w:hAnsi="Arial" w:cs="Arial"/>
          <w:sz w:val="20"/>
          <w:szCs w:val="20"/>
          <w:lang w:eastAsia="en-IN"/>
        </w:rPr>
        <w:t>Samocha</w:t>
      </w:r>
      <w:proofErr w:type="spellEnd"/>
      <w:r w:rsidRPr="003A09CC">
        <w:rPr>
          <w:rFonts w:ascii="Arial" w:eastAsia="Times New Roman" w:hAnsi="Arial" w:cs="Arial"/>
          <w:sz w:val="20"/>
          <w:szCs w:val="20"/>
          <w:lang w:eastAsia="en-IN"/>
        </w:rPr>
        <w:t xml:space="preserve">, T.M., et al. (2010). Intensive raceways analyzed for gray shrimp culture. </w:t>
      </w:r>
      <w:r w:rsidRPr="003A09CC">
        <w:rPr>
          <w:rFonts w:ascii="Arial" w:eastAsia="Times New Roman" w:hAnsi="Arial" w:cs="Arial"/>
          <w:i/>
          <w:iCs/>
          <w:sz w:val="20"/>
          <w:szCs w:val="20"/>
          <w:lang w:eastAsia="en-IN"/>
        </w:rPr>
        <w:t>Global Aquaculture Advocate</w:t>
      </w:r>
      <w:r w:rsidRPr="003A09CC">
        <w:rPr>
          <w:rFonts w:ascii="Arial" w:eastAsia="Times New Roman" w:hAnsi="Arial" w:cs="Arial"/>
          <w:sz w:val="20"/>
          <w:szCs w:val="20"/>
          <w:lang w:eastAsia="en-IN"/>
        </w:rPr>
        <w:t>, 13(4), 22-24.</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Schveitzer, R., et al. (2013). Effect of different biofloc levels on water quality and shrimp performance. </w:t>
      </w:r>
      <w:r w:rsidRPr="003A09CC">
        <w:rPr>
          <w:rFonts w:ascii="Arial" w:eastAsia="Times New Roman" w:hAnsi="Arial" w:cs="Arial"/>
          <w:i/>
          <w:iCs/>
          <w:sz w:val="20"/>
          <w:szCs w:val="20"/>
          <w:lang w:eastAsia="en-IN"/>
        </w:rPr>
        <w:t>Aquacultural Engineering</w:t>
      </w:r>
      <w:r w:rsidRPr="003A09CC">
        <w:rPr>
          <w:rFonts w:ascii="Arial" w:eastAsia="Times New Roman" w:hAnsi="Arial" w:cs="Arial"/>
          <w:sz w:val="20"/>
          <w:szCs w:val="20"/>
          <w:lang w:eastAsia="en-IN"/>
        </w:rPr>
        <w:t>, 57, 127-134.</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Suresh, P.P., et al. (2014). Growth performance of Pacific white shrimp in low stocking short term farming. </w:t>
      </w:r>
      <w:r w:rsidRPr="003A09CC">
        <w:rPr>
          <w:rFonts w:ascii="Arial" w:eastAsia="Times New Roman" w:hAnsi="Arial" w:cs="Arial"/>
          <w:i/>
          <w:iCs/>
          <w:sz w:val="20"/>
          <w:szCs w:val="20"/>
          <w:lang w:eastAsia="en-IN"/>
        </w:rPr>
        <w:t>Asian Fisheries Science</w:t>
      </w:r>
      <w:r w:rsidRPr="003A09CC">
        <w:rPr>
          <w:rFonts w:ascii="Arial" w:eastAsia="Times New Roman" w:hAnsi="Arial" w:cs="Arial"/>
          <w:sz w:val="20"/>
          <w:szCs w:val="20"/>
          <w:lang w:eastAsia="en-IN"/>
        </w:rPr>
        <w:t>, 27, 145-156.</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Tsai, S.J., &amp; Chen, J.C. (2002). Acute toxicity of nitrate on </w:t>
      </w:r>
      <w:r w:rsidRPr="003A09CC">
        <w:rPr>
          <w:rFonts w:ascii="Arial" w:eastAsia="Times New Roman" w:hAnsi="Arial" w:cs="Arial"/>
          <w:i/>
          <w:iCs/>
          <w:sz w:val="20"/>
          <w:szCs w:val="20"/>
          <w:lang w:eastAsia="en-IN"/>
        </w:rPr>
        <w:t>Penaeus monodon</w:t>
      </w:r>
      <w:r w:rsidRPr="003A09CC">
        <w:rPr>
          <w:rFonts w:ascii="Arial" w:eastAsia="Times New Roman" w:hAnsi="Arial" w:cs="Arial"/>
          <w:sz w:val="20"/>
          <w:szCs w:val="20"/>
          <w:lang w:eastAsia="en-IN"/>
        </w:rPr>
        <w:t xml:space="preserve"> juveniles at different salinity levels. </w:t>
      </w:r>
      <w:r w:rsidRPr="003A09CC">
        <w:rPr>
          <w:rFonts w:ascii="Arial" w:eastAsia="Times New Roman" w:hAnsi="Arial" w:cs="Arial"/>
          <w:i/>
          <w:iCs/>
          <w:sz w:val="20"/>
          <w:szCs w:val="20"/>
          <w:lang w:eastAsia="en-IN"/>
        </w:rPr>
        <w:t>Aquaculture</w:t>
      </w:r>
      <w:r w:rsidRPr="003A09CC">
        <w:rPr>
          <w:rFonts w:ascii="Arial" w:eastAsia="Times New Roman" w:hAnsi="Arial" w:cs="Arial"/>
          <w:sz w:val="20"/>
          <w:szCs w:val="20"/>
          <w:lang w:eastAsia="en-IN"/>
        </w:rPr>
        <w:t>, 213, 163-170.</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Vinatea, L., et al. (2010). Water quality in intensive shrimp culture: Effects of water exchange and biofloc technology. </w:t>
      </w:r>
      <w:r w:rsidRPr="003A09CC">
        <w:rPr>
          <w:rFonts w:ascii="Arial" w:eastAsia="Times New Roman" w:hAnsi="Arial" w:cs="Arial"/>
          <w:i/>
          <w:iCs/>
          <w:sz w:val="20"/>
          <w:szCs w:val="20"/>
          <w:lang w:eastAsia="en-IN"/>
        </w:rPr>
        <w:t>Aquacultural Engineering</w:t>
      </w:r>
      <w:r w:rsidRPr="003A09CC">
        <w:rPr>
          <w:rFonts w:ascii="Arial" w:eastAsia="Times New Roman" w:hAnsi="Arial" w:cs="Arial"/>
          <w:sz w:val="20"/>
          <w:szCs w:val="20"/>
          <w:lang w:eastAsia="en-IN"/>
        </w:rPr>
        <w:t>, 42, 53-59.</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Williams, A.S., et al. (1996). Density-dependent growth and survival in juvenile </w:t>
      </w:r>
      <w:r w:rsidRPr="003A09CC">
        <w:rPr>
          <w:rFonts w:ascii="Arial" w:eastAsia="Times New Roman" w:hAnsi="Arial" w:cs="Arial"/>
          <w:i/>
          <w:iCs/>
          <w:sz w:val="20"/>
          <w:szCs w:val="20"/>
          <w:lang w:eastAsia="en-IN"/>
        </w:rPr>
        <w:t>Penaeus vannamei</w:t>
      </w:r>
      <w:r w:rsidRPr="003A09CC">
        <w:rPr>
          <w:rFonts w:ascii="Arial" w:eastAsia="Times New Roman" w:hAnsi="Arial" w:cs="Arial"/>
          <w:sz w:val="20"/>
          <w:szCs w:val="20"/>
          <w:lang w:eastAsia="en-IN"/>
        </w:rPr>
        <w:t xml:space="preserve">. </w:t>
      </w:r>
      <w:r w:rsidRPr="003A09CC">
        <w:rPr>
          <w:rFonts w:ascii="Arial" w:eastAsia="Times New Roman" w:hAnsi="Arial" w:cs="Arial"/>
          <w:i/>
          <w:iCs/>
          <w:sz w:val="20"/>
          <w:szCs w:val="20"/>
          <w:lang w:eastAsia="en-IN"/>
        </w:rPr>
        <w:t>Journal of the World Aquaculture Society</w:t>
      </w:r>
      <w:r w:rsidRPr="003A09CC">
        <w:rPr>
          <w:rFonts w:ascii="Arial" w:eastAsia="Times New Roman" w:hAnsi="Arial" w:cs="Arial"/>
          <w:sz w:val="20"/>
          <w:szCs w:val="20"/>
          <w:lang w:eastAsia="en-IN"/>
        </w:rPr>
        <w:t>, 27, 273-282.</w:t>
      </w:r>
    </w:p>
    <w:p w:rsidR="00FC6832" w:rsidRPr="003A09CC" w:rsidRDefault="00FC6832" w:rsidP="00FC6876">
      <w:pPr>
        <w:jc w:val="both"/>
        <w:rPr>
          <w:rFonts w:ascii="Arial" w:hAnsi="Arial" w:cs="Arial"/>
          <w:sz w:val="20"/>
          <w:szCs w:val="20"/>
        </w:rPr>
      </w:pPr>
    </w:p>
    <w:sectPr w:rsidR="00FC6832" w:rsidRPr="003A09CC" w:rsidSect="00FC683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2DB" w:rsidRDefault="000402DB" w:rsidP="007D4E71">
      <w:pPr>
        <w:spacing w:after="0" w:line="240" w:lineRule="auto"/>
      </w:pPr>
      <w:r>
        <w:separator/>
      </w:r>
    </w:p>
  </w:endnote>
  <w:endnote w:type="continuationSeparator" w:id="0">
    <w:p w:rsidR="000402DB" w:rsidRDefault="000402DB" w:rsidP="007D4E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E71" w:rsidRDefault="007D4E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E71" w:rsidRDefault="007D4E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E71" w:rsidRDefault="007D4E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2DB" w:rsidRDefault="000402DB" w:rsidP="007D4E71">
      <w:pPr>
        <w:spacing w:after="0" w:line="240" w:lineRule="auto"/>
      </w:pPr>
      <w:r>
        <w:separator/>
      </w:r>
    </w:p>
  </w:footnote>
  <w:footnote w:type="continuationSeparator" w:id="0">
    <w:p w:rsidR="000402DB" w:rsidRDefault="000402DB" w:rsidP="007D4E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E71" w:rsidRDefault="002D3765">
    <w:pPr>
      <w:pStyle w:val="Header"/>
    </w:pPr>
    <w:r w:rsidRPr="002D376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2401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E71" w:rsidRDefault="002D3765">
    <w:pPr>
      <w:pStyle w:val="Header"/>
    </w:pPr>
    <w:r w:rsidRPr="002D376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2401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E71" w:rsidRDefault="002D3765">
    <w:pPr>
      <w:pStyle w:val="Header"/>
    </w:pPr>
    <w:r w:rsidRPr="002D376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2401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6E2C"/>
    <w:multiLevelType w:val="multilevel"/>
    <w:tmpl w:val="BA12C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FA744D"/>
    <w:multiLevelType w:val="multilevel"/>
    <w:tmpl w:val="F46E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3A6F01"/>
    <w:multiLevelType w:val="multilevel"/>
    <w:tmpl w:val="AA3C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384E99"/>
    <w:multiLevelType w:val="multilevel"/>
    <w:tmpl w:val="29808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B042A0"/>
    <w:multiLevelType w:val="multilevel"/>
    <w:tmpl w:val="70D6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1E5BE6"/>
    <w:multiLevelType w:val="multilevel"/>
    <w:tmpl w:val="8760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892828"/>
    <w:multiLevelType w:val="multilevel"/>
    <w:tmpl w:val="5E44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616E19"/>
    <w:multiLevelType w:val="multilevel"/>
    <w:tmpl w:val="F39C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0720ED"/>
    <w:multiLevelType w:val="multilevel"/>
    <w:tmpl w:val="A5F6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7C77FD"/>
    <w:multiLevelType w:val="multilevel"/>
    <w:tmpl w:val="FCC01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5AA6EF1"/>
    <w:multiLevelType w:val="multilevel"/>
    <w:tmpl w:val="A9861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3D7FA6"/>
    <w:multiLevelType w:val="multilevel"/>
    <w:tmpl w:val="9F8E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053C1F"/>
    <w:multiLevelType w:val="multilevel"/>
    <w:tmpl w:val="7B026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E9C05B8"/>
    <w:multiLevelType w:val="multilevel"/>
    <w:tmpl w:val="0F44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4"/>
  </w:num>
  <w:num w:numId="4">
    <w:abstractNumId w:val="10"/>
  </w:num>
  <w:num w:numId="5">
    <w:abstractNumId w:val="1"/>
  </w:num>
  <w:num w:numId="6">
    <w:abstractNumId w:val="7"/>
  </w:num>
  <w:num w:numId="7">
    <w:abstractNumId w:val="11"/>
  </w:num>
  <w:num w:numId="8">
    <w:abstractNumId w:val="5"/>
  </w:num>
  <w:num w:numId="9">
    <w:abstractNumId w:val="2"/>
  </w:num>
  <w:num w:numId="10">
    <w:abstractNumId w:val="13"/>
  </w:num>
  <w:num w:numId="11">
    <w:abstractNumId w:val="3"/>
  </w:num>
  <w:num w:numId="12">
    <w:abstractNumId w:val="12"/>
  </w:num>
  <w:num w:numId="13">
    <w:abstractNumId w:val="6"/>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C6876"/>
    <w:rsid w:val="000402DB"/>
    <w:rsid w:val="00124F29"/>
    <w:rsid w:val="002D3765"/>
    <w:rsid w:val="00335EED"/>
    <w:rsid w:val="003A09CC"/>
    <w:rsid w:val="004A4859"/>
    <w:rsid w:val="004D41B8"/>
    <w:rsid w:val="004F5305"/>
    <w:rsid w:val="0051513B"/>
    <w:rsid w:val="00581AA6"/>
    <w:rsid w:val="006D5CF1"/>
    <w:rsid w:val="007D4E71"/>
    <w:rsid w:val="008220A0"/>
    <w:rsid w:val="00D80C2C"/>
    <w:rsid w:val="00E9597D"/>
    <w:rsid w:val="00EA4A39"/>
    <w:rsid w:val="00F50135"/>
    <w:rsid w:val="00FC6832"/>
    <w:rsid w:val="00FC6876"/>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832"/>
  </w:style>
  <w:style w:type="paragraph" w:styleId="Heading1">
    <w:name w:val="heading 1"/>
    <w:basedOn w:val="Normal"/>
    <w:link w:val="Heading1Char"/>
    <w:uiPriority w:val="9"/>
    <w:qFormat/>
    <w:rsid w:val="00FC68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FC687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FC687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FC6876"/>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876"/>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FC6876"/>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FC6876"/>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FC6876"/>
    <w:rPr>
      <w:rFonts w:ascii="Times New Roman" w:eastAsia="Times New Roman" w:hAnsi="Times New Roman" w:cs="Times New Roman"/>
      <w:b/>
      <w:bCs/>
      <w:sz w:val="24"/>
      <w:szCs w:val="24"/>
      <w:lang w:eastAsia="en-IN"/>
    </w:rPr>
  </w:style>
  <w:style w:type="character" w:styleId="Emphasis">
    <w:name w:val="Emphasis"/>
    <w:basedOn w:val="DefaultParagraphFont"/>
    <w:uiPriority w:val="20"/>
    <w:qFormat/>
    <w:rsid w:val="00FC6876"/>
    <w:rPr>
      <w:i/>
      <w:iCs/>
    </w:rPr>
  </w:style>
  <w:style w:type="paragraph" w:customStyle="1" w:styleId="font-claude-response-body">
    <w:name w:val="font-claude-response-body"/>
    <w:basedOn w:val="Normal"/>
    <w:rsid w:val="00FC687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C6876"/>
    <w:rPr>
      <w:b/>
      <w:bCs/>
    </w:rPr>
  </w:style>
  <w:style w:type="table" w:styleId="TableGrid">
    <w:name w:val="Table Grid"/>
    <w:basedOn w:val="TableNormal"/>
    <w:uiPriority w:val="59"/>
    <w:rsid w:val="00581A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220A0"/>
    <w:rPr>
      <w:color w:val="0000FF" w:themeColor="hyperlink"/>
      <w:u w:val="single"/>
    </w:rPr>
  </w:style>
  <w:style w:type="character" w:customStyle="1" w:styleId="UnresolvedMention">
    <w:name w:val="Unresolved Mention"/>
    <w:basedOn w:val="DefaultParagraphFont"/>
    <w:uiPriority w:val="99"/>
    <w:semiHidden/>
    <w:unhideWhenUsed/>
    <w:rsid w:val="008220A0"/>
    <w:rPr>
      <w:color w:val="605E5C"/>
      <w:shd w:val="clear" w:color="auto" w:fill="E1DFDD"/>
    </w:rPr>
  </w:style>
  <w:style w:type="paragraph" w:styleId="ListParagraph">
    <w:name w:val="List Paragraph"/>
    <w:basedOn w:val="Normal"/>
    <w:uiPriority w:val="34"/>
    <w:qFormat/>
    <w:rsid w:val="00124F29"/>
    <w:pPr>
      <w:ind w:left="720"/>
      <w:contextualSpacing/>
    </w:pPr>
  </w:style>
  <w:style w:type="paragraph" w:styleId="Header">
    <w:name w:val="header"/>
    <w:basedOn w:val="Normal"/>
    <w:link w:val="HeaderChar"/>
    <w:uiPriority w:val="99"/>
    <w:unhideWhenUsed/>
    <w:rsid w:val="007D4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E71"/>
  </w:style>
  <w:style w:type="paragraph" w:styleId="Footer">
    <w:name w:val="footer"/>
    <w:basedOn w:val="Normal"/>
    <w:link w:val="FooterChar"/>
    <w:uiPriority w:val="99"/>
    <w:unhideWhenUsed/>
    <w:rsid w:val="007D4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E71"/>
  </w:style>
</w:styles>
</file>

<file path=word/webSettings.xml><?xml version="1.0" encoding="utf-8"?>
<w:webSettings xmlns:r="http://schemas.openxmlformats.org/officeDocument/2006/relationships" xmlns:w="http://schemas.openxmlformats.org/wordprocessingml/2006/main">
  <w:divs>
    <w:div w:id="414134877">
      <w:bodyDiv w:val="1"/>
      <w:marLeft w:val="0"/>
      <w:marRight w:val="0"/>
      <w:marTop w:val="0"/>
      <w:marBottom w:val="0"/>
      <w:divBdr>
        <w:top w:val="none" w:sz="0" w:space="0" w:color="auto"/>
        <w:left w:val="none" w:sz="0" w:space="0" w:color="auto"/>
        <w:bottom w:val="none" w:sz="0" w:space="0" w:color="auto"/>
        <w:right w:val="none" w:sz="0" w:space="0" w:color="auto"/>
      </w:divBdr>
      <w:divsChild>
        <w:div w:id="351538541">
          <w:marLeft w:val="0"/>
          <w:marRight w:val="0"/>
          <w:marTop w:val="0"/>
          <w:marBottom w:val="0"/>
          <w:divBdr>
            <w:top w:val="none" w:sz="0" w:space="0" w:color="auto"/>
            <w:left w:val="none" w:sz="0" w:space="0" w:color="auto"/>
            <w:bottom w:val="none" w:sz="0" w:space="0" w:color="auto"/>
            <w:right w:val="none" w:sz="0" w:space="0" w:color="auto"/>
          </w:divBdr>
        </w:div>
        <w:div w:id="750661534">
          <w:marLeft w:val="0"/>
          <w:marRight w:val="0"/>
          <w:marTop w:val="0"/>
          <w:marBottom w:val="0"/>
          <w:divBdr>
            <w:top w:val="none" w:sz="0" w:space="0" w:color="auto"/>
            <w:left w:val="none" w:sz="0" w:space="0" w:color="auto"/>
            <w:bottom w:val="none" w:sz="0" w:space="0" w:color="auto"/>
            <w:right w:val="none" w:sz="0" w:space="0" w:color="auto"/>
          </w:divBdr>
        </w:div>
        <w:div w:id="1505516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1429</TotalTime>
  <Pages>9</Pages>
  <Words>3838</Words>
  <Characters>21877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SAI VAMSI</cp:lastModifiedBy>
  <cp:revision>7</cp:revision>
  <dcterms:created xsi:type="dcterms:W3CDTF">2026-01-16T04:15:00Z</dcterms:created>
  <dcterms:modified xsi:type="dcterms:W3CDTF">2026-01-17T16:55:00Z</dcterms:modified>
</cp:coreProperties>
</file>